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80" w:rsidRDefault="00990680" w:rsidP="005A6FB4">
      <w:pPr>
        <w:spacing w:after="192" w:line="240" w:lineRule="auto"/>
        <w:rPr>
          <w:rFonts w:ascii="Times New Roman" w:hAnsi="Times New Roman" w:cs="Times New Roman"/>
          <w:b/>
          <w:sz w:val="24"/>
          <w:szCs w:val="24"/>
        </w:rPr>
      </w:pPr>
      <w:bookmarkStart w:id="0" w:name="_GoBack"/>
      <w:bookmarkEnd w:id="0"/>
      <w:r>
        <w:rPr>
          <w:noProof/>
          <w:lang w:eastAsia="en-ZA"/>
        </w:rPr>
        <w:drawing>
          <wp:anchor distT="0" distB="0" distL="114300" distR="114300" simplePos="0" relativeHeight="251661312" behindDoc="0" locked="0" layoutInCell="1" allowOverlap="1" wp14:anchorId="1E5CC113" wp14:editId="6767C985">
            <wp:simplePos x="0" y="0"/>
            <wp:positionH relativeFrom="margin">
              <wp:align>right</wp:align>
            </wp:positionH>
            <wp:positionV relativeFrom="paragraph">
              <wp:posOffset>-504825</wp:posOffset>
            </wp:positionV>
            <wp:extent cx="2351405" cy="800100"/>
            <wp:effectExtent l="0" t="0" r="0" b="0"/>
            <wp:wrapNone/>
            <wp:docPr id="2" name="Picture 2"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40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A3F" w:rsidRPr="00D85A3F" w:rsidRDefault="00990680" w:rsidP="00990680">
      <w:pPr>
        <w:spacing w:after="192" w:line="240" w:lineRule="auto"/>
        <w:rPr>
          <w:rFonts w:ascii="Times New Roman" w:hAnsi="Times New Roman" w:cs="Times New Roman"/>
          <w:b/>
          <w:sz w:val="24"/>
          <w:szCs w:val="24"/>
        </w:rPr>
      </w:pPr>
      <w:r w:rsidRPr="00AE4CE9">
        <w:rPr>
          <w:rFonts w:ascii="Times New Roman" w:hAnsi="Times New Roman" w:cs="Times New Roman"/>
          <w:b/>
          <w:noProof/>
          <w:sz w:val="24"/>
          <w:szCs w:val="24"/>
          <w:lang w:eastAsia="en-ZA"/>
        </w:rPr>
        <w:drawing>
          <wp:anchor distT="0" distB="0" distL="114300" distR="114300" simplePos="0" relativeHeight="251659264" behindDoc="0" locked="0" layoutInCell="1" allowOverlap="1" wp14:anchorId="34D9ECE6" wp14:editId="27620E5F">
            <wp:simplePos x="0" y="0"/>
            <wp:positionH relativeFrom="margin">
              <wp:align>left</wp:align>
            </wp:positionH>
            <wp:positionV relativeFrom="margin">
              <wp:posOffset>-455930</wp:posOffset>
            </wp:positionV>
            <wp:extent cx="2534285" cy="82359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42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A3F" w:rsidRPr="006B3A91" w:rsidRDefault="00D85A3F" w:rsidP="00D85A3F">
      <w:pPr>
        <w:jc w:val="center"/>
        <w:rPr>
          <w:rFonts w:ascii="Times New Roman" w:hAnsi="Times New Roman" w:cs="Times New Roman"/>
          <w:b/>
        </w:rPr>
      </w:pPr>
      <w:r w:rsidRPr="006B3A91">
        <w:rPr>
          <w:rFonts w:ascii="Times New Roman" w:hAnsi="Times New Roman" w:cs="Times New Roman"/>
          <w:b/>
        </w:rPr>
        <w:t>CONTENT ADVISORY NOTE</w:t>
      </w:r>
    </w:p>
    <w:p w:rsidR="00D85A3F" w:rsidRPr="006B3A91" w:rsidRDefault="00D85A3F" w:rsidP="00D85A3F">
      <w:pPr>
        <w:jc w:val="center"/>
        <w:rPr>
          <w:rFonts w:ascii="Times New Roman" w:hAnsi="Times New Roman" w:cs="Times New Roman"/>
        </w:rPr>
      </w:pPr>
    </w:p>
    <w:tbl>
      <w:tblPr>
        <w:tblStyle w:val="TableGrid"/>
        <w:tblW w:w="9067" w:type="dxa"/>
        <w:tblLook w:val="04A0" w:firstRow="1" w:lastRow="0" w:firstColumn="1" w:lastColumn="0" w:noHBand="0" w:noVBand="1"/>
      </w:tblPr>
      <w:tblGrid>
        <w:gridCol w:w="9067"/>
      </w:tblGrid>
      <w:tr w:rsidR="00D85A3F" w:rsidRPr="006B3A91" w:rsidTr="007B1A44">
        <w:tc>
          <w:tcPr>
            <w:tcW w:w="9067" w:type="dxa"/>
            <w:shd w:val="clear" w:color="auto" w:fill="D9D9D9" w:themeFill="background1" w:themeFillShade="D9"/>
          </w:tcPr>
          <w:p w:rsidR="00D85A3F" w:rsidRPr="006B3A91" w:rsidRDefault="00D85A3F" w:rsidP="00D85A3F">
            <w:pPr>
              <w:ind w:right="175"/>
              <w:jc w:val="both"/>
              <w:rPr>
                <w:rFonts w:ascii="Times New Roman" w:hAnsi="Times New Roman" w:cs="Times New Roman"/>
              </w:rPr>
            </w:pPr>
            <w:r w:rsidRPr="006B3A91">
              <w:rPr>
                <w:rFonts w:ascii="Times New Roman" w:hAnsi="Times New Roman" w:cs="Times New Roman"/>
                <w:b/>
              </w:rPr>
              <w:t>Committee</w:t>
            </w:r>
            <w:r w:rsidRPr="006B3A91">
              <w:rPr>
                <w:rFonts w:ascii="Times New Roman" w:hAnsi="Times New Roman" w:cs="Times New Roman"/>
              </w:rPr>
              <w:t xml:space="preserve">          :  Portfolio Committee on Tourism</w:t>
            </w:r>
          </w:p>
          <w:p w:rsidR="00D85A3F" w:rsidRPr="006B3A91" w:rsidRDefault="00D85A3F" w:rsidP="00D85A3F">
            <w:pPr>
              <w:ind w:right="175"/>
              <w:jc w:val="both"/>
              <w:rPr>
                <w:rFonts w:ascii="Times New Roman" w:hAnsi="Times New Roman" w:cs="Times New Roman"/>
              </w:rPr>
            </w:pPr>
          </w:p>
          <w:p w:rsidR="00D85A3F" w:rsidRPr="006B3A91" w:rsidRDefault="00D85A3F" w:rsidP="00D85A3F">
            <w:pPr>
              <w:ind w:right="175"/>
              <w:jc w:val="both"/>
              <w:rPr>
                <w:rFonts w:ascii="Times New Roman" w:hAnsi="Times New Roman" w:cs="Times New Roman"/>
              </w:rPr>
            </w:pPr>
            <w:r w:rsidRPr="006B3A91">
              <w:rPr>
                <w:rFonts w:ascii="Times New Roman" w:hAnsi="Times New Roman" w:cs="Times New Roman"/>
                <w:b/>
              </w:rPr>
              <w:t>Content Advisor</w:t>
            </w:r>
            <w:r w:rsidRPr="006B3A91">
              <w:rPr>
                <w:rFonts w:ascii="Times New Roman" w:hAnsi="Times New Roman" w:cs="Times New Roman"/>
              </w:rPr>
              <w:t xml:space="preserve"> :  Dr Sibusiso Khuzwayo</w:t>
            </w:r>
          </w:p>
          <w:p w:rsidR="00D85A3F" w:rsidRPr="006B3A91" w:rsidRDefault="00D85A3F" w:rsidP="00D85A3F">
            <w:pPr>
              <w:ind w:right="175"/>
              <w:jc w:val="both"/>
              <w:rPr>
                <w:rFonts w:ascii="Times New Roman" w:hAnsi="Times New Roman" w:cs="Times New Roman"/>
              </w:rPr>
            </w:pPr>
          </w:p>
          <w:p w:rsidR="00D85A3F" w:rsidRPr="006B3A91" w:rsidRDefault="00D85A3F" w:rsidP="00D85A3F">
            <w:pPr>
              <w:ind w:right="175"/>
              <w:jc w:val="both"/>
              <w:rPr>
                <w:rFonts w:ascii="Times New Roman" w:hAnsi="Times New Roman" w:cs="Times New Roman"/>
              </w:rPr>
            </w:pPr>
            <w:r w:rsidRPr="006B3A91">
              <w:rPr>
                <w:rFonts w:ascii="Times New Roman" w:hAnsi="Times New Roman" w:cs="Times New Roman"/>
                <w:b/>
              </w:rPr>
              <w:t>Date</w:t>
            </w:r>
            <w:r w:rsidRPr="006B3A91">
              <w:rPr>
                <w:rFonts w:ascii="Times New Roman" w:hAnsi="Times New Roman" w:cs="Times New Roman"/>
              </w:rPr>
              <w:tab/>
            </w:r>
            <w:r w:rsidRPr="006B3A91">
              <w:rPr>
                <w:rFonts w:ascii="Times New Roman" w:hAnsi="Times New Roman" w:cs="Times New Roman"/>
              </w:rPr>
              <w:tab/>
              <w:t xml:space="preserve">    :  </w:t>
            </w:r>
            <w:r w:rsidR="00514FB3">
              <w:rPr>
                <w:rFonts w:ascii="Times New Roman" w:hAnsi="Times New Roman" w:cs="Times New Roman"/>
              </w:rPr>
              <w:t>16 February 2021</w:t>
            </w:r>
          </w:p>
          <w:p w:rsidR="00D85A3F" w:rsidRPr="006B3A91" w:rsidRDefault="00D85A3F" w:rsidP="00D85A3F">
            <w:pPr>
              <w:ind w:right="175"/>
              <w:jc w:val="both"/>
              <w:rPr>
                <w:rFonts w:ascii="Times New Roman" w:hAnsi="Times New Roman" w:cs="Times New Roman"/>
              </w:rPr>
            </w:pPr>
          </w:p>
        </w:tc>
      </w:tr>
      <w:tr w:rsidR="00D85A3F" w:rsidRPr="006B3A91" w:rsidTr="007B1A44">
        <w:tc>
          <w:tcPr>
            <w:tcW w:w="9067" w:type="dxa"/>
          </w:tcPr>
          <w:p w:rsidR="00D85A3F" w:rsidRPr="006B3A91" w:rsidRDefault="00D85A3F" w:rsidP="00D85A3F">
            <w:pPr>
              <w:ind w:right="175"/>
              <w:jc w:val="both"/>
              <w:rPr>
                <w:rFonts w:ascii="Times New Roman" w:hAnsi="Times New Roman" w:cs="Times New Roman"/>
                <w:b/>
              </w:rPr>
            </w:pPr>
            <w:r w:rsidRPr="006B3A91">
              <w:rPr>
                <w:rFonts w:ascii="Times New Roman" w:hAnsi="Times New Roman" w:cs="Times New Roman"/>
                <w:b/>
              </w:rPr>
              <w:t xml:space="preserve">Topic </w:t>
            </w:r>
            <w:r w:rsidR="00514FB3">
              <w:rPr>
                <w:rFonts w:ascii="Times New Roman" w:hAnsi="Times New Roman" w:cs="Times New Roman"/>
                <w:b/>
              </w:rPr>
              <w:t xml:space="preserve">and purpose </w:t>
            </w:r>
            <w:r w:rsidRPr="006B3A91">
              <w:rPr>
                <w:rFonts w:ascii="Times New Roman" w:hAnsi="Times New Roman" w:cs="Times New Roman"/>
                <w:b/>
              </w:rPr>
              <w:t>for discussion</w:t>
            </w:r>
          </w:p>
          <w:p w:rsidR="00D85A3F" w:rsidRPr="006B3A91" w:rsidRDefault="00D85A3F" w:rsidP="00D85A3F">
            <w:pPr>
              <w:ind w:right="175"/>
              <w:jc w:val="both"/>
              <w:rPr>
                <w:rFonts w:ascii="Times New Roman" w:hAnsi="Times New Roman" w:cs="Times New Roman"/>
                <w:b/>
              </w:rPr>
            </w:pPr>
          </w:p>
          <w:p w:rsidR="00D85A3F" w:rsidRPr="006B3A91" w:rsidRDefault="00D85A3F" w:rsidP="00C12B4D">
            <w:pPr>
              <w:ind w:right="175"/>
              <w:jc w:val="both"/>
              <w:rPr>
                <w:rFonts w:ascii="Times New Roman" w:hAnsi="Times New Roman" w:cs="Times New Roman"/>
                <w:lang w:val="en-US"/>
              </w:rPr>
            </w:pPr>
            <w:r w:rsidRPr="006B3A91">
              <w:rPr>
                <w:rFonts w:ascii="Times New Roman" w:hAnsi="Times New Roman" w:cs="Times New Roman"/>
              </w:rPr>
              <w:t xml:space="preserve">This briefing </w:t>
            </w:r>
            <w:r w:rsidR="00531457" w:rsidRPr="006B3A91">
              <w:rPr>
                <w:rFonts w:ascii="Times New Roman" w:hAnsi="Times New Roman" w:cs="Times New Roman"/>
              </w:rPr>
              <w:t xml:space="preserve">note provides </w:t>
            </w:r>
            <w:r w:rsidR="001176CE">
              <w:rPr>
                <w:rFonts w:ascii="Times New Roman" w:hAnsi="Times New Roman" w:cs="Times New Roman"/>
              </w:rPr>
              <w:t>strategic and policy adv</w:t>
            </w:r>
            <w:r w:rsidR="006E4ED6">
              <w:rPr>
                <w:rFonts w:ascii="Times New Roman" w:hAnsi="Times New Roman" w:cs="Times New Roman"/>
              </w:rPr>
              <w:t xml:space="preserve">ice on the interaction with the Department of </w:t>
            </w:r>
            <w:r w:rsidR="00514FB3">
              <w:rPr>
                <w:rFonts w:ascii="Times New Roman" w:hAnsi="Times New Roman" w:cs="Times New Roman"/>
              </w:rPr>
              <w:t>T</w:t>
            </w:r>
            <w:r w:rsidR="006E4ED6">
              <w:rPr>
                <w:rFonts w:ascii="Times New Roman" w:hAnsi="Times New Roman" w:cs="Times New Roman"/>
              </w:rPr>
              <w:t xml:space="preserve">ourism and Small Enterprise Finance Agency </w:t>
            </w:r>
            <w:r w:rsidR="00514FB3">
              <w:rPr>
                <w:rFonts w:ascii="Times New Roman" w:hAnsi="Times New Roman" w:cs="Times New Roman"/>
              </w:rPr>
              <w:t xml:space="preserve">(SEFA) </w:t>
            </w:r>
            <w:r w:rsidR="006E4ED6">
              <w:rPr>
                <w:rFonts w:ascii="Times New Roman" w:hAnsi="Times New Roman" w:cs="Times New Roman"/>
              </w:rPr>
              <w:t>on the Tourism Equity Fund</w:t>
            </w:r>
            <w:r w:rsidR="002630C4">
              <w:rPr>
                <w:rFonts w:ascii="Times New Roman" w:hAnsi="Times New Roman" w:cs="Times New Roman"/>
              </w:rPr>
              <w:t>.</w:t>
            </w:r>
            <w:r w:rsidR="00514FB3">
              <w:rPr>
                <w:rFonts w:ascii="Times New Roman" w:hAnsi="Times New Roman" w:cs="Times New Roman"/>
              </w:rPr>
              <w:t xml:space="preserve"> Two presentations will be made. The Department will provide the contextual background and SEFA will clarify technical issues.</w:t>
            </w:r>
          </w:p>
          <w:p w:rsidR="00C12B4D" w:rsidRPr="006B3A91" w:rsidRDefault="00C12B4D" w:rsidP="00C12B4D">
            <w:pPr>
              <w:ind w:right="175"/>
              <w:jc w:val="both"/>
              <w:rPr>
                <w:rFonts w:ascii="Times New Roman" w:hAnsi="Times New Roman" w:cs="Times New Roman"/>
                <w:b/>
              </w:rPr>
            </w:pPr>
          </w:p>
        </w:tc>
      </w:tr>
      <w:tr w:rsidR="00D85A3F" w:rsidRPr="006B3A91" w:rsidTr="007B1A44">
        <w:tc>
          <w:tcPr>
            <w:tcW w:w="9067" w:type="dxa"/>
          </w:tcPr>
          <w:p w:rsidR="00D85A3F" w:rsidRPr="006B3A91" w:rsidRDefault="007B1A44" w:rsidP="00D85A3F">
            <w:pPr>
              <w:ind w:right="175"/>
              <w:jc w:val="both"/>
              <w:rPr>
                <w:rFonts w:ascii="Times New Roman" w:hAnsi="Times New Roman" w:cs="Times New Roman"/>
                <w:b/>
              </w:rPr>
            </w:pPr>
            <w:r>
              <w:rPr>
                <w:rFonts w:ascii="Times New Roman" w:hAnsi="Times New Roman" w:cs="Times New Roman"/>
                <w:b/>
              </w:rPr>
              <w:t>Policy and strategic issues</w:t>
            </w:r>
          </w:p>
          <w:p w:rsidR="004577D9" w:rsidRPr="006B3A91" w:rsidRDefault="004577D9" w:rsidP="00D85A3F">
            <w:pPr>
              <w:ind w:right="175"/>
              <w:jc w:val="both"/>
              <w:rPr>
                <w:rFonts w:ascii="Times New Roman" w:hAnsi="Times New Roman" w:cs="Times New Roman"/>
              </w:rPr>
            </w:pPr>
          </w:p>
          <w:p w:rsidR="00D85A3F" w:rsidRDefault="001176CE" w:rsidP="00D85A3F">
            <w:pPr>
              <w:ind w:right="175"/>
              <w:jc w:val="both"/>
              <w:rPr>
                <w:rFonts w:ascii="Times New Roman" w:hAnsi="Times New Roman" w:cs="Times New Roman"/>
              </w:rPr>
            </w:pPr>
            <w:r>
              <w:rPr>
                <w:rFonts w:ascii="Times New Roman" w:hAnsi="Times New Roman" w:cs="Times New Roman"/>
              </w:rPr>
              <w:t>The Committee may</w:t>
            </w:r>
            <w:r w:rsidR="004577D9" w:rsidRPr="006B3A91">
              <w:rPr>
                <w:rFonts w:ascii="Times New Roman" w:hAnsi="Times New Roman" w:cs="Times New Roman"/>
              </w:rPr>
              <w:t xml:space="preserve"> engage </w:t>
            </w:r>
            <w:r w:rsidR="00514FB3">
              <w:rPr>
                <w:rFonts w:ascii="Times New Roman" w:hAnsi="Times New Roman" w:cs="Times New Roman"/>
              </w:rPr>
              <w:t xml:space="preserve">the Department and SEFA </w:t>
            </w:r>
            <w:r w:rsidR="004577D9" w:rsidRPr="006B3A91">
              <w:rPr>
                <w:rFonts w:ascii="Times New Roman" w:hAnsi="Times New Roman" w:cs="Times New Roman"/>
              </w:rPr>
              <w:t>on the following issues:</w:t>
            </w:r>
          </w:p>
          <w:p w:rsidR="007B1A44" w:rsidRDefault="007B1A44" w:rsidP="007B1A44">
            <w:pPr>
              <w:jc w:val="both"/>
              <w:rPr>
                <w:rFonts w:ascii="Times New Roman" w:hAnsi="Times New Roman" w:cs="Times New Roman"/>
                <w:sz w:val="24"/>
                <w:szCs w:val="24"/>
              </w:rPr>
            </w:pPr>
          </w:p>
          <w:p w:rsidR="007B1A44" w:rsidRPr="007B1A44" w:rsidRDefault="0018351C" w:rsidP="00D86DBD">
            <w:pPr>
              <w:pStyle w:val="ListParagraph"/>
              <w:numPr>
                <w:ilvl w:val="0"/>
                <w:numId w:val="3"/>
              </w:numPr>
              <w:ind w:left="598" w:hanging="567"/>
              <w:jc w:val="both"/>
              <w:rPr>
                <w:rFonts w:ascii="Times New Roman" w:hAnsi="Times New Roman" w:cs="Times New Roman"/>
                <w:b/>
                <w:sz w:val="24"/>
                <w:szCs w:val="24"/>
              </w:rPr>
            </w:pPr>
            <w:r>
              <w:rPr>
                <w:rFonts w:ascii="Times New Roman" w:hAnsi="Times New Roman" w:cs="Times New Roman"/>
                <w:b/>
                <w:sz w:val="24"/>
                <w:szCs w:val="24"/>
              </w:rPr>
              <w:t>Bias towards</w:t>
            </w:r>
            <w:r w:rsidR="00514FB3">
              <w:rPr>
                <w:rFonts w:ascii="Times New Roman" w:hAnsi="Times New Roman" w:cs="Times New Roman"/>
                <w:b/>
                <w:sz w:val="24"/>
                <w:szCs w:val="24"/>
              </w:rPr>
              <w:t xml:space="preserve"> VTSDs</w:t>
            </w:r>
          </w:p>
          <w:p w:rsidR="003644F2" w:rsidRPr="003644F2" w:rsidRDefault="00514FB3" w:rsidP="003644F2">
            <w:pPr>
              <w:jc w:val="both"/>
              <w:rPr>
                <w:rFonts w:ascii="Times New Roman" w:hAnsi="Times New Roman" w:cs="Times New Roman"/>
                <w:sz w:val="24"/>
                <w:szCs w:val="24"/>
              </w:rPr>
            </w:pPr>
            <w:r w:rsidRPr="003644F2">
              <w:rPr>
                <w:rFonts w:ascii="Times New Roman" w:hAnsi="Times New Roman" w:cs="Times New Roman"/>
                <w:sz w:val="24"/>
                <w:szCs w:val="24"/>
              </w:rPr>
              <w:t>Central to the approach of the Committee is tourism transformation with a bias to</w:t>
            </w:r>
            <w:r w:rsidR="0018351C">
              <w:rPr>
                <w:rFonts w:ascii="Times New Roman" w:hAnsi="Times New Roman" w:cs="Times New Roman"/>
                <w:sz w:val="24"/>
                <w:szCs w:val="24"/>
              </w:rPr>
              <w:t>wards</w:t>
            </w:r>
            <w:r w:rsidRPr="003644F2">
              <w:rPr>
                <w:rFonts w:ascii="Times New Roman" w:hAnsi="Times New Roman" w:cs="Times New Roman"/>
                <w:sz w:val="24"/>
                <w:szCs w:val="24"/>
              </w:rPr>
              <w:t xml:space="preserve"> the Villages, Townships and Small Dorpies</w:t>
            </w:r>
            <w:r w:rsidR="003644F2">
              <w:rPr>
                <w:rFonts w:ascii="Times New Roman" w:hAnsi="Times New Roman" w:cs="Times New Roman"/>
                <w:sz w:val="24"/>
                <w:szCs w:val="24"/>
              </w:rPr>
              <w:t xml:space="preserve"> (VTSDs)</w:t>
            </w:r>
            <w:r w:rsidRPr="003644F2">
              <w:rPr>
                <w:rFonts w:ascii="Times New Roman" w:hAnsi="Times New Roman" w:cs="Times New Roman"/>
                <w:sz w:val="24"/>
                <w:szCs w:val="24"/>
              </w:rPr>
              <w:t>. The presentation by the Department mentions this inclination</w:t>
            </w:r>
            <w:r w:rsidR="0018351C">
              <w:rPr>
                <w:rFonts w:ascii="Times New Roman" w:hAnsi="Times New Roman" w:cs="Times New Roman"/>
                <w:sz w:val="24"/>
                <w:szCs w:val="24"/>
              </w:rPr>
              <w:t xml:space="preserve">, albeit </w:t>
            </w:r>
            <w:r w:rsidRPr="003644F2">
              <w:rPr>
                <w:rFonts w:ascii="Times New Roman" w:hAnsi="Times New Roman" w:cs="Times New Roman"/>
                <w:sz w:val="24"/>
                <w:szCs w:val="24"/>
              </w:rPr>
              <w:t xml:space="preserve">without any details. The technical presentation by SEFA is </w:t>
            </w:r>
            <w:r w:rsidR="0018351C">
              <w:rPr>
                <w:rFonts w:ascii="Times New Roman" w:hAnsi="Times New Roman" w:cs="Times New Roman"/>
                <w:sz w:val="24"/>
                <w:szCs w:val="24"/>
              </w:rPr>
              <w:t xml:space="preserve">totally </w:t>
            </w:r>
            <w:r w:rsidRPr="003644F2">
              <w:rPr>
                <w:rFonts w:ascii="Times New Roman" w:hAnsi="Times New Roman" w:cs="Times New Roman"/>
                <w:sz w:val="24"/>
                <w:szCs w:val="24"/>
              </w:rPr>
              <w:t>silent on this matter. The qualifying criteria, funding r</w:t>
            </w:r>
            <w:r w:rsidR="003644F2" w:rsidRPr="003644F2">
              <w:rPr>
                <w:rFonts w:ascii="Times New Roman" w:hAnsi="Times New Roman" w:cs="Times New Roman"/>
                <w:sz w:val="24"/>
                <w:szCs w:val="24"/>
              </w:rPr>
              <w:t xml:space="preserve">equirements </w:t>
            </w:r>
            <w:r w:rsidRPr="003644F2">
              <w:rPr>
                <w:rFonts w:ascii="Times New Roman" w:hAnsi="Times New Roman" w:cs="Times New Roman"/>
                <w:sz w:val="24"/>
                <w:szCs w:val="24"/>
              </w:rPr>
              <w:t>and a</w:t>
            </w:r>
            <w:r w:rsidR="003644F2" w:rsidRPr="003644F2">
              <w:rPr>
                <w:rFonts w:ascii="Times New Roman" w:hAnsi="Times New Roman" w:cs="Times New Roman"/>
                <w:sz w:val="24"/>
                <w:szCs w:val="24"/>
              </w:rPr>
              <w:t>pplicatio</w:t>
            </w:r>
            <w:r w:rsidRPr="003644F2">
              <w:rPr>
                <w:rFonts w:ascii="Times New Roman" w:hAnsi="Times New Roman" w:cs="Times New Roman"/>
                <w:sz w:val="24"/>
                <w:szCs w:val="24"/>
              </w:rPr>
              <w:t>n p</w:t>
            </w:r>
            <w:r w:rsidR="003644F2" w:rsidRPr="003644F2">
              <w:rPr>
                <w:rFonts w:ascii="Times New Roman" w:hAnsi="Times New Roman" w:cs="Times New Roman"/>
                <w:sz w:val="24"/>
                <w:szCs w:val="24"/>
              </w:rPr>
              <w:t>rocess</w:t>
            </w:r>
            <w:r w:rsidRPr="003644F2">
              <w:rPr>
                <w:rFonts w:ascii="Times New Roman" w:hAnsi="Times New Roman" w:cs="Times New Roman"/>
                <w:sz w:val="24"/>
                <w:szCs w:val="24"/>
              </w:rPr>
              <w:t xml:space="preserve"> do not provide any information on how he TEF will prioritise </w:t>
            </w:r>
            <w:r w:rsidR="003644F2" w:rsidRPr="003644F2">
              <w:rPr>
                <w:rFonts w:ascii="Times New Roman" w:hAnsi="Times New Roman" w:cs="Times New Roman"/>
                <w:sz w:val="24"/>
                <w:szCs w:val="24"/>
              </w:rPr>
              <w:t>emerging enterprises from these designated areas. The Committee should solicit clarity oh how the TEF will benefit the VTSDs.</w:t>
            </w:r>
          </w:p>
          <w:p w:rsidR="00514FB3" w:rsidRDefault="00514FB3" w:rsidP="007B1A44">
            <w:pPr>
              <w:jc w:val="both"/>
              <w:rPr>
                <w:rFonts w:ascii="Times New Roman" w:hAnsi="Times New Roman" w:cs="Times New Roman"/>
                <w:sz w:val="24"/>
                <w:szCs w:val="24"/>
              </w:rPr>
            </w:pPr>
          </w:p>
          <w:p w:rsidR="007B1A44" w:rsidRPr="007B1A44" w:rsidRDefault="003644F2" w:rsidP="00D86DBD">
            <w:pPr>
              <w:pStyle w:val="ListParagraph"/>
              <w:numPr>
                <w:ilvl w:val="0"/>
                <w:numId w:val="3"/>
              </w:numPr>
              <w:ind w:left="597" w:hanging="597"/>
              <w:jc w:val="both"/>
              <w:rPr>
                <w:rFonts w:ascii="Times New Roman" w:hAnsi="Times New Roman" w:cs="Times New Roman"/>
                <w:b/>
                <w:sz w:val="24"/>
                <w:szCs w:val="24"/>
              </w:rPr>
            </w:pPr>
            <w:r>
              <w:rPr>
                <w:rFonts w:ascii="Times New Roman" w:hAnsi="Times New Roman" w:cs="Times New Roman"/>
                <w:b/>
                <w:sz w:val="24"/>
                <w:szCs w:val="24"/>
              </w:rPr>
              <w:t>Indebtedness to the banks</w:t>
            </w:r>
          </w:p>
          <w:p w:rsidR="00604AC0" w:rsidRDefault="003644F2" w:rsidP="007B1A44">
            <w:pPr>
              <w:jc w:val="both"/>
              <w:rPr>
                <w:rFonts w:ascii="Times New Roman" w:hAnsi="Times New Roman" w:cs="Times New Roman"/>
                <w:sz w:val="24"/>
                <w:szCs w:val="24"/>
                <w:lang w:val="en-US"/>
              </w:rPr>
            </w:pPr>
            <w:r>
              <w:rPr>
                <w:rFonts w:ascii="Times New Roman" w:hAnsi="Times New Roman" w:cs="Times New Roman"/>
                <w:sz w:val="24"/>
                <w:szCs w:val="24"/>
                <w:lang w:val="en-US"/>
              </w:rPr>
              <w:t>The TEF has a grant and a loan element. Given the current economic situation and slump in the tourism economy, some beneficiaries might struggle to repay the loan element. This is a possible risk, particularly for the enterprises in the VTSDs. The Department and SEFA should explicitly outline the process to be followed when beneficiaries default on loan repayments. This is important to avoid a possibility of the banks repossessing properties that have been partly funded through tax payers’ money.</w:t>
            </w:r>
          </w:p>
          <w:p w:rsidR="003644F2" w:rsidRDefault="003644F2" w:rsidP="007B1A44">
            <w:pPr>
              <w:jc w:val="both"/>
              <w:rPr>
                <w:rFonts w:ascii="Times New Roman" w:hAnsi="Times New Roman" w:cs="Times New Roman"/>
                <w:sz w:val="24"/>
                <w:szCs w:val="24"/>
                <w:lang w:val="en-US"/>
              </w:rPr>
            </w:pPr>
          </w:p>
          <w:p w:rsidR="007B1A44" w:rsidRPr="007B1A44" w:rsidRDefault="003644F2" w:rsidP="00D86DBD">
            <w:pPr>
              <w:pStyle w:val="ListParagraph"/>
              <w:numPr>
                <w:ilvl w:val="0"/>
                <w:numId w:val="3"/>
              </w:numPr>
              <w:ind w:left="598" w:right="175" w:hanging="598"/>
              <w:jc w:val="both"/>
              <w:rPr>
                <w:rFonts w:ascii="Times New Roman" w:hAnsi="Times New Roman" w:cs="Times New Roman"/>
                <w:b/>
              </w:rPr>
            </w:pPr>
            <w:r>
              <w:rPr>
                <w:rFonts w:ascii="Times New Roman" w:hAnsi="Times New Roman" w:cs="Times New Roman"/>
                <w:b/>
              </w:rPr>
              <w:t>Implementation and oversight</w:t>
            </w:r>
          </w:p>
          <w:p w:rsidR="004A7F39" w:rsidRDefault="0018351C" w:rsidP="007B1A44">
            <w:pPr>
              <w:ind w:right="175"/>
              <w:jc w:val="both"/>
              <w:rPr>
                <w:rFonts w:ascii="Times New Roman" w:hAnsi="Times New Roman" w:cs="Times New Roman"/>
              </w:rPr>
            </w:pPr>
            <w:r>
              <w:rPr>
                <w:rFonts w:ascii="Times New Roman" w:hAnsi="Times New Roman" w:cs="Times New Roman"/>
              </w:rPr>
              <w:t>Some of t</w:t>
            </w:r>
            <w:r w:rsidR="003644F2">
              <w:rPr>
                <w:rFonts w:ascii="Times New Roman" w:hAnsi="Times New Roman" w:cs="Times New Roman"/>
              </w:rPr>
              <w:t xml:space="preserve">he qualifying criteria by SEFA seem to </w:t>
            </w:r>
            <w:r>
              <w:rPr>
                <w:rFonts w:ascii="Times New Roman" w:hAnsi="Times New Roman" w:cs="Times New Roman"/>
              </w:rPr>
              <w:t>be designed for</w:t>
            </w:r>
            <w:r w:rsidR="004A7F39">
              <w:rPr>
                <w:rFonts w:ascii="Times New Roman" w:hAnsi="Times New Roman" w:cs="Times New Roman"/>
              </w:rPr>
              <w:t xml:space="preserve"> a normal funding facility that is not earmarked for transformation. The Committee should get clarity on the oversight role to be played by the Department in ensuring that government priorities are achieved</w:t>
            </w:r>
            <w:r>
              <w:rPr>
                <w:rFonts w:ascii="Times New Roman" w:hAnsi="Times New Roman" w:cs="Times New Roman"/>
              </w:rPr>
              <w:t>, especially transformation</w:t>
            </w:r>
            <w:r w:rsidR="004A7F39">
              <w:rPr>
                <w:rFonts w:ascii="Times New Roman" w:hAnsi="Times New Roman" w:cs="Times New Roman"/>
              </w:rPr>
              <w:t xml:space="preserve">. </w:t>
            </w:r>
          </w:p>
          <w:p w:rsidR="004A7F39" w:rsidRDefault="004A7F39" w:rsidP="007B1A44">
            <w:pPr>
              <w:ind w:right="175"/>
              <w:jc w:val="both"/>
              <w:rPr>
                <w:rFonts w:ascii="Times New Roman" w:hAnsi="Times New Roman" w:cs="Times New Roman"/>
              </w:rPr>
            </w:pPr>
          </w:p>
          <w:p w:rsidR="004A7F39" w:rsidRPr="004A7F39" w:rsidRDefault="004A7F39" w:rsidP="004A7F39">
            <w:pPr>
              <w:pStyle w:val="ListParagraph"/>
              <w:numPr>
                <w:ilvl w:val="0"/>
                <w:numId w:val="3"/>
              </w:numPr>
              <w:ind w:right="175"/>
              <w:jc w:val="both"/>
              <w:rPr>
                <w:rFonts w:ascii="Times New Roman" w:hAnsi="Times New Roman" w:cs="Times New Roman"/>
                <w:b/>
              </w:rPr>
            </w:pPr>
            <w:r w:rsidRPr="004A7F39">
              <w:rPr>
                <w:rFonts w:ascii="Times New Roman" w:hAnsi="Times New Roman" w:cs="Times New Roman"/>
                <w:b/>
              </w:rPr>
              <w:t>Assistance with qualifying criteria</w:t>
            </w:r>
          </w:p>
          <w:p w:rsidR="002630C4" w:rsidRDefault="004A7F39" w:rsidP="007B1A44">
            <w:pPr>
              <w:ind w:right="175"/>
              <w:jc w:val="both"/>
              <w:rPr>
                <w:rFonts w:ascii="Times New Roman" w:hAnsi="Times New Roman" w:cs="Times New Roman"/>
              </w:rPr>
            </w:pPr>
            <w:r>
              <w:rPr>
                <w:rFonts w:ascii="Times New Roman" w:hAnsi="Times New Roman" w:cs="Times New Roman"/>
              </w:rPr>
              <w:t xml:space="preserve">The Committee would note that there has been a slow uptake for a number of government funding facilities due to non-compliance with the qualifying criteria. This is true for departmental programmes, including the Tourism Transformation Fund. The Department should also clarify how they will assist prospective applicants to qualify instead of rejecting them out of hand due to non-compliance with the qualifying criteria. Assistance by the Department will ensure a high uptake </w:t>
            </w:r>
            <w:r>
              <w:rPr>
                <w:rFonts w:ascii="Times New Roman" w:hAnsi="Times New Roman" w:cs="Times New Roman"/>
              </w:rPr>
              <w:lastRenderedPageBreak/>
              <w:t>level of the TEF.</w:t>
            </w:r>
            <w:r w:rsidR="0018351C">
              <w:rPr>
                <w:rFonts w:ascii="Times New Roman" w:hAnsi="Times New Roman" w:cs="Times New Roman"/>
              </w:rPr>
              <w:t xml:space="preserve"> The presentation alludes to the Technical Committee that will be set up by the Department. More details are needed.</w:t>
            </w:r>
          </w:p>
          <w:p w:rsidR="003644F2" w:rsidRDefault="003644F2" w:rsidP="007B1A44">
            <w:pPr>
              <w:ind w:right="175"/>
              <w:jc w:val="both"/>
              <w:rPr>
                <w:rFonts w:ascii="Times New Roman" w:hAnsi="Times New Roman" w:cs="Times New Roman"/>
              </w:rPr>
            </w:pPr>
          </w:p>
          <w:p w:rsidR="002630C4" w:rsidRPr="002630C4" w:rsidRDefault="004A7F39" w:rsidP="00D86DBD">
            <w:pPr>
              <w:pStyle w:val="ListParagraph"/>
              <w:numPr>
                <w:ilvl w:val="0"/>
                <w:numId w:val="3"/>
              </w:numPr>
              <w:ind w:left="596" w:right="175" w:hanging="596"/>
              <w:jc w:val="both"/>
              <w:rPr>
                <w:rFonts w:ascii="Times New Roman" w:hAnsi="Times New Roman" w:cs="Times New Roman"/>
                <w:b/>
              </w:rPr>
            </w:pPr>
            <w:r>
              <w:rPr>
                <w:rFonts w:ascii="Times New Roman" w:hAnsi="Times New Roman" w:cs="Times New Roman"/>
                <w:b/>
              </w:rPr>
              <w:t>Continuation of a gap with funding start-up businesses</w:t>
            </w:r>
          </w:p>
          <w:p w:rsidR="00282D92" w:rsidRPr="00282D92" w:rsidRDefault="00282D92" w:rsidP="002630C4">
            <w:pPr>
              <w:ind w:right="175"/>
              <w:jc w:val="both"/>
              <w:rPr>
                <w:rFonts w:ascii="Times New Roman" w:hAnsi="Times New Roman" w:cs="Times New Roman"/>
                <w:sz w:val="24"/>
                <w:szCs w:val="24"/>
              </w:rPr>
            </w:pPr>
            <w:r w:rsidRPr="00282D92">
              <w:rPr>
                <w:rFonts w:ascii="Times New Roman" w:hAnsi="Times New Roman" w:cs="Times New Roman"/>
                <w:sz w:val="24"/>
                <w:szCs w:val="24"/>
              </w:rPr>
              <w:t xml:space="preserve">The </w:t>
            </w:r>
            <w:r>
              <w:rPr>
                <w:rFonts w:ascii="Times New Roman" w:hAnsi="Times New Roman" w:cs="Times New Roman"/>
                <w:sz w:val="24"/>
                <w:szCs w:val="24"/>
              </w:rPr>
              <w:t>TEF seems to be geared towards tourism business expansion as compared to start-ups. This perpetuates the challenge of difficulty to enter the tourism industry as experienced mainly by the aspirant tourism entrepreneurs in the VTSDs. The Department should clarify what is being planned to pl</w:t>
            </w:r>
            <w:r w:rsidR="0018351C">
              <w:rPr>
                <w:rFonts w:ascii="Times New Roman" w:hAnsi="Times New Roman" w:cs="Times New Roman"/>
                <w:sz w:val="24"/>
                <w:szCs w:val="24"/>
              </w:rPr>
              <w:t>ug the gap in tourism business</w:t>
            </w:r>
            <w:r>
              <w:rPr>
                <w:rFonts w:ascii="Times New Roman" w:hAnsi="Times New Roman" w:cs="Times New Roman"/>
                <w:sz w:val="24"/>
                <w:szCs w:val="24"/>
              </w:rPr>
              <w:t xml:space="preserve"> start-ups. If the tourism start-ups continue to be neglected, the rate of transformation </w:t>
            </w:r>
            <w:r w:rsidR="00641F24">
              <w:rPr>
                <w:rFonts w:ascii="Times New Roman" w:hAnsi="Times New Roman" w:cs="Times New Roman"/>
                <w:sz w:val="24"/>
                <w:szCs w:val="24"/>
              </w:rPr>
              <w:t>in the sector will continue to be</w:t>
            </w:r>
            <w:r>
              <w:rPr>
                <w:rFonts w:ascii="Times New Roman" w:hAnsi="Times New Roman" w:cs="Times New Roman"/>
                <w:sz w:val="24"/>
                <w:szCs w:val="24"/>
              </w:rPr>
              <w:t xml:space="preserve"> pedantic.</w:t>
            </w:r>
          </w:p>
          <w:p w:rsidR="002630C4" w:rsidRDefault="002630C4" w:rsidP="002630C4">
            <w:pPr>
              <w:ind w:right="175"/>
              <w:jc w:val="both"/>
              <w:rPr>
                <w:rFonts w:ascii="Times New Roman" w:hAnsi="Times New Roman" w:cs="Times New Roman"/>
                <w:b/>
                <w:sz w:val="24"/>
                <w:szCs w:val="24"/>
              </w:rPr>
            </w:pPr>
            <w:r w:rsidRPr="00282D92">
              <w:rPr>
                <w:rFonts w:ascii="Times New Roman" w:hAnsi="Times New Roman" w:cs="Times New Roman"/>
                <w:sz w:val="24"/>
                <w:szCs w:val="24"/>
              </w:rPr>
              <w:t xml:space="preserve"> </w:t>
            </w:r>
          </w:p>
          <w:p w:rsidR="00D03D1D" w:rsidRPr="002630C4" w:rsidRDefault="00282D92" w:rsidP="00D86DBD">
            <w:pPr>
              <w:pStyle w:val="ListParagraph"/>
              <w:numPr>
                <w:ilvl w:val="0"/>
                <w:numId w:val="3"/>
              </w:numPr>
              <w:ind w:left="596" w:right="175" w:hanging="596"/>
              <w:jc w:val="both"/>
              <w:rPr>
                <w:rFonts w:ascii="Times New Roman" w:hAnsi="Times New Roman" w:cs="Times New Roman"/>
                <w:b/>
              </w:rPr>
            </w:pPr>
            <w:r>
              <w:rPr>
                <w:rFonts w:ascii="Times New Roman" w:hAnsi="Times New Roman" w:cs="Times New Roman"/>
                <w:b/>
              </w:rPr>
              <w:t>Threat for litigation</w:t>
            </w:r>
          </w:p>
          <w:p w:rsidR="002630C4" w:rsidRDefault="00282D92" w:rsidP="002630C4">
            <w:pPr>
              <w:ind w:right="175"/>
              <w:jc w:val="both"/>
              <w:rPr>
                <w:rFonts w:ascii="Times New Roman" w:hAnsi="Times New Roman" w:cs="Times New Roman"/>
              </w:rPr>
            </w:pPr>
            <w:r>
              <w:rPr>
                <w:rFonts w:ascii="Times New Roman" w:hAnsi="Times New Roman" w:cs="Times New Roman"/>
              </w:rPr>
              <w:t xml:space="preserve">It is reported that the Minister of Tourism has suspended the implementation of the Tourism Equity Fund </w:t>
            </w:r>
            <w:r w:rsidR="00641F24">
              <w:rPr>
                <w:rFonts w:ascii="Times New Roman" w:hAnsi="Times New Roman" w:cs="Times New Roman"/>
              </w:rPr>
              <w:t xml:space="preserve">as a response </w:t>
            </w:r>
            <w:r>
              <w:rPr>
                <w:rFonts w:ascii="Times New Roman" w:hAnsi="Times New Roman" w:cs="Times New Roman"/>
              </w:rPr>
              <w:t>to a threat of a legal action</w:t>
            </w:r>
            <w:r w:rsidR="004C20F5">
              <w:rPr>
                <w:rFonts w:ascii="Times New Roman" w:hAnsi="Times New Roman" w:cs="Times New Roman"/>
              </w:rPr>
              <w:t xml:space="preserve"> from two civil organisations</w:t>
            </w:r>
            <w:r>
              <w:rPr>
                <w:rFonts w:ascii="Times New Roman" w:hAnsi="Times New Roman" w:cs="Times New Roman"/>
              </w:rPr>
              <w:t xml:space="preserve">. </w:t>
            </w:r>
            <w:r w:rsidR="004C20F5">
              <w:rPr>
                <w:rFonts w:ascii="Times New Roman" w:hAnsi="Times New Roman" w:cs="Times New Roman"/>
              </w:rPr>
              <w:t>The reports indicate that the Afrikaner rights groups AfriForum and the trade union, Solidarity, wrote to the Minister of Tourism threatening legal action on the basis of what they term the “racist” criteria for the fund. Both groups are concerned that the TEF is “exclusive on the basis of rac</w:t>
            </w:r>
            <w:r w:rsidR="00641F24">
              <w:rPr>
                <w:rFonts w:ascii="Times New Roman" w:hAnsi="Times New Roman" w:cs="Times New Roman"/>
              </w:rPr>
              <w:t>e, and discriminates without any</w:t>
            </w:r>
            <w:r w:rsidR="004C20F5">
              <w:rPr>
                <w:rFonts w:ascii="Times New Roman" w:hAnsi="Times New Roman" w:cs="Times New Roman"/>
              </w:rPr>
              <w:t xml:space="preserve"> legal or justifiable basis”. This is </w:t>
            </w:r>
            <w:r w:rsidR="00641F24">
              <w:rPr>
                <w:rFonts w:ascii="Times New Roman" w:hAnsi="Times New Roman" w:cs="Times New Roman"/>
              </w:rPr>
              <w:t xml:space="preserve">their response </w:t>
            </w:r>
            <w:r w:rsidR="004C20F5">
              <w:rPr>
                <w:rFonts w:ascii="Times New Roman" w:hAnsi="Times New Roman" w:cs="Times New Roman"/>
              </w:rPr>
              <w:t>to the 51 percent black-owner/managed qualification criterion of the fund.</w:t>
            </w:r>
          </w:p>
          <w:p w:rsidR="004C20F5" w:rsidRDefault="004C20F5" w:rsidP="002630C4">
            <w:pPr>
              <w:ind w:right="175"/>
              <w:jc w:val="both"/>
              <w:rPr>
                <w:rFonts w:ascii="Times New Roman" w:hAnsi="Times New Roman" w:cs="Times New Roman"/>
              </w:rPr>
            </w:pPr>
          </w:p>
          <w:p w:rsidR="004C20F5" w:rsidRDefault="004C20F5" w:rsidP="002630C4">
            <w:pPr>
              <w:ind w:right="175"/>
              <w:jc w:val="both"/>
              <w:rPr>
                <w:rFonts w:ascii="Times New Roman" w:hAnsi="Times New Roman" w:cs="Times New Roman"/>
              </w:rPr>
            </w:pPr>
            <w:r>
              <w:rPr>
                <w:rFonts w:ascii="Times New Roman" w:hAnsi="Times New Roman" w:cs="Times New Roman"/>
              </w:rPr>
              <w:t>This is the second instance that the</w:t>
            </w:r>
            <w:r w:rsidR="003E26C7">
              <w:rPr>
                <w:rFonts w:ascii="Times New Roman" w:hAnsi="Times New Roman" w:cs="Times New Roman"/>
              </w:rPr>
              <w:t>se</w:t>
            </w:r>
            <w:r>
              <w:rPr>
                <w:rFonts w:ascii="Times New Roman" w:hAnsi="Times New Roman" w:cs="Times New Roman"/>
              </w:rPr>
              <w:t xml:space="preserve"> two </w:t>
            </w:r>
            <w:r w:rsidR="003E26C7">
              <w:rPr>
                <w:rFonts w:ascii="Times New Roman" w:hAnsi="Times New Roman" w:cs="Times New Roman"/>
              </w:rPr>
              <w:t xml:space="preserve">organisations </w:t>
            </w:r>
            <w:r>
              <w:rPr>
                <w:rFonts w:ascii="Times New Roman" w:hAnsi="Times New Roman" w:cs="Times New Roman"/>
              </w:rPr>
              <w:t>have taken the Minister of Tou</w:t>
            </w:r>
            <w:r w:rsidR="00641F24">
              <w:rPr>
                <w:rFonts w:ascii="Times New Roman" w:hAnsi="Times New Roman" w:cs="Times New Roman"/>
              </w:rPr>
              <w:t>rism to court. The Committee would</w:t>
            </w:r>
            <w:r>
              <w:rPr>
                <w:rFonts w:ascii="Times New Roman" w:hAnsi="Times New Roman" w:cs="Times New Roman"/>
              </w:rPr>
              <w:t xml:space="preserve"> recall that a legal action was taken against the Minister in April 2020 when the Tourism Relief Fund was introduced to c</w:t>
            </w:r>
            <w:r w:rsidR="003E26C7">
              <w:rPr>
                <w:rFonts w:ascii="Times New Roman" w:hAnsi="Times New Roman" w:cs="Times New Roman"/>
              </w:rPr>
              <w:t>ushion the tourism sector from the effects of COVID-19. The outcome of that litigation was that the Constitutional Court upheld the Judge Kollapen that “At the level of principle it can hardly be contended that the minister acted outside of her powers …”</w:t>
            </w:r>
          </w:p>
          <w:p w:rsidR="003E26C7" w:rsidRDefault="003E26C7" w:rsidP="002630C4">
            <w:pPr>
              <w:ind w:right="175"/>
              <w:jc w:val="both"/>
              <w:rPr>
                <w:rFonts w:ascii="Times New Roman" w:hAnsi="Times New Roman" w:cs="Times New Roman"/>
              </w:rPr>
            </w:pPr>
          </w:p>
          <w:p w:rsidR="003E26C7" w:rsidRDefault="003E26C7" w:rsidP="002630C4">
            <w:pPr>
              <w:ind w:right="175"/>
              <w:jc w:val="both"/>
              <w:rPr>
                <w:rFonts w:ascii="Times New Roman" w:hAnsi="Times New Roman" w:cs="Times New Roman"/>
              </w:rPr>
            </w:pPr>
            <w:r>
              <w:rPr>
                <w:rFonts w:ascii="Times New Roman" w:hAnsi="Times New Roman" w:cs="Times New Roman"/>
              </w:rPr>
              <w:t>The Minister should take the Committee into confidence about the details of the threat of legal action by these two organisations. The Minister should update the Committee about her discussions with the two organisations and the possible delays to the implementation of the TEF should the litigation go ahead.</w:t>
            </w:r>
          </w:p>
          <w:p w:rsidR="00282D92" w:rsidRDefault="00282D92" w:rsidP="002630C4">
            <w:pPr>
              <w:ind w:right="175"/>
              <w:jc w:val="both"/>
              <w:rPr>
                <w:rFonts w:ascii="Times New Roman" w:hAnsi="Times New Roman" w:cs="Times New Roman"/>
              </w:rPr>
            </w:pPr>
          </w:p>
          <w:p w:rsidR="00282D92" w:rsidRDefault="00282D92" w:rsidP="002630C4">
            <w:pPr>
              <w:ind w:right="175"/>
              <w:jc w:val="both"/>
              <w:rPr>
                <w:rFonts w:ascii="Times New Roman" w:hAnsi="Times New Roman" w:cs="Times New Roman"/>
              </w:rPr>
            </w:pPr>
          </w:p>
          <w:p w:rsidR="002630C4" w:rsidRPr="002630C4" w:rsidRDefault="00A80ABF" w:rsidP="00D86DBD">
            <w:pPr>
              <w:pStyle w:val="ListParagraph"/>
              <w:numPr>
                <w:ilvl w:val="0"/>
                <w:numId w:val="3"/>
              </w:numPr>
              <w:ind w:left="596" w:right="175" w:hanging="596"/>
              <w:jc w:val="both"/>
              <w:rPr>
                <w:rFonts w:ascii="Times New Roman" w:hAnsi="Times New Roman" w:cs="Times New Roman"/>
                <w:b/>
              </w:rPr>
            </w:pPr>
            <w:r>
              <w:rPr>
                <w:rFonts w:ascii="Times New Roman" w:hAnsi="Times New Roman" w:cs="Times New Roman"/>
                <w:b/>
              </w:rPr>
              <w:t>The possible challenge with the grant and SEFA loan</w:t>
            </w:r>
          </w:p>
          <w:p w:rsidR="002630C4" w:rsidRDefault="002630C4" w:rsidP="002630C4">
            <w:pPr>
              <w:ind w:right="175"/>
              <w:jc w:val="both"/>
              <w:rPr>
                <w:rFonts w:ascii="Times New Roman" w:hAnsi="Times New Roman" w:cs="Times New Roman"/>
                <w:lang w:val="en"/>
              </w:rPr>
            </w:pPr>
          </w:p>
          <w:p w:rsidR="00A80ABF" w:rsidRDefault="00A80ABF" w:rsidP="002630C4">
            <w:pPr>
              <w:ind w:right="175"/>
              <w:jc w:val="both"/>
              <w:rPr>
                <w:rFonts w:ascii="Times New Roman" w:hAnsi="Times New Roman" w:cs="Times New Roman"/>
                <w:lang w:val="en"/>
              </w:rPr>
            </w:pPr>
            <w:r>
              <w:rPr>
                <w:rFonts w:ascii="Times New Roman" w:hAnsi="Times New Roman" w:cs="Times New Roman"/>
                <w:lang w:val="en"/>
              </w:rPr>
              <w:t xml:space="preserve">The Department should provide more clarity on the R20 million grant and the R15 million loan. There is a possible challenge that might be experienced by the applicants based on the cash requirement for the loan. The presentation </w:t>
            </w:r>
            <w:r w:rsidR="00641F24">
              <w:rPr>
                <w:rFonts w:ascii="Times New Roman" w:hAnsi="Times New Roman" w:cs="Times New Roman"/>
                <w:lang w:val="en"/>
              </w:rPr>
              <w:t xml:space="preserve">alludes </w:t>
            </w:r>
            <w:r>
              <w:rPr>
                <w:rFonts w:ascii="Times New Roman" w:hAnsi="Times New Roman" w:cs="Times New Roman"/>
                <w:lang w:val="en"/>
              </w:rPr>
              <w:t xml:space="preserve">that </w:t>
            </w:r>
            <w:r w:rsidR="00641F24">
              <w:rPr>
                <w:rFonts w:ascii="Times New Roman" w:hAnsi="Times New Roman" w:cs="Times New Roman"/>
                <w:lang w:val="en"/>
              </w:rPr>
              <w:t>t</w:t>
            </w:r>
            <w:r w:rsidRPr="00A80ABF">
              <w:rPr>
                <w:rFonts w:ascii="Times New Roman" w:hAnsi="Times New Roman" w:cs="Times New Roman"/>
                <w:lang w:val="en"/>
              </w:rPr>
              <w:t>he term of the funding will be determined by the business cash flows up to a maximum of 120 months per enterprise with a maximum moratorium of 12 months.</w:t>
            </w:r>
            <w:r>
              <w:rPr>
                <w:rFonts w:ascii="Times New Roman" w:hAnsi="Times New Roman" w:cs="Times New Roman"/>
                <w:lang w:val="en"/>
              </w:rPr>
              <w:t xml:space="preserve"> This might pose a challenge as there has been a slow-down in the tourism industry in the past year due to COVID-19</w:t>
            </w:r>
            <w:r w:rsidR="00641F24">
              <w:rPr>
                <w:rFonts w:ascii="Times New Roman" w:hAnsi="Times New Roman" w:cs="Times New Roman"/>
                <w:lang w:val="en"/>
              </w:rPr>
              <w:t xml:space="preserve"> and other factors before the pandemic, some enterprises might not meet the qualifying criteria</w:t>
            </w:r>
            <w:r>
              <w:rPr>
                <w:rFonts w:ascii="Times New Roman" w:hAnsi="Times New Roman" w:cs="Times New Roman"/>
                <w:lang w:val="en"/>
              </w:rPr>
              <w:t>. The Department and SEFA should indicate how will this requirement take into account the effects of the pandemic</w:t>
            </w:r>
            <w:r w:rsidR="00641F24">
              <w:rPr>
                <w:rFonts w:ascii="Times New Roman" w:hAnsi="Times New Roman" w:cs="Times New Roman"/>
                <w:lang w:val="en"/>
              </w:rPr>
              <w:t xml:space="preserve"> and other teething challenges</w:t>
            </w:r>
            <w:r>
              <w:rPr>
                <w:rFonts w:ascii="Times New Roman" w:hAnsi="Times New Roman" w:cs="Times New Roman"/>
                <w:lang w:val="en"/>
              </w:rPr>
              <w:t xml:space="preserve"> on the cash flow of applicants.</w:t>
            </w:r>
          </w:p>
          <w:p w:rsidR="00A80ABF" w:rsidRDefault="00A80ABF" w:rsidP="002630C4">
            <w:pPr>
              <w:ind w:right="175"/>
              <w:jc w:val="both"/>
              <w:rPr>
                <w:rFonts w:ascii="Times New Roman" w:hAnsi="Times New Roman" w:cs="Times New Roman"/>
                <w:lang w:val="en"/>
              </w:rPr>
            </w:pPr>
          </w:p>
          <w:p w:rsidR="00B70870" w:rsidRPr="007B1A44" w:rsidRDefault="00B70870" w:rsidP="001777B2">
            <w:pPr>
              <w:ind w:right="175"/>
              <w:jc w:val="both"/>
              <w:rPr>
                <w:rFonts w:ascii="Times New Roman" w:hAnsi="Times New Roman" w:cs="Times New Roman"/>
              </w:rPr>
            </w:pPr>
          </w:p>
        </w:tc>
      </w:tr>
      <w:tr w:rsidR="00D85A3F" w:rsidRPr="006B3A91" w:rsidTr="007B1A44">
        <w:tc>
          <w:tcPr>
            <w:tcW w:w="9067" w:type="dxa"/>
          </w:tcPr>
          <w:p w:rsidR="00D85A3F" w:rsidRPr="006B3A91" w:rsidRDefault="00D85A3F" w:rsidP="00C875C4">
            <w:pPr>
              <w:ind w:right="175"/>
              <w:jc w:val="both"/>
              <w:rPr>
                <w:rFonts w:ascii="Times New Roman" w:hAnsi="Times New Roman" w:cs="Times New Roman"/>
                <w:b/>
              </w:rPr>
            </w:pPr>
            <w:r w:rsidRPr="006B3A91">
              <w:rPr>
                <w:rFonts w:ascii="Times New Roman" w:hAnsi="Times New Roman" w:cs="Times New Roman"/>
                <w:b/>
              </w:rPr>
              <w:lastRenderedPageBreak/>
              <w:t xml:space="preserve">Policy </w:t>
            </w:r>
            <w:r w:rsidR="002630C4">
              <w:rPr>
                <w:rFonts w:ascii="Times New Roman" w:hAnsi="Times New Roman" w:cs="Times New Roman"/>
                <w:b/>
              </w:rPr>
              <w:t xml:space="preserve">and strategic </w:t>
            </w:r>
            <w:r w:rsidR="0039674A" w:rsidRPr="006B3A91">
              <w:rPr>
                <w:rFonts w:ascii="Times New Roman" w:hAnsi="Times New Roman" w:cs="Times New Roman"/>
                <w:b/>
              </w:rPr>
              <w:t>Advice</w:t>
            </w:r>
          </w:p>
          <w:p w:rsidR="00CC7B08" w:rsidRPr="006B3A91" w:rsidRDefault="00903254" w:rsidP="00AB2465">
            <w:pPr>
              <w:ind w:right="175"/>
              <w:jc w:val="both"/>
              <w:rPr>
                <w:rFonts w:ascii="Times New Roman" w:hAnsi="Times New Roman" w:cs="Times New Roman"/>
              </w:rPr>
            </w:pPr>
            <w:r w:rsidRPr="006B3A91">
              <w:rPr>
                <w:rFonts w:ascii="Times New Roman" w:hAnsi="Times New Roman" w:cs="Times New Roman"/>
              </w:rPr>
              <w:t xml:space="preserve">At a policy level, the </w:t>
            </w:r>
            <w:r w:rsidR="00AB2465" w:rsidRPr="006B3A91">
              <w:rPr>
                <w:rFonts w:ascii="Times New Roman" w:hAnsi="Times New Roman" w:cs="Times New Roman"/>
              </w:rPr>
              <w:t xml:space="preserve">Committee may engage </w:t>
            </w:r>
            <w:r w:rsidR="001777B2">
              <w:rPr>
                <w:rFonts w:ascii="Times New Roman" w:hAnsi="Times New Roman" w:cs="Times New Roman"/>
              </w:rPr>
              <w:t xml:space="preserve">the Department and SEFA </w:t>
            </w:r>
            <w:r w:rsidR="002630C4">
              <w:rPr>
                <w:rFonts w:ascii="Times New Roman" w:hAnsi="Times New Roman" w:cs="Times New Roman"/>
              </w:rPr>
              <w:t>with regard</w:t>
            </w:r>
            <w:r w:rsidR="00AB2465" w:rsidRPr="006B3A91">
              <w:rPr>
                <w:rFonts w:ascii="Times New Roman" w:hAnsi="Times New Roman" w:cs="Times New Roman"/>
              </w:rPr>
              <w:t xml:space="preserve"> to</w:t>
            </w:r>
            <w:r w:rsidR="00CC7B08" w:rsidRPr="006B3A91">
              <w:rPr>
                <w:rFonts w:ascii="Times New Roman" w:hAnsi="Times New Roman" w:cs="Times New Roman"/>
              </w:rPr>
              <w:t>:</w:t>
            </w:r>
          </w:p>
          <w:p w:rsidR="002630C4" w:rsidRDefault="001777B2" w:rsidP="00D86DBD">
            <w:pPr>
              <w:pStyle w:val="ListParagraph"/>
              <w:numPr>
                <w:ilvl w:val="0"/>
                <w:numId w:val="2"/>
              </w:numPr>
              <w:ind w:left="589" w:right="175" w:hanging="567"/>
              <w:jc w:val="both"/>
              <w:rPr>
                <w:rFonts w:ascii="Times New Roman" w:hAnsi="Times New Roman" w:cs="Times New Roman"/>
              </w:rPr>
            </w:pPr>
            <w:r>
              <w:rPr>
                <w:rFonts w:ascii="Times New Roman" w:hAnsi="Times New Roman" w:cs="Times New Roman"/>
              </w:rPr>
              <w:t>TEF compliance with the Tourism BBBEE Sector codes</w:t>
            </w:r>
            <w:r w:rsidR="002630C4">
              <w:rPr>
                <w:rFonts w:ascii="Times New Roman" w:hAnsi="Times New Roman" w:cs="Times New Roman"/>
              </w:rPr>
              <w:t>.</w:t>
            </w:r>
          </w:p>
          <w:p w:rsidR="00903254" w:rsidRDefault="001777B2" w:rsidP="001777B2">
            <w:pPr>
              <w:pStyle w:val="ListParagraph"/>
              <w:numPr>
                <w:ilvl w:val="0"/>
                <w:numId w:val="2"/>
              </w:numPr>
              <w:ind w:left="589" w:right="175" w:hanging="567"/>
              <w:jc w:val="both"/>
              <w:rPr>
                <w:rFonts w:ascii="Times New Roman" w:hAnsi="Times New Roman" w:cs="Times New Roman"/>
              </w:rPr>
            </w:pPr>
            <w:r>
              <w:rPr>
                <w:rFonts w:ascii="Times New Roman" w:hAnsi="Times New Roman" w:cs="Times New Roman"/>
              </w:rPr>
              <w:t>Redress in the sector in response to the Apartheid laws.</w:t>
            </w:r>
          </w:p>
          <w:p w:rsidR="00641F24" w:rsidRDefault="00641F24" w:rsidP="00641F24">
            <w:pPr>
              <w:pStyle w:val="ListParagraph"/>
              <w:ind w:left="589" w:right="175"/>
              <w:jc w:val="both"/>
              <w:rPr>
                <w:rFonts w:ascii="Times New Roman" w:hAnsi="Times New Roman" w:cs="Times New Roman"/>
              </w:rPr>
            </w:pPr>
          </w:p>
          <w:p w:rsidR="00641F24" w:rsidRDefault="00641F24" w:rsidP="00641F24">
            <w:pPr>
              <w:pStyle w:val="ListParagraph"/>
              <w:ind w:left="589" w:right="175"/>
              <w:jc w:val="both"/>
              <w:rPr>
                <w:rFonts w:ascii="Times New Roman" w:hAnsi="Times New Roman" w:cs="Times New Roman"/>
              </w:rPr>
            </w:pPr>
          </w:p>
          <w:p w:rsidR="00641F24" w:rsidRDefault="00641F24" w:rsidP="00641F24">
            <w:pPr>
              <w:pStyle w:val="ListParagraph"/>
              <w:ind w:left="589" w:right="175"/>
              <w:jc w:val="both"/>
              <w:rPr>
                <w:rFonts w:ascii="Times New Roman" w:hAnsi="Times New Roman" w:cs="Times New Roman"/>
              </w:rPr>
            </w:pPr>
          </w:p>
          <w:p w:rsidR="00641F24" w:rsidRPr="006B3A91" w:rsidRDefault="00641F24" w:rsidP="00641F24">
            <w:pPr>
              <w:pStyle w:val="ListParagraph"/>
              <w:ind w:left="589" w:right="175"/>
              <w:jc w:val="both"/>
              <w:rPr>
                <w:rFonts w:ascii="Times New Roman" w:hAnsi="Times New Roman" w:cs="Times New Roman"/>
              </w:rPr>
            </w:pPr>
          </w:p>
        </w:tc>
      </w:tr>
      <w:tr w:rsidR="00D85A3F" w:rsidRPr="007B1A44" w:rsidTr="007B1A44">
        <w:tc>
          <w:tcPr>
            <w:tcW w:w="9067" w:type="dxa"/>
          </w:tcPr>
          <w:p w:rsidR="00D85A3F" w:rsidRPr="002630C4" w:rsidRDefault="00D85A3F" w:rsidP="00D85A3F">
            <w:pPr>
              <w:ind w:left="589" w:right="175" w:hanging="589"/>
              <w:jc w:val="both"/>
              <w:rPr>
                <w:rFonts w:ascii="Times New Roman" w:hAnsi="Times New Roman" w:cs="Times New Roman"/>
                <w:b/>
              </w:rPr>
            </w:pPr>
            <w:r w:rsidRPr="002630C4">
              <w:rPr>
                <w:rFonts w:ascii="Times New Roman" w:hAnsi="Times New Roman" w:cs="Times New Roman"/>
                <w:b/>
              </w:rPr>
              <w:t>Possible questio</w:t>
            </w:r>
            <w:r w:rsidR="00080BE5" w:rsidRPr="002630C4">
              <w:rPr>
                <w:rFonts w:ascii="Times New Roman" w:hAnsi="Times New Roman" w:cs="Times New Roman"/>
                <w:b/>
              </w:rPr>
              <w:t xml:space="preserve">ns to </w:t>
            </w:r>
            <w:r w:rsidR="00582D48">
              <w:rPr>
                <w:rFonts w:ascii="Times New Roman" w:hAnsi="Times New Roman" w:cs="Times New Roman"/>
                <w:b/>
              </w:rPr>
              <w:t>the Department and SEFA</w:t>
            </w:r>
          </w:p>
          <w:p w:rsidR="00080BE5" w:rsidRPr="007B1A44" w:rsidRDefault="00080BE5" w:rsidP="007B1A44">
            <w:pPr>
              <w:ind w:left="589" w:right="175" w:hanging="589"/>
              <w:jc w:val="both"/>
              <w:rPr>
                <w:rFonts w:ascii="Times New Roman" w:hAnsi="Times New Roman" w:cs="Times New Roman"/>
              </w:rPr>
            </w:pPr>
          </w:p>
          <w:p w:rsidR="007B1A44" w:rsidRDefault="00582D48" w:rsidP="00D86DBD">
            <w:pPr>
              <w:pStyle w:val="ListParagraph"/>
              <w:numPr>
                <w:ilvl w:val="0"/>
                <w:numId w:val="1"/>
              </w:numPr>
              <w:ind w:left="589" w:right="175" w:hanging="589"/>
              <w:jc w:val="both"/>
              <w:rPr>
                <w:rFonts w:ascii="Times New Roman" w:hAnsi="Times New Roman" w:cs="Times New Roman"/>
              </w:rPr>
            </w:pPr>
            <w:r>
              <w:rPr>
                <w:rFonts w:ascii="Times New Roman" w:hAnsi="Times New Roman" w:cs="Times New Roman"/>
              </w:rPr>
              <w:t>How is the TEF aligned to the Committee oversight approach on villages, townships and small towns</w:t>
            </w:r>
            <w:r w:rsidR="007B1A44" w:rsidRPr="007B1A44">
              <w:rPr>
                <w:rFonts w:ascii="Times New Roman" w:hAnsi="Times New Roman" w:cs="Times New Roman"/>
              </w:rPr>
              <w:t>?</w:t>
            </w:r>
          </w:p>
          <w:p w:rsidR="009F197F" w:rsidRDefault="009F197F" w:rsidP="009F197F">
            <w:pPr>
              <w:pStyle w:val="ListParagraph"/>
              <w:ind w:left="589" w:right="175"/>
              <w:jc w:val="both"/>
              <w:rPr>
                <w:rFonts w:ascii="Times New Roman" w:hAnsi="Times New Roman" w:cs="Times New Roman"/>
              </w:rPr>
            </w:pPr>
          </w:p>
          <w:p w:rsidR="007B1A44" w:rsidRDefault="00582D48" w:rsidP="00D86DBD">
            <w:pPr>
              <w:pStyle w:val="ListParagraph"/>
              <w:numPr>
                <w:ilvl w:val="0"/>
                <w:numId w:val="1"/>
              </w:numPr>
              <w:ind w:left="589" w:right="175" w:hanging="589"/>
              <w:jc w:val="both"/>
              <w:rPr>
                <w:rFonts w:ascii="Times New Roman" w:hAnsi="Times New Roman" w:cs="Times New Roman"/>
              </w:rPr>
            </w:pPr>
            <w:r>
              <w:rPr>
                <w:rFonts w:ascii="Times New Roman" w:hAnsi="Times New Roman" w:cs="Times New Roman"/>
              </w:rPr>
              <w:t xml:space="preserve">How will </w:t>
            </w:r>
            <w:r w:rsidR="008404A1">
              <w:rPr>
                <w:rFonts w:ascii="Times New Roman" w:hAnsi="Times New Roman" w:cs="Times New Roman"/>
              </w:rPr>
              <w:t>th</w:t>
            </w:r>
            <w:r>
              <w:rPr>
                <w:rFonts w:ascii="Times New Roman" w:hAnsi="Times New Roman" w:cs="Times New Roman"/>
              </w:rPr>
              <w:t>e</w:t>
            </w:r>
            <w:r w:rsidR="008404A1">
              <w:rPr>
                <w:rFonts w:ascii="Times New Roman" w:hAnsi="Times New Roman" w:cs="Times New Roman"/>
              </w:rPr>
              <w:t xml:space="preserve"> beneficiaries who default on loan repayment be treated</w:t>
            </w:r>
            <w:r w:rsidR="007B1A44" w:rsidRPr="007B1A44">
              <w:rPr>
                <w:rFonts w:ascii="Times New Roman" w:hAnsi="Times New Roman" w:cs="Times New Roman"/>
              </w:rPr>
              <w:t>?</w:t>
            </w:r>
          </w:p>
          <w:p w:rsidR="009F197F" w:rsidRPr="009F197F" w:rsidRDefault="009F197F" w:rsidP="009F197F">
            <w:pPr>
              <w:pStyle w:val="ListParagraph"/>
              <w:rPr>
                <w:rFonts w:ascii="Times New Roman" w:hAnsi="Times New Roman" w:cs="Times New Roman"/>
              </w:rPr>
            </w:pPr>
          </w:p>
          <w:p w:rsidR="007B1A44" w:rsidRDefault="008404A1" w:rsidP="00D86DBD">
            <w:pPr>
              <w:pStyle w:val="ListParagraph"/>
              <w:numPr>
                <w:ilvl w:val="0"/>
                <w:numId w:val="1"/>
              </w:numPr>
              <w:ind w:left="589" w:right="175" w:hanging="589"/>
              <w:jc w:val="both"/>
              <w:rPr>
                <w:rFonts w:ascii="Times New Roman" w:hAnsi="Times New Roman" w:cs="Times New Roman"/>
              </w:rPr>
            </w:pPr>
            <w:r>
              <w:rPr>
                <w:rFonts w:ascii="Times New Roman" w:hAnsi="Times New Roman" w:cs="Times New Roman"/>
              </w:rPr>
              <w:t>What process will be followed by the Department in conducting oversight over SEFA as an implementing agent?</w:t>
            </w:r>
          </w:p>
          <w:p w:rsidR="009F197F" w:rsidRPr="009F197F" w:rsidRDefault="009F197F" w:rsidP="009F197F">
            <w:pPr>
              <w:pStyle w:val="ListParagraph"/>
              <w:rPr>
                <w:rFonts w:ascii="Times New Roman" w:hAnsi="Times New Roman" w:cs="Times New Roman"/>
              </w:rPr>
            </w:pPr>
          </w:p>
          <w:p w:rsidR="007B1A44" w:rsidRDefault="008404A1" w:rsidP="00D86DBD">
            <w:pPr>
              <w:pStyle w:val="ListParagraph"/>
              <w:numPr>
                <w:ilvl w:val="0"/>
                <w:numId w:val="1"/>
              </w:numPr>
              <w:ind w:left="589" w:right="175" w:hanging="589"/>
              <w:jc w:val="both"/>
              <w:rPr>
                <w:rFonts w:ascii="Times New Roman" w:hAnsi="Times New Roman" w:cs="Times New Roman"/>
              </w:rPr>
            </w:pPr>
            <w:r>
              <w:rPr>
                <w:rFonts w:ascii="Times New Roman" w:hAnsi="Times New Roman" w:cs="Times New Roman"/>
              </w:rPr>
              <w:t xml:space="preserve">How will the </w:t>
            </w:r>
            <w:r w:rsidR="00B55759">
              <w:rPr>
                <w:rFonts w:ascii="Times New Roman" w:hAnsi="Times New Roman" w:cs="Times New Roman"/>
              </w:rPr>
              <w:t>Technical Te</w:t>
            </w:r>
            <w:r>
              <w:rPr>
                <w:rFonts w:ascii="Times New Roman" w:hAnsi="Times New Roman" w:cs="Times New Roman"/>
              </w:rPr>
              <w:t>am in the Department assist the applicants with meeting the</w:t>
            </w:r>
            <w:r w:rsidR="00E6755C">
              <w:rPr>
                <w:rFonts w:ascii="Times New Roman" w:hAnsi="Times New Roman" w:cs="Times New Roman"/>
              </w:rPr>
              <w:t xml:space="preserve"> qualifying</w:t>
            </w:r>
            <w:r>
              <w:rPr>
                <w:rFonts w:ascii="Times New Roman" w:hAnsi="Times New Roman" w:cs="Times New Roman"/>
              </w:rPr>
              <w:t xml:space="preserve"> criteria?</w:t>
            </w:r>
          </w:p>
          <w:p w:rsidR="009F197F" w:rsidRPr="009F197F" w:rsidRDefault="009F197F" w:rsidP="009F197F">
            <w:pPr>
              <w:pStyle w:val="ListParagraph"/>
              <w:rPr>
                <w:rFonts w:ascii="Times New Roman" w:hAnsi="Times New Roman" w:cs="Times New Roman"/>
              </w:rPr>
            </w:pPr>
          </w:p>
          <w:p w:rsidR="007B1A44" w:rsidRDefault="007B1A44" w:rsidP="00D86DBD">
            <w:pPr>
              <w:pStyle w:val="ListParagraph"/>
              <w:numPr>
                <w:ilvl w:val="0"/>
                <w:numId w:val="1"/>
              </w:numPr>
              <w:ind w:left="597" w:right="175" w:hanging="597"/>
              <w:jc w:val="both"/>
              <w:rPr>
                <w:rFonts w:ascii="Times New Roman" w:hAnsi="Times New Roman" w:cs="Times New Roman"/>
              </w:rPr>
            </w:pPr>
            <w:r w:rsidRPr="007B1A44">
              <w:rPr>
                <w:rFonts w:ascii="Times New Roman" w:hAnsi="Times New Roman" w:cs="Times New Roman"/>
              </w:rPr>
              <w:t xml:space="preserve">How </w:t>
            </w:r>
            <w:r w:rsidR="008404A1">
              <w:rPr>
                <w:rFonts w:ascii="Times New Roman" w:hAnsi="Times New Roman" w:cs="Times New Roman"/>
              </w:rPr>
              <w:t>will the Department address the gap in funding the tourism businesses start-ups?</w:t>
            </w:r>
          </w:p>
          <w:p w:rsidR="009F197F" w:rsidRPr="009F197F" w:rsidRDefault="009F197F" w:rsidP="009F197F">
            <w:pPr>
              <w:pStyle w:val="ListParagraph"/>
              <w:rPr>
                <w:rFonts w:ascii="Times New Roman" w:hAnsi="Times New Roman" w:cs="Times New Roman"/>
              </w:rPr>
            </w:pPr>
          </w:p>
          <w:p w:rsidR="009F197F" w:rsidRDefault="008404A1" w:rsidP="00D86DBD">
            <w:pPr>
              <w:pStyle w:val="ListParagraph"/>
              <w:numPr>
                <w:ilvl w:val="0"/>
                <w:numId w:val="1"/>
              </w:numPr>
              <w:ind w:left="597" w:right="175" w:hanging="597"/>
              <w:jc w:val="both"/>
              <w:rPr>
                <w:rFonts w:ascii="Times New Roman" w:hAnsi="Times New Roman" w:cs="Times New Roman"/>
              </w:rPr>
            </w:pPr>
            <w:r>
              <w:rPr>
                <w:rFonts w:ascii="Times New Roman" w:hAnsi="Times New Roman" w:cs="Times New Roman"/>
              </w:rPr>
              <w:t>What are the pertinent details of the threat of legal action by AfriForum and Solidarity?</w:t>
            </w:r>
          </w:p>
          <w:p w:rsidR="009F197F" w:rsidRPr="009F197F" w:rsidRDefault="009F197F" w:rsidP="009F197F">
            <w:pPr>
              <w:pStyle w:val="ListParagraph"/>
              <w:rPr>
                <w:rFonts w:ascii="Times New Roman" w:hAnsi="Times New Roman" w:cs="Times New Roman"/>
              </w:rPr>
            </w:pPr>
          </w:p>
          <w:p w:rsidR="007B1A44" w:rsidRDefault="009F197F" w:rsidP="00D86DBD">
            <w:pPr>
              <w:pStyle w:val="ListParagraph"/>
              <w:numPr>
                <w:ilvl w:val="0"/>
                <w:numId w:val="1"/>
              </w:numPr>
              <w:ind w:left="597" w:right="175" w:hanging="597"/>
              <w:jc w:val="both"/>
              <w:rPr>
                <w:rFonts w:ascii="Times New Roman" w:hAnsi="Times New Roman" w:cs="Times New Roman"/>
              </w:rPr>
            </w:pPr>
            <w:r>
              <w:rPr>
                <w:rFonts w:ascii="Times New Roman" w:hAnsi="Times New Roman" w:cs="Times New Roman"/>
              </w:rPr>
              <w:t>W</w:t>
            </w:r>
            <w:r w:rsidR="008404A1">
              <w:rPr>
                <w:rFonts w:ascii="Times New Roman" w:hAnsi="Times New Roman" w:cs="Times New Roman"/>
              </w:rPr>
              <w:t xml:space="preserve">hat lessons did the </w:t>
            </w:r>
            <w:r w:rsidR="0018351C">
              <w:rPr>
                <w:rFonts w:ascii="Times New Roman" w:hAnsi="Times New Roman" w:cs="Times New Roman"/>
              </w:rPr>
              <w:t>Minister an</w:t>
            </w:r>
            <w:r w:rsidR="008404A1">
              <w:rPr>
                <w:rFonts w:ascii="Times New Roman" w:hAnsi="Times New Roman" w:cs="Times New Roman"/>
              </w:rPr>
              <w:t>d</w:t>
            </w:r>
            <w:r w:rsidR="0018351C">
              <w:rPr>
                <w:rFonts w:ascii="Times New Roman" w:hAnsi="Times New Roman" w:cs="Times New Roman"/>
              </w:rPr>
              <w:t xml:space="preserve"> </w:t>
            </w:r>
            <w:r w:rsidR="008404A1">
              <w:rPr>
                <w:rFonts w:ascii="Times New Roman" w:hAnsi="Times New Roman" w:cs="Times New Roman"/>
              </w:rPr>
              <w:t xml:space="preserve">the </w:t>
            </w:r>
            <w:r w:rsidR="0018351C">
              <w:rPr>
                <w:rFonts w:ascii="Times New Roman" w:hAnsi="Times New Roman" w:cs="Times New Roman"/>
              </w:rPr>
              <w:t>Department learn from the 2020 legal action by AfriForum and Solidarity in order to</w:t>
            </w:r>
            <w:r w:rsidR="008404A1">
              <w:rPr>
                <w:rFonts w:ascii="Times New Roman" w:hAnsi="Times New Roman" w:cs="Times New Roman"/>
              </w:rPr>
              <w:t xml:space="preserve"> avoid</w:t>
            </w:r>
            <w:r w:rsidR="0018351C">
              <w:rPr>
                <w:rFonts w:ascii="Times New Roman" w:hAnsi="Times New Roman" w:cs="Times New Roman"/>
              </w:rPr>
              <w:t xml:space="preserve"> similar litigation</w:t>
            </w:r>
            <w:r w:rsidR="008404A1">
              <w:rPr>
                <w:rFonts w:ascii="Times New Roman" w:hAnsi="Times New Roman" w:cs="Times New Roman"/>
              </w:rPr>
              <w:t>s</w:t>
            </w:r>
            <w:r w:rsidR="0018351C">
              <w:rPr>
                <w:rFonts w:ascii="Times New Roman" w:hAnsi="Times New Roman" w:cs="Times New Roman"/>
              </w:rPr>
              <w:t xml:space="preserve"> </w:t>
            </w:r>
            <w:r w:rsidR="008404A1">
              <w:rPr>
                <w:rFonts w:ascii="Times New Roman" w:hAnsi="Times New Roman" w:cs="Times New Roman"/>
              </w:rPr>
              <w:t>in future?</w:t>
            </w:r>
          </w:p>
          <w:p w:rsidR="009F197F" w:rsidRPr="009F197F" w:rsidRDefault="009F197F" w:rsidP="009F197F">
            <w:pPr>
              <w:pStyle w:val="ListParagraph"/>
              <w:rPr>
                <w:rFonts w:ascii="Times New Roman" w:hAnsi="Times New Roman" w:cs="Times New Roman"/>
              </w:rPr>
            </w:pPr>
          </w:p>
          <w:p w:rsidR="007B1A44" w:rsidRPr="0018351C" w:rsidRDefault="0018351C" w:rsidP="000329E5">
            <w:pPr>
              <w:pStyle w:val="ListParagraph"/>
              <w:numPr>
                <w:ilvl w:val="0"/>
                <w:numId w:val="1"/>
              </w:numPr>
              <w:ind w:left="597" w:right="175" w:hanging="597"/>
              <w:jc w:val="both"/>
              <w:rPr>
                <w:rFonts w:ascii="Times New Roman" w:hAnsi="Times New Roman" w:cs="Times New Roman"/>
              </w:rPr>
            </w:pPr>
            <w:r w:rsidRPr="0018351C">
              <w:rPr>
                <w:rFonts w:ascii="Times New Roman" w:hAnsi="Times New Roman" w:cs="Times New Roman"/>
              </w:rPr>
              <w:t>How did the Department and SEFA factor in the impact of COVID 19 to the qualifying criteria given that the cash flow i</w:t>
            </w:r>
            <w:r w:rsidR="00E6755C">
              <w:rPr>
                <w:rFonts w:ascii="Times New Roman" w:hAnsi="Times New Roman" w:cs="Times New Roman"/>
              </w:rPr>
              <w:t>s</w:t>
            </w:r>
            <w:r w:rsidRPr="0018351C">
              <w:rPr>
                <w:rFonts w:ascii="Times New Roman" w:hAnsi="Times New Roman" w:cs="Times New Roman"/>
              </w:rPr>
              <w:t xml:space="preserve"> a serious consideration?</w:t>
            </w:r>
          </w:p>
          <w:p w:rsidR="009F197F" w:rsidRPr="009F197F" w:rsidRDefault="009F197F" w:rsidP="009F197F">
            <w:pPr>
              <w:pStyle w:val="ListParagraph"/>
              <w:rPr>
                <w:rFonts w:ascii="Times New Roman" w:hAnsi="Times New Roman" w:cs="Times New Roman"/>
              </w:rPr>
            </w:pPr>
          </w:p>
          <w:p w:rsidR="00D85A3F" w:rsidRPr="007B1A44" w:rsidRDefault="00D85A3F" w:rsidP="0018351C">
            <w:pPr>
              <w:pStyle w:val="ListParagraph"/>
              <w:ind w:left="597" w:right="175"/>
              <w:jc w:val="both"/>
              <w:rPr>
                <w:rFonts w:ascii="Times New Roman" w:hAnsi="Times New Roman" w:cs="Times New Roman"/>
              </w:rPr>
            </w:pPr>
          </w:p>
        </w:tc>
      </w:tr>
    </w:tbl>
    <w:p w:rsidR="005D6923" w:rsidRPr="007B1A44" w:rsidRDefault="005D6923" w:rsidP="007B1A44">
      <w:pPr>
        <w:spacing w:after="0" w:line="240" w:lineRule="auto"/>
        <w:rPr>
          <w:rFonts w:ascii="Times New Roman" w:eastAsia="Times New Roman" w:hAnsi="Times New Roman" w:cs="Times New Roman"/>
          <w:lang w:val="en" w:eastAsia="en-ZA"/>
        </w:rPr>
      </w:pPr>
      <w:r w:rsidRPr="007B1A44">
        <w:rPr>
          <w:rFonts w:ascii="Times New Roman" w:eastAsia="Times New Roman" w:hAnsi="Times New Roman" w:cs="Times New Roman"/>
          <w:lang w:val="en" w:eastAsia="en-ZA"/>
        </w:rPr>
        <w:br/>
      </w:r>
    </w:p>
    <w:p w:rsidR="005D6923" w:rsidRPr="006B3A91" w:rsidRDefault="005D6923">
      <w:pPr>
        <w:rPr>
          <w:rFonts w:ascii="Times New Roman" w:hAnsi="Times New Roman" w:cs="Times New Roman"/>
        </w:rPr>
      </w:pPr>
    </w:p>
    <w:p w:rsidR="005D6923" w:rsidRPr="006B3A91" w:rsidRDefault="005D6923">
      <w:pPr>
        <w:rPr>
          <w:rFonts w:ascii="Times New Roman" w:hAnsi="Times New Roman" w:cs="Times New Roman"/>
        </w:rPr>
      </w:pPr>
    </w:p>
    <w:p w:rsidR="005D6923" w:rsidRPr="006B3A91" w:rsidRDefault="005D6923">
      <w:pPr>
        <w:rPr>
          <w:rFonts w:ascii="Times New Roman" w:hAnsi="Times New Roman" w:cs="Times New Roman"/>
        </w:rPr>
      </w:pPr>
    </w:p>
    <w:p w:rsidR="005D6923" w:rsidRPr="006B3A91" w:rsidRDefault="005D6923">
      <w:pPr>
        <w:rPr>
          <w:rFonts w:ascii="Times New Roman" w:hAnsi="Times New Roman" w:cs="Times New Roman"/>
        </w:rPr>
      </w:pPr>
    </w:p>
    <w:sectPr w:rsidR="005D6923" w:rsidRPr="006B3A9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B1A" w:rsidRDefault="00254B1A" w:rsidP="004D4B45">
      <w:pPr>
        <w:spacing w:after="0" w:line="240" w:lineRule="auto"/>
      </w:pPr>
      <w:r>
        <w:separator/>
      </w:r>
    </w:p>
  </w:endnote>
  <w:endnote w:type="continuationSeparator" w:id="0">
    <w:p w:rsidR="00254B1A" w:rsidRDefault="00254B1A" w:rsidP="004D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592087"/>
      <w:docPartObj>
        <w:docPartGallery w:val="Page Numbers (Bottom of Page)"/>
        <w:docPartUnique/>
      </w:docPartObj>
    </w:sdtPr>
    <w:sdtEndPr>
      <w:rPr>
        <w:noProof/>
      </w:rPr>
    </w:sdtEndPr>
    <w:sdtContent>
      <w:p w:rsidR="008404A1" w:rsidRDefault="008404A1">
        <w:pPr>
          <w:pStyle w:val="Footer"/>
          <w:jc w:val="right"/>
        </w:pPr>
        <w:r>
          <w:fldChar w:fldCharType="begin"/>
        </w:r>
        <w:r>
          <w:instrText xml:space="preserve"> PAGE   \* MERGEFORMAT </w:instrText>
        </w:r>
        <w:r>
          <w:fldChar w:fldCharType="separate"/>
        </w:r>
        <w:r w:rsidR="00254B1A">
          <w:rPr>
            <w:noProof/>
          </w:rPr>
          <w:t>1</w:t>
        </w:r>
        <w:r>
          <w:rPr>
            <w:noProof/>
          </w:rPr>
          <w:fldChar w:fldCharType="end"/>
        </w:r>
      </w:p>
    </w:sdtContent>
  </w:sdt>
  <w:p w:rsidR="008404A1" w:rsidRDefault="008404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B1A" w:rsidRDefault="00254B1A" w:rsidP="004D4B45">
      <w:pPr>
        <w:spacing w:after="0" w:line="240" w:lineRule="auto"/>
      </w:pPr>
      <w:r>
        <w:separator/>
      </w:r>
    </w:p>
  </w:footnote>
  <w:footnote w:type="continuationSeparator" w:id="0">
    <w:p w:rsidR="00254B1A" w:rsidRDefault="00254B1A" w:rsidP="004D4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B5DB5"/>
    <w:multiLevelType w:val="hybridMultilevel"/>
    <w:tmpl w:val="5E4AC974"/>
    <w:lvl w:ilvl="0" w:tplc="FA6A3F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B0153F3"/>
    <w:multiLevelType w:val="hybridMultilevel"/>
    <w:tmpl w:val="8A06695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438E5AA8"/>
    <w:multiLevelType w:val="hybridMultilevel"/>
    <w:tmpl w:val="742EA036"/>
    <w:lvl w:ilvl="0" w:tplc="A836C410">
      <w:start w:val="1"/>
      <w:numFmt w:val="decimal"/>
      <w:lvlText w:val="%1."/>
      <w:lvlJc w:val="left"/>
      <w:pPr>
        <w:tabs>
          <w:tab w:val="num" w:pos="720"/>
        </w:tabs>
        <w:ind w:left="720" w:hanging="360"/>
      </w:pPr>
    </w:lvl>
    <w:lvl w:ilvl="1" w:tplc="1166FD3A" w:tentative="1">
      <w:start w:val="1"/>
      <w:numFmt w:val="decimal"/>
      <w:lvlText w:val="%2."/>
      <w:lvlJc w:val="left"/>
      <w:pPr>
        <w:tabs>
          <w:tab w:val="num" w:pos="1440"/>
        </w:tabs>
        <w:ind w:left="1440" w:hanging="360"/>
      </w:pPr>
    </w:lvl>
    <w:lvl w:ilvl="2" w:tplc="42F65A5A" w:tentative="1">
      <w:start w:val="1"/>
      <w:numFmt w:val="decimal"/>
      <w:lvlText w:val="%3."/>
      <w:lvlJc w:val="left"/>
      <w:pPr>
        <w:tabs>
          <w:tab w:val="num" w:pos="2160"/>
        </w:tabs>
        <w:ind w:left="2160" w:hanging="360"/>
      </w:pPr>
    </w:lvl>
    <w:lvl w:ilvl="3" w:tplc="91A0439A" w:tentative="1">
      <w:start w:val="1"/>
      <w:numFmt w:val="decimal"/>
      <w:lvlText w:val="%4."/>
      <w:lvlJc w:val="left"/>
      <w:pPr>
        <w:tabs>
          <w:tab w:val="num" w:pos="2880"/>
        </w:tabs>
        <w:ind w:left="2880" w:hanging="360"/>
      </w:pPr>
    </w:lvl>
    <w:lvl w:ilvl="4" w:tplc="C18CBC5A" w:tentative="1">
      <w:start w:val="1"/>
      <w:numFmt w:val="decimal"/>
      <w:lvlText w:val="%5."/>
      <w:lvlJc w:val="left"/>
      <w:pPr>
        <w:tabs>
          <w:tab w:val="num" w:pos="3600"/>
        </w:tabs>
        <w:ind w:left="3600" w:hanging="360"/>
      </w:pPr>
    </w:lvl>
    <w:lvl w:ilvl="5" w:tplc="7A9C49B8" w:tentative="1">
      <w:start w:val="1"/>
      <w:numFmt w:val="decimal"/>
      <w:lvlText w:val="%6."/>
      <w:lvlJc w:val="left"/>
      <w:pPr>
        <w:tabs>
          <w:tab w:val="num" w:pos="4320"/>
        </w:tabs>
        <w:ind w:left="4320" w:hanging="360"/>
      </w:pPr>
    </w:lvl>
    <w:lvl w:ilvl="6" w:tplc="AC8C0206" w:tentative="1">
      <w:start w:val="1"/>
      <w:numFmt w:val="decimal"/>
      <w:lvlText w:val="%7."/>
      <w:lvlJc w:val="left"/>
      <w:pPr>
        <w:tabs>
          <w:tab w:val="num" w:pos="5040"/>
        </w:tabs>
        <w:ind w:left="5040" w:hanging="360"/>
      </w:pPr>
    </w:lvl>
    <w:lvl w:ilvl="7" w:tplc="0F966B74" w:tentative="1">
      <w:start w:val="1"/>
      <w:numFmt w:val="decimal"/>
      <w:lvlText w:val="%8."/>
      <w:lvlJc w:val="left"/>
      <w:pPr>
        <w:tabs>
          <w:tab w:val="num" w:pos="5760"/>
        </w:tabs>
        <w:ind w:left="5760" w:hanging="360"/>
      </w:pPr>
    </w:lvl>
    <w:lvl w:ilvl="8" w:tplc="AC9C4C7C" w:tentative="1">
      <w:start w:val="1"/>
      <w:numFmt w:val="decimal"/>
      <w:lvlText w:val="%9."/>
      <w:lvlJc w:val="left"/>
      <w:pPr>
        <w:tabs>
          <w:tab w:val="num" w:pos="6480"/>
        </w:tabs>
        <w:ind w:left="6480" w:hanging="360"/>
      </w:pPr>
    </w:lvl>
  </w:abstractNum>
  <w:abstractNum w:abstractNumId="3" w15:restartNumberingAfterBreak="0">
    <w:nsid w:val="77B34F9A"/>
    <w:multiLevelType w:val="hybridMultilevel"/>
    <w:tmpl w:val="A8C0688A"/>
    <w:lvl w:ilvl="0" w:tplc="968AA28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23"/>
    <w:rsid w:val="000165CA"/>
    <w:rsid w:val="000525E1"/>
    <w:rsid w:val="00067421"/>
    <w:rsid w:val="00077651"/>
    <w:rsid w:val="00080BE5"/>
    <w:rsid w:val="001002B9"/>
    <w:rsid w:val="00107D11"/>
    <w:rsid w:val="001176CE"/>
    <w:rsid w:val="00121AD1"/>
    <w:rsid w:val="00176F91"/>
    <w:rsid w:val="001777B2"/>
    <w:rsid w:val="00182A03"/>
    <w:rsid w:val="0018351C"/>
    <w:rsid w:val="001C7330"/>
    <w:rsid w:val="001D1FF1"/>
    <w:rsid w:val="001D33D1"/>
    <w:rsid w:val="002031F8"/>
    <w:rsid w:val="00206C14"/>
    <w:rsid w:val="0021222E"/>
    <w:rsid w:val="00243AC6"/>
    <w:rsid w:val="00254B1A"/>
    <w:rsid w:val="002630C4"/>
    <w:rsid w:val="00282D92"/>
    <w:rsid w:val="002D7D65"/>
    <w:rsid w:val="002E30C9"/>
    <w:rsid w:val="00304007"/>
    <w:rsid w:val="0030786B"/>
    <w:rsid w:val="003644F2"/>
    <w:rsid w:val="0036518D"/>
    <w:rsid w:val="0038224C"/>
    <w:rsid w:val="00391B7A"/>
    <w:rsid w:val="0039674A"/>
    <w:rsid w:val="003C764A"/>
    <w:rsid w:val="003E26C7"/>
    <w:rsid w:val="004144C4"/>
    <w:rsid w:val="004577D9"/>
    <w:rsid w:val="00460D0B"/>
    <w:rsid w:val="00465610"/>
    <w:rsid w:val="0048243D"/>
    <w:rsid w:val="00482BB5"/>
    <w:rsid w:val="004A7F39"/>
    <w:rsid w:val="004C20F5"/>
    <w:rsid w:val="004D4B45"/>
    <w:rsid w:val="004D5673"/>
    <w:rsid w:val="00514FB3"/>
    <w:rsid w:val="005161CA"/>
    <w:rsid w:val="00531457"/>
    <w:rsid w:val="0054732E"/>
    <w:rsid w:val="00555250"/>
    <w:rsid w:val="00582D48"/>
    <w:rsid w:val="005A6FB4"/>
    <w:rsid w:val="005D6923"/>
    <w:rsid w:val="006006CF"/>
    <w:rsid w:val="00604AC0"/>
    <w:rsid w:val="006231F7"/>
    <w:rsid w:val="006277ED"/>
    <w:rsid w:val="00641F24"/>
    <w:rsid w:val="006651BD"/>
    <w:rsid w:val="00666519"/>
    <w:rsid w:val="00670B01"/>
    <w:rsid w:val="00687479"/>
    <w:rsid w:val="0069181D"/>
    <w:rsid w:val="006B3A91"/>
    <w:rsid w:val="006E4ED6"/>
    <w:rsid w:val="007157B7"/>
    <w:rsid w:val="0073376A"/>
    <w:rsid w:val="007649C6"/>
    <w:rsid w:val="00792425"/>
    <w:rsid w:val="007A39B0"/>
    <w:rsid w:val="007B1A44"/>
    <w:rsid w:val="007C4610"/>
    <w:rsid w:val="007C4862"/>
    <w:rsid w:val="00823E06"/>
    <w:rsid w:val="008253B1"/>
    <w:rsid w:val="008404A1"/>
    <w:rsid w:val="008B2367"/>
    <w:rsid w:val="008B38EB"/>
    <w:rsid w:val="008C49C2"/>
    <w:rsid w:val="008C54A4"/>
    <w:rsid w:val="008F09B9"/>
    <w:rsid w:val="008F1B1D"/>
    <w:rsid w:val="00902D5D"/>
    <w:rsid w:val="00903254"/>
    <w:rsid w:val="009132A9"/>
    <w:rsid w:val="0093065A"/>
    <w:rsid w:val="0093201D"/>
    <w:rsid w:val="00932A2A"/>
    <w:rsid w:val="00933D38"/>
    <w:rsid w:val="009364F5"/>
    <w:rsid w:val="00971BEF"/>
    <w:rsid w:val="009750F0"/>
    <w:rsid w:val="00990680"/>
    <w:rsid w:val="009A5EA8"/>
    <w:rsid w:val="009F0FEF"/>
    <w:rsid w:val="009F197F"/>
    <w:rsid w:val="00A263B7"/>
    <w:rsid w:val="00A639F3"/>
    <w:rsid w:val="00A80ABF"/>
    <w:rsid w:val="00AB2465"/>
    <w:rsid w:val="00AB2F95"/>
    <w:rsid w:val="00AE2030"/>
    <w:rsid w:val="00AE3412"/>
    <w:rsid w:val="00B04B76"/>
    <w:rsid w:val="00B55759"/>
    <w:rsid w:val="00B70870"/>
    <w:rsid w:val="00BB1B9F"/>
    <w:rsid w:val="00BD2C6D"/>
    <w:rsid w:val="00BF358F"/>
    <w:rsid w:val="00C12B4D"/>
    <w:rsid w:val="00C17A3D"/>
    <w:rsid w:val="00C21128"/>
    <w:rsid w:val="00C45110"/>
    <w:rsid w:val="00C67725"/>
    <w:rsid w:val="00C875C4"/>
    <w:rsid w:val="00C93242"/>
    <w:rsid w:val="00CA372C"/>
    <w:rsid w:val="00CC7B08"/>
    <w:rsid w:val="00D03D1D"/>
    <w:rsid w:val="00D1695D"/>
    <w:rsid w:val="00D418BC"/>
    <w:rsid w:val="00D85A3F"/>
    <w:rsid w:val="00D86DBD"/>
    <w:rsid w:val="00D94F78"/>
    <w:rsid w:val="00DB1B91"/>
    <w:rsid w:val="00DB6399"/>
    <w:rsid w:val="00DC1DC3"/>
    <w:rsid w:val="00E35D3D"/>
    <w:rsid w:val="00E42F22"/>
    <w:rsid w:val="00E62573"/>
    <w:rsid w:val="00E6755C"/>
    <w:rsid w:val="00E8629C"/>
    <w:rsid w:val="00E9206A"/>
    <w:rsid w:val="00EC0331"/>
    <w:rsid w:val="00EF0E21"/>
    <w:rsid w:val="00EF5ED7"/>
    <w:rsid w:val="00F214B9"/>
    <w:rsid w:val="00FB1556"/>
    <w:rsid w:val="00FE5FE9"/>
    <w:rsid w:val="00FF73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AAA441-0D78-483D-AD42-76584014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C6"/>
    <w:pPr>
      <w:ind w:left="720"/>
      <w:contextualSpacing/>
    </w:pPr>
  </w:style>
  <w:style w:type="character" w:styleId="Hyperlink">
    <w:name w:val="Hyperlink"/>
    <w:basedOn w:val="DefaultParagraphFont"/>
    <w:uiPriority w:val="99"/>
    <w:unhideWhenUsed/>
    <w:rsid w:val="00670B01"/>
    <w:rPr>
      <w:color w:val="1D2A57"/>
      <w:u w:val="single"/>
      <w:shd w:val="clear" w:color="auto" w:fill="auto"/>
    </w:rPr>
  </w:style>
  <w:style w:type="paragraph" w:styleId="Header">
    <w:name w:val="header"/>
    <w:basedOn w:val="Normal"/>
    <w:link w:val="HeaderChar"/>
    <w:uiPriority w:val="99"/>
    <w:unhideWhenUsed/>
    <w:rsid w:val="004D4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B45"/>
  </w:style>
  <w:style w:type="paragraph" w:styleId="Footer">
    <w:name w:val="footer"/>
    <w:basedOn w:val="Normal"/>
    <w:link w:val="FooterChar"/>
    <w:uiPriority w:val="99"/>
    <w:unhideWhenUsed/>
    <w:rsid w:val="004D4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B45"/>
  </w:style>
  <w:style w:type="table" w:styleId="TableGrid">
    <w:name w:val="Table Grid"/>
    <w:basedOn w:val="TableNormal"/>
    <w:uiPriority w:val="39"/>
    <w:rsid w:val="00D85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n Char"/>
    <w:basedOn w:val="Normal"/>
    <w:link w:val="FootnoteTextChar"/>
    <w:uiPriority w:val="99"/>
    <w:unhideWhenUsed/>
    <w:rsid w:val="00E9206A"/>
    <w:pPr>
      <w:spacing w:after="0" w:line="240" w:lineRule="auto"/>
      <w:contextualSpacing/>
      <w:jc w:val="both"/>
    </w:pPr>
    <w:rPr>
      <w:rFonts w:ascii="Arial" w:hAnsi="Arial"/>
      <w:sz w:val="20"/>
      <w:szCs w:val="20"/>
    </w:rPr>
  </w:style>
  <w:style w:type="character" w:customStyle="1" w:styleId="FootnoteTextChar">
    <w:name w:val="Footnote Text Char"/>
    <w:aliases w:val="Footnote Text Char1 Char,Footnote Text Char Char Char,fn Char Char"/>
    <w:basedOn w:val="DefaultParagraphFont"/>
    <w:link w:val="FootnoteText"/>
    <w:uiPriority w:val="99"/>
    <w:rsid w:val="00E9206A"/>
    <w:rPr>
      <w:rFonts w:ascii="Arial" w:hAnsi="Arial"/>
      <w:sz w:val="20"/>
      <w:szCs w:val="20"/>
    </w:rPr>
  </w:style>
  <w:style w:type="character" w:styleId="FootnoteReference">
    <w:name w:val="footnote reference"/>
    <w:basedOn w:val="DefaultParagraphFont"/>
    <w:uiPriority w:val="99"/>
    <w:unhideWhenUsed/>
    <w:rsid w:val="00E920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7164">
      <w:bodyDiv w:val="1"/>
      <w:marLeft w:val="0"/>
      <w:marRight w:val="0"/>
      <w:marTop w:val="0"/>
      <w:marBottom w:val="0"/>
      <w:divBdr>
        <w:top w:val="none" w:sz="0" w:space="0" w:color="auto"/>
        <w:left w:val="none" w:sz="0" w:space="0" w:color="auto"/>
        <w:bottom w:val="none" w:sz="0" w:space="0" w:color="auto"/>
        <w:right w:val="none" w:sz="0" w:space="0" w:color="auto"/>
      </w:divBdr>
      <w:divsChild>
        <w:div w:id="1254238368">
          <w:marLeft w:val="0"/>
          <w:marRight w:val="0"/>
          <w:marTop w:val="0"/>
          <w:marBottom w:val="0"/>
          <w:divBdr>
            <w:top w:val="none" w:sz="0" w:space="0" w:color="auto"/>
            <w:left w:val="none" w:sz="0" w:space="0" w:color="auto"/>
            <w:bottom w:val="none" w:sz="0" w:space="0" w:color="auto"/>
            <w:right w:val="none" w:sz="0" w:space="0" w:color="auto"/>
          </w:divBdr>
          <w:divsChild>
            <w:div w:id="624391201">
              <w:marLeft w:val="0"/>
              <w:marRight w:val="0"/>
              <w:marTop w:val="0"/>
              <w:marBottom w:val="0"/>
              <w:divBdr>
                <w:top w:val="none" w:sz="0" w:space="0" w:color="auto"/>
                <w:left w:val="none" w:sz="0" w:space="0" w:color="auto"/>
                <w:bottom w:val="none" w:sz="0" w:space="0" w:color="auto"/>
                <w:right w:val="none" w:sz="0" w:space="0" w:color="auto"/>
              </w:divBdr>
              <w:divsChild>
                <w:div w:id="1018892130">
                  <w:marLeft w:val="0"/>
                  <w:marRight w:val="0"/>
                  <w:marTop w:val="0"/>
                  <w:marBottom w:val="0"/>
                  <w:divBdr>
                    <w:top w:val="none" w:sz="0" w:space="0" w:color="auto"/>
                    <w:left w:val="none" w:sz="0" w:space="0" w:color="auto"/>
                    <w:bottom w:val="none" w:sz="0" w:space="0" w:color="auto"/>
                    <w:right w:val="none" w:sz="0" w:space="0" w:color="auto"/>
                  </w:divBdr>
                  <w:divsChild>
                    <w:div w:id="1461024414">
                      <w:marLeft w:val="0"/>
                      <w:marRight w:val="0"/>
                      <w:marTop w:val="0"/>
                      <w:marBottom w:val="0"/>
                      <w:divBdr>
                        <w:top w:val="none" w:sz="0" w:space="0" w:color="auto"/>
                        <w:left w:val="none" w:sz="0" w:space="0" w:color="auto"/>
                        <w:bottom w:val="none" w:sz="0" w:space="0" w:color="auto"/>
                        <w:right w:val="none" w:sz="0" w:space="0" w:color="auto"/>
                      </w:divBdr>
                      <w:divsChild>
                        <w:div w:id="1115826404">
                          <w:marLeft w:val="0"/>
                          <w:marRight w:val="0"/>
                          <w:marTop w:val="0"/>
                          <w:marBottom w:val="0"/>
                          <w:divBdr>
                            <w:top w:val="none" w:sz="0" w:space="0" w:color="auto"/>
                            <w:left w:val="none" w:sz="0" w:space="0" w:color="auto"/>
                            <w:bottom w:val="none" w:sz="0" w:space="0" w:color="auto"/>
                            <w:right w:val="none" w:sz="0" w:space="0" w:color="auto"/>
                          </w:divBdr>
                          <w:divsChild>
                            <w:div w:id="1145776336">
                              <w:marLeft w:val="0"/>
                              <w:marRight w:val="0"/>
                              <w:marTop w:val="0"/>
                              <w:marBottom w:val="0"/>
                              <w:divBdr>
                                <w:top w:val="none" w:sz="0" w:space="0" w:color="auto"/>
                                <w:left w:val="none" w:sz="0" w:space="0" w:color="auto"/>
                                <w:bottom w:val="none" w:sz="0" w:space="0" w:color="auto"/>
                                <w:right w:val="none" w:sz="0" w:space="0" w:color="auto"/>
                              </w:divBdr>
                              <w:divsChild>
                                <w:div w:id="16766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104294">
      <w:bodyDiv w:val="1"/>
      <w:marLeft w:val="0"/>
      <w:marRight w:val="0"/>
      <w:marTop w:val="0"/>
      <w:marBottom w:val="0"/>
      <w:divBdr>
        <w:top w:val="none" w:sz="0" w:space="0" w:color="auto"/>
        <w:left w:val="none" w:sz="0" w:space="0" w:color="auto"/>
        <w:bottom w:val="none" w:sz="0" w:space="0" w:color="auto"/>
        <w:right w:val="none" w:sz="0" w:space="0" w:color="auto"/>
      </w:divBdr>
      <w:divsChild>
        <w:div w:id="1813863641">
          <w:marLeft w:val="1166"/>
          <w:marRight w:val="0"/>
          <w:marTop w:val="0"/>
          <w:marBottom w:val="240"/>
          <w:divBdr>
            <w:top w:val="none" w:sz="0" w:space="0" w:color="auto"/>
            <w:left w:val="none" w:sz="0" w:space="0" w:color="auto"/>
            <w:bottom w:val="none" w:sz="0" w:space="0" w:color="auto"/>
            <w:right w:val="none" w:sz="0" w:space="0" w:color="auto"/>
          </w:divBdr>
        </w:div>
      </w:divsChild>
    </w:div>
    <w:div w:id="1822960430">
      <w:bodyDiv w:val="1"/>
      <w:marLeft w:val="0"/>
      <w:marRight w:val="0"/>
      <w:marTop w:val="0"/>
      <w:marBottom w:val="0"/>
      <w:divBdr>
        <w:top w:val="none" w:sz="0" w:space="0" w:color="auto"/>
        <w:left w:val="none" w:sz="0" w:space="0" w:color="auto"/>
        <w:bottom w:val="none" w:sz="0" w:space="0" w:color="auto"/>
        <w:right w:val="none" w:sz="0" w:space="0" w:color="auto"/>
      </w:divBdr>
      <w:divsChild>
        <w:div w:id="1665939192">
          <w:marLeft w:val="0"/>
          <w:marRight w:val="0"/>
          <w:marTop w:val="0"/>
          <w:marBottom w:val="0"/>
          <w:divBdr>
            <w:top w:val="none" w:sz="0" w:space="0" w:color="auto"/>
            <w:left w:val="none" w:sz="0" w:space="0" w:color="auto"/>
            <w:bottom w:val="none" w:sz="0" w:space="0" w:color="auto"/>
            <w:right w:val="none" w:sz="0" w:space="0" w:color="auto"/>
          </w:divBdr>
          <w:divsChild>
            <w:div w:id="1342511021">
              <w:marLeft w:val="0"/>
              <w:marRight w:val="0"/>
              <w:marTop w:val="0"/>
              <w:marBottom w:val="0"/>
              <w:divBdr>
                <w:top w:val="none" w:sz="0" w:space="0" w:color="auto"/>
                <w:left w:val="none" w:sz="0" w:space="0" w:color="auto"/>
                <w:bottom w:val="none" w:sz="0" w:space="0" w:color="auto"/>
                <w:right w:val="none" w:sz="0" w:space="0" w:color="auto"/>
              </w:divBdr>
              <w:divsChild>
                <w:div w:id="1300266415">
                  <w:marLeft w:val="0"/>
                  <w:marRight w:val="0"/>
                  <w:marTop w:val="0"/>
                  <w:marBottom w:val="0"/>
                  <w:divBdr>
                    <w:top w:val="none" w:sz="0" w:space="0" w:color="auto"/>
                    <w:left w:val="none" w:sz="0" w:space="0" w:color="auto"/>
                    <w:bottom w:val="none" w:sz="0" w:space="0" w:color="auto"/>
                    <w:right w:val="none" w:sz="0" w:space="0" w:color="auto"/>
                  </w:divBdr>
                  <w:divsChild>
                    <w:div w:id="73364260">
                      <w:marLeft w:val="0"/>
                      <w:marRight w:val="0"/>
                      <w:marTop w:val="0"/>
                      <w:marBottom w:val="0"/>
                      <w:divBdr>
                        <w:top w:val="none" w:sz="0" w:space="0" w:color="auto"/>
                        <w:left w:val="none" w:sz="0" w:space="0" w:color="auto"/>
                        <w:bottom w:val="none" w:sz="0" w:space="0" w:color="auto"/>
                        <w:right w:val="none" w:sz="0" w:space="0" w:color="auto"/>
                      </w:divBdr>
                      <w:divsChild>
                        <w:div w:id="1560288595">
                          <w:marLeft w:val="0"/>
                          <w:marRight w:val="0"/>
                          <w:marTop w:val="0"/>
                          <w:marBottom w:val="0"/>
                          <w:divBdr>
                            <w:top w:val="none" w:sz="0" w:space="0" w:color="auto"/>
                            <w:left w:val="none" w:sz="0" w:space="0" w:color="auto"/>
                            <w:bottom w:val="none" w:sz="0" w:space="0" w:color="auto"/>
                            <w:right w:val="none" w:sz="0" w:space="0" w:color="auto"/>
                          </w:divBdr>
                          <w:divsChild>
                            <w:div w:id="1735467089">
                              <w:marLeft w:val="0"/>
                              <w:marRight w:val="0"/>
                              <w:marTop w:val="0"/>
                              <w:marBottom w:val="0"/>
                              <w:divBdr>
                                <w:top w:val="none" w:sz="0" w:space="0" w:color="auto"/>
                                <w:left w:val="none" w:sz="0" w:space="0" w:color="auto"/>
                                <w:bottom w:val="none" w:sz="0" w:space="0" w:color="auto"/>
                                <w:right w:val="none" w:sz="0" w:space="0" w:color="auto"/>
                              </w:divBdr>
                              <w:divsChild>
                                <w:div w:id="9889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DA7E-779A-4906-A9FF-E5307AE0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Sibusiso Khuzwayo</dc:creator>
  <cp:keywords/>
  <dc:description/>
  <cp:lastModifiedBy>Jerry Monwebisi Boltina</cp:lastModifiedBy>
  <cp:revision>2</cp:revision>
  <dcterms:created xsi:type="dcterms:W3CDTF">2021-02-12T14:29:00Z</dcterms:created>
  <dcterms:modified xsi:type="dcterms:W3CDTF">2021-02-12T14:29:00Z</dcterms:modified>
</cp:coreProperties>
</file>