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2" w:rsidRPr="0036459E" w:rsidRDefault="0036459E" w:rsidP="0036459E"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         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SCOPA NOTES FORMAL TABLING TO PARLIAMENT OF SIU REPORT ON COVID-19 PROCUREMENT INVESTIGATIONS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Parliament, Wednesday, 10 February 2021 – </w:t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The Standing Committee on Public Accounts (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) today was briefed by the Special Investigating Unit (SIU) on Covid-19 personal protective equipment-related procurement investigations.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notes the formal tabling of this report to Parliament following the public release of the report last week. A number of issues emanating from the report require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Scopa’s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urgent attention and the committee </w:t>
      </w:r>
      <w:proofErr w:type="gram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has</w:t>
      </w:r>
      <w:proofErr w:type="gram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resolved to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prioritise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these matters.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is aware that these are ongoing reports, which the SIU will release periodically as their investigation procedure dictates. This means that the committee will be engaged in a process of following up with the relevant structures to ensure there are speedy prosecutions and other consequence-management processes for those who are implicated.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Scopa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will also devise an operating model, which will ensure that the committee </w:t>
      </w:r>
      <w:proofErr w:type="spellStart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prioritises</w:t>
      </w:r>
      <w:proofErr w:type="spellEnd"/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 xml:space="preserve"> this matter parallel to the committee’s other business.</w:t>
      </w:r>
      <w:r>
        <w:rPr>
          <w:rFonts w:ascii="Helvetica" w:hAnsi="Helvetica" w:cs="Helvetica"/>
          <w:color w:val="202020"/>
          <w:sz w:val="19"/>
          <w:szCs w:val="19"/>
        </w:rPr>
        <w:br/>
      </w:r>
      <w:r>
        <w:rPr>
          <w:rFonts w:ascii="Helvetica" w:hAnsi="Helvetica" w:cs="Helvetica"/>
          <w:color w:val="20202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9"/>
          <w:szCs w:val="19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z w:val="19"/>
          <w:szCs w:val="19"/>
          <w:shd w:val="clear" w:color="auto" w:fill="FFFFFF"/>
        </w:rPr>
        <w:t>ISSUED BY THE PARLIAMENTARY COMMUNICATION SERVICES ON BEHALF OF THE CHAIRPERSON OF SCOPA, MR MKHULEKO HLENGWA.</w:t>
      </w:r>
      <w:proofErr w:type="gramEnd"/>
    </w:p>
    <w:sectPr w:rsidR="004F3512" w:rsidRPr="0036459E" w:rsidSect="004F3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59E"/>
    <w:rsid w:val="0036459E"/>
    <w:rsid w:val="004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12"/>
  </w:style>
  <w:style w:type="paragraph" w:styleId="Heading1">
    <w:name w:val="heading 1"/>
    <w:basedOn w:val="Normal"/>
    <w:link w:val="Heading1Char"/>
    <w:uiPriority w:val="9"/>
    <w:qFormat/>
    <w:rsid w:val="00364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2021-02-10T15:43:00Z</dcterms:created>
  <dcterms:modified xsi:type="dcterms:W3CDTF">2021-02-10T15:46:00Z</dcterms:modified>
</cp:coreProperties>
</file>