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44" w:rsidRPr="00C84E18" w:rsidRDefault="00447444" w:rsidP="00C66282">
      <w:pPr>
        <w:spacing w:line="360" w:lineRule="auto"/>
        <w:jc w:val="center"/>
        <w:rPr>
          <w:rFonts w:ascii="Arial" w:hAnsi="Arial" w:cs="Arial"/>
          <w:b/>
          <w:sz w:val="96"/>
          <w:szCs w:val="96"/>
        </w:rPr>
      </w:pPr>
      <w:r w:rsidRPr="00C84E18">
        <w:rPr>
          <w:rFonts w:ascii="Arial" w:hAnsi="Arial" w:cs="Arial"/>
          <w:b/>
          <w:sz w:val="96"/>
          <w:szCs w:val="96"/>
        </w:rPr>
        <w:t>TRADITIONAL COURTS BILL, 2017 [B1D-2017]</w:t>
      </w:r>
    </w:p>
    <w:p w:rsidR="007D7163" w:rsidRPr="00C84E18" w:rsidRDefault="007D7163" w:rsidP="007D7163">
      <w:pPr>
        <w:spacing w:line="360" w:lineRule="auto"/>
        <w:rPr>
          <w:rFonts w:ascii="Arial" w:hAnsi="Arial" w:cs="Arial"/>
          <w:sz w:val="96"/>
          <w:szCs w:val="96"/>
        </w:rPr>
      </w:pPr>
      <w:r w:rsidRPr="00C84E18">
        <w:rPr>
          <w:rFonts w:ascii="Arial" w:hAnsi="Arial" w:cs="Arial"/>
          <w:sz w:val="96"/>
          <w:szCs w:val="96"/>
        </w:rPr>
        <w:t>The Table below contains a list of amendments proposed by the National Council of Provinces on the Bill:</w:t>
      </w:r>
    </w:p>
    <w:p w:rsidR="008D3C44" w:rsidRPr="00C84E18" w:rsidRDefault="008D3C44">
      <w:pPr>
        <w:rPr>
          <w:sz w:val="96"/>
          <w:szCs w:val="96"/>
        </w:rPr>
      </w:pPr>
    </w:p>
    <w:tbl>
      <w:tblPr>
        <w:tblStyle w:val="TableGrid"/>
        <w:tblW w:w="30986" w:type="dxa"/>
        <w:tblLook w:val="04A0"/>
      </w:tblPr>
      <w:tblGrid>
        <w:gridCol w:w="4163"/>
        <w:gridCol w:w="6032"/>
        <w:gridCol w:w="7096"/>
        <w:gridCol w:w="13695"/>
      </w:tblGrid>
      <w:tr w:rsidR="008D3C44" w:rsidRPr="00C84E18" w:rsidTr="00C84E18">
        <w:tc>
          <w:tcPr>
            <w:tcW w:w="1121" w:type="dxa"/>
          </w:tcPr>
          <w:p w:rsidR="008D3C44" w:rsidRPr="00C84E18" w:rsidRDefault="00447444" w:rsidP="00605A6B">
            <w:pPr>
              <w:rPr>
                <w:rFonts w:ascii="Arial" w:hAnsi="Arial" w:cs="Arial"/>
                <w:b/>
                <w:sz w:val="96"/>
                <w:szCs w:val="96"/>
              </w:rPr>
            </w:pPr>
            <w:r w:rsidRPr="00C84E18">
              <w:rPr>
                <w:rFonts w:ascii="Arial" w:hAnsi="Arial" w:cs="Arial"/>
                <w:b/>
                <w:sz w:val="96"/>
                <w:szCs w:val="96"/>
              </w:rPr>
              <w:t>CLAUSE</w:t>
            </w:r>
          </w:p>
        </w:tc>
        <w:tc>
          <w:tcPr>
            <w:tcW w:w="2389" w:type="dxa"/>
          </w:tcPr>
          <w:p w:rsidR="008D3C44" w:rsidRPr="00C84E18" w:rsidRDefault="00447444" w:rsidP="00605A6B">
            <w:pPr>
              <w:rPr>
                <w:rFonts w:ascii="Arial" w:hAnsi="Arial" w:cs="Arial"/>
                <w:b/>
                <w:sz w:val="96"/>
                <w:szCs w:val="96"/>
              </w:rPr>
            </w:pPr>
            <w:r w:rsidRPr="00C84E18">
              <w:rPr>
                <w:rFonts w:ascii="Arial" w:hAnsi="Arial" w:cs="Arial"/>
                <w:b/>
                <w:sz w:val="96"/>
                <w:szCs w:val="96"/>
              </w:rPr>
              <w:t>BILL AS TABLED IN THE NCOP</w:t>
            </w:r>
          </w:p>
        </w:tc>
        <w:tc>
          <w:tcPr>
            <w:tcW w:w="2034" w:type="dxa"/>
          </w:tcPr>
          <w:p w:rsidR="008D3C44" w:rsidRPr="00C84E18" w:rsidRDefault="00447444" w:rsidP="00605A6B">
            <w:pPr>
              <w:rPr>
                <w:rFonts w:ascii="Arial" w:hAnsi="Arial" w:cs="Arial"/>
                <w:b/>
                <w:sz w:val="96"/>
                <w:szCs w:val="96"/>
              </w:rPr>
            </w:pPr>
            <w:r w:rsidRPr="00C84E18">
              <w:rPr>
                <w:rFonts w:ascii="Arial" w:hAnsi="Arial" w:cs="Arial"/>
                <w:b/>
                <w:sz w:val="96"/>
                <w:szCs w:val="96"/>
              </w:rPr>
              <w:t>PROPOSED AMENDMENTS</w:t>
            </w:r>
          </w:p>
        </w:tc>
        <w:tc>
          <w:tcPr>
            <w:tcW w:w="25442" w:type="dxa"/>
          </w:tcPr>
          <w:p w:rsidR="008D3C44" w:rsidRPr="00C84E18" w:rsidRDefault="00447444" w:rsidP="00605A6B">
            <w:pPr>
              <w:rPr>
                <w:rFonts w:ascii="Arial" w:hAnsi="Arial" w:cs="Arial"/>
                <w:b/>
                <w:sz w:val="96"/>
                <w:szCs w:val="96"/>
              </w:rPr>
            </w:pPr>
            <w:r w:rsidRPr="00C84E18">
              <w:rPr>
                <w:rFonts w:ascii="Arial" w:hAnsi="Arial" w:cs="Arial"/>
                <w:b/>
                <w:sz w:val="96"/>
                <w:szCs w:val="96"/>
              </w:rPr>
              <w:t>COMMENTS</w:t>
            </w:r>
          </w:p>
        </w:tc>
      </w:tr>
      <w:tr w:rsidR="008D3C44" w:rsidRPr="00C84E18" w:rsidTr="00C84E18">
        <w:tc>
          <w:tcPr>
            <w:tcW w:w="1121" w:type="dxa"/>
          </w:tcPr>
          <w:p w:rsidR="008D3C44" w:rsidRPr="00C84E18" w:rsidRDefault="00447444" w:rsidP="00605A6B">
            <w:pPr>
              <w:rPr>
                <w:sz w:val="96"/>
                <w:szCs w:val="96"/>
              </w:rPr>
            </w:pPr>
            <w:r w:rsidRPr="00C84E18">
              <w:rPr>
                <w:sz w:val="96"/>
                <w:szCs w:val="96"/>
              </w:rPr>
              <w:t>1</w:t>
            </w:r>
          </w:p>
        </w:tc>
        <w:tc>
          <w:tcPr>
            <w:tcW w:w="2389" w:type="dxa"/>
          </w:tcPr>
          <w:p w:rsidR="000D07CC" w:rsidRPr="00C84E18" w:rsidRDefault="00DD2000" w:rsidP="00605A6B">
            <w:pPr>
              <w:rPr>
                <w:sz w:val="96"/>
                <w:szCs w:val="96"/>
              </w:rPr>
            </w:pPr>
            <w:r w:rsidRPr="00C84E18">
              <w:rPr>
                <w:sz w:val="96"/>
                <w:szCs w:val="96"/>
              </w:rPr>
              <w:t>(a)  Traditional leader d</w:t>
            </w:r>
            <w:r w:rsidR="000D07CC" w:rsidRPr="00C84E18">
              <w:rPr>
                <w:sz w:val="96"/>
                <w:szCs w:val="96"/>
              </w:rPr>
              <w:t>efine</w:t>
            </w:r>
            <w:r w:rsidRPr="00C84E18">
              <w:rPr>
                <w:sz w:val="96"/>
                <w:szCs w:val="96"/>
              </w:rPr>
              <w:t xml:space="preserve">d as </w:t>
            </w:r>
            <w:r w:rsidR="000D07CC" w:rsidRPr="00C84E18">
              <w:rPr>
                <w:sz w:val="96"/>
                <w:szCs w:val="96"/>
              </w:rPr>
              <w:t xml:space="preserve"> any person who, in terms of customary law of the traditional community concerned, holds a traditional leadership position and is recognised in terms of the Traditional Leadership and Governance</w:t>
            </w:r>
          </w:p>
          <w:p w:rsidR="008D3C44" w:rsidRPr="00C84E18" w:rsidRDefault="000D07CC" w:rsidP="00605A6B">
            <w:pPr>
              <w:rPr>
                <w:sz w:val="96"/>
                <w:szCs w:val="96"/>
              </w:rPr>
            </w:pPr>
            <w:r w:rsidRPr="00C84E18">
              <w:rPr>
                <w:sz w:val="96"/>
                <w:szCs w:val="96"/>
              </w:rPr>
              <w:t>Framework Act, 2003 (Act No. 41 of 2003</w:t>
            </w:r>
            <w:r w:rsidR="00DD2000" w:rsidRPr="00C84E18">
              <w:rPr>
                <w:sz w:val="96"/>
                <w:szCs w:val="96"/>
              </w:rPr>
              <w:t>.</w:t>
            </w:r>
          </w:p>
          <w:p w:rsidR="00DD2000" w:rsidRPr="00C84E18" w:rsidRDefault="00DD2000" w:rsidP="00605A6B">
            <w:pPr>
              <w:rPr>
                <w:sz w:val="96"/>
                <w:szCs w:val="96"/>
              </w:rPr>
            </w:pPr>
          </w:p>
          <w:p w:rsidR="00DD2000" w:rsidRPr="00C84E18" w:rsidRDefault="00DD2000" w:rsidP="00605A6B">
            <w:pPr>
              <w:rPr>
                <w:sz w:val="96"/>
                <w:szCs w:val="96"/>
              </w:rPr>
            </w:pPr>
          </w:p>
          <w:p w:rsidR="00DD2000" w:rsidRPr="00C84E18" w:rsidRDefault="00DD2000" w:rsidP="00605A6B">
            <w:pPr>
              <w:rPr>
                <w:sz w:val="96"/>
                <w:szCs w:val="96"/>
              </w:rPr>
            </w:pPr>
          </w:p>
          <w:p w:rsidR="00DD2000" w:rsidRPr="00C84E18" w:rsidRDefault="00DD2000" w:rsidP="00605A6B">
            <w:pPr>
              <w:rPr>
                <w:sz w:val="96"/>
                <w:szCs w:val="96"/>
              </w:rPr>
            </w:pPr>
          </w:p>
          <w:p w:rsidR="00DD2000" w:rsidRPr="00C84E18" w:rsidRDefault="00DD2000" w:rsidP="00605A6B">
            <w:pPr>
              <w:rPr>
                <w:sz w:val="96"/>
                <w:szCs w:val="96"/>
              </w:rPr>
            </w:pPr>
            <w:r w:rsidRPr="00C84E18">
              <w:rPr>
                <w:sz w:val="96"/>
                <w:szCs w:val="96"/>
              </w:rPr>
              <w:t>(b) Traditional Leadership and Governance</w:t>
            </w:r>
          </w:p>
          <w:p w:rsidR="00DD2000" w:rsidRPr="00C84E18" w:rsidRDefault="00DD2000" w:rsidP="00605A6B">
            <w:pPr>
              <w:rPr>
                <w:sz w:val="96"/>
                <w:szCs w:val="96"/>
              </w:rPr>
            </w:pPr>
            <w:r w:rsidRPr="00C84E18">
              <w:rPr>
                <w:sz w:val="96"/>
                <w:szCs w:val="96"/>
              </w:rPr>
              <w:t>Framework Act is defined</w:t>
            </w:r>
          </w:p>
        </w:tc>
        <w:tc>
          <w:tcPr>
            <w:tcW w:w="2034" w:type="dxa"/>
          </w:tcPr>
          <w:p w:rsidR="008D3C44" w:rsidRPr="00C84E18" w:rsidRDefault="00DD2000" w:rsidP="00605A6B">
            <w:pPr>
              <w:rPr>
                <w:sz w:val="96"/>
                <w:szCs w:val="96"/>
              </w:rPr>
            </w:pPr>
            <w:r w:rsidRPr="00C84E18">
              <w:rPr>
                <w:sz w:val="96"/>
                <w:szCs w:val="96"/>
              </w:rPr>
              <w:t>(a)  Define Traditional leader as any person who, in terms of customary law of the traditional community concerned, holds a traditional leadership position and is recognised in terms of the applicable legislation providing for such recognition.</w:t>
            </w:r>
          </w:p>
          <w:p w:rsidR="00DD2000" w:rsidRPr="00C84E18" w:rsidRDefault="00DD2000" w:rsidP="00605A6B">
            <w:pPr>
              <w:rPr>
                <w:sz w:val="96"/>
                <w:szCs w:val="96"/>
              </w:rPr>
            </w:pPr>
          </w:p>
          <w:p w:rsidR="00DD2000" w:rsidRPr="00C84E18" w:rsidRDefault="00DD2000" w:rsidP="00605A6B">
            <w:pPr>
              <w:rPr>
                <w:sz w:val="96"/>
                <w:szCs w:val="96"/>
              </w:rPr>
            </w:pPr>
          </w:p>
          <w:p w:rsidR="00DD2000" w:rsidRPr="00C84E18" w:rsidRDefault="00DD2000" w:rsidP="00605A6B">
            <w:pPr>
              <w:rPr>
                <w:sz w:val="96"/>
                <w:szCs w:val="96"/>
              </w:rPr>
            </w:pPr>
            <w:r w:rsidRPr="00C84E18">
              <w:rPr>
                <w:sz w:val="96"/>
                <w:szCs w:val="96"/>
              </w:rPr>
              <w:t>(b)  Definition of Traditional Leadership and Governance</w:t>
            </w:r>
          </w:p>
          <w:p w:rsidR="00DD2000" w:rsidRPr="00C84E18" w:rsidRDefault="00DD2000" w:rsidP="00605A6B">
            <w:pPr>
              <w:rPr>
                <w:sz w:val="96"/>
                <w:szCs w:val="96"/>
              </w:rPr>
            </w:pPr>
            <w:r w:rsidRPr="00C84E18">
              <w:rPr>
                <w:sz w:val="96"/>
                <w:szCs w:val="96"/>
              </w:rPr>
              <w:t>Framework Act is consequentially deleted.</w:t>
            </w:r>
          </w:p>
        </w:tc>
        <w:tc>
          <w:tcPr>
            <w:tcW w:w="25442" w:type="dxa"/>
          </w:tcPr>
          <w:p w:rsidR="00DD2000" w:rsidRPr="00C84E18" w:rsidRDefault="00DD2000" w:rsidP="00605A6B">
            <w:pPr>
              <w:rPr>
                <w:sz w:val="96"/>
                <w:szCs w:val="96"/>
              </w:rPr>
            </w:pPr>
            <w:r w:rsidRPr="00C84E18">
              <w:rPr>
                <w:sz w:val="96"/>
                <w:szCs w:val="96"/>
              </w:rPr>
              <w:t>(a)  Reference to Traditional Leadership and Governance</w:t>
            </w:r>
          </w:p>
          <w:p w:rsidR="008D3C44" w:rsidRPr="00C84E18" w:rsidRDefault="00DD2000" w:rsidP="00605A6B">
            <w:pPr>
              <w:rPr>
                <w:sz w:val="96"/>
                <w:szCs w:val="96"/>
              </w:rPr>
            </w:pPr>
            <w:r w:rsidRPr="00C84E18">
              <w:rPr>
                <w:sz w:val="96"/>
                <w:szCs w:val="96"/>
              </w:rPr>
              <w:t xml:space="preserve">Framework Act, 2003 (Act No. 41 of 2003) is omitted and the definition is made non-legislation specific.  While comments from some stakeholders were that the definition should be aligned to the new Traditional and </w:t>
            </w:r>
            <w:proofErr w:type="spellStart"/>
            <w:r w:rsidRPr="00C84E18">
              <w:rPr>
                <w:sz w:val="96"/>
                <w:szCs w:val="96"/>
              </w:rPr>
              <w:t>Khoi</w:t>
            </w:r>
            <w:proofErr w:type="spellEnd"/>
            <w:r w:rsidRPr="00C84E18">
              <w:rPr>
                <w:sz w:val="96"/>
                <w:szCs w:val="96"/>
              </w:rPr>
              <w:t>-San Leadership Act (Act No. 3 of 2019), it was deemed it safer not to make reference to the Act because it has not been implemented.</w:t>
            </w:r>
          </w:p>
          <w:p w:rsidR="00DD2000" w:rsidRPr="00C84E18" w:rsidRDefault="00DD2000" w:rsidP="00605A6B">
            <w:pPr>
              <w:rPr>
                <w:sz w:val="96"/>
                <w:szCs w:val="96"/>
              </w:rPr>
            </w:pPr>
          </w:p>
          <w:p w:rsidR="00160EF8" w:rsidRPr="00C84E18" w:rsidRDefault="00160EF8" w:rsidP="00605A6B">
            <w:pPr>
              <w:rPr>
                <w:sz w:val="96"/>
                <w:szCs w:val="96"/>
              </w:rPr>
            </w:pPr>
          </w:p>
          <w:p w:rsidR="00160EF8" w:rsidRPr="00C84E18" w:rsidRDefault="00160EF8" w:rsidP="00605A6B">
            <w:pPr>
              <w:rPr>
                <w:sz w:val="96"/>
                <w:szCs w:val="96"/>
              </w:rPr>
            </w:pPr>
          </w:p>
          <w:p w:rsidR="00160EF8" w:rsidRPr="00C84E18" w:rsidRDefault="00160EF8" w:rsidP="00605A6B">
            <w:pPr>
              <w:rPr>
                <w:sz w:val="96"/>
                <w:szCs w:val="96"/>
              </w:rPr>
            </w:pPr>
          </w:p>
          <w:p w:rsidR="00160EF8" w:rsidRPr="00C84E18" w:rsidRDefault="00160EF8" w:rsidP="00605A6B">
            <w:pPr>
              <w:rPr>
                <w:sz w:val="96"/>
                <w:szCs w:val="96"/>
              </w:rPr>
            </w:pPr>
          </w:p>
          <w:p w:rsidR="00DD2000" w:rsidRPr="00C84E18" w:rsidRDefault="002D6C3C" w:rsidP="00605A6B">
            <w:pPr>
              <w:rPr>
                <w:sz w:val="96"/>
                <w:szCs w:val="96"/>
              </w:rPr>
            </w:pPr>
            <w:r w:rsidRPr="00C84E18">
              <w:rPr>
                <w:sz w:val="96"/>
                <w:szCs w:val="96"/>
              </w:rPr>
              <w:t xml:space="preserve">(b)  </w:t>
            </w:r>
            <w:r w:rsidR="00DD2000" w:rsidRPr="00C84E18">
              <w:rPr>
                <w:sz w:val="96"/>
                <w:szCs w:val="96"/>
              </w:rPr>
              <w:t>Definition is no longer relevant as reference to the Act is now being omitted.</w:t>
            </w:r>
          </w:p>
          <w:p w:rsidR="00DD2000" w:rsidRPr="00C84E18" w:rsidRDefault="00DD2000" w:rsidP="00605A6B">
            <w:pPr>
              <w:rPr>
                <w:sz w:val="96"/>
                <w:szCs w:val="96"/>
              </w:rPr>
            </w:pPr>
          </w:p>
        </w:tc>
      </w:tr>
      <w:tr w:rsidR="008D3C44" w:rsidRPr="00C84E18" w:rsidTr="00C84E18">
        <w:tc>
          <w:tcPr>
            <w:tcW w:w="1121" w:type="dxa"/>
          </w:tcPr>
          <w:p w:rsidR="008D3C44" w:rsidRPr="00C84E18" w:rsidRDefault="001F7665" w:rsidP="00605A6B">
            <w:pPr>
              <w:rPr>
                <w:sz w:val="96"/>
                <w:szCs w:val="96"/>
              </w:rPr>
            </w:pPr>
            <w:r w:rsidRPr="00C84E18">
              <w:rPr>
                <w:sz w:val="96"/>
                <w:szCs w:val="96"/>
              </w:rPr>
              <w:t>6</w:t>
            </w:r>
          </w:p>
        </w:tc>
        <w:tc>
          <w:tcPr>
            <w:tcW w:w="2389" w:type="dxa"/>
          </w:tcPr>
          <w:p w:rsidR="002D6C3C" w:rsidRPr="00C84E18" w:rsidRDefault="00C57C4E" w:rsidP="00605A6B">
            <w:pPr>
              <w:rPr>
                <w:sz w:val="96"/>
                <w:szCs w:val="96"/>
              </w:rPr>
            </w:pPr>
            <w:r w:rsidRPr="00C84E18">
              <w:rPr>
                <w:sz w:val="96"/>
                <w:szCs w:val="96"/>
              </w:rPr>
              <w:t xml:space="preserve">(a)  </w:t>
            </w:r>
            <w:r w:rsidR="002D6C3C" w:rsidRPr="00C84E18">
              <w:rPr>
                <w:sz w:val="96"/>
                <w:szCs w:val="96"/>
              </w:rPr>
              <w:t>Clause makes reference to the  Traditional Leadership and Governance</w:t>
            </w:r>
          </w:p>
          <w:p w:rsidR="008D3C44" w:rsidRPr="00C84E18" w:rsidRDefault="002D6C3C" w:rsidP="00605A6B">
            <w:pPr>
              <w:rPr>
                <w:sz w:val="96"/>
                <w:szCs w:val="96"/>
              </w:rPr>
            </w:pPr>
            <w:r w:rsidRPr="00C84E18">
              <w:rPr>
                <w:sz w:val="96"/>
                <w:szCs w:val="96"/>
              </w:rPr>
              <w:t>Framework Act as the Act providing for levels of traditional leadership.</w:t>
            </w: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160EF8" w:rsidRPr="00C84E18" w:rsidRDefault="00160EF8" w:rsidP="00605A6B">
            <w:pPr>
              <w:rPr>
                <w:sz w:val="96"/>
                <w:szCs w:val="96"/>
              </w:rPr>
            </w:pPr>
          </w:p>
          <w:p w:rsidR="00160EF8" w:rsidRPr="00C84E18" w:rsidRDefault="00160EF8" w:rsidP="00605A6B">
            <w:pPr>
              <w:rPr>
                <w:sz w:val="96"/>
                <w:szCs w:val="96"/>
              </w:rPr>
            </w:pPr>
          </w:p>
          <w:p w:rsidR="00C57C4E" w:rsidRPr="00C84E18" w:rsidRDefault="00C57C4E" w:rsidP="00605A6B">
            <w:pPr>
              <w:rPr>
                <w:sz w:val="96"/>
                <w:szCs w:val="96"/>
              </w:rPr>
            </w:pPr>
            <w:r w:rsidRPr="00C84E18">
              <w:rPr>
                <w:sz w:val="96"/>
                <w:szCs w:val="96"/>
              </w:rPr>
              <w:t>(b)  Clause only makes provisions for levels of traditional leadership of headman or headwoman, senior traditional leader’s court and king or queen’s court</w:t>
            </w:r>
          </w:p>
        </w:tc>
        <w:tc>
          <w:tcPr>
            <w:tcW w:w="2034" w:type="dxa"/>
          </w:tcPr>
          <w:p w:rsidR="002D6C3C" w:rsidRPr="00C84E18" w:rsidRDefault="00C57C4E" w:rsidP="00605A6B">
            <w:pPr>
              <w:rPr>
                <w:sz w:val="96"/>
                <w:szCs w:val="96"/>
              </w:rPr>
            </w:pPr>
            <w:r w:rsidRPr="00C84E18">
              <w:rPr>
                <w:sz w:val="96"/>
                <w:szCs w:val="96"/>
              </w:rPr>
              <w:t xml:space="preserve">(a)  </w:t>
            </w:r>
            <w:r w:rsidR="002D6C3C" w:rsidRPr="00C84E18">
              <w:rPr>
                <w:sz w:val="96"/>
                <w:szCs w:val="96"/>
              </w:rPr>
              <w:t>Delete reference to the  Traditional Leadership and Governance</w:t>
            </w:r>
          </w:p>
          <w:p w:rsidR="008D3C44" w:rsidRPr="00C84E18" w:rsidRDefault="002D6C3C" w:rsidP="00605A6B">
            <w:pPr>
              <w:rPr>
                <w:sz w:val="96"/>
                <w:szCs w:val="96"/>
              </w:rPr>
            </w:pPr>
            <w:r w:rsidRPr="00C84E18">
              <w:rPr>
                <w:sz w:val="96"/>
                <w:szCs w:val="96"/>
              </w:rPr>
              <w:t xml:space="preserve">Framework Act as the Act providing for levels of traditional leadership.  Reference to the Act is substituted for </w:t>
            </w:r>
            <w:r w:rsidR="00C57C4E" w:rsidRPr="00C84E18">
              <w:rPr>
                <w:sz w:val="96"/>
                <w:szCs w:val="96"/>
              </w:rPr>
              <w:t xml:space="preserve">“applicable legislation providing for such recognition”. </w:t>
            </w:r>
          </w:p>
          <w:p w:rsidR="00C57C4E" w:rsidRPr="00C84E18" w:rsidRDefault="00C57C4E" w:rsidP="00605A6B">
            <w:pPr>
              <w:rPr>
                <w:sz w:val="96"/>
                <w:szCs w:val="96"/>
              </w:rPr>
            </w:pPr>
          </w:p>
          <w:p w:rsidR="00C57C4E" w:rsidRPr="00C84E18" w:rsidRDefault="00C57C4E" w:rsidP="00605A6B">
            <w:pPr>
              <w:rPr>
                <w:sz w:val="96"/>
                <w:szCs w:val="96"/>
              </w:rPr>
            </w:pPr>
            <w:r w:rsidRPr="00C84E18">
              <w:rPr>
                <w:sz w:val="96"/>
                <w:szCs w:val="96"/>
              </w:rPr>
              <w:t>(b)  Add the level of a principal traditional leader’s court.</w:t>
            </w:r>
          </w:p>
          <w:p w:rsidR="00C57C4E" w:rsidRPr="00C84E18" w:rsidRDefault="00C57C4E" w:rsidP="00605A6B">
            <w:pPr>
              <w:rPr>
                <w:sz w:val="96"/>
                <w:szCs w:val="96"/>
              </w:rPr>
            </w:pPr>
          </w:p>
          <w:p w:rsidR="00C57C4E" w:rsidRPr="00C84E18" w:rsidRDefault="00C57C4E" w:rsidP="00605A6B">
            <w:pPr>
              <w:rPr>
                <w:sz w:val="96"/>
                <w:szCs w:val="96"/>
              </w:rPr>
            </w:pPr>
          </w:p>
        </w:tc>
        <w:tc>
          <w:tcPr>
            <w:tcW w:w="25442" w:type="dxa"/>
          </w:tcPr>
          <w:p w:rsidR="008D3C44" w:rsidRPr="00C84E18" w:rsidRDefault="008D3C44"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p>
          <w:p w:rsidR="00C57C4E" w:rsidRPr="00C84E18" w:rsidRDefault="00C57C4E" w:rsidP="00605A6B">
            <w:pPr>
              <w:rPr>
                <w:sz w:val="96"/>
                <w:szCs w:val="96"/>
              </w:rPr>
            </w:pPr>
            <w:r w:rsidRPr="00C84E18">
              <w:rPr>
                <w:sz w:val="96"/>
                <w:szCs w:val="96"/>
              </w:rPr>
              <w:t xml:space="preserve">(b)  The level of a principal traditional leader has been introduced by the new Traditional and </w:t>
            </w:r>
            <w:proofErr w:type="spellStart"/>
            <w:r w:rsidRPr="00C84E18">
              <w:rPr>
                <w:sz w:val="96"/>
                <w:szCs w:val="96"/>
              </w:rPr>
              <w:t>Khoi</w:t>
            </w:r>
            <w:proofErr w:type="spellEnd"/>
            <w:r w:rsidRPr="00C84E18">
              <w:rPr>
                <w:sz w:val="96"/>
                <w:szCs w:val="96"/>
              </w:rPr>
              <w:t>-San Leadership Act (Act No. 3 of 2019) in the hierarchy of positions of traditional leadership.</w:t>
            </w:r>
          </w:p>
        </w:tc>
      </w:tr>
      <w:tr w:rsidR="008D3C44" w:rsidRPr="00C84E18" w:rsidTr="00C84E18">
        <w:tc>
          <w:tcPr>
            <w:tcW w:w="1121" w:type="dxa"/>
          </w:tcPr>
          <w:p w:rsidR="008D3C44" w:rsidRPr="00C84E18" w:rsidRDefault="001F7665" w:rsidP="00605A6B">
            <w:pPr>
              <w:rPr>
                <w:sz w:val="96"/>
                <w:szCs w:val="96"/>
              </w:rPr>
            </w:pPr>
            <w:r w:rsidRPr="00C84E18">
              <w:rPr>
                <w:sz w:val="96"/>
                <w:szCs w:val="96"/>
              </w:rPr>
              <w:t>11</w:t>
            </w:r>
          </w:p>
        </w:tc>
        <w:tc>
          <w:tcPr>
            <w:tcW w:w="2389" w:type="dxa"/>
          </w:tcPr>
          <w:p w:rsidR="008D3C44" w:rsidRPr="00C84E18" w:rsidRDefault="002D685E" w:rsidP="00605A6B">
            <w:pPr>
              <w:rPr>
                <w:sz w:val="96"/>
                <w:szCs w:val="96"/>
              </w:rPr>
            </w:pPr>
            <w:r w:rsidRPr="00C84E18">
              <w:rPr>
                <w:sz w:val="96"/>
                <w:szCs w:val="96"/>
              </w:rPr>
              <w:t>Reference is made to section 4(3)(</w:t>
            </w:r>
            <w:r w:rsidRPr="00C84E18">
              <w:rPr>
                <w:i/>
                <w:sz w:val="96"/>
                <w:szCs w:val="96"/>
              </w:rPr>
              <w:t>f</w:t>
            </w:r>
            <w:r w:rsidRPr="00C84E18">
              <w:rPr>
                <w:sz w:val="96"/>
                <w:szCs w:val="96"/>
              </w:rPr>
              <w:t>) in clause 11(1)(a)</w:t>
            </w:r>
          </w:p>
        </w:tc>
        <w:tc>
          <w:tcPr>
            <w:tcW w:w="2034" w:type="dxa"/>
          </w:tcPr>
          <w:p w:rsidR="008D3C44" w:rsidRPr="00C84E18" w:rsidRDefault="00C66282" w:rsidP="00605A6B">
            <w:pPr>
              <w:rPr>
                <w:sz w:val="96"/>
                <w:szCs w:val="96"/>
              </w:rPr>
            </w:pPr>
            <w:r w:rsidRPr="00C84E18">
              <w:rPr>
                <w:sz w:val="96"/>
                <w:szCs w:val="96"/>
              </w:rPr>
              <w:t>Delete 4(3</w:t>
            </w:r>
            <w:proofErr w:type="gramStart"/>
            <w:r w:rsidRPr="00C84E18">
              <w:rPr>
                <w:sz w:val="96"/>
                <w:szCs w:val="96"/>
              </w:rPr>
              <w:t>)(</w:t>
            </w:r>
            <w:proofErr w:type="gramEnd"/>
            <w:r w:rsidRPr="00C84E18">
              <w:rPr>
                <w:i/>
                <w:sz w:val="96"/>
                <w:szCs w:val="96"/>
              </w:rPr>
              <w:t>f</w:t>
            </w:r>
            <w:r w:rsidRPr="00C84E18">
              <w:rPr>
                <w:sz w:val="96"/>
                <w:szCs w:val="96"/>
              </w:rPr>
              <w:t>) and replace with</w:t>
            </w:r>
            <w:r w:rsidR="002D685E" w:rsidRPr="00C84E18">
              <w:rPr>
                <w:sz w:val="96"/>
                <w:szCs w:val="96"/>
              </w:rPr>
              <w:t xml:space="preserve"> </w:t>
            </w:r>
            <w:r w:rsidRPr="00C84E18">
              <w:rPr>
                <w:sz w:val="96"/>
                <w:szCs w:val="96"/>
              </w:rPr>
              <w:t>“</w:t>
            </w:r>
            <w:r w:rsidR="002D685E" w:rsidRPr="00C84E18">
              <w:rPr>
                <w:sz w:val="96"/>
                <w:szCs w:val="96"/>
              </w:rPr>
              <w:t>4(2)</w:t>
            </w:r>
            <w:r w:rsidRPr="00C84E18">
              <w:rPr>
                <w:sz w:val="96"/>
                <w:szCs w:val="96"/>
              </w:rPr>
              <w:t>”.</w:t>
            </w:r>
          </w:p>
        </w:tc>
        <w:tc>
          <w:tcPr>
            <w:tcW w:w="25442" w:type="dxa"/>
          </w:tcPr>
          <w:p w:rsidR="008D3C44" w:rsidRPr="00C84E18" w:rsidRDefault="002D685E" w:rsidP="00605A6B">
            <w:pPr>
              <w:rPr>
                <w:sz w:val="96"/>
                <w:szCs w:val="96"/>
              </w:rPr>
            </w:pPr>
            <w:r w:rsidRPr="00C84E18">
              <w:rPr>
                <w:sz w:val="96"/>
                <w:szCs w:val="96"/>
              </w:rPr>
              <w:t xml:space="preserve">Correction of </w:t>
            </w:r>
            <w:r w:rsidR="00C66282" w:rsidRPr="00C84E18">
              <w:rPr>
                <w:sz w:val="96"/>
                <w:szCs w:val="96"/>
              </w:rPr>
              <w:t xml:space="preserve">cross </w:t>
            </w:r>
            <w:r w:rsidRPr="00C84E18">
              <w:rPr>
                <w:sz w:val="96"/>
                <w:szCs w:val="96"/>
              </w:rPr>
              <w:t>reference.</w:t>
            </w:r>
          </w:p>
          <w:p w:rsidR="002D685E" w:rsidRPr="00C84E18" w:rsidRDefault="002D685E" w:rsidP="00605A6B">
            <w:pPr>
              <w:rPr>
                <w:sz w:val="96"/>
                <w:szCs w:val="96"/>
              </w:rPr>
            </w:pPr>
          </w:p>
        </w:tc>
      </w:tr>
      <w:tr w:rsidR="001F7665" w:rsidRPr="00C84E18" w:rsidTr="00C84E18">
        <w:tc>
          <w:tcPr>
            <w:tcW w:w="1121" w:type="dxa"/>
          </w:tcPr>
          <w:p w:rsidR="001F7665" w:rsidRPr="00C84E18" w:rsidRDefault="001F7665" w:rsidP="00605A6B">
            <w:pPr>
              <w:rPr>
                <w:sz w:val="96"/>
                <w:szCs w:val="96"/>
              </w:rPr>
            </w:pPr>
            <w:r w:rsidRPr="00C84E18">
              <w:rPr>
                <w:sz w:val="96"/>
                <w:szCs w:val="96"/>
              </w:rPr>
              <w:t>16</w:t>
            </w:r>
          </w:p>
        </w:tc>
        <w:tc>
          <w:tcPr>
            <w:tcW w:w="2389" w:type="dxa"/>
          </w:tcPr>
          <w:p w:rsidR="001F7665" w:rsidRPr="00C84E18" w:rsidRDefault="00F83391" w:rsidP="00605A6B">
            <w:pPr>
              <w:rPr>
                <w:sz w:val="96"/>
                <w:szCs w:val="96"/>
              </w:rPr>
            </w:pPr>
            <w:r w:rsidRPr="00C84E18">
              <w:rPr>
                <w:sz w:val="96"/>
                <w:szCs w:val="96"/>
              </w:rPr>
              <w:t xml:space="preserve">(a)  </w:t>
            </w:r>
            <w:r w:rsidR="001759CB" w:rsidRPr="00C84E18">
              <w:rPr>
                <w:sz w:val="96"/>
                <w:szCs w:val="96"/>
              </w:rPr>
              <w:t>The</w:t>
            </w:r>
            <w:r w:rsidR="003241FE" w:rsidRPr="00C84E18">
              <w:rPr>
                <w:sz w:val="96"/>
                <w:szCs w:val="96"/>
              </w:rPr>
              <w:t xml:space="preserve"> Minister</w:t>
            </w:r>
            <w:r w:rsidR="001759CB" w:rsidRPr="00C84E18">
              <w:rPr>
                <w:sz w:val="96"/>
                <w:szCs w:val="96"/>
              </w:rPr>
              <w:t>,</w:t>
            </w:r>
            <w:r w:rsidR="003241FE" w:rsidRPr="00C84E18">
              <w:rPr>
                <w:sz w:val="96"/>
                <w:szCs w:val="96"/>
              </w:rPr>
              <w:t xml:space="preserve"> </w:t>
            </w:r>
            <w:r w:rsidR="00D56CC8" w:rsidRPr="00C84E18">
              <w:rPr>
                <w:sz w:val="96"/>
                <w:szCs w:val="96"/>
              </w:rPr>
              <w:t>must when</w:t>
            </w:r>
            <w:r w:rsidR="003241FE" w:rsidRPr="00C84E18">
              <w:rPr>
                <w:sz w:val="96"/>
                <w:szCs w:val="96"/>
              </w:rPr>
              <w:t xml:space="preserve"> compiling a code of </w:t>
            </w:r>
            <w:r w:rsidR="00D56CC8" w:rsidRPr="00C84E18">
              <w:rPr>
                <w:sz w:val="96"/>
                <w:szCs w:val="96"/>
              </w:rPr>
              <w:t>conduct for</w:t>
            </w:r>
            <w:r w:rsidR="003241FE" w:rsidRPr="00C84E18">
              <w:rPr>
                <w:sz w:val="96"/>
                <w:szCs w:val="96"/>
              </w:rPr>
              <w:t xml:space="preserve"> persons who have a role in the in the functioning of traditional courts</w:t>
            </w:r>
            <w:r w:rsidR="001759CB" w:rsidRPr="00C84E18">
              <w:rPr>
                <w:sz w:val="96"/>
                <w:szCs w:val="96"/>
              </w:rPr>
              <w:t xml:space="preserve">, do so </w:t>
            </w:r>
            <w:r w:rsidR="001759CB" w:rsidRPr="00C84E18">
              <w:rPr>
                <w:b/>
                <w:sz w:val="96"/>
                <w:szCs w:val="96"/>
              </w:rPr>
              <w:t>in consultation</w:t>
            </w:r>
            <w:r w:rsidR="001759CB" w:rsidRPr="00C84E18">
              <w:rPr>
                <w:sz w:val="96"/>
                <w:szCs w:val="96"/>
              </w:rPr>
              <w:t xml:space="preserve"> with the Cabinet member responsible for traditional affairs</w:t>
            </w:r>
            <w:r w:rsidR="00D56CC8" w:rsidRPr="00C84E18">
              <w:rPr>
                <w:sz w:val="96"/>
                <w:szCs w:val="96"/>
              </w:rPr>
              <w:t xml:space="preserve">.  Further, the code must be reviewed once in every three years, by the Minister acting </w:t>
            </w:r>
            <w:r w:rsidR="00D56CC8" w:rsidRPr="00C84E18">
              <w:rPr>
                <w:b/>
                <w:sz w:val="96"/>
                <w:szCs w:val="96"/>
              </w:rPr>
              <w:t>in consultation</w:t>
            </w:r>
            <w:r w:rsidR="00D56CC8" w:rsidRPr="00C84E18">
              <w:rPr>
                <w:sz w:val="96"/>
                <w:szCs w:val="96"/>
              </w:rPr>
              <w:t xml:space="preserve"> </w:t>
            </w:r>
            <w:r w:rsidRPr="00C84E18">
              <w:rPr>
                <w:sz w:val="96"/>
                <w:szCs w:val="96"/>
              </w:rPr>
              <w:t>with the</w:t>
            </w:r>
            <w:r w:rsidR="00D56CC8" w:rsidRPr="00C84E18">
              <w:rPr>
                <w:sz w:val="96"/>
                <w:szCs w:val="96"/>
              </w:rPr>
              <w:t xml:space="preserve"> Minister responsible for traditional affairs</w:t>
            </w:r>
            <w:r w:rsidRPr="00C84E18">
              <w:rPr>
                <w:sz w:val="96"/>
                <w:szCs w:val="96"/>
              </w:rPr>
              <w:t>.</w:t>
            </w:r>
          </w:p>
          <w:p w:rsidR="00F83391" w:rsidRPr="00C84E18" w:rsidRDefault="00F83391" w:rsidP="00605A6B">
            <w:pPr>
              <w:rPr>
                <w:sz w:val="96"/>
                <w:szCs w:val="96"/>
              </w:rPr>
            </w:pPr>
          </w:p>
          <w:p w:rsidR="00426BF9" w:rsidRPr="00C84E18" w:rsidRDefault="00426BF9" w:rsidP="00605A6B">
            <w:pPr>
              <w:rPr>
                <w:sz w:val="96"/>
                <w:szCs w:val="96"/>
              </w:rPr>
            </w:pPr>
          </w:p>
          <w:p w:rsidR="00426BF9" w:rsidRPr="00C84E18" w:rsidRDefault="00426BF9" w:rsidP="00605A6B">
            <w:pPr>
              <w:rPr>
                <w:sz w:val="96"/>
                <w:szCs w:val="96"/>
              </w:rPr>
            </w:pPr>
          </w:p>
          <w:p w:rsidR="00426BF9" w:rsidRPr="00C84E18" w:rsidRDefault="00426BF9" w:rsidP="00605A6B">
            <w:pPr>
              <w:rPr>
                <w:sz w:val="96"/>
                <w:szCs w:val="96"/>
              </w:rPr>
            </w:pPr>
          </w:p>
          <w:p w:rsidR="00426BF9" w:rsidRPr="00C84E18" w:rsidRDefault="00426BF9" w:rsidP="00605A6B">
            <w:pPr>
              <w:rPr>
                <w:sz w:val="96"/>
                <w:szCs w:val="96"/>
              </w:rPr>
            </w:pPr>
          </w:p>
          <w:p w:rsidR="00426BF9" w:rsidRPr="00C84E18" w:rsidRDefault="00426BF9" w:rsidP="00605A6B">
            <w:pPr>
              <w:rPr>
                <w:sz w:val="96"/>
                <w:szCs w:val="96"/>
              </w:rPr>
            </w:pPr>
          </w:p>
          <w:p w:rsidR="00426BF9" w:rsidRPr="00C84E18" w:rsidRDefault="00426BF9" w:rsidP="00605A6B">
            <w:pPr>
              <w:rPr>
                <w:sz w:val="96"/>
                <w:szCs w:val="96"/>
              </w:rPr>
            </w:pPr>
          </w:p>
          <w:p w:rsidR="00426BF9" w:rsidRPr="00C84E18" w:rsidRDefault="00426BF9" w:rsidP="00605A6B">
            <w:pPr>
              <w:rPr>
                <w:sz w:val="96"/>
                <w:szCs w:val="96"/>
              </w:rPr>
            </w:pPr>
          </w:p>
          <w:p w:rsidR="00F83391" w:rsidRPr="00C84E18" w:rsidRDefault="00F83391" w:rsidP="00605A6B">
            <w:pPr>
              <w:rPr>
                <w:sz w:val="96"/>
                <w:szCs w:val="96"/>
              </w:rPr>
            </w:pPr>
            <w:r w:rsidRPr="00C84E18">
              <w:rPr>
                <w:sz w:val="96"/>
                <w:szCs w:val="96"/>
              </w:rPr>
              <w:t>(b)</w:t>
            </w:r>
            <w:r w:rsidR="00341A04" w:rsidRPr="00C84E18">
              <w:rPr>
                <w:sz w:val="96"/>
                <w:szCs w:val="96"/>
              </w:rPr>
              <w:t xml:space="preserve">  </w:t>
            </w:r>
            <w:r w:rsidR="00BD09F1" w:rsidRPr="00C84E18">
              <w:rPr>
                <w:sz w:val="96"/>
                <w:szCs w:val="96"/>
              </w:rPr>
              <w:t>Any breach of the code of conduct must be reported to the House of Traditional Leaders and the Provincial House of Traditional Leaders may impose any of the remedial steps listed in the Bill.</w:t>
            </w:r>
          </w:p>
        </w:tc>
        <w:tc>
          <w:tcPr>
            <w:tcW w:w="2034" w:type="dxa"/>
          </w:tcPr>
          <w:p w:rsidR="00426BF9" w:rsidRPr="00C84E18" w:rsidRDefault="00F83391" w:rsidP="00605A6B">
            <w:pPr>
              <w:rPr>
                <w:sz w:val="96"/>
                <w:szCs w:val="96"/>
              </w:rPr>
            </w:pPr>
            <w:r w:rsidRPr="00C84E18">
              <w:rPr>
                <w:sz w:val="96"/>
                <w:szCs w:val="96"/>
              </w:rPr>
              <w:t xml:space="preserve">(a)  </w:t>
            </w:r>
            <w:r w:rsidR="00426BF9" w:rsidRPr="00C84E18">
              <w:rPr>
                <w:sz w:val="96"/>
                <w:szCs w:val="96"/>
              </w:rPr>
              <w:t xml:space="preserve">The Minister must when compiling a code of conduct for persons who have a role in the in the functioning of traditional courts, do so </w:t>
            </w:r>
            <w:r w:rsidR="00426BF9" w:rsidRPr="00C84E18">
              <w:rPr>
                <w:b/>
                <w:sz w:val="96"/>
                <w:szCs w:val="96"/>
              </w:rPr>
              <w:t xml:space="preserve">after </w:t>
            </w:r>
            <w:r w:rsidR="00426BF9" w:rsidRPr="00C84E18">
              <w:rPr>
                <w:sz w:val="96"/>
                <w:szCs w:val="96"/>
              </w:rPr>
              <w:t>consultation with the Cabinet member responsible for traditional affairs.  Furthermore, the code must be reviewed once in every three years, by the Minister after consultation with the Minister responsible for traditional affairs.</w:t>
            </w:r>
          </w:p>
          <w:p w:rsidR="001F7665" w:rsidRPr="00C84E18" w:rsidRDefault="001F7665" w:rsidP="00605A6B">
            <w:pPr>
              <w:rPr>
                <w:sz w:val="96"/>
                <w:szCs w:val="96"/>
              </w:rPr>
            </w:pPr>
          </w:p>
          <w:p w:rsidR="00F83391" w:rsidRPr="00C84E18" w:rsidRDefault="00F83391" w:rsidP="00605A6B">
            <w:pPr>
              <w:rPr>
                <w:sz w:val="96"/>
                <w:szCs w:val="96"/>
              </w:rPr>
            </w:pPr>
          </w:p>
          <w:p w:rsidR="00F83391" w:rsidRPr="00C84E18" w:rsidRDefault="00F83391" w:rsidP="00605A6B">
            <w:pPr>
              <w:rPr>
                <w:sz w:val="96"/>
                <w:szCs w:val="96"/>
              </w:rPr>
            </w:pPr>
            <w:r w:rsidRPr="00C84E18">
              <w:rPr>
                <w:sz w:val="96"/>
                <w:szCs w:val="96"/>
              </w:rPr>
              <w:t>(b)</w:t>
            </w:r>
            <w:r w:rsidR="00BD09F1" w:rsidRPr="00C84E18">
              <w:rPr>
                <w:sz w:val="96"/>
                <w:szCs w:val="96"/>
              </w:rPr>
              <w:t xml:space="preserve">  Any breach of the code of conduct must be reported to the member of the executive council responsible for traditional affairs and the said member of the executive council may impose any of the remedial steps listed in the Bill. </w:t>
            </w:r>
          </w:p>
        </w:tc>
        <w:tc>
          <w:tcPr>
            <w:tcW w:w="25442" w:type="dxa"/>
          </w:tcPr>
          <w:p w:rsidR="00F83391" w:rsidRPr="00C84E18" w:rsidRDefault="00F83391" w:rsidP="00605A6B">
            <w:pPr>
              <w:rPr>
                <w:sz w:val="96"/>
                <w:szCs w:val="96"/>
              </w:rPr>
            </w:pPr>
            <w:r w:rsidRPr="00C84E18">
              <w:rPr>
                <w:sz w:val="96"/>
                <w:szCs w:val="96"/>
              </w:rPr>
              <w:t>(a)</w:t>
            </w:r>
            <w:r w:rsidR="00426BF9" w:rsidRPr="00C84E18">
              <w:rPr>
                <w:sz w:val="96"/>
                <w:szCs w:val="96"/>
              </w:rPr>
              <w:t xml:space="preserve">  </w:t>
            </w:r>
            <w:r w:rsidR="00EA6200" w:rsidRPr="00C84E18">
              <w:rPr>
                <w:sz w:val="96"/>
                <w:szCs w:val="96"/>
              </w:rPr>
              <w:t xml:space="preserve">The requirement that the Minister compiles a code in consultation would require that the Minister consults before exercising the power of compiling the Code, and he or she must secure the consent of the person to be consulted.  </w:t>
            </w:r>
            <w:r w:rsidR="00083F65" w:rsidRPr="00C84E18">
              <w:rPr>
                <w:sz w:val="96"/>
                <w:szCs w:val="96"/>
              </w:rPr>
              <w:t xml:space="preserve">However, </w:t>
            </w:r>
            <w:r w:rsidR="00EA6200" w:rsidRPr="00C84E18">
              <w:rPr>
                <w:sz w:val="96"/>
                <w:szCs w:val="96"/>
              </w:rPr>
              <w:t xml:space="preserve">where the Minister is required to </w:t>
            </w:r>
            <w:r w:rsidR="00083F65" w:rsidRPr="00C84E18">
              <w:rPr>
                <w:sz w:val="96"/>
                <w:szCs w:val="96"/>
              </w:rPr>
              <w:t xml:space="preserve">compile the code after consultation, he or she is only required to consult prior to exercising the power, without having to obtain the consent of the functionary to be consulted.  In this case, the power of the Minister to perform his or her functions will not be constrained, because the Minister retains the responsibility </w:t>
            </w:r>
            <w:r w:rsidR="00605A6B" w:rsidRPr="00C84E18">
              <w:rPr>
                <w:sz w:val="96"/>
                <w:szCs w:val="96"/>
              </w:rPr>
              <w:t>to exercise</w:t>
            </w:r>
            <w:r w:rsidR="00083F65" w:rsidRPr="00C84E18">
              <w:rPr>
                <w:sz w:val="96"/>
                <w:szCs w:val="96"/>
              </w:rPr>
              <w:t xml:space="preserve"> the power.</w:t>
            </w:r>
          </w:p>
          <w:p w:rsidR="00F83391" w:rsidRPr="00C84E18" w:rsidRDefault="00F83391" w:rsidP="00605A6B">
            <w:pPr>
              <w:rPr>
                <w:sz w:val="96"/>
                <w:szCs w:val="96"/>
              </w:rPr>
            </w:pPr>
          </w:p>
          <w:p w:rsidR="00F83391" w:rsidRPr="00C84E18" w:rsidRDefault="00F83391" w:rsidP="00605A6B">
            <w:pPr>
              <w:rPr>
                <w:sz w:val="96"/>
                <w:szCs w:val="96"/>
              </w:rPr>
            </w:pPr>
          </w:p>
          <w:p w:rsidR="00F83391" w:rsidRPr="00C84E18" w:rsidRDefault="00F83391" w:rsidP="00605A6B">
            <w:pPr>
              <w:rPr>
                <w:sz w:val="96"/>
                <w:szCs w:val="96"/>
              </w:rPr>
            </w:pPr>
          </w:p>
          <w:p w:rsidR="00F83391" w:rsidRPr="00C84E18" w:rsidRDefault="00F83391" w:rsidP="00605A6B">
            <w:pPr>
              <w:rPr>
                <w:sz w:val="96"/>
                <w:szCs w:val="96"/>
              </w:rPr>
            </w:pPr>
          </w:p>
          <w:p w:rsidR="00F83391" w:rsidRPr="00C84E18" w:rsidRDefault="00F83391" w:rsidP="00605A6B">
            <w:pPr>
              <w:rPr>
                <w:sz w:val="96"/>
                <w:szCs w:val="96"/>
              </w:rPr>
            </w:pPr>
          </w:p>
          <w:p w:rsidR="001F7665" w:rsidRPr="00C84E18" w:rsidRDefault="00341A04" w:rsidP="00605A6B">
            <w:pPr>
              <w:rPr>
                <w:sz w:val="96"/>
                <w:szCs w:val="96"/>
              </w:rPr>
            </w:pPr>
            <w:r w:rsidRPr="00C84E18">
              <w:rPr>
                <w:sz w:val="96"/>
                <w:szCs w:val="96"/>
              </w:rPr>
              <w:t xml:space="preserve">(b)  </w:t>
            </w:r>
            <w:r w:rsidR="00F83391" w:rsidRPr="00C84E18">
              <w:rPr>
                <w:sz w:val="96"/>
                <w:szCs w:val="96"/>
              </w:rPr>
              <w:t xml:space="preserve">  </w:t>
            </w:r>
            <w:r w:rsidR="00BD09F1" w:rsidRPr="00C84E18">
              <w:rPr>
                <w:sz w:val="96"/>
                <w:szCs w:val="96"/>
              </w:rPr>
              <w:t xml:space="preserve">This will ensure objectivity and accountability and so </w:t>
            </w:r>
            <w:r w:rsidR="00426BF9" w:rsidRPr="00C84E18">
              <w:rPr>
                <w:sz w:val="96"/>
                <w:szCs w:val="96"/>
              </w:rPr>
              <w:t>that traditional</w:t>
            </w:r>
            <w:r w:rsidR="00BD09F1" w:rsidRPr="00C84E18">
              <w:rPr>
                <w:sz w:val="96"/>
                <w:szCs w:val="96"/>
              </w:rPr>
              <w:t xml:space="preserve"> leaders do not become judges in their own court.</w:t>
            </w:r>
          </w:p>
        </w:tc>
      </w:tr>
      <w:tr w:rsidR="001F7665" w:rsidRPr="00C84E18" w:rsidTr="00C84E18">
        <w:tc>
          <w:tcPr>
            <w:tcW w:w="1121" w:type="dxa"/>
          </w:tcPr>
          <w:p w:rsidR="001F7665" w:rsidRPr="00C84E18" w:rsidRDefault="001F7665" w:rsidP="00605A6B">
            <w:pPr>
              <w:rPr>
                <w:sz w:val="96"/>
                <w:szCs w:val="96"/>
              </w:rPr>
            </w:pPr>
            <w:r w:rsidRPr="00C84E18">
              <w:rPr>
                <w:sz w:val="96"/>
                <w:szCs w:val="96"/>
              </w:rPr>
              <w:t>18</w:t>
            </w:r>
          </w:p>
        </w:tc>
        <w:tc>
          <w:tcPr>
            <w:tcW w:w="2389" w:type="dxa"/>
          </w:tcPr>
          <w:p w:rsidR="001F7665" w:rsidRPr="00C84E18" w:rsidRDefault="00C66282" w:rsidP="00605A6B">
            <w:pPr>
              <w:rPr>
                <w:sz w:val="96"/>
                <w:szCs w:val="96"/>
              </w:rPr>
            </w:pPr>
            <w:r w:rsidRPr="00C84E18">
              <w:rPr>
                <w:sz w:val="96"/>
                <w:szCs w:val="96"/>
              </w:rPr>
              <w:t>Clause does not provide for the repeal of sections 12 and 20 of the Black Administration Act, dealing with the judicial functions of traditional leaders.</w:t>
            </w:r>
          </w:p>
        </w:tc>
        <w:tc>
          <w:tcPr>
            <w:tcW w:w="2034" w:type="dxa"/>
          </w:tcPr>
          <w:p w:rsidR="001F7665" w:rsidRPr="00C84E18" w:rsidRDefault="00C66282" w:rsidP="00605A6B">
            <w:pPr>
              <w:rPr>
                <w:sz w:val="96"/>
                <w:szCs w:val="96"/>
              </w:rPr>
            </w:pPr>
            <w:r w:rsidRPr="00C84E18">
              <w:rPr>
                <w:sz w:val="96"/>
                <w:szCs w:val="96"/>
              </w:rPr>
              <w:t>Provide for the repeal of sections 12 and 20 of the Black Administration Act.</w:t>
            </w:r>
          </w:p>
        </w:tc>
        <w:tc>
          <w:tcPr>
            <w:tcW w:w="25442" w:type="dxa"/>
          </w:tcPr>
          <w:p w:rsidR="001F7665" w:rsidRPr="00C84E18" w:rsidRDefault="00C66282" w:rsidP="00605A6B">
            <w:pPr>
              <w:rPr>
                <w:sz w:val="96"/>
                <w:szCs w:val="96"/>
              </w:rPr>
            </w:pPr>
            <w:r w:rsidRPr="00C84E18">
              <w:rPr>
                <w:sz w:val="96"/>
                <w:szCs w:val="96"/>
              </w:rPr>
              <w:t>This is to ensure legal certainty.</w:t>
            </w:r>
          </w:p>
        </w:tc>
      </w:tr>
      <w:tr w:rsidR="001F7665" w:rsidRPr="00C84E18" w:rsidTr="00C84E18">
        <w:tc>
          <w:tcPr>
            <w:tcW w:w="1121" w:type="dxa"/>
          </w:tcPr>
          <w:p w:rsidR="001F7665" w:rsidRPr="00C84E18" w:rsidRDefault="001F7665" w:rsidP="00605A6B">
            <w:pPr>
              <w:rPr>
                <w:sz w:val="96"/>
                <w:szCs w:val="96"/>
              </w:rPr>
            </w:pPr>
            <w:r w:rsidRPr="00C84E18">
              <w:rPr>
                <w:sz w:val="96"/>
                <w:szCs w:val="96"/>
              </w:rPr>
              <w:t>19</w:t>
            </w:r>
          </w:p>
        </w:tc>
        <w:tc>
          <w:tcPr>
            <w:tcW w:w="2389" w:type="dxa"/>
          </w:tcPr>
          <w:p w:rsidR="000D07CC" w:rsidRPr="00C84E18" w:rsidRDefault="000D07CC" w:rsidP="00605A6B">
            <w:pPr>
              <w:rPr>
                <w:sz w:val="96"/>
                <w:szCs w:val="96"/>
              </w:rPr>
            </w:pPr>
            <w:r w:rsidRPr="00C84E18">
              <w:rPr>
                <w:sz w:val="96"/>
                <w:szCs w:val="96"/>
              </w:rPr>
              <w:t>Short title reads as:</w:t>
            </w:r>
            <w:r w:rsidRPr="00C84E18">
              <w:rPr>
                <w:b/>
                <w:sz w:val="96"/>
                <w:szCs w:val="96"/>
              </w:rPr>
              <w:t xml:space="preserve"> </w:t>
            </w:r>
            <w:r w:rsidRPr="00C84E18">
              <w:rPr>
                <w:sz w:val="96"/>
                <w:szCs w:val="96"/>
              </w:rPr>
              <w:t>Traditional Courts Act, 2019</w:t>
            </w:r>
          </w:p>
          <w:p w:rsidR="001F7665" w:rsidRPr="00C84E18" w:rsidRDefault="001F7665" w:rsidP="00605A6B">
            <w:pPr>
              <w:rPr>
                <w:sz w:val="96"/>
                <w:szCs w:val="96"/>
              </w:rPr>
            </w:pPr>
          </w:p>
        </w:tc>
        <w:tc>
          <w:tcPr>
            <w:tcW w:w="2034" w:type="dxa"/>
          </w:tcPr>
          <w:p w:rsidR="000D07CC" w:rsidRPr="00C84E18" w:rsidRDefault="000D07CC" w:rsidP="00605A6B">
            <w:pPr>
              <w:rPr>
                <w:sz w:val="96"/>
                <w:szCs w:val="96"/>
              </w:rPr>
            </w:pPr>
            <w:r w:rsidRPr="00C84E18">
              <w:rPr>
                <w:sz w:val="96"/>
                <w:szCs w:val="96"/>
              </w:rPr>
              <w:t>Short title to read as:</w:t>
            </w:r>
            <w:r w:rsidRPr="00C84E18">
              <w:rPr>
                <w:b/>
                <w:sz w:val="96"/>
                <w:szCs w:val="96"/>
              </w:rPr>
              <w:t xml:space="preserve"> </w:t>
            </w:r>
            <w:r w:rsidRPr="00C84E18">
              <w:rPr>
                <w:sz w:val="96"/>
                <w:szCs w:val="96"/>
              </w:rPr>
              <w:t>Traditional Courts Act, 2020</w:t>
            </w:r>
          </w:p>
          <w:p w:rsidR="001F7665" w:rsidRPr="00C84E18" w:rsidRDefault="001F7665" w:rsidP="00605A6B">
            <w:pPr>
              <w:rPr>
                <w:sz w:val="96"/>
                <w:szCs w:val="96"/>
              </w:rPr>
            </w:pPr>
          </w:p>
        </w:tc>
        <w:tc>
          <w:tcPr>
            <w:tcW w:w="25442" w:type="dxa"/>
          </w:tcPr>
          <w:p w:rsidR="001F7665" w:rsidRPr="00C84E18" w:rsidRDefault="001F7665" w:rsidP="00605A6B">
            <w:pPr>
              <w:rPr>
                <w:sz w:val="96"/>
                <w:szCs w:val="96"/>
              </w:rPr>
            </w:pPr>
          </w:p>
        </w:tc>
      </w:tr>
    </w:tbl>
    <w:p w:rsidR="00397007" w:rsidRDefault="00397007" w:rsidP="00605A6B"/>
    <w:sectPr w:rsidR="00397007" w:rsidSect="00304AD3">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0E3" w:rsidRDefault="00C260E3" w:rsidP="000A0074">
      <w:pPr>
        <w:spacing w:after="0" w:line="240" w:lineRule="auto"/>
      </w:pPr>
      <w:r>
        <w:separator/>
      </w:r>
    </w:p>
  </w:endnote>
  <w:endnote w:type="continuationSeparator" w:id="0">
    <w:p w:rsidR="00C260E3" w:rsidRDefault="00C260E3" w:rsidP="000A0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0E3" w:rsidRDefault="00C260E3" w:rsidP="000A0074">
      <w:pPr>
        <w:spacing w:after="0" w:line="240" w:lineRule="auto"/>
      </w:pPr>
      <w:r>
        <w:separator/>
      </w:r>
    </w:p>
  </w:footnote>
  <w:footnote w:type="continuationSeparator" w:id="0">
    <w:p w:rsidR="00C260E3" w:rsidRDefault="00C260E3" w:rsidP="000A00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925550"/>
      <w:docPartObj>
        <w:docPartGallery w:val="Page Numbers (Top of Page)"/>
        <w:docPartUnique/>
      </w:docPartObj>
    </w:sdtPr>
    <w:sdtEndPr>
      <w:rPr>
        <w:noProof/>
      </w:rPr>
    </w:sdtEndPr>
    <w:sdtContent>
      <w:p w:rsidR="000A0074" w:rsidRDefault="00304AD3">
        <w:pPr>
          <w:pStyle w:val="Header"/>
          <w:jc w:val="center"/>
        </w:pPr>
        <w:r>
          <w:fldChar w:fldCharType="begin"/>
        </w:r>
        <w:r w:rsidR="000A0074">
          <w:instrText xml:space="preserve"> PAGE   \* MERGEFORMAT </w:instrText>
        </w:r>
        <w:r>
          <w:fldChar w:fldCharType="separate"/>
        </w:r>
        <w:r w:rsidR="000A0074">
          <w:rPr>
            <w:noProof/>
          </w:rPr>
          <w:t>1</w:t>
        </w:r>
        <w:r>
          <w:rPr>
            <w:noProof/>
          </w:rPr>
          <w:fldChar w:fldCharType="end"/>
        </w:r>
      </w:p>
    </w:sdtContent>
  </w:sdt>
  <w:p w:rsidR="000A0074" w:rsidRDefault="000A00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2"/>
  <w:proofState w:spelling="clean" w:grammar="clean"/>
  <w:defaultTabStop w:val="720"/>
  <w:characterSpacingControl w:val="doNotCompress"/>
  <w:footnotePr>
    <w:footnote w:id="-1"/>
    <w:footnote w:id="0"/>
  </w:footnotePr>
  <w:endnotePr>
    <w:endnote w:id="-1"/>
    <w:endnote w:id="0"/>
  </w:endnotePr>
  <w:compat/>
  <w:rsids>
    <w:rsidRoot w:val="008D3C44"/>
    <w:rsid w:val="00083F65"/>
    <w:rsid w:val="000A0074"/>
    <w:rsid w:val="000D07CC"/>
    <w:rsid w:val="00160EF8"/>
    <w:rsid w:val="001759CB"/>
    <w:rsid w:val="001F7665"/>
    <w:rsid w:val="002D685E"/>
    <w:rsid w:val="002D6C3C"/>
    <w:rsid w:val="00304AD3"/>
    <w:rsid w:val="003241FE"/>
    <w:rsid w:val="00341A04"/>
    <w:rsid w:val="00397007"/>
    <w:rsid w:val="00426BF9"/>
    <w:rsid w:val="00447444"/>
    <w:rsid w:val="004E3547"/>
    <w:rsid w:val="00586504"/>
    <w:rsid w:val="00605A6B"/>
    <w:rsid w:val="007D7163"/>
    <w:rsid w:val="007E0695"/>
    <w:rsid w:val="008D3C44"/>
    <w:rsid w:val="00BD09F1"/>
    <w:rsid w:val="00C260E3"/>
    <w:rsid w:val="00C57C4E"/>
    <w:rsid w:val="00C66282"/>
    <w:rsid w:val="00C73A37"/>
    <w:rsid w:val="00C84E18"/>
    <w:rsid w:val="00D56CC8"/>
    <w:rsid w:val="00DD2000"/>
    <w:rsid w:val="00EA6200"/>
    <w:rsid w:val="00F833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74"/>
  </w:style>
  <w:style w:type="paragraph" w:styleId="Footer">
    <w:name w:val="footer"/>
    <w:basedOn w:val="Normal"/>
    <w:link w:val="FooterChar"/>
    <w:uiPriority w:val="99"/>
    <w:unhideWhenUsed/>
    <w:rsid w:val="000A0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74"/>
  </w:style>
</w:styles>
</file>

<file path=word/webSettings.xml><?xml version="1.0" encoding="utf-8"?>
<w:webSettings xmlns:r="http://schemas.openxmlformats.org/officeDocument/2006/relationships" xmlns:w="http://schemas.openxmlformats.org/wordprocessingml/2006/main">
  <w:divs>
    <w:div w:id="21224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Theresa</dc:creator>
  <cp:lastModifiedBy>USER</cp:lastModifiedBy>
  <cp:revision>2</cp:revision>
  <dcterms:created xsi:type="dcterms:W3CDTF">2021-02-10T13:16:00Z</dcterms:created>
  <dcterms:modified xsi:type="dcterms:W3CDTF">2021-02-10T13:16:00Z</dcterms:modified>
</cp:coreProperties>
</file>