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9" w:rsidRPr="00080577" w:rsidRDefault="00080577" w:rsidP="00080577">
      <w:r w:rsidRPr="00080577">
        <w:rPr>
          <w:rFonts w:ascii="Verdana" w:eastAsia="Times New Roman" w:hAnsi="Verdana" w:cs="Times New Roman"/>
          <w:b/>
          <w:bCs/>
          <w:color w:val="46576B"/>
          <w:sz w:val="18"/>
          <w:szCs w:val="18"/>
          <w:lang w:eastAsia="en-ZA"/>
        </w:rPr>
        <w:t>MEDIA STATEMENT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b/>
          <w:bCs/>
          <w:color w:val="46576B"/>
          <w:sz w:val="18"/>
          <w:szCs w:val="18"/>
          <w:lang w:eastAsia="en-ZA"/>
        </w:rPr>
        <w:t> 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b/>
          <w:bCs/>
          <w:color w:val="46576B"/>
          <w:sz w:val="18"/>
          <w:szCs w:val="18"/>
          <w:lang w:eastAsia="en-ZA"/>
        </w:rPr>
        <w:t>POWERS AND PRIVILEGES COMMITTEE CONCLUDES HEARINGS ON 11 JULY 2019 INCIDENT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b/>
          <w:bCs/>
          <w:color w:val="46576B"/>
          <w:sz w:val="18"/>
          <w:szCs w:val="18"/>
          <w:lang w:eastAsia="en-ZA"/>
        </w:rPr>
        <w:t> 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b/>
          <w:bCs/>
          <w:color w:val="46576B"/>
          <w:sz w:val="18"/>
          <w:szCs w:val="18"/>
          <w:lang w:eastAsia="en-ZA"/>
        </w:rPr>
        <w:t>Parliament, Thursday, 26 November 2020 </w:t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– The Powers and Privileges Committee today concluded hearings into the incident that took place on 11 July 2019 during the budget vote speech of the Minister of Public Enterprises, Mr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Pravin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Gordhan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.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 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The committee started today’s proceedings by allowing Members of the committee to ask questions from Mr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Collen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Mahlangu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, the witness who gave oral evidence yesterday. It was clarified that the questions from members was a discretion that the Chairperson was extending to Members in the interest of fairness, as the Rules of the National Assembly do not make provision for such an action.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 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The committee also received oral evidence from Ms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Matlala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 Grace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Borotho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, the House Chairperson for Internal Matters in the National Assembly. Ms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Borotho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 was the presiding officer at the mini-plenary when the incident occurred. The committee made it clear that the witnesses called to give oral evidence at these hearings do so as fact-finding witnesses. The committee concluded the hearings by hearing oral evidence from Mr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Tebello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Maleeme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, the Deputy Sergeant-at-Arms who is currently acting as the Sergeant-at-Arms of the National Assembly. Mr </w:t>
      </w:r>
      <w:proofErr w:type="spellStart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Maleeme</w:t>
      </w:r>
      <w:proofErr w:type="spellEnd"/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 xml:space="preserve"> was on duty when the incident occurred.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 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The committee will meet at a later date to consider closing arguments from the Initiator. Thereafter the committee will deliberate on the closing arguments and compile a report to be tabled before the National Assembly.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 w:rsidRPr="00080577"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t> </w:t>
      </w:r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proofErr w:type="gramStart"/>
      <w:r w:rsidRPr="00080577">
        <w:rPr>
          <w:rFonts w:ascii="Verdana" w:eastAsia="Times New Roman" w:hAnsi="Verdana" w:cs="Times New Roman"/>
          <w:b/>
          <w:bCs/>
          <w:color w:val="46576B"/>
          <w:sz w:val="18"/>
          <w:szCs w:val="18"/>
          <w:lang w:eastAsia="en-ZA"/>
        </w:rPr>
        <w:t>ISSUED BY THE PARLIAMENTARY COMMUNICATION SERVICES ON BEHALF OF THE CHAIRPERSON OF THE POWERS AND PRIVILEGES COMMITTEE, MR PHILLY MAPULANE.</w:t>
      </w:r>
      <w:proofErr w:type="gramEnd"/>
      <w:r>
        <w:rPr>
          <w:rFonts w:ascii="Verdana" w:eastAsia="Times New Roman" w:hAnsi="Verdana" w:cs="Times New Roman"/>
          <w:color w:val="46576B"/>
          <w:sz w:val="18"/>
          <w:szCs w:val="18"/>
          <w:lang w:eastAsia="en-ZA"/>
        </w:rPr>
        <w:br/>
      </w:r>
      <w:r>
        <w:br/>
      </w:r>
    </w:p>
    <w:sectPr w:rsidR="00155E29" w:rsidRPr="00080577" w:rsidSect="0015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F13"/>
    <w:rsid w:val="00080577"/>
    <w:rsid w:val="00155E29"/>
    <w:rsid w:val="001730FD"/>
    <w:rsid w:val="006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69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2020-11-27T08:16:00Z</dcterms:created>
  <dcterms:modified xsi:type="dcterms:W3CDTF">2020-11-27T08:16:00Z</dcterms:modified>
</cp:coreProperties>
</file>