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rawings/drawing4.xml" ContentType="application/vnd.openxmlformats-officedocument.drawingml.chartshapes+xml"/>
  <Override PartName="/word/charts/chart9.xml" ContentType="application/vnd.openxmlformats-officedocument.drawingml.chart+xml"/>
  <Override PartName="/word/diagrams/layout9.xml" ContentType="application/vnd.openxmlformats-officedocument.drawingml.diagramLayout+xml"/>
  <Override PartName="/word/diagrams/drawing4.xml" ContentType="application/vnd.ms-office.drawingml.diagramDrawing+xml"/>
  <Override PartName="/word/drawings/drawing2.xml" ContentType="application/vnd.openxmlformats-officedocument.drawingml.chartshapes+xml"/>
  <Override PartName="/word/charts/chart7.xml" ContentType="application/vnd.openxmlformats-officedocument.drawingml.chart+xml"/>
  <Override PartName="/word/diagrams/layout7.xml" ContentType="application/vnd.openxmlformats-officedocument.drawingml.diagramLayout+xml"/>
  <Override PartName="/word/diagrams/quickStyle9.xml" ContentType="application/vnd.openxmlformats-officedocument.drawingml.diagramStyle+xml"/>
  <Override PartName="/word/diagrams/drawing2.xml" ContentType="application/vnd.ms-office.drawingml.diagramDrawing+xml"/>
  <Override PartName="/word/diagrams/layout5.xml" ContentType="application/vnd.openxmlformats-officedocument.drawingml.diagramLayout+xml"/>
  <Override PartName="/word/charts/chart5.xml" ContentType="application/vnd.openxmlformats-officedocument.drawingml.chart+xml"/>
  <Override PartName="/word/diagrams/quickStyle7.xml" ContentType="application/vnd.openxmlformats-officedocument.drawingml.diagramStyle+xml"/>
  <Override PartName="/word/footer1.xml" ContentType="application/vnd.openxmlformats-officedocument.wordprocessingml.footer+xml"/>
  <Override PartName="/word/diagrams/layout3.xml" ContentType="application/vnd.openxmlformats-officedocument.drawingml.diagramLayout+xml"/>
  <Override PartName="/word/charts/chart2.xml" ContentType="application/vnd.openxmlformats-officedocument.drawingml.char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charts/chart3.xml" ContentType="application/vnd.openxmlformats-officedocument.drawingml.chart+xml"/>
  <Default Extension="xlsx" ContentType="application/vnd.openxmlformats-officedocument.spreadsheetml.sheet"/>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Default Extension="emf" ContentType="image/x-emf"/>
  <Override PartName="/word/glossary/fontTable.xml" ContentType="application/vnd.openxmlformats-officedocument.wordprocessingml.fontTable+xml"/>
  <Override PartName="/word/diagrams/drawing5.xml" ContentType="application/vnd.ms-office.drawingml.diagramDrawing+xml"/>
  <Override PartName="/word/numbering.xml" ContentType="application/vnd.openxmlformats-officedocument.wordprocessingml.numbering+xml"/>
  <Override PartName="/word/endnotes.xml" ContentType="application/vnd.openxmlformats-officedocument.wordprocessingml.endnotes+xml"/>
  <Override PartName="/word/drawings/drawing3.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iagrams/layout8.xml" ContentType="application/vnd.openxmlformats-officedocument.drawingml.diagramLayout+xml"/>
  <Override PartName="/word/glossary/document.xml" ContentType="application/vnd.openxmlformats-officedocument.wordprocessingml.document.glossary+xml"/>
  <Override PartName="/word/diagrams/drawing1.xml" ContentType="application/vnd.ms-office.drawingml.diagramDrawing+xml"/>
  <Override PartName="/word/diagrams/layout6.xml" ContentType="application/vnd.openxmlformats-officedocument.drawingml.diagramLayout+xml"/>
  <Override PartName="/word/charts/chart4.xml" ContentType="application/vnd.openxmlformats-officedocument.drawingml.chart+xml"/>
  <Override PartName="/word/diagrams/quickStyle8.xml" ContentType="application/vnd.openxmlformats-officedocument.drawingml.diagramStyle+xml"/>
  <Override PartName="/word/diagrams/data9.xml" ContentType="application/vnd.openxmlformats-officedocument.drawingml.diagramData+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libri" w:hAnsi="Calibri" w:cs="Calibri"/>
        </w:rPr>
        <w:id w:val="868645142"/>
        <w:docPartObj>
          <w:docPartGallery w:val="Cover Pages"/>
          <w:docPartUnique/>
        </w:docPartObj>
      </w:sdtPr>
      <w:sdtContent>
        <w:p w:rsidR="0084778E" w:rsidRPr="00027CA6" w:rsidRDefault="0084778E">
          <w:pPr>
            <w:rPr>
              <w:rFonts w:ascii="Calibri" w:hAnsi="Calibri" w:cs="Calibri"/>
            </w:rPr>
          </w:pPr>
        </w:p>
        <w:tbl>
          <w:tblPr>
            <w:tblpPr w:leftFromText="187" w:rightFromText="187" w:vertAnchor="page" w:horzAnchor="margin" w:tblpXSpec="center" w:tblpY="3760"/>
            <w:tblW w:w="3589" w:type="pct"/>
            <w:tblBorders>
              <w:left w:val="single" w:sz="12" w:space="0" w:color="E48312" w:themeColor="accent1"/>
            </w:tblBorders>
            <w:tblCellMar>
              <w:left w:w="144" w:type="dxa"/>
              <w:right w:w="115" w:type="dxa"/>
            </w:tblCellMar>
            <w:tblLook w:val="04A0"/>
          </w:tblPr>
          <w:tblGrid>
            <w:gridCol w:w="7264"/>
          </w:tblGrid>
          <w:tr w:rsidR="0084778E" w:rsidRPr="00027CA6" w:rsidTr="00644340">
            <w:trPr>
              <w:trHeight w:val="424"/>
            </w:trPr>
            <w:sdt>
              <w:sdtPr>
                <w:rPr>
                  <w:rFonts w:ascii="Calibri" w:hAnsi="Calibri" w:cs="Calibri"/>
                  <w:b/>
                  <w:color w:val="C2BC80" w:themeColor="accent5"/>
                  <w:sz w:val="36"/>
                  <w:szCs w:val="36"/>
                </w:rPr>
                <w:alias w:val="Company"/>
                <w:id w:val="13406915"/>
                <w:placeholder>
                  <w:docPart w:val="D47595375BFD4B5F981C35355F511072"/>
                </w:placeholder>
                <w:dataBinding w:prefixMappings="xmlns:ns0='http://schemas.openxmlformats.org/officeDocument/2006/extended-properties'" w:xpath="/ns0:Properties[1]/ns0:Company[1]" w:storeItemID="{6668398D-A668-4E3E-A5EB-62B293D839F1}"/>
                <w:text/>
              </w:sdtPr>
              <w:sdtContent>
                <w:tc>
                  <w:tcPr>
                    <w:tcW w:w="6789" w:type="dxa"/>
                    <w:tcMar>
                      <w:top w:w="216" w:type="dxa"/>
                      <w:left w:w="115" w:type="dxa"/>
                      <w:bottom w:w="216" w:type="dxa"/>
                      <w:right w:w="115" w:type="dxa"/>
                    </w:tcMar>
                  </w:tcPr>
                  <w:p w:rsidR="0084778E" w:rsidRPr="00027CA6" w:rsidRDefault="0084778E" w:rsidP="00644340">
                    <w:pPr>
                      <w:pStyle w:val="NoSpacing"/>
                      <w:rPr>
                        <w:rFonts w:ascii="Calibri" w:hAnsi="Calibri" w:cs="Calibri"/>
                        <w:color w:val="C2BC80" w:themeColor="accent5"/>
                        <w:sz w:val="24"/>
                      </w:rPr>
                    </w:pPr>
                    <w:r w:rsidRPr="00027CA6">
                      <w:rPr>
                        <w:rFonts w:ascii="Calibri" w:hAnsi="Calibri" w:cs="Calibri"/>
                        <w:b/>
                        <w:color w:val="C2BC80" w:themeColor="accent5"/>
                        <w:sz w:val="36"/>
                        <w:szCs w:val="36"/>
                      </w:rPr>
                      <w:t>South African Parliament</w:t>
                    </w:r>
                  </w:p>
                </w:tc>
              </w:sdtContent>
            </w:sdt>
          </w:tr>
          <w:tr w:rsidR="0084778E" w:rsidRPr="00027CA6" w:rsidTr="00644340">
            <w:trPr>
              <w:trHeight w:val="1459"/>
            </w:trPr>
            <w:tc>
              <w:tcPr>
                <w:tcW w:w="6789" w:type="dxa"/>
              </w:tcPr>
              <w:sdt>
                <w:sdtPr>
                  <w:rPr>
                    <w:rFonts w:ascii="Calibri" w:eastAsiaTheme="majorEastAsia" w:hAnsi="Calibri" w:cs="Calibri"/>
                    <w:b/>
                    <w:color w:val="C2BC80" w:themeColor="accent5"/>
                    <w:sz w:val="56"/>
                    <w:szCs w:val="56"/>
                  </w:rPr>
                  <w:alias w:val="Title"/>
                  <w:id w:val="13406919"/>
                  <w:placeholder>
                    <w:docPart w:val="193C225D0FD54728BF4FCD98AD671121"/>
                  </w:placeholder>
                  <w:dataBinding w:prefixMappings="xmlns:ns0='http://schemas.openxmlformats.org/package/2006/metadata/core-properties' xmlns:ns1='http://purl.org/dc/elements/1.1/'" w:xpath="/ns0:coreProperties[1]/ns1:title[1]" w:storeItemID="{6C3C8BC8-F283-45AE-878A-BAB7291924A1}"/>
                  <w:text/>
                </w:sdtPr>
                <w:sdtContent>
                  <w:p w:rsidR="0084778E" w:rsidRPr="00644340" w:rsidRDefault="008628E7" w:rsidP="008628E7">
                    <w:pPr>
                      <w:pStyle w:val="NoSpacing"/>
                      <w:spacing w:line="216" w:lineRule="auto"/>
                      <w:rPr>
                        <w:rFonts w:ascii="Calibri" w:eastAsiaTheme="majorEastAsia" w:hAnsi="Calibri" w:cs="Calibri"/>
                        <w:b/>
                        <w:color w:val="C2BC80" w:themeColor="accent5"/>
                        <w:sz w:val="56"/>
                        <w:szCs w:val="56"/>
                      </w:rPr>
                    </w:pPr>
                    <w:r>
                      <w:rPr>
                        <w:rFonts w:ascii="Calibri" w:eastAsiaTheme="majorEastAsia" w:hAnsi="Calibri" w:cs="Calibri"/>
                        <w:b/>
                        <w:color w:val="C2BC80" w:themeColor="accent5"/>
                        <w:sz w:val="56"/>
                        <w:szCs w:val="56"/>
                      </w:rPr>
                      <w:t>MIDYEAR</w:t>
                    </w:r>
                    <w:r w:rsidR="00316F86" w:rsidRPr="00644340">
                      <w:rPr>
                        <w:rFonts w:ascii="Calibri" w:eastAsiaTheme="majorEastAsia" w:hAnsi="Calibri" w:cs="Calibri"/>
                        <w:b/>
                        <w:color w:val="C2BC80" w:themeColor="accent5"/>
                        <w:sz w:val="56"/>
                        <w:szCs w:val="56"/>
                      </w:rPr>
                      <w:t xml:space="preserve"> PERFORMANCE REPORT</w:t>
                    </w:r>
                    <w:r w:rsidR="00FD5722" w:rsidRPr="00644340">
                      <w:rPr>
                        <w:rFonts w:ascii="Calibri" w:eastAsiaTheme="majorEastAsia" w:hAnsi="Calibri" w:cs="Calibri"/>
                        <w:b/>
                        <w:color w:val="C2BC80" w:themeColor="accent5"/>
                        <w:sz w:val="56"/>
                        <w:szCs w:val="56"/>
                      </w:rPr>
                      <w:t xml:space="preserve"> 2020/21</w:t>
                    </w:r>
                  </w:p>
                </w:sdtContent>
              </w:sdt>
            </w:tc>
          </w:tr>
          <w:tr w:rsidR="0084778E" w:rsidRPr="00027CA6" w:rsidTr="00644340">
            <w:trPr>
              <w:trHeight w:val="333"/>
            </w:trPr>
            <w:tc>
              <w:tcPr>
                <w:tcW w:w="6789" w:type="dxa"/>
                <w:tcMar>
                  <w:top w:w="216" w:type="dxa"/>
                  <w:left w:w="115" w:type="dxa"/>
                  <w:bottom w:w="216" w:type="dxa"/>
                  <w:right w:w="115" w:type="dxa"/>
                </w:tcMar>
              </w:tcPr>
              <w:p w:rsidR="0084778E" w:rsidRPr="00027CA6" w:rsidRDefault="008628E7" w:rsidP="00B600C7">
                <w:pPr>
                  <w:pStyle w:val="NoSpacing"/>
                  <w:rPr>
                    <w:rFonts w:ascii="Calibri" w:hAnsi="Calibri" w:cs="Calibri"/>
                    <w:b/>
                    <w:color w:val="C2BC80" w:themeColor="accent5"/>
                    <w:sz w:val="28"/>
                    <w:szCs w:val="28"/>
                  </w:rPr>
                </w:pPr>
                <w:r>
                  <w:rPr>
                    <w:rFonts w:ascii="Calibri" w:hAnsi="Calibri" w:cs="Calibri"/>
                    <w:b/>
                    <w:color w:val="C2BC80" w:themeColor="accent5"/>
                    <w:sz w:val="28"/>
                    <w:szCs w:val="28"/>
                  </w:rPr>
                  <w:t>April</w:t>
                </w:r>
                <w:r w:rsidR="00EE760C" w:rsidRPr="00027CA6">
                  <w:rPr>
                    <w:rFonts w:ascii="Calibri" w:hAnsi="Calibri" w:cs="Calibri"/>
                    <w:b/>
                    <w:color w:val="C2BC80" w:themeColor="accent5"/>
                    <w:sz w:val="28"/>
                    <w:szCs w:val="28"/>
                  </w:rPr>
                  <w:t xml:space="preserve"> – </w:t>
                </w:r>
                <w:r w:rsidR="00B600C7">
                  <w:rPr>
                    <w:rFonts w:ascii="Calibri" w:hAnsi="Calibri" w:cs="Calibri"/>
                    <w:b/>
                    <w:color w:val="C2BC80" w:themeColor="accent5"/>
                    <w:sz w:val="28"/>
                    <w:szCs w:val="28"/>
                  </w:rPr>
                  <w:t>September</w:t>
                </w:r>
                <w:r w:rsidR="00A4300D" w:rsidRPr="00027CA6">
                  <w:rPr>
                    <w:rFonts w:ascii="Calibri" w:hAnsi="Calibri" w:cs="Calibri"/>
                    <w:b/>
                    <w:color w:val="C2BC80" w:themeColor="accent5"/>
                    <w:sz w:val="28"/>
                    <w:szCs w:val="28"/>
                  </w:rPr>
                  <w:t xml:space="preserve"> 2020</w:t>
                </w:r>
              </w:p>
            </w:tc>
          </w:tr>
        </w:tbl>
        <w:p w:rsidR="0084778E" w:rsidRPr="00027CA6" w:rsidRDefault="00F45733">
          <w:pPr>
            <w:rPr>
              <w:rFonts w:ascii="Calibri" w:hAnsi="Calibri" w:cs="Calibri"/>
            </w:rPr>
          </w:pPr>
          <w:r w:rsidRPr="00F45733">
            <w:rPr>
              <w:rFonts w:ascii="Calibri" w:eastAsia="Times New Roman" w:hAnsi="Calibri" w:cs="Calibri"/>
              <w:b/>
              <w:noProof/>
              <w:lang w:eastAsia="en-ZA"/>
            </w:rPr>
            <w:pict>
              <v:rect id="Rectangle 8" o:spid="_x0000_s1026" alt="rectangle" style="position:absolute;margin-left:-42pt;margin-top:90.75pt;width:561pt;height:212.25pt;z-index:-251657216;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" fillcolor="#404040" stroked="f" strokeweight="1pt">
                <w10:wrap anchorx="page"/>
              </v:rect>
            </w:pict>
          </w:r>
          <w:r w:rsidR="0084778E" w:rsidRPr="00027CA6">
            <w:rPr>
              <w:rFonts w:ascii="Calibri" w:hAnsi="Calibri" w:cs="Calibri"/>
            </w:rPr>
            <w:br w:type="page"/>
          </w:r>
        </w:p>
      </w:sdtContent>
      <w:bookmarkStart w:id="0" w:name="_GoBack" w:displacedByCustomXml="next"/>
      <w:bookmarkEnd w:id="0" w:displacedByCustomXml="next"/>
    </w:sdt>
    <w:sdt>
      <w:sdtPr>
        <w:rPr>
          <w:rFonts w:ascii="Calibri" w:eastAsiaTheme="minorHAnsi" w:hAnsi="Calibri" w:cs="Calibri"/>
          <w:color w:val="auto"/>
          <w:sz w:val="22"/>
          <w:szCs w:val="22"/>
          <w:lang w:val="en-ZA"/>
        </w:rPr>
        <w:id w:val="983424582"/>
        <w:docPartObj>
          <w:docPartGallery w:val="Table of Contents"/>
          <w:docPartUnique/>
        </w:docPartObj>
      </w:sdtPr>
      <w:sdtEndPr>
        <w:rPr>
          <w:b/>
          <w:bCs/>
          <w:noProof/>
        </w:rPr>
      </w:sdtEndPr>
      <w:sdtContent>
        <w:p w:rsidR="00F256CF" w:rsidRPr="00027CA6" w:rsidRDefault="00F256CF">
          <w:pPr>
            <w:pStyle w:val="TOCHeading"/>
            <w:rPr>
              <w:rFonts w:ascii="Calibri" w:hAnsi="Calibri" w:cs="Calibri"/>
              <w:b/>
              <w:sz w:val="48"/>
              <w:szCs w:val="48"/>
            </w:rPr>
          </w:pPr>
          <w:r w:rsidRPr="00027CA6">
            <w:rPr>
              <w:rFonts w:ascii="Calibri" w:hAnsi="Calibri" w:cs="Calibri"/>
              <w:b/>
              <w:sz w:val="48"/>
              <w:szCs w:val="48"/>
            </w:rPr>
            <w:t>Contents</w:t>
          </w:r>
        </w:p>
        <w:p w:rsidR="009F6F91" w:rsidRDefault="00F45733">
          <w:pPr>
            <w:pStyle w:val="TOC2"/>
            <w:rPr>
              <w:rFonts w:eastAsiaTheme="minorEastAsia"/>
              <w:b w:val="0"/>
              <w:lang w:val="en-US" w:eastAsia="en-US"/>
            </w:rPr>
          </w:pPr>
          <w:r w:rsidRPr="00F45733">
            <w:rPr>
              <w:rFonts w:ascii="Calibri" w:hAnsi="Calibri" w:cs="Calibri"/>
            </w:rPr>
            <w:fldChar w:fldCharType="begin"/>
          </w:r>
          <w:r w:rsidR="00F256CF" w:rsidRPr="00027CA6">
            <w:rPr>
              <w:rFonts w:ascii="Calibri" w:hAnsi="Calibri" w:cs="Calibri"/>
            </w:rPr>
            <w:instrText xml:space="preserve"> TOC \o "1-3" \h \z \u </w:instrText>
          </w:r>
          <w:r w:rsidRPr="00F45733">
            <w:rPr>
              <w:rFonts w:ascii="Calibri" w:hAnsi="Calibri" w:cs="Calibri"/>
            </w:rPr>
            <w:fldChar w:fldCharType="separate"/>
          </w:r>
          <w:hyperlink w:anchor="_Toc54361026" w:history="1">
            <w:r w:rsidR="009F6F91" w:rsidRPr="00094A7B">
              <w:rPr>
                <w:rStyle w:val="Hyperlink"/>
                <w:rFonts w:ascii="Calibri" w:hAnsi="Calibri" w:cs="Calibri"/>
              </w:rPr>
              <w:t>ABBREVIATIONS</w:t>
            </w:r>
            <w:r w:rsidR="009F6F91">
              <w:rPr>
                <w:webHidden/>
              </w:rPr>
              <w:tab/>
            </w:r>
            <w:r>
              <w:rPr>
                <w:webHidden/>
              </w:rPr>
              <w:fldChar w:fldCharType="begin"/>
            </w:r>
            <w:r w:rsidR="009F6F91">
              <w:rPr>
                <w:webHidden/>
              </w:rPr>
              <w:instrText xml:space="preserve"> PAGEREF _Toc54361026 \h </w:instrText>
            </w:r>
            <w:r>
              <w:rPr>
                <w:webHidden/>
              </w:rPr>
            </w:r>
            <w:r>
              <w:rPr>
                <w:webHidden/>
              </w:rPr>
              <w:fldChar w:fldCharType="separate"/>
            </w:r>
            <w:r w:rsidR="008B2C35">
              <w:rPr>
                <w:webHidden/>
              </w:rPr>
              <w:t>2</w:t>
            </w:r>
            <w:r>
              <w:rPr>
                <w:webHidden/>
              </w:rPr>
              <w:fldChar w:fldCharType="end"/>
            </w:r>
          </w:hyperlink>
        </w:p>
        <w:p w:rsidR="009F6F91" w:rsidRDefault="00F45733">
          <w:pPr>
            <w:pStyle w:val="TOC1"/>
            <w:tabs>
              <w:tab w:val="right" w:leader="dot" w:pos="9880"/>
            </w:tabs>
            <w:rPr>
              <w:rFonts w:eastAsiaTheme="minorEastAsia"/>
              <w:noProof/>
              <w:lang w:val="en-US"/>
            </w:rPr>
          </w:pPr>
          <w:hyperlink w:anchor="_Toc54361027" w:history="1">
            <w:r w:rsidR="009F6F91" w:rsidRPr="00094A7B">
              <w:rPr>
                <w:rStyle w:val="Hyperlink"/>
                <w:rFonts w:ascii="Calibri" w:hAnsi="Calibri" w:cs="Calibri"/>
                <w:noProof/>
              </w:rPr>
              <w:t>PART A: Introduction</w:t>
            </w:r>
            <w:r w:rsidR="009F6F91">
              <w:rPr>
                <w:noProof/>
                <w:webHidden/>
              </w:rPr>
              <w:tab/>
            </w:r>
            <w:r>
              <w:rPr>
                <w:noProof/>
                <w:webHidden/>
              </w:rPr>
              <w:fldChar w:fldCharType="begin"/>
            </w:r>
            <w:r w:rsidR="009F6F91">
              <w:rPr>
                <w:noProof/>
                <w:webHidden/>
              </w:rPr>
              <w:instrText xml:space="preserve"> PAGEREF _Toc54361027 \h </w:instrText>
            </w:r>
            <w:r>
              <w:rPr>
                <w:noProof/>
                <w:webHidden/>
              </w:rPr>
            </w:r>
            <w:r>
              <w:rPr>
                <w:noProof/>
                <w:webHidden/>
              </w:rPr>
              <w:fldChar w:fldCharType="separate"/>
            </w:r>
            <w:r w:rsidR="008B2C35">
              <w:rPr>
                <w:noProof/>
                <w:webHidden/>
              </w:rPr>
              <w:t>3</w:t>
            </w:r>
            <w:r>
              <w:rPr>
                <w:noProof/>
                <w:webHidden/>
              </w:rPr>
              <w:fldChar w:fldCharType="end"/>
            </w:r>
          </w:hyperlink>
        </w:p>
        <w:p w:rsidR="009F6F91" w:rsidRDefault="00F45733">
          <w:pPr>
            <w:pStyle w:val="TOC2"/>
            <w:rPr>
              <w:rFonts w:eastAsiaTheme="minorEastAsia"/>
              <w:b w:val="0"/>
              <w:lang w:val="en-US" w:eastAsia="en-US"/>
            </w:rPr>
          </w:pPr>
          <w:hyperlink w:anchor="_Toc54361028" w:history="1">
            <w:r w:rsidR="009F6F91" w:rsidRPr="00094A7B">
              <w:rPr>
                <w:rStyle w:val="Hyperlink"/>
                <w:rFonts w:cstheme="minorHAnsi"/>
              </w:rPr>
              <w:t>1.</w:t>
            </w:r>
            <w:r w:rsidR="009F6F91">
              <w:rPr>
                <w:rFonts w:eastAsiaTheme="minorEastAsia"/>
                <w:b w:val="0"/>
                <w:lang w:val="en-US" w:eastAsia="en-US"/>
              </w:rPr>
              <w:tab/>
            </w:r>
            <w:r w:rsidR="009F6F91" w:rsidRPr="00094A7B">
              <w:rPr>
                <w:rStyle w:val="Hyperlink"/>
                <w:rFonts w:cstheme="minorHAnsi"/>
              </w:rPr>
              <w:t>ACCOUNTING OFFICER’S STATEMENT</w:t>
            </w:r>
            <w:r w:rsidR="009F6F91">
              <w:rPr>
                <w:webHidden/>
              </w:rPr>
              <w:tab/>
            </w:r>
            <w:r>
              <w:rPr>
                <w:webHidden/>
              </w:rPr>
              <w:fldChar w:fldCharType="begin"/>
            </w:r>
            <w:r w:rsidR="009F6F91">
              <w:rPr>
                <w:webHidden/>
              </w:rPr>
              <w:instrText xml:space="preserve"> PAGEREF _Toc54361028 \h </w:instrText>
            </w:r>
            <w:r>
              <w:rPr>
                <w:webHidden/>
              </w:rPr>
            </w:r>
            <w:r>
              <w:rPr>
                <w:webHidden/>
              </w:rPr>
              <w:fldChar w:fldCharType="separate"/>
            </w:r>
            <w:r w:rsidR="008B2C35">
              <w:rPr>
                <w:webHidden/>
              </w:rPr>
              <w:t>4</w:t>
            </w:r>
            <w:r>
              <w:rPr>
                <w:webHidden/>
              </w:rPr>
              <w:fldChar w:fldCharType="end"/>
            </w:r>
          </w:hyperlink>
        </w:p>
        <w:p w:rsidR="009F6F91" w:rsidRDefault="00F45733">
          <w:pPr>
            <w:pStyle w:val="TOC2"/>
            <w:rPr>
              <w:rFonts w:eastAsiaTheme="minorEastAsia"/>
              <w:b w:val="0"/>
              <w:lang w:val="en-US" w:eastAsia="en-US"/>
            </w:rPr>
          </w:pPr>
          <w:hyperlink w:anchor="_Toc54361029" w:history="1">
            <w:r w:rsidR="009F6F91" w:rsidRPr="00094A7B">
              <w:rPr>
                <w:rStyle w:val="Hyperlink"/>
                <w:rFonts w:ascii="Calibri" w:hAnsi="Calibri" w:cs="Calibri"/>
              </w:rPr>
              <w:t>2.</w:t>
            </w:r>
            <w:r w:rsidR="009F6F91">
              <w:rPr>
                <w:rFonts w:eastAsiaTheme="minorEastAsia"/>
                <w:b w:val="0"/>
                <w:lang w:val="en-US" w:eastAsia="en-US"/>
              </w:rPr>
              <w:tab/>
            </w:r>
            <w:r w:rsidR="009F6F91" w:rsidRPr="00094A7B">
              <w:rPr>
                <w:rStyle w:val="Hyperlink"/>
                <w:rFonts w:ascii="Calibri" w:hAnsi="Calibri" w:cs="Calibri"/>
              </w:rPr>
              <w:t>STRATEGIC OVERVIEW</w:t>
            </w:r>
            <w:r w:rsidR="009F6F91">
              <w:rPr>
                <w:webHidden/>
              </w:rPr>
              <w:tab/>
            </w:r>
            <w:r>
              <w:rPr>
                <w:webHidden/>
              </w:rPr>
              <w:fldChar w:fldCharType="begin"/>
            </w:r>
            <w:r w:rsidR="009F6F91">
              <w:rPr>
                <w:webHidden/>
              </w:rPr>
              <w:instrText xml:space="preserve"> PAGEREF _Toc54361029 \h </w:instrText>
            </w:r>
            <w:r>
              <w:rPr>
                <w:webHidden/>
              </w:rPr>
            </w:r>
            <w:r>
              <w:rPr>
                <w:webHidden/>
              </w:rPr>
              <w:fldChar w:fldCharType="separate"/>
            </w:r>
            <w:r w:rsidR="008B2C35">
              <w:rPr>
                <w:webHidden/>
              </w:rPr>
              <w:t>5</w:t>
            </w:r>
            <w:r>
              <w:rPr>
                <w:webHidden/>
              </w:rPr>
              <w:fldChar w:fldCharType="end"/>
            </w:r>
          </w:hyperlink>
        </w:p>
        <w:p w:rsidR="009F6F91" w:rsidRDefault="00F45733">
          <w:pPr>
            <w:pStyle w:val="TOC2"/>
            <w:rPr>
              <w:rFonts w:eastAsiaTheme="minorEastAsia"/>
              <w:b w:val="0"/>
              <w:lang w:val="en-US" w:eastAsia="en-US"/>
            </w:rPr>
          </w:pPr>
          <w:hyperlink w:anchor="_Toc54361030" w:history="1">
            <w:r w:rsidR="009F6F91" w:rsidRPr="00094A7B">
              <w:rPr>
                <w:rStyle w:val="Hyperlink"/>
                <w:rFonts w:ascii="Calibri" w:hAnsi="Calibri" w:cs="Calibri"/>
              </w:rPr>
              <w:t>3.</w:t>
            </w:r>
            <w:r w:rsidR="009F6F91">
              <w:rPr>
                <w:rFonts w:eastAsiaTheme="minorEastAsia"/>
                <w:b w:val="0"/>
                <w:lang w:val="en-US" w:eastAsia="en-US"/>
              </w:rPr>
              <w:tab/>
            </w:r>
            <w:r w:rsidR="009F6F91" w:rsidRPr="00094A7B">
              <w:rPr>
                <w:rStyle w:val="Hyperlink"/>
                <w:rFonts w:ascii="Calibri" w:hAnsi="Calibri" w:cs="Calibri"/>
              </w:rPr>
              <w:t>PERFORMANCE &amp; BUDGET SUMMARY</w:t>
            </w:r>
            <w:r w:rsidR="009F6F91">
              <w:rPr>
                <w:webHidden/>
              </w:rPr>
              <w:tab/>
            </w:r>
            <w:r>
              <w:rPr>
                <w:webHidden/>
              </w:rPr>
              <w:fldChar w:fldCharType="begin"/>
            </w:r>
            <w:r w:rsidR="009F6F91">
              <w:rPr>
                <w:webHidden/>
              </w:rPr>
              <w:instrText xml:space="preserve"> PAGEREF _Toc54361030 \h </w:instrText>
            </w:r>
            <w:r>
              <w:rPr>
                <w:webHidden/>
              </w:rPr>
            </w:r>
            <w:r>
              <w:rPr>
                <w:webHidden/>
              </w:rPr>
              <w:fldChar w:fldCharType="separate"/>
            </w:r>
            <w:r w:rsidR="008B2C35">
              <w:rPr>
                <w:webHidden/>
              </w:rPr>
              <w:t>6</w:t>
            </w:r>
            <w:r>
              <w:rPr>
                <w:webHidden/>
              </w:rPr>
              <w:fldChar w:fldCharType="end"/>
            </w:r>
          </w:hyperlink>
        </w:p>
        <w:p w:rsidR="009F6F91" w:rsidRDefault="00F45733">
          <w:pPr>
            <w:pStyle w:val="TOC1"/>
            <w:tabs>
              <w:tab w:val="right" w:leader="dot" w:pos="9880"/>
            </w:tabs>
            <w:rPr>
              <w:rFonts w:eastAsiaTheme="minorEastAsia"/>
              <w:noProof/>
              <w:lang w:val="en-US"/>
            </w:rPr>
          </w:pPr>
          <w:hyperlink w:anchor="_Toc54361031" w:history="1">
            <w:r w:rsidR="009F6F91" w:rsidRPr="00094A7B">
              <w:rPr>
                <w:rStyle w:val="Hyperlink"/>
                <w:rFonts w:ascii="Calibri" w:hAnsi="Calibri" w:cs="Calibri"/>
                <w:noProof/>
              </w:rPr>
              <w:t>PART B: Parliamentary Business</w:t>
            </w:r>
            <w:r w:rsidR="009F6F91">
              <w:rPr>
                <w:noProof/>
                <w:webHidden/>
              </w:rPr>
              <w:tab/>
            </w:r>
            <w:r>
              <w:rPr>
                <w:noProof/>
                <w:webHidden/>
              </w:rPr>
              <w:fldChar w:fldCharType="begin"/>
            </w:r>
            <w:r w:rsidR="009F6F91">
              <w:rPr>
                <w:noProof/>
                <w:webHidden/>
              </w:rPr>
              <w:instrText xml:space="preserve"> PAGEREF _Toc54361031 \h </w:instrText>
            </w:r>
            <w:r>
              <w:rPr>
                <w:noProof/>
                <w:webHidden/>
              </w:rPr>
            </w:r>
            <w:r>
              <w:rPr>
                <w:noProof/>
                <w:webHidden/>
              </w:rPr>
              <w:fldChar w:fldCharType="separate"/>
            </w:r>
            <w:r w:rsidR="008B2C35">
              <w:rPr>
                <w:noProof/>
                <w:webHidden/>
              </w:rPr>
              <w:t>7</w:t>
            </w:r>
            <w:r>
              <w:rPr>
                <w:noProof/>
                <w:webHidden/>
              </w:rPr>
              <w:fldChar w:fldCharType="end"/>
            </w:r>
          </w:hyperlink>
        </w:p>
        <w:p w:rsidR="009F6F91" w:rsidRDefault="00F45733">
          <w:pPr>
            <w:pStyle w:val="TOC2"/>
            <w:rPr>
              <w:rFonts w:eastAsiaTheme="minorEastAsia"/>
              <w:b w:val="0"/>
              <w:lang w:val="en-US" w:eastAsia="en-US"/>
            </w:rPr>
          </w:pPr>
          <w:hyperlink w:anchor="_Toc54361032" w:history="1">
            <w:r w:rsidR="009F6F91" w:rsidRPr="00094A7B">
              <w:rPr>
                <w:rStyle w:val="Hyperlink"/>
                <w:rFonts w:ascii="Calibri" w:hAnsi="Calibri" w:cs="Calibri"/>
              </w:rPr>
              <w:t>4.</w:t>
            </w:r>
            <w:r w:rsidR="009F6F91">
              <w:rPr>
                <w:rFonts w:eastAsiaTheme="minorEastAsia"/>
                <w:b w:val="0"/>
                <w:lang w:val="en-US" w:eastAsia="en-US"/>
              </w:rPr>
              <w:tab/>
            </w:r>
            <w:r w:rsidR="009F6F91" w:rsidRPr="00094A7B">
              <w:rPr>
                <w:rStyle w:val="Hyperlink"/>
                <w:rFonts w:ascii="Calibri" w:hAnsi="Calibri" w:cs="Calibri"/>
              </w:rPr>
              <w:t>OVERVIEW OF THE HOUSES AND PARLIAMENTARY COMMITTEES</w:t>
            </w:r>
            <w:r w:rsidR="009F6F91">
              <w:rPr>
                <w:webHidden/>
              </w:rPr>
              <w:tab/>
            </w:r>
            <w:r>
              <w:rPr>
                <w:webHidden/>
              </w:rPr>
              <w:fldChar w:fldCharType="begin"/>
            </w:r>
            <w:r w:rsidR="009F6F91">
              <w:rPr>
                <w:webHidden/>
              </w:rPr>
              <w:instrText xml:space="preserve"> PAGEREF _Toc54361032 \h </w:instrText>
            </w:r>
            <w:r>
              <w:rPr>
                <w:webHidden/>
              </w:rPr>
            </w:r>
            <w:r>
              <w:rPr>
                <w:webHidden/>
              </w:rPr>
              <w:fldChar w:fldCharType="separate"/>
            </w:r>
            <w:r w:rsidR="008B2C35">
              <w:rPr>
                <w:webHidden/>
              </w:rPr>
              <w:t>8</w:t>
            </w:r>
            <w:r>
              <w:rPr>
                <w:webHidden/>
              </w:rPr>
              <w:fldChar w:fldCharType="end"/>
            </w:r>
          </w:hyperlink>
        </w:p>
        <w:p w:rsidR="009F6F91" w:rsidRDefault="00F45733">
          <w:pPr>
            <w:pStyle w:val="TOC2"/>
            <w:rPr>
              <w:rFonts w:eastAsiaTheme="minorEastAsia"/>
              <w:b w:val="0"/>
              <w:lang w:val="en-US" w:eastAsia="en-US"/>
            </w:rPr>
          </w:pPr>
          <w:hyperlink w:anchor="_Toc54361033" w:history="1">
            <w:r w:rsidR="009F6F91" w:rsidRPr="00094A7B">
              <w:rPr>
                <w:rStyle w:val="Hyperlink"/>
              </w:rPr>
              <w:t>4.1.</w:t>
            </w:r>
            <w:r w:rsidR="009F6F91">
              <w:rPr>
                <w:rFonts w:eastAsiaTheme="minorEastAsia"/>
                <w:b w:val="0"/>
                <w:lang w:val="en-US" w:eastAsia="en-US"/>
              </w:rPr>
              <w:tab/>
            </w:r>
            <w:r w:rsidR="009F6F91" w:rsidRPr="00094A7B">
              <w:rPr>
                <w:rStyle w:val="Hyperlink"/>
              </w:rPr>
              <w:t>Oversight &amp; accountability</w:t>
            </w:r>
            <w:r w:rsidR="009F6F91">
              <w:rPr>
                <w:webHidden/>
              </w:rPr>
              <w:tab/>
            </w:r>
            <w:r>
              <w:rPr>
                <w:webHidden/>
              </w:rPr>
              <w:fldChar w:fldCharType="begin"/>
            </w:r>
            <w:r w:rsidR="009F6F91">
              <w:rPr>
                <w:webHidden/>
              </w:rPr>
              <w:instrText xml:space="preserve"> PAGEREF _Toc54361033 \h </w:instrText>
            </w:r>
            <w:r>
              <w:rPr>
                <w:webHidden/>
              </w:rPr>
            </w:r>
            <w:r>
              <w:rPr>
                <w:webHidden/>
              </w:rPr>
              <w:fldChar w:fldCharType="separate"/>
            </w:r>
            <w:r w:rsidR="008B2C35">
              <w:rPr>
                <w:webHidden/>
              </w:rPr>
              <w:t>8</w:t>
            </w:r>
            <w:r>
              <w:rPr>
                <w:webHidden/>
              </w:rPr>
              <w:fldChar w:fldCharType="end"/>
            </w:r>
          </w:hyperlink>
        </w:p>
        <w:p w:rsidR="009F6F91" w:rsidRDefault="00F45733">
          <w:pPr>
            <w:pStyle w:val="TOC2"/>
            <w:tabs>
              <w:tab w:val="left" w:pos="1100"/>
            </w:tabs>
            <w:rPr>
              <w:rFonts w:eastAsiaTheme="minorEastAsia"/>
              <w:b w:val="0"/>
              <w:lang w:val="en-US" w:eastAsia="en-US"/>
            </w:rPr>
          </w:pPr>
          <w:hyperlink w:anchor="_Toc54361034" w:history="1">
            <w:r w:rsidR="009F6F91" w:rsidRPr="00094A7B">
              <w:rPr>
                <w:rStyle w:val="Hyperlink"/>
              </w:rPr>
              <w:t>4.1.1.</w:t>
            </w:r>
            <w:r w:rsidR="009F6F91">
              <w:rPr>
                <w:rFonts w:eastAsiaTheme="minorEastAsia"/>
                <w:b w:val="0"/>
                <w:lang w:val="en-US" w:eastAsia="en-US"/>
              </w:rPr>
              <w:tab/>
            </w:r>
            <w:r w:rsidR="009F6F91" w:rsidRPr="00094A7B">
              <w:rPr>
                <w:rStyle w:val="Hyperlink"/>
              </w:rPr>
              <w:t>National Assembly</w:t>
            </w:r>
            <w:r w:rsidR="009F6F91">
              <w:rPr>
                <w:webHidden/>
              </w:rPr>
              <w:tab/>
            </w:r>
            <w:r>
              <w:rPr>
                <w:webHidden/>
              </w:rPr>
              <w:fldChar w:fldCharType="begin"/>
            </w:r>
            <w:r w:rsidR="009F6F91">
              <w:rPr>
                <w:webHidden/>
              </w:rPr>
              <w:instrText xml:space="preserve"> PAGEREF _Toc54361034 \h </w:instrText>
            </w:r>
            <w:r>
              <w:rPr>
                <w:webHidden/>
              </w:rPr>
            </w:r>
            <w:r>
              <w:rPr>
                <w:webHidden/>
              </w:rPr>
              <w:fldChar w:fldCharType="separate"/>
            </w:r>
            <w:r w:rsidR="008B2C35">
              <w:rPr>
                <w:webHidden/>
              </w:rPr>
              <w:t>8</w:t>
            </w:r>
            <w:r>
              <w:rPr>
                <w:webHidden/>
              </w:rPr>
              <w:fldChar w:fldCharType="end"/>
            </w:r>
          </w:hyperlink>
        </w:p>
        <w:p w:rsidR="009F6F91" w:rsidRDefault="00F45733">
          <w:pPr>
            <w:pStyle w:val="TOC2"/>
            <w:tabs>
              <w:tab w:val="left" w:pos="1100"/>
            </w:tabs>
            <w:rPr>
              <w:rFonts w:eastAsiaTheme="minorEastAsia"/>
              <w:b w:val="0"/>
              <w:lang w:val="en-US" w:eastAsia="en-US"/>
            </w:rPr>
          </w:pPr>
          <w:hyperlink w:anchor="_Toc54361035" w:history="1">
            <w:r w:rsidR="009F6F91" w:rsidRPr="00094A7B">
              <w:rPr>
                <w:rStyle w:val="Hyperlink"/>
              </w:rPr>
              <w:t>4.1.2.</w:t>
            </w:r>
            <w:r w:rsidR="009F6F91">
              <w:rPr>
                <w:rFonts w:eastAsiaTheme="minorEastAsia"/>
                <w:b w:val="0"/>
                <w:lang w:val="en-US" w:eastAsia="en-US"/>
              </w:rPr>
              <w:tab/>
            </w:r>
            <w:r w:rsidR="009F6F91" w:rsidRPr="00094A7B">
              <w:rPr>
                <w:rStyle w:val="Hyperlink"/>
              </w:rPr>
              <w:t>National Council of Provinces</w:t>
            </w:r>
            <w:r w:rsidR="009F6F91">
              <w:rPr>
                <w:webHidden/>
              </w:rPr>
              <w:tab/>
            </w:r>
            <w:r>
              <w:rPr>
                <w:webHidden/>
              </w:rPr>
              <w:fldChar w:fldCharType="begin"/>
            </w:r>
            <w:r w:rsidR="009F6F91">
              <w:rPr>
                <w:webHidden/>
              </w:rPr>
              <w:instrText xml:space="preserve"> PAGEREF _Toc54361035 \h </w:instrText>
            </w:r>
            <w:r>
              <w:rPr>
                <w:webHidden/>
              </w:rPr>
            </w:r>
            <w:r>
              <w:rPr>
                <w:webHidden/>
              </w:rPr>
              <w:fldChar w:fldCharType="separate"/>
            </w:r>
            <w:r w:rsidR="008B2C35">
              <w:rPr>
                <w:webHidden/>
              </w:rPr>
              <w:t>9</w:t>
            </w:r>
            <w:r>
              <w:rPr>
                <w:webHidden/>
              </w:rPr>
              <w:fldChar w:fldCharType="end"/>
            </w:r>
          </w:hyperlink>
        </w:p>
        <w:p w:rsidR="009F6F91" w:rsidRDefault="00F45733">
          <w:pPr>
            <w:pStyle w:val="TOC2"/>
            <w:tabs>
              <w:tab w:val="left" w:pos="1100"/>
            </w:tabs>
            <w:rPr>
              <w:rFonts w:eastAsiaTheme="minorEastAsia"/>
              <w:b w:val="0"/>
              <w:lang w:val="en-US" w:eastAsia="en-US"/>
            </w:rPr>
          </w:pPr>
          <w:hyperlink w:anchor="_Toc54361036" w:history="1">
            <w:r w:rsidR="009F6F91" w:rsidRPr="00094A7B">
              <w:rPr>
                <w:rStyle w:val="Hyperlink"/>
              </w:rPr>
              <w:t>4.1.3.</w:t>
            </w:r>
            <w:r w:rsidR="009F6F91">
              <w:rPr>
                <w:rFonts w:eastAsiaTheme="minorEastAsia"/>
                <w:b w:val="0"/>
                <w:lang w:val="en-US" w:eastAsia="en-US"/>
              </w:rPr>
              <w:tab/>
            </w:r>
            <w:r w:rsidR="009F6F91" w:rsidRPr="00094A7B">
              <w:rPr>
                <w:rStyle w:val="Hyperlink"/>
              </w:rPr>
              <w:t>Committees</w:t>
            </w:r>
            <w:r w:rsidR="009F6F91">
              <w:rPr>
                <w:webHidden/>
              </w:rPr>
              <w:tab/>
            </w:r>
            <w:r>
              <w:rPr>
                <w:webHidden/>
              </w:rPr>
              <w:fldChar w:fldCharType="begin"/>
            </w:r>
            <w:r w:rsidR="009F6F91">
              <w:rPr>
                <w:webHidden/>
              </w:rPr>
              <w:instrText xml:space="preserve"> PAGEREF _Toc54361036 \h </w:instrText>
            </w:r>
            <w:r>
              <w:rPr>
                <w:webHidden/>
              </w:rPr>
            </w:r>
            <w:r>
              <w:rPr>
                <w:webHidden/>
              </w:rPr>
              <w:fldChar w:fldCharType="separate"/>
            </w:r>
            <w:r w:rsidR="008B2C35">
              <w:rPr>
                <w:webHidden/>
              </w:rPr>
              <w:t>10</w:t>
            </w:r>
            <w:r>
              <w:rPr>
                <w:webHidden/>
              </w:rPr>
              <w:fldChar w:fldCharType="end"/>
            </w:r>
          </w:hyperlink>
        </w:p>
        <w:p w:rsidR="009F6F91" w:rsidRDefault="00F45733">
          <w:pPr>
            <w:pStyle w:val="TOC2"/>
            <w:rPr>
              <w:rFonts w:eastAsiaTheme="minorEastAsia"/>
              <w:b w:val="0"/>
              <w:lang w:val="en-US" w:eastAsia="en-US"/>
            </w:rPr>
          </w:pPr>
          <w:hyperlink w:anchor="_Toc54361037" w:history="1">
            <w:r w:rsidR="009F6F91" w:rsidRPr="00094A7B">
              <w:rPr>
                <w:rStyle w:val="Hyperlink"/>
              </w:rPr>
              <w:t>4.2.</w:t>
            </w:r>
            <w:r w:rsidR="009F6F91">
              <w:rPr>
                <w:rFonts w:eastAsiaTheme="minorEastAsia"/>
                <w:b w:val="0"/>
                <w:lang w:val="en-US" w:eastAsia="en-US"/>
              </w:rPr>
              <w:tab/>
            </w:r>
            <w:r w:rsidR="009F6F91" w:rsidRPr="00094A7B">
              <w:rPr>
                <w:rStyle w:val="Hyperlink"/>
              </w:rPr>
              <w:t>PUBLIC PARTICIPATION</w:t>
            </w:r>
            <w:r w:rsidR="009F6F91">
              <w:rPr>
                <w:webHidden/>
              </w:rPr>
              <w:tab/>
            </w:r>
            <w:r>
              <w:rPr>
                <w:webHidden/>
              </w:rPr>
              <w:fldChar w:fldCharType="begin"/>
            </w:r>
            <w:r w:rsidR="009F6F91">
              <w:rPr>
                <w:webHidden/>
              </w:rPr>
              <w:instrText xml:space="preserve"> PAGEREF _Toc54361037 \h </w:instrText>
            </w:r>
            <w:r>
              <w:rPr>
                <w:webHidden/>
              </w:rPr>
            </w:r>
            <w:r>
              <w:rPr>
                <w:webHidden/>
              </w:rPr>
              <w:fldChar w:fldCharType="separate"/>
            </w:r>
            <w:r w:rsidR="008B2C35">
              <w:rPr>
                <w:webHidden/>
              </w:rPr>
              <w:t>11</w:t>
            </w:r>
            <w:r>
              <w:rPr>
                <w:webHidden/>
              </w:rPr>
              <w:fldChar w:fldCharType="end"/>
            </w:r>
          </w:hyperlink>
        </w:p>
        <w:p w:rsidR="009F6F91" w:rsidRDefault="00F45733">
          <w:pPr>
            <w:pStyle w:val="TOC2"/>
            <w:tabs>
              <w:tab w:val="left" w:pos="1100"/>
            </w:tabs>
            <w:rPr>
              <w:rFonts w:eastAsiaTheme="minorEastAsia"/>
              <w:b w:val="0"/>
              <w:lang w:val="en-US" w:eastAsia="en-US"/>
            </w:rPr>
          </w:pPr>
          <w:hyperlink w:anchor="_Toc54361038" w:history="1">
            <w:r w:rsidR="009F6F91" w:rsidRPr="00094A7B">
              <w:rPr>
                <w:rStyle w:val="Hyperlink"/>
              </w:rPr>
              <w:t>4.2.1.</w:t>
            </w:r>
            <w:r w:rsidR="009F6F91">
              <w:rPr>
                <w:rFonts w:eastAsiaTheme="minorEastAsia"/>
                <w:b w:val="0"/>
                <w:lang w:val="en-US" w:eastAsia="en-US"/>
              </w:rPr>
              <w:tab/>
            </w:r>
            <w:r w:rsidR="009F6F91" w:rsidRPr="00094A7B">
              <w:rPr>
                <w:rStyle w:val="Hyperlink"/>
              </w:rPr>
              <w:t>Petitions</w:t>
            </w:r>
            <w:r w:rsidR="009F6F91">
              <w:rPr>
                <w:webHidden/>
              </w:rPr>
              <w:tab/>
            </w:r>
            <w:r>
              <w:rPr>
                <w:webHidden/>
              </w:rPr>
              <w:fldChar w:fldCharType="begin"/>
            </w:r>
            <w:r w:rsidR="009F6F91">
              <w:rPr>
                <w:webHidden/>
              </w:rPr>
              <w:instrText xml:space="preserve"> PAGEREF _Toc54361038 \h </w:instrText>
            </w:r>
            <w:r>
              <w:rPr>
                <w:webHidden/>
              </w:rPr>
            </w:r>
            <w:r>
              <w:rPr>
                <w:webHidden/>
              </w:rPr>
              <w:fldChar w:fldCharType="separate"/>
            </w:r>
            <w:r w:rsidR="008B2C35">
              <w:rPr>
                <w:webHidden/>
              </w:rPr>
              <w:t>12</w:t>
            </w:r>
            <w:r>
              <w:rPr>
                <w:webHidden/>
              </w:rPr>
              <w:fldChar w:fldCharType="end"/>
            </w:r>
          </w:hyperlink>
        </w:p>
        <w:p w:rsidR="009F6F91" w:rsidRDefault="00F45733">
          <w:pPr>
            <w:pStyle w:val="TOC2"/>
            <w:rPr>
              <w:rFonts w:eastAsiaTheme="minorEastAsia"/>
              <w:b w:val="0"/>
              <w:lang w:val="en-US" w:eastAsia="en-US"/>
            </w:rPr>
          </w:pPr>
          <w:hyperlink w:anchor="_Toc54361039" w:history="1">
            <w:r w:rsidR="009F6F91" w:rsidRPr="00094A7B">
              <w:rPr>
                <w:rStyle w:val="Hyperlink"/>
              </w:rPr>
              <w:t>4.3.</w:t>
            </w:r>
            <w:r w:rsidR="009F6F91">
              <w:rPr>
                <w:rFonts w:eastAsiaTheme="minorEastAsia"/>
                <w:b w:val="0"/>
                <w:lang w:val="en-US" w:eastAsia="en-US"/>
              </w:rPr>
              <w:tab/>
            </w:r>
            <w:r w:rsidR="009F6F91" w:rsidRPr="00094A7B">
              <w:rPr>
                <w:rStyle w:val="Hyperlink"/>
              </w:rPr>
              <w:t>LAW-MAKING</w:t>
            </w:r>
            <w:r w:rsidR="009F6F91">
              <w:rPr>
                <w:webHidden/>
              </w:rPr>
              <w:tab/>
            </w:r>
            <w:r>
              <w:rPr>
                <w:webHidden/>
              </w:rPr>
              <w:fldChar w:fldCharType="begin"/>
            </w:r>
            <w:r w:rsidR="009F6F91">
              <w:rPr>
                <w:webHidden/>
              </w:rPr>
              <w:instrText xml:space="preserve"> PAGEREF _Toc54361039 \h </w:instrText>
            </w:r>
            <w:r>
              <w:rPr>
                <w:webHidden/>
              </w:rPr>
            </w:r>
            <w:r>
              <w:rPr>
                <w:webHidden/>
              </w:rPr>
              <w:fldChar w:fldCharType="separate"/>
            </w:r>
            <w:r w:rsidR="008B2C35">
              <w:rPr>
                <w:webHidden/>
              </w:rPr>
              <w:t>13</w:t>
            </w:r>
            <w:r>
              <w:rPr>
                <w:webHidden/>
              </w:rPr>
              <w:fldChar w:fldCharType="end"/>
            </w:r>
          </w:hyperlink>
        </w:p>
        <w:p w:rsidR="009F6F91" w:rsidRDefault="00F45733">
          <w:pPr>
            <w:pStyle w:val="TOC2"/>
            <w:tabs>
              <w:tab w:val="left" w:pos="1100"/>
            </w:tabs>
            <w:rPr>
              <w:rFonts w:eastAsiaTheme="minorEastAsia"/>
              <w:b w:val="0"/>
              <w:lang w:val="en-US" w:eastAsia="en-US"/>
            </w:rPr>
          </w:pPr>
          <w:hyperlink w:anchor="_Toc54361040" w:history="1">
            <w:r w:rsidR="009F6F91" w:rsidRPr="00094A7B">
              <w:rPr>
                <w:rStyle w:val="Hyperlink"/>
              </w:rPr>
              <w:t>4.3.1.</w:t>
            </w:r>
            <w:r w:rsidR="009F6F91">
              <w:rPr>
                <w:rFonts w:eastAsiaTheme="minorEastAsia"/>
                <w:b w:val="0"/>
                <w:lang w:val="en-US" w:eastAsia="en-US"/>
              </w:rPr>
              <w:tab/>
            </w:r>
            <w:r w:rsidR="009F6F91" w:rsidRPr="00094A7B">
              <w:rPr>
                <w:rStyle w:val="Hyperlink"/>
              </w:rPr>
              <w:t>Bills assented to</w:t>
            </w:r>
            <w:r w:rsidR="009F6F91">
              <w:rPr>
                <w:webHidden/>
              </w:rPr>
              <w:tab/>
            </w:r>
            <w:r>
              <w:rPr>
                <w:webHidden/>
              </w:rPr>
              <w:fldChar w:fldCharType="begin"/>
            </w:r>
            <w:r w:rsidR="009F6F91">
              <w:rPr>
                <w:webHidden/>
              </w:rPr>
              <w:instrText xml:space="preserve"> PAGEREF _Toc54361040 \h </w:instrText>
            </w:r>
            <w:r>
              <w:rPr>
                <w:webHidden/>
              </w:rPr>
            </w:r>
            <w:r>
              <w:rPr>
                <w:webHidden/>
              </w:rPr>
              <w:fldChar w:fldCharType="separate"/>
            </w:r>
            <w:r w:rsidR="008B2C35">
              <w:rPr>
                <w:webHidden/>
              </w:rPr>
              <w:t>13</w:t>
            </w:r>
            <w:r>
              <w:rPr>
                <w:webHidden/>
              </w:rPr>
              <w:fldChar w:fldCharType="end"/>
            </w:r>
          </w:hyperlink>
        </w:p>
        <w:p w:rsidR="009F6F91" w:rsidRDefault="00F45733">
          <w:pPr>
            <w:pStyle w:val="TOC2"/>
            <w:tabs>
              <w:tab w:val="left" w:pos="1100"/>
            </w:tabs>
            <w:rPr>
              <w:rFonts w:eastAsiaTheme="minorEastAsia"/>
              <w:b w:val="0"/>
              <w:lang w:val="en-US" w:eastAsia="en-US"/>
            </w:rPr>
          </w:pPr>
          <w:hyperlink w:anchor="_Toc54361041" w:history="1">
            <w:r w:rsidR="009F6F91" w:rsidRPr="00094A7B">
              <w:rPr>
                <w:rStyle w:val="Hyperlink"/>
              </w:rPr>
              <w:t>4.3.2.</w:t>
            </w:r>
            <w:r w:rsidR="009F6F91">
              <w:rPr>
                <w:rFonts w:eastAsiaTheme="minorEastAsia"/>
                <w:b w:val="0"/>
                <w:lang w:val="en-US" w:eastAsia="en-US"/>
              </w:rPr>
              <w:tab/>
            </w:r>
            <w:r w:rsidR="009F6F91" w:rsidRPr="00094A7B">
              <w:rPr>
                <w:rStyle w:val="Hyperlink"/>
              </w:rPr>
              <w:t>Bills sent for assent</w:t>
            </w:r>
            <w:r w:rsidR="009F6F91">
              <w:rPr>
                <w:webHidden/>
              </w:rPr>
              <w:tab/>
            </w:r>
            <w:r>
              <w:rPr>
                <w:webHidden/>
              </w:rPr>
              <w:fldChar w:fldCharType="begin"/>
            </w:r>
            <w:r w:rsidR="009F6F91">
              <w:rPr>
                <w:webHidden/>
              </w:rPr>
              <w:instrText xml:space="preserve"> PAGEREF _Toc54361041 \h </w:instrText>
            </w:r>
            <w:r>
              <w:rPr>
                <w:webHidden/>
              </w:rPr>
            </w:r>
            <w:r>
              <w:rPr>
                <w:webHidden/>
              </w:rPr>
              <w:fldChar w:fldCharType="separate"/>
            </w:r>
            <w:r w:rsidR="008B2C35">
              <w:rPr>
                <w:webHidden/>
              </w:rPr>
              <w:t>13</w:t>
            </w:r>
            <w:r>
              <w:rPr>
                <w:webHidden/>
              </w:rPr>
              <w:fldChar w:fldCharType="end"/>
            </w:r>
          </w:hyperlink>
        </w:p>
        <w:p w:rsidR="009F6F91" w:rsidRDefault="00F45733">
          <w:pPr>
            <w:pStyle w:val="TOC2"/>
            <w:tabs>
              <w:tab w:val="left" w:pos="1100"/>
            </w:tabs>
            <w:rPr>
              <w:rFonts w:eastAsiaTheme="minorEastAsia"/>
              <w:b w:val="0"/>
              <w:lang w:val="en-US" w:eastAsia="en-US"/>
            </w:rPr>
          </w:pPr>
          <w:hyperlink w:anchor="_Toc54361042" w:history="1">
            <w:r w:rsidR="009F6F91" w:rsidRPr="00094A7B">
              <w:rPr>
                <w:rStyle w:val="Hyperlink"/>
              </w:rPr>
              <w:t>4.3.3.</w:t>
            </w:r>
            <w:r w:rsidR="009F6F91">
              <w:rPr>
                <w:rFonts w:eastAsiaTheme="minorEastAsia"/>
                <w:b w:val="0"/>
                <w:lang w:val="en-US" w:eastAsia="en-US"/>
              </w:rPr>
              <w:tab/>
            </w:r>
            <w:r w:rsidR="009F6F91" w:rsidRPr="00094A7B">
              <w:rPr>
                <w:rStyle w:val="Hyperlink"/>
              </w:rPr>
              <w:t>National Assembly</w:t>
            </w:r>
            <w:r w:rsidR="009F6F91">
              <w:rPr>
                <w:webHidden/>
              </w:rPr>
              <w:tab/>
            </w:r>
            <w:r>
              <w:rPr>
                <w:webHidden/>
              </w:rPr>
              <w:fldChar w:fldCharType="begin"/>
            </w:r>
            <w:r w:rsidR="009F6F91">
              <w:rPr>
                <w:webHidden/>
              </w:rPr>
              <w:instrText xml:space="preserve"> PAGEREF _Toc54361042 \h </w:instrText>
            </w:r>
            <w:r>
              <w:rPr>
                <w:webHidden/>
              </w:rPr>
            </w:r>
            <w:r>
              <w:rPr>
                <w:webHidden/>
              </w:rPr>
              <w:fldChar w:fldCharType="separate"/>
            </w:r>
            <w:r w:rsidR="008B2C35">
              <w:rPr>
                <w:webHidden/>
              </w:rPr>
              <w:t>13</w:t>
            </w:r>
            <w:r>
              <w:rPr>
                <w:webHidden/>
              </w:rPr>
              <w:fldChar w:fldCharType="end"/>
            </w:r>
          </w:hyperlink>
        </w:p>
        <w:p w:rsidR="009F6F91" w:rsidRDefault="00F45733">
          <w:pPr>
            <w:pStyle w:val="TOC2"/>
            <w:tabs>
              <w:tab w:val="left" w:pos="1100"/>
            </w:tabs>
            <w:rPr>
              <w:rFonts w:eastAsiaTheme="minorEastAsia"/>
              <w:b w:val="0"/>
              <w:lang w:val="en-US" w:eastAsia="en-US"/>
            </w:rPr>
          </w:pPr>
          <w:hyperlink w:anchor="_Toc54361043" w:history="1">
            <w:r w:rsidR="009F6F91" w:rsidRPr="00094A7B">
              <w:rPr>
                <w:rStyle w:val="Hyperlink"/>
              </w:rPr>
              <w:t>4.3.4.</w:t>
            </w:r>
            <w:r w:rsidR="009F6F91">
              <w:rPr>
                <w:rFonts w:eastAsiaTheme="minorEastAsia"/>
                <w:b w:val="0"/>
                <w:lang w:val="en-US" w:eastAsia="en-US"/>
              </w:rPr>
              <w:tab/>
            </w:r>
            <w:r w:rsidR="009F6F91" w:rsidRPr="00094A7B">
              <w:rPr>
                <w:rStyle w:val="Hyperlink"/>
              </w:rPr>
              <w:t>National Council of Provinces</w:t>
            </w:r>
            <w:r w:rsidR="009F6F91">
              <w:rPr>
                <w:webHidden/>
              </w:rPr>
              <w:tab/>
            </w:r>
            <w:r>
              <w:rPr>
                <w:webHidden/>
              </w:rPr>
              <w:fldChar w:fldCharType="begin"/>
            </w:r>
            <w:r w:rsidR="009F6F91">
              <w:rPr>
                <w:webHidden/>
              </w:rPr>
              <w:instrText xml:space="preserve"> PAGEREF _Toc54361043 \h </w:instrText>
            </w:r>
            <w:r>
              <w:rPr>
                <w:webHidden/>
              </w:rPr>
            </w:r>
            <w:r>
              <w:rPr>
                <w:webHidden/>
              </w:rPr>
              <w:fldChar w:fldCharType="separate"/>
            </w:r>
            <w:r w:rsidR="008B2C35">
              <w:rPr>
                <w:webHidden/>
              </w:rPr>
              <w:t>14</w:t>
            </w:r>
            <w:r>
              <w:rPr>
                <w:webHidden/>
              </w:rPr>
              <w:fldChar w:fldCharType="end"/>
            </w:r>
          </w:hyperlink>
        </w:p>
        <w:p w:rsidR="009F6F91" w:rsidRDefault="00F45733">
          <w:pPr>
            <w:pStyle w:val="TOC2"/>
            <w:tabs>
              <w:tab w:val="left" w:pos="1100"/>
            </w:tabs>
            <w:rPr>
              <w:rFonts w:eastAsiaTheme="minorEastAsia"/>
              <w:b w:val="0"/>
              <w:lang w:val="en-US" w:eastAsia="en-US"/>
            </w:rPr>
          </w:pPr>
          <w:hyperlink w:anchor="_Toc54361044" w:history="1">
            <w:r w:rsidR="009F6F91" w:rsidRPr="00094A7B">
              <w:rPr>
                <w:rStyle w:val="Hyperlink"/>
              </w:rPr>
              <w:t>4.3.5.</w:t>
            </w:r>
            <w:r w:rsidR="009F6F91">
              <w:rPr>
                <w:rFonts w:eastAsiaTheme="minorEastAsia"/>
                <w:b w:val="0"/>
                <w:lang w:val="en-US" w:eastAsia="en-US"/>
              </w:rPr>
              <w:tab/>
            </w:r>
            <w:r w:rsidR="009F6F91" w:rsidRPr="00094A7B">
              <w:rPr>
                <w:rStyle w:val="Hyperlink"/>
              </w:rPr>
              <w:t>Committees</w:t>
            </w:r>
            <w:r w:rsidR="009F6F91">
              <w:rPr>
                <w:webHidden/>
              </w:rPr>
              <w:tab/>
            </w:r>
            <w:r>
              <w:rPr>
                <w:webHidden/>
              </w:rPr>
              <w:fldChar w:fldCharType="begin"/>
            </w:r>
            <w:r w:rsidR="009F6F91">
              <w:rPr>
                <w:webHidden/>
              </w:rPr>
              <w:instrText xml:space="preserve"> PAGEREF _Toc54361044 \h </w:instrText>
            </w:r>
            <w:r>
              <w:rPr>
                <w:webHidden/>
              </w:rPr>
            </w:r>
            <w:r>
              <w:rPr>
                <w:webHidden/>
              </w:rPr>
              <w:fldChar w:fldCharType="separate"/>
            </w:r>
            <w:r w:rsidR="008B2C35">
              <w:rPr>
                <w:webHidden/>
              </w:rPr>
              <w:t>14</w:t>
            </w:r>
            <w:r>
              <w:rPr>
                <w:webHidden/>
              </w:rPr>
              <w:fldChar w:fldCharType="end"/>
            </w:r>
          </w:hyperlink>
        </w:p>
        <w:p w:rsidR="009F6F91" w:rsidRDefault="00F45733">
          <w:pPr>
            <w:pStyle w:val="TOC1"/>
            <w:tabs>
              <w:tab w:val="right" w:leader="dot" w:pos="9880"/>
            </w:tabs>
            <w:rPr>
              <w:rFonts w:eastAsiaTheme="minorEastAsia"/>
              <w:noProof/>
              <w:lang w:val="en-US"/>
            </w:rPr>
          </w:pPr>
          <w:hyperlink w:anchor="_Toc54361045" w:history="1">
            <w:r w:rsidR="009F6F91" w:rsidRPr="00094A7B">
              <w:rPr>
                <w:rStyle w:val="Hyperlink"/>
                <w:rFonts w:ascii="Calibri" w:hAnsi="Calibri" w:cs="Calibri"/>
                <w:noProof/>
              </w:rPr>
              <w:t>PART C: Performance Information</w:t>
            </w:r>
            <w:r w:rsidR="009F6F91">
              <w:rPr>
                <w:noProof/>
                <w:webHidden/>
              </w:rPr>
              <w:tab/>
            </w:r>
            <w:r>
              <w:rPr>
                <w:noProof/>
                <w:webHidden/>
              </w:rPr>
              <w:fldChar w:fldCharType="begin"/>
            </w:r>
            <w:r w:rsidR="009F6F91">
              <w:rPr>
                <w:noProof/>
                <w:webHidden/>
              </w:rPr>
              <w:instrText xml:space="preserve"> PAGEREF _Toc54361045 \h </w:instrText>
            </w:r>
            <w:r>
              <w:rPr>
                <w:noProof/>
                <w:webHidden/>
              </w:rPr>
            </w:r>
            <w:r>
              <w:rPr>
                <w:noProof/>
                <w:webHidden/>
              </w:rPr>
              <w:fldChar w:fldCharType="separate"/>
            </w:r>
            <w:r w:rsidR="008B2C35">
              <w:rPr>
                <w:noProof/>
                <w:webHidden/>
              </w:rPr>
              <w:t>16</w:t>
            </w:r>
            <w:r>
              <w:rPr>
                <w:noProof/>
                <w:webHidden/>
              </w:rPr>
              <w:fldChar w:fldCharType="end"/>
            </w:r>
          </w:hyperlink>
        </w:p>
        <w:p w:rsidR="009F6F91" w:rsidRDefault="00F45733">
          <w:pPr>
            <w:pStyle w:val="TOC2"/>
            <w:rPr>
              <w:rFonts w:eastAsiaTheme="minorEastAsia"/>
              <w:b w:val="0"/>
              <w:lang w:val="en-US" w:eastAsia="en-US"/>
            </w:rPr>
          </w:pPr>
          <w:hyperlink w:anchor="_Toc54361046" w:history="1">
            <w:r w:rsidR="009F6F91" w:rsidRPr="00094A7B">
              <w:rPr>
                <w:rStyle w:val="Hyperlink"/>
                <w:rFonts w:ascii="Calibri" w:hAnsi="Calibri" w:cs="Calibri"/>
              </w:rPr>
              <w:t>5.</w:t>
            </w:r>
            <w:r w:rsidR="009F6F91">
              <w:rPr>
                <w:rFonts w:eastAsiaTheme="minorEastAsia"/>
                <w:b w:val="0"/>
                <w:lang w:val="en-US" w:eastAsia="en-US"/>
              </w:rPr>
              <w:tab/>
            </w:r>
            <w:r w:rsidR="009F6F91" w:rsidRPr="00094A7B">
              <w:rPr>
                <w:rStyle w:val="Hyperlink"/>
                <w:rFonts w:ascii="Calibri" w:hAnsi="Calibri" w:cs="Calibri"/>
              </w:rPr>
              <w:t>PROGRAMME PERFORMANCE</w:t>
            </w:r>
            <w:r w:rsidR="009F6F91">
              <w:rPr>
                <w:webHidden/>
              </w:rPr>
              <w:tab/>
            </w:r>
            <w:r>
              <w:rPr>
                <w:webHidden/>
              </w:rPr>
              <w:fldChar w:fldCharType="begin"/>
            </w:r>
            <w:r w:rsidR="009F6F91">
              <w:rPr>
                <w:webHidden/>
              </w:rPr>
              <w:instrText xml:space="preserve"> PAGEREF _Toc54361046 \h </w:instrText>
            </w:r>
            <w:r>
              <w:rPr>
                <w:webHidden/>
              </w:rPr>
            </w:r>
            <w:r>
              <w:rPr>
                <w:webHidden/>
              </w:rPr>
              <w:fldChar w:fldCharType="separate"/>
            </w:r>
            <w:r w:rsidR="008B2C35">
              <w:rPr>
                <w:webHidden/>
              </w:rPr>
              <w:t>17</w:t>
            </w:r>
            <w:r>
              <w:rPr>
                <w:webHidden/>
              </w:rPr>
              <w:fldChar w:fldCharType="end"/>
            </w:r>
          </w:hyperlink>
        </w:p>
        <w:p w:rsidR="009F6F91" w:rsidRDefault="00F45733">
          <w:pPr>
            <w:pStyle w:val="TOC3"/>
            <w:tabs>
              <w:tab w:val="left" w:pos="880"/>
              <w:tab w:val="right" w:leader="dot" w:pos="9880"/>
            </w:tabs>
            <w:rPr>
              <w:rFonts w:eastAsiaTheme="minorEastAsia"/>
              <w:noProof/>
              <w:lang w:val="en-US"/>
            </w:rPr>
          </w:pPr>
          <w:hyperlink w:anchor="_Toc54361047" w:history="1">
            <w:r w:rsidR="009F6F91" w:rsidRPr="00094A7B">
              <w:rPr>
                <w:rStyle w:val="Hyperlink"/>
                <w:noProof/>
              </w:rPr>
              <w:t>a)</w:t>
            </w:r>
            <w:r w:rsidR="009F6F91">
              <w:rPr>
                <w:rFonts w:eastAsiaTheme="minorEastAsia"/>
                <w:noProof/>
                <w:lang w:val="en-US"/>
              </w:rPr>
              <w:tab/>
            </w:r>
            <w:r w:rsidR="009F6F91" w:rsidRPr="00094A7B">
              <w:rPr>
                <w:rStyle w:val="Hyperlink"/>
                <w:noProof/>
              </w:rPr>
              <w:t>Programme 1: Strategic Leadership and Governance</w:t>
            </w:r>
            <w:r w:rsidR="009F6F91">
              <w:rPr>
                <w:noProof/>
                <w:webHidden/>
              </w:rPr>
              <w:tab/>
            </w:r>
            <w:r>
              <w:rPr>
                <w:noProof/>
                <w:webHidden/>
              </w:rPr>
              <w:fldChar w:fldCharType="begin"/>
            </w:r>
            <w:r w:rsidR="009F6F91">
              <w:rPr>
                <w:noProof/>
                <w:webHidden/>
              </w:rPr>
              <w:instrText xml:space="preserve"> PAGEREF _Toc54361047 \h </w:instrText>
            </w:r>
            <w:r>
              <w:rPr>
                <w:noProof/>
                <w:webHidden/>
              </w:rPr>
            </w:r>
            <w:r>
              <w:rPr>
                <w:noProof/>
                <w:webHidden/>
              </w:rPr>
              <w:fldChar w:fldCharType="separate"/>
            </w:r>
            <w:r w:rsidR="008B2C35">
              <w:rPr>
                <w:noProof/>
                <w:webHidden/>
              </w:rPr>
              <w:t>17</w:t>
            </w:r>
            <w:r>
              <w:rPr>
                <w:noProof/>
                <w:webHidden/>
              </w:rPr>
              <w:fldChar w:fldCharType="end"/>
            </w:r>
          </w:hyperlink>
        </w:p>
        <w:p w:rsidR="009F6F91" w:rsidRDefault="00F45733">
          <w:pPr>
            <w:pStyle w:val="TOC3"/>
            <w:tabs>
              <w:tab w:val="left" w:pos="880"/>
              <w:tab w:val="right" w:leader="dot" w:pos="9880"/>
            </w:tabs>
            <w:rPr>
              <w:rFonts w:eastAsiaTheme="minorEastAsia"/>
              <w:noProof/>
              <w:lang w:val="en-US"/>
            </w:rPr>
          </w:pPr>
          <w:hyperlink w:anchor="_Toc54361048" w:history="1">
            <w:r w:rsidR="009F6F91" w:rsidRPr="00094A7B">
              <w:rPr>
                <w:rStyle w:val="Hyperlink"/>
                <w:noProof/>
              </w:rPr>
              <w:t>b)</w:t>
            </w:r>
            <w:r w:rsidR="009F6F91">
              <w:rPr>
                <w:rFonts w:eastAsiaTheme="minorEastAsia"/>
                <w:noProof/>
                <w:lang w:val="en-US"/>
              </w:rPr>
              <w:tab/>
            </w:r>
            <w:r w:rsidR="009F6F91" w:rsidRPr="00094A7B">
              <w:rPr>
                <w:rStyle w:val="Hyperlink"/>
                <w:noProof/>
              </w:rPr>
              <w:t>Programme 2: Administration</w:t>
            </w:r>
            <w:r w:rsidR="009F6F91">
              <w:rPr>
                <w:noProof/>
                <w:webHidden/>
              </w:rPr>
              <w:tab/>
            </w:r>
            <w:r>
              <w:rPr>
                <w:noProof/>
                <w:webHidden/>
              </w:rPr>
              <w:fldChar w:fldCharType="begin"/>
            </w:r>
            <w:r w:rsidR="009F6F91">
              <w:rPr>
                <w:noProof/>
                <w:webHidden/>
              </w:rPr>
              <w:instrText xml:space="preserve"> PAGEREF _Toc54361048 \h </w:instrText>
            </w:r>
            <w:r>
              <w:rPr>
                <w:noProof/>
                <w:webHidden/>
              </w:rPr>
            </w:r>
            <w:r>
              <w:rPr>
                <w:noProof/>
                <w:webHidden/>
              </w:rPr>
              <w:fldChar w:fldCharType="separate"/>
            </w:r>
            <w:r w:rsidR="008B2C35">
              <w:rPr>
                <w:noProof/>
                <w:webHidden/>
              </w:rPr>
              <w:t>21</w:t>
            </w:r>
            <w:r>
              <w:rPr>
                <w:noProof/>
                <w:webHidden/>
              </w:rPr>
              <w:fldChar w:fldCharType="end"/>
            </w:r>
          </w:hyperlink>
        </w:p>
        <w:p w:rsidR="009F6F91" w:rsidRDefault="00F45733">
          <w:pPr>
            <w:pStyle w:val="TOC3"/>
            <w:tabs>
              <w:tab w:val="left" w:pos="880"/>
              <w:tab w:val="right" w:leader="dot" w:pos="9880"/>
            </w:tabs>
            <w:rPr>
              <w:rFonts w:eastAsiaTheme="minorEastAsia"/>
              <w:noProof/>
              <w:lang w:val="en-US"/>
            </w:rPr>
          </w:pPr>
          <w:hyperlink w:anchor="_Toc54361049" w:history="1">
            <w:r w:rsidR="009F6F91" w:rsidRPr="00094A7B">
              <w:rPr>
                <w:rStyle w:val="Hyperlink"/>
                <w:noProof/>
              </w:rPr>
              <w:t>c)</w:t>
            </w:r>
            <w:r w:rsidR="009F6F91">
              <w:rPr>
                <w:rFonts w:eastAsiaTheme="minorEastAsia"/>
                <w:noProof/>
                <w:lang w:val="en-US"/>
              </w:rPr>
              <w:tab/>
            </w:r>
            <w:r w:rsidR="009F6F91" w:rsidRPr="00094A7B">
              <w:rPr>
                <w:rStyle w:val="Hyperlink"/>
                <w:noProof/>
              </w:rPr>
              <w:t>Programme 3: Core Business</w:t>
            </w:r>
            <w:r w:rsidR="009F6F91">
              <w:rPr>
                <w:noProof/>
                <w:webHidden/>
              </w:rPr>
              <w:tab/>
            </w:r>
            <w:r>
              <w:rPr>
                <w:noProof/>
                <w:webHidden/>
              </w:rPr>
              <w:fldChar w:fldCharType="begin"/>
            </w:r>
            <w:r w:rsidR="009F6F91">
              <w:rPr>
                <w:noProof/>
                <w:webHidden/>
              </w:rPr>
              <w:instrText xml:space="preserve"> PAGEREF _Toc54361049 \h </w:instrText>
            </w:r>
            <w:r>
              <w:rPr>
                <w:noProof/>
                <w:webHidden/>
              </w:rPr>
            </w:r>
            <w:r>
              <w:rPr>
                <w:noProof/>
                <w:webHidden/>
              </w:rPr>
              <w:fldChar w:fldCharType="separate"/>
            </w:r>
            <w:r w:rsidR="008B2C35">
              <w:rPr>
                <w:noProof/>
                <w:webHidden/>
              </w:rPr>
              <w:t>23</w:t>
            </w:r>
            <w:r>
              <w:rPr>
                <w:noProof/>
                <w:webHidden/>
              </w:rPr>
              <w:fldChar w:fldCharType="end"/>
            </w:r>
          </w:hyperlink>
        </w:p>
        <w:p w:rsidR="009F6F91" w:rsidRDefault="00F45733">
          <w:pPr>
            <w:pStyle w:val="TOC3"/>
            <w:tabs>
              <w:tab w:val="left" w:pos="880"/>
              <w:tab w:val="right" w:leader="dot" w:pos="9880"/>
            </w:tabs>
            <w:rPr>
              <w:rFonts w:eastAsiaTheme="minorEastAsia"/>
              <w:noProof/>
              <w:lang w:val="en-US"/>
            </w:rPr>
          </w:pPr>
          <w:hyperlink w:anchor="_Toc54361050" w:history="1">
            <w:r w:rsidR="009F6F91" w:rsidRPr="00094A7B">
              <w:rPr>
                <w:rStyle w:val="Hyperlink"/>
                <w:noProof/>
              </w:rPr>
              <w:t>d)</w:t>
            </w:r>
            <w:r w:rsidR="009F6F91">
              <w:rPr>
                <w:rFonts w:eastAsiaTheme="minorEastAsia"/>
                <w:noProof/>
                <w:lang w:val="en-US"/>
              </w:rPr>
              <w:tab/>
            </w:r>
            <w:r w:rsidR="009F6F91" w:rsidRPr="00094A7B">
              <w:rPr>
                <w:rStyle w:val="Hyperlink"/>
                <w:noProof/>
              </w:rPr>
              <w:t>Programme 4: Support Services</w:t>
            </w:r>
            <w:r w:rsidR="009F6F91">
              <w:rPr>
                <w:noProof/>
                <w:webHidden/>
              </w:rPr>
              <w:tab/>
            </w:r>
            <w:r>
              <w:rPr>
                <w:noProof/>
                <w:webHidden/>
              </w:rPr>
              <w:fldChar w:fldCharType="begin"/>
            </w:r>
            <w:r w:rsidR="009F6F91">
              <w:rPr>
                <w:noProof/>
                <w:webHidden/>
              </w:rPr>
              <w:instrText xml:space="preserve"> PAGEREF _Toc54361050 \h </w:instrText>
            </w:r>
            <w:r>
              <w:rPr>
                <w:noProof/>
                <w:webHidden/>
              </w:rPr>
            </w:r>
            <w:r>
              <w:rPr>
                <w:noProof/>
                <w:webHidden/>
              </w:rPr>
              <w:fldChar w:fldCharType="separate"/>
            </w:r>
            <w:r w:rsidR="008B2C35">
              <w:rPr>
                <w:noProof/>
                <w:webHidden/>
              </w:rPr>
              <w:t>28</w:t>
            </w:r>
            <w:r>
              <w:rPr>
                <w:noProof/>
                <w:webHidden/>
              </w:rPr>
              <w:fldChar w:fldCharType="end"/>
            </w:r>
          </w:hyperlink>
        </w:p>
        <w:p w:rsidR="009F6F91" w:rsidRDefault="00F45733">
          <w:pPr>
            <w:pStyle w:val="TOC3"/>
            <w:tabs>
              <w:tab w:val="left" w:pos="880"/>
              <w:tab w:val="right" w:leader="dot" w:pos="9880"/>
            </w:tabs>
            <w:rPr>
              <w:rFonts w:eastAsiaTheme="minorEastAsia"/>
              <w:noProof/>
              <w:lang w:val="en-US"/>
            </w:rPr>
          </w:pPr>
          <w:hyperlink w:anchor="_Toc54361051" w:history="1">
            <w:r w:rsidR="009F6F91" w:rsidRPr="00094A7B">
              <w:rPr>
                <w:rStyle w:val="Hyperlink"/>
                <w:noProof/>
              </w:rPr>
              <w:t>e)</w:t>
            </w:r>
            <w:r w:rsidR="009F6F91">
              <w:rPr>
                <w:rFonts w:eastAsiaTheme="minorEastAsia"/>
                <w:noProof/>
                <w:lang w:val="en-US"/>
              </w:rPr>
              <w:tab/>
            </w:r>
            <w:r w:rsidR="009F6F91" w:rsidRPr="00094A7B">
              <w:rPr>
                <w:rStyle w:val="Hyperlink"/>
                <w:noProof/>
              </w:rPr>
              <w:t>Programme 5: Associated Services</w:t>
            </w:r>
            <w:r w:rsidR="009F6F91">
              <w:rPr>
                <w:noProof/>
                <w:webHidden/>
              </w:rPr>
              <w:tab/>
            </w:r>
            <w:r>
              <w:rPr>
                <w:noProof/>
                <w:webHidden/>
              </w:rPr>
              <w:fldChar w:fldCharType="begin"/>
            </w:r>
            <w:r w:rsidR="009F6F91">
              <w:rPr>
                <w:noProof/>
                <w:webHidden/>
              </w:rPr>
              <w:instrText xml:space="preserve"> PAGEREF _Toc54361051 \h </w:instrText>
            </w:r>
            <w:r>
              <w:rPr>
                <w:noProof/>
                <w:webHidden/>
              </w:rPr>
            </w:r>
            <w:r>
              <w:rPr>
                <w:noProof/>
                <w:webHidden/>
              </w:rPr>
              <w:fldChar w:fldCharType="separate"/>
            </w:r>
            <w:r w:rsidR="008B2C35">
              <w:rPr>
                <w:noProof/>
                <w:webHidden/>
              </w:rPr>
              <w:t>35</w:t>
            </w:r>
            <w:r>
              <w:rPr>
                <w:noProof/>
                <w:webHidden/>
              </w:rPr>
              <w:fldChar w:fldCharType="end"/>
            </w:r>
          </w:hyperlink>
        </w:p>
        <w:p w:rsidR="009F6F91" w:rsidRDefault="00F45733">
          <w:pPr>
            <w:pStyle w:val="TOC1"/>
            <w:tabs>
              <w:tab w:val="right" w:leader="dot" w:pos="9880"/>
            </w:tabs>
            <w:rPr>
              <w:rFonts w:eastAsiaTheme="minorEastAsia"/>
              <w:noProof/>
              <w:lang w:val="en-US"/>
            </w:rPr>
          </w:pPr>
          <w:hyperlink w:anchor="_Toc54361052" w:history="1">
            <w:r w:rsidR="009F6F91" w:rsidRPr="00094A7B">
              <w:rPr>
                <w:rStyle w:val="Hyperlink"/>
                <w:rFonts w:ascii="Calibri" w:hAnsi="Calibri" w:cs="Calibri"/>
                <w:noProof/>
              </w:rPr>
              <w:t>PART D: Financial Report</w:t>
            </w:r>
            <w:r w:rsidR="009F6F91">
              <w:rPr>
                <w:noProof/>
                <w:webHidden/>
              </w:rPr>
              <w:tab/>
            </w:r>
            <w:r>
              <w:rPr>
                <w:noProof/>
                <w:webHidden/>
              </w:rPr>
              <w:fldChar w:fldCharType="begin"/>
            </w:r>
            <w:r w:rsidR="009F6F91">
              <w:rPr>
                <w:noProof/>
                <w:webHidden/>
              </w:rPr>
              <w:instrText xml:space="preserve"> PAGEREF _Toc54361052 \h </w:instrText>
            </w:r>
            <w:r>
              <w:rPr>
                <w:noProof/>
                <w:webHidden/>
              </w:rPr>
            </w:r>
            <w:r>
              <w:rPr>
                <w:noProof/>
                <w:webHidden/>
              </w:rPr>
              <w:fldChar w:fldCharType="separate"/>
            </w:r>
            <w:r w:rsidR="008B2C35">
              <w:rPr>
                <w:noProof/>
                <w:webHidden/>
              </w:rPr>
              <w:t>36</w:t>
            </w:r>
            <w:r>
              <w:rPr>
                <w:noProof/>
                <w:webHidden/>
              </w:rPr>
              <w:fldChar w:fldCharType="end"/>
            </w:r>
          </w:hyperlink>
        </w:p>
        <w:p w:rsidR="009F6F91" w:rsidRDefault="00F45733">
          <w:pPr>
            <w:pStyle w:val="TOC2"/>
            <w:rPr>
              <w:rFonts w:eastAsiaTheme="minorEastAsia"/>
              <w:b w:val="0"/>
              <w:lang w:val="en-US" w:eastAsia="en-US"/>
            </w:rPr>
          </w:pPr>
          <w:hyperlink w:anchor="_Toc54361053" w:history="1">
            <w:r w:rsidR="009F6F91" w:rsidRPr="00094A7B">
              <w:rPr>
                <w:rStyle w:val="Hyperlink"/>
                <w:rFonts w:ascii="Calibri" w:hAnsi="Calibri" w:cs="Calibri"/>
              </w:rPr>
              <w:t>6.</w:t>
            </w:r>
            <w:r w:rsidR="009F6F91">
              <w:rPr>
                <w:rFonts w:eastAsiaTheme="minorEastAsia"/>
                <w:b w:val="0"/>
                <w:lang w:val="en-US" w:eastAsia="en-US"/>
              </w:rPr>
              <w:tab/>
            </w:r>
            <w:r w:rsidR="009F6F91" w:rsidRPr="00094A7B">
              <w:rPr>
                <w:rStyle w:val="Hyperlink"/>
                <w:rFonts w:ascii="Calibri" w:hAnsi="Calibri" w:cs="Calibri"/>
              </w:rPr>
              <w:t>Financial Report</w:t>
            </w:r>
            <w:r w:rsidR="009F6F91">
              <w:rPr>
                <w:webHidden/>
              </w:rPr>
              <w:tab/>
            </w:r>
            <w:r>
              <w:rPr>
                <w:webHidden/>
              </w:rPr>
              <w:fldChar w:fldCharType="begin"/>
            </w:r>
            <w:r w:rsidR="009F6F91">
              <w:rPr>
                <w:webHidden/>
              </w:rPr>
              <w:instrText xml:space="preserve"> PAGEREF _Toc54361053 \h </w:instrText>
            </w:r>
            <w:r>
              <w:rPr>
                <w:webHidden/>
              </w:rPr>
            </w:r>
            <w:r>
              <w:rPr>
                <w:webHidden/>
              </w:rPr>
              <w:fldChar w:fldCharType="separate"/>
            </w:r>
            <w:r w:rsidR="008B2C35">
              <w:rPr>
                <w:webHidden/>
              </w:rPr>
              <w:t>37</w:t>
            </w:r>
            <w:r>
              <w:rPr>
                <w:webHidden/>
              </w:rPr>
              <w:fldChar w:fldCharType="end"/>
            </w:r>
          </w:hyperlink>
        </w:p>
        <w:p w:rsidR="009F6F91" w:rsidRDefault="00F45733">
          <w:pPr>
            <w:pStyle w:val="TOC1"/>
            <w:tabs>
              <w:tab w:val="right" w:leader="dot" w:pos="9880"/>
            </w:tabs>
            <w:rPr>
              <w:rFonts w:eastAsiaTheme="minorEastAsia"/>
              <w:noProof/>
              <w:lang w:val="en-US"/>
            </w:rPr>
          </w:pPr>
          <w:hyperlink w:anchor="_Toc54361054" w:history="1">
            <w:r w:rsidR="009F6F91" w:rsidRPr="00094A7B">
              <w:rPr>
                <w:rStyle w:val="Hyperlink"/>
                <w:rFonts w:ascii="Calibri" w:hAnsi="Calibri" w:cs="Calibri"/>
                <w:noProof/>
              </w:rPr>
              <w:t>PART E: Governance Report</w:t>
            </w:r>
            <w:r w:rsidR="009F6F91">
              <w:rPr>
                <w:noProof/>
                <w:webHidden/>
              </w:rPr>
              <w:tab/>
            </w:r>
            <w:r>
              <w:rPr>
                <w:noProof/>
                <w:webHidden/>
              </w:rPr>
              <w:fldChar w:fldCharType="begin"/>
            </w:r>
            <w:r w:rsidR="009F6F91">
              <w:rPr>
                <w:noProof/>
                <w:webHidden/>
              </w:rPr>
              <w:instrText xml:space="preserve"> PAGEREF _Toc54361054 \h </w:instrText>
            </w:r>
            <w:r>
              <w:rPr>
                <w:noProof/>
                <w:webHidden/>
              </w:rPr>
            </w:r>
            <w:r>
              <w:rPr>
                <w:noProof/>
                <w:webHidden/>
              </w:rPr>
              <w:fldChar w:fldCharType="separate"/>
            </w:r>
            <w:r w:rsidR="008B2C35">
              <w:rPr>
                <w:noProof/>
                <w:webHidden/>
              </w:rPr>
              <w:t>42</w:t>
            </w:r>
            <w:r>
              <w:rPr>
                <w:noProof/>
                <w:webHidden/>
              </w:rPr>
              <w:fldChar w:fldCharType="end"/>
            </w:r>
          </w:hyperlink>
        </w:p>
        <w:p w:rsidR="009F6F91" w:rsidRDefault="00F45733">
          <w:pPr>
            <w:pStyle w:val="TOC2"/>
            <w:rPr>
              <w:rFonts w:eastAsiaTheme="minorEastAsia"/>
              <w:b w:val="0"/>
              <w:lang w:val="en-US" w:eastAsia="en-US"/>
            </w:rPr>
          </w:pPr>
          <w:hyperlink w:anchor="_Toc54361055" w:history="1">
            <w:r w:rsidR="009F6F91" w:rsidRPr="00094A7B">
              <w:rPr>
                <w:rStyle w:val="Hyperlink"/>
                <w:rFonts w:ascii="Calibri" w:hAnsi="Calibri" w:cs="Calibri"/>
              </w:rPr>
              <w:t>7.</w:t>
            </w:r>
            <w:r w:rsidR="009F6F91">
              <w:rPr>
                <w:rFonts w:eastAsiaTheme="minorEastAsia"/>
                <w:b w:val="0"/>
                <w:lang w:val="en-US" w:eastAsia="en-US"/>
              </w:rPr>
              <w:tab/>
            </w:r>
            <w:r w:rsidR="009F6F91" w:rsidRPr="00094A7B">
              <w:rPr>
                <w:rStyle w:val="Hyperlink"/>
                <w:rFonts w:ascii="Calibri" w:hAnsi="Calibri" w:cs="Calibri"/>
              </w:rPr>
              <w:t>AUDIT REGISTER</w:t>
            </w:r>
            <w:r w:rsidR="009F6F91">
              <w:rPr>
                <w:webHidden/>
              </w:rPr>
              <w:tab/>
            </w:r>
            <w:r>
              <w:rPr>
                <w:webHidden/>
              </w:rPr>
              <w:fldChar w:fldCharType="begin"/>
            </w:r>
            <w:r w:rsidR="009F6F91">
              <w:rPr>
                <w:webHidden/>
              </w:rPr>
              <w:instrText xml:space="preserve"> PAGEREF _Toc54361055 \h </w:instrText>
            </w:r>
            <w:r>
              <w:rPr>
                <w:webHidden/>
              </w:rPr>
            </w:r>
            <w:r>
              <w:rPr>
                <w:webHidden/>
              </w:rPr>
              <w:fldChar w:fldCharType="separate"/>
            </w:r>
            <w:r w:rsidR="008B2C35">
              <w:rPr>
                <w:webHidden/>
              </w:rPr>
              <w:t>43</w:t>
            </w:r>
            <w:r>
              <w:rPr>
                <w:webHidden/>
              </w:rPr>
              <w:fldChar w:fldCharType="end"/>
            </w:r>
          </w:hyperlink>
        </w:p>
        <w:p w:rsidR="009F6F91" w:rsidRDefault="00F45733">
          <w:pPr>
            <w:pStyle w:val="TOC1"/>
            <w:tabs>
              <w:tab w:val="right" w:leader="dot" w:pos="9880"/>
            </w:tabs>
            <w:rPr>
              <w:rFonts w:eastAsiaTheme="minorEastAsia"/>
              <w:noProof/>
              <w:lang w:val="en-US"/>
            </w:rPr>
          </w:pPr>
          <w:hyperlink w:anchor="_Toc54361056" w:history="1">
            <w:r w:rsidR="009F6F91" w:rsidRPr="00094A7B">
              <w:rPr>
                <w:rStyle w:val="Hyperlink"/>
                <w:rFonts w:ascii="Calibri" w:hAnsi="Calibri" w:cs="Calibri"/>
                <w:noProof/>
              </w:rPr>
              <w:t>PART F: Conclusion</w:t>
            </w:r>
            <w:r w:rsidR="009F6F91">
              <w:rPr>
                <w:noProof/>
                <w:webHidden/>
              </w:rPr>
              <w:tab/>
            </w:r>
            <w:r w:rsidR="00B06439">
              <w:rPr>
                <w:noProof/>
                <w:webHidden/>
              </w:rPr>
              <w:t>45</w:t>
            </w:r>
          </w:hyperlink>
        </w:p>
        <w:p w:rsidR="009F6F91" w:rsidRDefault="00F45733">
          <w:pPr>
            <w:pStyle w:val="TOC2"/>
            <w:rPr>
              <w:rFonts w:eastAsiaTheme="minorEastAsia"/>
              <w:b w:val="0"/>
              <w:lang w:val="en-US" w:eastAsia="en-US"/>
            </w:rPr>
          </w:pPr>
          <w:hyperlink w:anchor="_Toc54361057" w:history="1">
            <w:r w:rsidR="009F6F91" w:rsidRPr="00094A7B">
              <w:rPr>
                <w:rStyle w:val="Hyperlink"/>
                <w:rFonts w:ascii="Calibri" w:hAnsi="Calibri" w:cs="Calibri"/>
              </w:rPr>
              <w:t>ANNEXURE A: Performance Status 2020/21 (Summary)</w:t>
            </w:r>
            <w:r w:rsidR="009F6F91">
              <w:rPr>
                <w:webHidden/>
              </w:rPr>
              <w:tab/>
            </w:r>
            <w:r w:rsidR="00B06439">
              <w:rPr>
                <w:webHidden/>
              </w:rPr>
              <w:t>46</w:t>
            </w:r>
          </w:hyperlink>
        </w:p>
        <w:p w:rsidR="00F256CF" w:rsidRPr="00027CA6" w:rsidRDefault="00F45733">
          <w:pPr>
            <w:rPr>
              <w:rFonts w:ascii="Calibri" w:hAnsi="Calibri" w:cs="Calibri"/>
            </w:rPr>
          </w:pPr>
          <w:r w:rsidRPr="00027CA6">
            <w:rPr>
              <w:rFonts w:ascii="Calibri" w:hAnsi="Calibri" w:cs="Calibri"/>
              <w:b/>
              <w:bCs/>
              <w:noProof/>
            </w:rPr>
            <w:fldChar w:fldCharType="end"/>
          </w:r>
        </w:p>
      </w:sdtContent>
    </w:sdt>
    <w:p w:rsidR="00EE760C" w:rsidRPr="00027CA6" w:rsidRDefault="00EE760C" w:rsidP="00EE760C">
      <w:pPr>
        <w:rPr>
          <w:rFonts w:ascii="Calibri" w:hAnsi="Calibri" w:cs="Calibri"/>
        </w:rPr>
      </w:pPr>
    </w:p>
    <w:p w:rsidR="00EE760C" w:rsidRPr="00027CA6" w:rsidRDefault="00EE760C" w:rsidP="00EE760C">
      <w:pPr>
        <w:rPr>
          <w:rFonts w:ascii="Calibri" w:hAnsi="Calibri" w:cs="Calibri"/>
        </w:rPr>
      </w:pPr>
    </w:p>
    <w:p w:rsidR="00EE760C" w:rsidRPr="00027CA6" w:rsidRDefault="00EE760C" w:rsidP="00EE760C">
      <w:pPr>
        <w:rPr>
          <w:rFonts w:ascii="Calibri" w:hAnsi="Calibri" w:cs="Calibri"/>
        </w:rPr>
      </w:pPr>
    </w:p>
    <w:p w:rsidR="00D40947" w:rsidRPr="00F675F6" w:rsidRDefault="00D40947" w:rsidP="0075107C">
      <w:pPr>
        <w:pStyle w:val="Heading2"/>
        <w:numPr>
          <w:ilvl w:val="0"/>
          <w:numId w:val="0"/>
        </w:numPr>
        <w:rPr>
          <w:rFonts w:ascii="Calibri" w:hAnsi="Calibri" w:cs="Calibri"/>
          <w:sz w:val="36"/>
          <w:szCs w:val="36"/>
        </w:rPr>
      </w:pPr>
      <w:bookmarkStart w:id="1" w:name="_Toc54361026"/>
      <w:r w:rsidRPr="00F675F6">
        <w:rPr>
          <w:rFonts w:ascii="Calibri" w:hAnsi="Calibri" w:cs="Calibri"/>
          <w:sz w:val="36"/>
          <w:szCs w:val="36"/>
        </w:rPr>
        <w:lastRenderedPageBreak/>
        <w:t>ABBREVIATIONS</w:t>
      </w:r>
      <w:bookmarkEnd w:id="1"/>
    </w:p>
    <w:p w:rsidR="0075107C" w:rsidRPr="0075107C" w:rsidRDefault="0075107C" w:rsidP="0075107C">
      <w:pPr>
        <w:rPr>
          <w:lang w:val="en-US"/>
        </w:rPr>
      </w:pPr>
    </w:p>
    <w:p w:rsidR="001821F0" w:rsidRPr="001821F0" w:rsidRDefault="001821F0" w:rsidP="001821F0">
      <w:pPr>
        <w:spacing w:after="0"/>
        <w:rPr>
          <w:rFonts w:cstheme="minorHAnsi"/>
          <w:color w:val="000000" w:themeColor="text1"/>
        </w:rPr>
      </w:pPr>
      <w:r w:rsidRPr="001821F0">
        <w:rPr>
          <w:rFonts w:cstheme="minorHAnsi"/>
          <w:color w:val="000000" w:themeColor="text1"/>
        </w:rPr>
        <w:t>AGSA</w:t>
      </w:r>
      <w:r w:rsidRPr="001821F0">
        <w:rPr>
          <w:rFonts w:cstheme="minorHAnsi"/>
          <w:color w:val="000000" w:themeColor="text1"/>
        </w:rPr>
        <w:tab/>
      </w:r>
      <w:r w:rsidRPr="001821F0">
        <w:rPr>
          <w:rFonts w:cstheme="minorHAnsi"/>
          <w:color w:val="000000" w:themeColor="text1"/>
        </w:rPr>
        <w:tab/>
        <w:t>Auditor General</w:t>
      </w:r>
    </w:p>
    <w:p w:rsidR="001821F0" w:rsidRPr="001821F0" w:rsidRDefault="001821F0" w:rsidP="001821F0">
      <w:pPr>
        <w:spacing w:after="0"/>
        <w:rPr>
          <w:rFonts w:cstheme="minorHAnsi"/>
          <w:color w:val="000000" w:themeColor="text1"/>
        </w:rPr>
      </w:pPr>
      <w:r w:rsidRPr="001821F0">
        <w:rPr>
          <w:rFonts w:cstheme="minorHAnsi"/>
          <w:color w:val="000000" w:themeColor="text1"/>
        </w:rPr>
        <w:t>APP</w:t>
      </w:r>
      <w:r w:rsidRPr="001821F0">
        <w:rPr>
          <w:rFonts w:cstheme="minorHAnsi"/>
          <w:color w:val="000000" w:themeColor="text1"/>
        </w:rPr>
        <w:tab/>
      </w:r>
      <w:r w:rsidRPr="001821F0">
        <w:rPr>
          <w:rFonts w:cstheme="minorHAnsi"/>
          <w:color w:val="000000" w:themeColor="text1"/>
        </w:rPr>
        <w:tab/>
        <w:t>Annual Performance Plan</w:t>
      </w:r>
    </w:p>
    <w:p w:rsidR="001821F0" w:rsidRPr="001821F0" w:rsidRDefault="001821F0" w:rsidP="001821F0">
      <w:pPr>
        <w:spacing w:after="0"/>
        <w:rPr>
          <w:rFonts w:cstheme="minorHAnsi"/>
          <w:color w:val="000000" w:themeColor="text1"/>
        </w:rPr>
      </w:pPr>
      <w:r w:rsidRPr="001821F0">
        <w:rPr>
          <w:rFonts w:cstheme="minorHAnsi"/>
          <w:color w:val="000000" w:themeColor="text1"/>
        </w:rPr>
        <w:t>ATC</w:t>
      </w:r>
      <w:r w:rsidRPr="001821F0">
        <w:rPr>
          <w:rFonts w:cstheme="minorHAnsi"/>
          <w:color w:val="000000" w:themeColor="text1"/>
        </w:rPr>
        <w:tab/>
      </w:r>
      <w:r w:rsidRPr="001821F0">
        <w:rPr>
          <w:rFonts w:cstheme="minorHAnsi"/>
          <w:color w:val="000000" w:themeColor="text1"/>
        </w:rPr>
        <w:tab/>
        <w:t>Announcements, Tablings and Committee Reports</w:t>
      </w:r>
    </w:p>
    <w:p w:rsidR="001821F0" w:rsidRPr="001821F0" w:rsidRDefault="001821F0" w:rsidP="001821F0">
      <w:pPr>
        <w:spacing w:after="0"/>
        <w:rPr>
          <w:rFonts w:cstheme="minorHAnsi"/>
          <w:color w:val="000000" w:themeColor="text1"/>
        </w:rPr>
      </w:pPr>
      <w:r w:rsidRPr="001821F0">
        <w:rPr>
          <w:rFonts w:cstheme="minorHAnsi"/>
          <w:color w:val="000000" w:themeColor="text1"/>
        </w:rPr>
        <w:t>CEP</w:t>
      </w:r>
      <w:r w:rsidRPr="001821F0">
        <w:rPr>
          <w:rFonts w:cstheme="minorHAnsi"/>
          <w:color w:val="000000" w:themeColor="text1"/>
        </w:rPr>
        <w:tab/>
      </w:r>
      <w:r w:rsidRPr="001821F0">
        <w:rPr>
          <w:rFonts w:cstheme="minorHAnsi"/>
          <w:color w:val="000000" w:themeColor="text1"/>
        </w:rPr>
        <w:tab/>
        <w:t>Continuing Education Programme</w:t>
      </w:r>
    </w:p>
    <w:p w:rsidR="001821F0" w:rsidRPr="001821F0" w:rsidRDefault="001821F0" w:rsidP="001821F0">
      <w:pPr>
        <w:spacing w:after="0"/>
        <w:rPr>
          <w:rFonts w:cstheme="minorHAnsi"/>
          <w:color w:val="000000" w:themeColor="text1"/>
        </w:rPr>
      </w:pPr>
      <w:r w:rsidRPr="001821F0">
        <w:rPr>
          <w:rFonts w:cstheme="minorHAnsi"/>
          <w:color w:val="000000" w:themeColor="text1"/>
        </w:rPr>
        <w:t>COGTA</w:t>
      </w:r>
      <w:r w:rsidRPr="001821F0">
        <w:rPr>
          <w:rFonts w:cstheme="minorHAnsi"/>
          <w:color w:val="000000" w:themeColor="text1"/>
        </w:rPr>
        <w:tab/>
      </w:r>
      <w:r w:rsidRPr="001821F0">
        <w:rPr>
          <w:rFonts w:cstheme="minorHAnsi"/>
          <w:color w:val="000000" w:themeColor="text1"/>
        </w:rPr>
        <w:tab/>
        <w:t>Cooperative Governance and Traditional Affairs</w:t>
      </w:r>
    </w:p>
    <w:p w:rsidR="001821F0" w:rsidRPr="001821F0" w:rsidRDefault="001821F0" w:rsidP="001821F0">
      <w:pPr>
        <w:spacing w:after="0"/>
        <w:rPr>
          <w:rFonts w:cstheme="minorHAnsi"/>
          <w:color w:val="000000" w:themeColor="text1"/>
        </w:rPr>
      </w:pPr>
      <w:r w:rsidRPr="001821F0">
        <w:rPr>
          <w:rFonts w:cstheme="minorHAnsi"/>
          <w:color w:val="000000" w:themeColor="text1"/>
        </w:rPr>
        <w:t xml:space="preserve">CGE </w:t>
      </w:r>
      <w:r w:rsidRPr="001821F0">
        <w:rPr>
          <w:rFonts w:cstheme="minorHAnsi"/>
          <w:color w:val="000000" w:themeColor="text1"/>
        </w:rPr>
        <w:tab/>
      </w:r>
      <w:r w:rsidRPr="001821F0">
        <w:rPr>
          <w:rFonts w:cstheme="minorHAnsi"/>
          <w:color w:val="000000" w:themeColor="text1"/>
        </w:rPr>
        <w:tab/>
        <w:t>Commission on Gender Equality</w:t>
      </w:r>
    </w:p>
    <w:p w:rsidR="001821F0" w:rsidRPr="001821F0" w:rsidRDefault="001821F0" w:rsidP="001821F0">
      <w:pPr>
        <w:spacing w:after="0"/>
        <w:rPr>
          <w:rFonts w:cstheme="minorHAnsi"/>
          <w:color w:val="000000" w:themeColor="text1"/>
        </w:rPr>
      </w:pPr>
      <w:r w:rsidRPr="001821F0">
        <w:rPr>
          <w:rFonts w:cstheme="minorHAnsi"/>
          <w:color w:val="000000" w:themeColor="text1"/>
        </w:rPr>
        <w:t>ECD</w:t>
      </w:r>
      <w:r w:rsidRPr="001821F0">
        <w:rPr>
          <w:rFonts w:cstheme="minorHAnsi"/>
          <w:color w:val="000000" w:themeColor="text1"/>
        </w:rPr>
        <w:tab/>
      </w:r>
      <w:r w:rsidRPr="001821F0">
        <w:rPr>
          <w:rFonts w:cstheme="minorHAnsi"/>
          <w:color w:val="000000" w:themeColor="text1"/>
        </w:rPr>
        <w:tab/>
        <w:t>Early Childhood Development</w:t>
      </w:r>
    </w:p>
    <w:p w:rsidR="001821F0" w:rsidRPr="001821F0" w:rsidRDefault="001821F0" w:rsidP="001821F0">
      <w:pPr>
        <w:spacing w:after="0"/>
        <w:rPr>
          <w:rFonts w:cstheme="minorHAnsi"/>
          <w:color w:val="000000" w:themeColor="text1"/>
        </w:rPr>
      </w:pPr>
      <w:r w:rsidRPr="001821F0">
        <w:rPr>
          <w:rFonts w:cstheme="minorHAnsi"/>
          <w:color w:val="000000" w:themeColor="text1"/>
        </w:rPr>
        <w:t>ERP</w:t>
      </w:r>
      <w:r w:rsidRPr="001821F0">
        <w:rPr>
          <w:rFonts w:cstheme="minorHAnsi"/>
          <w:color w:val="000000" w:themeColor="text1"/>
        </w:rPr>
        <w:tab/>
      </w:r>
      <w:r w:rsidRPr="001821F0">
        <w:rPr>
          <w:rFonts w:cstheme="minorHAnsi"/>
          <w:color w:val="000000" w:themeColor="text1"/>
        </w:rPr>
        <w:tab/>
        <w:t>Enterprise Resource Planning</w:t>
      </w:r>
    </w:p>
    <w:p w:rsidR="001821F0" w:rsidRPr="001821F0" w:rsidRDefault="001821F0" w:rsidP="001821F0">
      <w:pPr>
        <w:spacing w:after="0"/>
        <w:rPr>
          <w:rFonts w:cstheme="minorHAnsi"/>
          <w:color w:val="000000" w:themeColor="text1"/>
        </w:rPr>
      </w:pPr>
      <w:r w:rsidRPr="001821F0">
        <w:rPr>
          <w:rFonts w:cstheme="minorHAnsi"/>
          <w:color w:val="000000" w:themeColor="text1"/>
        </w:rPr>
        <w:t>FFC</w:t>
      </w:r>
      <w:r w:rsidRPr="001821F0">
        <w:rPr>
          <w:rFonts w:cstheme="minorHAnsi"/>
          <w:color w:val="000000" w:themeColor="text1"/>
        </w:rPr>
        <w:tab/>
      </w:r>
      <w:r w:rsidRPr="001821F0">
        <w:rPr>
          <w:rFonts w:cstheme="minorHAnsi"/>
          <w:color w:val="000000" w:themeColor="text1"/>
        </w:rPr>
        <w:tab/>
        <w:t>Financial and Fiscal Commission</w:t>
      </w:r>
    </w:p>
    <w:p w:rsidR="001821F0" w:rsidRPr="001821F0" w:rsidRDefault="001821F0" w:rsidP="001821F0">
      <w:pPr>
        <w:spacing w:after="0"/>
        <w:rPr>
          <w:rFonts w:cstheme="minorHAnsi"/>
          <w:color w:val="000000" w:themeColor="text1"/>
        </w:rPr>
      </w:pPr>
      <w:r w:rsidRPr="001821F0">
        <w:rPr>
          <w:rFonts w:cstheme="minorHAnsi"/>
          <w:color w:val="000000" w:themeColor="text1"/>
        </w:rPr>
        <w:t>FMPPLA</w:t>
      </w:r>
      <w:r w:rsidRPr="001821F0">
        <w:rPr>
          <w:rFonts w:cstheme="minorHAnsi"/>
          <w:color w:val="000000" w:themeColor="text1"/>
        </w:rPr>
        <w:tab/>
        <w:t>Financial Management of Parliament and Provincial Legislatures Act</w:t>
      </w:r>
    </w:p>
    <w:p w:rsidR="001821F0" w:rsidRPr="001821F0" w:rsidRDefault="001821F0" w:rsidP="001821F0">
      <w:pPr>
        <w:spacing w:after="0"/>
        <w:rPr>
          <w:rFonts w:cstheme="minorHAnsi"/>
          <w:color w:val="000000" w:themeColor="text1"/>
        </w:rPr>
      </w:pPr>
      <w:r w:rsidRPr="001821F0">
        <w:rPr>
          <w:rFonts w:cstheme="minorHAnsi"/>
          <w:color w:val="000000" w:themeColor="text1"/>
        </w:rPr>
        <w:t>ICASA</w:t>
      </w:r>
      <w:r w:rsidRPr="001821F0">
        <w:rPr>
          <w:rFonts w:cstheme="minorHAnsi"/>
          <w:color w:val="000000" w:themeColor="text1"/>
        </w:rPr>
        <w:tab/>
      </w:r>
      <w:r w:rsidRPr="001821F0">
        <w:rPr>
          <w:rFonts w:cstheme="minorHAnsi"/>
          <w:color w:val="000000" w:themeColor="text1"/>
        </w:rPr>
        <w:tab/>
        <w:t>Independent Communications Authority of South Africa</w:t>
      </w:r>
    </w:p>
    <w:p w:rsidR="001821F0" w:rsidRPr="001821F0" w:rsidRDefault="001821F0" w:rsidP="001821F0">
      <w:pPr>
        <w:tabs>
          <w:tab w:val="left" w:pos="720"/>
          <w:tab w:val="left" w:pos="1440"/>
          <w:tab w:val="left" w:pos="1860"/>
        </w:tabs>
        <w:spacing w:after="0"/>
        <w:rPr>
          <w:rFonts w:cstheme="minorHAnsi"/>
          <w:color w:val="000000" w:themeColor="text1"/>
        </w:rPr>
      </w:pPr>
      <w:r w:rsidRPr="001821F0">
        <w:rPr>
          <w:rFonts w:cstheme="minorHAnsi"/>
          <w:color w:val="000000" w:themeColor="text1"/>
        </w:rPr>
        <w:t>ICDL</w:t>
      </w:r>
      <w:r w:rsidRPr="001821F0">
        <w:rPr>
          <w:rFonts w:cstheme="minorHAnsi"/>
          <w:color w:val="000000" w:themeColor="text1"/>
        </w:rPr>
        <w:tab/>
      </w:r>
      <w:r w:rsidRPr="001821F0">
        <w:rPr>
          <w:rFonts w:cstheme="minorHAnsi"/>
          <w:color w:val="000000" w:themeColor="text1"/>
        </w:rPr>
        <w:tab/>
        <w:t>International Certificate of Digital Literacy</w:t>
      </w:r>
    </w:p>
    <w:p w:rsidR="001821F0" w:rsidRPr="001821F0" w:rsidRDefault="001821F0" w:rsidP="001821F0">
      <w:pPr>
        <w:spacing w:after="0"/>
        <w:rPr>
          <w:rFonts w:cstheme="minorHAnsi"/>
          <w:color w:val="000000" w:themeColor="text1"/>
        </w:rPr>
      </w:pPr>
      <w:r w:rsidRPr="001821F0">
        <w:rPr>
          <w:rFonts w:cstheme="minorHAnsi"/>
          <w:color w:val="000000" w:themeColor="text1"/>
        </w:rPr>
        <w:t xml:space="preserve">ICT </w:t>
      </w:r>
      <w:r w:rsidRPr="001821F0">
        <w:rPr>
          <w:rFonts w:cstheme="minorHAnsi"/>
          <w:color w:val="000000" w:themeColor="text1"/>
        </w:rPr>
        <w:tab/>
      </w:r>
      <w:r w:rsidRPr="001821F0">
        <w:rPr>
          <w:rFonts w:cstheme="minorHAnsi"/>
          <w:color w:val="000000" w:themeColor="text1"/>
        </w:rPr>
        <w:tab/>
        <w:t>Information and Communication Technology</w:t>
      </w:r>
    </w:p>
    <w:p w:rsidR="001821F0" w:rsidRPr="001821F0" w:rsidRDefault="001821F0" w:rsidP="001821F0">
      <w:pPr>
        <w:spacing w:after="0"/>
        <w:rPr>
          <w:rFonts w:cstheme="minorHAnsi"/>
          <w:color w:val="000000" w:themeColor="text1"/>
        </w:rPr>
      </w:pPr>
      <w:r w:rsidRPr="001821F0">
        <w:rPr>
          <w:rFonts w:cstheme="minorHAnsi"/>
          <w:color w:val="000000" w:themeColor="text1"/>
        </w:rPr>
        <w:t xml:space="preserve">IRPD </w:t>
      </w:r>
      <w:r w:rsidRPr="001821F0">
        <w:rPr>
          <w:rFonts w:cstheme="minorHAnsi"/>
          <w:color w:val="000000" w:themeColor="text1"/>
        </w:rPr>
        <w:tab/>
      </w:r>
      <w:r w:rsidRPr="001821F0">
        <w:rPr>
          <w:rFonts w:cstheme="minorHAnsi"/>
          <w:color w:val="000000" w:themeColor="text1"/>
        </w:rPr>
        <w:tab/>
        <w:t>International Relations and Participation Division</w:t>
      </w:r>
    </w:p>
    <w:p w:rsidR="001821F0" w:rsidRPr="001821F0" w:rsidRDefault="001821F0" w:rsidP="001821F0">
      <w:pPr>
        <w:spacing w:after="0"/>
        <w:rPr>
          <w:rFonts w:cstheme="minorHAnsi"/>
          <w:color w:val="000000" w:themeColor="text1"/>
        </w:rPr>
      </w:pPr>
      <w:r w:rsidRPr="001821F0">
        <w:rPr>
          <w:rFonts w:cstheme="minorHAnsi"/>
          <w:color w:val="000000" w:themeColor="text1"/>
        </w:rPr>
        <w:t xml:space="preserve">ISDs </w:t>
      </w:r>
      <w:r w:rsidRPr="001821F0">
        <w:rPr>
          <w:rFonts w:cstheme="minorHAnsi"/>
          <w:color w:val="000000" w:themeColor="text1"/>
        </w:rPr>
        <w:tab/>
      </w:r>
      <w:r w:rsidRPr="001821F0">
        <w:rPr>
          <w:rFonts w:cstheme="minorHAnsi"/>
          <w:color w:val="000000" w:themeColor="text1"/>
        </w:rPr>
        <w:tab/>
        <w:t>Institutions Supporting Democracy</w:t>
      </w:r>
    </w:p>
    <w:p w:rsidR="001821F0" w:rsidRPr="001821F0" w:rsidRDefault="001821F0" w:rsidP="001821F0">
      <w:pPr>
        <w:spacing w:after="0"/>
        <w:rPr>
          <w:rFonts w:cstheme="minorHAnsi"/>
          <w:color w:val="000000" w:themeColor="text1"/>
        </w:rPr>
      </w:pPr>
      <w:r w:rsidRPr="001821F0">
        <w:rPr>
          <w:rFonts w:cstheme="minorHAnsi"/>
          <w:color w:val="000000" w:themeColor="text1"/>
        </w:rPr>
        <w:t>ISSD</w:t>
      </w:r>
      <w:r w:rsidRPr="001821F0">
        <w:rPr>
          <w:rFonts w:cstheme="minorHAnsi"/>
          <w:color w:val="000000" w:themeColor="text1"/>
        </w:rPr>
        <w:tab/>
      </w:r>
      <w:r w:rsidRPr="001821F0">
        <w:rPr>
          <w:rFonts w:cstheme="minorHAnsi"/>
          <w:color w:val="000000" w:themeColor="text1"/>
        </w:rPr>
        <w:tab/>
        <w:t>Institutional Support Services Division</w:t>
      </w:r>
    </w:p>
    <w:p w:rsidR="001821F0" w:rsidRPr="001821F0" w:rsidRDefault="001821F0" w:rsidP="001821F0">
      <w:pPr>
        <w:spacing w:after="0"/>
        <w:rPr>
          <w:rFonts w:cstheme="minorHAnsi"/>
          <w:color w:val="000000" w:themeColor="text1"/>
        </w:rPr>
      </w:pPr>
      <w:r w:rsidRPr="001821F0">
        <w:rPr>
          <w:rFonts w:cstheme="minorHAnsi"/>
          <w:color w:val="000000" w:themeColor="text1"/>
        </w:rPr>
        <w:t>LSS</w:t>
      </w:r>
      <w:r w:rsidRPr="001821F0">
        <w:rPr>
          <w:rFonts w:cstheme="minorHAnsi"/>
          <w:color w:val="000000" w:themeColor="text1"/>
        </w:rPr>
        <w:tab/>
      </w:r>
      <w:r w:rsidRPr="001821F0">
        <w:rPr>
          <w:rFonts w:cstheme="minorHAnsi"/>
          <w:color w:val="000000" w:themeColor="text1"/>
        </w:rPr>
        <w:tab/>
        <w:t>Legislative Sector Support</w:t>
      </w:r>
    </w:p>
    <w:p w:rsidR="001821F0" w:rsidRPr="001821F0" w:rsidRDefault="001821F0" w:rsidP="001821F0">
      <w:pPr>
        <w:spacing w:after="0"/>
        <w:rPr>
          <w:rFonts w:cstheme="minorHAnsi"/>
          <w:color w:val="000000" w:themeColor="text1"/>
        </w:rPr>
      </w:pPr>
      <w:r w:rsidRPr="001821F0">
        <w:rPr>
          <w:rFonts w:cstheme="minorHAnsi"/>
          <w:color w:val="000000" w:themeColor="text1"/>
        </w:rPr>
        <w:t>NA</w:t>
      </w:r>
      <w:r w:rsidRPr="001821F0">
        <w:rPr>
          <w:rFonts w:cstheme="minorHAnsi"/>
          <w:color w:val="000000" w:themeColor="text1"/>
        </w:rPr>
        <w:tab/>
      </w:r>
      <w:r w:rsidRPr="001821F0">
        <w:rPr>
          <w:rFonts w:cstheme="minorHAnsi"/>
          <w:color w:val="000000" w:themeColor="text1"/>
        </w:rPr>
        <w:tab/>
        <w:t>National Assembly</w:t>
      </w:r>
    </w:p>
    <w:p w:rsidR="001821F0" w:rsidRPr="001821F0" w:rsidRDefault="001821F0" w:rsidP="001821F0">
      <w:pPr>
        <w:spacing w:after="0"/>
        <w:rPr>
          <w:rFonts w:cstheme="minorHAnsi"/>
          <w:color w:val="000000" w:themeColor="text1"/>
        </w:rPr>
      </w:pPr>
      <w:r w:rsidRPr="001821F0">
        <w:rPr>
          <w:rFonts w:cstheme="minorHAnsi"/>
          <w:color w:val="000000" w:themeColor="text1"/>
        </w:rPr>
        <w:t>NCOP</w:t>
      </w:r>
      <w:r w:rsidRPr="001821F0">
        <w:rPr>
          <w:rFonts w:cstheme="minorHAnsi"/>
          <w:color w:val="000000" w:themeColor="text1"/>
        </w:rPr>
        <w:tab/>
      </w:r>
      <w:r w:rsidRPr="001821F0">
        <w:rPr>
          <w:rFonts w:cstheme="minorHAnsi"/>
          <w:color w:val="000000" w:themeColor="text1"/>
        </w:rPr>
        <w:tab/>
        <w:t>National Council of Provinces</w:t>
      </w:r>
    </w:p>
    <w:p w:rsidR="001821F0" w:rsidRPr="001821F0" w:rsidRDefault="001821F0" w:rsidP="001821F0">
      <w:pPr>
        <w:spacing w:after="0"/>
        <w:rPr>
          <w:rFonts w:cstheme="minorHAnsi"/>
          <w:color w:val="000000" w:themeColor="text1"/>
        </w:rPr>
      </w:pPr>
      <w:r w:rsidRPr="001821F0">
        <w:rPr>
          <w:rFonts w:cstheme="minorHAnsi"/>
          <w:color w:val="000000" w:themeColor="text1"/>
        </w:rPr>
        <w:t xml:space="preserve">NDA </w:t>
      </w:r>
      <w:r w:rsidRPr="001821F0">
        <w:rPr>
          <w:rFonts w:cstheme="minorHAnsi"/>
          <w:color w:val="000000" w:themeColor="text1"/>
        </w:rPr>
        <w:tab/>
      </w:r>
      <w:r w:rsidRPr="001821F0">
        <w:rPr>
          <w:rFonts w:cstheme="minorHAnsi"/>
          <w:color w:val="000000" w:themeColor="text1"/>
        </w:rPr>
        <w:tab/>
        <w:t>National Development Agency</w:t>
      </w:r>
    </w:p>
    <w:p w:rsidR="001821F0" w:rsidRPr="001821F0" w:rsidRDefault="001821F0" w:rsidP="001821F0">
      <w:pPr>
        <w:spacing w:after="0"/>
        <w:rPr>
          <w:rFonts w:cstheme="minorHAnsi"/>
          <w:color w:val="000000" w:themeColor="text1"/>
        </w:rPr>
      </w:pPr>
      <w:r w:rsidRPr="001821F0">
        <w:rPr>
          <w:rFonts w:cstheme="minorHAnsi"/>
          <w:color w:val="000000" w:themeColor="text1"/>
        </w:rPr>
        <w:t>NDP</w:t>
      </w:r>
      <w:r w:rsidRPr="001821F0">
        <w:rPr>
          <w:rFonts w:cstheme="minorHAnsi"/>
          <w:color w:val="000000" w:themeColor="text1"/>
        </w:rPr>
        <w:tab/>
      </w:r>
      <w:r w:rsidRPr="001821F0">
        <w:rPr>
          <w:rFonts w:cstheme="minorHAnsi"/>
          <w:color w:val="000000" w:themeColor="text1"/>
        </w:rPr>
        <w:tab/>
        <w:t>National Development Plan</w:t>
      </w:r>
    </w:p>
    <w:p w:rsidR="001821F0" w:rsidRPr="001821F0" w:rsidRDefault="001821F0" w:rsidP="001821F0">
      <w:pPr>
        <w:spacing w:after="0"/>
        <w:rPr>
          <w:rFonts w:cstheme="minorHAnsi"/>
          <w:color w:val="000000" w:themeColor="text1"/>
        </w:rPr>
      </w:pPr>
      <w:r w:rsidRPr="001821F0">
        <w:rPr>
          <w:rFonts w:cstheme="minorHAnsi"/>
          <w:color w:val="000000" w:themeColor="text1"/>
        </w:rPr>
        <w:t>NHI</w:t>
      </w:r>
      <w:r w:rsidRPr="001821F0">
        <w:rPr>
          <w:rFonts w:cstheme="minorHAnsi"/>
          <w:color w:val="000000" w:themeColor="text1"/>
        </w:rPr>
        <w:tab/>
      </w:r>
      <w:r w:rsidRPr="001821F0">
        <w:rPr>
          <w:rFonts w:cstheme="minorHAnsi"/>
          <w:color w:val="000000" w:themeColor="text1"/>
        </w:rPr>
        <w:tab/>
        <w:t>National Health Insurance</w:t>
      </w:r>
    </w:p>
    <w:p w:rsidR="001821F0" w:rsidRPr="001821F0" w:rsidRDefault="001821F0" w:rsidP="001821F0">
      <w:pPr>
        <w:spacing w:after="0"/>
        <w:rPr>
          <w:rFonts w:cstheme="minorHAnsi"/>
          <w:color w:val="000000" w:themeColor="text1"/>
        </w:rPr>
      </w:pPr>
      <w:r w:rsidRPr="001821F0">
        <w:rPr>
          <w:rFonts w:cstheme="minorHAnsi"/>
          <w:color w:val="000000" w:themeColor="text1"/>
        </w:rPr>
        <w:t>MDP</w:t>
      </w:r>
      <w:r w:rsidRPr="001821F0">
        <w:rPr>
          <w:rFonts w:cstheme="minorHAnsi"/>
          <w:color w:val="000000" w:themeColor="text1"/>
        </w:rPr>
        <w:tab/>
      </w:r>
      <w:r w:rsidRPr="001821F0">
        <w:rPr>
          <w:rFonts w:cstheme="minorHAnsi"/>
          <w:color w:val="000000" w:themeColor="text1"/>
        </w:rPr>
        <w:tab/>
        <w:t>Management Development Programme</w:t>
      </w:r>
    </w:p>
    <w:p w:rsidR="001821F0" w:rsidRPr="001821F0" w:rsidRDefault="001821F0" w:rsidP="001821F0">
      <w:pPr>
        <w:spacing w:after="0"/>
        <w:rPr>
          <w:rFonts w:cstheme="minorHAnsi"/>
          <w:color w:val="000000" w:themeColor="text1"/>
        </w:rPr>
      </w:pPr>
      <w:r w:rsidRPr="001821F0">
        <w:rPr>
          <w:rFonts w:cstheme="minorHAnsi"/>
          <w:color w:val="000000" w:themeColor="text1"/>
        </w:rPr>
        <w:t xml:space="preserve">PAIA </w:t>
      </w:r>
      <w:r w:rsidRPr="001821F0">
        <w:rPr>
          <w:rFonts w:cstheme="minorHAnsi"/>
          <w:color w:val="000000" w:themeColor="text1"/>
        </w:rPr>
        <w:tab/>
      </w:r>
      <w:r w:rsidRPr="001821F0">
        <w:rPr>
          <w:rFonts w:cstheme="minorHAnsi"/>
          <w:color w:val="000000" w:themeColor="text1"/>
        </w:rPr>
        <w:tab/>
        <w:t>Promotion of Access to Information Act (2000)</w:t>
      </w:r>
    </w:p>
    <w:p w:rsidR="001821F0" w:rsidRPr="001821F0" w:rsidRDefault="001821F0" w:rsidP="001821F0">
      <w:pPr>
        <w:spacing w:after="0"/>
        <w:rPr>
          <w:rFonts w:cstheme="minorHAnsi"/>
          <w:color w:val="000000" w:themeColor="text1"/>
        </w:rPr>
      </w:pPr>
      <w:r w:rsidRPr="001821F0">
        <w:rPr>
          <w:rFonts w:cstheme="minorHAnsi"/>
          <w:color w:val="000000" w:themeColor="text1"/>
        </w:rPr>
        <w:t>PanSALB</w:t>
      </w:r>
      <w:r w:rsidRPr="001821F0">
        <w:rPr>
          <w:rFonts w:cstheme="minorHAnsi"/>
          <w:color w:val="000000" w:themeColor="text1"/>
        </w:rPr>
        <w:tab/>
        <w:t>Pan South African Language Board</w:t>
      </w:r>
    </w:p>
    <w:p w:rsidR="001821F0" w:rsidRPr="001821F0" w:rsidRDefault="001821F0" w:rsidP="001821F0">
      <w:pPr>
        <w:spacing w:after="0"/>
        <w:rPr>
          <w:rFonts w:cstheme="minorHAnsi"/>
          <w:color w:val="000000" w:themeColor="text1"/>
        </w:rPr>
      </w:pPr>
      <w:r w:rsidRPr="001821F0">
        <w:rPr>
          <w:rFonts w:cstheme="minorHAnsi"/>
          <w:color w:val="000000" w:themeColor="text1"/>
        </w:rPr>
        <w:t>PBO</w:t>
      </w:r>
      <w:r w:rsidRPr="001821F0">
        <w:rPr>
          <w:rFonts w:cstheme="minorHAnsi"/>
          <w:color w:val="000000" w:themeColor="text1"/>
        </w:rPr>
        <w:tab/>
      </w:r>
      <w:r w:rsidRPr="001821F0">
        <w:rPr>
          <w:rFonts w:cstheme="minorHAnsi"/>
          <w:color w:val="000000" w:themeColor="text1"/>
        </w:rPr>
        <w:tab/>
        <w:t>Parliamentary Budget Office</w:t>
      </w:r>
    </w:p>
    <w:p w:rsidR="001821F0" w:rsidRPr="001821F0" w:rsidRDefault="001821F0" w:rsidP="001821F0">
      <w:pPr>
        <w:spacing w:after="0"/>
        <w:rPr>
          <w:rFonts w:cstheme="minorHAnsi"/>
          <w:color w:val="000000" w:themeColor="text1"/>
        </w:rPr>
      </w:pPr>
      <w:r w:rsidRPr="001821F0">
        <w:rPr>
          <w:rFonts w:cstheme="minorHAnsi"/>
          <w:color w:val="000000" w:themeColor="text1"/>
        </w:rPr>
        <w:t>PC</w:t>
      </w:r>
      <w:r w:rsidRPr="001821F0">
        <w:rPr>
          <w:rFonts w:cstheme="minorHAnsi"/>
          <w:color w:val="000000" w:themeColor="text1"/>
        </w:rPr>
        <w:tab/>
      </w:r>
      <w:r w:rsidRPr="001821F0">
        <w:rPr>
          <w:rFonts w:cstheme="minorHAnsi"/>
          <w:color w:val="000000" w:themeColor="text1"/>
        </w:rPr>
        <w:tab/>
        <w:t xml:space="preserve">Portfolio Committee </w:t>
      </w:r>
    </w:p>
    <w:p w:rsidR="001821F0" w:rsidRPr="001821F0" w:rsidRDefault="001821F0" w:rsidP="001821F0">
      <w:pPr>
        <w:spacing w:after="0"/>
        <w:rPr>
          <w:rFonts w:cstheme="minorHAnsi"/>
          <w:color w:val="000000" w:themeColor="text1"/>
        </w:rPr>
      </w:pPr>
      <w:r w:rsidRPr="001821F0">
        <w:rPr>
          <w:rFonts w:cstheme="minorHAnsi"/>
          <w:color w:val="000000" w:themeColor="text1"/>
        </w:rPr>
        <w:t>PCO</w:t>
      </w:r>
      <w:r w:rsidRPr="001821F0">
        <w:rPr>
          <w:rFonts w:cstheme="minorHAnsi"/>
          <w:color w:val="000000" w:themeColor="text1"/>
        </w:rPr>
        <w:tab/>
      </w:r>
      <w:r w:rsidRPr="001821F0">
        <w:rPr>
          <w:rFonts w:cstheme="minorHAnsi"/>
          <w:color w:val="000000" w:themeColor="text1"/>
        </w:rPr>
        <w:tab/>
        <w:t>Parliamentary Communications Officer</w:t>
      </w:r>
    </w:p>
    <w:p w:rsidR="001821F0" w:rsidRPr="001821F0" w:rsidRDefault="001821F0" w:rsidP="001821F0">
      <w:pPr>
        <w:spacing w:after="0"/>
        <w:rPr>
          <w:rFonts w:cstheme="minorHAnsi"/>
          <w:color w:val="000000" w:themeColor="text1"/>
        </w:rPr>
      </w:pPr>
      <w:r w:rsidRPr="001821F0">
        <w:rPr>
          <w:rFonts w:cstheme="minorHAnsi"/>
          <w:color w:val="000000" w:themeColor="text1"/>
        </w:rPr>
        <w:t xml:space="preserve">PCS </w:t>
      </w:r>
      <w:r w:rsidRPr="001821F0">
        <w:rPr>
          <w:rFonts w:cstheme="minorHAnsi"/>
          <w:color w:val="000000" w:themeColor="text1"/>
        </w:rPr>
        <w:tab/>
      </w:r>
      <w:r w:rsidRPr="001821F0">
        <w:rPr>
          <w:rFonts w:cstheme="minorHAnsi"/>
          <w:color w:val="000000" w:themeColor="text1"/>
        </w:rPr>
        <w:tab/>
        <w:t>Parliamentary Communications Services</w:t>
      </w:r>
    </w:p>
    <w:p w:rsidR="001821F0" w:rsidRPr="001821F0" w:rsidRDefault="001821F0" w:rsidP="001821F0">
      <w:pPr>
        <w:spacing w:after="0"/>
        <w:rPr>
          <w:rFonts w:cstheme="minorHAnsi"/>
          <w:color w:val="000000" w:themeColor="text1"/>
        </w:rPr>
      </w:pPr>
      <w:r w:rsidRPr="001821F0">
        <w:rPr>
          <w:rFonts w:cstheme="minorHAnsi"/>
          <w:color w:val="000000" w:themeColor="text1"/>
        </w:rPr>
        <w:t>PEO</w:t>
      </w:r>
      <w:r w:rsidRPr="001821F0">
        <w:rPr>
          <w:rFonts w:cstheme="minorHAnsi"/>
          <w:color w:val="000000" w:themeColor="text1"/>
        </w:rPr>
        <w:tab/>
      </w:r>
      <w:r w:rsidRPr="001821F0">
        <w:rPr>
          <w:rFonts w:cstheme="minorHAnsi"/>
          <w:color w:val="000000" w:themeColor="text1"/>
        </w:rPr>
        <w:tab/>
        <w:t>Public Education Office</w:t>
      </w:r>
    </w:p>
    <w:p w:rsidR="001821F0" w:rsidRPr="001821F0" w:rsidRDefault="001821F0" w:rsidP="001821F0">
      <w:pPr>
        <w:spacing w:after="0"/>
        <w:rPr>
          <w:rFonts w:cstheme="minorHAnsi"/>
          <w:color w:val="000000" w:themeColor="text1"/>
        </w:rPr>
      </w:pPr>
      <w:r w:rsidRPr="001821F0">
        <w:rPr>
          <w:rFonts w:cstheme="minorHAnsi"/>
          <w:color w:val="000000" w:themeColor="text1"/>
        </w:rPr>
        <w:t>PSC</w:t>
      </w:r>
      <w:r w:rsidRPr="001821F0">
        <w:rPr>
          <w:rFonts w:cstheme="minorHAnsi"/>
          <w:color w:val="000000" w:themeColor="text1"/>
        </w:rPr>
        <w:tab/>
      </w:r>
      <w:r w:rsidRPr="001821F0">
        <w:rPr>
          <w:rFonts w:cstheme="minorHAnsi"/>
          <w:color w:val="000000" w:themeColor="text1"/>
        </w:rPr>
        <w:tab/>
        <w:t>Public Service Commission</w:t>
      </w:r>
    </w:p>
    <w:p w:rsidR="001821F0" w:rsidRPr="001821F0" w:rsidRDefault="001821F0" w:rsidP="001821F0">
      <w:pPr>
        <w:spacing w:after="0"/>
        <w:rPr>
          <w:rFonts w:cstheme="minorHAnsi"/>
          <w:color w:val="000000" w:themeColor="text1"/>
        </w:rPr>
      </w:pPr>
      <w:r w:rsidRPr="001821F0">
        <w:rPr>
          <w:rFonts w:cstheme="minorHAnsi"/>
          <w:color w:val="000000" w:themeColor="text1"/>
        </w:rPr>
        <w:t>OISD</w:t>
      </w:r>
      <w:r w:rsidRPr="001821F0">
        <w:rPr>
          <w:rFonts w:cstheme="minorHAnsi"/>
          <w:color w:val="000000" w:themeColor="text1"/>
        </w:rPr>
        <w:tab/>
      </w:r>
      <w:r w:rsidRPr="001821F0">
        <w:rPr>
          <w:rFonts w:cstheme="minorHAnsi"/>
          <w:color w:val="000000" w:themeColor="text1"/>
        </w:rPr>
        <w:tab/>
        <w:t>Office on Institutions Supporting Democracy</w:t>
      </w:r>
    </w:p>
    <w:p w:rsidR="001821F0" w:rsidRPr="001821F0" w:rsidRDefault="001821F0" w:rsidP="001821F0">
      <w:pPr>
        <w:spacing w:after="0"/>
        <w:rPr>
          <w:rFonts w:cstheme="minorHAnsi"/>
          <w:color w:val="000000" w:themeColor="text1"/>
        </w:rPr>
      </w:pPr>
      <w:r w:rsidRPr="001821F0">
        <w:rPr>
          <w:rFonts w:cstheme="minorHAnsi"/>
          <w:color w:val="000000" w:themeColor="text1"/>
        </w:rPr>
        <w:t>SAHRC</w:t>
      </w:r>
      <w:r w:rsidRPr="001821F0">
        <w:rPr>
          <w:rFonts w:cstheme="minorHAnsi"/>
          <w:color w:val="000000" w:themeColor="text1"/>
        </w:rPr>
        <w:tab/>
      </w:r>
      <w:r w:rsidRPr="001821F0">
        <w:rPr>
          <w:rFonts w:cstheme="minorHAnsi"/>
          <w:color w:val="000000" w:themeColor="text1"/>
        </w:rPr>
        <w:tab/>
        <w:t xml:space="preserve">South African Human Rights Commission </w:t>
      </w:r>
    </w:p>
    <w:p w:rsidR="001821F0" w:rsidRPr="001821F0" w:rsidRDefault="001821F0" w:rsidP="001821F0">
      <w:pPr>
        <w:spacing w:after="0"/>
        <w:rPr>
          <w:rFonts w:cstheme="minorHAnsi"/>
          <w:color w:val="000000" w:themeColor="text1"/>
        </w:rPr>
      </w:pPr>
      <w:r w:rsidRPr="001821F0">
        <w:rPr>
          <w:rFonts w:cstheme="minorHAnsi"/>
          <w:color w:val="000000" w:themeColor="text1"/>
        </w:rPr>
        <w:t>SALS</w:t>
      </w:r>
      <w:r w:rsidRPr="001821F0">
        <w:rPr>
          <w:rFonts w:cstheme="minorHAnsi"/>
          <w:color w:val="000000" w:themeColor="text1"/>
        </w:rPr>
        <w:tab/>
      </w:r>
      <w:r w:rsidRPr="001821F0">
        <w:rPr>
          <w:rFonts w:cstheme="minorHAnsi"/>
          <w:color w:val="000000" w:themeColor="text1"/>
        </w:rPr>
        <w:tab/>
        <w:t>South African Legislative Sector</w:t>
      </w:r>
    </w:p>
    <w:p w:rsidR="001821F0" w:rsidRPr="001821F0" w:rsidRDefault="001821F0" w:rsidP="001821F0">
      <w:pPr>
        <w:spacing w:after="0"/>
        <w:rPr>
          <w:rFonts w:cstheme="minorHAnsi"/>
          <w:color w:val="000000" w:themeColor="text1"/>
        </w:rPr>
      </w:pPr>
      <w:r w:rsidRPr="001821F0">
        <w:rPr>
          <w:rFonts w:cstheme="minorHAnsi"/>
          <w:color w:val="000000" w:themeColor="text1"/>
        </w:rPr>
        <w:t>SALSA</w:t>
      </w:r>
      <w:r w:rsidRPr="001821F0">
        <w:rPr>
          <w:rFonts w:cstheme="minorHAnsi"/>
          <w:color w:val="000000" w:themeColor="text1"/>
        </w:rPr>
        <w:tab/>
      </w:r>
      <w:r w:rsidRPr="001821F0">
        <w:rPr>
          <w:rFonts w:cstheme="minorHAnsi"/>
          <w:color w:val="000000" w:themeColor="text1"/>
        </w:rPr>
        <w:tab/>
        <w:t>Secretaries Association for the Legislatures of South Africa</w:t>
      </w:r>
    </w:p>
    <w:p w:rsidR="001821F0" w:rsidRPr="001821F0" w:rsidRDefault="001821F0" w:rsidP="001821F0">
      <w:pPr>
        <w:spacing w:after="0"/>
        <w:rPr>
          <w:rFonts w:cstheme="minorHAnsi"/>
          <w:color w:val="000000" w:themeColor="text1"/>
        </w:rPr>
      </w:pPr>
      <w:r w:rsidRPr="001821F0">
        <w:rPr>
          <w:rFonts w:cstheme="minorHAnsi"/>
          <w:color w:val="000000" w:themeColor="text1"/>
        </w:rPr>
        <w:t>SASSA</w:t>
      </w:r>
      <w:r w:rsidRPr="001821F0">
        <w:rPr>
          <w:rFonts w:cstheme="minorHAnsi"/>
          <w:color w:val="000000" w:themeColor="text1"/>
        </w:rPr>
        <w:tab/>
      </w:r>
      <w:r w:rsidRPr="001821F0">
        <w:rPr>
          <w:rFonts w:cstheme="minorHAnsi"/>
          <w:color w:val="000000" w:themeColor="text1"/>
        </w:rPr>
        <w:tab/>
        <w:t>South African Social Security Agency</w:t>
      </w:r>
    </w:p>
    <w:p w:rsidR="001821F0" w:rsidRPr="001821F0" w:rsidRDefault="001821F0" w:rsidP="001821F0">
      <w:pPr>
        <w:spacing w:after="0"/>
        <w:rPr>
          <w:rFonts w:cstheme="minorHAnsi"/>
          <w:color w:val="000000" w:themeColor="text1"/>
        </w:rPr>
      </w:pPr>
      <w:r w:rsidRPr="001821F0">
        <w:rPr>
          <w:rFonts w:cstheme="minorHAnsi"/>
          <w:color w:val="000000" w:themeColor="text1"/>
        </w:rPr>
        <w:t>SC</w:t>
      </w:r>
      <w:r w:rsidRPr="001821F0">
        <w:rPr>
          <w:rFonts w:cstheme="minorHAnsi"/>
          <w:color w:val="000000" w:themeColor="text1"/>
        </w:rPr>
        <w:tab/>
      </w:r>
      <w:r w:rsidRPr="001821F0">
        <w:rPr>
          <w:rFonts w:cstheme="minorHAnsi"/>
          <w:color w:val="000000" w:themeColor="text1"/>
        </w:rPr>
        <w:tab/>
        <w:t>Select Committee</w:t>
      </w:r>
    </w:p>
    <w:p w:rsidR="001821F0" w:rsidRPr="001821F0" w:rsidRDefault="001821F0" w:rsidP="001821F0">
      <w:pPr>
        <w:spacing w:after="0"/>
        <w:rPr>
          <w:rFonts w:cstheme="minorHAnsi"/>
          <w:color w:val="000000" w:themeColor="text1"/>
        </w:rPr>
      </w:pPr>
      <w:r w:rsidRPr="001821F0">
        <w:rPr>
          <w:rFonts w:cstheme="minorHAnsi"/>
          <w:color w:val="000000" w:themeColor="text1"/>
        </w:rPr>
        <w:t>SCM</w:t>
      </w:r>
      <w:r w:rsidRPr="001821F0">
        <w:rPr>
          <w:rFonts w:cstheme="minorHAnsi"/>
          <w:color w:val="000000" w:themeColor="text1"/>
        </w:rPr>
        <w:tab/>
      </w:r>
      <w:r w:rsidRPr="001821F0">
        <w:rPr>
          <w:rFonts w:cstheme="minorHAnsi"/>
          <w:color w:val="000000" w:themeColor="text1"/>
        </w:rPr>
        <w:tab/>
        <w:t>Supply Chain Management</w:t>
      </w:r>
    </w:p>
    <w:p w:rsidR="001821F0" w:rsidRPr="001821F0" w:rsidRDefault="001821F0" w:rsidP="001821F0">
      <w:pPr>
        <w:spacing w:after="0"/>
        <w:rPr>
          <w:rFonts w:cstheme="minorHAnsi"/>
          <w:color w:val="000000" w:themeColor="text1"/>
        </w:rPr>
      </w:pPr>
      <w:r w:rsidRPr="001821F0">
        <w:rPr>
          <w:rFonts w:cstheme="minorHAnsi"/>
          <w:color w:val="000000" w:themeColor="text1"/>
        </w:rPr>
        <w:t>SONA</w:t>
      </w:r>
      <w:r w:rsidRPr="001821F0">
        <w:rPr>
          <w:rFonts w:cstheme="minorHAnsi"/>
          <w:color w:val="000000" w:themeColor="text1"/>
        </w:rPr>
        <w:tab/>
      </w:r>
      <w:r w:rsidRPr="001821F0">
        <w:rPr>
          <w:rFonts w:cstheme="minorHAnsi"/>
          <w:color w:val="000000" w:themeColor="text1"/>
        </w:rPr>
        <w:tab/>
        <w:t>State of the Nation Address</w:t>
      </w:r>
    </w:p>
    <w:p w:rsidR="001821F0" w:rsidRPr="001821F0" w:rsidRDefault="001821F0" w:rsidP="001821F0">
      <w:pPr>
        <w:spacing w:after="0"/>
        <w:rPr>
          <w:rFonts w:cstheme="minorHAnsi"/>
          <w:color w:val="000000" w:themeColor="text1"/>
        </w:rPr>
      </w:pPr>
      <w:r w:rsidRPr="001821F0">
        <w:rPr>
          <w:rFonts w:cstheme="minorHAnsi"/>
          <w:color w:val="000000" w:themeColor="text1"/>
        </w:rPr>
        <w:t>ST</w:t>
      </w:r>
      <w:r w:rsidRPr="001821F0">
        <w:rPr>
          <w:rFonts w:cstheme="minorHAnsi"/>
          <w:color w:val="000000" w:themeColor="text1"/>
        </w:rPr>
        <w:tab/>
      </w:r>
      <w:r w:rsidRPr="001821F0">
        <w:rPr>
          <w:rFonts w:cstheme="minorHAnsi"/>
          <w:color w:val="000000" w:themeColor="text1"/>
        </w:rPr>
        <w:tab/>
        <w:t>Standing (Committee)</w:t>
      </w:r>
    </w:p>
    <w:p w:rsidR="001821F0" w:rsidRPr="001821F0" w:rsidRDefault="001821F0" w:rsidP="001821F0">
      <w:pPr>
        <w:spacing w:after="0"/>
        <w:rPr>
          <w:rFonts w:cstheme="minorHAnsi"/>
          <w:color w:val="000000" w:themeColor="text1"/>
        </w:rPr>
      </w:pPr>
      <w:r w:rsidRPr="001821F0">
        <w:rPr>
          <w:rFonts w:cstheme="minorHAnsi"/>
          <w:color w:val="000000" w:themeColor="text1"/>
        </w:rPr>
        <w:t>VPN</w:t>
      </w:r>
      <w:r w:rsidRPr="001821F0">
        <w:rPr>
          <w:rFonts w:cstheme="minorHAnsi"/>
          <w:color w:val="000000" w:themeColor="text1"/>
        </w:rPr>
        <w:tab/>
      </w:r>
      <w:r w:rsidRPr="001821F0">
        <w:rPr>
          <w:rFonts w:cstheme="minorHAnsi"/>
          <w:color w:val="000000" w:themeColor="text1"/>
        </w:rPr>
        <w:tab/>
        <w:t>Virtual Private Network</w:t>
      </w:r>
    </w:p>
    <w:p w:rsidR="001821F0" w:rsidRPr="001821F0" w:rsidRDefault="001821F0" w:rsidP="001821F0">
      <w:pPr>
        <w:spacing w:after="0"/>
        <w:rPr>
          <w:rFonts w:cstheme="minorHAnsi"/>
          <w:color w:val="000000" w:themeColor="text1"/>
        </w:rPr>
      </w:pPr>
      <w:r w:rsidRPr="001821F0">
        <w:rPr>
          <w:rFonts w:cstheme="minorHAnsi"/>
          <w:color w:val="000000" w:themeColor="text1"/>
        </w:rPr>
        <w:t>UCT</w:t>
      </w:r>
      <w:r w:rsidRPr="001821F0">
        <w:rPr>
          <w:rFonts w:cstheme="minorHAnsi"/>
          <w:color w:val="000000" w:themeColor="text1"/>
        </w:rPr>
        <w:tab/>
      </w:r>
      <w:r w:rsidRPr="001821F0">
        <w:rPr>
          <w:rFonts w:cstheme="minorHAnsi"/>
          <w:color w:val="000000" w:themeColor="text1"/>
        </w:rPr>
        <w:tab/>
        <w:t>University of Cape Town</w:t>
      </w:r>
    </w:p>
    <w:p w:rsidR="001821F0" w:rsidRPr="001821F0" w:rsidRDefault="001821F0" w:rsidP="001821F0">
      <w:pPr>
        <w:spacing w:after="0"/>
        <w:rPr>
          <w:rFonts w:cstheme="minorHAnsi"/>
          <w:color w:val="000000" w:themeColor="text1"/>
        </w:rPr>
      </w:pPr>
      <w:r w:rsidRPr="001821F0">
        <w:rPr>
          <w:rFonts w:cstheme="minorHAnsi"/>
          <w:color w:val="000000" w:themeColor="text1"/>
        </w:rPr>
        <w:t>UWC</w:t>
      </w:r>
      <w:r w:rsidRPr="001821F0">
        <w:rPr>
          <w:rFonts w:cstheme="minorHAnsi"/>
          <w:color w:val="000000" w:themeColor="text1"/>
        </w:rPr>
        <w:tab/>
      </w:r>
      <w:r w:rsidRPr="001821F0">
        <w:rPr>
          <w:rFonts w:cstheme="minorHAnsi"/>
          <w:color w:val="000000" w:themeColor="text1"/>
        </w:rPr>
        <w:tab/>
        <w:t>University of the Western Cape</w:t>
      </w:r>
    </w:p>
    <w:p w:rsidR="00D40947" w:rsidRDefault="00D40947" w:rsidP="00EE760C">
      <w:pPr>
        <w:rPr>
          <w:rFonts w:ascii="Calibri" w:hAnsi="Calibri" w:cs="Calibri"/>
        </w:rPr>
      </w:pPr>
    </w:p>
    <w:p w:rsidR="00D40947" w:rsidRDefault="00D40947" w:rsidP="00EE760C">
      <w:pPr>
        <w:rPr>
          <w:rFonts w:ascii="Calibri" w:hAnsi="Calibri" w:cs="Calibri"/>
        </w:rPr>
      </w:pPr>
    </w:p>
    <w:p w:rsidR="00D40947" w:rsidRDefault="00D40947" w:rsidP="00EE760C">
      <w:pPr>
        <w:rPr>
          <w:rFonts w:ascii="Calibri" w:hAnsi="Calibri" w:cs="Calibri"/>
        </w:rPr>
      </w:pPr>
    </w:p>
    <w:p w:rsidR="007752E5" w:rsidRDefault="007752E5" w:rsidP="00EE760C">
      <w:pPr>
        <w:rPr>
          <w:rFonts w:ascii="Calibri" w:hAnsi="Calibri" w:cs="Calibri"/>
        </w:rPr>
      </w:pPr>
    </w:p>
    <w:p w:rsidR="007752E5" w:rsidRDefault="007752E5" w:rsidP="00EE760C">
      <w:pPr>
        <w:rPr>
          <w:rFonts w:ascii="Calibri" w:hAnsi="Calibri" w:cs="Calibri"/>
        </w:rPr>
      </w:pPr>
    </w:p>
    <w:p w:rsidR="007752E5" w:rsidRDefault="007752E5" w:rsidP="00EE760C">
      <w:pPr>
        <w:rPr>
          <w:rFonts w:ascii="Calibri" w:hAnsi="Calibri" w:cs="Calibri"/>
        </w:rPr>
      </w:pPr>
    </w:p>
    <w:p w:rsidR="007752E5" w:rsidRDefault="007752E5" w:rsidP="00EE760C">
      <w:pPr>
        <w:rPr>
          <w:rFonts w:ascii="Calibri" w:hAnsi="Calibri" w:cs="Calibri"/>
        </w:rPr>
      </w:pPr>
    </w:p>
    <w:p w:rsidR="007752E5" w:rsidRDefault="007752E5" w:rsidP="00EE760C">
      <w:pPr>
        <w:rPr>
          <w:rFonts w:ascii="Calibri" w:hAnsi="Calibri" w:cs="Calibri"/>
        </w:rPr>
      </w:pPr>
    </w:p>
    <w:p w:rsidR="007752E5" w:rsidRDefault="007752E5" w:rsidP="00EE760C">
      <w:pPr>
        <w:rPr>
          <w:rFonts w:ascii="Calibri" w:hAnsi="Calibri" w:cs="Calibri"/>
        </w:rPr>
      </w:pPr>
    </w:p>
    <w:p w:rsidR="007752E5" w:rsidRDefault="007752E5" w:rsidP="00EE760C">
      <w:pPr>
        <w:rPr>
          <w:rFonts w:ascii="Calibri" w:hAnsi="Calibri" w:cs="Calibri"/>
        </w:rPr>
      </w:pPr>
    </w:p>
    <w:p w:rsidR="007752E5" w:rsidRDefault="007752E5" w:rsidP="00EE760C">
      <w:pPr>
        <w:rPr>
          <w:rFonts w:ascii="Calibri" w:hAnsi="Calibri" w:cs="Calibri"/>
        </w:rPr>
      </w:pPr>
    </w:p>
    <w:p w:rsidR="00D40947" w:rsidRDefault="00D40947" w:rsidP="00EE760C">
      <w:pPr>
        <w:rPr>
          <w:rFonts w:ascii="Calibri" w:hAnsi="Calibri" w:cs="Calibri"/>
        </w:rPr>
      </w:pPr>
    </w:p>
    <w:p w:rsidR="00D40947" w:rsidRDefault="00D40947" w:rsidP="00EE760C">
      <w:pPr>
        <w:rPr>
          <w:rFonts w:ascii="Calibri" w:hAnsi="Calibri" w:cs="Calibri"/>
        </w:rPr>
      </w:pPr>
    </w:p>
    <w:p w:rsidR="00D40947" w:rsidRPr="0075107C" w:rsidRDefault="00D40947" w:rsidP="00717DDB">
      <w:pPr>
        <w:jc w:val="right"/>
        <w:rPr>
          <w:rFonts w:ascii="Calibri" w:hAnsi="Calibri" w:cs="Calibri"/>
        </w:rPr>
      </w:pPr>
      <w:r w:rsidRPr="0075107C">
        <w:rPr>
          <w:rFonts w:ascii="Arial" w:hAnsi="Arial" w:cs="Arial"/>
          <w:noProof/>
          <w:lang w:eastAsia="en-ZA"/>
        </w:rPr>
        <w:drawing>
          <wp:inline distT="0" distB="0" distL="0" distR="0">
            <wp:extent cx="3486150" cy="1200150"/>
            <wp:effectExtent l="3810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708ED" w:rsidRPr="009C3971" w:rsidRDefault="00A708ED" w:rsidP="00717DDB">
      <w:pPr>
        <w:pStyle w:val="Heading1"/>
        <w:numPr>
          <w:ilvl w:val="0"/>
          <w:numId w:val="0"/>
        </w:numPr>
        <w:rPr>
          <w:rFonts w:ascii="Calibri" w:hAnsi="Calibri" w:cs="Calibri"/>
          <w:color w:val="FFFFFF" w:themeColor="background1"/>
        </w:rPr>
      </w:pPr>
      <w:bookmarkStart w:id="2" w:name="_Toc54361027"/>
      <w:r w:rsidRPr="009C3971">
        <w:rPr>
          <w:rFonts w:ascii="Calibri" w:hAnsi="Calibri" w:cs="Calibri"/>
          <w:color w:val="FFFFFF" w:themeColor="background1"/>
        </w:rPr>
        <w:t>PART A</w:t>
      </w:r>
      <w:r w:rsidR="009C3971" w:rsidRPr="009C3971">
        <w:rPr>
          <w:rFonts w:ascii="Calibri" w:hAnsi="Calibri" w:cs="Calibri"/>
          <w:color w:val="FFFFFF" w:themeColor="background1"/>
        </w:rPr>
        <w:t>: Introduction</w:t>
      </w:r>
      <w:bookmarkEnd w:id="2"/>
    </w:p>
    <w:p w:rsidR="00D40947" w:rsidRDefault="00D40947" w:rsidP="00EE760C">
      <w:pPr>
        <w:rPr>
          <w:rFonts w:ascii="Calibri" w:hAnsi="Calibri" w:cs="Calibri"/>
        </w:rPr>
      </w:pPr>
    </w:p>
    <w:p w:rsidR="00D40947" w:rsidRDefault="00D40947" w:rsidP="00EE760C">
      <w:pPr>
        <w:rPr>
          <w:rFonts w:ascii="Calibri" w:hAnsi="Calibri" w:cs="Calibri"/>
        </w:rPr>
      </w:pPr>
    </w:p>
    <w:p w:rsidR="00D40947" w:rsidRDefault="00D40947" w:rsidP="00EE760C">
      <w:pPr>
        <w:rPr>
          <w:rFonts w:ascii="Calibri" w:hAnsi="Calibri" w:cs="Calibri"/>
        </w:rPr>
      </w:pPr>
    </w:p>
    <w:p w:rsidR="00D40947" w:rsidRDefault="00D40947" w:rsidP="00EE760C">
      <w:pPr>
        <w:rPr>
          <w:rFonts w:ascii="Calibri" w:hAnsi="Calibri" w:cs="Calibri"/>
        </w:rPr>
      </w:pPr>
    </w:p>
    <w:p w:rsidR="00D40947" w:rsidRDefault="00D40947" w:rsidP="00EE760C">
      <w:pPr>
        <w:rPr>
          <w:rFonts w:ascii="Calibri" w:hAnsi="Calibri" w:cs="Calibri"/>
        </w:rPr>
      </w:pPr>
    </w:p>
    <w:p w:rsidR="00D40947" w:rsidRDefault="00D40947" w:rsidP="00EE760C">
      <w:pPr>
        <w:rPr>
          <w:rFonts w:ascii="Calibri" w:hAnsi="Calibri" w:cs="Calibri"/>
        </w:rPr>
      </w:pPr>
    </w:p>
    <w:p w:rsidR="00D40947" w:rsidRDefault="00D40947" w:rsidP="00EE760C">
      <w:pPr>
        <w:rPr>
          <w:rFonts w:ascii="Calibri" w:hAnsi="Calibri" w:cs="Calibri"/>
        </w:rPr>
      </w:pPr>
    </w:p>
    <w:p w:rsidR="00D40947" w:rsidRDefault="00D40947" w:rsidP="00EE760C">
      <w:pPr>
        <w:rPr>
          <w:rFonts w:ascii="Calibri" w:hAnsi="Calibri" w:cs="Calibri"/>
        </w:rPr>
      </w:pPr>
    </w:p>
    <w:p w:rsidR="00D40947" w:rsidRDefault="00D40947" w:rsidP="00EE760C">
      <w:pPr>
        <w:rPr>
          <w:rFonts w:ascii="Calibri" w:hAnsi="Calibri" w:cs="Calibri"/>
        </w:rPr>
      </w:pPr>
    </w:p>
    <w:p w:rsidR="00D40947" w:rsidRDefault="00D40947" w:rsidP="00EE760C">
      <w:pPr>
        <w:rPr>
          <w:rFonts w:ascii="Calibri" w:hAnsi="Calibri" w:cs="Calibri"/>
        </w:rPr>
      </w:pPr>
    </w:p>
    <w:p w:rsidR="00D40947" w:rsidRDefault="00D40947" w:rsidP="00EE760C">
      <w:pPr>
        <w:rPr>
          <w:rFonts w:ascii="Calibri" w:hAnsi="Calibri" w:cs="Calibri"/>
        </w:rPr>
      </w:pPr>
    </w:p>
    <w:p w:rsidR="00D40947" w:rsidRDefault="00D40947" w:rsidP="00EE760C">
      <w:pPr>
        <w:rPr>
          <w:rFonts w:ascii="Calibri" w:hAnsi="Calibri" w:cs="Calibri"/>
        </w:rPr>
      </w:pPr>
    </w:p>
    <w:p w:rsidR="00D40947" w:rsidRDefault="00D40947" w:rsidP="00EE760C">
      <w:pPr>
        <w:rPr>
          <w:rFonts w:ascii="Calibri" w:hAnsi="Calibri" w:cs="Calibri"/>
        </w:rPr>
      </w:pPr>
    </w:p>
    <w:p w:rsidR="00F34380" w:rsidRDefault="00F34380">
      <w:pPr>
        <w:rPr>
          <w:rFonts w:eastAsiaTheme="majorEastAsia" w:cstheme="minorHAnsi"/>
          <w:b/>
          <w:bCs/>
          <w:smallCaps/>
          <w:color w:val="000000" w:themeColor="text1"/>
          <w:sz w:val="36"/>
          <w:szCs w:val="36"/>
          <w:lang w:val="en-US"/>
        </w:rPr>
      </w:pPr>
      <w:bookmarkStart w:id="3" w:name="_Toc22556386"/>
      <w:r>
        <w:rPr>
          <w:rFonts w:cstheme="minorHAnsi"/>
          <w:sz w:val="36"/>
          <w:szCs w:val="36"/>
        </w:rPr>
        <w:br w:type="page"/>
      </w:r>
    </w:p>
    <w:p w:rsidR="00D40947" w:rsidRPr="00605509" w:rsidRDefault="00D40947" w:rsidP="003B5E3A">
      <w:pPr>
        <w:pStyle w:val="Heading2"/>
        <w:numPr>
          <w:ilvl w:val="1"/>
          <w:numId w:val="5"/>
        </w:numPr>
        <w:rPr>
          <w:rFonts w:asciiTheme="minorHAnsi" w:hAnsiTheme="minorHAnsi" w:cstheme="minorHAnsi"/>
          <w:sz w:val="36"/>
          <w:szCs w:val="36"/>
        </w:rPr>
      </w:pPr>
      <w:bookmarkStart w:id="4" w:name="_Toc54361028"/>
      <w:r w:rsidRPr="00605509">
        <w:rPr>
          <w:rFonts w:asciiTheme="minorHAnsi" w:hAnsiTheme="minorHAnsi" w:cstheme="minorHAnsi"/>
          <w:sz w:val="36"/>
          <w:szCs w:val="36"/>
        </w:rPr>
        <w:lastRenderedPageBreak/>
        <w:t>ACCOUNTING OFFICER’S STATEMENT</w:t>
      </w:r>
      <w:bookmarkEnd w:id="3"/>
      <w:bookmarkEnd w:id="4"/>
    </w:p>
    <w:p w:rsidR="00D40947" w:rsidRDefault="00D40947" w:rsidP="00EE760C">
      <w:pPr>
        <w:rPr>
          <w:rFonts w:ascii="Calibri" w:hAnsi="Calibri" w:cs="Calibri"/>
        </w:rPr>
      </w:pPr>
    </w:p>
    <w:p w:rsidR="003068D2" w:rsidRDefault="009A388B" w:rsidP="009C41C7">
      <w:pPr>
        <w:jc w:val="both"/>
        <w:rPr>
          <w:rFonts w:ascii="Calibri" w:hAnsi="Calibri" w:cs="Calibri"/>
        </w:rPr>
      </w:pPr>
      <w:r>
        <w:rPr>
          <w:rFonts w:ascii="Calibri" w:hAnsi="Calibri" w:cs="Calibri"/>
        </w:rPr>
        <w:t xml:space="preserve">The 2020/21 </w:t>
      </w:r>
      <w:r w:rsidR="00ED1FE2">
        <w:rPr>
          <w:rFonts w:ascii="Calibri" w:hAnsi="Calibri" w:cs="Calibri"/>
        </w:rPr>
        <w:t>financial year began</w:t>
      </w:r>
      <w:r w:rsidR="00087C3B">
        <w:rPr>
          <w:rFonts w:ascii="Calibri" w:hAnsi="Calibri" w:cs="Calibri"/>
        </w:rPr>
        <w:t xml:space="preserve"> as the President of the country declared a </w:t>
      </w:r>
      <w:r w:rsidR="00E928EC">
        <w:rPr>
          <w:rFonts w:ascii="Calibri" w:hAnsi="Calibri" w:cs="Calibri"/>
        </w:rPr>
        <w:t xml:space="preserve">State of Disaster </w:t>
      </w:r>
      <w:r w:rsidR="009C41C7">
        <w:rPr>
          <w:rFonts w:ascii="Calibri" w:hAnsi="Calibri" w:cs="Calibri"/>
        </w:rPr>
        <w:t xml:space="preserve">to deal with the </w:t>
      </w:r>
      <w:r w:rsidR="005B1DF7">
        <w:rPr>
          <w:rFonts w:ascii="Calibri" w:hAnsi="Calibri" w:cs="Calibri"/>
        </w:rPr>
        <w:t xml:space="preserve">Coronavirus pandemic. </w:t>
      </w:r>
      <w:r w:rsidR="003068D2">
        <w:rPr>
          <w:rFonts w:ascii="Calibri" w:hAnsi="Calibri" w:cs="Calibri"/>
        </w:rPr>
        <w:t xml:space="preserve">This threatened to disrupt the Business of Parliament and the operating model of the Parliamentary Administration. Parliament responded quickly and adeptly to the threat by establishing the COVID-19 Task Team and Rapid Response Teams to simultaneously develop business continuity plans to ensure the continuity of Parliamentary </w:t>
      </w:r>
      <w:r w:rsidR="00BE4D41">
        <w:rPr>
          <w:rFonts w:ascii="Calibri" w:hAnsi="Calibri" w:cs="Calibri"/>
        </w:rPr>
        <w:t>operations whilstminimising</w:t>
      </w:r>
      <w:r w:rsidR="003068D2">
        <w:rPr>
          <w:rFonts w:ascii="Calibri" w:hAnsi="Calibri" w:cs="Calibri"/>
        </w:rPr>
        <w:t xml:space="preserve"> the risk of transmission on the Parliamentary precinct. </w:t>
      </w:r>
      <w:r w:rsidR="00BE4D41">
        <w:rPr>
          <w:rFonts w:ascii="Calibri" w:hAnsi="Calibri" w:cs="Calibri"/>
        </w:rPr>
        <w:t>A proactive approach using scenarios was used to anticipate and agilely adapt to the evolving threat and lockdown regulations.</w:t>
      </w:r>
    </w:p>
    <w:p w:rsidR="00E928EC" w:rsidRDefault="008830DD" w:rsidP="009C41C7">
      <w:pPr>
        <w:jc w:val="both"/>
        <w:rPr>
          <w:rFonts w:ascii="Calibri" w:hAnsi="Calibri" w:cs="Calibri"/>
        </w:rPr>
      </w:pPr>
      <w:r>
        <w:rPr>
          <w:rFonts w:ascii="Calibri" w:hAnsi="Calibri" w:cs="Calibri"/>
        </w:rPr>
        <w:t xml:space="preserve">Parliamentary ICT capability and infrastructure was ramped up significantly to support virtual </w:t>
      </w:r>
      <w:r w:rsidR="00A83538">
        <w:rPr>
          <w:rFonts w:ascii="Calibri" w:hAnsi="Calibri" w:cs="Calibri"/>
        </w:rPr>
        <w:t>plenaries, c</w:t>
      </w:r>
      <w:r>
        <w:rPr>
          <w:rFonts w:ascii="Calibri" w:hAnsi="Calibri" w:cs="Calibri"/>
        </w:rPr>
        <w:t xml:space="preserve">ommittee work and remote working conditions for Members of Parliament and staff. The hybrid model of operations supporting a mix of virtual and physical enablement has been highly successful thus far but with limitations imposed by the internet infrastructure in the country. </w:t>
      </w:r>
      <w:r w:rsidR="007372DD">
        <w:rPr>
          <w:rFonts w:ascii="Calibri" w:hAnsi="Calibri" w:cs="Calibri"/>
        </w:rPr>
        <w:t>Resources and procurement plans have been directed toward enabling the new business operating model.</w:t>
      </w:r>
    </w:p>
    <w:p w:rsidR="007372DD" w:rsidRDefault="007372DD" w:rsidP="009C41C7">
      <w:pPr>
        <w:jc w:val="both"/>
        <w:rPr>
          <w:rFonts w:ascii="Calibri" w:hAnsi="Calibri" w:cs="Calibri"/>
        </w:rPr>
      </w:pPr>
      <w:r>
        <w:rPr>
          <w:rFonts w:ascii="Calibri" w:hAnsi="Calibri" w:cs="Calibri"/>
        </w:rPr>
        <w:t>The COVID-19 pandemic also adversely impacted the National budget. The tax shortfall as projected by SARS is over 300 billion rand and GDP growth is at its lowest point in over 20 years. Parliament as an institution funded by the fiscus has been impacted</w:t>
      </w:r>
      <w:r w:rsidR="00E70467">
        <w:rPr>
          <w:rFonts w:ascii="Calibri" w:hAnsi="Calibri" w:cs="Calibri"/>
        </w:rPr>
        <w:t xml:space="preserve"> by these budget constraints. Parliament has seen two major budget cuts in the financial year, resulting in reviews of the APP, operational plans and budget allocation, testing the institutional capability to adapt, respond and find new ways to promote efficiency in the way we work. </w:t>
      </w:r>
    </w:p>
    <w:p w:rsidR="00CC4971" w:rsidRDefault="00BD4E6F" w:rsidP="00EA306F">
      <w:pPr>
        <w:spacing w:before="240" w:after="0"/>
        <w:jc w:val="both"/>
        <w:rPr>
          <w:rFonts w:cstheme="minorHAnsi"/>
        </w:rPr>
      </w:pPr>
      <w:r>
        <w:rPr>
          <w:rFonts w:cstheme="minorHAnsi"/>
        </w:rPr>
        <w:t>While there were challenges with some aspects of remote working, the mid-year performance was mixed, but promising. Of the 14 indicators in the Annual Performance Plan, 7 were tracked at the mid-year, while 7 were not measured in this perio</w:t>
      </w:r>
      <w:r w:rsidR="00CC4971">
        <w:rPr>
          <w:rFonts w:cstheme="minorHAnsi"/>
        </w:rPr>
        <w:t>d. Of the 7 tracked, 5 met or exceeded target, while 2 did not meet</w:t>
      </w:r>
      <w:r>
        <w:rPr>
          <w:rFonts w:cstheme="minorHAnsi"/>
        </w:rPr>
        <w:t xml:space="preserve"> target.</w:t>
      </w:r>
      <w:r w:rsidR="00CC4971">
        <w:rPr>
          <w:rFonts w:cstheme="minorHAnsi"/>
        </w:rPr>
        <w:t xml:space="preserve"> This translated to overall institutional performance of 71,4% at the mid-point of the financial year.</w:t>
      </w:r>
    </w:p>
    <w:p w:rsidR="00D40947" w:rsidRPr="009A388B" w:rsidRDefault="00BD4E6F" w:rsidP="00EA306F">
      <w:pPr>
        <w:spacing w:before="240" w:after="0"/>
        <w:jc w:val="both"/>
        <w:rPr>
          <w:rFonts w:cstheme="minorHAnsi"/>
        </w:rPr>
      </w:pPr>
      <w:r>
        <w:rPr>
          <w:rFonts w:cstheme="minorHAnsi"/>
        </w:rPr>
        <w:t xml:space="preserve">Office on Institutions Supporting Democracy </w:t>
      </w:r>
      <w:r w:rsidRPr="00BD4E6F">
        <w:rPr>
          <w:rFonts w:cstheme="minorHAnsi"/>
        </w:rPr>
        <w:t xml:space="preserve">analysis reports </w:t>
      </w:r>
      <w:r>
        <w:rPr>
          <w:rFonts w:cstheme="minorHAnsi"/>
        </w:rPr>
        <w:t xml:space="preserve">were </w:t>
      </w:r>
      <w:r w:rsidRPr="00BD4E6F">
        <w:rPr>
          <w:rFonts w:cstheme="minorHAnsi"/>
        </w:rPr>
        <w:t>provided within agreed timeframes</w:t>
      </w:r>
      <w:r>
        <w:rPr>
          <w:rFonts w:cstheme="minorHAnsi"/>
        </w:rPr>
        <w:t>, the planned n</w:t>
      </w:r>
      <w:r w:rsidRPr="00BD4E6F">
        <w:rPr>
          <w:rFonts w:cstheme="minorHAnsi"/>
        </w:rPr>
        <w:t xml:space="preserve">umber of </w:t>
      </w:r>
      <w:r>
        <w:rPr>
          <w:rFonts w:cstheme="minorHAnsi"/>
        </w:rPr>
        <w:t xml:space="preserve">capacity building </w:t>
      </w:r>
      <w:r w:rsidRPr="00BD4E6F">
        <w:rPr>
          <w:rFonts w:cstheme="minorHAnsi"/>
        </w:rPr>
        <w:t xml:space="preserve">programmes </w:t>
      </w:r>
      <w:r>
        <w:rPr>
          <w:rFonts w:cstheme="minorHAnsi"/>
        </w:rPr>
        <w:t xml:space="preserve">were </w:t>
      </w:r>
      <w:r w:rsidRPr="00BD4E6F">
        <w:rPr>
          <w:rFonts w:cstheme="minorHAnsi"/>
        </w:rPr>
        <w:t>implemented</w:t>
      </w:r>
      <w:r>
        <w:rPr>
          <w:rFonts w:cstheme="minorHAnsi"/>
        </w:rPr>
        <w:t xml:space="preserve">, the </w:t>
      </w:r>
      <w:r w:rsidR="00627A6B">
        <w:rPr>
          <w:rFonts w:cstheme="minorHAnsi"/>
        </w:rPr>
        <w:t>required n</w:t>
      </w:r>
      <w:r w:rsidRPr="00BD4E6F">
        <w:rPr>
          <w:rFonts w:cstheme="minorHAnsi"/>
        </w:rPr>
        <w:t xml:space="preserve">umber of reports on </w:t>
      </w:r>
      <w:r w:rsidR="00627A6B">
        <w:rPr>
          <w:rFonts w:cstheme="minorHAnsi"/>
        </w:rPr>
        <w:t xml:space="preserve">the </w:t>
      </w:r>
      <w:r w:rsidRPr="00BD4E6F">
        <w:rPr>
          <w:rFonts w:cstheme="minorHAnsi"/>
        </w:rPr>
        <w:t xml:space="preserve">implementation of </w:t>
      </w:r>
      <w:r w:rsidR="00627A6B">
        <w:rPr>
          <w:rFonts w:cstheme="minorHAnsi"/>
        </w:rPr>
        <w:t xml:space="preserve">the </w:t>
      </w:r>
      <w:r w:rsidRPr="00BD4E6F">
        <w:rPr>
          <w:rFonts w:cstheme="minorHAnsi"/>
        </w:rPr>
        <w:t>Sector Strategy</w:t>
      </w:r>
      <w:r w:rsidR="00627A6B">
        <w:rPr>
          <w:rFonts w:cstheme="minorHAnsi"/>
        </w:rPr>
        <w:t xml:space="preserve"> were prepared, and the required programmes in both the National Assembly and the National Council of Provinces were adopted. Lagging in performance was the provision of legal and procedural advice on matters related to Institutions Supporting Democracy, as well as the Core Business Service Charter. The former missed its target by </w:t>
      </w:r>
      <w:r w:rsidR="00627A6B" w:rsidRPr="00627A6B">
        <w:rPr>
          <w:rFonts w:cstheme="minorHAnsi"/>
        </w:rPr>
        <w:t>13,08%</w:t>
      </w:r>
      <w:r w:rsidR="00627A6B">
        <w:rPr>
          <w:rFonts w:cstheme="minorHAnsi"/>
        </w:rPr>
        <w:t xml:space="preserve">, and the latter by </w:t>
      </w:r>
      <w:r w:rsidR="00627A6B" w:rsidRPr="00627A6B">
        <w:rPr>
          <w:rFonts w:cstheme="minorHAnsi"/>
        </w:rPr>
        <w:t>9,66%</w:t>
      </w:r>
      <w:r w:rsidR="00CC4971">
        <w:rPr>
          <w:rFonts w:cstheme="minorHAnsi"/>
        </w:rPr>
        <w:t>. Whilst</w:t>
      </w:r>
      <w:r w:rsidR="00627A6B">
        <w:rPr>
          <w:rFonts w:cstheme="minorHAnsi"/>
        </w:rPr>
        <w:t xml:space="preserve"> the variance for both indicators is not insignificant, the administration still strives to close this performance gap in the second half of the financial year. </w:t>
      </w:r>
    </w:p>
    <w:p w:rsidR="00D40947" w:rsidRDefault="00EA306F" w:rsidP="00EA306F">
      <w:pPr>
        <w:spacing w:before="120" w:after="0"/>
        <w:jc w:val="both"/>
        <w:rPr>
          <w:rFonts w:ascii="Calibri" w:hAnsi="Calibri" w:cs="Calibri"/>
        </w:rPr>
      </w:pPr>
      <w:r>
        <w:rPr>
          <w:rFonts w:ascii="Calibri" w:hAnsi="Calibri" w:cs="Calibri"/>
        </w:rPr>
        <w:t xml:space="preserve">As we prepare for the latter half of 2020/21, fully aware of the ever changing environment which demands a vigilant and adaptive administration, we will continue to pay special attention to service excellence to Members of Parliament, as they fulfil their Constitutional duties, in a post-COVID world, whatever it may bring. </w:t>
      </w:r>
    </w:p>
    <w:p w:rsidR="00D40947" w:rsidRDefault="00D40947" w:rsidP="00EA306F">
      <w:pPr>
        <w:spacing w:before="120" w:after="0"/>
        <w:jc w:val="both"/>
        <w:rPr>
          <w:rFonts w:ascii="Calibri" w:hAnsi="Calibri" w:cs="Calibri"/>
        </w:rPr>
      </w:pPr>
    </w:p>
    <w:p w:rsidR="00F34380" w:rsidRDefault="00F34380" w:rsidP="003D28E5">
      <w:pPr>
        <w:spacing w:before="120" w:after="0"/>
        <w:jc w:val="both"/>
        <w:rPr>
          <w:rFonts w:ascii="Calibri" w:hAnsi="Calibri" w:cs="Calibri"/>
        </w:rPr>
      </w:pPr>
    </w:p>
    <w:p w:rsidR="003D28E5" w:rsidRPr="003D28E5" w:rsidRDefault="003D28E5" w:rsidP="003D28E5">
      <w:pPr>
        <w:spacing w:before="120" w:after="0"/>
        <w:jc w:val="both"/>
        <w:rPr>
          <w:rFonts w:ascii="Calibri" w:hAnsi="Calibri" w:cs="Calibri"/>
        </w:rPr>
      </w:pPr>
      <w:r w:rsidRPr="003D28E5">
        <w:rPr>
          <w:rFonts w:ascii="Calibri" w:hAnsi="Calibri" w:cs="Calibri"/>
        </w:rPr>
        <w:t>PN Tyawa</w:t>
      </w:r>
    </w:p>
    <w:p w:rsidR="003D28E5" w:rsidRDefault="003D28E5" w:rsidP="003D28E5">
      <w:pPr>
        <w:spacing w:before="120" w:after="0"/>
        <w:jc w:val="both"/>
        <w:rPr>
          <w:rFonts w:ascii="Calibri" w:hAnsi="Calibri" w:cs="Calibri"/>
        </w:rPr>
      </w:pPr>
      <w:r w:rsidRPr="003D28E5">
        <w:rPr>
          <w:rFonts w:ascii="Calibri" w:hAnsi="Calibri" w:cs="Calibri"/>
        </w:rPr>
        <w:t>Acting Secretary to Parliament</w:t>
      </w:r>
    </w:p>
    <w:p w:rsidR="00D40947" w:rsidRDefault="00D40947" w:rsidP="00EA306F">
      <w:pPr>
        <w:spacing w:before="120" w:after="0"/>
        <w:jc w:val="both"/>
        <w:rPr>
          <w:rFonts w:ascii="Calibri" w:hAnsi="Calibri" w:cs="Calibri"/>
        </w:rPr>
      </w:pPr>
    </w:p>
    <w:p w:rsidR="00D40947" w:rsidRDefault="00D40947" w:rsidP="00EE760C">
      <w:pPr>
        <w:rPr>
          <w:rFonts w:ascii="Calibri" w:hAnsi="Calibri" w:cs="Calibri"/>
        </w:rPr>
      </w:pPr>
    </w:p>
    <w:p w:rsidR="00D40947" w:rsidRDefault="00D40947" w:rsidP="00EE760C">
      <w:pPr>
        <w:rPr>
          <w:rFonts w:ascii="Calibri" w:hAnsi="Calibri" w:cs="Calibri"/>
        </w:rPr>
      </w:pPr>
    </w:p>
    <w:p w:rsidR="00D40947" w:rsidRDefault="00D40947" w:rsidP="00EE760C">
      <w:pPr>
        <w:rPr>
          <w:rFonts w:ascii="Calibri" w:hAnsi="Calibri" w:cs="Calibri"/>
        </w:rPr>
      </w:pPr>
    </w:p>
    <w:p w:rsidR="00D40947" w:rsidRPr="00F675F6" w:rsidRDefault="00D40947" w:rsidP="003B5E3A">
      <w:pPr>
        <w:pStyle w:val="Heading2"/>
        <w:numPr>
          <w:ilvl w:val="1"/>
          <w:numId w:val="5"/>
        </w:numPr>
        <w:rPr>
          <w:rFonts w:ascii="Calibri" w:hAnsi="Calibri" w:cs="Calibri"/>
          <w:sz w:val="36"/>
          <w:szCs w:val="36"/>
        </w:rPr>
      </w:pPr>
      <w:bookmarkStart w:id="5" w:name="_Toc54361029"/>
      <w:r w:rsidRPr="00F675F6">
        <w:rPr>
          <w:rFonts w:ascii="Calibri" w:hAnsi="Calibri" w:cs="Calibri"/>
          <w:sz w:val="36"/>
          <w:szCs w:val="36"/>
        </w:rPr>
        <w:lastRenderedPageBreak/>
        <w:t>STRATEGIC OVERVIEW</w:t>
      </w:r>
      <w:bookmarkEnd w:id="5"/>
    </w:p>
    <w:p w:rsidR="00D40947" w:rsidRDefault="00D40947" w:rsidP="00EE760C">
      <w:pPr>
        <w:rPr>
          <w:rFonts w:ascii="Calibri" w:hAnsi="Calibri" w:cs="Calibri"/>
        </w:rPr>
      </w:pPr>
    </w:p>
    <w:p w:rsidR="00D40947" w:rsidRPr="0068525B" w:rsidRDefault="00593181" w:rsidP="007F13D8">
      <w:pPr>
        <w:jc w:val="both"/>
        <w:rPr>
          <w:rFonts w:ascii="Calibri" w:hAnsi="Calibri" w:cs="Calibri"/>
        </w:rPr>
      </w:pPr>
      <w:r>
        <w:rPr>
          <w:rFonts w:ascii="Calibri" w:hAnsi="Calibri" w:cs="Calibri"/>
        </w:rPr>
        <w:t xml:space="preserve">The Strategic Plan of Parliament outlines 2 strategic priorities as 1. Oversight and Accountability; and 2. Public Participation. The Annual Performance Plan is thus </w:t>
      </w:r>
      <w:r w:rsidR="007F13D8">
        <w:rPr>
          <w:rFonts w:ascii="Calibri" w:hAnsi="Calibri" w:cs="Calibri"/>
        </w:rPr>
        <w:t xml:space="preserve">derived from these priorities. </w:t>
      </w:r>
      <w:r w:rsidR="001C16DA" w:rsidRPr="0068525B">
        <w:rPr>
          <w:rFonts w:ascii="Calibri" w:hAnsi="Calibri" w:cs="Calibri"/>
        </w:rPr>
        <w:t>The Accounting Officer is required to give a report on performance of Parliament’s administration as per the legislative mandate outlined in the FMPPLA (Act No. 10 of 2009). The Mid-Year performance report is based on the revised 2020/2021 APP which was tabled in mid-July 2020 after the Minister of Finance tabled a new budget in Parliament in the latter half of June. This revised APP is a transitional APP which bridges the gap between the 5th Parliament and 6th Parliament’s strategic plans</w:t>
      </w:r>
      <w:r w:rsidR="009C7CAC">
        <w:rPr>
          <w:rFonts w:ascii="Calibri" w:hAnsi="Calibri" w:cs="Calibri"/>
        </w:rPr>
        <w:t xml:space="preserve"> whilst strategic execution and change management modalities are being implemented. It </w:t>
      </w:r>
      <w:r w:rsidR="001C16DA" w:rsidRPr="0068525B">
        <w:rPr>
          <w:rFonts w:ascii="Calibri" w:hAnsi="Calibri" w:cs="Calibri"/>
        </w:rPr>
        <w:t xml:space="preserve">tracks 14 </w:t>
      </w:r>
      <w:r w:rsidR="009C7CAC">
        <w:rPr>
          <w:rFonts w:ascii="Calibri" w:hAnsi="Calibri" w:cs="Calibri"/>
        </w:rPr>
        <w:t xml:space="preserve">performance </w:t>
      </w:r>
      <w:r w:rsidR="001C16DA" w:rsidRPr="0068525B">
        <w:rPr>
          <w:rFonts w:ascii="Calibri" w:hAnsi="Calibri" w:cs="Calibri"/>
        </w:rPr>
        <w:t xml:space="preserve">indicators, some aligned to the previous APP and others, new.  Of the 14 indicators outlined in the APP, 7 have quarterly targets, whilst 7 have annual and/or quarterly targets not tracked for this period, </w:t>
      </w:r>
      <w:r w:rsidR="009C7CAC">
        <w:rPr>
          <w:rFonts w:ascii="Calibri" w:hAnsi="Calibri" w:cs="Calibri"/>
        </w:rPr>
        <w:t xml:space="preserve">the </w:t>
      </w:r>
      <w:r w:rsidR="001C16DA" w:rsidRPr="0068525B">
        <w:rPr>
          <w:rFonts w:ascii="Calibri" w:hAnsi="Calibri" w:cs="Calibri"/>
        </w:rPr>
        <w:t xml:space="preserve">details </w:t>
      </w:r>
      <w:r w:rsidR="009C7CAC">
        <w:rPr>
          <w:rFonts w:ascii="Calibri" w:hAnsi="Calibri" w:cs="Calibri"/>
        </w:rPr>
        <w:t xml:space="preserve">of which are listed </w:t>
      </w:r>
      <w:r w:rsidR="001C16DA" w:rsidRPr="0068525B">
        <w:rPr>
          <w:rFonts w:ascii="Calibri" w:hAnsi="Calibri" w:cs="Calibri"/>
        </w:rPr>
        <w:t>below.</w:t>
      </w:r>
    </w:p>
    <w:tbl>
      <w:tblPr>
        <w:tblStyle w:val="GridTable1LightAccent2"/>
        <w:tblW w:w="9909" w:type="dxa"/>
        <w:jc w:val="center"/>
        <w:tblLayout w:type="fixed"/>
        <w:tblLook w:val="04A0"/>
      </w:tblPr>
      <w:tblGrid>
        <w:gridCol w:w="4098"/>
        <w:gridCol w:w="3685"/>
        <w:gridCol w:w="2126"/>
      </w:tblGrid>
      <w:tr w:rsidR="0068525B" w:rsidRPr="00BD4773" w:rsidTr="00F34380">
        <w:trPr>
          <w:cnfStyle w:val="100000000000"/>
          <w:trHeight w:val="444"/>
          <w:jc w:val="center"/>
        </w:trPr>
        <w:tc>
          <w:tcPr>
            <w:cnfStyle w:val="001000000000"/>
            <w:tcW w:w="4098" w:type="dxa"/>
            <w:tcBorders>
              <w:top w:val="single" w:sz="4" w:space="0" w:color="000000"/>
              <w:left w:val="single" w:sz="4" w:space="0" w:color="000000"/>
              <w:bottom w:val="single" w:sz="4" w:space="0" w:color="000000"/>
              <w:right w:val="single" w:sz="4" w:space="0" w:color="000000"/>
            </w:tcBorders>
          </w:tcPr>
          <w:p w:rsidR="0068525B" w:rsidRPr="00BD4773" w:rsidRDefault="0068525B" w:rsidP="00BD4773">
            <w:pPr>
              <w:rPr>
                <w:rFonts w:cstheme="minorHAnsi"/>
                <w:sz w:val="24"/>
                <w:szCs w:val="24"/>
              </w:rPr>
            </w:pPr>
            <w:r w:rsidRPr="00BD4773">
              <w:rPr>
                <w:rFonts w:cstheme="minorHAnsi"/>
                <w:sz w:val="24"/>
                <w:szCs w:val="24"/>
              </w:rPr>
              <w:t>Original APP (Q1)</w:t>
            </w:r>
          </w:p>
        </w:tc>
        <w:tc>
          <w:tcPr>
            <w:tcW w:w="3685" w:type="dxa"/>
            <w:tcBorders>
              <w:top w:val="single" w:sz="4" w:space="0" w:color="000000"/>
              <w:left w:val="single" w:sz="4" w:space="0" w:color="000000"/>
              <w:bottom w:val="single" w:sz="4" w:space="0" w:color="000000"/>
              <w:right w:val="single" w:sz="4" w:space="0" w:color="000000"/>
            </w:tcBorders>
            <w:noWrap/>
          </w:tcPr>
          <w:p w:rsidR="0068525B" w:rsidRPr="00BD4773" w:rsidRDefault="0068525B" w:rsidP="00BD4773">
            <w:pPr>
              <w:cnfStyle w:val="100000000000"/>
              <w:rPr>
                <w:rFonts w:cstheme="minorHAnsi"/>
                <w:sz w:val="24"/>
                <w:szCs w:val="24"/>
              </w:rPr>
            </w:pPr>
            <w:r w:rsidRPr="00BD4773">
              <w:rPr>
                <w:rFonts w:cstheme="minorHAnsi"/>
                <w:sz w:val="24"/>
                <w:szCs w:val="24"/>
              </w:rPr>
              <w:t>Revised APP (Q2)</w:t>
            </w:r>
          </w:p>
        </w:tc>
        <w:tc>
          <w:tcPr>
            <w:tcW w:w="2126" w:type="dxa"/>
            <w:tcBorders>
              <w:top w:val="single" w:sz="4" w:space="0" w:color="000000"/>
              <w:left w:val="single" w:sz="4" w:space="0" w:color="000000"/>
              <w:bottom w:val="single" w:sz="4" w:space="0" w:color="000000"/>
              <w:right w:val="single" w:sz="4" w:space="0" w:color="000000"/>
            </w:tcBorders>
          </w:tcPr>
          <w:p w:rsidR="0068525B" w:rsidRPr="00BD4773" w:rsidRDefault="00662E8A" w:rsidP="00BD4773">
            <w:pPr>
              <w:cnfStyle w:val="100000000000"/>
              <w:rPr>
                <w:rFonts w:cstheme="minorHAnsi"/>
                <w:sz w:val="24"/>
                <w:szCs w:val="24"/>
              </w:rPr>
            </w:pPr>
            <w:r>
              <w:rPr>
                <w:rFonts w:cstheme="minorHAnsi"/>
                <w:sz w:val="24"/>
                <w:szCs w:val="24"/>
              </w:rPr>
              <w:t>Reporting Period</w:t>
            </w:r>
          </w:p>
        </w:tc>
      </w:tr>
      <w:tr w:rsidR="0068525B" w:rsidRPr="00BD4773" w:rsidTr="00F34380">
        <w:trPr>
          <w:trHeight w:val="444"/>
          <w:jc w:val="center"/>
        </w:trPr>
        <w:tc>
          <w:tcPr>
            <w:cnfStyle w:val="001000000000"/>
            <w:tcW w:w="4098" w:type="dxa"/>
            <w:tcBorders>
              <w:top w:val="single" w:sz="4" w:space="0" w:color="000000"/>
              <w:left w:val="single" w:sz="4" w:space="0" w:color="000000"/>
              <w:bottom w:val="single" w:sz="4" w:space="0" w:color="000000"/>
              <w:right w:val="single" w:sz="4" w:space="0" w:color="000000"/>
            </w:tcBorders>
          </w:tcPr>
          <w:p w:rsidR="0068525B" w:rsidRPr="00BD4773" w:rsidRDefault="0068525B" w:rsidP="00BD4773">
            <w:pPr>
              <w:rPr>
                <w:rFonts w:cstheme="minorHAnsi"/>
                <w:b w:val="0"/>
              </w:rPr>
            </w:pPr>
            <w:r w:rsidRPr="00BD4773">
              <w:rPr>
                <w:rFonts w:cstheme="minorHAnsi"/>
                <w:b w:val="0"/>
              </w:rPr>
              <w:t>Number of analytical reports per year</w:t>
            </w:r>
          </w:p>
        </w:tc>
        <w:tc>
          <w:tcPr>
            <w:tcW w:w="3685" w:type="dxa"/>
            <w:tcBorders>
              <w:top w:val="single" w:sz="4" w:space="0" w:color="000000"/>
              <w:left w:val="single" w:sz="4" w:space="0" w:color="000000"/>
              <w:bottom w:val="single" w:sz="4" w:space="0" w:color="000000"/>
              <w:right w:val="single" w:sz="4" w:space="0" w:color="000000"/>
            </w:tcBorders>
            <w:noWrap/>
          </w:tcPr>
          <w:p w:rsidR="0068525B" w:rsidRPr="00BD4773" w:rsidRDefault="0068525B" w:rsidP="00BD4773">
            <w:pPr>
              <w:cnfStyle w:val="000000000000"/>
              <w:rPr>
                <w:rFonts w:cstheme="minorHAnsi"/>
              </w:rPr>
            </w:pPr>
            <w:r w:rsidRPr="00D05326">
              <w:rPr>
                <w:rFonts w:cstheme="minorHAnsi"/>
                <w:color w:val="C00000"/>
              </w:rPr>
              <w:t>Not measured</w:t>
            </w:r>
          </w:p>
        </w:tc>
        <w:tc>
          <w:tcPr>
            <w:tcW w:w="2126" w:type="dxa"/>
            <w:tcBorders>
              <w:top w:val="single" w:sz="4" w:space="0" w:color="000000"/>
              <w:left w:val="single" w:sz="4" w:space="0" w:color="000000"/>
              <w:bottom w:val="single" w:sz="4" w:space="0" w:color="000000"/>
              <w:right w:val="single" w:sz="4" w:space="0" w:color="000000"/>
            </w:tcBorders>
          </w:tcPr>
          <w:p w:rsidR="0068525B" w:rsidRPr="00BD4773" w:rsidRDefault="0068525B" w:rsidP="00BD4773">
            <w:pPr>
              <w:cnfStyle w:val="000000000000"/>
              <w:rPr>
                <w:rFonts w:cstheme="minorHAnsi"/>
              </w:rPr>
            </w:pPr>
            <w:r w:rsidRPr="00BD4773">
              <w:rPr>
                <w:rFonts w:cstheme="minorHAnsi"/>
              </w:rPr>
              <w:t>N/A</w:t>
            </w:r>
          </w:p>
        </w:tc>
      </w:tr>
      <w:tr w:rsidR="0068525B" w:rsidRPr="00BD4773" w:rsidTr="00F34380">
        <w:trPr>
          <w:trHeight w:val="384"/>
          <w:jc w:val="center"/>
        </w:trPr>
        <w:tc>
          <w:tcPr>
            <w:cnfStyle w:val="001000000000"/>
            <w:tcW w:w="4098" w:type="dxa"/>
            <w:tcBorders>
              <w:top w:val="single" w:sz="4" w:space="0" w:color="000000"/>
              <w:left w:val="single" w:sz="4" w:space="0" w:color="000000"/>
              <w:bottom w:val="single" w:sz="4" w:space="0" w:color="000000"/>
              <w:right w:val="single" w:sz="4" w:space="0" w:color="000000"/>
            </w:tcBorders>
          </w:tcPr>
          <w:p w:rsidR="0068525B" w:rsidRPr="00BD4773" w:rsidRDefault="0068525B" w:rsidP="00BD4773">
            <w:pPr>
              <w:rPr>
                <w:rFonts w:cstheme="minorHAnsi"/>
                <w:b w:val="0"/>
              </w:rPr>
            </w:pPr>
            <w:r w:rsidRPr="00BD4773">
              <w:rPr>
                <w:rFonts w:cstheme="minorHAnsi"/>
                <w:b w:val="0"/>
              </w:rPr>
              <w:t>% of strategic, procedural, legal advice and support provided within stipulated timeframes</w:t>
            </w:r>
          </w:p>
        </w:tc>
        <w:tc>
          <w:tcPr>
            <w:tcW w:w="3685" w:type="dxa"/>
            <w:tcBorders>
              <w:top w:val="single" w:sz="4" w:space="0" w:color="000000"/>
              <w:left w:val="single" w:sz="4" w:space="0" w:color="000000"/>
              <w:bottom w:val="single" w:sz="4" w:space="0" w:color="000000"/>
              <w:right w:val="single" w:sz="4" w:space="0" w:color="000000"/>
            </w:tcBorders>
            <w:noWrap/>
          </w:tcPr>
          <w:p w:rsidR="0068525B" w:rsidRPr="00BD4773" w:rsidRDefault="0068525B" w:rsidP="00BD4773">
            <w:pPr>
              <w:cnfStyle w:val="000000000000"/>
              <w:rPr>
                <w:rFonts w:cstheme="minorHAnsi"/>
              </w:rPr>
            </w:pPr>
            <w:r w:rsidRPr="00BD4773">
              <w:rPr>
                <w:rFonts w:cstheme="minorHAnsi"/>
              </w:rPr>
              <w:t>% of legal and procedural provided within 7 days</w:t>
            </w:r>
          </w:p>
        </w:tc>
        <w:tc>
          <w:tcPr>
            <w:tcW w:w="2126" w:type="dxa"/>
            <w:tcBorders>
              <w:top w:val="single" w:sz="4" w:space="0" w:color="000000"/>
              <w:left w:val="single" w:sz="4" w:space="0" w:color="000000"/>
              <w:bottom w:val="single" w:sz="4" w:space="0" w:color="000000"/>
              <w:right w:val="single" w:sz="4" w:space="0" w:color="000000"/>
            </w:tcBorders>
          </w:tcPr>
          <w:p w:rsidR="0068525B" w:rsidRPr="00BD4773" w:rsidRDefault="0068525B" w:rsidP="00BD4773">
            <w:pPr>
              <w:cnfStyle w:val="000000000000"/>
              <w:rPr>
                <w:rFonts w:cstheme="minorHAnsi"/>
              </w:rPr>
            </w:pPr>
            <w:r w:rsidRPr="00BD4773">
              <w:rPr>
                <w:rFonts w:cstheme="minorHAnsi"/>
              </w:rPr>
              <w:t>Quarterly Targets</w:t>
            </w:r>
          </w:p>
        </w:tc>
      </w:tr>
      <w:tr w:rsidR="0068525B" w:rsidRPr="00BD4773" w:rsidTr="00F34380">
        <w:trPr>
          <w:trHeight w:val="361"/>
          <w:jc w:val="center"/>
        </w:trPr>
        <w:tc>
          <w:tcPr>
            <w:cnfStyle w:val="001000000000"/>
            <w:tcW w:w="4098" w:type="dxa"/>
            <w:tcBorders>
              <w:top w:val="single" w:sz="4" w:space="0" w:color="000000"/>
              <w:left w:val="single" w:sz="4" w:space="0" w:color="000000"/>
              <w:bottom w:val="single" w:sz="4" w:space="0" w:color="000000"/>
              <w:right w:val="single" w:sz="4" w:space="0" w:color="000000"/>
            </w:tcBorders>
          </w:tcPr>
          <w:p w:rsidR="0068525B" w:rsidRPr="00BD4773" w:rsidRDefault="0068525B" w:rsidP="00BD4773">
            <w:pPr>
              <w:rPr>
                <w:rFonts w:cstheme="minorHAnsi"/>
                <w:b w:val="0"/>
              </w:rPr>
            </w:pPr>
            <w:r w:rsidRPr="00BD4773">
              <w:rPr>
                <w:rFonts w:cstheme="minorHAnsi"/>
                <w:b w:val="0"/>
              </w:rPr>
              <w:t>Percentage of analysis reports on ISDs related matters within agreed time frames</w:t>
            </w:r>
          </w:p>
        </w:tc>
        <w:tc>
          <w:tcPr>
            <w:tcW w:w="3685" w:type="dxa"/>
            <w:tcBorders>
              <w:top w:val="single" w:sz="4" w:space="0" w:color="000000"/>
              <w:left w:val="single" w:sz="4" w:space="0" w:color="000000"/>
              <w:bottom w:val="single" w:sz="4" w:space="0" w:color="000000"/>
              <w:right w:val="single" w:sz="4" w:space="0" w:color="000000"/>
            </w:tcBorders>
            <w:noWrap/>
          </w:tcPr>
          <w:p w:rsidR="0068525B" w:rsidRPr="00BD4773" w:rsidRDefault="0068525B" w:rsidP="00BD4773">
            <w:pPr>
              <w:cnfStyle w:val="000000000000"/>
              <w:rPr>
                <w:rFonts w:cstheme="minorHAnsi"/>
              </w:rPr>
            </w:pPr>
            <w:r w:rsidRPr="00BD4773">
              <w:rPr>
                <w:rFonts w:cstheme="minorHAnsi"/>
              </w:rPr>
              <w:t>% of analysis reports provided within agreed timeframes</w:t>
            </w:r>
          </w:p>
        </w:tc>
        <w:tc>
          <w:tcPr>
            <w:tcW w:w="2126" w:type="dxa"/>
            <w:tcBorders>
              <w:top w:val="single" w:sz="4" w:space="0" w:color="000000"/>
              <w:left w:val="single" w:sz="4" w:space="0" w:color="000000"/>
              <w:bottom w:val="single" w:sz="4" w:space="0" w:color="000000"/>
              <w:right w:val="single" w:sz="4" w:space="0" w:color="000000"/>
            </w:tcBorders>
          </w:tcPr>
          <w:p w:rsidR="0068525B" w:rsidRPr="00BD4773" w:rsidRDefault="0068525B" w:rsidP="00BD4773">
            <w:pPr>
              <w:cnfStyle w:val="000000000000"/>
              <w:rPr>
                <w:rFonts w:cstheme="minorHAnsi"/>
              </w:rPr>
            </w:pPr>
            <w:r w:rsidRPr="00BD4773">
              <w:rPr>
                <w:rFonts w:cstheme="minorHAnsi"/>
              </w:rPr>
              <w:t>Quarterly Targets</w:t>
            </w:r>
          </w:p>
        </w:tc>
      </w:tr>
      <w:tr w:rsidR="0068525B" w:rsidRPr="00BD4773" w:rsidTr="00F34380">
        <w:trPr>
          <w:trHeight w:val="361"/>
          <w:jc w:val="center"/>
        </w:trPr>
        <w:tc>
          <w:tcPr>
            <w:cnfStyle w:val="001000000000"/>
            <w:tcW w:w="4098" w:type="dxa"/>
            <w:tcBorders>
              <w:top w:val="single" w:sz="4" w:space="0" w:color="000000"/>
              <w:left w:val="single" w:sz="4" w:space="0" w:color="000000"/>
              <w:bottom w:val="single" w:sz="4" w:space="0" w:color="000000"/>
              <w:right w:val="single" w:sz="4" w:space="0" w:color="000000"/>
            </w:tcBorders>
          </w:tcPr>
          <w:p w:rsidR="0068525B" w:rsidRPr="00BD4773" w:rsidRDefault="0068525B" w:rsidP="00BD4773">
            <w:pPr>
              <w:rPr>
                <w:rFonts w:cstheme="minorHAnsi"/>
                <w:b w:val="0"/>
              </w:rPr>
            </w:pPr>
            <w:r w:rsidRPr="00BD4773">
              <w:rPr>
                <w:rFonts w:cstheme="minorHAnsi"/>
                <w:b w:val="0"/>
              </w:rPr>
              <w:t>Number of reports on ISDs related resolutions</w:t>
            </w:r>
          </w:p>
        </w:tc>
        <w:tc>
          <w:tcPr>
            <w:tcW w:w="3685" w:type="dxa"/>
            <w:tcBorders>
              <w:top w:val="single" w:sz="4" w:space="0" w:color="000000"/>
              <w:left w:val="single" w:sz="4" w:space="0" w:color="000000"/>
              <w:bottom w:val="single" w:sz="4" w:space="0" w:color="000000"/>
              <w:right w:val="single" w:sz="4" w:space="0" w:color="000000"/>
            </w:tcBorders>
            <w:noWrap/>
          </w:tcPr>
          <w:p w:rsidR="0068525B" w:rsidRPr="00BD4773" w:rsidRDefault="0068525B" w:rsidP="00BD4773">
            <w:pPr>
              <w:cnfStyle w:val="000000000000"/>
              <w:rPr>
                <w:rFonts w:cstheme="minorHAnsi"/>
              </w:rPr>
            </w:pPr>
            <w:r w:rsidRPr="00D05326">
              <w:rPr>
                <w:rFonts w:cstheme="minorHAnsi"/>
                <w:color w:val="C00000"/>
              </w:rPr>
              <w:t>Not Measured</w:t>
            </w:r>
          </w:p>
        </w:tc>
        <w:tc>
          <w:tcPr>
            <w:tcW w:w="2126" w:type="dxa"/>
            <w:tcBorders>
              <w:top w:val="single" w:sz="4" w:space="0" w:color="000000"/>
              <w:left w:val="single" w:sz="4" w:space="0" w:color="000000"/>
              <w:bottom w:val="single" w:sz="4" w:space="0" w:color="000000"/>
              <w:right w:val="single" w:sz="4" w:space="0" w:color="000000"/>
            </w:tcBorders>
          </w:tcPr>
          <w:p w:rsidR="0068525B" w:rsidRPr="00BD4773" w:rsidRDefault="0068525B" w:rsidP="00BD4773">
            <w:pPr>
              <w:cnfStyle w:val="000000000000"/>
              <w:rPr>
                <w:rFonts w:cstheme="minorHAnsi"/>
              </w:rPr>
            </w:pPr>
            <w:r w:rsidRPr="00BD4773">
              <w:rPr>
                <w:rFonts w:cstheme="minorHAnsi"/>
              </w:rPr>
              <w:t>N/A</w:t>
            </w:r>
          </w:p>
        </w:tc>
      </w:tr>
      <w:tr w:rsidR="0068525B" w:rsidRPr="00BD4773" w:rsidTr="00F34380">
        <w:trPr>
          <w:trHeight w:val="378"/>
          <w:jc w:val="center"/>
        </w:trPr>
        <w:tc>
          <w:tcPr>
            <w:cnfStyle w:val="001000000000"/>
            <w:tcW w:w="4098" w:type="dxa"/>
            <w:tcBorders>
              <w:top w:val="single" w:sz="4" w:space="0" w:color="000000"/>
              <w:left w:val="single" w:sz="4" w:space="0" w:color="000000"/>
              <w:bottom w:val="single" w:sz="4" w:space="0" w:color="000000"/>
              <w:right w:val="single" w:sz="4" w:space="0" w:color="000000"/>
            </w:tcBorders>
          </w:tcPr>
          <w:p w:rsidR="0068525B" w:rsidRPr="00BD4773" w:rsidRDefault="0068525B" w:rsidP="00BD4773">
            <w:pPr>
              <w:rPr>
                <w:rFonts w:cstheme="minorHAnsi"/>
                <w:b w:val="0"/>
              </w:rPr>
            </w:pPr>
            <w:r w:rsidRPr="00BD4773">
              <w:rPr>
                <w:rFonts w:cstheme="minorHAnsi"/>
                <w:b w:val="0"/>
              </w:rPr>
              <w:t>Number of programmes implemented</w:t>
            </w:r>
          </w:p>
        </w:tc>
        <w:tc>
          <w:tcPr>
            <w:tcW w:w="3685" w:type="dxa"/>
            <w:tcBorders>
              <w:top w:val="single" w:sz="4" w:space="0" w:color="000000"/>
              <w:left w:val="single" w:sz="4" w:space="0" w:color="000000"/>
              <w:bottom w:val="single" w:sz="4" w:space="0" w:color="000000"/>
              <w:right w:val="single" w:sz="4" w:space="0" w:color="000000"/>
            </w:tcBorders>
            <w:noWrap/>
            <w:hideMark/>
          </w:tcPr>
          <w:p w:rsidR="0068525B" w:rsidRPr="00BD4773" w:rsidRDefault="0068525B" w:rsidP="00BD4773">
            <w:pPr>
              <w:cnfStyle w:val="000000000000"/>
              <w:rPr>
                <w:rFonts w:cstheme="minorHAnsi"/>
              </w:rPr>
            </w:pPr>
            <w:r w:rsidRPr="00BD4773">
              <w:rPr>
                <w:rFonts w:cstheme="minorHAnsi"/>
              </w:rPr>
              <w:t>Number of programmes implemented</w:t>
            </w:r>
          </w:p>
        </w:tc>
        <w:tc>
          <w:tcPr>
            <w:tcW w:w="2126" w:type="dxa"/>
            <w:tcBorders>
              <w:top w:val="single" w:sz="4" w:space="0" w:color="000000"/>
              <w:left w:val="single" w:sz="4" w:space="0" w:color="000000"/>
              <w:bottom w:val="single" w:sz="4" w:space="0" w:color="000000"/>
              <w:right w:val="single" w:sz="4" w:space="0" w:color="000000"/>
            </w:tcBorders>
          </w:tcPr>
          <w:p w:rsidR="0068525B" w:rsidRPr="00BD4773" w:rsidRDefault="0068525B" w:rsidP="00BD4773">
            <w:pPr>
              <w:cnfStyle w:val="000000000000"/>
              <w:rPr>
                <w:rFonts w:cstheme="minorHAnsi"/>
              </w:rPr>
            </w:pPr>
            <w:r w:rsidRPr="00BD4773">
              <w:rPr>
                <w:rFonts w:cstheme="minorHAnsi"/>
              </w:rPr>
              <w:t>Quarterly Targets</w:t>
            </w:r>
          </w:p>
        </w:tc>
      </w:tr>
      <w:tr w:rsidR="0068525B" w:rsidRPr="00BD4773" w:rsidTr="00F34380">
        <w:trPr>
          <w:trHeight w:val="384"/>
          <w:jc w:val="center"/>
        </w:trPr>
        <w:tc>
          <w:tcPr>
            <w:cnfStyle w:val="001000000000"/>
            <w:tcW w:w="4098" w:type="dxa"/>
            <w:tcBorders>
              <w:top w:val="single" w:sz="4" w:space="0" w:color="000000"/>
              <w:left w:val="single" w:sz="4" w:space="0" w:color="000000"/>
              <w:bottom w:val="single" w:sz="4" w:space="0" w:color="000000"/>
              <w:right w:val="single" w:sz="4" w:space="0" w:color="000000"/>
            </w:tcBorders>
          </w:tcPr>
          <w:p w:rsidR="0068525B" w:rsidRPr="00BD4773" w:rsidRDefault="0068525B" w:rsidP="00BD4773">
            <w:pPr>
              <w:rPr>
                <w:rFonts w:cstheme="minorHAnsi"/>
                <w:b w:val="0"/>
              </w:rPr>
            </w:pPr>
            <w:r w:rsidRPr="00BD4773">
              <w:rPr>
                <w:rFonts w:cstheme="minorHAnsi"/>
                <w:b w:val="0"/>
              </w:rPr>
              <w:t>Number of reports prepared on implementation of Sector Strategy</w:t>
            </w:r>
          </w:p>
        </w:tc>
        <w:tc>
          <w:tcPr>
            <w:tcW w:w="3685" w:type="dxa"/>
            <w:tcBorders>
              <w:top w:val="single" w:sz="4" w:space="0" w:color="000000"/>
              <w:left w:val="single" w:sz="4" w:space="0" w:color="000000"/>
              <w:bottom w:val="single" w:sz="4" w:space="0" w:color="000000"/>
              <w:right w:val="single" w:sz="4" w:space="0" w:color="000000"/>
            </w:tcBorders>
            <w:noWrap/>
            <w:hideMark/>
          </w:tcPr>
          <w:p w:rsidR="0068525B" w:rsidRPr="00BD4773" w:rsidRDefault="0068525B" w:rsidP="00BD4773">
            <w:pPr>
              <w:cnfStyle w:val="000000000000"/>
              <w:rPr>
                <w:rFonts w:cstheme="minorHAnsi"/>
              </w:rPr>
            </w:pPr>
            <w:r w:rsidRPr="00BD4773">
              <w:rPr>
                <w:rFonts w:cstheme="minorHAnsi"/>
              </w:rPr>
              <w:t>Number of reports prepared on implementation of Sector Strategy</w:t>
            </w:r>
          </w:p>
        </w:tc>
        <w:tc>
          <w:tcPr>
            <w:tcW w:w="2126" w:type="dxa"/>
            <w:tcBorders>
              <w:top w:val="single" w:sz="4" w:space="0" w:color="000000"/>
              <w:left w:val="single" w:sz="4" w:space="0" w:color="000000"/>
              <w:bottom w:val="single" w:sz="4" w:space="0" w:color="000000"/>
              <w:right w:val="single" w:sz="4" w:space="0" w:color="000000"/>
            </w:tcBorders>
          </w:tcPr>
          <w:p w:rsidR="0068525B" w:rsidRPr="00BD4773" w:rsidRDefault="0068525B" w:rsidP="00BD4773">
            <w:pPr>
              <w:cnfStyle w:val="000000000000"/>
              <w:rPr>
                <w:rFonts w:cstheme="minorHAnsi"/>
              </w:rPr>
            </w:pPr>
            <w:r w:rsidRPr="00BD4773">
              <w:rPr>
                <w:rFonts w:cstheme="minorHAnsi"/>
              </w:rPr>
              <w:t>Quarterly Targets</w:t>
            </w:r>
          </w:p>
        </w:tc>
      </w:tr>
      <w:tr w:rsidR="0068525B" w:rsidRPr="00BD4773" w:rsidTr="00F34380">
        <w:trPr>
          <w:trHeight w:val="384"/>
          <w:jc w:val="center"/>
        </w:trPr>
        <w:tc>
          <w:tcPr>
            <w:cnfStyle w:val="001000000000"/>
            <w:tcW w:w="4098" w:type="dxa"/>
            <w:tcBorders>
              <w:top w:val="single" w:sz="4" w:space="0" w:color="000000"/>
              <w:left w:val="single" w:sz="4" w:space="0" w:color="000000"/>
              <w:bottom w:val="single" w:sz="4" w:space="0" w:color="000000"/>
              <w:right w:val="single" w:sz="4" w:space="0" w:color="000000"/>
            </w:tcBorders>
          </w:tcPr>
          <w:p w:rsidR="0068525B" w:rsidRPr="00D05326" w:rsidRDefault="0068525B" w:rsidP="00BD4773">
            <w:pPr>
              <w:rPr>
                <w:rFonts w:cstheme="minorHAnsi"/>
                <w:b w:val="0"/>
                <w:color w:val="A29A4E" w:themeColor="accent5" w:themeShade="BF"/>
              </w:rPr>
            </w:pPr>
            <w:r w:rsidRPr="00D05326">
              <w:rPr>
                <w:rFonts w:cstheme="minorHAnsi"/>
                <w:b w:val="0"/>
                <w:color w:val="A29A4E" w:themeColor="accent5" w:themeShade="BF"/>
              </w:rPr>
              <w:t>(new indicator)</w:t>
            </w:r>
          </w:p>
        </w:tc>
        <w:tc>
          <w:tcPr>
            <w:tcW w:w="3685" w:type="dxa"/>
            <w:tcBorders>
              <w:top w:val="single" w:sz="4" w:space="0" w:color="000000"/>
              <w:left w:val="single" w:sz="4" w:space="0" w:color="000000"/>
              <w:bottom w:val="single" w:sz="4" w:space="0" w:color="000000"/>
              <w:right w:val="single" w:sz="4" w:space="0" w:color="000000"/>
            </w:tcBorders>
            <w:noWrap/>
          </w:tcPr>
          <w:p w:rsidR="0068525B" w:rsidRPr="00BD4773" w:rsidRDefault="0068525B" w:rsidP="00BD4773">
            <w:pPr>
              <w:cnfStyle w:val="000000000000"/>
              <w:rPr>
                <w:rFonts w:cstheme="minorHAnsi"/>
              </w:rPr>
            </w:pPr>
            <w:r w:rsidRPr="00BD4773">
              <w:rPr>
                <w:rFonts w:cstheme="minorHAnsi"/>
              </w:rPr>
              <w:t>Number of annual parliamentary frameworks adopted</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525B" w:rsidRPr="00BD4773" w:rsidRDefault="0068525B" w:rsidP="00BD4773">
            <w:pPr>
              <w:cnfStyle w:val="000000000000"/>
              <w:rPr>
                <w:rFonts w:cstheme="minorHAnsi"/>
              </w:rPr>
            </w:pPr>
            <w:r w:rsidRPr="00BD4773">
              <w:rPr>
                <w:rFonts w:cstheme="minorHAnsi"/>
              </w:rPr>
              <w:t>(3rd) Quarter Target</w:t>
            </w:r>
          </w:p>
        </w:tc>
      </w:tr>
      <w:tr w:rsidR="0068525B" w:rsidRPr="00BD4773" w:rsidTr="00F34380">
        <w:trPr>
          <w:trHeight w:val="384"/>
          <w:jc w:val="center"/>
        </w:trPr>
        <w:tc>
          <w:tcPr>
            <w:cnfStyle w:val="001000000000"/>
            <w:tcW w:w="4098" w:type="dxa"/>
            <w:tcBorders>
              <w:top w:val="single" w:sz="4" w:space="0" w:color="000000"/>
              <w:left w:val="single" w:sz="4" w:space="0" w:color="000000"/>
              <w:bottom w:val="single" w:sz="4" w:space="0" w:color="000000"/>
              <w:right w:val="single" w:sz="4" w:space="0" w:color="000000"/>
            </w:tcBorders>
          </w:tcPr>
          <w:p w:rsidR="0068525B" w:rsidRPr="00D05326" w:rsidRDefault="0068525B" w:rsidP="00BD4773">
            <w:pPr>
              <w:rPr>
                <w:rFonts w:cstheme="minorHAnsi"/>
                <w:b w:val="0"/>
                <w:color w:val="A29A4E" w:themeColor="accent5" w:themeShade="BF"/>
              </w:rPr>
            </w:pPr>
            <w:r w:rsidRPr="00D05326">
              <w:rPr>
                <w:rFonts w:cstheme="minorHAnsi"/>
                <w:b w:val="0"/>
                <w:color w:val="A29A4E" w:themeColor="accent5" w:themeShade="BF"/>
              </w:rPr>
              <w:t>(new indicator)</w:t>
            </w:r>
          </w:p>
        </w:tc>
        <w:tc>
          <w:tcPr>
            <w:tcW w:w="3685" w:type="dxa"/>
            <w:tcBorders>
              <w:top w:val="single" w:sz="4" w:space="0" w:color="000000"/>
              <w:left w:val="single" w:sz="4" w:space="0" w:color="000000"/>
              <w:bottom w:val="single" w:sz="4" w:space="0" w:color="000000"/>
              <w:right w:val="single" w:sz="4" w:space="0" w:color="000000"/>
            </w:tcBorders>
            <w:noWrap/>
          </w:tcPr>
          <w:p w:rsidR="0068525B" w:rsidRPr="00BD4773" w:rsidRDefault="0068525B" w:rsidP="00BD4773">
            <w:pPr>
              <w:cnfStyle w:val="000000000000"/>
              <w:rPr>
                <w:rFonts w:cstheme="minorHAnsi"/>
              </w:rPr>
            </w:pPr>
            <w:r w:rsidRPr="00BD4773">
              <w:rPr>
                <w:rFonts w:cstheme="minorHAnsi"/>
              </w:rPr>
              <w:t>Number of NA programmes adopted</w:t>
            </w:r>
          </w:p>
        </w:tc>
        <w:tc>
          <w:tcPr>
            <w:tcW w:w="2126" w:type="dxa"/>
            <w:tcBorders>
              <w:top w:val="single" w:sz="4" w:space="0" w:color="000000"/>
              <w:left w:val="single" w:sz="4" w:space="0" w:color="000000"/>
              <w:bottom w:val="single" w:sz="4" w:space="0" w:color="000000"/>
              <w:right w:val="single" w:sz="4" w:space="0" w:color="000000"/>
            </w:tcBorders>
          </w:tcPr>
          <w:p w:rsidR="0068525B" w:rsidRPr="00BD4773" w:rsidRDefault="0068525B" w:rsidP="00BD4773">
            <w:pPr>
              <w:cnfStyle w:val="000000000000"/>
              <w:rPr>
                <w:rFonts w:cstheme="minorHAnsi"/>
              </w:rPr>
            </w:pPr>
            <w:r w:rsidRPr="00BD4773">
              <w:rPr>
                <w:rFonts w:cstheme="minorHAnsi"/>
              </w:rPr>
              <w:t>Quarterly Targets</w:t>
            </w:r>
          </w:p>
        </w:tc>
      </w:tr>
      <w:tr w:rsidR="0068525B" w:rsidRPr="00BD4773" w:rsidTr="00F34380">
        <w:trPr>
          <w:trHeight w:val="384"/>
          <w:jc w:val="center"/>
        </w:trPr>
        <w:tc>
          <w:tcPr>
            <w:cnfStyle w:val="001000000000"/>
            <w:tcW w:w="4098" w:type="dxa"/>
            <w:tcBorders>
              <w:top w:val="single" w:sz="4" w:space="0" w:color="000000"/>
              <w:left w:val="single" w:sz="4" w:space="0" w:color="000000"/>
              <w:bottom w:val="single" w:sz="4" w:space="0" w:color="000000"/>
              <w:right w:val="single" w:sz="4" w:space="0" w:color="000000"/>
            </w:tcBorders>
          </w:tcPr>
          <w:p w:rsidR="0068525B" w:rsidRPr="00D05326" w:rsidRDefault="0068525B" w:rsidP="00BD4773">
            <w:pPr>
              <w:rPr>
                <w:rFonts w:cstheme="minorHAnsi"/>
                <w:b w:val="0"/>
                <w:color w:val="A29A4E" w:themeColor="accent5" w:themeShade="BF"/>
              </w:rPr>
            </w:pPr>
            <w:r w:rsidRPr="00D05326">
              <w:rPr>
                <w:rFonts w:cstheme="minorHAnsi"/>
                <w:b w:val="0"/>
                <w:color w:val="A29A4E" w:themeColor="accent5" w:themeShade="BF"/>
              </w:rPr>
              <w:t>(new indicator)</w:t>
            </w:r>
          </w:p>
        </w:tc>
        <w:tc>
          <w:tcPr>
            <w:tcW w:w="3685" w:type="dxa"/>
            <w:tcBorders>
              <w:top w:val="single" w:sz="4" w:space="0" w:color="000000"/>
              <w:left w:val="single" w:sz="4" w:space="0" w:color="000000"/>
              <w:bottom w:val="single" w:sz="4" w:space="0" w:color="000000"/>
              <w:right w:val="single" w:sz="4" w:space="0" w:color="000000"/>
            </w:tcBorders>
            <w:noWrap/>
          </w:tcPr>
          <w:p w:rsidR="0068525B" w:rsidRPr="00BD4773" w:rsidRDefault="0068525B" w:rsidP="00BD4773">
            <w:pPr>
              <w:cnfStyle w:val="000000000000"/>
              <w:rPr>
                <w:rFonts w:cstheme="minorHAnsi"/>
              </w:rPr>
            </w:pPr>
            <w:r w:rsidRPr="00BD4773">
              <w:rPr>
                <w:rFonts w:cstheme="minorHAnsi"/>
              </w:rPr>
              <w:t>Number of NCOP programmes adopted</w:t>
            </w:r>
          </w:p>
        </w:tc>
        <w:tc>
          <w:tcPr>
            <w:tcW w:w="2126" w:type="dxa"/>
            <w:tcBorders>
              <w:top w:val="single" w:sz="4" w:space="0" w:color="000000"/>
              <w:left w:val="single" w:sz="4" w:space="0" w:color="000000"/>
              <w:bottom w:val="single" w:sz="4" w:space="0" w:color="000000"/>
              <w:right w:val="single" w:sz="4" w:space="0" w:color="000000"/>
            </w:tcBorders>
          </w:tcPr>
          <w:p w:rsidR="0068525B" w:rsidRPr="00BD4773" w:rsidRDefault="0068525B" w:rsidP="00BD4773">
            <w:pPr>
              <w:cnfStyle w:val="000000000000"/>
              <w:rPr>
                <w:rFonts w:cstheme="minorHAnsi"/>
              </w:rPr>
            </w:pPr>
            <w:r w:rsidRPr="00BD4773">
              <w:rPr>
                <w:rFonts w:cstheme="minorHAnsi"/>
              </w:rPr>
              <w:t>Quarterly Targets</w:t>
            </w:r>
          </w:p>
        </w:tc>
      </w:tr>
      <w:tr w:rsidR="0068525B" w:rsidRPr="00BD4773" w:rsidTr="00F34380">
        <w:trPr>
          <w:trHeight w:val="390"/>
          <w:jc w:val="center"/>
        </w:trPr>
        <w:tc>
          <w:tcPr>
            <w:cnfStyle w:val="001000000000"/>
            <w:tcW w:w="4098" w:type="dxa"/>
            <w:tcBorders>
              <w:top w:val="single" w:sz="4" w:space="0" w:color="000000"/>
              <w:left w:val="single" w:sz="4" w:space="0" w:color="000000"/>
              <w:bottom w:val="single" w:sz="4" w:space="0" w:color="000000"/>
              <w:right w:val="single" w:sz="4" w:space="0" w:color="000000"/>
            </w:tcBorders>
          </w:tcPr>
          <w:p w:rsidR="0068525B" w:rsidRPr="00BD4773" w:rsidRDefault="0068525B" w:rsidP="00BD4773">
            <w:pPr>
              <w:rPr>
                <w:rFonts w:cstheme="minorHAnsi"/>
                <w:b w:val="0"/>
              </w:rPr>
            </w:pPr>
            <w:r w:rsidRPr="00BD4773">
              <w:rPr>
                <w:rFonts w:cstheme="minorHAnsi"/>
                <w:b w:val="0"/>
              </w:rPr>
              <w:t>% of information available as per Service Charter levels</w:t>
            </w:r>
          </w:p>
        </w:tc>
        <w:tc>
          <w:tcPr>
            <w:tcW w:w="3685" w:type="dxa"/>
            <w:tcBorders>
              <w:top w:val="single" w:sz="4" w:space="0" w:color="000000"/>
              <w:left w:val="single" w:sz="4" w:space="0" w:color="000000"/>
              <w:bottom w:val="single" w:sz="4" w:space="0" w:color="000000"/>
              <w:right w:val="single" w:sz="4" w:space="0" w:color="000000"/>
            </w:tcBorders>
            <w:noWrap/>
            <w:hideMark/>
          </w:tcPr>
          <w:p w:rsidR="0068525B" w:rsidRPr="00BD4773" w:rsidRDefault="0068525B" w:rsidP="00BD4773">
            <w:pPr>
              <w:cnfStyle w:val="000000000000"/>
              <w:rPr>
                <w:rFonts w:cstheme="minorHAnsi"/>
              </w:rPr>
            </w:pPr>
            <w:r w:rsidRPr="00BD4773">
              <w:rPr>
                <w:rFonts w:cstheme="minorHAnsi"/>
              </w:rPr>
              <w:t>% of information available as per Service Charter levels</w:t>
            </w:r>
          </w:p>
        </w:tc>
        <w:tc>
          <w:tcPr>
            <w:tcW w:w="2126" w:type="dxa"/>
            <w:tcBorders>
              <w:top w:val="single" w:sz="4" w:space="0" w:color="000000"/>
              <w:left w:val="single" w:sz="4" w:space="0" w:color="000000"/>
              <w:bottom w:val="single" w:sz="4" w:space="0" w:color="000000"/>
              <w:right w:val="single" w:sz="4" w:space="0" w:color="000000"/>
            </w:tcBorders>
          </w:tcPr>
          <w:p w:rsidR="0068525B" w:rsidRPr="00BD4773" w:rsidRDefault="0068525B" w:rsidP="00BD4773">
            <w:pPr>
              <w:cnfStyle w:val="000000000000"/>
              <w:rPr>
                <w:rFonts w:cstheme="minorHAnsi"/>
              </w:rPr>
            </w:pPr>
            <w:r w:rsidRPr="00BD4773">
              <w:rPr>
                <w:rFonts w:cstheme="minorHAnsi"/>
              </w:rPr>
              <w:t>Quarterly Targets</w:t>
            </w:r>
          </w:p>
        </w:tc>
      </w:tr>
      <w:tr w:rsidR="00BD4773" w:rsidRPr="00BD4773" w:rsidTr="00F34380">
        <w:trPr>
          <w:trHeight w:val="395"/>
          <w:jc w:val="center"/>
        </w:trPr>
        <w:tc>
          <w:tcPr>
            <w:cnfStyle w:val="001000000000"/>
            <w:tcW w:w="4098" w:type="dxa"/>
            <w:tcBorders>
              <w:top w:val="single" w:sz="4" w:space="0" w:color="000000"/>
              <w:left w:val="single" w:sz="4" w:space="0" w:color="000000"/>
              <w:bottom w:val="single" w:sz="4" w:space="0" w:color="000000"/>
              <w:right w:val="single" w:sz="4" w:space="0" w:color="000000"/>
            </w:tcBorders>
          </w:tcPr>
          <w:p w:rsidR="00BD4773" w:rsidRPr="00BD4773" w:rsidRDefault="00BD4773" w:rsidP="00BD4773">
            <w:pPr>
              <w:rPr>
                <w:rFonts w:cstheme="minorHAnsi"/>
                <w:b w:val="0"/>
              </w:rPr>
            </w:pPr>
            <w:r w:rsidRPr="00BD4773">
              <w:rPr>
                <w:rFonts w:cstheme="minorHAnsi"/>
                <w:b w:val="0"/>
              </w:rPr>
              <w:t>% Population having access to participate in parliamentary processes</w:t>
            </w:r>
          </w:p>
        </w:tc>
        <w:tc>
          <w:tcPr>
            <w:tcW w:w="3685" w:type="dxa"/>
            <w:tcBorders>
              <w:top w:val="single" w:sz="4" w:space="0" w:color="000000"/>
              <w:left w:val="single" w:sz="4" w:space="0" w:color="000000"/>
              <w:bottom w:val="single" w:sz="4" w:space="0" w:color="000000"/>
              <w:right w:val="single" w:sz="4" w:space="0" w:color="000000"/>
            </w:tcBorders>
            <w:noWrap/>
            <w:hideMark/>
          </w:tcPr>
          <w:p w:rsidR="00BD4773" w:rsidRPr="00BD4773" w:rsidRDefault="00BD4773" w:rsidP="00BD4773">
            <w:pPr>
              <w:cnfStyle w:val="000000000000"/>
              <w:rPr>
                <w:rFonts w:cstheme="minorHAnsi"/>
              </w:rPr>
            </w:pPr>
            <w:r w:rsidRPr="00BD4773">
              <w:rPr>
                <w:rFonts w:cstheme="minorHAnsi"/>
              </w:rPr>
              <w:t>% Population having access to participate in parliamentary processes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D4773" w:rsidRPr="00BD4773" w:rsidRDefault="00BD4773" w:rsidP="00BD4773">
            <w:pPr>
              <w:cnfStyle w:val="000000000000"/>
              <w:rPr>
                <w:rFonts w:cstheme="minorHAnsi"/>
              </w:rPr>
            </w:pPr>
            <w:r>
              <w:rPr>
                <w:rFonts w:cstheme="minorHAnsi"/>
              </w:rPr>
              <w:t>Annual</w:t>
            </w:r>
            <w:r w:rsidRPr="00DD4818">
              <w:rPr>
                <w:rFonts w:cstheme="minorHAnsi"/>
              </w:rPr>
              <w:t xml:space="preserve"> Targets</w:t>
            </w:r>
          </w:p>
        </w:tc>
      </w:tr>
      <w:tr w:rsidR="00BD4773" w:rsidRPr="00BD4773" w:rsidTr="00F34380">
        <w:trPr>
          <w:trHeight w:val="381"/>
          <w:jc w:val="center"/>
        </w:trPr>
        <w:tc>
          <w:tcPr>
            <w:cnfStyle w:val="001000000000"/>
            <w:tcW w:w="4098" w:type="dxa"/>
            <w:tcBorders>
              <w:top w:val="single" w:sz="4" w:space="0" w:color="000000"/>
              <w:left w:val="single" w:sz="4" w:space="0" w:color="000000"/>
              <w:bottom w:val="single" w:sz="4" w:space="0" w:color="000000"/>
              <w:right w:val="single" w:sz="4" w:space="0" w:color="000000"/>
            </w:tcBorders>
          </w:tcPr>
          <w:p w:rsidR="00BD4773" w:rsidRPr="00BD4773" w:rsidRDefault="00BD4773" w:rsidP="00BD4773">
            <w:pPr>
              <w:rPr>
                <w:rFonts w:cstheme="minorHAnsi"/>
                <w:b w:val="0"/>
              </w:rPr>
            </w:pPr>
            <w:r w:rsidRPr="00BD4773">
              <w:rPr>
                <w:rFonts w:cstheme="minorHAnsi"/>
                <w:b w:val="0"/>
              </w:rPr>
              <w:t>% Population participating in parliamentary processes</w:t>
            </w:r>
          </w:p>
        </w:tc>
        <w:tc>
          <w:tcPr>
            <w:tcW w:w="3685" w:type="dxa"/>
            <w:tcBorders>
              <w:top w:val="single" w:sz="4" w:space="0" w:color="000000"/>
              <w:left w:val="single" w:sz="4" w:space="0" w:color="000000"/>
              <w:bottom w:val="single" w:sz="4" w:space="0" w:color="000000"/>
              <w:right w:val="single" w:sz="4" w:space="0" w:color="000000"/>
            </w:tcBorders>
            <w:noWrap/>
          </w:tcPr>
          <w:p w:rsidR="00BD4773" w:rsidRPr="00BD4773" w:rsidRDefault="00BD4773" w:rsidP="00BD4773">
            <w:pPr>
              <w:cnfStyle w:val="000000000000"/>
              <w:rPr>
                <w:rFonts w:cstheme="minorHAnsi"/>
              </w:rPr>
            </w:pPr>
            <w:r w:rsidRPr="00BD4773">
              <w:rPr>
                <w:rFonts w:cstheme="minorHAnsi"/>
              </w:rPr>
              <w:t>% Population participating in parliamentary processes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D4773" w:rsidRPr="00BD4773" w:rsidRDefault="00BD4773" w:rsidP="00BD4773">
            <w:pPr>
              <w:cnfStyle w:val="000000000000"/>
              <w:rPr>
                <w:rFonts w:cstheme="minorHAnsi"/>
              </w:rPr>
            </w:pPr>
            <w:r>
              <w:rPr>
                <w:rFonts w:cstheme="minorHAnsi"/>
              </w:rPr>
              <w:t>Annual</w:t>
            </w:r>
            <w:r w:rsidRPr="00DD4818">
              <w:rPr>
                <w:rFonts w:cstheme="minorHAnsi"/>
              </w:rPr>
              <w:t xml:space="preserve"> Targets</w:t>
            </w:r>
          </w:p>
        </w:tc>
      </w:tr>
      <w:tr w:rsidR="00821736" w:rsidRPr="00BD4773" w:rsidTr="00F34380">
        <w:trPr>
          <w:trHeight w:val="381"/>
          <w:jc w:val="center"/>
        </w:trPr>
        <w:tc>
          <w:tcPr>
            <w:cnfStyle w:val="001000000000"/>
            <w:tcW w:w="4098" w:type="dxa"/>
            <w:tcBorders>
              <w:top w:val="single" w:sz="4" w:space="0" w:color="000000"/>
              <w:left w:val="single" w:sz="4" w:space="0" w:color="000000"/>
              <w:bottom w:val="single" w:sz="4" w:space="0" w:color="000000"/>
              <w:right w:val="single" w:sz="4" w:space="0" w:color="000000"/>
            </w:tcBorders>
          </w:tcPr>
          <w:p w:rsidR="00821736" w:rsidRPr="00BD4773" w:rsidRDefault="00821736" w:rsidP="00BD4773">
            <w:pPr>
              <w:rPr>
                <w:rFonts w:cstheme="minorHAnsi"/>
                <w:b w:val="0"/>
              </w:rPr>
            </w:pPr>
            <w:r w:rsidRPr="00BD4773">
              <w:rPr>
                <w:rFonts w:cstheme="minorHAnsi"/>
                <w:b w:val="0"/>
              </w:rPr>
              <w:t>Client satisfaction level (% of Members satisfied with service levels)</w:t>
            </w:r>
          </w:p>
        </w:tc>
        <w:tc>
          <w:tcPr>
            <w:tcW w:w="3685" w:type="dxa"/>
            <w:tcBorders>
              <w:top w:val="single" w:sz="4" w:space="0" w:color="000000"/>
              <w:left w:val="single" w:sz="4" w:space="0" w:color="000000"/>
              <w:bottom w:val="single" w:sz="4" w:space="0" w:color="000000"/>
              <w:right w:val="single" w:sz="4" w:space="0" w:color="000000"/>
            </w:tcBorders>
            <w:noWrap/>
          </w:tcPr>
          <w:p w:rsidR="00821736" w:rsidRPr="00BD4773" w:rsidRDefault="00BD4773" w:rsidP="00BD4773">
            <w:pPr>
              <w:cnfStyle w:val="000000000000"/>
              <w:rPr>
                <w:rFonts w:cstheme="minorHAnsi"/>
              </w:rPr>
            </w:pPr>
            <w:r w:rsidRPr="00D05326">
              <w:rPr>
                <w:rFonts w:cstheme="minorHAnsi"/>
                <w:color w:val="C00000"/>
              </w:rPr>
              <w:t>Not Measured</w:t>
            </w:r>
          </w:p>
        </w:tc>
        <w:tc>
          <w:tcPr>
            <w:tcW w:w="2126" w:type="dxa"/>
            <w:tcBorders>
              <w:top w:val="single" w:sz="4" w:space="0" w:color="000000"/>
              <w:left w:val="single" w:sz="4" w:space="0" w:color="000000"/>
              <w:bottom w:val="single" w:sz="4" w:space="0" w:color="000000"/>
              <w:right w:val="single" w:sz="4" w:space="0" w:color="000000"/>
            </w:tcBorders>
          </w:tcPr>
          <w:p w:rsidR="00821736" w:rsidRPr="00BD4773" w:rsidRDefault="00BD4773" w:rsidP="00BD4773">
            <w:pPr>
              <w:cnfStyle w:val="000000000000"/>
              <w:rPr>
                <w:rFonts w:cstheme="minorHAnsi"/>
              </w:rPr>
            </w:pPr>
            <w:r w:rsidRPr="00BD4773">
              <w:rPr>
                <w:rFonts w:cstheme="minorHAnsi"/>
              </w:rPr>
              <w:t>N/A</w:t>
            </w:r>
          </w:p>
        </w:tc>
      </w:tr>
      <w:tr w:rsidR="00BD4773" w:rsidRPr="00BD4773" w:rsidTr="00F34380">
        <w:trPr>
          <w:trHeight w:val="393"/>
          <w:jc w:val="center"/>
        </w:trPr>
        <w:tc>
          <w:tcPr>
            <w:cnfStyle w:val="001000000000"/>
            <w:tcW w:w="4098" w:type="dxa"/>
            <w:tcBorders>
              <w:top w:val="single" w:sz="4" w:space="0" w:color="000000"/>
              <w:left w:val="single" w:sz="4" w:space="0" w:color="000000"/>
              <w:bottom w:val="single" w:sz="4" w:space="0" w:color="000000"/>
              <w:right w:val="single" w:sz="4" w:space="0" w:color="000000"/>
            </w:tcBorders>
          </w:tcPr>
          <w:p w:rsidR="00BD4773" w:rsidRPr="00BD4773" w:rsidRDefault="00BD4773" w:rsidP="00BD4773">
            <w:pPr>
              <w:rPr>
                <w:rFonts w:cstheme="minorHAnsi"/>
                <w:b w:val="0"/>
              </w:rPr>
            </w:pPr>
            <w:r w:rsidRPr="00BD4773">
              <w:rPr>
                <w:rFonts w:cstheme="minorHAnsi"/>
                <w:b w:val="0"/>
              </w:rPr>
              <w:t>% of population who are aware of the business of Parliament</w:t>
            </w:r>
          </w:p>
        </w:tc>
        <w:tc>
          <w:tcPr>
            <w:tcW w:w="3685" w:type="dxa"/>
            <w:tcBorders>
              <w:top w:val="single" w:sz="4" w:space="0" w:color="000000"/>
              <w:left w:val="single" w:sz="4" w:space="0" w:color="000000"/>
              <w:bottom w:val="single" w:sz="4" w:space="0" w:color="000000"/>
              <w:right w:val="single" w:sz="4" w:space="0" w:color="000000"/>
            </w:tcBorders>
            <w:noWrap/>
            <w:hideMark/>
          </w:tcPr>
          <w:p w:rsidR="00BD4773" w:rsidRPr="00BD4773" w:rsidRDefault="00BD4773" w:rsidP="00BD4773">
            <w:pPr>
              <w:cnfStyle w:val="000000000000"/>
              <w:rPr>
                <w:rFonts w:cstheme="minorHAnsi"/>
              </w:rPr>
            </w:pPr>
            <w:r w:rsidRPr="00BD4773">
              <w:rPr>
                <w:rFonts w:cstheme="minorHAnsi"/>
              </w:rPr>
              <w:t>% of population who are aware of the business of Parliament</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D4773" w:rsidRPr="00BD4773" w:rsidRDefault="00BD4773" w:rsidP="00BD4773">
            <w:pPr>
              <w:cnfStyle w:val="000000000000"/>
              <w:rPr>
                <w:rFonts w:cstheme="minorHAnsi"/>
              </w:rPr>
            </w:pPr>
            <w:r w:rsidRPr="004A35FA">
              <w:rPr>
                <w:rFonts w:cstheme="minorHAnsi"/>
              </w:rPr>
              <w:t>Annual Targets</w:t>
            </w:r>
          </w:p>
        </w:tc>
      </w:tr>
      <w:tr w:rsidR="00BD4773" w:rsidRPr="00BD4773" w:rsidTr="00F34380">
        <w:trPr>
          <w:trHeight w:val="398"/>
          <w:jc w:val="center"/>
        </w:trPr>
        <w:tc>
          <w:tcPr>
            <w:cnfStyle w:val="001000000000"/>
            <w:tcW w:w="4098" w:type="dxa"/>
            <w:tcBorders>
              <w:top w:val="single" w:sz="4" w:space="0" w:color="000000"/>
              <w:left w:val="single" w:sz="4" w:space="0" w:color="000000"/>
              <w:bottom w:val="single" w:sz="4" w:space="0" w:color="000000"/>
              <w:right w:val="single" w:sz="4" w:space="0" w:color="000000"/>
            </w:tcBorders>
          </w:tcPr>
          <w:p w:rsidR="00BD4773" w:rsidRPr="00BD4773" w:rsidRDefault="00BD4773" w:rsidP="00BD4773">
            <w:pPr>
              <w:rPr>
                <w:rFonts w:cstheme="minorHAnsi"/>
                <w:b w:val="0"/>
              </w:rPr>
            </w:pPr>
            <w:r w:rsidRPr="00BD4773">
              <w:rPr>
                <w:rFonts w:cstheme="minorHAnsi"/>
                <w:b w:val="0"/>
              </w:rPr>
              <w:t>% of universal access</w:t>
            </w:r>
          </w:p>
        </w:tc>
        <w:tc>
          <w:tcPr>
            <w:tcW w:w="3685" w:type="dxa"/>
            <w:tcBorders>
              <w:top w:val="single" w:sz="4" w:space="0" w:color="000000"/>
              <w:left w:val="single" w:sz="4" w:space="0" w:color="000000"/>
              <w:bottom w:val="single" w:sz="4" w:space="0" w:color="000000"/>
              <w:right w:val="single" w:sz="4" w:space="0" w:color="000000"/>
            </w:tcBorders>
            <w:hideMark/>
          </w:tcPr>
          <w:p w:rsidR="00BD4773" w:rsidRPr="00BD4773" w:rsidRDefault="00BD4773" w:rsidP="00BD4773">
            <w:pPr>
              <w:cnfStyle w:val="000000000000"/>
              <w:rPr>
                <w:rFonts w:cstheme="minorHAnsi"/>
              </w:rPr>
            </w:pPr>
            <w:r w:rsidRPr="00BD4773">
              <w:rPr>
                <w:rFonts w:cstheme="minorHAnsi"/>
              </w:rPr>
              <w:t>% of universal access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D4773" w:rsidRPr="00BD4773" w:rsidRDefault="00BD4773" w:rsidP="00BD4773">
            <w:pPr>
              <w:cnfStyle w:val="000000000000"/>
              <w:rPr>
                <w:rFonts w:cstheme="minorHAnsi"/>
              </w:rPr>
            </w:pPr>
            <w:r w:rsidRPr="004A35FA">
              <w:rPr>
                <w:rFonts w:cstheme="minorHAnsi"/>
              </w:rPr>
              <w:t>Annual Targets</w:t>
            </w:r>
          </w:p>
        </w:tc>
      </w:tr>
      <w:tr w:rsidR="00BD4773" w:rsidRPr="00BD4773" w:rsidTr="00F34380">
        <w:trPr>
          <w:trHeight w:val="403"/>
          <w:jc w:val="center"/>
        </w:trPr>
        <w:tc>
          <w:tcPr>
            <w:cnfStyle w:val="001000000000"/>
            <w:tcW w:w="4098" w:type="dxa"/>
            <w:tcBorders>
              <w:top w:val="single" w:sz="4" w:space="0" w:color="000000"/>
              <w:left w:val="single" w:sz="4" w:space="0" w:color="000000"/>
              <w:bottom w:val="single" w:sz="4" w:space="0" w:color="000000"/>
              <w:right w:val="single" w:sz="4" w:space="0" w:color="000000"/>
            </w:tcBorders>
          </w:tcPr>
          <w:p w:rsidR="00BD4773" w:rsidRPr="00BD4773" w:rsidRDefault="00BD4773" w:rsidP="00BD4773">
            <w:pPr>
              <w:rPr>
                <w:rFonts w:cstheme="minorHAnsi"/>
                <w:b w:val="0"/>
              </w:rPr>
            </w:pPr>
            <w:r w:rsidRPr="00BD4773">
              <w:rPr>
                <w:rFonts w:cstheme="minorHAnsi"/>
                <w:b w:val="0"/>
              </w:rPr>
              <w:t>Client satisfaction level (% clients satisfied with service levels)</w:t>
            </w:r>
          </w:p>
        </w:tc>
        <w:tc>
          <w:tcPr>
            <w:tcW w:w="3685" w:type="dxa"/>
            <w:tcBorders>
              <w:top w:val="single" w:sz="4" w:space="0" w:color="000000"/>
              <w:left w:val="single" w:sz="4" w:space="0" w:color="000000"/>
              <w:bottom w:val="single" w:sz="4" w:space="0" w:color="000000"/>
              <w:right w:val="single" w:sz="4" w:space="0" w:color="000000"/>
            </w:tcBorders>
            <w:noWrap/>
            <w:hideMark/>
          </w:tcPr>
          <w:p w:rsidR="00BD4773" w:rsidRPr="00BD4773" w:rsidRDefault="00BD4773" w:rsidP="00BD4773">
            <w:pPr>
              <w:cnfStyle w:val="000000000000"/>
              <w:rPr>
                <w:rFonts w:cstheme="minorHAnsi"/>
              </w:rPr>
            </w:pPr>
            <w:r w:rsidRPr="00BD4773">
              <w:rPr>
                <w:rFonts w:cstheme="minorHAnsi"/>
              </w:rPr>
              <w:t>Client satisfaction level (% clients satisfied with service levels)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D4773" w:rsidRPr="00BD4773" w:rsidRDefault="00BD4773" w:rsidP="00BD4773">
            <w:pPr>
              <w:cnfStyle w:val="000000000000"/>
              <w:rPr>
                <w:rFonts w:cstheme="minorHAnsi"/>
              </w:rPr>
            </w:pPr>
            <w:r w:rsidRPr="004A35FA">
              <w:rPr>
                <w:rFonts w:cstheme="minorHAnsi"/>
              </w:rPr>
              <w:t>Annual Targets</w:t>
            </w:r>
          </w:p>
        </w:tc>
      </w:tr>
      <w:tr w:rsidR="00BD4773" w:rsidRPr="00BD4773" w:rsidTr="00F34380">
        <w:trPr>
          <w:trHeight w:val="369"/>
          <w:jc w:val="center"/>
        </w:trPr>
        <w:tc>
          <w:tcPr>
            <w:cnfStyle w:val="001000000000"/>
            <w:tcW w:w="4098" w:type="dxa"/>
            <w:tcBorders>
              <w:top w:val="single" w:sz="4" w:space="0" w:color="000000"/>
              <w:left w:val="single" w:sz="4" w:space="0" w:color="000000"/>
              <w:bottom w:val="single" w:sz="4" w:space="0" w:color="000000"/>
              <w:right w:val="single" w:sz="4" w:space="0" w:color="000000"/>
            </w:tcBorders>
          </w:tcPr>
          <w:p w:rsidR="00BD4773" w:rsidRPr="00BD4773" w:rsidRDefault="00BD4773" w:rsidP="00BD4773">
            <w:pPr>
              <w:rPr>
                <w:rFonts w:cstheme="minorHAnsi"/>
                <w:b w:val="0"/>
              </w:rPr>
            </w:pPr>
            <w:r w:rsidRPr="00BD4773">
              <w:rPr>
                <w:rFonts w:cstheme="minorHAnsi"/>
                <w:b w:val="0"/>
              </w:rPr>
              <w:t>% increase in talent management index</w:t>
            </w:r>
          </w:p>
        </w:tc>
        <w:tc>
          <w:tcPr>
            <w:tcW w:w="3685" w:type="dxa"/>
            <w:tcBorders>
              <w:top w:val="single" w:sz="4" w:space="0" w:color="000000"/>
              <w:left w:val="single" w:sz="4" w:space="0" w:color="000000"/>
              <w:bottom w:val="single" w:sz="4" w:space="0" w:color="000000"/>
              <w:right w:val="single" w:sz="4" w:space="0" w:color="000000"/>
            </w:tcBorders>
            <w:noWrap/>
            <w:hideMark/>
          </w:tcPr>
          <w:p w:rsidR="00BD4773" w:rsidRPr="00BD4773" w:rsidRDefault="00BD4773" w:rsidP="00BD4773">
            <w:pPr>
              <w:cnfStyle w:val="000000000000"/>
              <w:rPr>
                <w:rFonts w:cstheme="minorHAnsi"/>
              </w:rPr>
            </w:pPr>
            <w:r w:rsidRPr="00BD4773">
              <w:rPr>
                <w:rFonts w:cstheme="minorHAnsi"/>
              </w:rPr>
              <w:t>% increase in talent management index</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D4773" w:rsidRPr="00BD4773" w:rsidRDefault="00BD4773" w:rsidP="00BD4773">
            <w:pPr>
              <w:cnfStyle w:val="000000000000"/>
              <w:rPr>
                <w:rFonts w:cstheme="minorHAnsi"/>
              </w:rPr>
            </w:pPr>
            <w:r w:rsidRPr="004A35FA">
              <w:rPr>
                <w:rFonts w:cstheme="minorHAnsi"/>
              </w:rPr>
              <w:t>Annual Targets</w:t>
            </w:r>
          </w:p>
        </w:tc>
      </w:tr>
      <w:tr w:rsidR="00BD4773" w:rsidRPr="00BD4773" w:rsidTr="00F34380">
        <w:trPr>
          <w:trHeight w:val="369"/>
          <w:jc w:val="center"/>
        </w:trPr>
        <w:tc>
          <w:tcPr>
            <w:cnfStyle w:val="001000000000"/>
            <w:tcW w:w="4098" w:type="dxa"/>
            <w:tcBorders>
              <w:top w:val="single" w:sz="4" w:space="0" w:color="000000"/>
              <w:left w:val="single" w:sz="4" w:space="0" w:color="000000"/>
              <w:bottom w:val="single" w:sz="4" w:space="0" w:color="000000"/>
              <w:right w:val="single" w:sz="4" w:space="0" w:color="000000"/>
            </w:tcBorders>
          </w:tcPr>
          <w:p w:rsidR="00BD4773" w:rsidRPr="00BD4773" w:rsidRDefault="00BD4773" w:rsidP="00BD4773">
            <w:pPr>
              <w:rPr>
                <w:rFonts w:cstheme="minorHAnsi"/>
                <w:b w:val="0"/>
              </w:rPr>
            </w:pPr>
            <w:r w:rsidRPr="00BD4773">
              <w:rPr>
                <w:rFonts w:cstheme="minorHAnsi"/>
                <w:b w:val="0"/>
              </w:rPr>
              <w:t>Average number of days to reimburse Members</w:t>
            </w:r>
          </w:p>
        </w:tc>
        <w:tc>
          <w:tcPr>
            <w:tcW w:w="3685" w:type="dxa"/>
            <w:tcBorders>
              <w:top w:val="single" w:sz="4" w:space="0" w:color="000000"/>
              <w:left w:val="single" w:sz="4" w:space="0" w:color="000000"/>
              <w:bottom w:val="single" w:sz="4" w:space="0" w:color="000000"/>
              <w:right w:val="single" w:sz="4" w:space="0" w:color="000000"/>
            </w:tcBorders>
            <w:noWrap/>
          </w:tcPr>
          <w:p w:rsidR="00BD4773" w:rsidRPr="00D05326" w:rsidRDefault="00BD4773" w:rsidP="00BD4773">
            <w:pPr>
              <w:cnfStyle w:val="000000000000"/>
              <w:rPr>
                <w:rFonts w:cstheme="minorHAnsi"/>
                <w:color w:val="C00000"/>
              </w:rPr>
            </w:pPr>
            <w:r w:rsidRPr="00D05326">
              <w:rPr>
                <w:rFonts w:cstheme="minorHAnsi"/>
                <w:color w:val="C00000"/>
              </w:rPr>
              <w:t>Not Measured</w:t>
            </w:r>
          </w:p>
        </w:tc>
        <w:tc>
          <w:tcPr>
            <w:tcW w:w="2126" w:type="dxa"/>
            <w:tcBorders>
              <w:top w:val="single" w:sz="4" w:space="0" w:color="000000"/>
              <w:left w:val="single" w:sz="4" w:space="0" w:color="000000"/>
              <w:bottom w:val="single" w:sz="4" w:space="0" w:color="000000"/>
              <w:right w:val="single" w:sz="4" w:space="0" w:color="000000"/>
            </w:tcBorders>
          </w:tcPr>
          <w:p w:rsidR="00BD4773" w:rsidRPr="00BD4773" w:rsidRDefault="00BD4773" w:rsidP="00BD4773">
            <w:pPr>
              <w:cnfStyle w:val="000000000000"/>
              <w:rPr>
                <w:rFonts w:cstheme="minorHAnsi"/>
              </w:rPr>
            </w:pPr>
            <w:r>
              <w:rPr>
                <w:rFonts w:cstheme="minorHAnsi"/>
              </w:rPr>
              <w:t>N/A</w:t>
            </w:r>
          </w:p>
        </w:tc>
      </w:tr>
      <w:tr w:rsidR="00BD4773" w:rsidRPr="00BD4773" w:rsidTr="00F34380">
        <w:trPr>
          <w:trHeight w:val="369"/>
          <w:jc w:val="center"/>
        </w:trPr>
        <w:tc>
          <w:tcPr>
            <w:cnfStyle w:val="001000000000"/>
            <w:tcW w:w="4098" w:type="dxa"/>
            <w:tcBorders>
              <w:top w:val="single" w:sz="4" w:space="0" w:color="000000"/>
              <w:left w:val="single" w:sz="4" w:space="0" w:color="000000"/>
              <w:bottom w:val="single" w:sz="4" w:space="0" w:color="000000"/>
              <w:right w:val="single" w:sz="4" w:space="0" w:color="000000"/>
            </w:tcBorders>
          </w:tcPr>
          <w:p w:rsidR="00BD4773" w:rsidRPr="00BD4773" w:rsidRDefault="00BD4773" w:rsidP="00BD4773">
            <w:pPr>
              <w:rPr>
                <w:rFonts w:cstheme="minorHAnsi"/>
                <w:b w:val="0"/>
              </w:rPr>
            </w:pPr>
            <w:r w:rsidRPr="00BD4773">
              <w:rPr>
                <w:rFonts w:cstheme="minorHAnsi"/>
                <w:b w:val="0"/>
              </w:rPr>
              <w:t>% of payments made compliant to policy</w:t>
            </w:r>
          </w:p>
        </w:tc>
        <w:tc>
          <w:tcPr>
            <w:tcW w:w="3685" w:type="dxa"/>
            <w:tcBorders>
              <w:top w:val="single" w:sz="4" w:space="0" w:color="000000"/>
              <w:left w:val="single" w:sz="4" w:space="0" w:color="000000"/>
              <w:bottom w:val="single" w:sz="4" w:space="0" w:color="000000"/>
              <w:right w:val="single" w:sz="4" w:space="0" w:color="000000"/>
            </w:tcBorders>
            <w:noWrap/>
          </w:tcPr>
          <w:p w:rsidR="00BD4773" w:rsidRPr="00D05326" w:rsidRDefault="00BD4773" w:rsidP="00BD4773">
            <w:pPr>
              <w:cnfStyle w:val="000000000000"/>
              <w:rPr>
                <w:rFonts w:cstheme="minorHAnsi"/>
                <w:color w:val="C00000"/>
              </w:rPr>
            </w:pPr>
            <w:r w:rsidRPr="00D05326">
              <w:rPr>
                <w:rFonts w:cstheme="minorHAnsi"/>
                <w:color w:val="C00000"/>
              </w:rPr>
              <w:t>Not Measured</w:t>
            </w:r>
          </w:p>
        </w:tc>
        <w:tc>
          <w:tcPr>
            <w:tcW w:w="2126" w:type="dxa"/>
            <w:tcBorders>
              <w:top w:val="single" w:sz="4" w:space="0" w:color="000000"/>
              <w:left w:val="single" w:sz="4" w:space="0" w:color="000000"/>
              <w:bottom w:val="single" w:sz="4" w:space="0" w:color="000000"/>
              <w:right w:val="single" w:sz="4" w:space="0" w:color="000000"/>
            </w:tcBorders>
          </w:tcPr>
          <w:p w:rsidR="00BD4773" w:rsidRPr="00BD4773" w:rsidRDefault="00BD4773" w:rsidP="00BD4773">
            <w:pPr>
              <w:cnfStyle w:val="000000000000"/>
              <w:rPr>
                <w:rFonts w:cstheme="minorHAnsi"/>
              </w:rPr>
            </w:pPr>
            <w:r>
              <w:rPr>
                <w:rFonts w:cstheme="minorHAnsi"/>
              </w:rPr>
              <w:t>N/A</w:t>
            </w:r>
          </w:p>
        </w:tc>
      </w:tr>
    </w:tbl>
    <w:p w:rsidR="00D40947" w:rsidRPr="0068525B" w:rsidRDefault="00D40947" w:rsidP="00EE760C">
      <w:pPr>
        <w:rPr>
          <w:rFonts w:ascii="Calibri" w:hAnsi="Calibri" w:cs="Calibri"/>
        </w:rPr>
      </w:pPr>
    </w:p>
    <w:p w:rsidR="00D40947" w:rsidRPr="00F675F6" w:rsidRDefault="00D40947" w:rsidP="003B5E3A">
      <w:pPr>
        <w:pStyle w:val="Heading2"/>
        <w:numPr>
          <w:ilvl w:val="1"/>
          <w:numId w:val="5"/>
        </w:numPr>
        <w:rPr>
          <w:rFonts w:ascii="Calibri" w:hAnsi="Calibri" w:cs="Calibri"/>
          <w:sz w:val="36"/>
          <w:szCs w:val="36"/>
        </w:rPr>
      </w:pPr>
      <w:bookmarkStart w:id="6" w:name="_Toc54361030"/>
      <w:r w:rsidRPr="00F675F6">
        <w:rPr>
          <w:rFonts w:ascii="Calibri" w:hAnsi="Calibri" w:cs="Calibri"/>
          <w:sz w:val="36"/>
          <w:szCs w:val="36"/>
        </w:rPr>
        <w:lastRenderedPageBreak/>
        <w:t>PERFORMANCE &amp; BUDGET SUMMARY</w:t>
      </w:r>
      <w:bookmarkEnd w:id="6"/>
    </w:p>
    <w:p w:rsidR="0075107C" w:rsidRPr="0075107C" w:rsidRDefault="00F45733" w:rsidP="0075107C">
      <w:pPr>
        <w:rPr>
          <w:lang w:val="en-US"/>
        </w:rPr>
      </w:pPr>
      <w:r>
        <w:rPr>
          <w:noProof/>
          <w:lang w:eastAsia="en-ZA"/>
        </w:rPr>
        <w:pict>
          <v:shapetype id="_x0000_t202" coordsize="21600,21600" o:spt="202" path="m,l,21600r21600,l21600,xe">
            <v:stroke joinstyle="miter"/>
            <v:path gradientshapeok="t" o:connecttype="rect"/>
          </v:shapetype>
          <v:shape id="Text Box 29" o:spid="_x0000_s1027" type="#_x0000_t202" style="position:absolute;margin-left:894.1pt;margin-top:22.55pt;width:492.65pt;height:29.2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" fillcolor="white [3201]" strokecolor="#94a088 [3209]" strokeweight="1.25pt">
            <v:textbox>
              <w:txbxContent>
                <w:p w:rsidR="008B2C35" w:rsidRPr="009B1451" w:rsidRDefault="008B2C35" w:rsidP="00D40947">
                  <w:pPr>
                    <w:jc w:val="center"/>
                    <w:rPr>
                      <w:rFonts w:ascii="Arial" w:hAnsi="Arial" w:cs="Arial"/>
                      <w:b/>
                      <w:sz w:val="32"/>
                      <w:szCs w:val="32"/>
                    </w:rPr>
                  </w:pPr>
                  <w:r w:rsidRPr="002E3067">
                    <w:rPr>
                      <w:rFonts w:ascii="Arial" w:hAnsi="Arial" w:cs="Arial"/>
                      <w:b/>
                      <w:sz w:val="32"/>
                      <w:szCs w:val="32"/>
                    </w:rPr>
                    <w:t>MI</w:t>
                  </w:r>
                  <w:r>
                    <w:rPr>
                      <w:rFonts w:ascii="Arial" w:hAnsi="Arial" w:cs="Arial"/>
                      <w:b/>
                      <w:sz w:val="32"/>
                      <w:szCs w:val="32"/>
                    </w:rPr>
                    <w:t xml:space="preserve">D-YEAR PROGRESS REPORT 2020/21 </w:t>
                  </w:r>
                </w:p>
              </w:txbxContent>
            </v:textbox>
            <w10:wrap anchorx="margin"/>
          </v:shape>
        </w:pict>
      </w:r>
    </w:p>
    <w:p w:rsidR="00D40947" w:rsidRDefault="00D40947" w:rsidP="00EE760C">
      <w:pPr>
        <w:rPr>
          <w:rFonts w:ascii="Calibri" w:hAnsi="Calibri" w:cs="Calibri"/>
        </w:rPr>
      </w:pPr>
    </w:p>
    <w:p w:rsidR="00D40947" w:rsidRDefault="00D40947" w:rsidP="00EE760C">
      <w:pPr>
        <w:rPr>
          <w:rFonts w:ascii="Calibri" w:hAnsi="Calibri" w:cs="Calibri"/>
        </w:rPr>
      </w:pPr>
    </w:p>
    <w:tbl>
      <w:tblPr>
        <w:tblStyle w:val="GridTable5DarkAccent6"/>
        <w:tblW w:w="0" w:type="auto"/>
        <w:jc w:val="center"/>
        <w:tblLook w:val="04A0"/>
      </w:tblPr>
      <w:tblGrid>
        <w:gridCol w:w="3336"/>
        <w:gridCol w:w="3337"/>
      </w:tblGrid>
      <w:tr w:rsidR="00D40947" w:rsidTr="00D40947">
        <w:trPr>
          <w:cnfStyle w:val="100000000000"/>
          <w:trHeight w:val="431"/>
          <w:jc w:val="center"/>
        </w:trPr>
        <w:tc>
          <w:tcPr>
            <w:cnfStyle w:val="001000000000"/>
            <w:tcW w:w="3336" w:type="dxa"/>
          </w:tcPr>
          <w:p w:rsidR="00D40947" w:rsidRDefault="00D40947" w:rsidP="00A708ED">
            <w:pPr>
              <w:jc w:val="center"/>
              <w:rPr>
                <w:rFonts w:ascii="Calibri" w:hAnsi="Calibri" w:cs="Calibri"/>
                <w:sz w:val="24"/>
                <w:szCs w:val="24"/>
              </w:rPr>
            </w:pPr>
            <w:r>
              <w:rPr>
                <w:rFonts w:ascii="Calibri" w:hAnsi="Calibri" w:cs="Calibri"/>
                <w:sz w:val="24"/>
                <w:szCs w:val="24"/>
              </w:rPr>
              <w:t>Indicator Targets Met</w:t>
            </w:r>
          </w:p>
        </w:tc>
        <w:tc>
          <w:tcPr>
            <w:tcW w:w="3337" w:type="dxa"/>
          </w:tcPr>
          <w:p w:rsidR="00D40947" w:rsidRPr="00A67AA8" w:rsidRDefault="00D40947" w:rsidP="00A708ED">
            <w:pPr>
              <w:jc w:val="center"/>
              <w:cnfStyle w:val="100000000000"/>
              <w:rPr>
                <w:rFonts w:ascii="Calibri" w:hAnsi="Calibri" w:cs="Calibri"/>
                <w:sz w:val="24"/>
                <w:szCs w:val="24"/>
              </w:rPr>
            </w:pPr>
            <w:r>
              <w:rPr>
                <w:rFonts w:ascii="Calibri" w:hAnsi="Calibri" w:cs="Calibri"/>
                <w:sz w:val="24"/>
                <w:szCs w:val="24"/>
              </w:rPr>
              <w:t>5</w:t>
            </w:r>
          </w:p>
        </w:tc>
      </w:tr>
      <w:tr w:rsidR="00D40947" w:rsidTr="00D40947">
        <w:trPr>
          <w:cnfStyle w:val="000000100000"/>
          <w:trHeight w:val="454"/>
          <w:jc w:val="center"/>
        </w:trPr>
        <w:tc>
          <w:tcPr>
            <w:cnfStyle w:val="001000000000"/>
            <w:tcW w:w="3336" w:type="dxa"/>
          </w:tcPr>
          <w:p w:rsidR="00D40947" w:rsidRDefault="00D40947" w:rsidP="00A708ED">
            <w:pPr>
              <w:jc w:val="center"/>
              <w:rPr>
                <w:rFonts w:ascii="Calibri" w:hAnsi="Calibri" w:cs="Calibri"/>
                <w:sz w:val="24"/>
                <w:szCs w:val="24"/>
              </w:rPr>
            </w:pPr>
            <w:r>
              <w:rPr>
                <w:rFonts w:ascii="Calibri" w:hAnsi="Calibri" w:cs="Calibri"/>
                <w:sz w:val="24"/>
                <w:szCs w:val="24"/>
              </w:rPr>
              <w:t>Indicator Targets Not Met</w:t>
            </w:r>
          </w:p>
        </w:tc>
        <w:tc>
          <w:tcPr>
            <w:tcW w:w="3337" w:type="dxa"/>
          </w:tcPr>
          <w:p w:rsidR="00D40947" w:rsidRPr="00A67AA8" w:rsidRDefault="00D40947" w:rsidP="00A708ED">
            <w:pPr>
              <w:jc w:val="center"/>
              <w:cnfStyle w:val="000000100000"/>
              <w:rPr>
                <w:rFonts w:ascii="Calibri" w:hAnsi="Calibri" w:cs="Calibri"/>
                <w:b/>
                <w:sz w:val="24"/>
                <w:szCs w:val="24"/>
              </w:rPr>
            </w:pPr>
            <w:r>
              <w:rPr>
                <w:rFonts w:ascii="Calibri" w:hAnsi="Calibri" w:cs="Calibri"/>
                <w:b/>
                <w:sz w:val="24"/>
                <w:szCs w:val="24"/>
              </w:rPr>
              <w:t>2</w:t>
            </w:r>
          </w:p>
        </w:tc>
      </w:tr>
      <w:tr w:rsidR="00D40947" w:rsidTr="00D40947">
        <w:trPr>
          <w:trHeight w:val="431"/>
          <w:jc w:val="center"/>
        </w:trPr>
        <w:tc>
          <w:tcPr>
            <w:cnfStyle w:val="001000000000"/>
            <w:tcW w:w="3336" w:type="dxa"/>
          </w:tcPr>
          <w:p w:rsidR="00D40947" w:rsidRDefault="00D40947" w:rsidP="00A708ED">
            <w:pPr>
              <w:jc w:val="center"/>
              <w:rPr>
                <w:rFonts w:ascii="Calibri" w:hAnsi="Calibri" w:cs="Calibri"/>
                <w:sz w:val="24"/>
                <w:szCs w:val="24"/>
              </w:rPr>
            </w:pPr>
            <w:r>
              <w:rPr>
                <w:rFonts w:ascii="Calibri" w:hAnsi="Calibri" w:cs="Calibri"/>
                <w:sz w:val="24"/>
                <w:szCs w:val="24"/>
              </w:rPr>
              <w:t>Indicators Not Applicable</w:t>
            </w:r>
          </w:p>
        </w:tc>
        <w:tc>
          <w:tcPr>
            <w:tcW w:w="3337" w:type="dxa"/>
          </w:tcPr>
          <w:p w:rsidR="00D40947" w:rsidRPr="00A67AA8" w:rsidRDefault="00D40947" w:rsidP="00A708ED">
            <w:pPr>
              <w:jc w:val="center"/>
              <w:cnfStyle w:val="000000000000"/>
              <w:rPr>
                <w:rFonts w:ascii="Calibri" w:hAnsi="Calibri" w:cs="Calibri"/>
                <w:b/>
                <w:sz w:val="24"/>
                <w:szCs w:val="24"/>
              </w:rPr>
            </w:pPr>
            <w:r>
              <w:rPr>
                <w:rFonts w:ascii="Calibri" w:hAnsi="Calibri" w:cs="Calibri"/>
                <w:b/>
                <w:sz w:val="24"/>
                <w:szCs w:val="24"/>
              </w:rPr>
              <w:t>7</w:t>
            </w:r>
          </w:p>
        </w:tc>
      </w:tr>
    </w:tbl>
    <w:p w:rsidR="00D40947" w:rsidRDefault="00D40947" w:rsidP="00D40947">
      <w:pPr>
        <w:jc w:val="center"/>
        <w:rPr>
          <w:rFonts w:ascii="Calibri" w:hAnsi="Calibri" w:cs="Calibri"/>
        </w:rPr>
      </w:pPr>
      <w:r>
        <w:rPr>
          <w:noProof/>
          <w:lang w:eastAsia="en-ZA"/>
        </w:rPr>
        <w:drawing>
          <wp:inline distT="0" distB="0" distL="0" distR="0">
            <wp:extent cx="5216892" cy="2874946"/>
            <wp:effectExtent l="0" t="0" r="3175" b="19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GridTable1LightAccent2"/>
        <w:tblW w:w="9356" w:type="dxa"/>
        <w:jc w:val="center"/>
        <w:tblLayout w:type="fixed"/>
        <w:tblLook w:val="04A0"/>
      </w:tblPr>
      <w:tblGrid>
        <w:gridCol w:w="3372"/>
        <w:gridCol w:w="3372"/>
        <w:gridCol w:w="1620"/>
        <w:gridCol w:w="992"/>
      </w:tblGrid>
      <w:tr w:rsidR="00D40947" w:rsidRPr="002D5269" w:rsidTr="00D40947">
        <w:trPr>
          <w:cnfStyle w:val="100000000000"/>
          <w:trHeight w:val="444"/>
          <w:jc w:val="center"/>
        </w:trPr>
        <w:tc>
          <w:tcPr>
            <w:cnfStyle w:val="001000000000"/>
            <w:tcW w:w="8364" w:type="dxa"/>
            <w:gridSpan w:val="3"/>
            <w:tcBorders>
              <w:top w:val="single" w:sz="4" w:space="0" w:color="000000"/>
              <w:left w:val="single" w:sz="4" w:space="0" w:color="000000"/>
              <w:bottom w:val="single" w:sz="4" w:space="0" w:color="000000"/>
              <w:right w:val="single" w:sz="4" w:space="0" w:color="000000"/>
            </w:tcBorders>
            <w:noWrap/>
          </w:tcPr>
          <w:p w:rsidR="00D40947" w:rsidRPr="002D5269" w:rsidRDefault="00D40947" w:rsidP="00A708ED">
            <w:pPr>
              <w:jc w:val="center"/>
              <w:rPr>
                <w:rFonts w:cstheme="minorHAnsi"/>
              </w:rPr>
            </w:pPr>
            <w:r w:rsidRPr="002D5269">
              <w:rPr>
                <w:rFonts w:cstheme="minorHAnsi"/>
              </w:rPr>
              <w:t>PERFORMANC</w:t>
            </w:r>
            <w:r w:rsidR="00A708ED">
              <w:rPr>
                <w:rFonts w:cstheme="minorHAnsi"/>
              </w:rPr>
              <w:t>E</w:t>
            </w:r>
            <w:r w:rsidRPr="002D5269">
              <w:rPr>
                <w:rFonts w:cstheme="minorHAnsi"/>
              </w:rPr>
              <w:t xml:space="preserve"> BY INDICATOR</w:t>
            </w:r>
          </w:p>
        </w:tc>
        <w:tc>
          <w:tcPr>
            <w:tcW w:w="992" w:type="dxa"/>
            <w:tcBorders>
              <w:top w:val="single" w:sz="4" w:space="0" w:color="000000"/>
              <w:left w:val="single" w:sz="4" w:space="0" w:color="000000"/>
              <w:bottom w:val="single" w:sz="4" w:space="0" w:color="000000"/>
              <w:right w:val="single" w:sz="4" w:space="0" w:color="000000"/>
            </w:tcBorders>
          </w:tcPr>
          <w:p w:rsidR="00D40947" w:rsidRPr="002D5269" w:rsidRDefault="00D40947" w:rsidP="00A708ED">
            <w:pPr>
              <w:jc w:val="center"/>
              <w:cnfStyle w:val="100000000000"/>
              <w:rPr>
                <w:rFonts w:cstheme="minorHAnsi"/>
              </w:rPr>
            </w:pPr>
          </w:p>
        </w:tc>
      </w:tr>
      <w:tr w:rsidR="00D40947" w:rsidRPr="002D5269" w:rsidTr="00D40947">
        <w:trPr>
          <w:trHeight w:val="384"/>
          <w:jc w:val="center"/>
        </w:trPr>
        <w:tc>
          <w:tcPr>
            <w:cnfStyle w:val="001000000000"/>
            <w:tcW w:w="8364" w:type="dxa"/>
            <w:gridSpan w:val="3"/>
            <w:tcBorders>
              <w:top w:val="single" w:sz="4" w:space="0" w:color="000000"/>
              <w:left w:val="single" w:sz="4" w:space="0" w:color="000000"/>
              <w:bottom w:val="single" w:sz="4" w:space="0" w:color="000000"/>
              <w:right w:val="single" w:sz="4" w:space="0" w:color="000000"/>
            </w:tcBorders>
            <w:noWrap/>
          </w:tcPr>
          <w:p w:rsidR="00D40947" w:rsidRPr="002D5269" w:rsidRDefault="00D40947" w:rsidP="00A708ED">
            <w:pPr>
              <w:rPr>
                <w:rFonts w:cstheme="minorHAnsi"/>
              </w:rPr>
            </w:pPr>
            <w:r w:rsidRPr="002D5269">
              <w:rPr>
                <w:rFonts w:cstheme="minorHAnsi"/>
              </w:rPr>
              <w:t>% of legal and procedural provided within 7 days</w:t>
            </w:r>
          </w:p>
        </w:tc>
        <w:tc>
          <w:tcPr>
            <w:tcW w:w="992" w:type="dxa"/>
            <w:tcBorders>
              <w:top w:val="single" w:sz="4" w:space="0" w:color="000000"/>
              <w:left w:val="single" w:sz="4" w:space="0" w:color="000000"/>
              <w:bottom w:val="single" w:sz="4" w:space="0" w:color="000000"/>
              <w:right w:val="single" w:sz="4" w:space="0" w:color="000000"/>
            </w:tcBorders>
            <w:shd w:val="clear" w:color="auto" w:fill="FF0000"/>
            <w:noWrap/>
          </w:tcPr>
          <w:p w:rsidR="00D40947" w:rsidRPr="002D5269" w:rsidRDefault="00D40947" w:rsidP="00A708ED">
            <w:pPr>
              <w:cnfStyle w:val="000000000000"/>
              <w:rPr>
                <w:rFonts w:cstheme="minorHAnsi"/>
              </w:rPr>
            </w:pPr>
          </w:p>
        </w:tc>
      </w:tr>
      <w:tr w:rsidR="00D40947" w:rsidRPr="002D5269" w:rsidTr="00D40947">
        <w:trPr>
          <w:trHeight w:val="361"/>
          <w:jc w:val="center"/>
        </w:trPr>
        <w:tc>
          <w:tcPr>
            <w:cnfStyle w:val="001000000000"/>
            <w:tcW w:w="8364" w:type="dxa"/>
            <w:gridSpan w:val="3"/>
            <w:tcBorders>
              <w:top w:val="single" w:sz="4" w:space="0" w:color="000000"/>
              <w:left w:val="single" w:sz="4" w:space="0" w:color="000000"/>
              <w:bottom w:val="single" w:sz="4" w:space="0" w:color="000000"/>
              <w:right w:val="single" w:sz="4" w:space="0" w:color="000000"/>
            </w:tcBorders>
            <w:noWrap/>
          </w:tcPr>
          <w:p w:rsidR="00D40947" w:rsidRPr="002D5269" w:rsidRDefault="00D40947" w:rsidP="00A708ED">
            <w:pPr>
              <w:rPr>
                <w:rFonts w:cstheme="minorHAnsi"/>
              </w:rPr>
            </w:pPr>
            <w:r w:rsidRPr="002D5269">
              <w:rPr>
                <w:rFonts w:cstheme="minorHAnsi"/>
              </w:rPr>
              <w:t>% of analysis reports provided within agreed timeframes</w:t>
            </w:r>
          </w:p>
        </w:tc>
        <w:tc>
          <w:tcPr>
            <w:tcW w:w="992" w:type="dxa"/>
            <w:tcBorders>
              <w:top w:val="single" w:sz="4" w:space="0" w:color="000000"/>
              <w:left w:val="single" w:sz="4" w:space="0" w:color="000000"/>
              <w:bottom w:val="single" w:sz="4" w:space="0" w:color="000000"/>
              <w:right w:val="single" w:sz="4" w:space="0" w:color="000000"/>
            </w:tcBorders>
            <w:shd w:val="clear" w:color="auto" w:fill="00B050"/>
            <w:noWrap/>
          </w:tcPr>
          <w:p w:rsidR="00D40947" w:rsidRPr="002D5269" w:rsidRDefault="00D40947" w:rsidP="00A708ED">
            <w:pPr>
              <w:cnfStyle w:val="000000000000"/>
              <w:rPr>
                <w:rFonts w:cstheme="minorHAnsi"/>
              </w:rPr>
            </w:pPr>
          </w:p>
        </w:tc>
      </w:tr>
      <w:tr w:rsidR="00D40947" w:rsidRPr="002D5269" w:rsidTr="00D40947">
        <w:trPr>
          <w:trHeight w:val="378"/>
          <w:jc w:val="center"/>
        </w:trPr>
        <w:tc>
          <w:tcPr>
            <w:cnfStyle w:val="001000000000"/>
            <w:tcW w:w="8364" w:type="dxa"/>
            <w:gridSpan w:val="3"/>
            <w:tcBorders>
              <w:top w:val="single" w:sz="4" w:space="0" w:color="000000"/>
              <w:left w:val="single" w:sz="4" w:space="0" w:color="000000"/>
              <w:bottom w:val="single" w:sz="4" w:space="0" w:color="000000"/>
              <w:right w:val="single" w:sz="4" w:space="0" w:color="000000"/>
            </w:tcBorders>
            <w:noWrap/>
            <w:hideMark/>
          </w:tcPr>
          <w:p w:rsidR="00D40947" w:rsidRPr="002D5269" w:rsidRDefault="00D40947" w:rsidP="00A708ED">
            <w:pPr>
              <w:rPr>
                <w:rFonts w:cstheme="minorHAnsi"/>
              </w:rPr>
            </w:pPr>
            <w:r w:rsidRPr="002D5269">
              <w:rPr>
                <w:rFonts w:cstheme="minorHAnsi"/>
              </w:rPr>
              <w:t>Number of programmes implemented</w:t>
            </w:r>
          </w:p>
        </w:tc>
        <w:tc>
          <w:tcPr>
            <w:tcW w:w="992" w:type="dxa"/>
            <w:tcBorders>
              <w:top w:val="single" w:sz="4" w:space="0" w:color="000000"/>
              <w:left w:val="single" w:sz="4" w:space="0" w:color="000000"/>
              <w:bottom w:val="single" w:sz="4" w:space="0" w:color="000000"/>
              <w:right w:val="single" w:sz="4" w:space="0" w:color="000000"/>
            </w:tcBorders>
            <w:shd w:val="clear" w:color="auto" w:fill="00B050"/>
            <w:noWrap/>
            <w:hideMark/>
          </w:tcPr>
          <w:p w:rsidR="00D40947" w:rsidRPr="002D5269" w:rsidRDefault="00D40947" w:rsidP="00A708ED">
            <w:pPr>
              <w:cnfStyle w:val="000000000000"/>
              <w:rPr>
                <w:rFonts w:cstheme="minorHAnsi"/>
              </w:rPr>
            </w:pPr>
            <w:r w:rsidRPr="002D5269">
              <w:rPr>
                <w:rFonts w:cstheme="minorHAnsi"/>
              </w:rPr>
              <w:t> </w:t>
            </w:r>
          </w:p>
        </w:tc>
      </w:tr>
      <w:tr w:rsidR="00D40947" w:rsidRPr="002D5269" w:rsidTr="00D40947">
        <w:trPr>
          <w:trHeight w:val="384"/>
          <w:jc w:val="center"/>
        </w:trPr>
        <w:tc>
          <w:tcPr>
            <w:cnfStyle w:val="001000000000"/>
            <w:tcW w:w="8364" w:type="dxa"/>
            <w:gridSpan w:val="3"/>
            <w:tcBorders>
              <w:top w:val="single" w:sz="4" w:space="0" w:color="000000"/>
              <w:left w:val="single" w:sz="4" w:space="0" w:color="000000"/>
              <w:bottom w:val="single" w:sz="4" w:space="0" w:color="000000"/>
              <w:right w:val="single" w:sz="4" w:space="0" w:color="000000"/>
            </w:tcBorders>
            <w:noWrap/>
            <w:hideMark/>
          </w:tcPr>
          <w:p w:rsidR="00D40947" w:rsidRPr="002D5269" w:rsidRDefault="00D40947" w:rsidP="00A708ED">
            <w:pPr>
              <w:rPr>
                <w:rFonts w:cstheme="minorHAnsi"/>
                <w:b w:val="0"/>
              </w:rPr>
            </w:pPr>
            <w:r w:rsidRPr="002D5269">
              <w:rPr>
                <w:rFonts w:cstheme="minorHAnsi"/>
              </w:rPr>
              <w:t>Number of reports prepared on implementation of Sector Strategy</w:t>
            </w:r>
          </w:p>
        </w:tc>
        <w:tc>
          <w:tcPr>
            <w:tcW w:w="992" w:type="dxa"/>
            <w:tcBorders>
              <w:top w:val="single" w:sz="4" w:space="0" w:color="000000"/>
              <w:left w:val="single" w:sz="4" w:space="0" w:color="000000"/>
              <w:bottom w:val="single" w:sz="4" w:space="0" w:color="000000"/>
              <w:right w:val="single" w:sz="4" w:space="0" w:color="000000"/>
            </w:tcBorders>
            <w:shd w:val="clear" w:color="auto" w:fill="00B050"/>
            <w:noWrap/>
            <w:hideMark/>
          </w:tcPr>
          <w:p w:rsidR="00D40947" w:rsidRPr="002D5269" w:rsidRDefault="00D40947" w:rsidP="00A708ED">
            <w:pPr>
              <w:cnfStyle w:val="000000000000"/>
              <w:rPr>
                <w:rFonts w:cstheme="minorHAnsi"/>
              </w:rPr>
            </w:pPr>
            <w:r w:rsidRPr="002D5269">
              <w:rPr>
                <w:rFonts w:cstheme="minorHAnsi"/>
              </w:rPr>
              <w:t> </w:t>
            </w:r>
          </w:p>
        </w:tc>
      </w:tr>
      <w:tr w:rsidR="00D40947" w:rsidRPr="002D5269" w:rsidTr="00D40947">
        <w:trPr>
          <w:trHeight w:val="384"/>
          <w:jc w:val="center"/>
        </w:trPr>
        <w:tc>
          <w:tcPr>
            <w:cnfStyle w:val="001000000000"/>
            <w:tcW w:w="8364" w:type="dxa"/>
            <w:gridSpan w:val="3"/>
            <w:tcBorders>
              <w:top w:val="single" w:sz="4" w:space="0" w:color="000000"/>
              <w:left w:val="single" w:sz="4" w:space="0" w:color="000000"/>
              <w:bottom w:val="single" w:sz="4" w:space="0" w:color="000000"/>
              <w:right w:val="single" w:sz="4" w:space="0" w:color="000000"/>
            </w:tcBorders>
            <w:noWrap/>
          </w:tcPr>
          <w:p w:rsidR="00D40947" w:rsidRPr="00027CA6" w:rsidRDefault="00D40947" w:rsidP="00A708ED">
            <w:pPr>
              <w:pStyle w:val="Default"/>
              <w:rPr>
                <w:rFonts w:ascii="Calibri" w:hAnsi="Calibri" w:cs="Calibri"/>
                <w:sz w:val="22"/>
                <w:szCs w:val="22"/>
              </w:rPr>
            </w:pPr>
            <w:r w:rsidRPr="003C079E">
              <w:rPr>
                <w:rFonts w:ascii="Calibri" w:hAnsi="Calibri" w:cs="Calibri"/>
                <w:sz w:val="22"/>
                <w:szCs w:val="22"/>
              </w:rPr>
              <w:t>Number of annual parliamentary frameworks adopted</w:t>
            </w:r>
          </w:p>
        </w:tc>
        <w:tc>
          <w:tcPr>
            <w:tcW w:w="99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tcPr>
          <w:p w:rsidR="00D40947" w:rsidRPr="002D5269" w:rsidRDefault="00D40947" w:rsidP="00A708ED">
            <w:pPr>
              <w:cnfStyle w:val="000000000000"/>
              <w:rPr>
                <w:rFonts w:cstheme="minorHAnsi"/>
              </w:rPr>
            </w:pPr>
          </w:p>
        </w:tc>
      </w:tr>
      <w:tr w:rsidR="00D40947" w:rsidRPr="002D5269" w:rsidTr="00D40947">
        <w:trPr>
          <w:trHeight w:val="384"/>
          <w:jc w:val="center"/>
        </w:trPr>
        <w:tc>
          <w:tcPr>
            <w:cnfStyle w:val="001000000000"/>
            <w:tcW w:w="8364" w:type="dxa"/>
            <w:gridSpan w:val="3"/>
            <w:tcBorders>
              <w:top w:val="single" w:sz="4" w:space="0" w:color="000000"/>
              <w:left w:val="single" w:sz="4" w:space="0" w:color="000000"/>
              <w:bottom w:val="single" w:sz="4" w:space="0" w:color="000000"/>
              <w:right w:val="single" w:sz="4" w:space="0" w:color="000000"/>
            </w:tcBorders>
            <w:noWrap/>
          </w:tcPr>
          <w:p w:rsidR="00D40947" w:rsidRPr="00027CA6" w:rsidRDefault="00D40947" w:rsidP="00A708ED">
            <w:pPr>
              <w:pStyle w:val="Default"/>
              <w:rPr>
                <w:rFonts w:ascii="Calibri" w:hAnsi="Calibri" w:cs="Calibri"/>
                <w:sz w:val="22"/>
                <w:szCs w:val="22"/>
              </w:rPr>
            </w:pPr>
            <w:r w:rsidRPr="003C079E">
              <w:rPr>
                <w:rFonts w:ascii="Calibri" w:hAnsi="Calibri" w:cs="Calibri"/>
                <w:sz w:val="22"/>
                <w:szCs w:val="22"/>
              </w:rPr>
              <w:t>Number of NA programmes adopted</w:t>
            </w:r>
          </w:p>
        </w:tc>
        <w:tc>
          <w:tcPr>
            <w:tcW w:w="992" w:type="dxa"/>
            <w:tcBorders>
              <w:top w:val="single" w:sz="4" w:space="0" w:color="000000"/>
              <w:left w:val="single" w:sz="4" w:space="0" w:color="000000"/>
              <w:bottom w:val="single" w:sz="4" w:space="0" w:color="000000"/>
              <w:right w:val="single" w:sz="4" w:space="0" w:color="000000"/>
            </w:tcBorders>
            <w:shd w:val="clear" w:color="auto" w:fill="00B050"/>
            <w:noWrap/>
          </w:tcPr>
          <w:p w:rsidR="00D40947" w:rsidRPr="002D5269" w:rsidRDefault="00D40947" w:rsidP="00A708ED">
            <w:pPr>
              <w:cnfStyle w:val="000000000000"/>
              <w:rPr>
                <w:rFonts w:cstheme="minorHAnsi"/>
              </w:rPr>
            </w:pPr>
          </w:p>
        </w:tc>
      </w:tr>
      <w:tr w:rsidR="00D40947" w:rsidRPr="002D5269" w:rsidTr="00D40947">
        <w:trPr>
          <w:trHeight w:val="384"/>
          <w:jc w:val="center"/>
        </w:trPr>
        <w:tc>
          <w:tcPr>
            <w:cnfStyle w:val="001000000000"/>
            <w:tcW w:w="8364" w:type="dxa"/>
            <w:gridSpan w:val="3"/>
            <w:tcBorders>
              <w:top w:val="single" w:sz="4" w:space="0" w:color="000000"/>
              <w:left w:val="single" w:sz="4" w:space="0" w:color="000000"/>
              <w:bottom w:val="single" w:sz="4" w:space="0" w:color="000000"/>
              <w:right w:val="single" w:sz="4" w:space="0" w:color="000000"/>
            </w:tcBorders>
            <w:noWrap/>
          </w:tcPr>
          <w:p w:rsidR="00D40947" w:rsidRPr="001F537C" w:rsidRDefault="00D40947" w:rsidP="00A708ED">
            <w:pPr>
              <w:pStyle w:val="Default"/>
              <w:rPr>
                <w:rFonts w:ascii="Calibri" w:hAnsi="Calibri" w:cs="Calibri"/>
                <w:sz w:val="22"/>
                <w:szCs w:val="22"/>
              </w:rPr>
            </w:pPr>
            <w:r w:rsidRPr="003C079E">
              <w:rPr>
                <w:rFonts w:ascii="Calibri" w:hAnsi="Calibri" w:cs="Calibri"/>
                <w:sz w:val="22"/>
                <w:szCs w:val="22"/>
              </w:rPr>
              <w:t>Number of NCOP programmes adopted</w:t>
            </w:r>
          </w:p>
        </w:tc>
        <w:tc>
          <w:tcPr>
            <w:tcW w:w="992" w:type="dxa"/>
            <w:tcBorders>
              <w:top w:val="single" w:sz="4" w:space="0" w:color="000000"/>
              <w:left w:val="single" w:sz="4" w:space="0" w:color="000000"/>
              <w:bottom w:val="single" w:sz="4" w:space="0" w:color="000000"/>
              <w:right w:val="single" w:sz="4" w:space="0" w:color="000000"/>
            </w:tcBorders>
            <w:shd w:val="clear" w:color="auto" w:fill="00B050"/>
            <w:noWrap/>
          </w:tcPr>
          <w:p w:rsidR="00D40947" w:rsidRPr="002D5269" w:rsidRDefault="00D40947" w:rsidP="00A708ED">
            <w:pPr>
              <w:cnfStyle w:val="000000000000"/>
              <w:rPr>
                <w:rFonts w:cstheme="minorHAnsi"/>
              </w:rPr>
            </w:pPr>
          </w:p>
        </w:tc>
      </w:tr>
      <w:tr w:rsidR="00D40947" w:rsidRPr="002D5269" w:rsidTr="00D40947">
        <w:trPr>
          <w:trHeight w:val="390"/>
          <w:jc w:val="center"/>
        </w:trPr>
        <w:tc>
          <w:tcPr>
            <w:cnfStyle w:val="001000000000"/>
            <w:tcW w:w="8364" w:type="dxa"/>
            <w:gridSpan w:val="3"/>
            <w:tcBorders>
              <w:top w:val="single" w:sz="4" w:space="0" w:color="000000"/>
              <w:left w:val="single" w:sz="4" w:space="0" w:color="000000"/>
              <w:bottom w:val="single" w:sz="4" w:space="0" w:color="000000"/>
              <w:right w:val="single" w:sz="4" w:space="0" w:color="000000"/>
            </w:tcBorders>
            <w:noWrap/>
            <w:hideMark/>
          </w:tcPr>
          <w:p w:rsidR="00D40947" w:rsidRPr="002D5269" w:rsidRDefault="00D40947" w:rsidP="00A708ED">
            <w:pPr>
              <w:rPr>
                <w:rFonts w:cstheme="minorHAnsi"/>
              </w:rPr>
            </w:pPr>
            <w:r w:rsidRPr="003C079E">
              <w:rPr>
                <w:rFonts w:ascii="Calibri" w:hAnsi="Calibri" w:cs="Calibri"/>
              </w:rPr>
              <w:t>% of information available as per Service Charter levels</w:t>
            </w:r>
          </w:p>
        </w:tc>
        <w:tc>
          <w:tcPr>
            <w:tcW w:w="992" w:type="dxa"/>
            <w:tcBorders>
              <w:top w:val="single" w:sz="4" w:space="0" w:color="000000"/>
              <w:left w:val="single" w:sz="4" w:space="0" w:color="000000"/>
              <w:bottom w:val="single" w:sz="4" w:space="0" w:color="000000"/>
              <w:right w:val="single" w:sz="4" w:space="0" w:color="000000"/>
            </w:tcBorders>
            <w:shd w:val="clear" w:color="auto" w:fill="FF0000"/>
            <w:noWrap/>
            <w:hideMark/>
          </w:tcPr>
          <w:p w:rsidR="00D40947" w:rsidRPr="002D5269" w:rsidRDefault="00D40947" w:rsidP="00A708ED">
            <w:pPr>
              <w:cnfStyle w:val="000000000000"/>
              <w:rPr>
                <w:rFonts w:cstheme="minorHAnsi"/>
              </w:rPr>
            </w:pPr>
            <w:r w:rsidRPr="002D5269">
              <w:rPr>
                <w:rFonts w:cstheme="minorHAnsi"/>
              </w:rPr>
              <w:t> </w:t>
            </w:r>
          </w:p>
        </w:tc>
      </w:tr>
      <w:tr w:rsidR="00D40947" w:rsidRPr="002D5269" w:rsidTr="00D40947">
        <w:trPr>
          <w:trHeight w:val="395"/>
          <w:jc w:val="center"/>
        </w:trPr>
        <w:tc>
          <w:tcPr>
            <w:cnfStyle w:val="001000000000"/>
            <w:tcW w:w="8364" w:type="dxa"/>
            <w:gridSpan w:val="3"/>
            <w:tcBorders>
              <w:top w:val="single" w:sz="4" w:space="0" w:color="000000"/>
              <w:left w:val="single" w:sz="4" w:space="0" w:color="000000"/>
              <w:bottom w:val="single" w:sz="4" w:space="0" w:color="000000"/>
              <w:right w:val="single" w:sz="4" w:space="0" w:color="000000"/>
            </w:tcBorders>
            <w:noWrap/>
            <w:hideMark/>
          </w:tcPr>
          <w:p w:rsidR="00D40947" w:rsidRPr="002D5269" w:rsidRDefault="00D40947" w:rsidP="00A708ED">
            <w:pPr>
              <w:rPr>
                <w:rFonts w:cstheme="minorHAnsi"/>
              </w:rPr>
            </w:pPr>
            <w:r w:rsidRPr="002D5269">
              <w:rPr>
                <w:rFonts w:cstheme="minorHAnsi"/>
              </w:rPr>
              <w:t>% Population having access to participate in parliamentary processes</w:t>
            </w:r>
          </w:p>
        </w:tc>
        <w:tc>
          <w:tcPr>
            <w:tcW w:w="99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hideMark/>
          </w:tcPr>
          <w:p w:rsidR="00D40947" w:rsidRPr="002D5269" w:rsidRDefault="00D40947" w:rsidP="00A708ED">
            <w:pPr>
              <w:cnfStyle w:val="000000000000"/>
              <w:rPr>
                <w:rFonts w:cstheme="minorHAnsi"/>
              </w:rPr>
            </w:pPr>
            <w:r w:rsidRPr="002D5269">
              <w:rPr>
                <w:rFonts w:cstheme="minorHAnsi"/>
              </w:rPr>
              <w:t> </w:t>
            </w:r>
          </w:p>
        </w:tc>
      </w:tr>
      <w:tr w:rsidR="00D40947" w:rsidRPr="002D5269" w:rsidTr="00D40947">
        <w:trPr>
          <w:trHeight w:val="381"/>
          <w:jc w:val="center"/>
        </w:trPr>
        <w:tc>
          <w:tcPr>
            <w:cnfStyle w:val="001000000000"/>
            <w:tcW w:w="8364" w:type="dxa"/>
            <w:gridSpan w:val="3"/>
            <w:tcBorders>
              <w:top w:val="single" w:sz="4" w:space="0" w:color="000000"/>
              <w:left w:val="single" w:sz="4" w:space="0" w:color="000000"/>
              <w:bottom w:val="single" w:sz="4" w:space="0" w:color="000000"/>
              <w:right w:val="single" w:sz="4" w:space="0" w:color="000000"/>
            </w:tcBorders>
            <w:noWrap/>
          </w:tcPr>
          <w:p w:rsidR="00D40947" w:rsidRPr="002D5269" w:rsidRDefault="00D40947" w:rsidP="00A708ED">
            <w:pPr>
              <w:rPr>
                <w:rFonts w:cstheme="minorHAnsi"/>
              </w:rPr>
            </w:pPr>
            <w:r w:rsidRPr="002D5269">
              <w:rPr>
                <w:rFonts w:cstheme="minorHAnsi"/>
              </w:rPr>
              <w:t>% Population participating in parliamentary processes</w:t>
            </w:r>
          </w:p>
        </w:tc>
        <w:tc>
          <w:tcPr>
            <w:tcW w:w="99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tcPr>
          <w:p w:rsidR="00D40947" w:rsidRPr="002D5269" w:rsidRDefault="00D40947" w:rsidP="00A708ED">
            <w:pPr>
              <w:cnfStyle w:val="000000000000"/>
              <w:rPr>
                <w:rFonts w:cstheme="minorHAnsi"/>
              </w:rPr>
            </w:pPr>
          </w:p>
        </w:tc>
      </w:tr>
      <w:tr w:rsidR="00D40947" w:rsidRPr="002D5269" w:rsidTr="00D40947">
        <w:trPr>
          <w:trHeight w:val="393"/>
          <w:jc w:val="center"/>
        </w:trPr>
        <w:tc>
          <w:tcPr>
            <w:cnfStyle w:val="001000000000"/>
            <w:tcW w:w="8364" w:type="dxa"/>
            <w:gridSpan w:val="3"/>
            <w:tcBorders>
              <w:top w:val="single" w:sz="4" w:space="0" w:color="000000"/>
              <w:left w:val="single" w:sz="4" w:space="0" w:color="000000"/>
              <w:bottom w:val="single" w:sz="4" w:space="0" w:color="000000"/>
              <w:right w:val="single" w:sz="4" w:space="0" w:color="000000"/>
            </w:tcBorders>
            <w:noWrap/>
            <w:hideMark/>
          </w:tcPr>
          <w:p w:rsidR="00D40947" w:rsidRPr="002D5269" w:rsidRDefault="00D40947" w:rsidP="00A708ED">
            <w:pPr>
              <w:rPr>
                <w:rFonts w:cstheme="minorHAnsi"/>
              </w:rPr>
            </w:pPr>
            <w:r w:rsidRPr="002D5269">
              <w:rPr>
                <w:rFonts w:cstheme="minorHAnsi"/>
              </w:rPr>
              <w:t>% of population who are aware of the business of Parliament</w:t>
            </w:r>
          </w:p>
        </w:tc>
        <w:tc>
          <w:tcPr>
            <w:tcW w:w="99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hideMark/>
          </w:tcPr>
          <w:p w:rsidR="00D40947" w:rsidRPr="002D5269" w:rsidRDefault="00D40947" w:rsidP="00A708ED">
            <w:pPr>
              <w:cnfStyle w:val="000000000000"/>
              <w:rPr>
                <w:rFonts w:cstheme="minorHAnsi"/>
                <w:color w:val="FF0000"/>
              </w:rPr>
            </w:pPr>
            <w:r w:rsidRPr="002D5269">
              <w:rPr>
                <w:rFonts w:cstheme="minorHAnsi"/>
                <w:color w:val="FF0000"/>
              </w:rPr>
              <w:t> </w:t>
            </w:r>
          </w:p>
        </w:tc>
      </w:tr>
      <w:tr w:rsidR="00D40947" w:rsidRPr="002D5269" w:rsidTr="00D40947">
        <w:trPr>
          <w:trHeight w:val="398"/>
          <w:jc w:val="center"/>
        </w:trPr>
        <w:tc>
          <w:tcPr>
            <w:cnfStyle w:val="001000000000"/>
            <w:tcW w:w="8364" w:type="dxa"/>
            <w:gridSpan w:val="3"/>
            <w:tcBorders>
              <w:top w:val="single" w:sz="4" w:space="0" w:color="000000"/>
              <w:left w:val="single" w:sz="4" w:space="0" w:color="000000"/>
              <w:bottom w:val="single" w:sz="4" w:space="0" w:color="000000"/>
              <w:right w:val="single" w:sz="4" w:space="0" w:color="000000"/>
            </w:tcBorders>
            <w:hideMark/>
          </w:tcPr>
          <w:p w:rsidR="00D40947" w:rsidRPr="002D5269" w:rsidRDefault="00D40947" w:rsidP="00A708ED">
            <w:pPr>
              <w:rPr>
                <w:rFonts w:cstheme="minorHAnsi"/>
              </w:rPr>
            </w:pPr>
            <w:r w:rsidRPr="002D5269">
              <w:rPr>
                <w:rFonts w:cstheme="minorHAnsi"/>
              </w:rPr>
              <w:t>% of universal access</w:t>
            </w:r>
          </w:p>
        </w:tc>
        <w:tc>
          <w:tcPr>
            <w:tcW w:w="99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hideMark/>
          </w:tcPr>
          <w:p w:rsidR="00D40947" w:rsidRPr="002D5269" w:rsidRDefault="00D40947" w:rsidP="00A708ED">
            <w:pPr>
              <w:cnfStyle w:val="000000000000"/>
              <w:rPr>
                <w:rFonts w:cstheme="minorHAnsi"/>
              </w:rPr>
            </w:pPr>
            <w:r w:rsidRPr="002D5269">
              <w:rPr>
                <w:rFonts w:cstheme="minorHAnsi"/>
              </w:rPr>
              <w:t> </w:t>
            </w:r>
          </w:p>
        </w:tc>
      </w:tr>
      <w:tr w:rsidR="00D40947" w:rsidRPr="002D5269" w:rsidTr="00D40947">
        <w:trPr>
          <w:trHeight w:val="403"/>
          <w:jc w:val="center"/>
        </w:trPr>
        <w:tc>
          <w:tcPr>
            <w:cnfStyle w:val="001000000000"/>
            <w:tcW w:w="8364" w:type="dxa"/>
            <w:gridSpan w:val="3"/>
            <w:tcBorders>
              <w:top w:val="single" w:sz="4" w:space="0" w:color="000000"/>
              <w:left w:val="single" w:sz="4" w:space="0" w:color="000000"/>
              <w:bottom w:val="single" w:sz="4" w:space="0" w:color="000000"/>
              <w:right w:val="single" w:sz="4" w:space="0" w:color="000000"/>
            </w:tcBorders>
            <w:noWrap/>
            <w:hideMark/>
          </w:tcPr>
          <w:p w:rsidR="00D40947" w:rsidRPr="002D5269" w:rsidRDefault="00D40947" w:rsidP="00A708ED">
            <w:pPr>
              <w:rPr>
                <w:rFonts w:cstheme="minorHAnsi"/>
              </w:rPr>
            </w:pPr>
            <w:r w:rsidRPr="002D5269">
              <w:rPr>
                <w:rFonts w:cstheme="minorHAnsi"/>
              </w:rPr>
              <w:t>Client satisfaction level (% clients satisfied with service levels)</w:t>
            </w:r>
          </w:p>
        </w:tc>
        <w:tc>
          <w:tcPr>
            <w:tcW w:w="99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hideMark/>
          </w:tcPr>
          <w:p w:rsidR="00D40947" w:rsidRPr="002D5269" w:rsidRDefault="00D40947" w:rsidP="00A708ED">
            <w:pPr>
              <w:cnfStyle w:val="000000000000"/>
              <w:rPr>
                <w:rFonts w:cstheme="minorHAnsi"/>
              </w:rPr>
            </w:pPr>
            <w:r w:rsidRPr="002D5269">
              <w:rPr>
                <w:rFonts w:cstheme="minorHAnsi"/>
              </w:rPr>
              <w:t> </w:t>
            </w:r>
          </w:p>
        </w:tc>
      </w:tr>
      <w:tr w:rsidR="00D40947" w:rsidRPr="002D5269" w:rsidTr="00D40947">
        <w:trPr>
          <w:trHeight w:val="369"/>
          <w:jc w:val="center"/>
        </w:trPr>
        <w:tc>
          <w:tcPr>
            <w:cnfStyle w:val="001000000000"/>
            <w:tcW w:w="8364" w:type="dxa"/>
            <w:gridSpan w:val="3"/>
            <w:tcBorders>
              <w:top w:val="single" w:sz="4" w:space="0" w:color="000000"/>
              <w:left w:val="single" w:sz="4" w:space="0" w:color="000000"/>
              <w:bottom w:val="single" w:sz="4" w:space="0" w:color="000000"/>
              <w:right w:val="single" w:sz="4" w:space="0" w:color="000000"/>
            </w:tcBorders>
            <w:noWrap/>
            <w:hideMark/>
          </w:tcPr>
          <w:p w:rsidR="00D40947" w:rsidRPr="002D5269" w:rsidRDefault="00D40947" w:rsidP="00A708ED">
            <w:pPr>
              <w:rPr>
                <w:rFonts w:cstheme="minorHAnsi"/>
              </w:rPr>
            </w:pPr>
            <w:r w:rsidRPr="002D5269">
              <w:rPr>
                <w:rFonts w:cstheme="minorHAnsi"/>
              </w:rPr>
              <w:t>% increase in talent management index</w:t>
            </w:r>
          </w:p>
        </w:tc>
        <w:tc>
          <w:tcPr>
            <w:tcW w:w="99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hideMark/>
          </w:tcPr>
          <w:p w:rsidR="00D40947" w:rsidRPr="002D5269" w:rsidRDefault="00D40947" w:rsidP="00A708ED">
            <w:pPr>
              <w:cnfStyle w:val="000000000000"/>
              <w:rPr>
                <w:rFonts w:cstheme="minorHAnsi"/>
              </w:rPr>
            </w:pPr>
            <w:r w:rsidRPr="002D5269">
              <w:rPr>
                <w:rFonts w:cstheme="minorHAnsi"/>
              </w:rPr>
              <w:t> </w:t>
            </w:r>
          </w:p>
        </w:tc>
      </w:tr>
      <w:tr w:rsidR="00D40947" w:rsidRPr="002D5269" w:rsidTr="00D40947">
        <w:trPr>
          <w:trHeight w:val="361"/>
          <w:jc w:val="center"/>
        </w:trPr>
        <w:tc>
          <w:tcPr>
            <w:cnfStyle w:val="001000000000"/>
            <w:tcW w:w="3372" w:type="dxa"/>
            <w:tcBorders>
              <w:top w:val="single" w:sz="4" w:space="0" w:color="000000"/>
              <w:left w:val="single" w:sz="4" w:space="0" w:color="000000"/>
              <w:bottom w:val="single" w:sz="4" w:space="0" w:color="000000"/>
              <w:right w:val="single" w:sz="4" w:space="0" w:color="000000"/>
            </w:tcBorders>
            <w:shd w:val="clear" w:color="auto" w:fill="00B050"/>
            <w:noWrap/>
          </w:tcPr>
          <w:p w:rsidR="00D40947" w:rsidRPr="002D5269" w:rsidRDefault="00D40947" w:rsidP="00A708ED">
            <w:pPr>
              <w:jc w:val="center"/>
              <w:rPr>
                <w:rFonts w:cstheme="minorHAnsi"/>
                <w:bCs w:val="0"/>
                <w:color w:val="FFFFFF" w:themeColor="background1"/>
              </w:rPr>
            </w:pPr>
            <w:r w:rsidRPr="002D5269">
              <w:rPr>
                <w:rFonts w:cstheme="minorHAnsi"/>
                <w:bCs w:val="0"/>
                <w:color w:val="FFFFFF" w:themeColor="background1"/>
              </w:rPr>
              <w:t>Target Met</w:t>
            </w:r>
          </w:p>
        </w:tc>
        <w:tc>
          <w:tcPr>
            <w:tcW w:w="3372" w:type="dxa"/>
            <w:tcBorders>
              <w:top w:val="single" w:sz="4" w:space="0" w:color="000000"/>
              <w:left w:val="single" w:sz="4" w:space="0" w:color="000000"/>
              <w:bottom w:val="single" w:sz="4" w:space="0" w:color="000000"/>
              <w:right w:val="single" w:sz="4" w:space="0" w:color="000000"/>
            </w:tcBorders>
            <w:shd w:val="clear" w:color="auto" w:fill="FF0000"/>
          </w:tcPr>
          <w:p w:rsidR="00D40947" w:rsidRPr="002D5269" w:rsidRDefault="00D40947" w:rsidP="00A708ED">
            <w:pPr>
              <w:jc w:val="center"/>
              <w:cnfStyle w:val="000000000000"/>
              <w:rPr>
                <w:rFonts w:cstheme="minorHAnsi"/>
                <w:b/>
                <w:bCs/>
                <w:color w:val="FFFFFF" w:themeColor="background1"/>
              </w:rPr>
            </w:pPr>
            <w:r w:rsidRPr="002D5269">
              <w:rPr>
                <w:rFonts w:cstheme="minorHAnsi"/>
                <w:b/>
                <w:bCs/>
                <w:color w:val="FFFFFF" w:themeColor="background1"/>
              </w:rPr>
              <w:t>Target Not Met/ Not Reported</w:t>
            </w:r>
          </w:p>
        </w:tc>
        <w:tc>
          <w:tcPr>
            <w:tcW w:w="2612"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D40947" w:rsidRPr="002D5269" w:rsidRDefault="00D40947" w:rsidP="00A708ED">
            <w:pPr>
              <w:jc w:val="center"/>
              <w:cnfStyle w:val="000000000000"/>
              <w:rPr>
                <w:rFonts w:cstheme="minorHAnsi"/>
                <w:b/>
                <w:color w:val="FFFFFF" w:themeColor="background1"/>
              </w:rPr>
            </w:pPr>
            <w:r w:rsidRPr="002D5269">
              <w:rPr>
                <w:rFonts w:cstheme="minorHAnsi"/>
                <w:b/>
                <w:bCs/>
                <w:color w:val="FFFFFF" w:themeColor="background1"/>
              </w:rPr>
              <w:t>Annual/No Quarterly Target</w:t>
            </w:r>
          </w:p>
        </w:tc>
      </w:tr>
    </w:tbl>
    <w:p w:rsidR="008E4410" w:rsidRDefault="008E4410" w:rsidP="008E4410">
      <w:pPr>
        <w:pStyle w:val="ColorfulList-Accent11"/>
        <w:ind w:left="576"/>
        <w:jc w:val="center"/>
        <w:outlineLvl w:val="1"/>
        <w:rPr>
          <w:b/>
          <w:noProof/>
          <w:sz w:val="36"/>
          <w:szCs w:val="36"/>
          <w:lang w:eastAsia="en-ZA"/>
        </w:rPr>
      </w:pPr>
    </w:p>
    <w:p w:rsidR="000B0953" w:rsidRDefault="000B0953" w:rsidP="00717DDB">
      <w:pPr>
        <w:jc w:val="right"/>
        <w:rPr>
          <w:rFonts w:ascii="Calibri" w:hAnsi="Calibri" w:cs="Calibri"/>
        </w:rPr>
      </w:pPr>
      <w:r>
        <w:rPr>
          <w:rFonts w:ascii="Arial" w:hAnsi="Arial" w:cs="Arial"/>
          <w:noProof/>
          <w:lang w:eastAsia="en-ZA"/>
        </w:rPr>
        <w:drawing>
          <wp:inline distT="0" distB="0" distL="0" distR="0">
            <wp:extent cx="3486150" cy="1200150"/>
            <wp:effectExtent l="3810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708ED" w:rsidRPr="009C3971" w:rsidRDefault="00A708ED" w:rsidP="00717DDB">
      <w:pPr>
        <w:pStyle w:val="Heading1"/>
        <w:numPr>
          <w:ilvl w:val="0"/>
          <w:numId w:val="0"/>
        </w:numPr>
        <w:rPr>
          <w:rFonts w:ascii="Calibri" w:hAnsi="Calibri" w:cs="Calibri"/>
          <w:color w:val="FFFFFF" w:themeColor="background1"/>
        </w:rPr>
      </w:pPr>
      <w:bookmarkStart w:id="7" w:name="_Toc54361031"/>
      <w:r w:rsidRPr="009C3971">
        <w:rPr>
          <w:rFonts w:ascii="Calibri" w:hAnsi="Calibri" w:cs="Calibri"/>
          <w:color w:val="FFFFFF" w:themeColor="background1"/>
        </w:rPr>
        <w:t>PART B</w:t>
      </w:r>
      <w:r w:rsidR="009C3971" w:rsidRPr="009C3971">
        <w:rPr>
          <w:rFonts w:ascii="Calibri" w:hAnsi="Calibri" w:cs="Calibri"/>
          <w:color w:val="FFFFFF" w:themeColor="background1"/>
        </w:rPr>
        <w:t>: Parliamentary Business</w:t>
      </w:r>
      <w:bookmarkEnd w:id="7"/>
    </w:p>
    <w:p w:rsidR="000B0953" w:rsidRDefault="000B0953" w:rsidP="00EE760C">
      <w:pPr>
        <w:rPr>
          <w:rFonts w:ascii="Calibri" w:hAnsi="Calibri" w:cs="Calibri"/>
        </w:rPr>
      </w:pPr>
    </w:p>
    <w:p w:rsidR="00D40947" w:rsidRDefault="00D40947"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Pr="004F0A9F" w:rsidRDefault="004F0A9F" w:rsidP="003B5E3A">
      <w:pPr>
        <w:pStyle w:val="Heading2"/>
        <w:numPr>
          <w:ilvl w:val="1"/>
          <w:numId w:val="5"/>
        </w:numPr>
        <w:rPr>
          <w:rFonts w:ascii="Calibri" w:hAnsi="Calibri" w:cs="Calibri"/>
          <w:sz w:val="36"/>
          <w:szCs w:val="36"/>
        </w:rPr>
      </w:pPr>
      <w:bookmarkStart w:id="8" w:name="_Toc22556390"/>
      <w:bookmarkStart w:id="9" w:name="_Toc54361032"/>
      <w:r>
        <w:rPr>
          <w:rFonts w:ascii="Calibri" w:hAnsi="Calibri" w:cs="Calibri"/>
          <w:sz w:val="36"/>
          <w:szCs w:val="36"/>
        </w:rPr>
        <w:lastRenderedPageBreak/>
        <w:t xml:space="preserve">OVERVIEW OF THE HOUSES AND </w:t>
      </w:r>
      <w:r w:rsidR="0027417E" w:rsidRPr="004F0A9F">
        <w:rPr>
          <w:rFonts w:ascii="Calibri" w:hAnsi="Calibri" w:cs="Calibri"/>
          <w:sz w:val="36"/>
          <w:szCs w:val="36"/>
        </w:rPr>
        <w:t xml:space="preserve">PARLIAMENTARY </w:t>
      </w:r>
      <w:r w:rsidR="000B0953" w:rsidRPr="004F0A9F">
        <w:rPr>
          <w:rFonts w:ascii="Calibri" w:hAnsi="Calibri" w:cs="Calibri"/>
          <w:sz w:val="36"/>
          <w:szCs w:val="36"/>
        </w:rPr>
        <w:t>COMMITTEES</w:t>
      </w:r>
      <w:bookmarkEnd w:id="8"/>
      <w:bookmarkEnd w:id="9"/>
    </w:p>
    <w:p w:rsidR="000B0953" w:rsidRDefault="000B0953" w:rsidP="00EE760C">
      <w:pPr>
        <w:rPr>
          <w:rFonts w:ascii="Calibri" w:hAnsi="Calibri" w:cs="Calibri"/>
        </w:rPr>
      </w:pPr>
    </w:p>
    <w:p w:rsidR="006E4B70" w:rsidRDefault="006E4B70" w:rsidP="003B5E3A">
      <w:pPr>
        <w:pStyle w:val="Heading2"/>
        <w:numPr>
          <w:ilvl w:val="1"/>
          <w:numId w:val="36"/>
        </w:numPr>
      </w:pPr>
      <w:bookmarkStart w:id="10" w:name="_Toc54361033"/>
      <w:r>
        <w:t>O</w:t>
      </w:r>
      <w:r w:rsidRPr="006E4B70">
        <w:t>versight &amp; accountability</w:t>
      </w:r>
      <w:bookmarkEnd w:id="10"/>
    </w:p>
    <w:p w:rsidR="00FB4AA5" w:rsidRPr="006E4B70" w:rsidRDefault="00FB4AA5" w:rsidP="003B5E3A">
      <w:pPr>
        <w:pStyle w:val="Heading2"/>
        <w:numPr>
          <w:ilvl w:val="2"/>
          <w:numId w:val="36"/>
        </w:numPr>
      </w:pPr>
      <w:bookmarkStart w:id="11" w:name="_Toc54361034"/>
      <w:r w:rsidRPr="006E4B70">
        <w:t>National Assembly</w:t>
      </w:r>
      <w:bookmarkEnd w:id="11"/>
    </w:p>
    <w:p w:rsidR="009027F1" w:rsidRPr="007B5EBB" w:rsidRDefault="009027F1" w:rsidP="009027F1">
      <w:pPr>
        <w:jc w:val="both"/>
        <w:rPr>
          <w:rFonts w:ascii="Calibri" w:eastAsia="Calibri" w:hAnsi="Calibri" w:cs="Calibri"/>
        </w:rPr>
      </w:pPr>
      <w:r w:rsidRPr="007B5EBB">
        <w:rPr>
          <w:rFonts w:ascii="Calibri" w:eastAsia="Calibri" w:hAnsi="Calibri" w:cs="Calibri"/>
        </w:rPr>
        <w:t xml:space="preserve">In terms of Rule 138(1), questions for oral reply by Ministers are dealt with in accordance with a clustered system of government portfolios, as determined by the Rules Committee from time to time and published in the ATC. Questions to the President and the Deputy President are scheduled in accordance with Rule 210. Rule 140(1) states that the President must be scheduled to answer questions at least once per quarter, and the Deputy President must be scheduled for a question day once per month. The time allotted to questions for oral reply is three hours in accordance with Rules 139(4), 140(4) and 142(2). Rule 143(1) states that replies to questions for oral reply which have not been reached at the end of the time allotted on a question day must be submitted in writing to the Speaker on the same day for appropriate distribution and inclusion in the Official Report of the Debates of the Assembly. </w:t>
      </w:r>
    </w:p>
    <w:tbl>
      <w:tblPr>
        <w:tblStyle w:val="TableGrid"/>
        <w:tblW w:w="9781" w:type="dxa"/>
        <w:tblInd w:w="-5" w:type="dxa"/>
        <w:tblLook w:val="04A0"/>
      </w:tblPr>
      <w:tblGrid>
        <w:gridCol w:w="1222"/>
        <w:gridCol w:w="5152"/>
        <w:gridCol w:w="1138"/>
        <w:gridCol w:w="877"/>
        <w:gridCol w:w="1392"/>
      </w:tblGrid>
      <w:tr w:rsidR="00367C48" w:rsidTr="00367C48">
        <w:tc>
          <w:tcPr>
            <w:tcW w:w="1222" w:type="dxa"/>
          </w:tcPr>
          <w:p w:rsidR="00367C48" w:rsidRDefault="00367C48" w:rsidP="009027F1">
            <w:pPr>
              <w:rPr>
                <w:rFonts w:ascii="Calibri" w:eastAsia="Calibri" w:hAnsi="Calibri" w:cs="Calibri"/>
                <w:b/>
              </w:rPr>
            </w:pPr>
          </w:p>
        </w:tc>
        <w:tc>
          <w:tcPr>
            <w:tcW w:w="5152" w:type="dxa"/>
          </w:tcPr>
          <w:p w:rsidR="00367C48" w:rsidRDefault="00367C48" w:rsidP="009027F1">
            <w:pPr>
              <w:rPr>
                <w:rFonts w:ascii="Calibri" w:eastAsia="Calibri" w:hAnsi="Calibri" w:cs="Calibri"/>
                <w:b/>
              </w:rPr>
            </w:pPr>
            <w:r>
              <w:rPr>
                <w:rFonts w:ascii="Calibri" w:eastAsia="Calibri" w:hAnsi="Calibri" w:cs="Calibri"/>
                <w:b/>
              </w:rPr>
              <w:t>Month</w:t>
            </w:r>
          </w:p>
        </w:tc>
        <w:tc>
          <w:tcPr>
            <w:tcW w:w="1138" w:type="dxa"/>
          </w:tcPr>
          <w:p w:rsidR="00367C48" w:rsidRDefault="00367C48" w:rsidP="009027F1">
            <w:pPr>
              <w:rPr>
                <w:rFonts w:ascii="Calibri" w:eastAsia="Calibri" w:hAnsi="Calibri" w:cs="Calibri"/>
                <w:b/>
              </w:rPr>
            </w:pPr>
            <w:r>
              <w:rPr>
                <w:rFonts w:ascii="Calibri" w:eastAsia="Calibri" w:hAnsi="Calibri" w:cs="Calibri"/>
                <w:b/>
              </w:rPr>
              <w:t>Questions</w:t>
            </w:r>
          </w:p>
        </w:tc>
        <w:tc>
          <w:tcPr>
            <w:tcW w:w="877" w:type="dxa"/>
          </w:tcPr>
          <w:p w:rsidR="00367C48" w:rsidRDefault="00367C48" w:rsidP="009027F1">
            <w:pPr>
              <w:rPr>
                <w:rFonts w:ascii="Calibri" w:eastAsia="Calibri" w:hAnsi="Calibri" w:cs="Calibri"/>
                <w:b/>
              </w:rPr>
            </w:pPr>
            <w:r>
              <w:rPr>
                <w:rFonts w:ascii="Calibri" w:eastAsia="Calibri" w:hAnsi="Calibri" w:cs="Calibri"/>
                <w:b/>
              </w:rPr>
              <w:t>Replies</w:t>
            </w:r>
          </w:p>
        </w:tc>
        <w:tc>
          <w:tcPr>
            <w:tcW w:w="1392" w:type="dxa"/>
          </w:tcPr>
          <w:p w:rsidR="00367C48" w:rsidRDefault="00367C48" w:rsidP="009027F1">
            <w:pPr>
              <w:rPr>
                <w:rFonts w:ascii="Calibri" w:eastAsia="Calibri" w:hAnsi="Calibri" w:cs="Calibri"/>
                <w:b/>
              </w:rPr>
            </w:pPr>
            <w:r>
              <w:rPr>
                <w:rFonts w:ascii="Calibri" w:eastAsia="Calibri" w:hAnsi="Calibri" w:cs="Calibri"/>
                <w:b/>
              </w:rPr>
              <w:t>Replied Late</w:t>
            </w:r>
          </w:p>
        </w:tc>
      </w:tr>
      <w:tr w:rsidR="00367C48" w:rsidTr="00367C48">
        <w:tc>
          <w:tcPr>
            <w:tcW w:w="1222" w:type="dxa"/>
          </w:tcPr>
          <w:p w:rsidR="00367C48" w:rsidRDefault="00367C48" w:rsidP="009027F1">
            <w:pPr>
              <w:rPr>
                <w:rFonts w:ascii="Calibri" w:eastAsia="Calibri" w:hAnsi="Calibri" w:cs="Calibri"/>
                <w:b/>
              </w:rPr>
            </w:pPr>
            <w:r>
              <w:rPr>
                <w:rFonts w:ascii="Calibri" w:eastAsia="Calibri" w:hAnsi="Calibri" w:cs="Calibri"/>
                <w:b/>
              </w:rPr>
              <w:t>May</w:t>
            </w:r>
          </w:p>
        </w:tc>
        <w:tc>
          <w:tcPr>
            <w:tcW w:w="5152" w:type="dxa"/>
          </w:tcPr>
          <w:p w:rsidR="00367C48" w:rsidRPr="00367C48" w:rsidRDefault="00367C48" w:rsidP="009027F1">
            <w:pPr>
              <w:rPr>
                <w:rFonts w:ascii="Calibri" w:eastAsia="Calibri" w:hAnsi="Calibri" w:cs="Calibri"/>
              </w:rPr>
            </w:pPr>
            <w:r w:rsidRPr="00367C48">
              <w:rPr>
                <w:rFonts w:ascii="Calibri" w:eastAsia="Calibri" w:hAnsi="Calibri" w:cs="Calibri"/>
              </w:rPr>
              <w:t>Ministers in the Social Services &amp; Governance Clusters</w:t>
            </w:r>
          </w:p>
        </w:tc>
        <w:tc>
          <w:tcPr>
            <w:tcW w:w="1138" w:type="dxa"/>
          </w:tcPr>
          <w:p w:rsidR="00367C48" w:rsidRPr="00367C48" w:rsidRDefault="00367C48" w:rsidP="009027F1">
            <w:pPr>
              <w:rPr>
                <w:rFonts w:ascii="Calibri" w:eastAsia="Calibri" w:hAnsi="Calibri" w:cs="Calibri"/>
              </w:rPr>
            </w:pPr>
            <w:r w:rsidRPr="00367C48">
              <w:rPr>
                <w:rFonts w:ascii="Calibri" w:eastAsia="Calibri" w:hAnsi="Calibri" w:cs="Calibri"/>
              </w:rPr>
              <w:t>78</w:t>
            </w:r>
          </w:p>
        </w:tc>
        <w:tc>
          <w:tcPr>
            <w:tcW w:w="877" w:type="dxa"/>
          </w:tcPr>
          <w:p w:rsidR="00367C48" w:rsidRPr="00367C48" w:rsidRDefault="00367C48" w:rsidP="009027F1">
            <w:pPr>
              <w:rPr>
                <w:rFonts w:ascii="Calibri" w:eastAsia="Calibri" w:hAnsi="Calibri" w:cs="Calibri"/>
              </w:rPr>
            </w:pPr>
            <w:r w:rsidRPr="00367C48">
              <w:rPr>
                <w:rFonts w:ascii="Calibri" w:eastAsia="Calibri" w:hAnsi="Calibri" w:cs="Calibri"/>
              </w:rPr>
              <w:t>58</w:t>
            </w:r>
          </w:p>
        </w:tc>
        <w:tc>
          <w:tcPr>
            <w:tcW w:w="1392" w:type="dxa"/>
          </w:tcPr>
          <w:p w:rsidR="00367C48" w:rsidRPr="00367C48" w:rsidRDefault="00367C48" w:rsidP="009027F1">
            <w:pPr>
              <w:rPr>
                <w:rFonts w:ascii="Calibri" w:eastAsia="Calibri" w:hAnsi="Calibri" w:cs="Calibri"/>
              </w:rPr>
            </w:pPr>
            <w:r w:rsidRPr="00367C48">
              <w:rPr>
                <w:rFonts w:ascii="Calibri" w:eastAsia="Calibri" w:hAnsi="Calibri" w:cs="Calibri"/>
              </w:rPr>
              <w:t>20</w:t>
            </w:r>
          </w:p>
        </w:tc>
      </w:tr>
      <w:tr w:rsidR="00367C48" w:rsidTr="00367C48">
        <w:tc>
          <w:tcPr>
            <w:tcW w:w="1222" w:type="dxa"/>
          </w:tcPr>
          <w:p w:rsidR="00367C48" w:rsidRDefault="00367C48" w:rsidP="009027F1">
            <w:pPr>
              <w:rPr>
                <w:rFonts w:ascii="Calibri" w:eastAsia="Calibri" w:hAnsi="Calibri" w:cs="Calibri"/>
                <w:b/>
              </w:rPr>
            </w:pPr>
            <w:r>
              <w:rPr>
                <w:rFonts w:ascii="Calibri" w:eastAsia="Calibri" w:hAnsi="Calibri" w:cs="Calibri"/>
                <w:b/>
              </w:rPr>
              <w:t>June</w:t>
            </w:r>
          </w:p>
        </w:tc>
        <w:tc>
          <w:tcPr>
            <w:tcW w:w="5152" w:type="dxa"/>
          </w:tcPr>
          <w:p w:rsidR="00367C48" w:rsidRPr="00367C48" w:rsidRDefault="00367C48" w:rsidP="009027F1">
            <w:pPr>
              <w:rPr>
                <w:rFonts w:ascii="Calibri" w:eastAsia="Calibri" w:hAnsi="Calibri" w:cs="Calibri"/>
              </w:rPr>
            </w:pPr>
            <w:r w:rsidRPr="00367C48">
              <w:rPr>
                <w:rFonts w:ascii="Calibri" w:eastAsia="Calibri" w:hAnsi="Calibri" w:cs="Calibri"/>
              </w:rPr>
              <w:t>Ministers in the Economics Cluster</w:t>
            </w:r>
          </w:p>
        </w:tc>
        <w:tc>
          <w:tcPr>
            <w:tcW w:w="1138" w:type="dxa"/>
          </w:tcPr>
          <w:p w:rsidR="00367C48" w:rsidRPr="00367C48" w:rsidRDefault="00367C48" w:rsidP="009027F1">
            <w:pPr>
              <w:rPr>
                <w:rFonts w:ascii="Calibri" w:eastAsia="Calibri" w:hAnsi="Calibri" w:cs="Calibri"/>
              </w:rPr>
            </w:pPr>
            <w:r w:rsidRPr="00367C48">
              <w:rPr>
                <w:rFonts w:ascii="Calibri" w:eastAsia="Calibri" w:hAnsi="Calibri" w:cs="Calibri"/>
              </w:rPr>
              <w:t>55</w:t>
            </w:r>
          </w:p>
        </w:tc>
        <w:tc>
          <w:tcPr>
            <w:tcW w:w="877" w:type="dxa"/>
          </w:tcPr>
          <w:p w:rsidR="00367C48" w:rsidRPr="00367C48" w:rsidRDefault="00367C48" w:rsidP="009027F1">
            <w:pPr>
              <w:rPr>
                <w:rFonts w:ascii="Calibri" w:eastAsia="Calibri" w:hAnsi="Calibri" w:cs="Calibri"/>
              </w:rPr>
            </w:pPr>
            <w:r w:rsidRPr="00367C48">
              <w:rPr>
                <w:rFonts w:ascii="Calibri" w:eastAsia="Calibri" w:hAnsi="Calibri" w:cs="Calibri"/>
              </w:rPr>
              <w:t>24</w:t>
            </w:r>
          </w:p>
        </w:tc>
        <w:tc>
          <w:tcPr>
            <w:tcW w:w="1392" w:type="dxa"/>
          </w:tcPr>
          <w:p w:rsidR="00367C48" w:rsidRPr="00367C48" w:rsidRDefault="00367C48" w:rsidP="009027F1">
            <w:pPr>
              <w:rPr>
                <w:rFonts w:ascii="Calibri" w:eastAsia="Calibri" w:hAnsi="Calibri" w:cs="Calibri"/>
              </w:rPr>
            </w:pPr>
            <w:r w:rsidRPr="00367C48">
              <w:rPr>
                <w:rFonts w:ascii="Calibri" w:eastAsia="Calibri" w:hAnsi="Calibri" w:cs="Calibri"/>
              </w:rPr>
              <w:t>31</w:t>
            </w:r>
          </w:p>
        </w:tc>
      </w:tr>
      <w:tr w:rsidR="00367C48" w:rsidTr="00367C48">
        <w:tc>
          <w:tcPr>
            <w:tcW w:w="1222" w:type="dxa"/>
            <w:vMerge w:val="restart"/>
          </w:tcPr>
          <w:p w:rsidR="00367C48" w:rsidRDefault="00367C48" w:rsidP="00367C48">
            <w:pPr>
              <w:rPr>
                <w:rFonts w:ascii="Calibri" w:eastAsia="Calibri" w:hAnsi="Calibri" w:cs="Calibri"/>
                <w:b/>
              </w:rPr>
            </w:pPr>
            <w:r>
              <w:rPr>
                <w:rFonts w:ascii="Calibri" w:eastAsia="Calibri" w:hAnsi="Calibri" w:cs="Calibri"/>
                <w:b/>
              </w:rPr>
              <w:t>August</w:t>
            </w:r>
          </w:p>
          <w:p w:rsidR="00367C48" w:rsidRDefault="00367C48" w:rsidP="009027F1">
            <w:pPr>
              <w:rPr>
                <w:rFonts w:ascii="Calibri" w:eastAsia="Calibri" w:hAnsi="Calibri" w:cs="Calibri"/>
                <w:b/>
              </w:rPr>
            </w:pPr>
          </w:p>
        </w:tc>
        <w:tc>
          <w:tcPr>
            <w:tcW w:w="5152" w:type="dxa"/>
          </w:tcPr>
          <w:p w:rsidR="00367C48" w:rsidRPr="00367C48" w:rsidRDefault="00367C48" w:rsidP="009027F1">
            <w:pPr>
              <w:rPr>
                <w:rFonts w:ascii="Calibri" w:eastAsia="Calibri" w:hAnsi="Calibri" w:cs="Calibri"/>
              </w:rPr>
            </w:pPr>
            <w:r w:rsidRPr="00367C48">
              <w:rPr>
                <w:rFonts w:ascii="Calibri" w:eastAsia="Calibri" w:hAnsi="Calibri" w:cs="Calibri"/>
              </w:rPr>
              <w:t>Ministers in the Peace&amp; Security Cluster</w:t>
            </w:r>
          </w:p>
        </w:tc>
        <w:tc>
          <w:tcPr>
            <w:tcW w:w="1138" w:type="dxa"/>
          </w:tcPr>
          <w:p w:rsidR="00367C48" w:rsidRPr="00367C48" w:rsidRDefault="00367C48" w:rsidP="009027F1">
            <w:pPr>
              <w:rPr>
                <w:rFonts w:ascii="Calibri" w:eastAsia="Calibri" w:hAnsi="Calibri" w:cs="Calibri"/>
              </w:rPr>
            </w:pPr>
            <w:r w:rsidRPr="00367C48">
              <w:rPr>
                <w:rFonts w:ascii="Calibri" w:eastAsia="Calibri" w:hAnsi="Calibri" w:cs="Calibri"/>
              </w:rPr>
              <w:t>38</w:t>
            </w:r>
          </w:p>
        </w:tc>
        <w:tc>
          <w:tcPr>
            <w:tcW w:w="877" w:type="dxa"/>
          </w:tcPr>
          <w:p w:rsidR="00367C48" w:rsidRPr="00367C48" w:rsidRDefault="00367C48" w:rsidP="009027F1">
            <w:pPr>
              <w:rPr>
                <w:rFonts w:ascii="Calibri" w:eastAsia="Calibri" w:hAnsi="Calibri" w:cs="Calibri"/>
              </w:rPr>
            </w:pPr>
            <w:r w:rsidRPr="00367C48">
              <w:rPr>
                <w:rFonts w:ascii="Calibri" w:eastAsia="Calibri" w:hAnsi="Calibri" w:cs="Calibri"/>
              </w:rPr>
              <w:t>22</w:t>
            </w:r>
          </w:p>
        </w:tc>
        <w:tc>
          <w:tcPr>
            <w:tcW w:w="1392" w:type="dxa"/>
          </w:tcPr>
          <w:p w:rsidR="00367C48" w:rsidRPr="00367C48" w:rsidRDefault="00367C48" w:rsidP="009027F1">
            <w:pPr>
              <w:rPr>
                <w:rFonts w:ascii="Calibri" w:eastAsia="Calibri" w:hAnsi="Calibri" w:cs="Calibri"/>
              </w:rPr>
            </w:pPr>
            <w:r w:rsidRPr="00367C48">
              <w:rPr>
                <w:rFonts w:ascii="Calibri" w:eastAsia="Calibri" w:hAnsi="Calibri" w:cs="Calibri"/>
              </w:rPr>
              <w:t>16</w:t>
            </w:r>
          </w:p>
        </w:tc>
      </w:tr>
      <w:tr w:rsidR="00367C48" w:rsidTr="00367C48">
        <w:tc>
          <w:tcPr>
            <w:tcW w:w="1222" w:type="dxa"/>
            <w:vMerge/>
          </w:tcPr>
          <w:p w:rsidR="00367C48" w:rsidRPr="007B5EBB" w:rsidRDefault="00367C48" w:rsidP="009027F1">
            <w:pPr>
              <w:rPr>
                <w:rFonts w:ascii="Calibri" w:eastAsia="Calibri" w:hAnsi="Calibri" w:cs="Calibri"/>
                <w:b/>
              </w:rPr>
            </w:pPr>
          </w:p>
        </w:tc>
        <w:tc>
          <w:tcPr>
            <w:tcW w:w="5152" w:type="dxa"/>
          </w:tcPr>
          <w:p w:rsidR="00367C48" w:rsidRPr="00367C48" w:rsidRDefault="00367C48" w:rsidP="009027F1">
            <w:pPr>
              <w:rPr>
                <w:rFonts w:ascii="Calibri" w:eastAsia="Calibri" w:hAnsi="Calibri" w:cs="Calibri"/>
              </w:rPr>
            </w:pPr>
            <w:r w:rsidRPr="00367C48">
              <w:rPr>
                <w:rFonts w:ascii="Calibri" w:eastAsia="Calibri" w:hAnsi="Calibri" w:cs="Calibri"/>
              </w:rPr>
              <w:t>Ministers in the Economics Cluster</w:t>
            </w:r>
          </w:p>
        </w:tc>
        <w:tc>
          <w:tcPr>
            <w:tcW w:w="1138" w:type="dxa"/>
          </w:tcPr>
          <w:p w:rsidR="00367C48" w:rsidRPr="00367C48" w:rsidRDefault="00367C48" w:rsidP="009027F1">
            <w:pPr>
              <w:rPr>
                <w:rFonts w:ascii="Calibri" w:eastAsia="Calibri" w:hAnsi="Calibri" w:cs="Calibri"/>
              </w:rPr>
            </w:pPr>
            <w:r w:rsidRPr="00367C48">
              <w:rPr>
                <w:rFonts w:ascii="Calibri" w:eastAsia="Calibri" w:hAnsi="Calibri" w:cs="Calibri"/>
              </w:rPr>
              <w:t>47</w:t>
            </w:r>
          </w:p>
        </w:tc>
        <w:tc>
          <w:tcPr>
            <w:tcW w:w="877" w:type="dxa"/>
          </w:tcPr>
          <w:p w:rsidR="00367C48" w:rsidRPr="00367C48" w:rsidRDefault="00367C48" w:rsidP="009027F1">
            <w:pPr>
              <w:rPr>
                <w:rFonts w:ascii="Calibri" w:eastAsia="Calibri" w:hAnsi="Calibri" w:cs="Calibri"/>
              </w:rPr>
            </w:pPr>
            <w:r w:rsidRPr="00367C48">
              <w:rPr>
                <w:rFonts w:ascii="Calibri" w:eastAsia="Calibri" w:hAnsi="Calibri" w:cs="Calibri"/>
              </w:rPr>
              <w:t>19</w:t>
            </w:r>
          </w:p>
        </w:tc>
        <w:tc>
          <w:tcPr>
            <w:tcW w:w="1392" w:type="dxa"/>
          </w:tcPr>
          <w:p w:rsidR="00367C48" w:rsidRPr="00367C48" w:rsidRDefault="00367C48" w:rsidP="009027F1">
            <w:pPr>
              <w:rPr>
                <w:rFonts w:ascii="Calibri" w:eastAsia="Calibri" w:hAnsi="Calibri" w:cs="Calibri"/>
              </w:rPr>
            </w:pPr>
            <w:r w:rsidRPr="00367C48">
              <w:rPr>
                <w:rFonts w:ascii="Calibri" w:eastAsia="Calibri" w:hAnsi="Calibri" w:cs="Calibri"/>
              </w:rPr>
              <w:t>28</w:t>
            </w:r>
          </w:p>
        </w:tc>
      </w:tr>
      <w:tr w:rsidR="00367C48" w:rsidTr="00367C48">
        <w:tc>
          <w:tcPr>
            <w:tcW w:w="1222" w:type="dxa"/>
            <w:vMerge/>
          </w:tcPr>
          <w:p w:rsidR="00367C48" w:rsidRPr="007B5EBB" w:rsidRDefault="00367C48" w:rsidP="009027F1">
            <w:pPr>
              <w:rPr>
                <w:rFonts w:ascii="Calibri" w:eastAsia="Calibri" w:hAnsi="Calibri" w:cs="Calibri"/>
                <w:b/>
              </w:rPr>
            </w:pPr>
          </w:p>
        </w:tc>
        <w:tc>
          <w:tcPr>
            <w:tcW w:w="5152" w:type="dxa"/>
          </w:tcPr>
          <w:p w:rsidR="00367C48" w:rsidRPr="00367C48" w:rsidRDefault="00367C48" w:rsidP="009027F1">
            <w:pPr>
              <w:rPr>
                <w:rFonts w:ascii="Calibri" w:eastAsia="Calibri" w:hAnsi="Calibri" w:cs="Calibri"/>
              </w:rPr>
            </w:pPr>
            <w:r w:rsidRPr="00367C48">
              <w:rPr>
                <w:rFonts w:ascii="Calibri" w:eastAsia="Calibri" w:hAnsi="Calibri" w:cs="Calibri"/>
              </w:rPr>
              <w:t xml:space="preserve">Question Session for the President </w:t>
            </w:r>
          </w:p>
        </w:tc>
        <w:tc>
          <w:tcPr>
            <w:tcW w:w="1138" w:type="dxa"/>
          </w:tcPr>
          <w:p w:rsidR="00367C48" w:rsidRPr="00367C48" w:rsidRDefault="00367C48" w:rsidP="009027F1">
            <w:pPr>
              <w:rPr>
                <w:rFonts w:ascii="Calibri" w:eastAsia="Calibri" w:hAnsi="Calibri" w:cs="Calibri"/>
              </w:rPr>
            </w:pPr>
            <w:r w:rsidRPr="00367C48">
              <w:rPr>
                <w:rFonts w:ascii="Calibri" w:eastAsia="Calibri" w:hAnsi="Calibri" w:cs="Calibri"/>
              </w:rPr>
              <w:t>12</w:t>
            </w:r>
          </w:p>
        </w:tc>
        <w:tc>
          <w:tcPr>
            <w:tcW w:w="877" w:type="dxa"/>
          </w:tcPr>
          <w:p w:rsidR="00367C48" w:rsidRPr="00367C48" w:rsidRDefault="00367C48" w:rsidP="009027F1">
            <w:pPr>
              <w:rPr>
                <w:rFonts w:ascii="Calibri" w:eastAsia="Calibri" w:hAnsi="Calibri" w:cs="Calibri"/>
              </w:rPr>
            </w:pPr>
            <w:r w:rsidRPr="00367C48">
              <w:rPr>
                <w:rFonts w:ascii="Calibri" w:eastAsia="Calibri" w:hAnsi="Calibri" w:cs="Calibri"/>
              </w:rPr>
              <w:t>12</w:t>
            </w:r>
          </w:p>
        </w:tc>
        <w:tc>
          <w:tcPr>
            <w:tcW w:w="1392" w:type="dxa"/>
          </w:tcPr>
          <w:p w:rsidR="00367C48" w:rsidRPr="00367C48" w:rsidRDefault="00367C48" w:rsidP="009027F1">
            <w:pPr>
              <w:rPr>
                <w:rFonts w:ascii="Calibri" w:eastAsia="Calibri" w:hAnsi="Calibri" w:cs="Calibri"/>
              </w:rPr>
            </w:pPr>
          </w:p>
        </w:tc>
      </w:tr>
      <w:tr w:rsidR="00367C48" w:rsidTr="00367C48">
        <w:tc>
          <w:tcPr>
            <w:tcW w:w="1222" w:type="dxa"/>
            <w:vMerge w:val="restart"/>
          </w:tcPr>
          <w:p w:rsidR="00367C48" w:rsidRDefault="00367C48" w:rsidP="00367C48">
            <w:pPr>
              <w:rPr>
                <w:rFonts w:ascii="Calibri" w:eastAsia="Calibri" w:hAnsi="Calibri" w:cs="Calibri"/>
                <w:b/>
              </w:rPr>
            </w:pPr>
            <w:r>
              <w:rPr>
                <w:rFonts w:ascii="Calibri" w:eastAsia="Calibri" w:hAnsi="Calibri" w:cs="Calibri"/>
                <w:b/>
              </w:rPr>
              <w:t>September</w:t>
            </w:r>
          </w:p>
          <w:p w:rsidR="00367C48" w:rsidRDefault="00367C48" w:rsidP="009027F1">
            <w:pPr>
              <w:rPr>
                <w:rFonts w:ascii="Calibri" w:eastAsia="Calibri" w:hAnsi="Calibri" w:cs="Calibri"/>
                <w:b/>
              </w:rPr>
            </w:pPr>
          </w:p>
        </w:tc>
        <w:tc>
          <w:tcPr>
            <w:tcW w:w="5152" w:type="dxa"/>
          </w:tcPr>
          <w:p w:rsidR="00367C48" w:rsidRPr="00367C48" w:rsidRDefault="00367C48" w:rsidP="009027F1">
            <w:pPr>
              <w:rPr>
                <w:rFonts w:ascii="Calibri" w:eastAsia="Calibri" w:hAnsi="Calibri" w:cs="Calibri"/>
              </w:rPr>
            </w:pPr>
            <w:r w:rsidRPr="00367C48">
              <w:rPr>
                <w:rFonts w:ascii="Calibri" w:eastAsia="Calibri" w:hAnsi="Calibri" w:cs="Calibri"/>
              </w:rPr>
              <w:t>Ministers in the Social Services Cluster</w:t>
            </w:r>
          </w:p>
        </w:tc>
        <w:tc>
          <w:tcPr>
            <w:tcW w:w="1138" w:type="dxa"/>
          </w:tcPr>
          <w:p w:rsidR="00367C48" w:rsidRPr="00367C48" w:rsidRDefault="00367C48" w:rsidP="009027F1">
            <w:pPr>
              <w:rPr>
                <w:rFonts w:ascii="Calibri" w:eastAsia="Calibri" w:hAnsi="Calibri" w:cs="Calibri"/>
              </w:rPr>
            </w:pPr>
            <w:r w:rsidRPr="00367C48">
              <w:rPr>
                <w:rFonts w:ascii="Calibri" w:eastAsia="Calibri" w:hAnsi="Calibri" w:cs="Calibri"/>
              </w:rPr>
              <w:t>52</w:t>
            </w:r>
          </w:p>
        </w:tc>
        <w:tc>
          <w:tcPr>
            <w:tcW w:w="877" w:type="dxa"/>
          </w:tcPr>
          <w:p w:rsidR="00367C48" w:rsidRPr="00367C48" w:rsidRDefault="00367C48" w:rsidP="009027F1">
            <w:pPr>
              <w:rPr>
                <w:rFonts w:ascii="Calibri" w:eastAsia="Calibri" w:hAnsi="Calibri" w:cs="Calibri"/>
              </w:rPr>
            </w:pPr>
            <w:r w:rsidRPr="00367C48">
              <w:rPr>
                <w:rFonts w:ascii="Calibri" w:eastAsia="Calibri" w:hAnsi="Calibri" w:cs="Calibri"/>
              </w:rPr>
              <w:t>36</w:t>
            </w:r>
          </w:p>
        </w:tc>
        <w:tc>
          <w:tcPr>
            <w:tcW w:w="1392" w:type="dxa"/>
          </w:tcPr>
          <w:p w:rsidR="00367C48" w:rsidRPr="00367C48" w:rsidRDefault="00367C48" w:rsidP="009027F1">
            <w:pPr>
              <w:rPr>
                <w:rFonts w:ascii="Calibri" w:eastAsia="Calibri" w:hAnsi="Calibri" w:cs="Calibri"/>
              </w:rPr>
            </w:pPr>
            <w:r w:rsidRPr="00367C48">
              <w:rPr>
                <w:rFonts w:ascii="Calibri" w:eastAsia="Calibri" w:hAnsi="Calibri" w:cs="Calibri"/>
              </w:rPr>
              <w:t>16</w:t>
            </w:r>
          </w:p>
        </w:tc>
      </w:tr>
      <w:tr w:rsidR="00367C48" w:rsidTr="00367C48">
        <w:tc>
          <w:tcPr>
            <w:tcW w:w="1222" w:type="dxa"/>
            <w:vMerge/>
          </w:tcPr>
          <w:p w:rsidR="00367C48" w:rsidRPr="007B5EBB" w:rsidRDefault="00367C48" w:rsidP="009027F1">
            <w:pPr>
              <w:rPr>
                <w:rFonts w:ascii="Calibri" w:eastAsia="Calibri" w:hAnsi="Calibri" w:cs="Calibri"/>
                <w:b/>
              </w:rPr>
            </w:pPr>
          </w:p>
        </w:tc>
        <w:tc>
          <w:tcPr>
            <w:tcW w:w="5152" w:type="dxa"/>
          </w:tcPr>
          <w:p w:rsidR="00367C48" w:rsidRPr="00367C48" w:rsidRDefault="00367C48" w:rsidP="009027F1">
            <w:pPr>
              <w:rPr>
                <w:rFonts w:ascii="Calibri" w:eastAsia="Calibri" w:hAnsi="Calibri" w:cs="Calibri"/>
              </w:rPr>
            </w:pPr>
            <w:r w:rsidRPr="00367C48">
              <w:rPr>
                <w:rFonts w:ascii="Calibri" w:eastAsia="Calibri" w:hAnsi="Calibri" w:cs="Calibri"/>
              </w:rPr>
              <w:t>Question Session for the Deputy President</w:t>
            </w:r>
          </w:p>
        </w:tc>
        <w:tc>
          <w:tcPr>
            <w:tcW w:w="1138" w:type="dxa"/>
          </w:tcPr>
          <w:p w:rsidR="00367C48" w:rsidRPr="00367C48" w:rsidRDefault="00367C48" w:rsidP="009027F1">
            <w:pPr>
              <w:rPr>
                <w:rFonts w:ascii="Calibri" w:eastAsia="Calibri" w:hAnsi="Calibri" w:cs="Calibri"/>
              </w:rPr>
            </w:pPr>
            <w:r w:rsidRPr="00367C48">
              <w:rPr>
                <w:rFonts w:ascii="Calibri" w:eastAsia="Calibri" w:hAnsi="Calibri" w:cs="Calibri"/>
              </w:rPr>
              <w:t>6</w:t>
            </w:r>
          </w:p>
        </w:tc>
        <w:tc>
          <w:tcPr>
            <w:tcW w:w="877" w:type="dxa"/>
          </w:tcPr>
          <w:p w:rsidR="00367C48" w:rsidRPr="00367C48" w:rsidRDefault="00367C48" w:rsidP="009027F1">
            <w:pPr>
              <w:rPr>
                <w:rFonts w:ascii="Calibri" w:eastAsia="Calibri" w:hAnsi="Calibri" w:cs="Calibri"/>
              </w:rPr>
            </w:pPr>
            <w:r w:rsidRPr="00367C48">
              <w:rPr>
                <w:rFonts w:ascii="Calibri" w:eastAsia="Calibri" w:hAnsi="Calibri" w:cs="Calibri"/>
              </w:rPr>
              <w:t>6</w:t>
            </w:r>
          </w:p>
        </w:tc>
        <w:tc>
          <w:tcPr>
            <w:tcW w:w="1392" w:type="dxa"/>
          </w:tcPr>
          <w:p w:rsidR="00367C48" w:rsidRPr="00367C48" w:rsidRDefault="00367C48" w:rsidP="009027F1">
            <w:pPr>
              <w:rPr>
                <w:rFonts w:ascii="Calibri" w:eastAsia="Calibri" w:hAnsi="Calibri" w:cs="Calibri"/>
              </w:rPr>
            </w:pPr>
            <w:r>
              <w:rPr>
                <w:rFonts w:ascii="Calibri" w:eastAsia="Calibri" w:hAnsi="Calibri" w:cs="Calibri"/>
              </w:rPr>
              <w:t>0</w:t>
            </w:r>
          </w:p>
        </w:tc>
      </w:tr>
    </w:tbl>
    <w:p w:rsidR="009027F1" w:rsidRPr="007B5EBB" w:rsidRDefault="009027F1" w:rsidP="009027F1">
      <w:pPr>
        <w:rPr>
          <w:rFonts w:ascii="Calibri" w:eastAsia="Calibri" w:hAnsi="Calibri" w:cs="Calibri"/>
          <w:b/>
        </w:rPr>
      </w:pPr>
    </w:p>
    <w:p w:rsidR="009027F1" w:rsidRPr="007B5EBB" w:rsidRDefault="009027F1" w:rsidP="009027F1">
      <w:pPr>
        <w:jc w:val="both"/>
        <w:rPr>
          <w:rFonts w:ascii="Calibri" w:hAnsi="Calibri" w:cs="Calibri"/>
        </w:rPr>
      </w:pPr>
      <w:r w:rsidRPr="007B5EBB">
        <w:rPr>
          <w:rFonts w:ascii="Calibri" w:hAnsi="Calibri" w:cs="Calibri"/>
        </w:rPr>
        <w:t>The following ministerial statements were heard by the Assembly during the period under review:</w:t>
      </w:r>
    </w:p>
    <w:p w:rsidR="00D540E2" w:rsidRPr="00D540E2" w:rsidRDefault="009027F1" w:rsidP="003B5E3A">
      <w:pPr>
        <w:pStyle w:val="ListParagraph"/>
        <w:numPr>
          <w:ilvl w:val="0"/>
          <w:numId w:val="29"/>
        </w:numPr>
        <w:spacing w:after="120"/>
        <w:jc w:val="both"/>
        <w:rPr>
          <w:rFonts w:ascii="Calibri" w:hAnsi="Calibri" w:cs="Calibri"/>
          <w:sz w:val="22"/>
          <w:szCs w:val="22"/>
        </w:rPr>
      </w:pPr>
      <w:r w:rsidRPr="00D540E2">
        <w:rPr>
          <w:rFonts w:ascii="Calibri" w:hAnsi="Calibri" w:cs="Calibri"/>
          <w:sz w:val="22"/>
          <w:szCs w:val="22"/>
        </w:rPr>
        <w:t>Statement by the Minister of Sport, Arts and Culture on transformation of the Heritage landscape in South Africa.</w:t>
      </w:r>
    </w:p>
    <w:p w:rsidR="009027F1" w:rsidRPr="007B5EBB" w:rsidRDefault="009027F1" w:rsidP="009027F1">
      <w:pPr>
        <w:jc w:val="both"/>
        <w:rPr>
          <w:rFonts w:ascii="Calibri" w:hAnsi="Calibri" w:cs="Calibri"/>
        </w:rPr>
      </w:pPr>
      <w:r w:rsidRPr="007B5EBB">
        <w:rPr>
          <w:rFonts w:ascii="Calibri" w:hAnsi="Calibri" w:cs="Calibri"/>
        </w:rPr>
        <w:t>Matters that were debated during this period included the following:</w:t>
      </w:r>
    </w:p>
    <w:p w:rsidR="009027F1" w:rsidRPr="007B5EBB" w:rsidRDefault="009027F1" w:rsidP="003B5E3A">
      <w:pPr>
        <w:numPr>
          <w:ilvl w:val="0"/>
          <w:numId w:val="28"/>
        </w:numPr>
        <w:spacing w:after="0" w:line="240" w:lineRule="auto"/>
        <w:jc w:val="both"/>
        <w:rPr>
          <w:rFonts w:ascii="Calibri" w:hAnsi="Calibri" w:cs="Calibri"/>
        </w:rPr>
      </w:pPr>
      <w:r w:rsidRPr="007B5EBB">
        <w:rPr>
          <w:rFonts w:ascii="Calibri" w:hAnsi="Calibri" w:cs="Calibri"/>
        </w:rPr>
        <w:t>Debate on Youth Day: Youth Power – Growing South Africa together in a time of Covid-19.</w:t>
      </w:r>
    </w:p>
    <w:p w:rsidR="009027F1" w:rsidRPr="007B5EBB" w:rsidRDefault="009027F1" w:rsidP="003B5E3A">
      <w:pPr>
        <w:numPr>
          <w:ilvl w:val="0"/>
          <w:numId w:val="28"/>
        </w:numPr>
        <w:spacing w:after="0" w:line="240" w:lineRule="auto"/>
        <w:jc w:val="both"/>
        <w:rPr>
          <w:rFonts w:ascii="Calibri" w:hAnsi="Calibri" w:cs="Calibri"/>
        </w:rPr>
      </w:pPr>
      <w:r w:rsidRPr="007B5EBB">
        <w:rPr>
          <w:rFonts w:ascii="Calibri" w:hAnsi="Calibri" w:cs="Calibri"/>
        </w:rPr>
        <w:t>Matter of Urgent National Importance (Rule 130): “The scourge of gender-based violence against women and femicide.”</w:t>
      </w:r>
    </w:p>
    <w:p w:rsidR="009027F1" w:rsidRPr="007B5EBB" w:rsidRDefault="009027F1" w:rsidP="003B5E3A">
      <w:pPr>
        <w:numPr>
          <w:ilvl w:val="0"/>
          <w:numId w:val="28"/>
        </w:numPr>
        <w:spacing w:after="0" w:line="240" w:lineRule="auto"/>
        <w:jc w:val="both"/>
        <w:rPr>
          <w:rFonts w:ascii="Calibri" w:hAnsi="Calibri" w:cs="Calibri"/>
        </w:rPr>
      </w:pPr>
      <w:r w:rsidRPr="007B5EBB">
        <w:rPr>
          <w:rFonts w:ascii="Calibri" w:hAnsi="Calibri" w:cs="Calibri"/>
        </w:rPr>
        <w:t>Hosted, on two separate occasions, the Ministers of Health and Social Development to deliver Executive Statements, both reflecting on the impact of COVID-19 in the country and the response of their respective Departments in mitigating the impact. The Assembly engaged in a snap debate on each occasions;</w:t>
      </w:r>
    </w:p>
    <w:p w:rsidR="009027F1" w:rsidRPr="007B5EBB" w:rsidRDefault="009027F1" w:rsidP="003B5E3A">
      <w:pPr>
        <w:numPr>
          <w:ilvl w:val="0"/>
          <w:numId w:val="28"/>
        </w:numPr>
        <w:spacing w:after="0" w:line="240" w:lineRule="auto"/>
        <w:jc w:val="both"/>
        <w:rPr>
          <w:rFonts w:ascii="Calibri" w:hAnsi="Calibri" w:cs="Calibri"/>
        </w:rPr>
      </w:pPr>
      <w:r w:rsidRPr="007B5EBB">
        <w:rPr>
          <w:rFonts w:ascii="Calibri" w:hAnsi="Calibri" w:cs="Calibri"/>
        </w:rPr>
        <w:t>Engaged in a debate and APPROVED the Revised Fiscal Framework and Revenue Proposals for 2020-2021; and</w:t>
      </w:r>
    </w:p>
    <w:p w:rsidR="009027F1" w:rsidRPr="007B5EBB" w:rsidRDefault="009027F1" w:rsidP="003B5E3A">
      <w:pPr>
        <w:numPr>
          <w:ilvl w:val="0"/>
          <w:numId w:val="28"/>
        </w:numPr>
        <w:spacing w:after="0" w:line="240" w:lineRule="auto"/>
        <w:jc w:val="both"/>
        <w:rPr>
          <w:rFonts w:ascii="Calibri" w:hAnsi="Calibri" w:cs="Calibri"/>
        </w:rPr>
      </w:pPr>
      <w:r w:rsidRPr="007B5EBB">
        <w:rPr>
          <w:rFonts w:ascii="Calibri" w:hAnsi="Calibri" w:cs="Calibri"/>
        </w:rPr>
        <w:t>Debate on National Women’s Day: Generation Equality – Realising women’s rights for an equal future</w:t>
      </w:r>
    </w:p>
    <w:p w:rsidR="009027F1" w:rsidRPr="007B5EBB" w:rsidRDefault="009027F1" w:rsidP="003B5E3A">
      <w:pPr>
        <w:numPr>
          <w:ilvl w:val="0"/>
          <w:numId w:val="28"/>
        </w:numPr>
        <w:spacing w:after="0" w:line="240" w:lineRule="auto"/>
        <w:jc w:val="both"/>
        <w:rPr>
          <w:rFonts w:ascii="Calibri" w:hAnsi="Calibri" w:cs="Calibri"/>
        </w:rPr>
      </w:pPr>
      <w:r w:rsidRPr="007B5EBB">
        <w:rPr>
          <w:rFonts w:ascii="Calibri" w:hAnsi="Calibri" w:cs="Calibri"/>
        </w:rPr>
        <w:t>Debate in terms of Rule 130: Solidarity with the #BlackLivesMatter movement – Reinforcing the commitment of all South Africans to confront and defeat individual and institutional racism in our society and everywhere else it exists</w:t>
      </w:r>
    </w:p>
    <w:p w:rsidR="009027F1" w:rsidRPr="007B5EBB" w:rsidRDefault="009027F1" w:rsidP="003B5E3A">
      <w:pPr>
        <w:numPr>
          <w:ilvl w:val="0"/>
          <w:numId w:val="28"/>
        </w:numPr>
        <w:spacing w:after="0" w:line="240" w:lineRule="auto"/>
        <w:jc w:val="both"/>
        <w:rPr>
          <w:rFonts w:ascii="Calibri" w:hAnsi="Calibri" w:cs="Calibri"/>
        </w:rPr>
      </w:pPr>
      <w:r w:rsidRPr="007B5EBB">
        <w:rPr>
          <w:rFonts w:ascii="Calibri" w:hAnsi="Calibri" w:cs="Calibri"/>
        </w:rPr>
        <w:t>Urgent Matter of National Public Importance (Rule 130): “Phased-in approach to the reopening of schools by the Department of Basic Education”.</w:t>
      </w:r>
    </w:p>
    <w:p w:rsidR="009027F1" w:rsidRPr="007B5EBB" w:rsidRDefault="009027F1" w:rsidP="003B5E3A">
      <w:pPr>
        <w:numPr>
          <w:ilvl w:val="0"/>
          <w:numId w:val="28"/>
        </w:numPr>
        <w:spacing w:after="0" w:line="240" w:lineRule="auto"/>
        <w:jc w:val="both"/>
        <w:rPr>
          <w:rFonts w:ascii="Calibri" w:hAnsi="Calibri" w:cs="Calibri"/>
        </w:rPr>
      </w:pPr>
      <w:r w:rsidRPr="007B5EBB">
        <w:rPr>
          <w:rFonts w:ascii="Calibri" w:hAnsi="Calibri" w:cs="Calibri"/>
        </w:rPr>
        <w:t>Debate in terms of Rule 130: Recent scourge of farm attacks and murders of farmers and farm workers</w:t>
      </w:r>
    </w:p>
    <w:p w:rsidR="00755825" w:rsidRDefault="00755825" w:rsidP="00755825">
      <w:pPr>
        <w:spacing w:before="120" w:after="0"/>
        <w:jc w:val="both"/>
        <w:rPr>
          <w:rFonts w:ascii="Calibri" w:hAnsi="Calibri" w:cs="Calibri"/>
        </w:rPr>
      </w:pPr>
      <w:r w:rsidRPr="007B5EBB">
        <w:rPr>
          <w:rFonts w:ascii="Calibri" w:hAnsi="Calibri" w:cs="Calibri"/>
        </w:rPr>
        <w:t xml:space="preserve">During the current financial year, there were 116 house resolutions processed for the period under review.The Assembly </w:t>
      </w:r>
      <w:r>
        <w:rPr>
          <w:rFonts w:ascii="Calibri" w:hAnsi="Calibri" w:cs="Calibri"/>
        </w:rPr>
        <w:t xml:space="preserve">also </w:t>
      </w:r>
      <w:r w:rsidRPr="007B5EBB">
        <w:rPr>
          <w:rFonts w:ascii="Calibri" w:hAnsi="Calibri" w:cs="Calibri"/>
        </w:rPr>
        <w:t xml:space="preserve">hosted </w:t>
      </w:r>
      <w:r>
        <w:rPr>
          <w:rFonts w:ascii="Calibri" w:hAnsi="Calibri" w:cs="Calibri"/>
        </w:rPr>
        <w:t xml:space="preserve">21 Hybrid sittings and </w:t>
      </w:r>
      <w:r w:rsidRPr="007B5EBB">
        <w:rPr>
          <w:rFonts w:ascii="Calibri" w:hAnsi="Calibri" w:cs="Calibri"/>
        </w:rPr>
        <w:t xml:space="preserve">23 fully virtual mini-plenaries to engage in various Budget Votes </w:t>
      </w:r>
      <w:r w:rsidRPr="007B5EBB">
        <w:rPr>
          <w:rFonts w:ascii="Calibri" w:hAnsi="Calibri" w:cs="Calibri"/>
        </w:rPr>
        <w:lastRenderedPageBreak/>
        <w:t>debates related to the Adjustments Appropriation Bill.</w:t>
      </w:r>
      <w:r>
        <w:rPr>
          <w:rFonts w:ascii="Calibri" w:hAnsi="Calibri" w:cs="Calibri"/>
        </w:rPr>
        <w:t xml:space="preserve"> Further, n</w:t>
      </w:r>
      <w:r w:rsidRPr="007B5EBB">
        <w:rPr>
          <w:rFonts w:ascii="Calibri" w:hAnsi="Calibri" w:cs="Calibri"/>
        </w:rPr>
        <w:t xml:space="preserve">o Statutory appointments were made during the period under review. </w:t>
      </w:r>
    </w:p>
    <w:p w:rsidR="0027417E" w:rsidRPr="007B5EBB" w:rsidRDefault="0027417E" w:rsidP="00755825">
      <w:pPr>
        <w:spacing w:before="120" w:after="0"/>
        <w:jc w:val="both"/>
        <w:rPr>
          <w:rFonts w:ascii="Calibri" w:hAnsi="Calibri" w:cs="Calibri"/>
        </w:rPr>
      </w:pPr>
    </w:p>
    <w:p w:rsidR="00FB4AA5" w:rsidRPr="006E4B70" w:rsidRDefault="00FB4AA5" w:rsidP="003B5E3A">
      <w:pPr>
        <w:pStyle w:val="Heading2"/>
        <w:numPr>
          <w:ilvl w:val="2"/>
          <w:numId w:val="36"/>
        </w:numPr>
      </w:pPr>
      <w:bookmarkStart w:id="12" w:name="_Toc54361035"/>
      <w:r w:rsidRPr="006E4B70">
        <w:t>National Council of Provinces</w:t>
      </w:r>
      <w:bookmarkEnd w:id="12"/>
    </w:p>
    <w:p w:rsidR="00FB4AA5" w:rsidRPr="00FB4AA5" w:rsidRDefault="00FB4AA5" w:rsidP="002C2CBB">
      <w:pPr>
        <w:jc w:val="both"/>
        <w:rPr>
          <w:rFonts w:ascii="Calibri" w:hAnsi="Calibri" w:cs="Calibri"/>
          <w:lang w:val="en-GB"/>
        </w:rPr>
      </w:pPr>
      <w:r w:rsidRPr="00FB4AA5">
        <w:rPr>
          <w:rFonts w:ascii="Calibri" w:hAnsi="Calibri" w:cs="Calibri"/>
          <w:lang w:val="en-GB"/>
        </w:rPr>
        <w:t xml:space="preserve">Questions are tools that the Council uses to hold the Executive accountable in terms of section 92 of the Constitution. A total of 686 questions (both oral and written) were addressed to the Ministers during the period under review. This period saw an increase of 5% compared to questions posed to the Executive in the previous term. A total 572 responses were received, which equates to 84% response rate. The NCOP has also seen an </w:t>
      </w:r>
      <w:r w:rsidR="002C2CBB" w:rsidRPr="00FB4AA5">
        <w:rPr>
          <w:rFonts w:ascii="Calibri" w:hAnsi="Calibri" w:cs="Calibri"/>
          <w:lang w:val="en-GB"/>
        </w:rPr>
        <w:t>increase in</w:t>
      </w:r>
      <w:r w:rsidRPr="00FB4AA5">
        <w:rPr>
          <w:rFonts w:ascii="Calibri" w:hAnsi="Calibri" w:cs="Calibri"/>
          <w:lang w:val="en-GB"/>
        </w:rPr>
        <w:t xml:space="preserve"> the number of questions asked to the Executive on the impact of Covid-19 in provinces in accordance with the NCOP constitutional mandate.Key observations since the beginning of the 6</w:t>
      </w:r>
      <w:r w:rsidRPr="00FB4AA5">
        <w:rPr>
          <w:rFonts w:ascii="Calibri" w:hAnsi="Calibri" w:cs="Calibri"/>
          <w:vertAlign w:val="superscript"/>
          <w:lang w:val="en-GB"/>
        </w:rPr>
        <w:t>th</w:t>
      </w:r>
      <w:r w:rsidRPr="00FB4AA5">
        <w:rPr>
          <w:rFonts w:ascii="Calibri" w:hAnsi="Calibri" w:cs="Calibri"/>
          <w:lang w:val="en-GB"/>
        </w:rPr>
        <w:t xml:space="preserve"> Parliament is that the majority of questions are intended to solicit responses from the Executive on the National Development Plan (NDP) thematic areas. During the period under review there was </w:t>
      </w:r>
      <w:r w:rsidR="002C2CBB" w:rsidRPr="00FB4AA5">
        <w:rPr>
          <w:rFonts w:ascii="Calibri" w:hAnsi="Calibri" w:cs="Calibri"/>
          <w:lang w:val="en-GB"/>
        </w:rPr>
        <w:t xml:space="preserve">anincrease </w:t>
      </w:r>
      <w:r w:rsidR="0027417E">
        <w:rPr>
          <w:rFonts w:ascii="Calibri" w:hAnsi="Calibri" w:cs="Calibri"/>
          <w:lang w:val="en-GB"/>
        </w:rPr>
        <w:t>i</w:t>
      </w:r>
      <w:r w:rsidR="002C2CBB" w:rsidRPr="00FB4AA5">
        <w:rPr>
          <w:rFonts w:ascii="Calibri" w:hAnsi="Calibri" w:cs="Calibri"/>
          <w:lang w:val="en-GB"/>
        </w:rPr>
        <w:t>n</w:t>
      </w:r>
      <w:r w:rsidRPr="00FB4AA5">
        <w:rPr>
          <w:rFonts w:ascii="Calibri" w:hAnsi="Calibri" w:cs="Calibri"/>
          <w:lang w:val="en-GB"/>
        </w:rPr>
        <w:t xml:space="preserve"> question</w:t>
      </w:r>
      <w:r w:rsidR="0027417E">
        <w:rPr>
          <w:rFonts w:ascii="Calibri" w:hAnsi="Calibri" w:cs="Calibri"/>
          <w:lang w:val="en-GB"/>
        </w:rPr>
        <w:t>srelating to</w:t>
      </w:r>
      <w:r w:rsidRPr="00FB4AA5">
        <w:rPr>
          <w:rFonts w:ascii="Calibri" w:hAnsi="Calibri" w:cs="Calibri"/>
          <w:lang w:val="en-GB"/>
        </w:rPr>
        <w:t xml:space="preserve"> Quality Health Care, Clean Environment, Quality of Education and Skills Development and Housing, Water, Electricity and Sanitation.</w:t>
      </w:r>
    </w:p>
    <w:p w:rsidR="00FB4AA5" w:rsidRPr="00FB4AA5" w:rsidRDefault="00FB4AA5" w:rsidP="00FB4AA5">
      <w:pPr>
        <w:rPr>
          <w:rFonts w:ascii="Calibri" w:hAnsi="Calibri" w:cs="Calibri"/>
          <w:b/>
          <w:iCs/>
        </w:rPr>
      </w:pPr>
      <w:r w:rsidRPr="00FB4AA5">
        <w:rPr>
          <w:rFonts w:ascii="Calibri" w:hAnsi="Calibri" w:cs="Calibri"/>
          <w:b/>
          <w:iCs/>
        </w:rPr>
        <w:t>Table: Number of questions (for oral and written reply)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666"/>
        <w:gridCol w:w="1666"/>
        <w:gridCol w:w="1525"/>
      </w:tblGrid>
      <w:tr w:rsidR="00FB4AA5" w:rsidRPr="00367C48" w:rsidTr="00367C48">
        <w:trPr>
          <w:trHeight w:val="341"/>
        </w:trPr>
        <w:tc>
          <w:tcPr>
            <w:tcW w:w="1800" w:type="dxa"/>
            <w:shd w:val="clear" w:color="auto" w:fill="F2F2F2"/>
          </w:tcPr>
          <w:p w:rsidR="00FB4AA5" w:rsidRPr="00367C48" w:rsidRDefault="00FB4AA5" w:rsidP="00FB4AA5">
            <w:pPr>
              <w:rPr>
                <w:rFonts w:ascii="Calibri" w:hAnsi="Calibri" w:cs="Calibri"/>
                <w:b/>
                <w:sz w:val="20"/>
                <w:szCs w:val="20"/>
                <w:lang w:val="en-GB"/>
              </w:rPr>
            </w:pPr>
          </w:p>
        </w:tc>
        <w:tc>
          <w:tcPr>
            <w:tcW w:w="1666" w:type="dxa"/>
            <w:shd w:val="clear" w:color="auto" w:fill="F2F2F2"/>
          </w:tcPr>
          <w:p w:rsidR="00FB4AA5" w:rsidRPr="00367C48" w:rsidRDefault="00FB4AA5" w:rsidP="00FB4AA5">
            <w:pPr>
              <w:rPr>
                <w:rFonts w:ascii="Calibri" w:hAnsi="Calibri" w:cs="Calibri"/>
                <w:b/>
                <w:sz w:val="20"/>
                <w:szCs w:val="20"/>
                <w:lang w:val="en-GB"/>
              </w:rPr>
            </w:pPr>
            <w:r w:rsidRPr="00367C48">
              <w:rPr>
                <w:rFonts w:ascii="Calibri" w:hAnsi="Calibri" w:cs="Calibri"/>
                <w:b/>
                <w:sz w:val="20"/>
                <w:szCs w:val="20"/>
                <w:lang w:val="en-GB"/>
              </w:rPr>
              <w:t xml:space="preserve">2019/20 </w:t>
            </w:r>
          </w:p>
        </w:tc>
        <w:tc>
          <w:tcPr>
            <w:tcW w:w="1666" w:type="dxa"/>
            <w:shd w:val="clear" w:color="auto" w:fill="F2F2F2"/>
          </w:tcPr>
          <w:p w:rsidR="00FB4AA5" w:rsidRPr="00367C48" w:rsidRDefault="00FB4AA5" w:rsidP="00FB4AA5">
            <w:pPr>
              <w:rPr>
                <w:rFonts w:ascii="Calibri" w:hAnsi="Calibri" w:cs="Calibri"/>
                <w:b/>
                <w:sz w:val="20"/>
                <w:szCs w:val="20"/>
                <w:lang w:val="en-GB"/>
              </w:rPr>
            </w:pPr>
            <w:r w:rsidRPr="00367C48">
              <w:rPr>
                <w:rFonts w:ascii="Calibri" w:hAnsi="Calibri" w:cs="Calibri"/>
                <w:b/>
                <w:sz w:val="20"/>
                <w:szCs w:val="20"/>
                <w:lang w:val="en-GB"/>
              </w:rPr>
              <w:t>2020 to date</w:t>
            </w:r>
          </w:p>
        </w:tc>
        <w:tc>
          <w:tcPr>
            <w:tcW w:w="1525" w:type="dxa"/>
            <w:shd w:val="clear" w:color="auto" w:fill="F2F2F2"/>
          </w:tcPr>
          <w:p w:rsidR="00FB4AA5" w:rsidRPr="00367C48" w:rsidRDefault="00FB4AA5" w:rsidP="00FB4AA5">
            <w:pPr>
              <w:rPr>
                <w:rFonts w:ascii="Calibri" w:hAnsi="Calibri" w:cs="Calibri"/>
                <w:b/>
                <w:sz w:val="20"/>
                <w:szCs w:val="20"/>
                <w:lang w:val="en-GB"/>
              </w:rPr>
            </w:pPr>
            <w:r w:rsidRPr="00367C48">
              <w:rPr>
                <w:rFonts w:ascii="Calibri" w:hAnsi="Calibri" w:cs="Calibri"/>
                <w:b/>
                <w:sz w:val="20"/>
                <w:szCs w:val="20"/>
                <w:lang w:val="en-GB"/>
              </w:rPr>
              <w:t xml:space="preserve">Total </w:t>
            </w:r>
          </w:p>
        </w:tc>
      </w:tr>
      <w:tr w:rsidR="00FB4AA5" w:rsidRPr="00367C48" w:rsidTr="00367C48">
        <w:trPr>
          <w:trHeight w:val="341"/>
        </w:trPr>
        <w:tc>
          <w:tcPr>
            <w:tcW w:w="1800" w:type="dxa"/>
            <w:shd w:val="clear" w:color="auto" w:fill="F2F2F2"/>
          </w:tcPr>
          <w:p w:rsidR="00FB4AA5" w:rsidRPr="00367C48" w:rsidRDefault="00FB4AA5" w:rsidP="00FB4AA5">
            <w:pPr>
              <w:rPr>
                <w:rFonts w:ascii="Calibri" w:hAnsi="Calibri" w:cs="Calibri"/>
                <w:b/>
                <w:sz w:val="20"/>
                <w:szCs w:val="20"/>
                <w:lang w:val="en-GB"/>
              </w:rPr>
            </w:pPr>
            <w:r w:rsidRPr="00367C48">
              <w:rPr>
                <w:rFonts w:ascii="Calibri" w:hAnsi="Calibri" w:cs="Calibri"/>
                <w:b/>
                <w:sz w:val="20"/>
                <w:szCs w:val="20"/>
                <w:lang w:val="en-GB"/>
              </w:rPr>
              <w:t>Oral questions</w:t>
            </w:r>
          </w:p>
        </w:tc>
        <w:tc>
          <w:tcPr>
            <w:tcW w:w="1666" w:type="dxa"/>
            <w:shd w:val="clear" w:color="auto" w:fill="auto"/>
          </w:tcPr>
          <w:p w:rsidR="00FB4AA5" w:rsidRPr="00367C48" w:rsidRDefault="00FB4AA5" w:rsidP="00FB4AA5">
            <w:pPr>
              <w:rPr>
                <w:rFonts w:ascii="Calibri" w:hAnsi="Calibri" w:cs="Calibri"/>
                <w:sz w:val="20"/>
                <w:szCs w:val="20"/>
                <w:lang w:val="en-GB"/>
              </w:rPr>
            </w:pPr>
            <w:r w:rsidRPr="00367C48">
              <w:rPr>
                <w:rFonts w:ascii="Calibri" w:hAnsi="Calibri" w:cs="Calibri"/>
                <w:sz w:val="20"/>
                <w:szCs w:val="20"/>
                <w:lang w:val="en-GB"/>
              </w:rPr>
              <w:t>190</w:t>
            </w:r>
          </w:p>
        </w:tc>
        <w:tc>
          <w:tcPr>
            <w:tcW w:w="1666" w:type="dxa"/>
            <w:shd w:val="clear" w:color="auto" w:fill="auto"/>
          </w:tcPr>
          <w:p w:rsidR="00FB4AA5" w:rsidRPr="00367C48" w:rsidRDefault="00FB4AA5" w:rsidP="00FB4AA5">
            <w:pPr>
              <w:rPr>
                <w:rFonts w:ascii="Calibri" w:hAnsi="Calibri" w:cs="Calibri"/>
                <w:sz w:val="20"/>
                <w:szCs w:val="20"/>
                <w:lang w:val="en-GB"/>
              </w:rPr>
            </w:pPr>
            <w:r w:rsidRPr="00367C48">
              <w:rPr>
                <w:rFonts w:ascii="Calibri" w:hAnsi="Calibri" w:cs="Calibri"/>
                <w:sz w:val="20"/>
                <w:szCs w:val="20"/>
                <w:lang w:val="en-GB"/>
              </w:rPr>
              <w:t>48</w:t>
            </w:r>
          </w:p>
        </w:tc>
        <w:tc>
          <w:tcPr>
            <w:tcW w:w="1525" w:type="dxa"/>
            <w:shd w:val="clear" w:color="auto" w:fill="auto"/>
          </w:tcPr>
          <w:p w:rsidR="00FB4AA5" w:rsidRPr="00367C48" w:rsidRDefault="00FB4AA5" w:rsidP="00FB4AA5">
            <w:pPr>
              <w:rPr>
                <w:rFonts w:ascii="Calibri" w:hAnsi="Calibri" w:cs="Calibri"/>
                <w:sz w:val="20"/>
                <w:szCs w:val="20"/>
                <w:lang w:val="en-GB"/>
              </w:rPr>
            </w:pPr>
            <w:r w:rsidRPr="00367C48">
              <w:rPr>
                <w:rFonts w:ascii="Calibri" w:hAnsi="Calibri" w:cs="Calibri"/>
                <w:sz w:val="20"/>
                <w:szCs w:val="20"/>
                <w:lang w:val="en-GB"/>
              </w:rPr>
              <w:t>238</w:t>
            </w:r>
          </w:p>
        </w:tc>
      </w:tr>
      <w:tr w:rsidR="00FB4AA5" w:rsidRPr="00367C48" w:rsidTr="00367C48">
        <w:trPr>
          <w:trHeight w:val="341"/>
        </w:trPr>
        <w:tc>
          <w:tcPr>
            <w:tcW w:w="1800" w:type="dxa"/>
            <w:shd w:val="clear" w:color="auto" w:fill="F2F2F2"/>
          </w:tcPr>
          <w:p w:rsidR="00FB4AA5" w:rsidRPr="00367C48" w:rsidRDefault="00FB4AA5" w:rsidP="00FB4AA5">
            <w:pPr>
              <w:rPr>
                <w:rFonts w:ascii="Calibri" w:hAnsi="Calibri" w:cs="Calibri"/>
                <w:b/>
                <w:sz w:val="20"/>
                <w:szCs w:val="20"/>
                <w:lang w:val="en-GB"/>
              </w:rPr>
            </w:pPr>
            <w:r w:rsidRPr="00367C48">
              <w:rPr>
                <w:rFonts w:ascii="Calibri" w:hAnsi="Calibri" w:cs="Calibri"/>
                <w:b/>
                <w:sz w:val="20"/>
                <w:szCs w:val="20"/>
                <w:lang w:val="en-GB"/>
              </w:rPr>
              <w:t>Written questions</w:t>
            </w:r>
          </w:p>
        </w:tc>
        <w:tc>
          <w:tcPr>
            <w:tcW w:w="1666" w:type="dxa"/>
            <w:shd w:val="clear" w:color="auto" w:fill="auto"/>
          </w:tcPr>
          <w:p w:rsidR="00FB4AA5" w:rsidRPr="00367C48" w:rsidRDefault="00FB4AA5" w:rsidP="00FB4AA5">
            <w:pPr>
              <w:rPr>
                <w:rFonts w:ascii="Calibri" w:hAnsi="Calibri" w:cs="Calibri"/>
                <w:sz w:val="20"/>
                <w:szCs w:val="20"/>
                <w:lang w:val="en-GB"/>
              </w:rPr>
            </w:pPr>
            <w:r w:rsidRPr="00367C48">
              <w:rPr>
                <w:rFonts w:ascii="Calibri" w:hAnsi="Calibri" w:cs="Calibri"/>
                <w:sz w:val="20"/>
                <w:szCs w:val="20"/>
                <w:lang w:val="en-GB"/>
              </w:rPr>
              <w:t>423</w:t>
            </w:r>
          </w:p>
        </w:tc>
        <w:tc>
          <w:tcPr>
            <w:tcW w:w="1666" w:type="dxa"/>
            <w:shd w:val="clear" w:color="auto" w:fill="auto"/>
          </w:tcPr>
          <w:p w:rsidR="00FB4AA5" w:rsidRPr="00367C48" w:rsidRDefault="00FB4AA5" w:rsidP="00FB4AA5">
            <w:pPr>
              <w:rPr>
                <w:rFonts w:ascii="Calibri" w:hAnsi="Calibri" w:cs="Calibri"/>
                <w:sz w:val="20"/>
                <w:szCs w:val="20"/>
                <w:lang w:val="en-GB"/>
              </w:rPr>
            </w:pPr>
            <w:r w:rsidRPr="00367C48">
              <w:rPr>
                <w:rFonts w:ascii="Calibri" w:hAnsi="Calibri" w:cs="Calibri"/>
                <w:sz w:val="20"/>
                <w:szCs w:val="20"/>
                <w:lang w:val="en-GB"/>
              </w:rPr>
              <w:t>638</w:t>
            </w:r>
          </w:p>
        </w:tc>
        <w:tc>
          <w:tcPr>
            <w:tcW w:w="1525" w:type="dxa"/>
            <w:shd w:val="clear" w:color="auto" w:fill="auto"/>
          </w:tcPr>
          <w:p w:rsidR="00FB4AA5" w:rsidRPr="00367C48" w:rsidRDefault="00FB4AA5" w:rsidP="00FB4AA5">
            <w:pPr>
              <w:rPr>
                <w:rFonts w:ascii="Calibri" w:hAnsi="Calibri" w:cs="Calibri"/>
                <w:sz w:val="20"/>
                <w:szCs w:val="20"/>
                <w:lang w:val="en-GB"/>
              </w:rPr>
            </w:pPr>
            <w:r w:rsidRPr="00367C48">
              <w:rPr>
                <w:rFonts w:ascii="Calibri" w:hAnsi="Calibri" w:cs="Calibri"/>
                <w:sz w:val="20"/>
                <w:szCs w:val="20"/>
                <w:lang w:val="en-GB"/>
              </w:rPr>
              <w:t>1061</w:t>
            </w:r>
          </w:p>
        </w:tc>
      </w:tr>
      <w:tr w:rsidR="00FB4AA5" w:rsidRPr="00367C48" w:rsidTr="00367C48">
        <w:trPr>
          <w:trHeight w:val="330"/>
        </w:trPr>
        <w:tc>
          <w:tcPr>
            <w:tcW w:w="1800" w:type="dxa"/>
            <w:shd w:val="clear" w:color="auto" w:fill="auto"/>
          </w:tcPr>
          <w:p w:rsidR="00FB4AA5" w:rsidRPr="00367C48" w:rsidRDefault="00FB4AA5" w:rsidP="00FB4AA5">
            <w:pPr>
              <w:rPr>
                <w:rFonts w:ascii="Calibri" w:hAnsi="Calibri" w:cs="Calibri"/>
                <w:b/>
                <w:sz w:val="20"/>
                <w:szCs w:val="20"/>
                <w:lang w:val="en-GB"/>
              </w:rPr>
            </w:pPr>
            <w:r w:rsidRPr="00367C48">
              <w:rPr>
                <w:rFonts w:ascii="Calibri" w:hAnsi="Calibri" w:cs="Calibri"/>
                <w:b/>
                <w:sz w:val="20"/>
                <w:szCs w:val="20"/>
                <w:lang w:val="en-GB"/>
              </w:rPr>
              <w:t xml:space="preserve">Total </w:t>
            </w:r>
          </w:p>
        </w:tc>
        <w:tc>
          <w:tcPr>
            <w:tcW w:w="1666" w:type="dxa"/>
            <w:shd w:val="clear" w:color="auto" w:fill="auto"/>
          </w:tcPr>
          <w:p w:rsidR="00FB4AA5" w:rsidRPr="00367C48" w:rsidRDefault="00FB4AA5" w:rsidP="00FB4AA5">
            <w:pPr>
              <w:rPr>
                <w:rFonts w:ascii="Calibri" w:hAnsi="Calibri" w:cs="Calibri"/>
                <w:b/>
                <w:sz w:val="20"/>
                <w:szCs w:val="20"/>
                <w:lang w:val="en-GB"/>
              </w:rPr>
            </w:pPr>
            <w:r w:rsidRPr="00367C48">
              <w:rPr>
                <w:rFonts w:ascii="Calibri" w:hAnsi="Calibri" w:cs="Calibri"/>
                <w:b/>
                <w:sz w:val="20"/>
                <w:szCs w:val="20"/>
                <w:lang w:val="en-GB"/>
              </w:rPr>
              <w:t>613</w:t>
            </w:r>
          </w:p>
        </w:tc>
        <w:tc>
          <w:tcPr>
            <w:tcW w:w="1666" w:type="dxa"/>
            <w:shd w:val="clear" w:color="auto" w:fill="auto"/>
          </w:tcPr>
          <w:p w:rsidR="00FB4AA5" w:rsidRPr="00367C48" w:rsidRDefault="00FB4AA5" w:rsidP="00FB4AA5">
            <w:pPr>
              <w:rPr>
                <w:rFonts w:ascii="Calibri" w:hAnsi="Calibri" w:cs="Calibri"/>
                <w:b/>
                <w:sz w:val="20"/>
                <w:szCs w:val="20"/>
                <w:lang w:val="en-GB"/>
              </w:rPr>
            </w:pPr>
            <w:r w:rsidRPr="00367C48">
              <w:rPr>
                <w:rFonts w:ascii="Calibri" w:hAnsi="Calibri" w:cs="Calibri"/>
                <w:b/>
                <w:sz w:val="20"/>
                <w:szCs w:val="20"/>
                <w:lang w:val="en-GB"/>
              </w:rPr>
              <w:t>686</w:t>
            </w:r>
          </w:p>
        </w:tc>
        <w:tc>
          <w:tcPr>
            <w:tcW w:w="1525" w:type="dxa"/>
            <w:shd w:val="clear" w:color="auto" w:fill="auto"/>
          </w:tcPr>
          <w:p w:rsidR="00FB4AA5" w:rsidRPr="00367C48" w:rsidRDefault="00FB4AA5" w:rsidP="00FB4AA5">
            <w:pPr>
              <w:rPr>
                <w:rFonts w:ascii="Calibri" w:hAnsi="Calibri" w:cs="Calibri"/>
                <w:b/>
                <w:sz w:val="20"/>
                <w:szCs w:val="20"/>
                <w:lang w:val="en-GB"/>
              </w:rPr>
            </w:pPr>
            <w:r w:rsidRPr="00367C48">
              <w:rPr>
                <w:rFonts w:ascii="Calibri" w:hAnsi="Calibri" w:cs="Calibri"/>
                <w:b/>
                <w:sz w:val="20"/>
                <w:szCs w:val="20"/>
                <w:lang w:val="en-GB"/>
              </w:rPr>
              <w:t>1299</w:t>
            </w:r>
          </w:p>
        </w:tc>
      </w:tr>
    </w:tbl>
    <w:p w:rsidR="00FB4AA5" w:rsidRPr="00FB4AA5" w:rsidRDefault="00FB4AA5" w:rsidP="00FB4AA5">
      <w:pPr>
        <w:rPr>
          <w:rFonts w:ascii="Calibri" w:hAnsi="Calibri" w:cs="Calibri"/>
          <w:lang w:val="en-GB"/>
        </w:rPr>
      </w:pPr>
    </w:p>
    <w:p w:rsidR="00FB4AA5" w:rsidRPr="00FB4AA5" w:rsidRDefault="00FB4AA5" w:rsidP="00367C48">
      <w:pPr>
        <w:jc w:val="both"/>
        <w:rPr>
          <w:rFonts w:ascii="Calibri" w:hAnsi="Calibri" w:cs="Calibri"/>
          <w:lang w:val="en-GB"/>
        </w:rPr>
      </w:pPr>
      <w:r w:rsidRPr="00FB4AA5">
        <w:rPr>
          <w:rFonts w:ascii="Calibri" w:hAnsi="Calibri" w:cs="Calibri"/>
          <w:lang w:val="en-GB"/>
        </w:rPr>
        <w:t xml:space="preserve">A total of </w:t>
      </w:r>
      <w:r w:rsidR="00367C48" w:rsidRPr="00FB4AA5">
        <w:rPr>
          <w:rFonts w:ascii="Calibri" w:hAnsi="Calibri" w:cs="Calibri"/>
          <w:lang w:val="en-GB"/>
        </w:rPr>
        <w:t>24 Executive</w:t>
      </w:r>
      <w:r w:rsidRPr="00FB4AA5">
        <w:rPr>
          <w:rFonts w:ascii="Calibri" w:hAnsi="Calibri" w:cs="Calibri"/>
          <w:lang w:val="en-GB"/>
        </w:rPr>
        <w:t xml:space="preserve"> Undertakings were </w:t>
      </w:r>
      <w:r w:rsidR="00367C48" w:rsidRPr="00FB4AA5">
        <w:rPr>
          <w:rFonts w:ascii="Calibri" w:hAnsi="Calibri" w:cs="Calibri"/>
          <w:lang w:val="en-GB"/>
        </w:rPr>
        <w:t>recorded during</w:t>
      </w:r>
      <w:r w:rsidRPr="00FB4AA5">
        <w:rPr>
          <w:rFonts w:ascii="Calibri" w:hAnsi="Calibri" w:cs="Calibri"/>
          <w:lang w:val="en-GB"/>
        </w:rPr>
        <w:t xml:space="preserve"> this period, </w:t>
      </w:r>
      <w:r w:rsidR="00367C48">
        <w:rPr>
          <w:rFonts w:ascii="Calibri" w:hAnsi="Calibri" w:cs="Calibri"/>
          <w:lang w:val="en-GB"/>
        </w:rPr>
        <w:t>with</w:t>
      </w:r>
      <w:r w:rsidR="00367C48" w:rsidRPr="00FB4AA5">
        <w:rPr>
          <w:rFonts w:ascii="Calibri" w:hAnsi="Calibri" w:cs="Calibri"/>
          <w:lang w:val="en-GB"/>
        </w:rPr>
        <w:t>4 responses</w:t>
      </w:r>
      <w:r w:rsidRPr="00FB4AA5">
        <w:rPr>
          <w:rFonts w:ascii="Calibri" w:hAnsi="Calibri" w:cs="Calibri"/>
          <w:lang w:val="en-GB"/>
        </w:rPr>
        <w:t xml:space="preserve"> received from the </w:t>
      </w:r>
      <w:r w:rsidR="00367C48">
        <w:rPr>
          <w:rFonts w:ascii="Calibri" w:hAnsi="Calibri" w:cs="Calibri"/>
          <w:lang w:val="en-GB"/>
        </w:rPr>
        <w:t xml:space="preserve">following: </w:t>
      </w:r>
      <w:r w:rsidRPr="00FB4AA5">
        <w:rPr>
          <w:rFonts w:ascii="Calibri" w:hAnsi="Calibri" w:cs="Calibri"/>
          <w:lang w:val="en-GB"/>
        </w:rPr>
        <w:t xml:space="preserve">Deputy Minister of Co-operative Governance and Traditional </w:t>
      </w:r>
      <w:r w:rsidR="00367C48" w:rsidRPr="00FB4AA5">
        <w:rPr>
          <w:rFonts w:ascii="Calibri" w:hAnsi="Calibri" w:cs="Calibri"/>
          <w:lang w:val="en-GB"/>
        </w:rPr>
        <w:t>Affairs;</w:t>
      </w:r>
      <w:r w:rsidRPr="00FB4AA5">
        <w:rPr>
          <w:rFonts w:ascii="Calibri" w:hAnsi="Calibri" w:cs="Calibri"/>
          <w:lang w:val="en-GB"/>
        </w:rPr>
        <w:t xml:space="preserve"> Mi</w:t>
      </w:r>
      <w:r w:rsidR="00367C48">
        <w:rPr>
          <w:rFonts w:ascii="Calibri" w:hAnsi="Calibri" w:cs="Calibri"/>
          <w:lang w:val="en-GB"/>
        </w:rPr>
        <w:t>nister of Employment and Labour;</w:t>
      </w:r>
      <w:r w:rsidRPr="00FB4AA5">
        <w:rPr>
          <w:rFonts w:ascii="Calibri" w:hAnsi="Calibri" w:cs="Calibri"/>
          <w:lang w:val="en-GB"/>
        </w:rPr>
        <w:t xml:space="preserve"> Minister of Public Works and Infrastructure; and Minister of Small Business Development.</w:t>
      </w:r>
    </w:p>
    <w:p w:rsidR="00FB4AA5" w:rsidRPr="00FB4AA5" w:rsidRDefault="00FB4AA5" w:rsidP="00FB4AA5">
      <w:pPr>
        <w:rPr>
          <w:rFonts w:ascii="Calibri" w:hAnsi="Calibri" w:cs="Calibri"/>
          <w:lang w:val="en-GB"/>
        </w:rPr>
      </w:pPr>
      <w:r w:rsidRPr="00FB4AA5">
        <w:rPr>
          <w:rFonts w:ascii="Calibri" w:hAnsi="Calibri" w:cs="Calibri"/>
          <w:lang w:val="en-GB"/>
        </w:rPr>
        <w:t xml:space="preserve">Table: Undertakings from the House:  </w:t>
      </w: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1516"/>
        <w:gridCol w:w="3177"/>
        <w:gridCol w:w="3713"/>
      </w:tblGrid>
      <w:tr w:rsidR="00367C48" w:rsidRPr="00367C48" w:rsidTr="00367C48">
        <w:trPr>
          <w:trHeight w:val="569"/>
        </w:trPr>
        <w:tc>
          <w:tcPr>
            <w:tcW w:w="886" w:type="pct"/>
            <w:shd w:val="clear" w:color="auto" w:fill="F2F2F2"/>
          </w:tcPr>
          <w:p w:rsidR="00FB4AA5" w:rsidRPr="00367C48" w:rsidRDefault="00FB4AA5" w:rsidP="00FB4AA5">
            <w:pPr>
              <w:rPr>
                <w:rFonts w:ascii="Calibri" w:hAnsi="Calibri" w:cs="Calibri"/>
                <w:sz w:val="20"/>
                <w:szCs w:val="20"/>
                <w:lang w:val="en-GB"/>
              </w:rPr>
            </w:pPr>
            <w:r w:rsidRPr="00367C48">
              <w:rPr>
                <w:rFonts w:ascii="Calibri" w:hAnsi="Calibri" w:cs="Calibri"/>
                <w:sz w:val="20"/>
                <w:szCs w:val="20"/>
                <w:lang w:val="en-GB"/>
              </w:rPr>
              <w:t>Financial Year</w:t>
            </w:r>
          </w:p>
        </w:tc>
        <w:tc>
          <w:tcPr>
            <w:tcW w:w="742" w:type="pct"/>
            <w:shd w:val="clear" w:color="auto" w:fill="F2F2F2"/>
          </w:tcPr>
          <w:p w:rsidR="00FB4AA5" w:rsidRPr="00367C48" w:rsidRDefault="00FB4AA5" w:rsidP="00FB4AA5">
            <w:pPr>
              <w:rPr>
                <w:rFonts w:ascii="Calibri" w:hAnsi="Calibri" w:cs="Calibri"/>
                <w:sz w:val="20"/>
                <w:szCs w:val="20"/>
                <w:lang w:val="en-GB"/>
              </w:rPr>
            </w:pPr>
            <w:r w:rsidRPr="00367C48">
              <w:rPr>
                <w:rFonts w:ascii="Calibri" w:hAnsi="Calibri" w:cs="Calibri"/>
                <w:sz w:val="20"/>
                <w:szCs w:val="20"/>
                <w:lang w:val="en-GB"/>
              </w:rPr>
              <w:t xml:space="preserve">Number </w:t>
            </w:r>
          </w:p>
        </w:tc>
        <w:tc>
          <w:tcPr>
            <w:tcW w:w="1555" w:type="pct"/>
            <w:shd w:val="clear" w:color="auto" w:fill="F2F2F2"/>
          </w:tcPr>
          <w:p w:rsidR="00FB4AA5" w:rsidRPr="00367C48" w:rsidRDefault="00FB4AA5" w:rsidP="00FB4AA5">
            <w:pPr>
              <w:rPr>
                <w:rFonts w:ascii="Calibri" w:hAnsi="Calibri" w:cs="Calibri"/>
                <w:sz w:val="20"/>
                <w:szCs w:val="20"/>
                <w:lang w:val="en-GB"/>
              </w:rPr>
            </w:pPr>
            <w:r w:rsidRPr="00367C48">
              <w:rPr>
                <w:rFonts w:ascii="Calibri" w:hAnsi="Calibri" w:cs="Calibri"/>
                <w:sz w:val="20"/>
                <w:szCs w:val="20"/>
                <w:lang w:val="en-GB"/>
              </w:rPr>
              <w:t>Subject matters</w:t>
            </w:r>
          </w:p>
        </w:tc>
        <w:tc>
          <w:tcPr>
            <w:tcW w:w="1817" w:type="pct"/>
            <w:shd w:val="clear" w:color="auto" w:fill="F2F2F2"/>
          </w:tcPr>
          <w:p w:rsidR="00FB4AA5" w:rsidRPr="00367C48" w:rsidRDefault="00FB4AA5" w:rsidP="00FB4AA5">
            <w:pPr>
              <w:rPr>
                <w:rFonts w:ascii="Calibri" w:hAnsi="Calibri" w:cs="Calibri"/>
                <w:sz w:val="20"/>
                <w:szCs w:val="20"/>
                <w:lang w:val="en-GB"/>
              </w:rPr>
            </w:pPr>
            <w:r w:rsidRPr="00367C48">
              <w:rPr>
                <w:rFonts w:ascii="Calibri" w:hAnsi="Calibri" w:cs="Calibri"/>
                <w:sz w:val="20"/>
                <w:szCs w:val="20"/>
                <w:lang w:val="en-GB"/>
              </w:rPr>
              <w:t>Number of Executive Undertakings per minister</w:t>
            </w:r>
          </w:p>
        </w:tc>
      </w:tr>
      <w:tr w:rsidR="00367C48" w:rsidRPr="00367C48" w:rsidTr="00367C48">
        <w:trPr>
          <w:trHeight w:val="3101"/>
        </w:trPr>
        <w:tc>
          <w:tcPr>
            <w:tcW w:w="886" w:type="pct"/>
            <w:shd w:val="clear" w:color="auto" w:fill="auto"/>
          </w:tcPr>
          <w:p w:rsidR="00FB4AA5" w:rsidRPr="00367C48" w:rsidRDefault="00FB4AA5" w:rsidP="00FB4AA5">
            <w:pPr>
              <w:rPr>
                <w:rFonts w:ascii="Calibri" w:hAnsi="Calibri" w:cs="Calibri"/>
                <w:sz w:val="20"/>
                <w:szCs w:val="20"/>
                <w:lang w:val="en-GB"/>
              </w:rPr>
            </w:pPr>
            <w:r w:rsidRPr="00367C48">
              <w:rPr>
                <w:rFonts w:ascii="Calibri" w:hAnsi="Calibri" w:cs="Calibri"/>
                <w:sz w:val="20"/>
                <w:szCs w:val="20"/>
                <w:lang w:val="en-GB"/>
              </w:rPr>
              <w:t>April- September</w:t>
            </w:r>
          </w:p>
        </w:tc>
        <w:tc>
          <w:tcPr>
            <w:tcW w:w="742" w:type="pct"/>
            <w:shd w:val="clear" w:color="auto" w:fill="auto"/>
          </w:tcPr>
          <w:p w:rsidR="00FB4AA5" w:rsidRPr="00367C48" w:rsidRDefault="00FB4AA5" w:rsidP="00FB4AA5">
            <w:pPr>
              <w:rPr>
                <w:rFonts w:ascii="Calibri" w:hAnsi="Calibri" w:cs="Calibri"/>
                <w:sz w:val="20"/>
                <w:szCs w:val="20"/>
                <w:lang w:val="en-GB"/>
              </w:rPr>
            </w:pPr>
            <w:r w:rsidRPr="00367C48">
              <w:rPr>
                <w:rFonts w:ascii="Calibri" w:hAnsi="Calibri" w:cs="Calibri"/>
                <w:sz w:val="20"/>
                <w:szCs w:val="20"/>
                <w:lang w:val="en-GB"/>
              </w:rPr>
              <w:t>Twenty four</w:t>
            </w:r>
          </w:p>
        </w:tc>
        <w:tc>
          <w:tcPr>
            <w:tcW w:w="1555" w:type="pct"/>
            <w:shd w:val="clear" w:color="auto" w:fill="auto"/>
          </w:tcPr>
          <w:p w:rsidR="00FB4AA5" w:rsidRPr="00367C48" w:rsidRDefault="00FB4AA5" w:rsidP="00FB4AA5">
            <w:pPr>
              <w:rPr>
                <w:rFonts w:ascii="Calibri" w:hAnsi="Calibri" w:cs="Calibri"/>
                <w:sz w:val="20"/>
                <w:szCs w:val="20"/>
                <w:lang w:val="en-GB"/>
              </w:rPr>
            </w:pPr>
            <w:r w:rsidRPr="00367C48">
              <w:rPr>
                <w:rFonts w:ascii="Calibri" w:hAnsi="Calibri" w:cs="Calibri"/>
                <w:sz w:val="20"/>
                <w:szCs w:val="20"/>
                <w:lang w:val="en-GB"/>
              </w:rPr>
              <w:t>Mainly focused on the following ministries:</w:t>
            </w:r>
          </w:p>
          <w:p w:rsidR="00FB4AA5" w:rsidRPr="00367C48" w:rsidRDefault="00FB4AA5" w:rsidP="00FB4AA5">
            <w:pPr>
              <w:rPr>
                <w:rFonts w:ascii="Calibri" w:hAnsi="Calibri" w:cs="Calibri"/>
                <w:sz w:val="20"/>
                <w:szCs w:val="20"/>
                <w:lang w:val="en-GB"/>
              </w:rPr>
            </w:pPr>
            <w:r w:rsidRPr="00367C48">
              <w:rPr>
                <w:rFonts w:ascii="Calibri" w:hAnsi="Calibri" w:cs="Calibri"/>
                <w:sz w:val="20"/>
                <w:szCs w:val="20"/>
                <w:lang w:val="en-GB"/>
              </w:rPr>
              <w:t>Small Business Development, Social Development, , Cooperative Governance, Public Works and Infrastructure and Employment and Labour</w:t>
            </w:r>
          </w:p>
        </w:tc>
        <w:tc>
          <w:tcPr>
            <w:tcW w:w="1817" w:type="pct"/>
            <w:shd w:val="clear" w:color="auto" w:fill="auto"/>
          </w:tcPr>
          <w:p w:rsidR="00FB4AA5" w:rsidRPr="00367C48" w:rsidRDefault="00FB4AA5" w:rsidP="00FB4AA5">
            <w:pPr>
              <w:rPr>
                <w:rFonts w:ascii="Calibri" w:hAnsi="Calibri" w:cs="Calibri"/>
                <w:sz w:val="20"/>
                <w:szCs w:val="20"/>
                <w:lang w:val="en-GB"/>
              </w:rPr>
            </w:pPr>
            <w:r w:rsidRPr="00367C48">
              <w:rPr>
                <w:rFonts w:ascii="Calibri" w:hAnsi="Calibri" w:cs="Calibri"/>
                <w:sz w:val="20"/>
                <w:szCs w:val="20"/>
                <w:lang w:val="en-GB"/>
              </w:rPr>
              <w:t>Minister of Public Works and Infrastructu</w:t>
            </w:r>
            <w:r w:rsidR="00367C48">
              <w:rPr>
                <w:rFonts w:ascii="Calibri" w:hAnsi="Calibri" w:cs="Calibri"/>
                <w:sz w:val="20"/>
                <w:szCs w:val="20"/>
                <w:lang w:val="en-GB"/>
              </w:rPr>
              <w:t>re (4)</w:t>
            </w:r>
          </w:p>
          <w:p w:rsidR="00FB4AA5" w:rsidRPr="00367C48" w:rsidRDefault="00FB4AA5" w:rsidP="00FB4AA5">
            <w:pPr>
              <w:rPr>
                <w:rFonts w:ascii="Calibri" w:hAnsi="Calibri" w:cs="Calibri"/>
                <w:sz w:val="20"/>
                <w:szCs w:val="20"/>
                <w:lang w:val="en-GB"/>
              </w:rPr>
            </w:pPr>
            <w:r w:rsidRPr="00367C48">
              <w:rPr>
                <w:rFonts w:ascii="Calibri" w:hAnsi="Calibri" w:cs="Calibri"/>
                <w:sz w:val="20"/>
                <w:szCs w:val="20"/>
                <w:lang w:val="en-GB"/>
              </w:rPr>
              <w:t xml:space="preserve">Deputy Minister of Co-operative Governance and Traditional Affairs </w:t>
            </w:r>
            <w:r w:rsidR="00367C48">
              <w:rPr>
                <w:rFonts w:ascii="Calibri" w:hAnsi="Calibri" w:cs="Calibri"/>
                <w:sz w:val="20"/>
                <w:szCs w:val="20"/>
                <w:lang w:val="en-GB"/>
              </w:rPr>
              <w:t>(1)</w:t>
            </w:r>
          </w:p>
          <w:p w:rsidR="00FB4AA5" w:rsidRPr="00367C48" w:rsidRDefault="00FB4AA5" w:rsidP="00FB4AA5">
            <w:pPr>
              <w:rPr>
                <w:rFonts w:ascii="Calibri" w:hAnsi="Calibri" w:cs="Calibri"/>
                <w:sz w:val="20"/>
                <w:szCs w:val="20"/>
                <w:lang w:val="en-GB"/>
              </w:rPr>
            </w:pPr>
            <w:r w:rsidRPr="00367C48">
              <w:rPr>
                <w:rFonts w:ascii="Calibri" w:hAnsi="Calibri" w:cs="Calibri"/>
                <w:sz w:val="20"/>
                <w:szCs w:val="20"/>
                <w:lang w:val="en-GB"/>
              </w:rPr>
              <w:t xml:space="preserve">Minister of Social Development </w:t>
            </w:r>
            <w:r w:rsidR="00367C48">
              <w:rPr>
                <w:rFonts w:ascii="Calibri" w:hAnsi="Calibri" w:cs="Calibri"/>
                <w:sz w:val="20"/>
                <w:szCs w:val="20"/>
                <w:lang w:val="en-GB"/>
              </w:rPr>
              <w:t>(6)</w:t>
            </w:r>
          </w:p>
          <w:p w:rsidR="00FB4AA5" w:rsidRPr="00367C48" w:rsidRDefault="00FB4AA5" w:rsidP="00FB4AA5">
            <w:pPr>
              <w:rPr>
                <w:rFonts w:ascii="Calibri" w:hAnsi="Calibri" w:cs="Calibri"/>
                <w:sz w:val="20"/>
                <w:szCs w:val="20"/>
                <w:lang w:val="en-GB"/>
              </w:rPr>
            </w:pPr>
            <w:r w:rsidRPr="00367C48">
              <w:rPr>
                <w:rFonts w:ascii="Calibri" w:hAnsi="Calibri" w:cs="Calibri"/>
                <w:sz w:val="20"/>
                <w:szCs w:val="20"/>
                <w:lang w:val="en-GB"/>
              </w:rPr>
              <w:t xml:space="preserve">Deputy Minister of Employment and Labour </w:t>
            </w:r>
            <w:r w:rsidR="00367C48">
              <w:rPr>
                <w:rFonts w:ascii="Calibri" w:hAnsi="Calibri" w:cs="Calibri"/>
                <w:sz w:val="20"/>
                <w:szCs w:val="20"/>
                <w:lang w:val="en-GB"/>
              </w:rPr>
              <w:t>(5)</w:t>
            </w:r>
          </w:p>
          <w:p w:rsidR="00FB4AA5" w:rsidRPr="00367C48" w:rsidRDefault="00FB4AA5" w:rsidP="00FB4AA5">
            <w:pPr>
              <w:rPr>
                <w:rFonts w:ascii="Calibri" w:hAnsi="Calibri" w:cs="Calibri"/>
                <w:sz w:val="20"/>
                <w:szCs w:val="20"/>
                <w:lang w:val="en-GB"/>
              </w:rPr>
            </w:pPr>
            <w:r w:rsidRPr="00367C48">
              <w:rPr>
                <w:rFonts w:ascii="Calibri" w:hAnsi="Calibri" w:cs="Calibri"/>
                <w:sz w:val="20"/>
                <w:szCs w:val="20"/>
                <w:lang w:val="en-GB"/>
              </w:rPr>
              <w:t xml:space="preserve">Minister of Small Business Development </w:t>
            </w:r>
            <w:r w:rsidR="00367C48">
              <w:rPr>
                <w:rFonts w:ascii="Calibri" w:hAnsi="Calibri" w:cs="Calibri"/>
                <w:sz w:val="20"/>
                <w:szCs w:val="20"/>
                <w:lang w:val="en-GB"/>
              </w:rPr>
              <w:t>(8)</w:t>
            </w:r>
          </w:p>
        </w:tc>
      </w:tr>
    </w:tbl>
    <w:p w:rsidR="00FB4AA5" w:rsidRPr="00FB4AA5" w:rsidRDefault="00FB4AA5" w:rsidP="00FB4AA5">
      <w:pPr>
        <w:rPr>
          <w:rFonts w:ascii="Calibri" w:hAnsi="Calibri" w:cs="Calibri"/>
          <w:lang w:val="en-GB"/>
        </w:rPr>
      </w:pPr>
    </w:p>
    <w:p w:rsidR="00FB4AA5" w:rsidRDefault="00FB4AA5" w:rsidP="00367C48">
      <w:pPr>
        <w:jc w:val="both"/>
        <w:rPr>
          <w:rFonts w:ascii="Calibri" w:hAnsi="Calibri" w:cs="Calibri"/>
          <w:lang w:val="en-US"/>
        </w:rPr>
      </w:pPr>
      <w:r w:rsidRPr="00FB4AA5">
        <w:rPr>
          <w:rFonts w:ascii="Calibri" w:hAnsi="Calibri" w:cs="Calibri"/>
          <w:lang w:val="en-US"/>
        </w:rPr>
        <w:t xml:space="preserve">A total of 21 resolutions emanating from reports of Select Committees were adopted by the House, </w:t>
      </w:r>
      <w:r w:rsidRPr="00FB4AA5">
        <w:rPr>
          <w:rFonts w:ascii="Calibri" w:hAnsi="Calibri" w:cs="Calibri"/>
          <w:lang w:val="en-GB"/>
        </w:rPr>
        <w:t>14 of which did not require response from the Executive</w:t>
      </w:r>
      <w:r w:rsidRPr="00FB4AA5">
        <w:rPr>
          <w:rFonts w:ascii="Calibri" w:hAnsi="Calibri" w:cs="Calibri"/>
          <w:lang w:val="en-US"/>
        </w:rPr>
        <w:t xml:space="preserve">. All of the above resolutions were communicated to the relevant Members of the Executive, relevant stakeholders including petitioners, SALGA and other relevant organisations seeking action from the Council. </w:t>
      </w:r>
      <w:r w:rsidR="00367C48">
        <w:rPr>
          <w:rFonts w:ascii="Calibri" w:hAnsi="Calibri" w:cs="Calibri"/>
          <w:lang w:val="en-US"/>
        </w:rPr>
        <w:t>T</w:t>
      </w:r>
      <w:r w:rsidRPr="00FB4AA5">
        <w:rPr>
          <w:rFonts w:ascii="Calibri" w:hAnsi="Calibri" w:cs="Calibri"/>
          <w:lang w:val="en-GB"/>
        </w:rPr>
        <w:t xml:space="preserve">he NCOP has also implemented a follow-up process wherein stakeholders are afforded three months within which to respond. This is however, the general time period </w:t>
      </w:r>
      <w:r w:rsidRPr="00FB4AA5">
        <w:rPr>
          <w:rFonts w:ascii="Calibri" w:hAnsi="Calibri" w:cs="Calibri"/>
          <w:lang w:val="en-GB"/>
        </w:rPr>
        <w:lastRenderedPageBreak/>
        <w:t>applied dependent on the type of resolutions that have to be responded to.</w:t>
      </w:r>
      <w:r w:rsidRPr="00FB4AA5">
        <w:rPr>
          <w:rFonts w:ascii="Calibri" w:hAnsi="Calibri" w:cs="Calibri"/>
          <w:lang w:val="en-US"/>
        </w:rPr>
        <w:t>There has been a slow yet significant increase in receipt of responses received. The responses received contained precise, detailed and accurate information on the implementation of the Councils resolutions.</w:t>
      </w:r>
    </w:p>
    <w:p w:rsidR="00086E13" w:rsidRPr="00FB4AA5" w:rsidRDefault="00086E13" w:rsidP="00367C48">
      <w:pPr>
        <w:jc w:val="both"/>
        <w:rPr>
          <w:rFonts w:ascii="Calibri" w:hAnsi="Calibri" w:cs="Calibri"/>
          <w:lang w:val="en-US"/>
        </w:rPr>
      </w:pPr>
    </w:p>
    <w:p w:rsidR="00FB4AA5" w:rsidRPr="006E4B70" w:rsidRDefault="00FB4AA5" w:rsidP="003B5E3A">
      <w:pPr>
        <w:pStyle w:val="Heading2"/>
        <w:numPr>
          <w:ilvl w:val="2"/>
          <w:numId w:val="36"/>
        </w:numPr>
      </w:pPr>
      <w:bookmarkStart w:id="13" w:name="_Toc54361036"/>
      <w:r w:rsidRPr="006E4B70">
        <w:t>Committees</w:t>
      </w:r>
      <w:bookmarkEnd w:id="13"/>
    </w:p>
    <w:p w:rsidR="00FB4AA5" w:rsidRPr="00367C48" w:rsidRDefault="00FB4AA5" w:rsidP="00367C48">
      <w:pPr>
        <w:pStyle w:val="ColorfulList-Accent11"/>
        <w:spacing w:after="0"/>
        <w:ind w:left="0"/>
        <w:jc w:val="both"/>
        <w:rPr>
          <w:rFonts w:asciiTheme="minorHAnsi" w:hAnsiTheme="minorHAnsi" w:cstheme="minorHAnsi"/>
        </w:rPr>
      </w:pPr>
      <w:r w:rsidRPr="00367C48">
        <w:rPr>
          <w:rFonts w:asciiTheme="minorHAnsi" w:hAnsiTheme="minorHAnsi" w:cstheme="minorHAnsi"/>
        </w:rPr>
        <w:t>In April there was one oversight visit undertaken by three members of the PC on Social Development who embarked on the seriousness and the increase of the covid-19 in the area this was however viewed as part of constituency work. The delegation visited community nutrition and development cent</w:t>
      </w:r>
      <w:r w:rsidR="0027417E">
        <w:rPr>
          <w:rFonts w:asciiTheme="minorHAnsi" w:hAnsiTheme="minorHAnsi" w:cstheme="minorHAnsi"/>
        </w:rPr>
        <w:t>re</w:t>
      </w:r>
      <w:r w:rsidRPr="00367C48">
        <w:rPr>
          <w:rFonts w:asciiTheme="minorHAnsi" w:hAnsiTheme="minorHAnsi" w:cstheme="minorHAnsi"/>
        </w:rPr>
        <w:t>s, shelters for victims of GBV as well as homeless people in Gauteng. The delegation a further received a briefing from the Department on programmes that have been put in place, success and challenges experienced in their implementation. During the month about 14 meetings were held to deal with COVID-19 related matters.</w:t>
      </w:r>
    </w:p>
    <w:p w:rsidR="00FB4AA5" w:rsidRPr="00367C48" w:rsidRDefault="00FB4AA5" w:rsidP="00367C48">
      <w:pPr>
        <w:pStyle w:val="ColorfulList-Accent11"/>
        <w:spacing w:after="0"/>
        <w:ind w:left="0"/>
        <w:jc w:val="both"/>
        <w:rPr>
          <w:rFonts w:asciiTheme="minorHAnsi" w:hAnsiTheme="minorHAnsi" w:cstheme="minorHAnsi"/>
        </w:rPr>
      </w:pPr>
    </w:p>
    <w:p w:rsidR="00FB4AA5" w:rsidRPr="00367C48" w:rsidRDefault="00FB4AA5" w:rsidP="00367C48">
      <w:pPr>
        <w:pStyle w:val="ColorfulList-Accent11"/>
        <w:spacing w:after="0"/>
        <w:ind w:left="0"/>
        <w:jc w:val="both"/>
        <w:rPr>
          <w:rFonts w:asciiTheme="minorHAnsi" w:hAnsiTheme="minorHAnsi" w:cstheme="minorHAnsi"/>
        </w:rPr>
      </w:pPr>
      <w:r w:rsidRPr="00367C48">
        <w:rPr>
          <w:rFonts w:asciiTheme="minorHAnsi" w:hAnsiTheme="minorHAnsi" w:cstheme="minorHAnsi"/>
        </w:rPr>
        <w:t>In May PC Home Affairs conducted oversight on 11 and 27 May 2020 to the Lindela Repatriation Centre and the Department of Home Affairs respectively. For both oversight visits, the Section was unable to provide reports due to COVID-19 related lockdown regulations. During the month about 16 meetings (of which 9 are joint meetings) were held to deal with COVID-19 related matters as indicated in the table 1 below.</w:t>
      </w:r>
    </w:p>
    <w:p w:rsidR="00FB4AA5" w:rsidRPr="00367C48" w:rsidRDefault="00FB4AA5" w:rsidP="00367C48">
      <w:pPr>
        <w:pStyle w:val="ColorfulList-Accent11"/>
        <w:spacing w:after="0"/>
        <w:ind w:left="0"/>
        <w:jc w:val="both"/>
        <w:rPr>
          <w:rFonts w:asciiTheme="minorHAnsi" w:hAnsiTheme="minorHAnsi" w:cstheme="minorHAnsi"/>
          <w:b/>
        </w:rPr>
      </w:pPr>
    </w:p>
    <w:p w:rsidR="00FB4AA5" w:rsidRPr="00367C48" w:rsidRDefault="00FB4AA5" w:rsidP="00367C48">
      <w:pPr>
        <w:pStyle w:val="ColorfulList-Accent11"/>
        <w:spacing w:after="0"/>
        <w:ind w:left="0"/>
        <w:jc w:val="both"/>
        <w:rPr>
          <w:rFonts w:asciiTheme="minorHAnsi" w:hAnsiTheme="minorHAnsi" w:cstheme="minorHAnsi"/>
        </w:rPr>
      </w:pPr>
      <w:r w:rsidRPr="00367C48">
        <w:rPr>
          <w:rFonts w:asciiTheme="minorHAnsi" w:hAnsiTheme="minorHAnsi" w:cstheme="minorHAnsi"/>
        </w:rPr>
        <w:t>In June three oversight visits were undertaken by Members of PC on Health to Kwazulu-Natal, Eastern Cape and Western Cape health facilities and reports were duly produced. This was one of the first oversight visits during lockdown. Committees also continued with the processing of Budget Votes (15 reports), quarterly expenditure (10 reports produced) and also covid-19 related oversight meetings.</w:t>
      </w:r>
    </w:p>
    <w:p w:rsidR="00FB4AA5" w:rsidRPr="00367C48" w:rsidRDefault="00FB4AA5" w:rsidP="00367C48">
      <w:pPr>
        <w:pStyle w:val="ColorfulList-Accent11"/>
        <w:spacing w:after="0"/>
        <w:ind w:left="0"/>
        <w:jc w:val="both"/>
        <w:rPr>
          <w:rFonts w:asciiTheme="minorHAnsi" w:hAnsiTheme="minorHAnsi" w:cstheme="minorHAnsi"/>
        </w:rPr>
      </w:pPr>
    </w:p>
    <w:p w:rsidR="00FB4AA5" w:rsidRPr="00367C48" w:rsidRDefault="00FB4AA5" w:rsidP="00367C48">
      <w:pPr>
        <w:pStyle w:val="ColorfulList-Accent11"/>
        <w:spacing w:after="0"/>
        <w:ind w:left="0"/>
        <w:jc w:val="both"/>
        <w:rPr>
          <w:rFonts w:asciiTheme="minorHAnsi" w:hAnsiTheme="minorHAnsi" w:cstheme="minorHAnsi"/>
          <w:b/>
        </w:rPr>
      </w:pPr>
      <w:r w:rsidRPr="00367C48">
        <w:rPr>
          <w:rFonts w:asciiTheme="minorHAnsi" w:hAnsiTheme="minorHAnsi" w:cstheme="minorHAnsi"/>
        </w:rPr>
        <w:t>In July 2020 Members of the PC on Health conducted an oversight visit from 23 – 24 June 2020 in Gauteng. The institutions visited Bertha Gxowa Hospital; Thembisa Hospital; Netcare Linksfield Private Hospital; Chris Hani Baragwanath Hospital; Leratong Hospital; and Kalafong Hospital. The purpose of the visits was to assess the state of quarantine sites and readiness of public and private hospitals to deal with Covid-19. Further, about 14 committees conducted oversight related virtual meetings as indicated in oversight and accountability table in the next pages.</w:t>
      </w:r>
    </w:p>
    <w:p w:rsidR="00FB4AA5" w:rsidRPr="00367C48" w:rsidRDefault="00FB4AA5" w:rsidP="00367C48">
      <w:pPr>
        <w:pStyle w:val="ColorfulList-Accent11"/>
        <w:spacing w:after="0"/>
        <w:ind w:left="0"/>
        <w:jc w:val="both"/>
        <w:rPr>
          <w:rFonts w:asciiTheme="minorHAnsi" w:hAnsiTheme="minorHAnsi" w:cstheme="minorHAnsi"/>
        </w:rPr>
      </w:pPr>
    </w:p>
    <w:p w:rsidR="00FB4AA5" w:rsidRDefault="00FB4AA5" w:rsidP="00367C48">
      <w:pPr>
        <w:pStyle w:val="ColorfulList-Accent11"/>
        <w:spacing w:after="0"/>
        <w:ind w:left="0"/>
        <w:jc w:val="both"/>
        <w:rPr>
          <w:rFonts w:asciiTheme="minorHAnsi" w:hAnsiTheme="minorHAnsi" w:cstheme="minorHAnsi"/>
        </w:rPr>
      </w:pPr>
      <w:r w:rsidRPr="00367C48">
        <w:rPr>
          <w:rFonts w:asciiTheme="minorHAnsi" w:hAnsiTheme="minorHAnsi" w:cstheme="minorHAnsi"/>
        </w:rPr>
        <w:t xml:space="preserve">In August the following committees were granted permission to conduct oversight visits. </w:t>
      </w:r>
    </w:p>
    <w:p w:rsidR="00367C48" w:rsidRPr="00367C48" w:rsidRDefault="00367C48" w:rsidP="00367C48">
      <w:pPr>
        <w:pStyle w:val="ColorfulList-Accent11"/>
        <w:spacing w:after="0"/>
        <w:ind w:left="0"/>
        <w:jc w:val="both"/>
        <w:rPr>
          <w:rFonts w:asciiTheme="minorHAnsi" w:hAnsiTheme="minorHAnsi" w:cstheme="minorHAnsi"/>
        </w:rPr>
      </w:pPr>
    </w:p>
    <w:p w:rsidR="00FB4AA5" w:rsidRPr="00367C48" w:rsidRDefault="00FB4AA5" w:rsidP="003B5E3A">
      <w:pPr>
        <w:pStyle w:val="ColorfulList-Accent11"/>
        <w:numPr>
          <w:ilvl w:val="0"/>
          <w:numId w:val="24"/>
        </w:numPr>
        <w:spacing w:after="0"/>
        <w:jc w:val="both"/>
        <w:rPr>
          <w:rFonts w:asciiTheme="minorHAnsi" w:hAnsiTheme="minorHAnsi" w:cstheme="minorHAnsi"/>
        </w:rPr>
      </w:pPr>
      <w:r w:rsidRPr="00367C48">
        <w:rPr>
          <w:rFonts w:asciiTheme="minorHAnsi" w:hAnsiTheme="minorHAnsi" w:cstheme="minorHAnsi"/>
        </w:rPr>
        <w:t>The Ad Hoc Committee to appoint the Auditor-General was granted permission to conduct interviews in Gauteng, OR Tambo Airport during the period, 20 -21 August 2020.</w:t>
      </w:r>
    </w:p>
    <w:p w:rsidR="00FB4AA5" w:rsidRPr="00367C48" w:rsidRDefault="00FB4AA5" w:rsidP="003B5E3A">
      <w:pPr>
        <w:pStyle w:val="ColorfulList-Accent11"/>
        <w:numPr>
          <w:ilvl w:val="0"/>
          <w:numId w:val="24"/>
        </w:numPr>
        <w:spacing w:after="0"/>
        <w:jc w:val="both"/>
        <w:rPr>
          <w:rFonts w:asciiTheme="minorHAnsi" w:hAnsiTheme="minorHAnsi" w:cstheme="minorHAnsi"/>
        </w:rPr>
      </w:pPr>
      <w:r w:rsidRPr="00367C48">
        <w:rPr>
          <w:rFonts w:asciiTheme="minorHAnsi" w:hAnsiTheme="minorHAnsi" w:cstheme="minorHAnsi"/>
        </w:rPr>
        <w:t>Portfolio Committee on Public Works and Infrastructure oversight visit to the Beit bridge Border and Public Works Regional Offices in Limpopo and Gauteng during the period 4 – 6 September 2020.</w:t>
      </w:r>
    </w:p>
    <w:p w:rsidR="00FB4AA5" w:rsidRPr="00367C48" w:rsidRDefault="00FB4AA5" w:rsidP="003B5E3A">
      <w:pPr>
        <w:pStyle w:val="ColorfulList-Accent11"/>
        <w:numPr>
          <w:ilvl w:val="0"/>
          <w:numId w:val="24"/>
        </w:numPr>
        <w:spacing w:after="0"/>
        <w:jc w:val="both"/>
        <w:rPr>
          <w:rFonts w:asciiTheme="minorHAnsi" w:hAnsiTheme="minorHAnsi" w:cstheme="minorHAnsi"/>
        </w:rPr>
      </w:pPr>
      <w:r w:rsidRPr="00367C48">
        <w:rPr>
          <w:rFonts w:asciiTheme="minorHAnsi" w:hAnsiTheme="minorHAnsi" w:cstheme="minorHAnsi"/>
        </w:rPr>
        <w:t>Portfolio on Home Affairs oversight visit to the Beit bridge Border Post after reports that the 40 kilometer fence was damaged by the people who crossed over to South Africa for various reasons during the start of the lockdown. The fence was commissioned by the Department of Public Works and Infrastructure at a cost of approximately R40 million.</w:t>
      </w:r>
    </w:p>
    <w:p w:rsidR="00FB4AA5" w:rsidRPr="00367C48" w:rsidRDefault="00FB4AA5" w:rsidP="003B5E3A">
      <w:pPr>
        <w:pStyle w:val="ColorfulList-Accent11"/>
        <w:numPr>
          <w:ilvl w:val="0"/>
          <w:numId w:val="24"/>
        </w:numPr>
        <w:spacing w:after="0"/>
        <w:jc w:val="both"/>
        <w:rPr>
          <w:rFonts w:asciiTheme="minorHAnsi" w:hAnsiTheme="minorHAnsi" w:cstheme="minorHAnsi"/>
        </w:rPr>
      </w:pPr>
      <w:r w:rsidRPr="00367C48">
        <w:rPr>
          <w:rFonts w:asciiTheme="minorHAnsi" w:hAnsiTheme="minorHAnsi" w:cstheme="minorHAnsi"/>
        </w:rPr>
        <w:t>Standing Committee on Public Accounts was granted permission to conduct oversight from 4 – 6 September 2020 at Bet Bridge Border Post after receiving reports that the quality of work done at the border fence is not of satisfactory standard.</w:t>
      </w:r>
    </w:p>
    <w:p w:rsidR="00FB4AA5" w:rsidRPr="00367C48" w:rsidRDefault="00FB4AA5" w:rsidP="003B5E3A">
      <w:pPr>
        <w:pStyle w:val="ColorfulList-Accent11"/>
        <w:numPr>
          <w:ilvl w:val="0"/>
          <w:numId w:val="24"/>
        </w:numPr>
        <w:spacing w:after="0"/>
        <w:jc w:val="both"/>
        <w:rPr>
          <w:rFonts w:asciiTheme="minorHAnsi" w:hAnsiTheme="minorHAnsi" w:cstheme="minorHAnsi"/>
        </w:rPr>
      </w:pPr>
      <w:r w:rsidRPr="00367C48">
        <w:rPr>
          <w:rFonts w:asciiTheme="minorHAnsi" w:hAnsiTheme="minorHAnsi" w:cstheme="minorHAnsi"/>
        </w:rPr>
        <w:t xml:space="preserve">The Joint Standing Committee on Intelligence was granted approval to hold meetings with the Intelligence Services in Gauteng, Pretoria from 25 August – 4 September 2020. Given the sensitive nature of the environment and the methods used by other Committees when holding meetings, the JSCI is however unable to meet using virtual platforms due to cyber security concerns concomitant with MS Teams and Zoom.  </w:t>
      </w:r>
    </w:p>
    <w:p w:rsidR="00FB4AA5" w:rsidRPr="00367C48" w:rsidRDefault="00FB4AA5" w:rsidP="00367C48">
      <w:pPr>
        <w:pStyle w:val="ColorfulList-Accent11"/>
        <w:spacing w:after="0"/>
        <w:ind w:left="360"/>
        <w:jc w:val="both"/>
        <w:rPr>
          <w:rFonts w:asciiTheme="minorHAnsi" w:hAnsiTheme="minorHAnsi" w:cstheme="minorHAnsi"/>
        </w:rPr>
      </w:pPr>
    </w:p>
    <w:p w:rsidR="00FB4AA5" w:rsidRDefault="00FB4AA5" w:rsidP="00367C48">
      <w:pPr>
        <w:pStyle w:val="ColorfulList-Accent11"/>
        <w:spacing w:after="0"/>
        <w:ind w:left="0"/>
        <w:jc w:val="both"/>
        <w:rPr>
          <w:rFonts w:asciiTheme="minorHAnsi" w:hAnsiTheme="minorHAnsi" w:cstheme="minorHAnsi"/>
        </w:rPr>
      </w:pPr>
      <w:r w:rsidRPr="00367C48">
        <w:rPr>
          <w:rFonts w:asciiTheme="minorHAnsi" w:hAnsiTheme="minorHAnsi" w:cstheme="minorHAnsi"/>
        </w:rPr>
        <w:lastRenderedPageBreak/>
        <w:t xml:space="preserve">During August 14 committees conducted virtual oversight hearings and issues dealt with included covid-19 related matters.In September the following committees have been granted permission to conduct oversight visits: </w:t>
      </w:r>
    </w:p>
    <w:p w:rsidR="00A90EEF" w:rsidRPr="00367C48" w:rsidRDefault="00A90EEF" w:rsidP="00367C48">
      <w:pPr>
        <w:pStyle w:val="ColorfulList-Accent11"/>
        <w:spacing w:after="0"/>
        <w:ind w:left="0"/>
        <w:jc w:val="both"/>
        <w:rPr>
          <w:rFonts w:asciiTheme="minorHAnsi" w:hAnsiTheme="minorHAnsi" w:cstheme="minorHAnsi"/>
        </w:rPr>
      </w:pPr>
    </w:p>
    <w:p w:rsidR="00FB4AA5" w:rsidRPr="00367C48" w:rsidRDefault="00FB4AA5" w:rsidP="003B5E3A">
      <w:pPr>
        <w:pStyle w:val="ColorfulList-Accent11"/>
        <w:numPr>
          <w:ilvl w:val="0"/>
          <w:numId w:val="11"/>
        </w:numPr>
        <w:spacing w:after="0"/>
        <w:jc w:val="both"/>
        <w:rPr>
          <w:rFonts w:asciiTheme="minorHAnsi" w:hAnsiTheme="minorHAnsi" w:cstheme="minorHAnsi"/>
        </w:rPr>
      </w:pPr>
      <w:r w:rsidRPr="00367C48">
        <w:rPr>
          <w:rFonts w:asciiTheme="minorHAnsi" w:hAnsiTheme="minorHAnsi" w:cstheme="minorHAnsi"/>
        </w:rPr>
        <w:t>Portfolio Committee on Public Works and Infrastructure oversight visit to the Beit bridge Border and Public Works Regional Offices in Limpopo and Gauteng during the period 4 – 6 September 2020.</w:t>
      </w:r>
    </w:p>
    <w:p w:rsidR="00FB4AA5" w:rsidRPr="00367C48" w:rsidRDefault="00FB4AA5" w:rsidP="003B5E3A">
      <w:pPr>
        <w:pStyle w:val="ColorfulList-Accent11"/>
        <w:numPr>
          <w:ilvl w:val="0"/>
          <w:numId w:val="11"/>
        </w:numPr>
        <w:spacing w:after="0"/>
        <w:jc w:val="both"/>
        <w:rPr>
          <w:rFonts w:asciiTheme="minorHAnsi" w:hAnsiTheme="minorHAnsi" w:cstheme="minorHAnsi"/>
        </w:rPr>
      </w:pPr>
      <w:r w:rsidRPr="00367C48">
        <w:rPr>
          <w:rFonts w:asciiTheme="minorHAnsi" w:hAnsiTheme="minorHAnsi" w:cstheme="minorHAnsi"/>
        </w:rPr>
        <w:t>Portfolio on Home Affairs oversight visit to the Beit bridge Border Post after reports that the 40 kilometer fence was damaged by the people who crossed over to South Africa for various reasons during the start of the lockdown. The fence was commissioned by the Department of Public Works and Infrastructure at a cost of approximately R40 million.</w:t>
      </w:r>
    </w:p>
    <w:p w:rsidR="00FB4AA5" w:rsidRPr="00367C48" w:rsidRDefault="00FB4AA5" w:rsidP="003B5E3A">
      <w:pPr>
        <w:pStyle w:val="ColorfulList-Accent11"/>
        <w:numPr>
          <w:ilvl w:val="0"/>
          <w:numId w:val="11"/>
        </w:numPr>
        <w:spacing w:after="0"/>
        <w:jc w:val="both"/>
        <w:rPr>
          <w:rFonts w:asciiTheme="minorHAnsi" w:hAnsiTheme="minorHAnsi" w:cstheme="minorHAnsi"/>
        </w:rPr>
      </w:pPr>
      <w:r w:rsidRPr="00367C48">
        <w:rPr>
          <w:rFonts w:asciiTheme="minorHAnsi" w:hAnsiTheme="minorHAnsi" w:cstheme="minorHAnsi"/>
        </w:rPr>
        <w:t>Standing Committee on Public Accounts was granted permission to conduct oversight from 4 – 6 September 2020 at Bet Bridge Border Post after receiving reports that the quality of work done at the border fence is not of satisfactory standard.</w:t>
      </w:r>
    </w:p>
    <w:p w:rsidR="00FB4AA5" w:rsidRPr="00367C48" w:rsidRDefault="00FB4AA5" w:rsidP="003B5E3A">
      <w:pPr>
        <w:pStyle w:val="ColorfulList-Accent11"/>
        <w:numPr>
          <w:ilvl w:val="0"/>
          <w:numId w:val="11"/>
        </w:numPr>
        <w:spacing w:after="0"/>
        <w:jc w:val="both"/>
        <w:rPr>
          <w:rFonts w:asciiTheme="minorHAnsi" w:hAnsiTheme="minorHAnsi" w:cstheme="minorHAnsi"/>
        </w:rPr>
      </w:pPr>
      <w:r w:rsidRPr="00367C48">
        <w:rPr>
          <w:rFonts w:asciiTheme="minorHAnsi" w:hAnsiTheme="minorHAnsi" w:cstheme="minorHAnsi"/>
        </w:rPr>
        <w:t>The Portfolio Committee on Women, Youth and People with Disability had an oversight visit to Umthwalume, Kwazulu-Natal from 4 – 6 September 2020 to look into gender based violence and related matters in the area.</w:t>
      </w:r>
    </w:p>
    <w:p w:rsidR="00FB4AA5" w:rsidRPr="00367C48" w:rsidRDefault="00FB4AA5" w:rsidP="003B5E3A">
      <w:pPr>
        <w:pStyle w:val="ColorfulList-Accent11"/>
        <w:numPr>
          <w:ilvl w:val="0"/>
          <w:numId w:val="11"/>
        </w:numPr>
        <w:spacing w:after="0"/>
        <w:jc w:val="both"/>
        <w:rPr>
          <w:rFonts w:asciiTheme="minorHAnsi" w:hAnsiTheme="minorHAnsi" w:cstheme="minorHAnsi"/>
        </w:rPr>
      </w:pPr>
      <w:r w:rsidRPr="00367C48">
        <w:rPr>
          <w:rFonts w:asciiTheme="minorHAnsi" w:hAnsiTheme="minorHAnsi" w:cstheme="minorHAnsi"/>
        </w:rPr>
        <w:t>The Joint Sub-Committee to appoint the Director of the parliamentary Budget Office conducted interviews in Gauteng, Johannesburg from 28 – 30 September 2020.</w:t>
      </w:r>
    </w:p>
    <w:p w:rsidR="00FB4AA5" w:rsidRPr="00367C48" w:rsidRDefault="00FB4AA5" w:rsidP="00367C48">
      <w:pPr>
        <w:pStyle w:val="ColorfulList-Accent11"/>
        <w:spacing w:after="0"/>
        <w:ind w:left="0"/>
        <w:jc w:val="both"/>
        <w:rPr>
          <w:rFonts w:asciiTheme="minorHAnsi" w:hAnsiTheme="minorHAnsi" w:cstheme="minorHAnsi"/>
        </w:rPr>
      </w:pPr>
    </w:p>
    <w:p w:rsidR="00FB4AA5" w:rsidRDefault="00FB4AA5" w:rsidP="00367C48">
      <w:pPr>
        <w:pStyle w:val="ColorfulList-Accent11"/>
        <w:spacing w:after="0"/>
        <w:ind w:left="0"/>
        <w:jc w:val="both"/>
        <w:rPr>
          <w:rFonts w:asciiTheme="minorHAnsi" w:hAnsiTheme="minorHAnsi" w:cstheme="minorHAnsi"/>
        </w:rPr>
      </w:pPr>
      <w:r w:rsidRPr="00367C48">
        <w:rPr>
          <w:rFonts w:asciiTheme="minorHAnsi" w:hAnsiTheme="minorHAnsi" w:cstheme="minorHAnsi"/>
        </w:rPr>
        <w:t>About 36 committees conducted oversight related virtual meetings and issues dealt with included covid-19 related matters during September. The following are some of the highlights:</w:t>
      </w:r>
    </w:p>
    <w:p w:rsidR="00C24092" w:rsidRPr="00367C48" w:rsidRDefault="00C24092" w:rsidP="00367C48">
      <w:pPr>
        <w:pStyle w:val="ColorfulList-Accent11"/>
        <w:spacing w:after="0"/>
        <w:ind w:left="0"/>
        <w:jc w:val="both"/>
        <w:rPr>
          <w:rFonts w:asciiTheme="minorHAnsi" w:hAnsiTheme="minorHAnsi" w:cstheme="minorHAnsi"/>
        </w:rPr>
      </w:pPr>
    </w:p>
    <w:p w:rsidR="00FB4AA5" w:rsidRPr="00367C48" w:rsidRDefault="00FB4AA5" w:rsidP="003B5E3A">
      <w:pPr>
        <w:pStyle w:val="ColorfulList-Accent11"/>
        <w:numPr>
          <w:ilvl w:val="0"/>
          <w:numId w:val="25"/>
        </w:numPr>
        <w:spacing w:after="0"/>
        <w:jc w:val="both"/>
        <w:rPr>
          <w:rFonts w:asciiTheme="minorHAnsi" w:hAnsiTheme="minorHAnsi" w:cstheme="minorHAnsi"/>
        </w:rPr>
      </w:pPr>
      <w:r w:rsidRPr="00367C48">
        <w:rPr>
          <w:rFonts w:asciiTheme="minorHAnsi" w:hAnsiTheme="minorHAnsi" w:cstheme="minorHAnsi"/>
        </w:rPr>
        <w:t>PC on Health visit to KwaZulu-Natal Covid-19 response, Covid-19 interventions have been strengthened, which includes the identification of contacts and reducing the turnaround time for test results. PPE is monitored at provincial office right down to health facilities. Concerns relating to staff capacity was highlighted. The province indicated that an additional budget of R1.2 billion has since been allocated for the recruitment of staff.</w:t>
      </w:r>
    </w:p>
    <w:p w:rsidR="00FB4AA5" w:rsidRPr="00367C48" w:rsidRDefault="00FB4AA5" w:rsidP="003B5E3A">
      <w:pPr>
        <w:pStyle w:val="ColorfulList-Accent11"/>
        <w:numPr>
          <w:ilvl w:val="0"/>
          <w:numId w:val="25"/>
        </w:numPr>
        <w:spacing w:after="0"/>
        <w:jc w:val="both"/>
        <w:rPr>
          <w:rFonts w:asciiTheme="minorHAnsi" w:hAnsiTheme="minorHAnsi" w:cstheme="minorHAnsi"/>
        </w:rPr>
      </w:pPr>
      <w:r w:rsidRPr="00367C48">
        <w:rPr>
          <w:rFonts w:asciiTheme="minorHAnsi" w:hAnsiTheme="minorHAnsi" w:cstheme="minorHAnsi"/>
        </w:rPr>
        <w:t>PC on Health visit to Gauteng Health facilities in Gauteng are making a coordinated effort in dealing with Covid-19 by scaling up screening and testing, setting up isolation facilities and facilitating training on Covid-19. Staff exposure to Covid-19 was noted with concern. Delays in Covid-19 test results needs to be addressed.</w:t>
      </w:r>
    </w:p>
    <w:p w:rsidR="00FB4AA5" w:rsidRPr="00367C48" w:rsidRDefault="00FB4AA5" w:rsidP="003B5E3A">
      <w:pPr>
        <w:pStyle w:val="ColorfulList-Accent11"/>
        <w:numPr>
          <w:ilvl w:val="0"/>
          <w:numId w:val="25"/>
        </w:numPr>
        <w:spacing w:after="0"/>
        <w:jc w:val="both"/>
        <w:rPr>
          <w:rFonts w:asciiTheme="minorHAnsi" w:hAnsiTheme="minorHAnsi" w:cstheme="minorHAnsi"/>
        </w:rPr>
      </w:pPr>
      <w:r w:rsidRPr="00367C48">
        <w:rPr>
          <w:rFonts w:asciiTheme="minorHAnsi" w:hAnsiTheme="minorHAnsi" w:cstheme="minorHAnsi"/>
        </w:rPr>
        <w:t>PC on Social Development to assess progress made by the Department, SASSA and the NDA on the Covid 19 responses. The Committee received a briefing on the plans to re-open ECD centres and after school centres, and update on the payment of the Social Relief of Distress Grant. The main challenges on the latter included payment delays, no clear communication lines on feedback to applications or making enquiries, long queues at Post Office resulting in lack of adherence to social distancing, overcrowding at SASSA offices, high number of rejected applications.</w:t>
      </w:r>
    </w:p>
    <w:p w:rsidR="00FB4AA5" w:rsidRDefault="00FB4AA5" w:rsidP="00EE760C">
      <w:pPr>
        <w:rPr>
          <w:rFonts w:ascii="Calibri" w:hAnsi="Calibri" w:cs="Calibri"/>
        </w:rPr>
      </w:pPr>
    </w:p>
    <w:p w:rsidR="00FB4AA5" w:rsidRPr="006E4B70" w:rsidRDefault="00FB4AA5" w:rsidP="003B5E3A">
      <w:pPr>
        <w:pStyle w:val="Heading2"/>
        <w:numPr>
          <w:ilvl w:val="1"/>
          <w:numId w:val="36"/>
        </w:numPr>
      </w:pPr>
      <w:bookmarkStart w:id="14" w:name="_Toc54361037"/>
      <w:r w:rsidRPr="006E4B70">
        <w:t>PUBLIC PARTICIPATION</w:t>
      </w:r>
      <w:bookmarkEnd w:id="14"/>
    </w:p>
    <w:p w:rsidR="00FB4AA5" w:rsidRPr="00C24092" w:rsidRDefault="00FB4AA5" w:rsidP="003B5E3A">
      <w:pPr>
        <w:pStyle w:val="ColorfulList-Accent11"/>
        <w:numPr>
          <w:ilvl w:val="0"/>
          <w:numId w:val="35"/>
        </w:numPr>
        <w:spacing w:after="0"/>
        <w:contextualSpacing w:val="0"/>
        <w:jc w:val="both"/>
        <w:rPr>
          <w:rFonts w:asciiTheme="minorHAnsi" w:hAnsiTheme="minorHAnsi" w:cstheme="minorHAnsi"/>
        </w:rPr>
      </w:pPr>
      <w:r w:rsidRPr="00C24092">
        <w:rPr>
          <w:rFonts w:asciiTheme="minorHAnsi" w:hAnsiTheme="minorHAnsi" w:cstheme="minorHAnsi"/>
        </w:rPr>
        <w:t xml:space="preserve">The SC on Appropriations held virtual public hearings on 13 MAY 2020 to consider the pubic submissions on the Division of Revenue Bill [B3-20 (s76)].  </w:t>
      </w:r>
    </w:p>
    <w:p w:rsidR="00FB4AA5" w:rsidRPr="00C24092" w:rsidRDefault="00FB4AA5" w:rsidP="003B5E3A">
      <w:pPr>
        <w:pStyle w:val="ColorfulList-Accent11"/>
        <w:numPr>
          <w:ilvl w:val="0"/>
          <w:numId w:val="35"/>
        </w:numPr>
        <w:spacing w:after="0"/>
        <w:contextualSpacing w:val="0"/>
        <w:jc w:val="both"/>
        <w:rPr>
          <w:rFonts w:asciiTheme="minorHAnsi" w:hAnsiTheme="minorHAnsi" w:cstheme="minorHAnsi"/>
        </w:rPr>
      </w:pPr>
      <w:r w:rsidRPr="00C24092">
        <w:rPr>
          <w:rFonts w:asciiTheme="minorHAnsi" w:hAnsiTheme="minorHAnsi" w:cstheme="minorHAnsi"/>
        </w:rPr>
        <w:t>Two committees, Standing Committee on Appropriations and Select Committee on Appropriations had joint public hearings to process the 2020 Appropriation Bill</w:t>
      </w:r>
    </w:p>
    <w:p w:rsidR="00FB4AA5" w:rsidRPr="00C24092" w:rsidRDefault="00FB4AA5" w:rsidP="003B5E3A">
      <w:pPr>
        <w:pStyle w:val="ColorfulList-Accent11"/>
        <w:numPr>
          <w:ilvl w:val="0"/>
          <w:numId w:val="35"/>
        </w:numPr>
        <w:spacing w:after="0"/>
        <w:contextualSpacing w:val="0"/>
        <w:jc w:val="both"/>
        <w:rPr>
          <w:rFonts w:asciiTheme="minorHAnsi" w:hAnsiTheme="minorHAnsi" w:cstheme="minorHAnsi"/>
        </w:rPr>
      </w:pPr>
      <w:r w:rsidRPr="00C24092">
        <w:rPr>
          <w:rFonts w:asciiTheme="minorHAnsi" w:hAnsiTheme="minorHAnsi" w:cstheme="minorHAnsi"/>
        </w:rPr>
        <w:t>During July 2020 the Standing Committee on Finance and Select Committee on Finance had joint virtual committee public hearing Revised Fiscal Framework; the Standing Committee on Appropriations and Select Committee on Appropriations had joint virtual public hearing on Division of Revenue Amendment Bill; and the Standing Committee on Appropriations and Select Committee on Appropriations had joint virtual public hearing during the processing of 2020 Adjustment Appropriation Bill.</w:t>
      </w:r>
    </w:p>
    <w:p w:rsidR="00FB4AA5" w:rsidRPr="00C24092" w:rsidRDefault="00FB4AA5" w:rsidP="003B5E3A">
      <w:pPr>
        <w:pStyle w:val="ColorfulList-Accent11"/>
        <w:numPr>
          <w:ilvl w:val="0"/>
          <w:numId w:val="35"/>
        </w:numPr>
        <w:spacing w:after="0"/>
        <w:contextualSpacing w:val="0"/>
        <w:jc w:val="both"/>
        <w:rPr>
          <w:rFonts w:asciiTheme="minorHAnsi" w:hAnsiTheme="minorHAnsi" w:cstheme="minorHAnsi"/>
        </w:rPr>
      </w:pPr>
      <w:r w:rsidRPr="00C24092">
        <w:rPr>
          <w:rFonts w:asciiTheme="minorHAnsi" w:hAnsiTheme="minorHAnsi" w:cstheme="minorHAnsi"/>
        </w:rPr>
        <w:lastRenderedPageBreak/>
        <w:t>During August 2020 the Standing Committee on Finance and Select Committee on Finance had joint virtual meeting deliberate on Covid-19 related Bills (Disaster Management Tax Relief Bill [B11B-20 (s77)] and Disaster Management Tax Relief Admin Bill [B12B-20 (s75)]); PC on Agriculture, Land Reform and Rural Development had public hearings on Upgrading of Land Tenure A/B [B6-2020(prop s76)].</w:t>
      </w:r>
    </w:p>
    <w:p w:rsidR="00FB4AA5" w:rsidRPr="00C24092" w:rsidRDefault="00FB4AA5" w:rsidP="003B5E3A">
      <w:pPr>
        <w:pStyle w:val="ColorfulList-Accent11"/>
        <w:numPr>
          <w:ilvl w:val="0"/>
          <w:numId w:val="35"/>
        </w:numPr>
        <w:spacing w:after="0"/>
        <w:contextualSpacing w:val="0"/>
        <w:jc w:val="both"/>
        <w:rPr>
          <w:rFonts w:asciiTheme="minorHAnsi" w:hAnsiTheme="minorHAnsi" w:cstheme="minorHAnsi"/>
        </w:rPr>
      </w:pPr>
      <w:r w:rsidRPr="00C24092">
        <w:rPr>
          <w:rFonts w:asciiTheme="minorHAnsi" w:hAnsiTheme="minorHAnsi" w:cstheme="minorHAnsi"/>
        </w:rPr>
        <w:t>In September the PC on Agriculture, Rural Development and Land Reform held virtual public hearings on Upgrading of Land Tenure R</w:t>
      </w:r>
      <w:r w:rsidR="006E4B70">
        <w:rPr>
          <w:rFonts w:asciiTheme="minorHAnsi" w:hAnsiTheme="minorHAnsi" w:cstheme="minorHAnsi"/>
        </w:rPr>
        <w:t>ights Amendment Bill [B6-2020].</w:t>
      </w:r>
    </w:p>
    <w:p w:rsidR="00C24092" w:rsidRPr="006E4B70" w:rsidRDefault="00C24092" w:rsidP="00C24092">
      <w:pPr>
        <w:pStyle w:val="ListParagraph"/>
        <w:spacing w:after="0" w:line="259" w:lineRule="auto"/>
        <w:rPr>
          <w:rFonts w:asciiTheme="minorHAnsi" w:hAnsiTheme="minorHAnsi" w:cstheme="minorHAnsi"/>
          <w:sz w:val="22"/>
          <w:szCs w:val="22"/>
        </w:rPr>
      </w:pPr>
    </w:p>
    <w:p w:rsidR="00C24092" w:rsidRPr="006E4B70" w:rsidRDefault="00C24092" w:rsidP="003B5E3A">
      <w:pPr>
        <w:pStyle w:val="Heading2"/>
        <w:numPr>
          <w:ilvl w:val="2"/>
          <w:numId w:val="36"/>
        </w:numPr>
      </w:pPr>
      <w:bookmarkStart w:id="15" w:name="_Toc54361038"/>
      <w:r w:rsidRPr="006E4B70">
        <w:t>Petitions</w:t>
      </w:r>
      <w:bookmarkEnd w:id="15"/>
    </w:p>
    <w:p w:rsidR="00C24092" w:rsidRPr="00C24092" w:rsidRDefault="00C24092" w:rsidP="00C24092">
      <w:pPr>
        <w:pStyle w:val="ColorfulList-Accent11"/>
        <w:spacing w:after="0"/>
        <w:ind w:left="0"/>
        <w:contextualSpacing w:val="0"/>
        <w:jc w:val="both"/>
        <w:rPr>
          <w:rFonts w:asciiTheme="minorHAnsi" w:hAnsiTheme="minorHAnsi" w:cstheme="minorHAnsi"/>
        </w:rPr>
      </w:pPr>
    </w:p>
    <w:p w:rsidR="00C24092" w:rsidRPr="00C24092" w:rsidRDefault="00C24092" w:rsidP="003B5E3A">
      <w:pPr>
        <w:pStyle w:val="ColorfulList-Accent11"/>
        <w:numPr>
          <w:ilvl w:val="0"/>
          <w:numId w:val="26"/>
        </w:numPr>
        <w:spacing w:after="0"/>
        <w:ind w:left="360"/>
        <w:contextualSpacing w:val="0"/>
        <w:jc w:val="both"/>
        <w:rPr>
          <w:rFonts w:asciiTheme="minorHAnsi" w:hAnsiTheme="minorHAnsi" w:cstheme="minorHAnsi"/>
        </w:rPr>
      </w:pPr>
      <w:r w:rsidRPr="00C24092">
        <w:rPr>
          <w:rFonts w:asciiTheme="minorHAnsi" w:hAnsiTheme="minorHAnsi" w:cstheme="minorHAnsi"/>
        </w:rPr>
        <w:t>In May one submission from the Magistrate Commission on the suspension of a Magistrate was considered and finalized during a joint meeting of PC on Justice and Correctional Services and SC on Justice and Security.</w:t>
      </w:r>
    </w:p>
    <w:p w:rsidR="00C24092" w:rsidRPr="00C24092" w:rsidRDefault="00C24092" w:rsidP="003B5E3A">
      <w:pPr>
        <w:pStyle w:val="ColorfulList-Accent11"/>
        <w:numPr>
          <w:ilvl w:val="0"/>
          <w:numId w:val="26"/>
        </w:numPr>
        <w:spacing w:after="0"/>
        <w:ind w:left="360"/>
        <w:contextualSpacing w:val="0"/>
        <w:jc w:val="both"/>
        <w:rPr>
          <w:rFonts w:asciiTheme="minorHAnsi" w:hAnsiTheme="minorHAnsi" w:cstheme="minorHAnsi"/>
        </w:rPr>
      </w:pPr>
      <w:r w:rsidRPr="00C24092">
        <w:rPr>
          <w:rFonts w:asciiTheme="minorHAnsi" w:hAnsiTheme="minorHAnsi" w:cstheme="minorHAnsi"/>
        </w:rPr>
        <w:t xml:space="preserve">Most meetings were held on Covid 19 pandemic from April to June </w:t>
      </w:r>
    </w:p>
    <w:p w:rsidR="00C24092" w:rsidRPr="00C24092" w:rsidRDefault="00C24092" w:rsidP="003B5E3A">
      <w:pPr>
        <w:pStyle w:val="ColorfulList-Accent11"/>
        <w:numPr>
          <w:ilvl w:val="0"/>
          <w:numId w:val="26"/>
        </w:numPr>
        <w:spacing w:after="0"/>
        <w:ind w:left="360"/>
        <w:contextualSpacing w:val="0"/>
        <w:jc w:val="both"/>
        <w:rPr>
          <w:rFonts w:asciiTheme="minorHAnsi" w:hAnsiTheme="minorHAnsi" w:cstheme="minorHAnsi"/>
        </w:rPr>
      </w:pPr>
      <w:r w:rsidRPr="00C24092">
        <w:rPr>
          <w:rFonts w:asciiTheme="minorHAnsi" w:hAnsiTheme="minorHAnsi" w:cstheme="minorHAnsi"/>
        </w:rPr>
        <w:t xml:space="preserve">PC Justice &amp; Correctional on the 17 of June dealt with the Services, Notices determining the remuneration of the Public Protector and Commissioners of the South African Human Rights with effect from 1 April 2019. </w:t>
      </w:r>
    </w:p>
    <w:p w:rsidR="00C24092" w:rsidRPr="00C24092" w:rsidRDefault="00C24092" w:rsidP="003B5E3A">
      <w:pPr>
        <w:pStyle w:val="ColorfulList-Accent11"/>
        <w:numPr>
          <w:ilvl w:val="0"/>
          <w:numId w:val="26"/>
        </w:numPr>
        <w:spacing w:after="0"/>
        <w:ind w:left="360"/>
        <w:contextualSpacing w:val="0"/>
        <w:jc w:val="both"/>
        <w:rPr>
          <w:rFonts w:asciiTheme="minorHAnsi" w:hAnsiTheme="minorHAnsi" w:cstheme="minorHAnsi"/>
        </w:rPr>
      </w:pPr>
      <w:r w:rsidRPr="00C24092">
        <w:rPr>
          <w:rFonts w:asciiTheme="minorHAnsi" w:hAnsiTheme="minorHAnsi" w:cstheme="minorHAnsi"/>
        </w:rPr>
        <w:t xml:space="preserve">Most National Assembly committees dealt with the Strategic Plans, APP and budget vote during the May month. </w:t>
      </w:r>
    </w:p>
    <w:p w:rsidR="00C24092" w:rsidRPr="00C24092" w:rsidRDefault="00C24092" w:rsidP="003B5E3A">
      <w:pPr>
        <w:pStyle w:val="ColorfulList-Accent11"/>
        <w:numPr>
          <w:ilvl w:val="0"/>
          <w:numId w:val="26"/>
        </w:numPr>
        <w:spacing w:after="0"/>
        <w:ind w:left="360"/>
        <w:contextualSpacing w:val="0"/>
        <w:jc w:val="both"/>
        <w:rPr>
          <w:rFonts w:asciiTheme="minorHAnsi" w:hAnsiTheme="minorHAnsi" w:cstheme="minorHAnsi"/>
        </w:rPr>
      </w:pPr>
      <w:r w:rsidRPr="00C24092">
        <w:rPr>
          <w:rFonts w:asciiTheme="minorHAnsi" w:hAnsiTheme="minorHAnsi" w:cstheme="minorHAnsi"/>
        </w:rPr>
        <w:t>During this period under review the PC on Cooperative governance dealt with 8 petitions: As follows</w:t>
      </w:r>
    </w:p>
    <w:p w:rsidR="00C24092" w:rsidRPr="00C24092" w:rsidRDefault="00C24092" w:rsidP="003B5E3A">
      <w:pPr>
        <w:pStyle w:val="ColorfulList-Accent11"/>
        <w:numPr>
          <w:ilvl w:val="0"/>
          <w:numId w:val="26"/>
        </w:numPr>
        <w:spacing w:after="0"/>
        <w:ind w:left="360"/>
        <w:contextualSpacing w:val="0"/>
        <w:jc w:val="both"/>
        <w:rPr>
          <w:rFonts w:asciiTheme="minorHAnsi" w:hAnsiTheme="minorHAnsi" w:cstheme="minorHAnsi"/>
        </w:rPr>
      </w:pPr>
      <w:r w:rsidRPr="00C24092">
        <w:rPr>
          <w:rFonts w:asciiTheme="minorHAnsi" w:hAnsiTheme="minorHAnsi" w:cstheme="minorHAnsi"/>
        </w:rPr>
        <w:t xml:space="preserve">Petition dated 11 February 2020, from Mr Willie Basson (on behalf of the residents of Ward 37 in Alberton North), pertaining to illegal occupation of Stand 1/1224 (Number 42, Second Avenue, in Alberton North) o3 June. </w:t>
      </w:r>
    </w:p>
    <w:p w:rsidR="00C24092" w:rsidRPr="00C24092" w:rsidRDefault="00C24092" w:rsidP="003B5E3A">
      <w:pPr>
        <w:pStyle w:val="ColorfulList-Accent11"/>
        <w:numPr>
          <w:ilvl w:val="0"/>
          <w:numId w:val="26"/>
        </w:numPr>
        <w:spacing w:after="0"/>
        <w:ind w:left="360"/>
        <w:contextualSpacing w:val="0"/>
        <w:jc w:val="both"/>
        <w:rPr>
          <w:rFonts w:asciiTheme="minorHAnsi" w:hAnsiTheme="minorHAnsi" w:cstheme="minorHAnsi"/>
        </w:rPr>
      </w:pPr>
      <w:r w:rsidRPr="00C24092">
        <w:rPr>
          <w:rFonts w:asciiTheme="minorHAnsi" w:hAnsiTheme="minorHAnsi" w:cstheme="minorHAnsi"/>
        </w:rPr>
        <w:t>Petition from Honourable Michael Waters (DA) pertaining to the fire at Glen Marais sub-station situated within the boundaries of the City of Ekurhuleni, which resulted in many residents not having electricity for six days</w:t>
      </w:r>
    </w:p>
    <w:p w:rsidR="00C24092" w:rsidRPr="00C24092" w:rsidRDefault="00C24092" w:rsidP="003B5E3A">
      <w:pPr>
        <w:pStyle w:val="ColorfulList-Accent11"/>
        <w:numPr>
          <w:ilvl w:val="0"/>
          <w:numId w:val="26"/>
        </w:numPr>
        <w:spacing w:after="0"/>
        <w:ind w:left="360"/>
        <w:contextualSpacing w:val="0"/>
        <w:jc w:val="both"/>
        <w:rPr>
          <w:rFonts w:asciiTheme="minorHAnsi" w:hAnsiTheme="minorHAnsi" w:cstheme="minorHAnsi"/>
        </w:rPr>
      </w:pPr>
      <w:r w:rsidRPr="00C24092">
        <w:rPr>
          <w:rFonts w:asciiTheme="minorHAnsi" w:hAnsiTheme="minorHAnsi" w:cstheme="minorHAnsi"/>
        </w:rPr>
        <w:t xml:space="preserve">Petition from Honourable D Bergman (DA), calling on Parliament to investigate public participation and legislative compliance in the proposed housing development in Alberton 03 June </w:t>
      </w:r>
    </w:p>
    <w:p w:rsidR="00C24092" w:rsidRPr="00C24092" w:rsidRDefault="00C24092" w:rsidP="003B5E3A">
      <w:pPr>
        <w:pStyle w:val="ColorfulList-Accent11"/>
        <w:numPr>
          <w:ilvl w:val="0"/>
          <w:numId w:val="26"/>
        </w:numPr>
        <w:spacing w:after="0"/>
        <w:ind w:left="360"/>
        <w:contextualSpacing w:val="0"/>
        <w:jc w:val="both"/>
        <w:rPr>
          <w:rFonts w:asciiTheme="minorHAnsi" w:hAnsiTheme="minorHAnsi" w:cstheme="minorHAnsi"/>
        </w:rPr>
      </w:pPr>
      <w:r w:rsidRPr="00C24092">
        <w:rPr>
          <w:rFonts w:asciiTheme="minorHAnsi" w:hAnsiTheme="minorHAnsi" w:cstheme="minorHAnsi"/>
        </w:rPr>
        <w:t xml:space="preserve">Petition calling on the Assembly to investigate numerous power outages in Boksburg and Germiston, submitted by Mr M Waters (DA) 03 June. </w:t>
      </w:r>
    </w:p>
    <w:p w:rsidR="00C24092" w:rsidRPr="00C24092" w:rsidRDefault="00C24092" w:rsidP="003B5E3A">
      <w:pPr>
        <w:pStyle w:val="ColorfulList-Accent11"/>
        <w:numPr>
          <w:ilvl w:val="0"/>
          <w:numId w:val="26"/>
        </w:numPr>
        <w:spacing w:after="0"/>
        <w:ind w:left="360"/>
        <w:contextualSpacing w:val="0"/>
        <w:jc w:val="both"/>
        <w:rPr>
          <w:rFonts w:asciiTheme="minorHAnsi" w:hAnsiTheme="minorHAnsi" w:cstheme="minorHAnsi"/>
        </w:rPr>
      </w:pPr>
      <w:r w:rsidRPr="00C24092">
        <w:rPr>
          <w:rFonts w:asciiTheme="minorHAnsi" w:hAnsiTheme="minorHAnsi" w:cstheme="minorHAnsi"/>
        </w:rPr>
        <w:t xml:space="preserve">Petition from the residents of Nemallpius Ext 22, calling on the Gauteng MEC for Cooperative Governance Human Settlements and Traditional Affairs to attend to their service delivery grievances against the City of Tshwane O4 June. </w:t>
      </w:r>
    </w:p>
    <w:p w:rsidR="00C24092" w:rsidRPr="00C24092" w:rsidRDefault="00C24092" w:rsidP="003B5E3A">
      <w:pPr>
        <w:pStyle w:val="ColorfulList-Accent11"/>
        <w:numPr>
          <w:ilvl w:val="0"/>
          <w:numId w:val="26"/>
        </w:numPr>
        <w:spacing w:after="0"/>
        <w:ind w:left="360"/>
        <w:contextualSpacing w:val="0"/>
        <w:jc w:val="both"/>
        <w:rPr>
          <w:rFonts w:asciiTheme="minorHAnsi" w:hAnsiTheme="minorHAnsi" w:cstheme="minorHAnsi"/>
        </w:rPr>
      </w:pPr>
      <w:r w:rsidRPr="00C24092">
        <w:rPr>
          <w:rFonts w:asciiTheme="minorHAnsi" w:hAnsiTheme="minorHAnsi" w:cstheme="minorHAnsi"/>
        </w:rPr>
        <w:t>Knysna petition processed it on the 17 June 2020.</w:t>
      </w:r>
    </w:p>
    <w:p w:rsidR="00C24092" w:rsidRPr="00C24092" w:rsidRDefault="00C24092" w:rsidP="003B5E3A">
      <w:pPr>
        <w:pStyle w:val="ColorfulList-Accent11"/>
        <w:numPr>
          <w:ilvl w:val="0"/>
          <w:numId w:val="26"/>
        </w:numPr>
        <w:spacing w:after="0"/>
        <w:ind w:left="360"/>
        <w:contextualSpacing w:val="0"/>
        <w:jc w:val="both"/>
        <w:rPr>
          <w:rFonts w:asciiTheme="minorHAnsi" w:hAnsiTheme="minorHAnsi" w:cstheme="minorHAnsi"/>
        </w:rPr>
      </w:pPr>
      <w:r w:rsidRPr="00C24092">
        <w:rPr>
          <w:rFonts w:asciiTheme="minorHAnsi" w:hAnsiTheme="minorHAnsi" w:cstheme="minorHAnsi"/>
        </w:rPr>
        <w:t xml:space="preserve">Tzaneen Local Municipality Petition and Religious forum South Africa petition were processed on the 24 June 2020. </w:t>
      </w:r>
    </w:p>
    <w:p w:rsidR="00C24092" w:rsidRPr="00C24092" w:rsidRDefault="00C24092" w:rsidP="003B5E3A">
      <w:pPr>
        <w:pStyle w:val="ColorfulList-Accent11"/>
        <w:numPr>
          <w:ilvl w:val="0"/>
          <w:numId w:val="27"/>
        </w:numPr>
        <w:spacing w:after="0"/>
        <w:ind w:left="360"/>
        <w:contextualSpacing w:val="0"/>
        <w:jc w:val="both"/>
        <w:rPr>
          <w:rFonts w:asciiTheme="minorHAnsi" w:hAnsiTheme="minorHAnsi" w:cstheme="minorHAnsi"/>
        </w:rPr>
      </w:pPr>
      <w:r w:rsidRPr="00C24092">
        <w:rPr>
          <w:rFonts w:asciiTheme="minorHAnsi" w:hAnsiTheme="minorHAnsi" w:cstheme="minorHAnsi"/>
        </w:rPr>
        <w:t>In July the PC on Public Enterprises concluded the report on the petition from the residents of Jamestown, Stellenbosch, calling on the Assembly to investigate the transfer, by Eskom, of management powers over the electricity network in Jamestown to Stellenbosch municipality, submitted in terms of Rule 347 (Dr L Shreiber).</w:t>
      </w:r>
    </w:p>
    <w:p w:rsidR="00C24092" w:rsidRPr="00C24092" w:rsidRDefault="00C24092" w:rsidP="003B5E3A">
      <w:pPr>
        <w:pStyle w:val="ColorfulList-Accent11"/>
        <w:numPr>
          <w:ilvl w:val="0"/>
          <w:numId w:val="27"/>
        </w:numPr>
        <w:spacing w:after="0"/>
        <w:ind w:left="360"/>
        <w:contextualSpacing w:val="0"/>
        <w:jc w:val="both"/>
        <w:rPr>
          <w:rFonts w:asciiTheme="minorHAnsi" w:hAnsiTheme="minorHAnsi" w:cstheme="minorHAnsi"/>
        </w:rPr>
      </w:pPr>
      <w:r w:rsidRPr="00C24092">
        <w:rPr>
          <w:rFonts w:asciiTheme="minorHAnsi" w:hAnsiTheme="minorHAnsi" w:cstheme="minorHAnsi"/>
        </w:rPr>
        <w:t>The PC on Public Enterprises concluded the report on the petition from the residents of Jamestown, Stellenbosch, calling on the Assembly to investigate the transfer, by Eskom, of management powers over the electricity network in Jamestown to Stellenbosch municipality, submitted in terms of Rule 347 (Dr L Shreiber).</w:t>
      </w:r>
    </w:p>
    <w:p w:rsidR="00C24092" w:rsidRPr="00C24092" w:rsidRDefault="00C24092" w:rsidP="003B5E3A">
      <w:pPr>
        <w:pStyle w:val="ColorfulList-Accent11"/>
        <w:numPr>
          <w:ilvl w:val="0"/>
          <w:numId w:val="27"/>
        </w:numPr>
        <w:spacing w:after="0"/>
        <w:ind w:left="360"/>
        <w:contextualSpacing w:val="0"/>
        <w:jc w:val="both"/>
        <w:rPr>
          <w:rFonts w:asciiTheme="minorHAnsi" w:hAnsiTheme="minorHAnsi" w:cstheme="minorHAnsi"/>
        </w:rPr>
      </w:pPr>
      <w:r w:rsidRPr="00C24092">
        <w:rPr>
          <w:rFonts w:asciiTheme="minorHAnsi" w:hAnsiTheme="minorHAnsi" w:cstheme="minorHAnsi"/>
        </w:rPr>
        <w:t>PC on COGTA finalized a petition received from the community of Bhambayi, Mamba, Brooksfarm and Maoti in ward 52, KwaZulu Natal Complaining about service delivery in particular the building of RDP houses in the area.</w:t>
      </w:r>
    </w:p>
    <w:p w:rsidR="00C24092" w:rsidRPr="00C24092" w:rsidRDefault="00C24092" w:rsidP="003B5E3A">
      <w:pPr>
        <w:pStyle w:val="ColorfulList-Accent11"/>
        <w:numPr>
          <w:ilvl w:val="0"/>
          <w:numId w:val="27"/>
        </w:numPr>
        <w:spacing w:after="0"/>
        <w:ind w:left="360"/>
        <w:contextualSpacing w:val="0"/>
        <w:jc w:val="both"/>
        <w:rPr>
          <w:rFonts w:asciiTheme="minorHAnsi" w:hAnsiTheme="minorHAnsi" w:cstheme="minorHAnsi"/>
        </w:rPr>
      </w:pPr>
      <w:r w:rsidRPr="00C24092">
        <w:rPr>
          <w:rFonts w:asciiTheme="minorHAnsi" w:hAnsiTheme="minorHAnsi" w:cstheme="minorHAnsi"/>
        </w:rPr>
        <w:t>PC on Human Settlements and Sanitation completed the petition from residents of Actonville, Benoni, regarding the high rentals paid by tenants of council-owned flats.</w:t>
      </w:r>
    </w:p>
    <w:p w:rsidR="00C24092" w:rsidRPr="00C24092" w:rsidRDefault="00C24092" w:rsidP="003B5E3A">
      <w:pPr>
        <w:pStyle w:val="ColorfulList-Accent11"/>
        <w:numPr>
          <w:ilvl w:val="0"/>
          <w:numId w:val="27"/>
        </w:numPr>
        <w:spacing w:after="0"/>
        <w:ind w:left="360"/>
        <w:contextualSpacing w:val="0"/>
        <w:jc w:val="both"/>
        <w:rPr>
          <w:rFonts w:asciiTheme="minorHAnsi" w:hAnsiTheme="minorHAnsi" w:cstheme="minorHAnsi"/>
        </w:rPr>
      </w:pPr>
      <w:r w:rsidRPr="00C24092">
        <w:rPr>
          <w:rFonts w:asciiTheme="minorHAnsi" w:hAnsiTheme="minorHAnsi" w:cstheme="minorHAnsi"/>
        </w:rPr>
        <w:lastRenderedPageBreak/>
        <w:t>In September the SC on Petitions and Executive Undertakings finalized two Executive Undertakings and one petition.</w:t>
      </w:r>
    </w:p>
    <w:p w:rsidR="00C24092" w:rsidRPr="006E4B70" w:rsidRDefault="00C24092" w:rsidP="003B5E3A">
      <w:pPr>
        <w:pStyle w:val="Heading2"/>
        <w:numPr>
          <w:ilvl w:val="1"/>
          <w:numId w:val="36"/>
        </w:numPr>
      </w:pPr>
      <w:bookmarkStart w:id="16" w:name="_Toc54361039"/>
      <w:r w:rsidRPr="006E4B70">
        <w:t>LAW-MAKING</w:t>
      </w:r>
      <w:bookmarkEnd w:id="16"/>
    </w:p>
    <w:p w:rsidR="00337707" w:rsidRPr="006E4B70" w:rsidRDefault="00337707" w:rsidP="003B5E3A">
      <w:pPr>
        <w:pStyle w:val="Heading2"/>
        <w:numPr>
          <w:ilvl w:val="2"/>
          <w:numId w:val="36"/>
        </w:numPr>
      </w:pPr>
      <w:bookmarkStart w:id="17" w:name="_Toc54361040"/>
      <w:r w:rsidRPr="006E4B70">
        <w:t>Bil</w:t>
      </w:r>
      <w:r w:rsidR="00A90EEF" w:rsidRPr="006E4B70">
        <w:t>ls assented to</w:t>
      </w:r>
      <w:bookmarkEnd w:id="17"/>
    </w:p>
    <w:p w:rsidR="00337707" w:rsidRPr="00337707" w:rsidRDefault="00337707" w:rsidP="003B5E3A">
      <w:pPr>
        <w:pStyle w:val="ListParagraph"/>
        <w:numPr>
          <w:ilvl w:val="0"/>
          <w:numId w:val="33"/>
        </w:numPr>
        <w:spacing w:after="0" w:line="259" w:lineRule="auto"/>
        <w:ind w:left="357" w:hanging="357"/>
        <w:jc w:val="both"/>
        <w:rPr>
          <w:rFonts w:asciiTheme="minorHAnsi" w:eastAsia="Calibri" w:hAnsiTheme="minorHAnsi" w:cstheme="minorHAnsi"/>
          <w:sz w:val="22"/>
          <w:szCs w:val="22"/>
          <w:lang w:eastAsia="en-ZA"/>
        </w:rPr>
      </w:pPr>
      <w:r w:rsidRPr="00337707">
        <w:rPr>
          <w:rFonts w:asciiTheme="minorHAnsi" w:eastAsia="Calibri" w:hAnsiTheme="minorHAnsi" w:cstheme="minorHAnsi"/>
          <w:sz w:val="22"/>
          <w:szCs w:val="22"/>
          <w:lang w:eastAsia="en-ZA"/>
        </w:rPr>
        <w:t>National Public Health Institute of South Africa Bill [B16D-2017 (s76)] (Sepedi) (assented to 5 August 2020; GG 43604)</w:t>
      </w:r>
    </w:p>
    <w:p w:rsidR="00337707" w:rsidRPr="00337707" w:rsidRDefault="00337707" w:rsidP="003B5E3A">
      <w:pPr>
        <w:pStyle w:val="ListParagraph"/>
        <w:numPr>
          <w:ilvl w:val="0"/>
          <w:numId w:val="33"/>
        </w:numPr>
        <w:spacing w:after="0" w:line="259" w:lineRule="auto"/>
        <w:ind w:left="357" w:hanging="357"/>
        <w:jc w:val="both"/>
        <w:rPr>
          <w:rFonts w:asciiTheme="minorHAnsi" w:eastAsia="Calibri" w:hAnsiTheme="minorHAnsi" w:cstheme="minorHAnsi"/>
          <w:sz w:val="22"/>
          <w:szCs w:val="22"/>
          <w:lang w:eastAsia="en-ZA"/>
        </w:rPr>
      </w:pPr>
      <w:r w:rsidRPr="00337707">
        <w:rPr>
          <w:rFonts w:asciiTheme="minorHAnsi" w:eastAsia="Calibri" w:hAnsiTheme="minorHAnsi" w:cstheme="minorHAnsi"/>
          <w:sz w:val="22"/>
          <w:szCs w:val="22"/>
          <w:lang w:eastAsia="en-ZA"/>
        </w:rPr>
        <w:t>Border Management Authority Bill [B9D-2016 (s75)] (Setswana) (assented to 16 July 2020; GG 43536)</w:t>
      </w:r>
    </w:p>
    <w:p w:rsidR="00337707" w:rsidRPr="00337707" w:rsidRDefault="00337707" w:rsidP="003B5E3A">
      <w:pPr>
        <w:pStyle w:val="ListParagraph"/>
        <w:numPr>
          <w:ilvl w:val="0"/>
          <w:numId w:val="33"/>
        </w:numPr>
        <w:spacing w:after="0" w:line="259" w:lineRule="auto"/>
        <w:ind w:left="357" w:hanging="357"/>
        <w:jc w:val="both"/>
        <w:rPr>
          <w:rFonts w:asciiTheme="minorHAnsi" w:eastAsia="Calibri" w:hAnsiTheme="minorHAnsi" w:cstheme="minorHAnsi"/>
          <w:sz w:val="22"/>
          <w:szCs w:val="22"/>
          <w:lang w:eastAsia="en-ZA"/>
        </w:rPr>
      </w:pPr>
      <w:r w:rsidRPr="00337707">
        <w:rPr>
          <w:rFonts w:asciiTheme="minorHAnsi" w:eastAsia="Calibri" w:hAnsiTheme="minorHAnsi" w:cstheme="minorHAnsi"/>
          <w:sz w:val="22"/>
          <w:szCs w:val="22"/>
          <w:lang w:eastAsia="en-ZA"/>
        </w:rPr>
        <w:t>National Minimum Wage Amendment Bill [B9-2019 (s75)] (Tshivenda) (assented to 5 August 2020; GG 43603)</w:t>
      </w:r>
    </w:p>
    <w:p w:rsidR="00337707" w:rsidRPr="00337707" w:rsidRDefault="00337707" w:rsidP="003B5E3A">
      <w:pPr>
        <w:pStyle w:val="ListParagraph"/>
        <w:numPr>
          <w:ilvl w:val="0"/>
          <w:numId w:val="33"/>
        </w:numPr>
        <w:spacing w:after="0" w:line="259" w:lineRule="auto"/>
        <w:ind w:left="357" w:hanging="357"/>
        <w:jc w:val="both"/>
        <w:rPr>
          <w:rFonts w:asciiTheme="minorHAnsi" w:eastAsia="Calibri" w:hAnsiTheme="minorHAnsi" w:cstheme="minorHAnsi"/>
          <w:sz w:val="22"/>
          <w:szCs w:val="22"/>
          <w:lang w:eastAsia="en-ZA"/>
        </w:rPr>
      </w:pPr>
      <w:r w:rsidRPr="00337707">
        <w:rPr>
          <w:rFonts w:asciiTheme="minorHAnsi" w:eastAsia="Calibri" w:hAnsiTheme="minorHAnsi" w:cstheme="minorHAnsi"/>
          <w:sz w:val="22"/>
          <w:szCs w:val="22"/>
          <w:lang w:eastAsia="en-ZA"/>
        </w:rPr>
        <w:t>Division of Revenue Bill [B3-2020 (s76)] (IsiXhosa) (assented to 22 June 2020; GG 43467)</w:t>
      </w:r>
    </w:p>
    <w:p w:rsidR="00337707" w:rsidRPr="00337707" w:rsidRDefault="00337707" w:rsidP="003B5E3A">
      <w:pPr>
        <w:pStyle w:val="ListParagraph"/>
        <w:numPr>
          <w:ilvl w:val="0"/>
          <w:numId w:val="33"/>
        </w:numPr>
        <w:spacing w:after="0" w:line="259" w:lineRule="auto"/>
        <w:ind w:left="357" w:hanging="357"/>
        <w:jc w:val="both"/>
        <w:rPr>
          <w:rFonts w:asciiTheme="minorHAnsi" w:eastAsia="Calibri" w:hAnsiTheme="minorHAnsi" w:cstheme="minorHAnsi"/>
          <w:sz w:val="22"/>
          <w:szCs w:val="22"/>
          <w:lang w:eastAsia="en-ZA"/>
        </w:rPr>
      </w:pPr>
      <w:r w:rsidRPr="00337707">
        <w:rPr>
          <w:rFonts w:asciiTheme="minorHAnsi" w:eastAsia="Calibri" w:hAnsiTheme="minorHAnsi" w:cstheme="minorHAnsi"/>
          <w:sz w:val="22"/>
          <w:szCs w:val="22"/>
          <w:lang w:eastAsia="en-ZA"/>
        </w:rPr>
        <w:t>Defence Amendment Bill [B18B-2017 (s75)] (IsiZulu) (assented to 5 August 2020; GG 43606)</w:t>
      </w:r>
    </w:p>
    <w:p w:rsidR="00337707" w:rsidRPr="00337707" w:rsidRDefault="00337707" w:rsidP="003B5E3A">
      <w:pPr>
        <w:pStyle w:val="ListParagraph"/>
        <w:numPr>
          <w:ilvl w:val="0"/>
          <w:numId w:val="33"/>
        </w:numPr>
        <w:spacing w:after="0" w:line="259" w:lineRule="auto"/>
        <w:ind w:left="357" w:hanging="357"/>
        <w:jc w:val="both"/>
        <w:rPr>
          <w:rFonts w:asciiTheme="minorHAnsi" w:eastAsia="Calibri" w:hAnsiTheme="minorHAnsi" w:cstheme="minorHAnsi"/>
          <w:sz w:val="22"/>
          <w:szCs w:val="22"/>
          <w:lang w:eastAsia="en-ZA"/>
        </w:rPr>
      </w:pPr>
      <w:r w:rsidRPr="00337707">
        <w:rPr>
          <w:rFonts w:asciiTheme="minorHAnsi" w:eastAsia="Calibri" w:hAnsiTheme="minorHAnsi" w:cstheme="minorHAnsi"/>
          <w:sz w:val="22"/>
          <w:szCs w:val="22"/>
          <w:lang w:eastAsia="en-ZA"/>
        </w:rPr>
        <w:t>Appropriation Bill [B4-2020 (s77)] (Setswana) (assented to 22 June 2020; GG 43468)</w:t>
      </w:r>
    </w:p>
    <w:p w:rsidR="00337707" w:rsidRPr="00337707" w:rsidRDefault="00337707" w:rsidP="003B5E3A">
      <w:pPr>
        <w:pStyle w:val="ListParagraph"/>
        <w:numPr>
          <w:ilvl w:val="0"/>
          <w:numId w:val="33"/>
        </w:numPr>
        <w:spacing w:after="0" w:line="259" w:lineRule="auto"/>
        <w:ind w:left="357" w:hanging="357"/>
        <w:jc w:val="both"/>
        <w:rPr>
          <w:rFonts w:asciiTheme="minorHAnsi" w:eastAsia="Calibri" w:hAnsiTheme="minorHAnsi" w:cstheme="minorHAnsi"/>
          <w:sz w:val="22"/>
          <w:szCs w:val="22"/>
          <w:lang w:eastAsia="en-ZA"/>
        </w:rPr>
      </w:pPr>
      <w:r w:rsidRPr="00337707">
        <w:rPr>
          <w:rFonts w:asciiTheme="minorHAnsi" w:eastAsia="Calibri" w:hAnsiTheme="minorHAnsi" w:cstheme="minorHAnsi"/>
          <w:sz w:val="22"/>
          <w:szCs w:val="22"/>
          <w:lang w:eastAsia="en-ZA"/>
        </w:rPr>
        <w:t>Division of Revenue Amendment Bill [B9-2020 (s76)] (isiXhosa) (assented to 5 August 2020; GG 43605)</w:t>
      </w:r>
    </w:p>
    <w:p w:rsidR="00337707" w:rsidRPr="00337707" w:rsidRDefault="00337707" w:rsidP="003B5E3A">
      <w:pPr>
        <w:pStyle w:val="ListParagraph"/>
        <w:numPr>
          <w:ilvl w:val="0"/>
          <w:numId w:val="33"/>
        </w:numPr>
        <w:spacing w:after="0" w:line="259" w:lineRule="auto"/>
        <w:ind w:left="357" w:hanging="357"/>
        <w:jc w:val="both"/>
        <w:rPr>
          <w:rFonts w:asciiTheme="minorHAnsi" w:eastAsia="Calibri" w:hAnsiTheme="minorHAnsi" w:cstheme="minorHAnsi"/>
          <w:sz w:val="22"/>
          <w:szCs w:val="22"/>
          <w:lang w:eastAsia="en-ZA"/>
        </w:rPr>
      </w:pPr>
      <w:r w:rsidRPr="00337707">
        <w:rPr>
          <w:rFonts w:asciiTheme="minorHAnsi" w:eastAsia="Calibri" w:hAnsiTheme="minorHAnsi" w:cstheme="minorHAnsi"/>
          <w:sz w:val="22"/>
          <w:szCs w:val="22"/>
          <w:lang w:eastAsia="en-ZA"/>
        </w:rPr>
        <w:t>Adjustments Appropriation Bill [B10B-2020 (s77)] (Setswana) (assented to 14 August 2020; GG 43624)</w:t>
      </w:r>
    </w:p>
    <w:p w:rsidR="00A90EEF" w:rsidRDefault="00A90EEF" w:rsidP="00A90EEF">
      <w:pPr>
        <w:spacing w:after="0" w:line="360" w:lineRule="auto"/>
        <w:contextualSpacing/>
        <w:jc w:val="both"/>
        <w:rPr>
          <w:rFonts w:eastAsia="Calibri" w:cstheme="minorHAnsi"/>
          <w:b/>
          <w:lang w:eastAsia="en-ZA"/>
        </w:rPr>
      </w:pPr>
    </w:p>
    <w:p w:rsidR="00337707" w:rsidRPr="006E4B70" w:rsidRDefault="00A90EEF" w:rsidP="003B5E3A">
      <w:pPr>
        <w:pStyle w:val="Heading2"/>
        <w:numPr>
          <w:ilvl w:val="2"/>
          <w:numId w:val="36"/>
        </w:numPr>
      </w:pPr>
      <w:bookmarkStart w:id="18" w:name="_Toc54361041"/>
      <w:r w:rsidRPr="006E4B70">
        <w:t>Bills sent for assent</w:t>
      </w:r>
      <w:bookmarkEnd w:id="18"/>
    </w:p>
    <w:p w:rsidR="00337707" w:rsidRPr="00337707" w:rsidRDefault="00337707" w:rsidP="003B5E3A">
      <w:pPr>
        <w:pStyle w:val="ListParagraph"/>
        <w:numPr>
          <w:ilvl w:val="0"/>
          <w:numId w:val="34"/>
        </w:numPr>
        <w:spacing w:after="0" w:line="259" w:lineRule="auto"/>
        <w:ind w:left="357" w:hanging="357"/>
        <w:jc w:val="both"/>
        <w:rPr>
          <w:rFonts w:asciiTheme="minorHAnsi" w:eastAsia="Calibri" w:hAnsiTheme="minorHAnsi" w:cstheme="minorHAnsi"/>
          <w:sz w:val="22"/>
          <w:szCs w:val="22"/>
          <w:lang w:eastAsia="en-ZA"/>
        </w:rPr>
      </w:pPr>
      <w:r w:rsidRPr="00337707">
        <w:rPr>
          <w:rFonts w:asciiTheme="minorHAnsi" w:eastAsia="Calibri" w:hAnsiTheme="minorHAnsi" w:cstheme="minorHAnsi"/>
          <w:sz w:val="22"/>
          <w:szCs w:val="22"/>
          <w:lang w:eastAsia="en-ZA"/>
        </w:rPr>
        <w:t>National Land Transport Amendment Bill [B7D-2016 (s76)] (IsiZulu) (assented to; GG)</w:t>
      </w:r>
    </w:p>
    <w:p w:rsidR="00337707" w:rsidRPr="00337707" w:rsidRDefault="00337707" w:rsidP="003B5E3A">
      <w:pPr>
        <w:pStyle w:val="ListParagraph"/>
        <w:numPr>
          <w:ilvl w:val="0"/>
          <w:numId w:val="34"/>
        </w:numPr>
        <w:spacing w:after="0" w:line="259" w:lineRule="auto"/>
        <w:ind w:left="357" w:hanging="357"/>
        <w:jc w:val="both"/>
        <w:rPr>
          <w:rFonts w:asciiTheme="minorHAnsi" w:eastAsia="Calibri" w:hAnsiTheme="minorHAnsi" w:cstheme="minorHAnsi"/>
          <w:sz w:val="22"/>
          <w:szCs w:val="22"/>
          <w:lang w:eastAsia="en-ZA"/>
        </w:rPr>
      </w:pPr>
      <w:r w:rsidRPr="00337707">
        <w:rPr>
          <w:rFonts w:asciiTheme="minorHAnsi" w:eastAsia="Calibri" w:hAnsiTheme="minorHAnsi" w:cstheme="minorHAnsi"/>
          <w:sz w:val="22"/>
          <w:szCs w:val="22"/>
          <w:lang w:eastAsia="en-ZA"/>
        </w:rPr>
        <w:t>Civil Union Amendment Bill [B11B-2018 (s75)] (isiZulu) (assented to; GG)</w:t>
      </w:r>
    </w:p>
    <w:p w:rsidR="00337707" w:rsidRPr="00337707" w:rsidRDefault="00337707" w:rsidP="003B5E3A">
      <w:pPr>
        <w:pStyle w:val="ListParagraph"/>
        <w:numPr>
          <w:ilvl w:val="0"/>
          <w:numId w:val="34"/>
        </w:numPr>
        <w:spacing w:after="0" w:line="259" w:lineRule="auto"/>
        <w:ind w:left="357" w:hanging="357"/>
        <w:jc w:val="both"/>
        <w:rPr>
          <w:rFonts w:asciiTheme="minorHAnsi" w:eastAsia="Calibri" w:hAnsiTheme="minorHAnsi" w:cstheme="minorHAnsi"/>
          <w:sz w:val="22"/>
          <w:szCs w:val="22"/>
          <w:lang w:eastAsia="en-ZA"/>
        </w:rPr>
      </w:pPr>
      <w:r w:rsidRPr="00337707">
        <w:rPr>
          <w:rFonts w:asciiTheme="minorHAnsi" w:eastAsia="Calibri" w:hAnsiTheme="minorHAnsi" w:cstheme="minorHAnsi"/>
          <w:sz w:val="22"/>
          <w:szCs w:val="22"/>
          <w:lang w:eastAsia="en-ZA"/>
        </w:rPr>
        <w:t>Science and Technology Laws Amendment Bill [B42B-2018 (s75)] (isiZulu//Sepedi/Afr) (assented to; GG)</w:t>
      </w:r>
    </w:p>
    <w:p w:rsidR="00337707" w:rsidRPr="00337707" w:rsidRDefault="00337707" w:rsidP="003B5E3A">
      <w:pPr>
        <w:pStyle w:val="ListParagraph"/>
        <w:numPr>
          <w:ilvl w:val="0"/>
          <w:numId w:val="34"/>
        </w:numPr>
        <w:spacing w:after="0" w:line="259" w:lineRule="auto"/>
        <w:ind w:left="357" w:hanging="357"/>
        <w:jc w:val="both"/>
        <w:rPr>
          <w:rFonts w:asciiTheme="minorHAnsi" w:eastAsia="Calibri" w:hAnsiTheme="minorHAnsi" w:cstheme="minorHAnsi"/>
          <w:sz w:val="22"/>
          <w:szCs w:val="22"/>
          <w:lang w:eastAsia="en-ZA"/>
        </w:rPr>
      </w:pPr>
      <w:r w:rsidRPr="00337707">
        <w:rPr>
          <w:rFonts w:asciiTheme="minorHAnsi" w:eastAsia="Calibri" w:hAnsiTheme="minorHAnsi" w:cstheme="minorHAnsi"/>
          <w:sz w:val="22"/>
          <w:szCs w:val="22"/>
          <w:lang w:eastAsia="en-ZA"/>
        </w:rPr>
        <w:t>Judicial Matters Amendment Bill [B13B-2019 (s75)] (Afrikaans) (assented to; GG)</w:t>
      </w:r>
    </w:p>
    <w:p w:rsidR="00337707" w:rsidRPr="00337707" w:rsidRDefault="00337707" w:rsidP="003B5E3A">
      <w:pPr>
        <w:pStyle w:val="ListParagraph"/>
        <w:numPr>
          <w:ilvl w:val="0"/>
          <w:numId w:val="34"/>
        </w:numPr>
        <w:spacing w:after="0" w:line="259" w:lineRule="auto"/>
        <w:ind w:left="357" w:hanging="357"/>
        <w:jc w:val="both"/>
        <w:rPr>
          <w:rFonts w:asciiTheme="minorHAnsi" w:eastAsia="Calibri" w:hAnsiTheme="minorHAnsi" w:cstheme="minorHAnsi"/>
          <w:sz w:val="22"/>
          <w:szCs w:val="22"/>
          <w:lang w:eastAsia="en-ZA"/>
        </w:rPr>
      </w:pPr>
      <w:r w:rsidRPr="00337707">
        <w:rPr>
          <w:rFonts w:asciiTheme="minorHAnsi" w:eastAsia="Calibri" w:hAnsiTheme="minorHAnsi" w:cstheme="minorHAnsi"/>
          <w:sz w:val="22"/>
          <w:szCs w:val="22"/>
          <w:lang w:eastAsia="en-ZA"/>
        </w:rPr>
        <w:t>Disaster Management Tax Relief Bill [B11B-2020 (s77)] (Afrikaans) (assented to; GG)</w:t>
      </w:r>
    </w:p>
    <w:p w:rsidR="00337707" w:rsidRPr="00337707" w:rsidRDefault="00337707" w:rsidP="003B5E3A">
      <w:pPr>
        <w:pStyle w:val="ListParagraph"/>
        <w:numPr>
          <w:ilvl w:val="0"/>
          <w:numId w:val="34"/>
        </w:numPr>
        <w:spacing w:after="0" w:line="259" w:lineRule="auto"/>
        <w:ind w:left="357" w:hanging="357"/>
        <w:jc w:val="both"/>
        <w:rPr>
          <w:rFonts w:asciiTheme="minorHAnsi" w:eastAsia="Calibri" w:hAnsiTheme="minorHAnsi" w:cstheme="minorHAnsi"/>
          <w:sz w:val="22"/>
          <w:szCs w:val="22"/>
          <w:lang w:eastAsia="en-ZA"/>
        </w:rPr>
      </w:pPr>
      <w:r w:rsidRPr="00337707">
        <w:rPr>
          <w:rFonts w:asciiTheme="minorHAnsi" w:eastAsia="Calibri" w:hAnsiTheme="minorHAnsi" w:cstheme="minorHAnsi"/>
          <w:sz w:val="22"/>
          <w:szCs w:val="22"/>
          <w:lang w:eastAsia="en-ZA"/>
        </w:rPr>
        <w:t xml:space="preserve">Disaster Management Tax Relief Administration Bill [B12B-2020 (s75)] (Afrikaans) (assented to; GG)  </w:t>
      </w:r>
    </w:p>
    <w:p w:rsidR="00337707" w:rsidRPr="00337707" w:rsidRDefault="00337707" w:rsidP="003B5E3A">
      <w:pPr>
        <w:pStyle w:val="ListParagraph"/>
        <w:numPr>
          <w:ilvl w:val="0"/>
          <w:numId w:val="34"/>
        </w:numPr>
        <w:spacing w:after="0" w:line="259" w:lineRule="auto"/>
        <w:ind w:left="357" w:hanging="357"/>
        <w:jc w:val="both"/>
        <w:rPr>
          <w:rFonts w:asciiTheme="minorHAnsi" w:eastAsia="Calibri" w:hAnsiTheme="minorHAnsi" w:cstheme="minorHAnsi"/>
          <w:sz w:val="22"/>
          <w:szCs w:val="22"/>
          <w:lang w:eastAsia="en-ZA"/>
        </w:rPr>
      </w:pPr>
      <w:r w:rsidRPr="00337707">
        <w:rPr>
          <w:rFonts w:asciiTheme="minorHAnsi" w:eastAsia="Calibri" w:hAnsiTheme="minorHAnsi" w:cstheme="minorHAnsi"/>
          <w:sz w:val="22"/>
          <w:szCs w:val="22"/>
          <w:lang w:eastAsia="en-ZA"/>
        </w:rPr>
        <w:t>Prescription in Civil and Criminal Matters (Sexual Offences) Amendment Bill [B22B-2019 (s75)] (Afrikaans) (assented to; GG)</w:t>
      </w:r>
    </w:p>
    <w:p w:rsidR="00337707" w:rsidRDefault="00337707" w:rsidP="00C24092">
      <w:pPr>
        <w:pStyle w:val="ColorfulList-Accent11"/>
        <w:spacing w:after="0"/>
        <w:ind w:left="0"/>
        <w:contextualSpacing w:val="0"/>
        <w:jc w:val="both"/>
        <w:rPr>
          <w:rFonts w:cstheme="minorHAnsi"/>
          <w:lang w:val="en-GB"/>
        </w:rPr>
      </w:pPr>
    </w:p>
    <w:p w:rsidR="00337707" w:rsidRPr="006E4B70" w:rsidRDefault="00337707" w:rsidP="003B5E3A">
      <w:pPr>
        <w:pStyle w:val="Heading2"/>
        <w:numPr>
          <w:ilvl w:val="2"/>
          <w:numId w:val="36"/>
        </w:numPr>
      </w:pPr>
      <w:bookmarkStart w:id="19" w:name="_Toc54361042"/>
      <w:r w:rsidRPr="006E4B70">
        <w:t>National Assembly</w:t>
      </w:r>
      <w:bookmarkEnd w:id="19"/>
    </w:p>
    <w:p w:rsidR="00337707" w:rsidRDefault="00337707" w:rsidP="00C24092">
      <w:pPr>
        <w:pStyle w:val="ColorfulList-Accent11"/>
        <w:spacing w:after="0"/>
        <w:ind w:left="0"/>
        <w:contextualSpacing w:val="0"/>
        <w:jc w:val="both"/>
        <w:rPr>
          <w:rFonts w:cstheme="minorHAnsi"/>
          <w:lang w:val="en-GB"/>
        </w:rPr>
      </w:pPr>
    </w:p>
    <w:p w:rsidR="00C24092" w:rsidRPr="00755825" w:rsidRDefault="00C24092" w:rsidP="00C24092">
      <w:pPr>
        <w:pStyle w:val="ColorfulList-Accent11"/>
        <w:spacing w:after="0"/>
        <w:ind w:left="0"/>
        <w:contextualSpacing w:val="0"/>
        <w:jc w:val="both"/>
        <w:rPr>
          <w:rFonts w:cstheme="minorHAnsi"/>
          <w:lang w:val="en-GB"/>
        </w:rPr>
      </w:pPr>
      <w:r w:rsidRPr="00755825">
        <w:rPr>
          <w:rFonts w:cstheme="minorHAnsi"/>
          <w:lang w:val="en-GB"/>
        </w:rPr>
        <w:t>During this period, the following Bills were sent to Joint Tagging Mechanism (JTM)</w:t>
      </w:r>
    </w:p>
    <w:p w:rsidR="00C24092" w:rsidRPr="00755825" w:rsidRDefault="00C24092" w:rsidP="003B5E3A">
      <w:pPr>
        <w:pStyle w:val="ColorfulList-Accent11"/>
        <w:numPr>
          <w:ilvl w:val="0"/>
          <w:numId w:val="30"/>
        </w:numPr>
        <w:spacing w:after="0"/>
        <w:contextualSpacing w:val="0"/>
        <w:jc w:val="both"/>
        <w:rPr>
          <w:rFonts w:cstheme="minorHAnsi"/>
          <w:lang w:val="en-GB"/>
        </w:rPr>
      </w:pPr>
      <w:r w:rsidRPr="00755825">
        <w:rPr>
          <w:rFonts w:cstheme="minorHAnsi"/>
          <w:lang w:val="en-GB"/>
        </w:rPr>
        <w:t>Criminal Law (Sexual Offences and Related Matters) Amendment Act Amendment Bill [B 16 - 2020] (National Assembly – proposed sec 75).</w:t>
      </w:r>
    </w:p>
    <w:p w:rsidR="00C24092" w:rsidRPr="00755825" w:rsidRDefault="00C24092" w:rsidP="003B5E3A">
      <w:pPr>
        <w:pStyle w:val="ColorfulList-Accent11"/>
        <w:numPr>
          <w:ilvl w:val="0"/>
          <w:numId w:val="30"/>
        </w:numPr>
        <w:spacing w:after="0"/>
        <w:contextualSpacing w:val="0"/>
        <w:jc w:val="both"/>
        <w:rPr>
          <w:rFonts w:cstheme="minorHAnsi"/>
          <w:lang w:val="en-GB"/>
        </w:rPr>
      </w:pPr>
      <w:r w:rsidRPr="00755825">
        <w:rPr>
          <w:rFonts w:cstheme="minorHAnsi"/>
          <w:lang w:val="en-GB"/>
        </w:rPr>
        <w:t>Criminal and Related Matters Amendment Bill [B 17 - 2020] (National Assembly – proposed sec 75).</w:t>
      </w:r>
    </w:p>
    <w:p w:rsidR="00C24092" w:rsidRPr="00755825" w:rsidRDefault="00C24092" w:rsidP="003B5E3A">
      <w:pPr>
        <w:pStyle w:val="ColorfulList-Accent11"/>
        <w:numPr>
          <w:ilvl w:val="0"/>
          <w:numId w:val="30"/>
        </w:numPr>
        <w:spacing w:after="0"/>
        <w:contextualSpacing w:val="0"/>
        <w:jc w:val="both"/>
        <w:rPr>
          <w:rFonts w:cstheme="minorHAnsi"/>
          <w:lang w:val="en-GB"/>
        </w:rPr>
      </w:pPr>
      <w:r w:rsidRPr="00755825">
        <w:rPr>
          <w:rFonts w:cstheme="minorHAnsi"/>
          <w:lang w:val="en-GB"/>
        </w:rPr>
        <w:t>Children’s Amendment Bill [B 18 - 2020] (National Assembly – proposed sec 76).</w:t>
      </w:r>
    </w:p>
    <w:p w:rsidR="00C24092" w:rsidRPr="00755825" w:rsidRDefault="00C24092" w:rsidP="003B5E3A">
      <w:pPr>
        <w:pStyle w:val="ColorfulList-Accent11"/>
        <w:numPr>
          <w:ilvl w:val="0"/>
          <w:numId w:val="30"/>
        </w:numPr>
        <w:spacing w:after="0"/>
        <w:contextualSpacing w:val="0"/>
        <w:jc w:val="both"/>
        <w:rPr>
          <w:rFonts w:cstheme="minorHAnsi"/>
          <w:lang w:val="en-GB"/>
        </w:rPr>
      </w:pPr>
      <w:r w:rsidRPr="00755825">
        <w:rPr>
          <w:rFonts w:cstheme="minorHAnsi"/>
          <w:lang w:val="en-GB"/>
        </w:rPr>
        <w:t>Cannabis for Private Purposes Bill [B 19 - 2020] (National Assembly –proposed sec 75).</w:t>
      </w:r>
    </w:p>
    <w:p w:rsidR="00C24092" w:rsidRPr="00755825" w:rsidRDefault="00C24092" w:rsidP="00C24092">
      <w:pPr>
        <w:pStyle w:val="ColorfulList-Accent11"/>
        <w:spacing w:after="0"/>
        <w:contextualSpacing w:val="0"/>
        <w:jc w:val="both"/>
        <w:rPr>
          <w:rFonts w:cstheme="minorHAnsi"/>
          <w:lang w:val="en-GB"/>
        </w:rPr>
      </w:pPr>
    </w:p>
    <w:p w:rsidR="00C24092" w:rsidRPr="00755825" w:rsidRDefault="00C24092" w:rsidP="00C24092">
      <w:pPr>
        <w:pStyle w:val="ColorfulList-Accent11"/>
        <w:spacing w:after="0"/>
        <w:ind w:left="0"/>
        <w:contextualSpacing w:val="0"/>
        <w:jc w:val="both"/>
        <w:rPr>
          <w:rFonts w:cstheme="minorHAnsi"/>
          <w:lang w:val="en-GB"/>
        </w:rPr>
      </w:pPr>
      <w:r w:rsidRPr="00755825">
        <w:rPr>
          <w:rFonts w:cstheme="minorHAnsi"/>
          <w:lang w:val="en-GB"/>
        </w:rPr>
        <w:t>The following bills were subject to proposed amendments and passed by National Council of Provinces and returned to National Assembly for Concurrence.</w:t>
      </w:r>
    </w:p>
    <w:p w:rsidR="00C24092" w:rsidRPr="00755825" w:rsidRDefault="00C24092" w:rsidP="003B5E3A">
      <w:pPr>
        <w:pStyle w:val="ColorfulList-Accent11"/>
        <w:numPr>
          <w:ilvl w:val="0"/>
          <w:numId w:val="31"/>
        </w:numPr>
        <w:spacing w:after="0"/>
        <w:contextualSpacing w:val="0"/>
        <w:jc w:val="both"/>
        <w:rPr>
          <w:rFonts w:cstheme="minorHAnsi"/>
          <w:lang w:val="en-GB"/>
        </w:rPr>
      </w:pPr>
      <w:r w:rsidRPr="00755825">
        <w:rPr>
          <w:rFonts w:cstheme="minorHAnsi"/>
          <w:lang w:val="en-GB"/>
        </w:rPr>
        <w:t>Cybercrimes Bill</w:t>
      </w:r>
    </w:p>
    <w:p w:rsidR="00C24092" w:rsidRPr="00755825" w:rsidRDefault="00C24092" w:rsidP="00C24092">
      <w:pPr>
        <w:pStyle w:val="ColorfulList-Accent11"/>
        <w:spacing w:after="0"/>
        <w:contextualSpacing w:val="0"/>
        <w:jc w:val="both"/>
        <w:rPr>
          <w:rFonts w:cstheme="minorHAnsi"/>
          <w:lang w:val="en-GB"/>
        </w:rPr>
      </w:pPr>
    </w:p>
    <w:p w:rsidR="00C24092" w:rsidRPr="00755825" w:rsidRDefault="00C24092" w:rsidP="00C24092">
      <w:pPr>
        <w:pStyle w:val="ColorfulList-Accent11"/>
        <w:spacing w:after="0"/>
        <w:ind w:left="0"/>
        <w:contextualSpacing w:val="0"/>
        <w:jc w:val="both"/>
        <w:rPr>
          <w:rFonts w:cstheme="minorHAnsi"/>
          <w:lang w:val="en-GB"/>
        </w:rPr>
      </w:pPr>
      <w:r w:rsidRPr="00755825">
        <w:rPr>
          <w:rFonts w:cstheme="minorHAnsi"/>
          <w:lang w:val="en-GB"/>
        </w:rPr>
        <w:lastRenderedPageBreak/>
        <w:t xml:space="preserve">The following bill was submitted to the National Assembly and National Council of Provinces in terms of Joint Rule 159 </w:t>
      </w:r>
    </w:p>
    <w:p w:rsidR="00C24092" w:rsidRPr="00755825" w:rsidRDefault="00C24092" w:rsidP="003B5E3A">
      <w:pPr>
        <w:pStyle w:val="ColorfulList-Accent11"/>
        <w:numPr>
          <w:ilvl w:val="0"/>
          <w:numId w:val="31"/>
        </w:numPr>
        <w:spacing w:after="0"/>
        <w:contextualSpacing w:val="0"/>
        <w:jc w:val="both"/>
        <w:rPr>
          <w:rFonts w:cstheme="minorHAnsi"/>
          <w:lang w:val="en-GB"/>
        </w:rPr>
      </w:pPr>
      <w:r w:rsidRPr="00755825">
        <w:rPr>
          <w:rFonts w:cstheme="minorHAnsi"/>
          <w:lang w:val="en-GB"/>
        </w:rPr>
        <w:t>Compensation for Occupational Diseases and Injuries Amendment Bill, 2020, submitted by the Minister of Employment and Labour.</w:t>
      </w:r>
    </w:p>
    <w:p w:rsidR="00C24092" w:rsidRPr="00755825" w:rsidRDefault="00C24092" w:rsidP="00C24092">
      <w:pPr>
        <w:pStyle w:val="ColorfulList-Accent11"/>
        <w:spacing w:after="0"/>
        <w:contextualSpacing w:val="0"/>
        <w:jc w:val="both"/>
        <w:rPr>
          <w:rFonts w:cstheme="minorHAnsi"/>
          <w:lang w:val="en-GB"/>
        </w:rPr>
      </w:pPr>
    </w:p>
    <w:p w:rsidR="00C24092" w:rsidRDefault="00C24092" w:rsidP="00C24092">
      <w:pPr>
        <w:pStyle w:val="ColorfulList-Accent11"/>
        <w:spacing w:after="0"/>
        <w:ind w:left="0"/>
        <w:contextualSpacing w:val="0"/>
        <w:jc w:val="both"/>
        <w:rPr>
          <w:rFonts w:cstheme="minorHAnsi"/>
          <w:lang w:val="en-GB"/>
        </w:rPr>
      </w:pPr>
      <w:r w:rsidRPr="00755825">
        <w:rPr>
          <w:rFonts w:cstheme="minorHAnsi"/>
          <w:lang w:val="en-GB"/>
        </w:rPr>
        <w:t xml:space="preserve">The Assembly passed the following bills and transmitted to the National Council of Provinces for concurrence. </w:t>
      </w:r>
    </w:p>
    <w:p w:rsidR="00337707" w:rsidRPr="00755825" w:rsidRDefault="00337707" w:rsidP="00C24092">
      <w:pPr>
        <w:pStyle w:val="ColorfulList-Accent11"/>
        <w:spacing w:after="0"/>
        <w:ind w:left="0"/>
        <w:contextualSpacing w:val="0"/>
        <w:jc w:val="both"/>
        <w:rPr>
          <w:rFonts w:cstheme="minorHAnsi"/>
          <w:lang w:val="en-GB"/>
        </w:rPr>
      </w:pPr>
    </w:p>
    <w:p w:rsidR="00C24092" w:rsidRPr="00755825" w:rsidRDefault="00C24092" w:rsidP="003B5E3A">
      <w:pPr>
        <w:pStyle w:val="ColorfulList-Accent11"/>
        <w:numPr>
          <w:ilvl w:val="0"/>
          <w:numId w:val="31"/>
        </w:numPr>
        <w:spacing w:after="0"/>
        <w:contextualSpacing w:val="0"/>
        <w:jc w:val="both"/>
        <w:rPr>
          <w:rFonts w:cstheme="minorHAnsi"/>
          <w:lang w:val="en-GB"/>
        </w:rPr>
      </w:pPr>
      <w:r w:rsidRPr="00755825">
        <w:rPr>
          <w:rFonts w:cstheme="minorHAnsi"/>
          <w:lang w:val="en-GB"/>
        </w:rPr>
        <w:t>Airports Company Amendment Bill [B 5B – 2018] (National Assembly – sec 75).</w:t>
      </w:r>
    </w:p>
    <w:p w:rsidR="00C24092" w:rsidRPr="00755825" w:rsidRDefault="00C24092" w:rsidP="003B5E3A">
      <w:pPr>
        <w:pStyle w:val="ColorfulList-Accent11"/>
        <w:numPr>
          <w:ilvl w:val="0"/>
          <w:numId w:val="31"/>
        </w:numPr>
        <w:spacing w:after="0"/>
        <w:contextualSpacing w:val="0"/>
        <w:jc w:val="both"/>
        <w:rPr>
          <w:rFonts w:cstheme="minorHAnsi"/>
          <w:lang w:val="en-GB"/>
        </w:rPr>
      </w:pPr>
      <w:r w:rsidRPr="00755825">
        <w:rPr>
          <w:rFonts w:cstheme="minorHAnsi"/>
          <w:lang w:val="en-GB"/>
        </w:rPr>
        <w:t>Air Traffic and Navigation Services Company Amendment Bill [B 6B – 2018] (National Assembly – sec 75).</w:t>
      </w:r>
    </w:p>
    <w:p w:rsidR="00C24092" w:rsidRPr="00755825" w:rsidRDefault="00C24092" w:rsidP="003B5E3A">
      <w:pPr>
        <w:pStyle w:val="ColorfulList-Accent11"/>
        <w:numPr>
          <w:ilvl w:val="0"/>
          <w:numId w:val="31"/>
        </w:numPr>
        <w:spacing w:after="0"/>
        <w:contextualSpacing w:val="0"/>
        <w:jc w:val="both"/>
        <w:rPr>
          <w:rFonts w:cstheme="minorHAnsi"/>
          <w:lang w:val="en-GB"/>
        </w:rPr>
      </w:pPr>
      <w:r w:rsidRPr="00755825">
        <w:rPr>
          <w:rFonts w:cstheme="minorHAnsi"/>
          <w:lang w:val="en-GB"/>
        </w:rPr>
        <w:t>Social Assistance Amendment Bill [B 8B - 2018] (National Assembly – sec 76).</w:t>
      </w:r>
    </w:p>
    <w:p w:rsidR="00C24092" w:rsidRPr="00755825" w:rsidRDefault="00C24092" w:rsidP="003B5E3A">
      <w:pPr>
        <w:pStyle w:val="ColorfulList-Accent11"/>
        <w:numPr>
          <w:ilvl w:val="0"/>
          <w:numId w:val="31"/>
        </w:numPr>
        <w:spacing w:after="0"/>
        <w:contextualSpacing w:val="0"/>
        <w:jc w:val="both"/>
        <w:rPr>
          <w:rFonts w:cstheme="minorHAnsi"/>
          <w:lang w:val="en-GB"/>
        </w:rPr>
      </w:pPr>
      <w:r w:rsidRPr="00755825">
        <w:rPr>
          <w:rFonts w:cstheme="minorHAnsi"/>
          <w:lang w:val="en-GB"/>
        </w:rPr>
        <w:t>Local Government: Municipal Structures Amendment Bill [B 19B – 2018] (National Assembly – sec 76).</w:t>
      </w:r>
    </w:p>
    <w:p w:rsidR="00C24092" w:rsidRPr="00755825" w:rsidRDefault="00C24092" w:rsidP="003B5E3A">
      <w:pPr>
        <w:pStyle w:val="ColorfulList-Accent11"/>
        <w:numPr>
          <w:ilvl w:val="0"/>
          <w:numId w:val="31"/>
        </w:numPr>
        <w:spacing w:after="0"/>
        <w:contextualSpacing w:val="0"/>
        <w:jc w:val="both"/>
        <w:rPr>
          <w:rFonts w:cstheme="minorHAnsi"/>
          <w:lang w:val="en-GB"/>
        </w:rPr>
      </w:pPr>
      <w:r w:rsidRPr="00755825">
        <w:rPr>
          <w:rFonts w:cstheme="minorHAnsi"/>
          <w:lang w:val="en-GB"/>
        </w:rPr>
        <w:t>National Gambling Amendment Bill [B 27B – 2018] (National Assembly – sec 76).</w:t>
      </w:r>
    </w:p>
    <w:p w:rsidR="00C24092" w:rsidRPr="00755825" w:rsidRDefault="00C24092" w:rsidP="003B5E3A">
      <w:pPr>
        <w:pStyle w:val="ColorfulList-Accent11"/>
        <w:numPr>
          <w:ilvl w:val="0"/>
          <w:numId w:val="31"/>
        </w:numPr>
        <w:spacing w:after="0"/>
        <w:contextualSpacing w:val="0"/>
        <w:jc w:val="both"/>
        <w:rPr>
          <w:rFonts w:cstheme="minorHAnsi"/>
          <w:lang w:val="en-GB"/>
        </w:rPr>
      </w:pPr>
      <w:r w:rsidRPr="00755825">
        <w:rPr>
          <w:rFonts w:cstheme="minorHAnsi"/>
          <w:lang w:val="en-GB"/>
        </w:rPr>
        <w:t>Recognition of Customary Marriages Amendment Bill [B 12 - 2019] (National Assembly – sec 76).</w:t>
      </w:r>
    </w:p>
    <w:p w:rsidR="00C24092" w:rsidRPr="00755825" w:rsidRDefault="00C24092" w:rsidP="003B5E3A">
      <w:pPr>
        <w:pStyle w:val="ColorfulList-Accent11"/>
        <w:numPr>
          <w:ilvl w:val="0"/>
          <w:numId w:val="31"/>
        </w:numPr>
        <w:spacing w:after="0"/>
        <w:contextualSpacing w:val="0"/>
        <w:jc w:val="both"/>
        <w:rPr>
          <w:rFonts w:cstheme="minorHAnsi"/>
          <w:lang w:val="en-GB"/>
        </w:rPr>
      </w:pPr>
      <w:r w:rsidRPr="00755825">
        <w:rPr>
          <w:rFonts w:cstheme="minorHAnsi"/>
          <w:lang w:val="en-GB"/>
        </w:rPr>
        <w:t>Judicial Matters Amendment Bill [B 13B - 2019] (National Assembly – sec 75).</w:t>
      </w:r>
    </w:p>
    <w:p w:rsidR="00C24092" w:rsidRPr="00755825" w:rsidRDefault="00C24092" w:rsidP="003B5E3A">
      <w:pPr>
        <w:pStyle w:val="ColorfulList-Accent11"/>
        <w:numPr>
          <w:ilvl w:val="0"/>
          <w:numId w:val="31"/>
        </w:numPr>
        <w:spacing w:after="0"/>
        <w:contextualSpacing w:val="0"/>
        <w:jc w:val="both"/>
        <w:rPr>
          <w:rFonts w:cstheme="minorHAnsi"/>
          <w:lang w:val="en-GB"/>
        </w:rPr>
      </w:pPr>
      <w:r w:rsidRPr="00755825">
        <w:rPr>
          <w:rFonts w:cstheme="minorHAnsi"/>
          <w:lang w:val="en-GB"/>
        </w:rPr>
        <w:t>Prescription in Civil and Criminal Matters (Sexual Offences) Amendment Bill [B 22B - 2019] (National Assembly – sec 75)</w:t>
      </w:r>
    </w:p>
    <w:p w:rsidR="00C24092" w:rsidRPr="00755825" w:rsidRDefault="00C24092" w:rsidP="003B5E3A">
      <w:pPr>
        <w:pStyle w:val="ColorfulList-Accent11"/>
        <w:numPr>
          <w:ilvl w:val="0"/>
          <w:numId w:val="31"/>
        </w:numPr>
        <w:spacing w:after="0"/>
        <w:contextualSpacing w:val="0"/>
        <w:jc w:val="both"/>
        <w:rPr>
          <w:rFonts w:cstheme="minorHAnsi"/>
          <w:lang w:val="en-GB"/>
        </w:rPr>
      </w:pPr>
      <w:r w:rsidRPr="00755825">
        <w:rPr>
          <w:rFonts w:cstheme="minorHAnsi"/>
          <w:lang w:val="en-GB"/>
        </w:rPr>
        <w:t>Disaster Management Tax Relief Bill [B 11B – 2020] (National Assembly – sec 77).</w:t>
      </w:r>
    </w:p>
    <w:p w:rsidR="00C24092" w:rsidRPr="00755825" w:rsidRDefault="00C24092" w:rsidP="003B5E3A">
      <w:pPr>
        <w:pStyle w:val="ColorfulList-Accent11"/>
        <w:numPr>
          <w:ilvl w:val="0"/>
          <w:numId w:val="31"/>
        </w:numPr>
        <w:spacing w:after="0"/>
        <w:contextualSpacing w:val="0"/>
        <w:jc w:val="both"/>
        <w:rPr>
          <w:rFonts w:cstheme="minorHAnsi"/>
          <w:lang w:val="en-GB"/>
        </w:rPr>
      </w:pPr>
      <w:r w:rsidRPr="00755825">
        <w:rPr>
          <w:rFonts w:cstheme="minorHAnsi"/>
          <w:lang w:val="en-GB"/>
        </w:rPr>
        <w:t>Disaster Management Tax Relief Administration Bill [B 12B – 2020] (National Assembly – sec 75).</w:t>
      </w:r>
    </w:p>
    <w:p w:rsidR="00C24092" w:rsidRPr="00755825" w:rsidRDefault="00C24092" w:rsidP="00C24092">
      <w:pPr>
        <w:pStyle w:val="ColorfulList-Accent11"/>
        <w:spacing w:after="0"/>
        <w:contextualSpacing w:val="0"/>
        <w:jc w:val="both"/>
        <w:rPr>
          <w:rFonts w:cstheme="minorHAnsi"/>
          <w:lang w:val="en-GB"/>
        </w:rPr>
      </w:pPr>
    </w:p>
    <w:p w:rsidR="00C24092" w:rsidRPr="00755825" w:rsidRDefault="00C24092" w:rsidP="00C24092">
      <w:pPr>
        <w:pStyle w:val="ColorfulList-Accent11"/>
        <w:spacing w:after="0"/>
        <w:ind w:left="0"/>
        <w:contextualSpacing w:val="0"/>
        <w:jc w:val="both"/>
        <w:rPr>
          <w:rFonts w:cstheme="minorHAnsi"/>
          <w:lang w:val="en-GB"/>
        </w:rPr>
      </w:pPr>
      <w:r w:rsidRPr="00755825">
        <w:rPr>
          <w:rFonts w:cstheme="minorHAnsi"/>
          <w:lang w:val="en-GB"/>
        </w:rPr>
        <w:t xml:space="preserve">The following bills were returned to Assembly for consideration of President’s reservations. </w:t>
      </w:r>
    </w:p>
    <w:p w:rsidR="00C24092" w:rsidRPr="00755825" w:rsidRDefault="00C24092" w:rsidP="003B5E3A">
      <w:pPr>
        <w:pStyle w:val="ColorfulList-Accent11"/>
        <w:numPr>
          <w:ilvl w:val="0"/>
          <w:numId w:val="32"/>
        </w:numPr>
        <w:spacing w:after="0"/>
        <w:contextualSpacing w:val="0"/>
        <w:jc w:val="both"/>
        <w:rPr>
          <w:rFonts w:cstheme="minorHAnsi"/>
          <w:lang w:val="en-GB"/>
        </w:rPr>
      </w:pPr>
      <w:r w:rsidRPr="00755825">
        <w:rPr>
          <w:rFonts w:cstheme="minorHAnsi"/>
          <w:lang w:val="en-GB"/>
        </w:rPr>
        <w:t xml:space="preserve">Protection of State Information Bill </w:t>
      </w:r>
    </w:p>
    <w:p w:rsidR="00C24092" w:rsidRPr="00755825" w:rsidRDefault="00C24092" w:rsidP="003B5E3A">
      <w:pPr>
        <w:pStyle w:val="ColorfulList-Accent11"/>
        <w:numPr>
          <w:ilvl w:val="0"/>
          <w:numId w:val="32"/>
        </w:numPr>
        <w:spacing w:after="0"/>
        <w:contextualSpacing w:val="0"/>
        <w:jc w:val="both"/>
        <w:rPr>
          <w:rFonts w:cstheme="minorHAnsi"/>
          <w:lang w:val="en-GB"/>
        </w:rPr>
      </w:pPr>
      <w:r w:rsidRPr="00755825">
        <w:rPr>
          <w:rFonts w:cstheme="minorHAnsi"/>
          <w:lang w:val="en-GB"/>
        </w:rPr>
        <w:t xml:space="preserve">Liquor Products Amendment Bill </w:t>
      </w:r>
    </w:p>
    <w:p w:rsidR="00C24092" w:rsidRPr="00755825" w:rsidRDefault="00C24092" w:rsidP="003B5E3A">
      <w:pPr>
        <w:pStyle w:val="ColorfulList-Accent11"/>
        <w:numPr>
          <w:ilvl w:val="0"/>
          <w:numId w:val="32"/>
        </w:numPr>
        <w:spacing w:after="0"/>
        <w:contextualSpacing w:val="0"/>
        <w:jc w:val="both"/>
        <w:rPr>
          <w:rFonts w:cstheme="minorHAnsi"/>
          <w:lang w:val="en-GB"/>
        </w:rPr>
      </w:pPr>
      <w:r w:rsidRPr="00755825">
        <w:rPr>
          <w:rFonts w:cstheme="minorHAnsi"/>
          <w:lang w:val="en-GB"/>
        </w:rPr>
        <w:t xml:space="preserve">Performers Protection Amendment Bill </w:t>
      </w:r>
    </w:p>
    <w:p w:rsidR="00C24092" w:rsidRPr="00755825" w:rsidRDefault="00C24092" w:rsidP="003B5E3A">
      <w:pPr>
        <w:pStyle w:val="ColorfulList-Accent11"/>
        <w:numPr>
          <w:ilvl w:val="0"/>
          <w:numId w:val="32"/>
        </w:numPr>
        <w:spacing w:after="0"/>
        <w:contextualSpacing w:val="0"/>
        <w:jc w:val="both"/>
        <w:rPr>
          <w:rFonts w:cstheme="minorHAnsi"/>
          <w:lang w:val="en-GB"/>
        </w:rPr>
      </w:pPr>
      <w:r w:rsidRPr="00755825">
        <w:rPr>
          <w:rFonts w:cstheme="minorHAnsi"/>
          <w:lang w:val="en-GB"/>
        </w:rPr>
        <w:t>Copyright Amendment Bill</w:t>
      </w:r>
    </w:p>
    <w:p w:rsidR="00C24092" w:rsidRDefault="00C24092" w:rsidP="00C24092">
      <w:pPr>
        <w:pStyle w:val="ColorfulList-Accent11"/>
        <w:spacing w:line="360" w:lineRule="auto"/>
        <w:ind w:left="0"/>
        <w:jc w:val="both"/>
        <w:rPr>
          <w:rFonts w:asciiTheme="minorHAnsi" w:hAnsiTheme="minorHAnsi" w:cstheme="minorHAnsi"/>
        </w:rPr>
      </w:pPr>
    </w:p>
    <w:p w:rsidR="00C24092" w:rsidRPr="006E4B70" w:rsidRDefault="00C24092" w:rsidP="003B5E3A">
      <w:pPr>
        <w:pStyle w:val="Heading2"/>
        <w:numPr>
          <w:ilvl w:val="2"/>
          <w:numId w:val="36"/>
        </w:numPr>
      </w:pPr>
      <w:bookmarkStart w:id="20" w:name="_Toc54361043"/>
      <w:r w:rsidRPr="006E4B70">
        <w:t>National Council of Provinces</w:t>
      </w:r>
      <w:bookmarkEnd w:id="20"/>
    </w:p>
    <w:p w:rsidR="00C24092" w:rsidRDefault="00C24092" w:rsidP="00C24092">
      <w:pPr>
        <w:pStyle w:val="ColorfulList-Accent11"/>
        <w:spacing w:after="0"/>
        <w:ind w:left="0"/>
        <w:contextualSpacing w:val="0"/>
        <w:jc w:val="both"/>
        <w:rPr>
          <w:rFonts w:asciiTheme="minorHAnsi" w:hAnsiTheme="minorHAnsi" w:cstheme="minorHAnsi"/>
        </w:rPr>
      </w:pPr>
      <w:r w:rsidRPr="006C7B30">
        <w:rPr>
          <w:rFonts w:asciiTheme="minorHAnsi" w:hAnsiTheme="minorHAnsi" w:cstheme="minorHAnsi"/>
        </w:rPr>
        <w:t>From the period April – September 2020, the NCOP has had a total of 23 sittings</w:t>
      </w:r>
      <w:r>
        <w:rPr>
          <w:rFonts w:asciiTheme="minorHAnsi" w:hAnsiTheme="minorHAnsi" w:cstheme="minorHAnsi"/>
        </w:rPr>
        <w:t xml:space="preserve"> - </w:t>
      </w:r>
      <w:r w:rsidRPr="006C7B30">
        <w:rPr>
          <w:rFonts w:asciiTheme="minorHAnsi" w:hAnsiTheme="minorHAnsi" w:cstheme="minorHAnsi"/>
        </w:rPr>
        <w:t>12 Bills were passed during this period.</w:t>
      </w:r>
    </w:p>
    <w:p w:rsidR="00C24092" w:rsidRPr="006C7B30" w:rsidRDefault="00C24092" w:rsidP="00C24092">
      <w:pPr>
        <w:pStyle w:val="ColorfulList-Accent11"/>
        <w:spacing w:after="0"/>
        <w:ind w:left="0"/>
        <w:contextualSpacing w:val="0"/>
        <w:jc w:val="both"/>
        <w:rPr>
          <w:rFonts w:asciiTheme="minorHAnsi" w:hAnsiTheme="minorHAnsi" w:cstheme="minorHAnsi"/>
        </w:rPr>
      </w:pPr>
    </w:p>
    <w:p w:rsidR="00C24092" w:rsidRPr="006E4B70" w:rsidRDefault="00C24092" w:rsidP="003B5E3A">
      <w:pPr>
        <w:pStyle w:val="Heading2"/>
        <w:numPr>
          <w:ilvl w:val="2"/>
          <w:numId w:val="36"/>
        </w:numPr>
      </w:pPr>
      <w:bookmarkStart w:id="21" w:name="_Toc54361044"/>
      <w:r w:rsidRPr="006E4B70">
        <w:t>Committees</w:t>
      </w:r>
      <w:bookmarkEnd w:id="21"/>
    </w:p>
    <w:p w:rsidR="00C24092" w:rsidRPr="006E4B70" w:rsidRDefault="00C24092" w:rsidP="003B5E3A">
      <w:pPr>
        <w:pStyle w:val="ColorfulList-Accent11"/>
        <w:numPr>
          <w:ilvl w:val="0"/>
          <w:numId w:val="31"/>
        </w:numPr>
        <w:spacing w:after="0"/>
        <w:contextualSpacing w:val="0"/>
        <w:jc w:val="both"/>
        <w:rPr>
          <w:rFonts w:cstheme="minorHAnsi"/>
          <w:lang w:val="en-GB"/>
        </w:rPr>
      </w:pPr>
      <w:r w:rsidRPr="006E4B70">
        <w:rPr>
          <w:rFonts w:cstheme="minorHAnsi"/>
          <w:lang w:val="en-GB"/>
        </w:rPr>
        <w:t xml:space="preserve">ST Committee on Appropriations processed the Appropriations bill, briefings, public hearings and deliberations. The bill was finalised on the 7 Jun 2020. </w:t>
      </w:r>
    </w:p>
    <w:p w:rsidR="00C24092" w:rsidRPr="006E4B70" w:rsidRDefault="00C24092" w:rsidP="006E4B70">
      <w:pPr>
        <w:pStyle w:val="ColorfulList-Accent11"/>
        <w:spacing w:after="0"/>
        <w:ind w:left="360"/>
        <w:contextualSpacing w:val="0"/>
        <w:jc w:val="both"/>
        <w:rPr>
          <w:rFonts w:cstheme="minorHAnsi"/>
          <w:lang w:val="en-GB"/>
        </w:rPr>
      </w:pPr>
    </w:p>
    <w:p w:rsidR="00C24092" w:rsidRPr="006E4B70" w:rsidRDefault="00C24092" w:rsidP="003B5E3A">
      <w:pPr>
        <w:pStyle w:val="ColorfulList-Accent11"/>
        <w:numPr>
          <w:ilvl w:val="0"/>
          <w:numId w:val="31"/>
        </w:numPr>
        <w:spacing w:after="0"/>
        <w:contextualSpacing w:val="0"/>
        <w:jc w:val="both"/>
        <w:rPr>
          <w:rFonts w:cstheme="minorHAnsi"/>
          <w:lang w:val="en-GB"/>
        </w:rPr>
      </w:pPr>
      <w:r w:rsidRPr="006E4B70">
        <w:rPr>
          <w:rFonts w:cstheme="minorHAnsi"/>
          <w:lang w:val="en-GB"/>
        </w:rPr>
        <w:t>PC Police processed the Firearms Amnesty after briefing was held and the bill was finalised on the 11-Jun 2020.10.06</w:t>
      </w:r>
    </w:p>
    <w:p w:rsidR="00C24092" w:rsidRPr="006E4B70" w:rsidRDefault="00C24092" w:rsidP="006E4B70">
      <w:pPr>
        <w:pStyle w:val="ColorfulList-Accent11"/>
        <w:spacing w:after="0"/>
        <w:ind w:left="360"/>
        <w:contextualSpacing w:val="0"/>
        <w:jc w:val="both"/>
        <w:rPr>
          <w:rFonts w:cstheme="minorHAnsi"/>
          <w:lang w:val="en-GB"/>
        </w:rPr>
      </w:pPr>
    </w:p>
    <w:p w:rsidR="00C24092" w:rsidRPr="006E4B70" w:rsidRDefault="00C24092" w:rsidP="003B5E3A">
      <w:pPr>
        <w:pStyle w:val="ColorfulList-Accent11"/>
        <w:numPr>
          <w:ilvl w:val="0"/>
          <w:numId w:val="31"/>
        </w:numPr>
        <w:spacing w:after="0"/>
        <w:contextualSpacing w:val="0"/>
        <w:jc w:val="both"/>
        <w:rPr>
          <w:rFonts w:cstheme="minorHAnsi"/>
          <w:lang w:val="en-GB"/>
        </w:rPr>
      </w:pPr>
      <w:r w:rsidRPr="006E4B70">
        <w:rPr>
          <w:rFonts w:cstheme="minorHAnsi"/>
          <w:lang w:val="en-GB"/>
        </w:rPr>
        <w:t>SC Committee on Appropriations processed the Appropriations bill, after briefings, public hearings and deliberations. The bill was finalised on the 12 Jun 2020.</w:t>
      </w:r>
    </w:p>
    <w:p w:rsidR="00C24092" w:rsidRPr="006E4B70" w:rsidRDefault="00C24092" w:rsidP="006E4B70">
      <w:pPr>
        <w:pStyle w:val="ColorfulList-Accent11"/>
        <w:spacing w:after="0"/>
        <w:ind w:left="360"/>
        <w:contextualSpacing w:val="0"/>
        <w:jc w:val="both"/>
        <w:rPr>
          <w:rFonts w:cstheme="minorHAnsi"/>
          <w:lang w:val="en-GB"/>
        </w:rPr>
      </w:pPr>
    </w:p>
    <w:p w:rsidR="00C24092" w:rsidRPr="006E4B70" w:rsidRDefault="00C24092" w:rsidP="003B5E3A">
      <w:pPr>
        <w:pStyle w:val="ColorfulList-Accent11"/>
        <w:numPr>
          <w:ilvl w:val="0"/>
          <w:numId w:val="31"/>
        </w:numPr>
        <w:spacing w:after="0"/>
        <w:contextualSpacing w:val="0"/>
        <w:jc w:val="both"/>
        <w:rPr>
          <w:rFonts w:cstheme="minorHAnsi"/>
          <w:lang w:val="en-GB"/>
        </w:rPr>
      </w:pPr>
      <w:r w:rsidRPr="006E4B70">
        <w:rPr>
          <w:rFonts w:cstheme="minorHAnsi"/>
          <w:lang w:val="en-GB"/>
        </w:rPr>
        <w:t>SC on Security and Justice processed the Cybercrimes AB and finalised the bill on the 11 June 2020</w:t>
      </w:r>
    </w:p>
    <w:p w:rsidR="00C24092" w:rsidRPr="006E4B70" w:rsidRDefault="00C24092" w:rsidP="006E4B70">
      <w:pPr>
        <w:pStyle w:val="ColorfulList-Accent11"/>
        <w:spacing w:after="0"/>
        <w:ind w:left="360"/>
        <w:contextualSpacing w:val="0"/>
        <w:jc w:val="both"/>
        <w:rPr>
          <w:rFonts w:cstheme="minorHAnsi"/>
          <w:lang w:val="en-GB"/>
        </w:rPr>
      </w:pPr>
    </w:p>
    <w:p w:rsidR="00C24092" w:rsidRPr="006E4B70" w:rsidRDefault="00C24092" w:rsidP="003B5E3A">
      <w:pPr>
        <w:pStyle w:val="ColorfulList-Accent11"/>
        <w:numPr>
          <w:ilvl w:val="0"/>
          <w:numId w:val="31"/>
        </w:numPr>
        <w:spacing w:after="0"/>
        <w:contextualSpacing w:val="0"/>
        <w:jc w:val="both"/>
        <w:rPr>
          <w:rFonts w:cstheme="minorHAnsi"/>
          <w:lang w:val="en-GB"/>
        </w:rPr>
      </w:pPr>
      <w:r w:rsidRPr="006E4B70">
        <w:rPr>
          <w:rFonts w:cstheme="minorHAnsi"/>
          <w:lang w:val="en-GB"/>
        </w:rPr>
        <w:t>SC on Security and Justice processed the Civil Union AB and finalised the bill on the 4-Jun 2020</w:t>
      </w:r>
    </w:p>
    <w:p w:rsidR="00C24092" w:rsidRPr="006E4B70" w:rsidRDefault="00C24092" w:rsidP="006E4B70">
      <w:pPr>
        <w:pStyle w:val="ColorfulList-Accent11"/>
        <w:spacing w:after="0"/>
        <w:ind w:left="360"/>
        <w:contextualSpacing w:val="0"/>
        <w:jc w:val="both"/>
        <w:rPr>
          <w:rFonts w:cstheme="minorHAnsi"/>
          <w:lang w:val="en-GB"/>
        </w:rPr>
      </w:pPr>
    </w:p>
    <w:p w:rsidR="00C24092" w:rsidRPr="006E4B70" w:rsidRDefault="00C24092" w:rsidP="003B5E3A">
      <w:pPr>
        <w:pStyle w:val="ColorfulList-Accent11"/>
        <w:numPr>
          <w:ilvl w:val="0"/>
          <w:numId w:val="31"/>
        </w:numPr>
        <w:spacing w:after="0"/>
        <w:contextualSpacing w:val="0"/>
        <w:jc w:val="both"/>
        <w:rPr>
          <w:rFonts w:cstheme="minorHAnsi"/>
          <w:lang w:val="en-GB"/>
        </w:rPr>
      </w:pPr>
      <w:r w:rsidRPr="006E4B70">
        <w:rPr>
          <w:rFonts w:cstheme="minorHAnsi"/>
          <w:lang w:val="en-GB"/>
        </w:rPr>
        <w:t>SC on Education and Technology, Sports, Arts and Culture process   the Science and Technology Laws Amendment Bill [B42B - 2018] on the 17-Jun</w:t>
      </w:r>
    </w:p>
    <w:p w:rsidR="00C24092" w:rsidRPr="006E4B70" w:rsidRDefault="00C24092" w:rsidP="006E4B70">
      <w:pPr>
        <w:pStyle w:val="ColorfulList-Accent11"/>
        <w:spacing w:after="0"/>
        <w:ind w:left="360"/>
        <w:contextualSpacing w:val="0"/>
        <w:jc w:val="both"/>
        <w:rPr>
          <w:rFonts w:cstheme="minorHAnsi"/>
          <w:lang w:val="en-GB"/>
        </w:rPr>
      </w:pPr>
    </w:p>
    <w:p w:rsidR="00C24092" w:rsidRPr="006E4B70" w:rsidRDefault="00C24092" w:rsidP="003B5E3A">
      <w:pPr>
        <w:pStyle w:val="ColorfulList-Accent11"/>
        <w:numPr>
          <w:ilvl w:val="0"/>
          <w:numId w:val="31"/>
        </w:numPr>
        <w:spacing w:after="0"/>
        <w:contextualSpacing w:val="0"/>
        <w:jc w:val="both"/>
        <w:rPr>
          <w:rFonts w:cstheme="minorHAnsi"/>
          <w:lang w:val="en-GB"/>
        </w:rPr>
      </w:pPr>
      <w:r w:rsidRPr="006E4B70">
        <w:rPr>
          <w:rFonts w:cstheme="minorHAnsi"/>
          <w:lang w:val="en-GB"/>
        </w:rPr>
        <w:lastRenderedPageBreak/>
        <w:t>As at 31 July 2020, there were 39 Bills before Parliament of which 26 were before the NA Committees, 2 were on NCOP Order Paper and 11 were before the NCOP Committees.</w:t>
      </w:r>
    </w:p>
    <w:p w:rsidR="00337707" w:rsidRPr="006E4B70" w:rsidRDefault="00337707" w:rsidP="006E4B70">
      <w:pPr>
        <w:pStyle w:val="ColorfulList-Accent11"/>
        <w:spacing w:after="0"/>
        <w:ind w:left="360"/>
        <w:contextualSpacing w:val="0"/>
        <w:jc w:val="both"/>
        <w:rPr>
          <w:rFonts w:cstheme="minorHAnsi"/>
          <w:lang w:val="en-GB"/>
        </w:rPr>
      </w:pPr>
    </w:p>
    <w:p w:rsidR="00C24092" w:rsidRPr="006E4B70" w:rsidRDefault="00C24092" w:rsidP="003B5E3A">
      <w:pPr>
        <w:pStyle w:val="ColorfulList-Accent11"/>
        <w:numPr>
          <w:ilvl w:val="0"/>
          <w:numId w:val="31"/>
        </w:numPr>
        <w:spacing w:after="0"/>
        <w:contextualSpacing w:val="0"/>
        <w:jc w:val="both"/>
        <w:rPr>
          <w:rFonts w:cstheme="minorHAnsi"/>
          <w:lang w:val="en-GB"/>
        </w:rPr>
      </w:pPr>
      <w:r w:rsidRPr="006E4B70">
        <w:rPr>
          <w:rFonts w:cstheme="minorHAnsi"/>
          <w:lang w:val="en-GB"/>
        </w:rPr>
        <w:t>About 4 Bills were passed by Parliament (2 Bills were passed by the National Assembly), Division of Revenue A/B [B9-2020] [DAB] and Adjustment Appropriation Bill (2 Bills were passed by NCOP) Division of Revenue Amendment Bill and Judicial Matters Amendment Bill.</w:t>
      </w:r>
    </w:p>
    <w:p w:rsidR="00C24092" w:rsidRPr="006E4B70" w:rsidRDefault="00C24092" w:rsidP="006E4B70">
      <w:pPr>
        <w:pStyle w:val="ColorfulList-Accent11"/>
        <w:spacing w:after="0"/>
        <w:ind w:left="360"/>
        <w:contextualSpacing w:val="0"/>
        <w:jc w:val="both"/>
        <w:rPr>
          <w:rFonts w:cstheme="minorHAnsi"/>
          <w:lang w:val="en-GB"/>
        </w:rPr>
      </w:pPr>
    </w:p>
    <w:p w:rsidR="00C24092" w:rsidRPr="006E4B70" w:rsidRDefault="00C24092" w:rsidP="003B5E3A">
      <w:pPr>
        <w:pStyle w:val="ColorfulList-Accent11"/>
        <w:numPr>
          <w:ilvl w:val="0"/>
          <w:numId w:val="31"/>
        </w:numPr>
        <w:spacing w:after="0"/>
        <w:contextualSpacing w:val="0"/>
        <w:jc w:val="both"/>
        <w:rPr>
          <w:rFonts w:cstheme="minorHAnsi"/>
          <w:lang w:val="en-GB"/>
        </w:rPr>
      </w:pPr>
      <w:r w:rsidRPr="006E4B70">
        <w:rPr>
          <w:rFonts w:cstheme="minorHAnsi"/>
          <w:lang w:val="en-GB"/>
        </w:rPr>
        <w:t xml:space="preserve">As at 31 August 2020, there were 39 Bills before Parliament of which 25 were before the NA Committees, 24 were before the NCOP Committees. </w:t>
      </w:r>
    </w:p>
    <w:p w:rsidR="00337707" w:rsidRPr="006E4B70" w:rsidRDefault="00337707" w:rsidP="006E4B70">
      <w:pPr>
        <w:pStyle w:val="ColorfulList-Accent11"/>
        <w:spacing w:after="0"/>
        <w:ind w:left="360"/>
        <w:contextualSpacing w:val="0"/>
        <w:jc w:val="both"/>
        <w:rPr>
          <w:rFonts w:cstheme="minorHAnsi"/>
          <w:lang w:val="en-GB"/>
        </w:rPr>
      </w:pPr>
    </w:p>
    <w:p w:rsidR="00C24092" w:rsidRPr="006E4B70" w:rsidRDefault="00C24092" w:rsidP="003B5E3A">
      <w:pPr>
        <w:pStyle w:val="ColorfulList-Accent11"/>
        <w:numPr>
          <w:ilvl w:val="0"/>
          <w:numId w:val="31"/>
        </w:numPr>
        <w:spacing w:after="0"/>
        <w:contextualSpacing w:val="0"/>
        <w:jc w:val="both"/>
        <w:rPr>
          <w:rFonts w:cstheme="minorHAnsi"/>
          <w:lang w:val="en-GB"/>
        </w:rPr>
      </w:pPr>
      <w:r w:rsidRPr="006E4B70">
        <w:rPr>
          <w:rFonts w:cstheme="minorHAnsi"/>
          <w:lang w:val="en-GB"/>
        </w:rPr>
        <w:t>6 Bills were passed by Parliament (3 Bills were passed by the National Assembly) Disaster Management Tax Relief Bill [B11-2020] [DMB], Disaster Management Tax Relief Admin Bill [B12-2020] [DMA], and one rejected Report on Road Accident Benefit Scheme Bill (3 Bills were passed by NCOP) Adjustment Appropriation Bill [B10B-2020 (s77)], National Gambling A/B and Prescription in Civil and Criminal Matters (Sexual Offences) Amendment Bill [B 22B – 2019] (National Assembly – sec 75).</w:t>
      </w:r>
    </w:p>
    <w:p w:rsidR="00C24092" w:rsidRPr="006E4B70" w:rsidRDefault="00C24092" w:rsidP="006E4B70">
      <w:pPr>
        <w:pStyle w:val="ColorfulList-Accent11"/>
        <w:spacing w:after="0"/>
        <w:ind w:left="360"/>
        <w:contextualSpacing w:val="0"/>
        <w:jc w:val="both"/>
        <w:rPr>
          <w:rFonts w:cstheme="minorHAnsi"/>
          <w:lang w:val="en-GB"/>
        </w:rPr>
      </w:pPr>
    </w:p>
    <w:p w:rsidR="00C24092" w:rsidRPr="006E4B70" w:rsidRDefault="00C24092" w:rsidP="003B5E3A">
      <w:pPr>
        <w:pStyle w:val="ColorfulList-Accent11"/>
        <w:numPr>
          <w:ilvl w:val="0"/>
          <w:numId w:val="31"/>
        </w:numPr>
        <w:spacing w:after="0"/>
        <w:contextualSpacing w:val="0"/>
        <w:jc w:val="both"/>
        <w:rPr>
          <w:rFonts w:cstheme="minorHAnsi"/>
          <w:lang w:val="en-GB"/>
        </w:rPr>
      </w:pPr>
      <w:r w:rsidRPr="006E4B70">
        <w:rPr>
          <w:rFonts w:cstheme="minorHAnsi"/>
          <w:lang w:val="en-GB"/>
        </w:rPr>
        <w:t>As at 30 September 2020, there were 36 Bills before Parliament of which 24 were before the NA Committees, 22 were before the NCOP Committees.</w:t>
      </w:r>
    </w:p>
    <w:p w:rsidR="00337707" w:rsidRPr="006E4B70" w:rsidRDefault="00337707" w:rsidP="006E4B70">
      <w:pPr>
        <w:pStyle w:val="ColorfulList-Accent11"/>
        <w:spacing w:after="0"/>
        <w:ind w:left="360"/>
        <w:contextualSpacing w:val="0"/>
        <w:jc w:val="both"/>
        <w:rPr>
          <w:rFonts w:cstheme="minorHAnsi"/>
          <w:lang w:val="en-GB"/>
        </w:rPr>
      </w:pPr>
    </w:p>
    <w:p w:rsidR="00C24092" w:rsidRPr="006E4B70" w:rsidRDefault="00C24092" w:rsidP="003B5E3A">
      <w:pPr>
        <w:pStyle w:val="ColorfulList-Accent11"/>
        <w:numPr>
          <w:ilvl w:val="0"/>
          <w:numId w:val="31"/>
        </w:numPr>
        <w:spacing w:after="0"/>
        <w:contextualSpacing w:val="0"/>
        <w:jc w:val="both"/>
        <w:rPr>
          <w:rFonts w:cstheme="minorHAnsi"/>
          <w:lang w:val="en-GB"/>
        </w:rPr>
      </w:pPr>
      <w:r w:rsidRPr="006E4B70">
        <w:rPr>
          <w:rFonts w:cstheme="minorHAnsi"/>
          <w:lang w:val="en-GB"/>
        </w:rPr>
        <w:t>Two Bills (Disaster Management Tax Relief Bill [B11B-20 (s77)] and Disaster Management Tax Relief Admin Bill [B12B-20 (s75)]) were passed by the NCOP. The Independent Electricity Management Operator Bill [B14-19 (s76)] was processed but rejected by the Committee and the report on the Bill is before the National Assembly for consideration.</w:t>
      </w:r>
    </w:p>
    <w:p w:rsidR="00C24092" w:rsidRPr="00907E91" w:rsidRDefault="00C24092" w:rsidP="00C24092">
      <w:pPr>
        <w:spacing w:before="120" w:after="120" w:line="360" w:lineRule="auto"/>
        <w:ind w:left="720"/>
        <w:contextualSpacing/>
        <w:jc w:val="both"/>
        <w:rPr>
          <w:rFonts w:eastAsia="Calibri" w:cstheme="minorHAnsi"/>
          <w:lang w:eastAsia="en-ZA"/>
        </w:rPr>
      </w:pPr>
    </w:p>
    <w:p w:rsidR="00C24092" w:rsidRPr="00907E91" w:rsidRDefault="00C24092" w:rsidP="00C24092">
      <w:pPr>
        <w:spacing w:before="200" w:after="200" w:line="360" w:lineRule="auto"/>
        <w:contextualSpacing/>
        <w:jc w:val="both"/>
        <w:rPr>
          <w:rFonts w:eastAsia="Calibri" w:cstheme="minorHAnsi"/>
          <w:lang w:eastAsia="en-ZA"/>
        </w:rPr>
      </w:pPr>
    </w:p>
    <w:p w:rsidR="00C24092" w:rsidRPr="00907E91" w:rsidRDefault="00C24092" w:rsidP="00C24092">
      <w:pPr>
        <w:pStyle w:val="ColorfulList-Accent11"/>
        <w:spacing w:line="360" w:lineRule="auto"/>
        <w:ind w:left="0"/>
        <w:jc w:val="both"/>
        <w:rPr>
          <w:rFonts w:asciiTheme="minorHAnsi" w:hAnsiTheme="minorHAnsi" w:cstheme="minorHAnsi"/>
        </w:rPr>
      </w:pPr>
    </w:p>
    <w:p w:rsidR="00C24092" w:rsidRPr="00907E91" w:rsidRDefault="00C24092" w:rsidP="00C24092">
      <w:pPr>
        <w:pStyle w:val="ColorfulList-Accent11"/>
        <w:spacing w:line="360" w:lineRule="auto"/>
        <w:ind w:left="0"/>
        <w:jc w:val="both"/>
        <w:rPr>
          <w:rFonts w:asciiTheme="minorHAnsi" w:hAnsiTheme="minorHAnsi" w:cstheme="minorHAnsi"/>
          <w:b/>
        </w:rPr>
      </w:pPr>
    </w:p>
    <w:p w:rsidR="00C24092" w:rsidRDefault="00C24092" w:rsidP="00C24092">
      <w:pPr>
        <w:pStyle w:val="ColorfulList-Accent11"/>
        <w:spacing w:line="360" w:lineRule="auto"/>
        <w:jc w:val="both"/>
        <w:rPr>
          <w:rFonts w:ascii="Arial" w:hAnsi="Arial" w:cs="Arial"/>
        </w:rPr>
      </w:pPr>
    </w:p>
    <w:p w:rsidR="00C24092" w:rsidRDefault="00C24092" w:rsidP="00C24092">
      <w:pPr>
        <w:pStyle w:val="ColorfulList-Accent11"/>
        <w:spacing w:line="360" w:lineRule="auto"/>
        <w:jc w:val="both"/>
        <w:rPr>
          <w:rFonts w:ascii="Arial" w:hAnsi="Arial" w:cs="Arial"/>
        </w:rPr>
      </w:pPr>
    </w:p>
    <w:p w:rsidR="00C24092" w:rsidRDefault="00C24092" w:rsidP="00C24092">
      <w:pPr>
        <w:pStyle w:val="ColorfulList-Accent11"/>
        <w:spacing w:line="360" w:lineRule="auto"/>
        <w:jc w:val="both"/>
        <w:rPr>
          <w:rFonts w:ascii="Arial" w:hAnsi="Arial" w:cs="Arial"/>
        </w:rPr>
      </w:pPr>
    </w:p>
    <w:p w:rsidR="00C24092" w:rsidRDefault="00C24092" w:rsidP="00C24092">
      <w:pPr>
        <w:pStyle w:val="ColorfulList-Accent11"/>
        <w:spacing w:line="360" w:lineRule="auto"/>
        <w:jc w:val="both"/>
        <w:rPr>
          <w:rFonts w:ascii="Arial" w:hAnsi="Arial" w:cs="Arial"/>
        </w:rPr>
      </w:pPr>
    </w:p>
    <w:p w:rsidR="00C24092" w:rsidRDefault="00C24092" w:rsidP="00C24092">
      <w:pPr>
        <w:pStyle w:val="ColorfulList-Accent11"/>
        <w:spacing w:line="360" w:lineRule="auto"/>
        <w:jc w:val="both"/>
        <w:rPr>
          <w:rFonts w:ascii="Arial" w:hAnsi="Arial" w:cs="Arial"/>
        </w:rPr>
      </w:pPr>
    </w:p>
    <w:p w:rsidR="00C24092" w:rsidRDefault="00C24092" w:rsidP="00C24092">
      <w:pPr>
        <w:pStyle w:val="ColorfulList-Accent11"/>
        <w:spacing w:line="360" w:lineRule="auto"/>
        <w:jc w:val="both"/>
        <w:rPr>
          <w:rFonts w:ascii="Arial" w:hAnsi="Arial" w:cs="Arial"/>
        </w:rPr>
      </w:pPr>
    </w:p>
    <w:p w:rsidR="00C24092" w:rsidRDefault="00C24092" w:rsidP="00C24092">
      <w:pPr>
        <w:pStyle w:val="ColorfulList-Accent11"/>
        <w:spacing w:line="360" w:lineRule="auto"/>
        <w:jc w:val="both"/>
        <w:rPr>
          <w:rFonts w:ascii="Arial" w:hAnsi="Arial" w:cs="Arial"/>
        </w:rPr>
      </w:pPr>
    </w:p>
    <w:p w:rsidR="00D458D7" w:rsidRDefault="00D458D7" w:rsidP="00C24092">
      <w:pPr>
        <w:pStyle w:val="ColorfulList-Accent11"/>
        <w:spacing w:line="360" w:lineRule="auto"/>
        <w:jc w:val="both"/>
        <w:rPr>
          <w:rFonts w:ascii="Arial" w:hAnsi="Arial" w:cs="Arial"/>
        </w:rPr>
      </w:pPr>
    </w:p>
    <w:p w:rsidR="00D458D7" w:rsidRDefault="00D458D7" w:rsidP="00C24092">
      <w:pPr>
        <w:pStyle w:val="ColorfulList-Accent11"/>
        <w:spacing w:line="360" w:lineRule="auto"/>
        <w:jc w:val="both"/>
        <w:rPr>
          <w:rFonts w:ascii="Arial" w:hAnsi="Arial" w:cs="Arial"/>
        </w:rPr>
      </w:pPr>
    </w:p>
    <w:p w:rsidR="00D458D7" w:rsidRDefault="00D458D7" w:rsidP="00C24092">
      <w:pPr>
        <w:pStyle w:val="ColorfulList-Accent11"/>
        <w:spacing w:line="360" w:lineRule="auto"/>
        <w:jc w:val="both"/>
        <w:rPr>
          <w:rFonts w:ascii="Arial" w:hAnsi="Arial" w:cs="Arial"/>
        </w:rPr>
      </w:pPr>
    </w:p>
    <w:p w:rsidR="00D458D7" w:rsidRDefault="00D458D7" w:rsidP="00C24092">
      <w:pPr>
        <w:pStyle w:val="ColorfulList-Accent11"/>
        <w:spacing w:line="360" w:lineRule="auto"/>
        <w:jc w:val="both"/>
        <w:rPr>
          <w:rFonts w:ascii="Arial" w:hAnsi="Arial" w:cs="Arial"/>
        </w:rPr>
      </w:pPr>
    </w:p>
    <w:p w:rsidR="00D458D7" w:rsidRDefault="00D458D7" w:rsidP="00C24092">
      <w:pPr>
        <w:pStyle w:val="ColorfulList-Accent11"/>
        <w:spacing w:line="360" w:lineRule="auto"/>
        <w:jc w:val="both"/>
        <w:rPr>
          <w:rFonts w:ascii="Arial" w:hAnsi="Arial" w:cs="Arial"/>
        </w:rPr>
      </w:pPr>
    </w:p>
    <w:p w:rsidR="00D458D7" w:rsidRDefault="00D458D7" w:rsidP="00C24092">
      <w:pPr>
        <w:pStyle w:val="ColorfulList-Accent11"/>
        <w:spacing w:line="360" w:lineRule="auto"/>
        <w:jc w:val="both"/>
        <w:rPr>
          <w:rFonts w:ascii="Arial" w:hAnsi="Arial" w:cs="Arial"/>
        </w:rPr>
      </w:pPr>
    </w:p>
    <w:p w:rsidR="00D458D7" w:rsidRDefault="00D458D7" w:rsidP="00C24092">
      <w:pPr>
        <w:pStyle w:val="ColorfulList-Accent11"/>
        <w:spacing w:line="360" w:lineRule="auto"/>
        <w:jc w:val="both"/>
        <w:rPr>
          <w:rFonts w:ascii="Arial" w:hAnsi="Arial" w:cs="Arial"/>
        </w:rPr>
      </w:pPr>
    </w:p>
    <w:p w:rsidR="00D458D7" w:rsidRDefault="00D458D7" w:rsidP="00C24092">
      <w:pPr>
        <w:pStyle w:val="ColorfulList-Accent11"/>
        <w:spacing w:line="360" w:lineRule="auto"/>
        <w:jc w:val="both"/>
        <w:rPr>
          <w:rFonts w:ascii="Arial" w:hAnsi="Arial" w:cs="Arial"/>
        </w:rPr>
      </w:pPr>
    </w:p>
    <w:p w:rsidR="00D458D7" w:rsidRDefault="00D458D7" w:rsidP="00C24092">
      <w:pPr>
        <w:pStyle w:val="ColorfulList-Accent11"/>
        <w:spacing w:line="360" w:lineRule="auto"/>
        <w:jc w:val="both"/>
        <w:rPr>
          <w:rFonts w:ascii="Arial" w:hAnsi="Arial" w:cs="Arial"/>
        </w:rPr>
      </w:pPr>
    </w:p>
    <w:p w:rsidR="00D458D7" w:rsidRDefault="00D458D7" w:rsidP="00C24092">
      <w:pPr>
        <w:pStyle w:val="ColorfulList-Accent11"/>
        <w:spacing w:line="360" w:lineRule="auto"/>
        <w:jc w:val="both"/>
        <w:rPr>
          <w:rFonts w:ascii="Arial" w:hAnsi="Arial" w:cs="Arial"/>
        </w:rPr>
      </w:pPr>
    </w:p>
    <w:p w:rsidR="00D458D7" w:rsidRDefault="00D458D7" w:rsidP="00C24092">
      <w:pPr>
        <w:pStyle w:val="ColorfulList-Accent11"/>
        <w:spacing w:line="360" w:lineRule="auto"/>
        <w:jc w:val="both"/>
        <w:rPr>
          <w:rFonts w:ascii="Arial" w:hAnsi="Arial" w:cs="Arial"/>
        </w:rPr>
      </w:pPr>
    </w:p>
    <w:p w:rsidR="00D458D7" w:rsidRDefault="00D458D7" w:rsidP="00C24092">
      <w:pPr>
        <w:pStyle w:val="ColorfulList-Accent11"/>
        <w:spacing w:line="360" w:lineRule="auto"/>
        <w:jc w:val="both"/>
        <w:rPr>
          <w:rFonts w:ascii="Arial" w:hAnsi="Arial" w:cs="Arial"/>
        </w:rPr>
      </w:pPr>
    </w:p>
    <w:p w:rsidR="00D458D7" w:rsidRDefault="00D458D7" w:rsidP="00C24092">
      <w:pPr>
        <w:pStyle w:val="ColorfulList-Accent11"/>
        <w:spacing w:line="360" w:lineRule="auto"/>
        <w:jc w:val="both"/>
        <w:rPr>
          <w:rFonts w:ascii="Arial" w:hAnsi="Arial" w:cs="Arial"/>
        </w:rPr>
      </w:pPr>
    </w:p>
    <w:p w:rsidR="00D458D7" w:rsidRDefault="00D458D7" w:rsidP="00C24092">
      <w:pPr>
        <w:pStyle w:val="ColorfulList-Accent11"/>
        <w:spacing w:line="360" w:lineRule="auto"/>
        <w:jc w:val="both"/>
        <w:rPr>
          <w:rFonts w:ascii="Arial" w:hAnsi="Arial" w:cs="Arial"/>
        </w:rPr>
      </w:pPr>
    </w:p>
    <w:p w:rsidR="00C24092" w:rsidRDefault="00C24092" w:rsidP="00C24092">
      <w:pPr>
        <w:pStyle w:val="ColorfulList-Accent11"/>
        <w:spacing w:line="360" w:lineRule="auto"/>
        <w:jc w:val="both"/>
        <w:rPr>
          <w:rFonts w:ascii="Arial" w:hAnsi="Arial" w:cs="Arial"/>
        </w:rPr>
      </w:pPr>
    </w:p>
    <w:p w:rsidR="00C24092" w:rsidRPr="00766E86" w:rsidRDefault="00C24092" w:rsidP="00C24092">
      <w:pPr>
        <w:pStyle w:val="ColorfulList-Accent11"/>
        <w:spacing w:line="360" w:lineRule="auto"/>
        <w:jc w:val="both"/>
        <w:rPr>
          <w:rFonts w:ascii="Arial" w:hAnsi="Arial" w:cs="Arial"/>
        </w:rPr>
      </w:pPr>
    </w:p>
    <w:p w:rsidR="00FB4AA5" w:rsidRPr="008535B3" w:rsidRDefault="00FB4AA5" w:rsidP="00FB4AA5">
      <w:pPr>
        <w:pStyle w:val="ColorfulList-Accent11"/>
        <w:spacing w:line="360" w:lineRule="auto"/>
        <w:ind w:left="0"/>
        <w:jc w:val="both"/>
        <w:rPr>
          <w:rFonts w:ascii="Arial" w:hAnsi="Arial" w:cs="Arial"/>
        </w:rPr>
      </w:pPr>
    </w:p>
    <w:p w:rsidR="000B0953" w:rsidRDefault="000B0953" w:rsidP="00717DDB">
      <w:pPr>
        <w:jc w:val="right"/>
        <w:rPr>
          <w:rFonts w:ascii="Calibri" w:hAnsi="Calibri" w:cs="Calibri"/>
        </w:rPr>
      </w:pPr>
      <w:r>
        <w:rPr>
          <w:rFonts w:ascii="Arial" w:hAnsi="Arial" w:cs="Arial"/>
          <w:noProof/>
          <w:lang w:eastAsia="en-ZA"/>
        </w:rPr>
        <w:drawing>
          <wp:inline distT="0" distB="0" distL="0" distR="0">
            <wp:extent cx="3486150" cy="1200150"/>
            <wp:effectExtent l="38100" t="0" r="190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A708ED" w:rsidRPr="009C3971" w:rsidRDefault="00A708ED" w:rsidP="00717DDB">
      <w:pPr>
        <w:pStyle w:val="Heading1"/>
        <w:numPr>
          <w:ilvl w:val="0"/>
          <w:numId w:val="0"/>
        </w:numPr>
        <w:rPr>
          <w:rFonts w:ascii="Calibri" w:hAnsi="Calibri" w:cs="Calibri"/>
          <w:color w:val="FFFFFF" w:themeColor="background1"/>
        </w:rPr>
      </w:pPr>
      <w:bookmarkStart w:id="22" w:name="_Toc54361045"/>
      <w:r w:rsidRPr="009C3971">
        <w:rPr>
          <w:rFonts w:ascii="Calibri" w:hAnsi="Calibri" w:cs="Calibri"/>
          <w:color w:val="FFFFFF" w:themeColor="background1"/>
        </w:rPr>
        <w:t>PART C</w:t>
      </w:r>
      <w:r w:rsidR="009C3971" w:rsidRPr="009C3971">
        <w:rPr>
          <w:rFonts w:ascii="Calibri" w:hAnsi="Calibri" w:cs="Calibri"/>
          <w:color w:val="FFFFFF" w:themeColor="background1"/>
        </w:rPr>
        <w:t>: Performance Information</w:t>
      </w:r>
      <w:bookmarkEnd w:id="22"/>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D40947" w:rsidRDefault="00D40947"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0B0953" w:rsidRDefault="000B0953" w:rsidP="00EE760C">
      <w:pPr>
        <w:rPr>
          <w:rFonts w:ascii="Calibri" w:hAnsi="Calibri" w:cs="Calibri"/>
        </w:rPr>
      </w:pPr>
    </w:p>
    <w:p w:rsidR="003C42B6" w:rsidRPr="006E4B70" w:rsidRDefault="003C42B6" w:rsidP="003B5E3A">
      <w:pPr>
        <w:pStyle w:val="Heading2"/>
        <w:numPr>
          <w:ilvl w:val="1"/>
          <w:numId w:val="5"/>
        </w:numPr>
        <w:rPr>
          <w:rFonts w:ascii="Calibri" w:hAnsi="Calibri" w:cs="Calibri"/>
          <w:sz w:val="36"/>
          <w:szCs w:val="36"/>
        </w:rPr>
      </w:pPr>
      <w:bookmarkStart w:id="23" w:name="_Toc54361046"/>
      <w:r w:rsidRPr="006E4B70">
        <w:rPr>
          <w:rFonts w:ascii="Calibri" w:hAnsi="Calibri" w:cs="Calibri"/>
          <w:sz w:val="36"/>
          <w:szCs w:val="36"/>
        </w:rPr>
        <w:t>PROGRAMME PERFORMANCE</w:t>
      </w:r>
      <w:bookmarkEnd w:id="23"/>
    </w:p>
    <w:p w:rsidR="003C42B6" w:rsidRPr="002648FC" w:rsidRDefault="003C42B6" w:rsidP="003B5E3A">
      <w:pPr>
        <w:pStyle w:val="Heading3"/>
        <w:numPr>
          <w:ilvl w:val="0"/>
          <w:numId w:val="7"/>
        </w:numPr>
        <w:rPr>
          <w:sz w:val="24"/>
          <w:szCs w:val="24"/>
        </w:rPr>
      </w:pPr>
      <w:bookmarkStart w:id="24" w:name="_Toc54361047"/>
      <w:r w:rsidRPr="002648FC">
        <w:rPr>
          <w:sz w:val="24"/>
          <w:szCs w:val="24"/>
        </w:rPr>
        <w:t>Programme 1: Strategic Leadership and Governance</w:t>
      </w:r>
      <w:bookmarkEnd w:id="24"/>
    </w:p>
    <w:p w:rsidR="003C42B6" w:rsidRPr="004101C7" w:rsidRDefault="003C42B6" w:rsidP="003C42B6">
      <w:pPr>
        <w:jc w:val="both"/>
        <w:rPr>
          <w:rFonts w:ascii="Calibri" w:hAnsi="Calibri" w:cs="Calibri"/>
          <w:b/>
        </w:rPr>
      </w:pPr>
    </w:p>
    <w:p w:rsidR="00B600C7" w:rsidRPr="004101C7" w:rsidRDefault="006401BF" w:rsidP="00B600C7">
      <w:pPr>
        <w:jc w:val="both"/>
        <w:rPr>
          <w:rFonts w:ascii="Calibri" w:hAnsi="Calibri" w:cs="Calibri"/>
        </w:rPr>
      </w:pPr>
      <w:r w:rsidRPr="004101C7">
        <w:rPr>
          <w:rFonts w:ascii="Calibri" w:hAnsi="Calibri" w:cs="Calibri"/>
        </w:rPr>
        <w:t>The purpose of programme 1 is to provide political and strategic leadership, governance and institutional policy, communication and co-ordination, and oversee the development and the implementation of Parliament’s strategic plan, annual performance plan and budget. The programme includes the Office for Institutions Supporting Democracy and the Parliamentary Budget Office.</w:t>
      </w:r>
    </w:p>
    <w:p w:rsidR="006401BF" w:rsidRPr="004101C7" w:rsidRDefault="006401BF" w:rsidP="006401BF">
      <w:pPr>
        <w:jc w:val="both"/>
        <w:rPr>
          <w:rFonts w:ascii="Calibri" w:hAnsi="Calibri" w:cs="Calibri"/>
        </w:rPr>
      </w:pPr>
      <w:r w:rsidRPr="004101C7">
        <w:rPr>
          <w:rFonts w:ascii="Calibri" w:hAnsi="Calibri" w:cs="Calibri"/>
        </w:rPr>
        <w:t>Annual performance targets for programmes are set at the institutional level, with more operational targets captured in operational plans of Divisions.</w:t>
      </w:r>
    </w:p>
    <w:p w:rsidR="00BD665B" w:rsidRPr="004101C7" w:rsidRDefault="00BD665B" w:rsidP="006401BF">
      <w:pPr>
        <w:jc w:val="both"/>
        <w:rPr>
          <w:rFonts w:ascii="Calibri" w:hAnsi="Calibri" w:cs="Calibri"/>
        </w:rPr>
      </w:pPr>
    </w:p>
    <w:p w:rsidR="00BD665B" w:rsidRDefault="00BD665B" w:rsidP="00BD665B">
      <w:pPr>
        <w:jc w:val="center"/>
        <w:rPr>
          <w:rFonts w:ascii="Calibri" w:hAnsi="Calibri" w:cs="Calibri"/>
          <w:sz w:val="24"/>
          <w:szCs w:val="24"/>
        </w:rPr>
      </w:pPr>
      <w:r>
        <w:rPr>
          <w:noProof/>
          <w:lang w:eastAsia="en-ZA"/>
        </w:rPr>
        <w:drawing>
          <wp:inline distT="0" distB="0" distL="0" distR="0">
            <wp:extent cx="5048250" cy="32194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D122C" w:rsidRDefault="005D122C" w:rsidP="006401BF">
      <w:pPr>
        <w:jc w:val="both"/>
        <w:rPr>
          <w:rFonts w:ascii="Calibri" w:hAnsi="Calibri" w:cs="Calibri"/>
          <w:sz w:val="24"/>
          <w:szCs w:val="24"/>
        </w:rPr>
      </w:pPr>
    </w:p>
    <w:p w:rsidR="008E16DD" w:rsidRPr="004101C7" w:rsidRDefault="008E16DD" w:rsidP="00985447">
      <w:pPr>
        <w:spacing w:after="0" w:line="240" w:lineRule="auto"/>
        <w:ind w:right="272"/>
        <w:jc w:val="both"/>
      </w:pPr>
      <w:r w:rsidRPr="004101C7">
        <w:t>Out of the two (2) performance indicators, one (1) met its target and the indicator on legal and procedural advice on ISDs related matters</w:t>
      </w:r>
      <w:r w:rsidR="006D435E" w:rsidRPr="004101C7">
        <w:t xml:space="preserve"> missedtarget by 13</w:t>
      </w:r>
      <w:r w:rsidR="00D40947" w:rsidRPr="004101C7">
        <w:t>,08</w:t>
      </w:r>
      <w:r w:rsidRPr="004101C7">
        <w:t>%.</w:t>
      </w:r>
    </w:p>
    <w:p w:rsidR="005D122C" w:rsidRPr="004101C7" w:rsidRDefault="005D122C" w:rsidP="006401BF">
      <w:pPr>
        <w:jc w:val="both"/>
        <w:rPr>
          <w:rFonts w:ascii="Calibri" w:hAnsi="Calibri" w:cs="Calibri"/>
          <w:b/>
        </w:rPr>
      </w:pPr>
    </w:p>
    <w:p w:rsidR="005D122C" w:rsidRPr="004101C7" w:rsidRDefault="005D122C" w:rsidP="006401BF">
      <w:pPr>
        <w:jc w:val="both"/>
        <w:rPr>
          <w:rFonts w:ascii="Calibri" w:hAnsi="Calibri" w:cs="Calibri"/>
          <w:b/>
        </w:rPr>
      </w:pPr>
    </w:p>
    <w:p w:rsidR="005D122C" w:rsidRPr="004101C7" w:rsidRDefault="005D122C" w:rsidP="006401BF">
      <w:pPr>
        <w:jc w:val="both"/>
        <w:rPr>
          <w:rFonts w:ascii="Calibri" w:hAnsi="Calibri" w:cs="Calibri"/>
          <w:b/>
        </w:rPr>
      </w:pPr>
    </w:p>
    <w:p w:rsidR="00AE0136" w:rsidRPr="004101C7" w:rsidRDefault="00AE0136" w:rsidP="006401BF">
      <w:pPr>
        <w:jc w:val="both"/>
        <w:rPr>
          <w:rFonts w:ascii="Calibri" w:hAnsi="Calibri" w:cs="Calibri"/>
          <w:b/>
        </w:rPr>
      </w:pPr>
    </w:p>
    <w:p w:rsidR="00AE0136" w:rsidRPr="004101C7" w:rsidRDefault="00AE0136" w:rsidP="006401BF">
      <w:pPr>
        <w:jc w:val="both"/>
        <w:rPr>
          <w:rFonts w:ascii="Calibri" w:hAnsi="Calibri" w:cs="Calibri"/>
          <w:b/>
        </w:rPr>
      </w:pPr>
    </w:p>
    <w:p w:rsidR="00985447" w:rsidRDefault="00985447" w:rsidP="006401BF">
      <w:pPr>
        <w:jc w:val="both"/>
        <w:rPr>
          <w:rFonts w:ascii="Calibri" w:hAnsi="Calibri" w:cs="Calibri"/>
          <w:b/>
        </w:rPr>
      </w:pPr>
    </w:p>
    <w:p w:rsidR="00CD2AB1" w:rsidRDefault="00CD2AB1" w:rsidP="006401BF">
      <w:pPr>
        <w:jc w:val="both"/>
        <w:rPr>
          <w:rFonts w:ascii="Calibri" w:hAnsi="Calibri" w:cs="Calibri"/>
          <w:b/>
        </w:rPr>
      </w:pPr>
    </w:p>
    <w:p w:rsidR="00CD2AB1" w:rsidRPr="004101C7" w:rsidRDefault="00CD2AB1" w:rsidP="006401BF">
      <w:pPr>
        <w:jc w:val="both"/>
        <w:rPr>
          <w:rFonts w:ascii="Calibri" w:hAnsi="Calibri" w:cs="Calibri"/>
          <w:b/>
        </w:rPr>
      </w:pPr>
    </w:p>
    <w:p w:rsidR="00985447" w:rsidRPr="004101C7" w:rsidRDefault="00985447" w:rsidP="006401BF">
      <w:pPr>
        <w:jc w:val="both"/>
        <w:rPr>
          <w:rFonts w:ascii="Calibri" w:hAnsi="Calibri" w:cs="Calibri"/>
          <w:b/>
        </w:rPr>
      </w:pPr>
    </w:p>
    <w:p w:rsidR="005D122C" w:rsidRPr="004101C7" w:rsidRDefault="005D122C" w:rsidP="006401BF">
      <w:pPr>
        <w:jc w:val="both"/>
        <w:rPr>
          <w:rFonts w:ascii="Calibri" w:hAnsi="Calibri" w:cs="Calibri"/>
          <w:b/>
        </w:rPr>
      </w:pPr>
    </w:p>
    <w:p w:rsidR="007B7C83" w:rsidRPr="0004348E" w:rsidRDefault="007B7C83" w:rsidP="003B5E3A">
      <w:pPr>
        <w:pStyle w:val="Heading4"/>
        <w:numPr>
          <w:ilvl w:val="0"/>
          <w:numId w:val="6"/>
        </w:numPr>
      </w:pPr>
      <w:r w:rsidRPr="0004348E">
        <w:t>Parliamentary Budget Office</w:t>
      </w:r>
    </w:p>
    <w:p w:rsidR="001D4D58" w:rsidRPr="000E0F7A" w:rsidRDefault="008628E7" w:rsidP="008628E7">
      <w:pPr>
        <w:jc w:val="both"/>
        <w:rPr>
          <w:rFonts w:ascii="Calibri" w:hAnsi="Calibri" w:cs="Calibri"/>
        </w:rPr>
      </w:pPr>
      <w:r w:rsidRPr="004101C7">
        <w:rPr>
          <w:rFonts w:ascii="Calibri" w:hAnsi="Calibri" w:cs="Calibri"/>
        </w:rPr>
        <w:t>The Parliamentary Budget Office (PBO) is established by the Money Bills Amendment Procedure and Related Matters Act no 09 of 2009 to provide analysis and advice (technical support) to the Finance and Appropriations Committees of Parliament over Money Bills and related matters. The PBO has set 30 performance targets for the 2020/21 financial year. Twenty-three (23) performance outputs were produced by the PBO during the first 6-months of the 2020/21 financial year. Thirteen (13) and ten (10) performance outputs were respectively produced during the 1st and 2nd quarters of the financial year. The PBO service delivery environment is centred on the provision of evidence-based technical outputs that are aimed at enhancing the public finance oversight mandate of Members of Parliament.</w:t>
      </w:r>
    </w:p>
    <w:p w:rsidR="001D4D58" w:rsidRDefault="001D4D58" w:rsidP="001D4D58">
      <w:pPr>
        <w:jc w:val="center"/>
        <w:rPr>
          <w:rFonts w:ascii="Calibri" w:hAnsi="Calibri" w:cs="Calibri"/>
          <w:sz w:val="24"/>
          <w:szCs w:val="24"/>
        </w:rPr>
      </w:pPr>
      <w:r>
        <w:rPr>
          <w:rFonts w:ascii="Calibri" w:hAnsi="Calibri" w:cs="Calibri"/>
          <w:noProof/>
          <w:sz w:val="24"/>
          <w:szCs w:val="24"/>
          <w:lang w:eastAsia="en-ZA"/>
        </w:rPr>
        <w:drawing>
          <wp:inline distT="0" distB="0" distL="0" distR="0">
            <wp:extent cx="6146358" cy="1049573"/>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1D4D58" w:rsidRPr="004101C7" w:rsidRDefault="003F2E48" w:rsidP="008628E7">
      <w:pPr>
        <w:jc w:val="both"/>
        <w:rPr>
          <w:rFonts w:ascii="Calibri" w:hAnsi="Calibri" w:cs="Calibri"/>
        </w:rPr>
      </w:pPr>
      <w:r w:rsidRPr="004101C7">
        <w:rPr>
          <w:rFonts w:ascii="Calibri" w:hAnsi="Calibri" w:cs="Calibri"/>
        </w:rPr>
        <w:t xml:space="preserve">The PBO Economic, Policy, and Fiscal units are collectively responsible for providing the necessary public finance advice and analysis to Parliamentary Committees to enable Members of Parliament to discharge their public finance oversight mandate effectively. The overarching mandate of the PBO is to ensure improved oversight over the Budget and money Bills by the Parliamentary Committees. This is achieved through the provision of technical support (performance outputs) to Parliamentary Committees that informs their processing of the Budget and money Bills and improves their understanding of public finances. The PBO’s target for the number of budget analysis papers for the mid-year was set at eleven (11) - five (5) and six (6) performance targets for the 1st and 2nd quarters respectively – resulting in a variance of +12. </w:t>
      </w:r>
      <w:r w:rsidR="00D4135F" w:rsidRPr="004101C7">
        <w:rPr>
          <w:rFonts w:ascii="Calibri" w:hAnsi="Calibri" w:cs="Calibri"/>
        </w:rPr>
        <w:t xml:space="preserve">The topics of analysis papers were as below: </w:t>
      </w:r>
    </w:p>
    <w:p w:rsidR="003F2E48" w:rsidRDefault="00D4135F" w:rsidP="008628E7">
      <w:pPr>
        <w:jc w:val="both"/>
        <w:rPr>
          <w:rFonts w:ascii="Calibri" w:hAnsi="Calibri" w:cs="Calibri"/>
          <w:sz w:val="24"/>
          <w:szCs w:val="24"/>
        </w:rPr>
      </w:pPr>
      <w:r>
        <w:rPr>
          <w:rFonts w:ascii="Calibri" w:hAnsi="Calibri" w:cs="Calibri"/>
          <w:noProof/>
          <w:sz w:val="24"/>
          <w:szCs w:val="24"/>
          <w:lang w:eastAsia="en-ZA"/>
        </w:rPr>
        <w:lastRenderedPageBreak/>
        <w:drawing>
          <wp:inline distT="0" distB="0" distL="0" distR="0">
            <wp:extent cx="6108065" cy="4610100"/>
            <wp:effectExtent l="38100" t="0" r="4508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7B7C83" w:rsidRPr="0004348E" w:rsidRDefault="007B7C83" w:rsidP="003B5E3A">
      <w:pPr>
        <w:pStyle w:val="Heading4"/>
        <w:numPr>
          <w:ilvl w:val="0"/>
          <w:numId w:val="6"/>
        </w:numPr>
        <w:rPr>
          <w:rFonts w:ascii="Calibri" w:hAnsi="Calibri" w:cs="Calibri"/>
          <w:sz w:val="24"/>
          <w:szCs w:val="24"/>
        </w:rPr>
      </w:pPr>
      <w:r w:rsidRPr="0004348E">
        <w:rPr>
          <w:rFonts w:ascii="Calibri" w:hAnsi="Calibri" w:cs="Calibri"/>
          <w:sz w:val="24"/>
          <w:szCs w:val="24"/>
        </w:rPr>
        <w:t>Office on Institutions Supporting Democracy</w:t>
      </w:r>
    </w:p>
    <w:p w:rsidR="00EA1742" w:rsidRPr="00A015B6" w:rsidRDefault="00EA1742" w:rsidP="00E61A55">
      <w:pPr>
        <w:jc w:val="both"/>
        <w:rPr>
          <w:rFonts w:ascii="Calibri" w:hAnsi="Calibri" w:cs="Calibri"/>
        </w:rPr>
      </w:pPr>
      <w:r w:rsidRPr="00A015B6">
        <w:rPr>
          <w:rFonts w:ascii="Calibri" w:hAnsi="Calibri" w:cs="Calibri"/>
        </w:rPr>
        <w:t>The Office supporting ISDs (OISD) in Parliament acts as a conduit between the National Assembly (NA) and the state institutions supporting democracy, who are accountable and report to the National Assembly. The mandate of the Office is to enhance the capacity of the National Assembly to perform its functions of oversight, accountability and support relevant to Institutions Supporting Democracy (ISDs), and to co-ordinate all interaction between the NA and ISDs.</w:t>
      </w:r>
    </w:p>
    <w:tbl>
      <w:tblPr>
        <w:tblStyle w:val="GridTable4Accent5"/>
        <w:tblW w:w="10348" w:type="dxa"/>
        <w:tblInd w:w="-147" w:type="dxa"/>
        <w:tblLayout w:type="fixed"/>
        <w:tblLook w:val="04A0"/>
      </w:tblPr>
      <w:tblGrid>
        <w:gridCol w:w="2223"/>
        <w:gridCol w:w="46"/>
        <w:gridCol w:w="1701"/>
        <w:gridCol w:w="1701"/>
        <w:gridCol w:w="1417"/>
        <w:gridCol w:w="1134"/>
        <w:gridCol w:w="2126"/>
      </w:tblGrid>
      <w:tr w:rsidR="001F537C" w:rsidRPr="00027CA6" w:rsidTr="004A3B99">
        <w:trPr>
          <w:cnfStyle w:val="100000000000"/>
          <w:trHeight w:val="583"/>
        </w:trPr>
        <w:tc>
          <w:tcPr>
            <w:cnfStyle w:val="001000000000"/>
            <w:tcW w:w="2269" w:type="dxa"/>
            <w:gridSpan w:val="2"/>
          </w:tcPr>
          <w:p w:rsidR="001F537C" w:rsidRPr="00027CA6" w:rsidRDefault="001F537C" w:rsidP="003C079E">
            <w:pPr>
              <w:pStyle w:val="ColorfulList-Accent11"/>
              <w:ind w:left="0"/>
              <w:rPr>
                <w:rFonts w:cs="Calibri"/>
                <w:bCs w:val="0"/>
              </w:rPr>
            </w:pPr>
            <w:r>
              <w:rPr>
                <w:rFonts w:cs="Calibri"/>
                <w:b w:val="0"/>
              </w:rPr>
              <w:t>Parliamentary Service</w:t>
            </w:r>
          </w:p>
        </w:tc>
        <w:tc>
          <w:tcPr>
            <w:tcW w:w="1701" w:type="dxa"/>
          </w:tcPr>
          <w:p w:rsidR="001F537C" w:rsidRPr="00027CA6" w:rsidRDefault="001F537C" w:rsidP="003C079E">
            <w:pPr>
              <w:pStyle w:val="ColorfulList-Accent11"/>
              <w:ind w:left="0"/>
              <w:cnfStyle w:val="100000000000"/>
              <w:rPr>
                <w:rFonts w:cs="Calibri"/>
                <w:b w:val="0"/>
              </w:rPr>
            </w:pPr>
            <w:r>
              <w:rPr>
                <w:rFonts w:cs="Calibri"/>
                <w:b w:val="0"/>
              </w:rPr>
              <w:t>Indicator</w:t>
            </w:r>
          </w:p>
        </w:tc>
        <w:tc>
          <w:tcPr>
            <w:tcW w:w="1701" w:type="dxa"/>
          </w:tcPr>
          <w:p w:rsidR="001F537C" w:rsidRPr="00027CA6" w:rsidRDefault="008628E7" w:rsidP="003C079E">
            <w:pPr>
              <w:pStyle w:val="ColorfulList-Accent11"/>
              <w:ind w:left="0"/>
              <w:cnfStyle w:val="100000000000"/>
              <w:rPr>
                <w:rFonts w:cs="Calibri"/>
              </w:rPr>
            </w:pPr>
            <w:r>
              <w:rPr>
                <w:rFonts w:cs="Calibri"/>
              </w:rPr>
              <w:t>Mid-Year</w:t>
            </w:r>
            <w:r w:rsidR="001F537C" w:rsidRPr="00027CA6">
              <w:rPr>
                <w:rFonts w:cs="Calibri"/>
              </w:rPr>
              <w:t xml:space="preserve"> Target</w:t>
            </w:r>
            <w:r w:rsidR="001F537C">
              <w:rPr>
                <w:rFonts w:cs="Calibri"/>
              </w:rPr>
              <w:t xml:space="preserve"> 2020/21</w:t>
            </w:r>
          </w:p>
        </w:tc>
        <w:tc>
          <w:tcPr>
            <w:tcW w:w="1417" w:type="dxa"/>
          </w:tcPr>
          <w:p w:rsidR="001F537C" w:rsidRPr="00027CA6" w:rsidRDefault="001F537C" w:rsidP="003C079E">
            <w:pPr>
              <w:pStyle w:val="ColorfulList-Accent11"/>
              <w:ind w:left="0"/>
              <w:cnfStyle w:val="100000000000"/>
              <w:rPr>
                <w:rFonts w:cs="Calibri"/>
              </w:rPr>
            </w:pPr>
            <w:r w:rsidRPr="00027CA6">
              <w:rPr>
                <w:rFonts w:cs="Calibri"/>
              </w:rPr>
              <w:t>Actual performance</w:t>
            </w:r>
          </w:p>
        </w:tc>
        <w:tc>
          <w:tcPr>
            <w:tcW w:w="1134" w:type="dxa"/>
          </w:tcPr>
          <w:p w:rsidR="001F537C" w:rsidRPr="00027CA6" w:rsidRDefault="001F537C" w:rsidP="003C079E">
            <w:pPr>
              <w:pStyle w:val="ColorfulList-Accent11"/>
              <w:ind w:left="0"/>
              <w:cnfStyle w:val="100000000000"/>
              <w:rPr>
                <w:rFonts w:cs="Calibri"/>
              </w:rPr>
            </w:pPr>
            <w:r w:rsidRPr="00027CA6">
              <w:rPr>
                <w:rFonts w:cs="Calibri"/>
              </w:rPr>
              <w:t>Variance</w:t>
            </w:r>
          </w:p>
        </w:tc>
        <w:tc>
          <w:tcPr>
            <w:tcW w:w="2126" w:type="dxa"/>
          </w:tcPr>
          <w:p w:rsidR="001F537C" w:rsidRPr="00027CA6" w:rsidRDefault="001F537C" w:rsidP="003C079E">
            <w:pPr>
              <w:pStyle w:val="ColorfulList-Accent11"/>
              <w:ind w:left="0"/>
              <w:jc w:val="both"/>
              <w:cnfStyle w:val="100000000000"/>
              <w:rPr>
                <w:rFonts w:cs="Calibri"/>
              </w:rPr>
            </w:pPr>
            <w:r w:rsidRPr="00027CA6">
              <w:rPr>
                <w:rFonts w:cs="Calibri"/>
              </w:rPr>
              <w:t>Reasons for variance &amp; mitigation factors</w:t>
            </w:r>
          </w:p>
        </w:tc>
      </w:tr>
      <w:tr w:rsidR="001F537C" w:rsidRPr="00027CA6" w:rsidTr="004A3B99">
        <w:trPr>
          <w:cnfStyle w:val="000000100000"/>
          <w:trHeight w:val="1357"/>
        </w:trPr>
        <w:tc>
          <w:tcPr>
            <w:cnfStyle w:val="001000000000"/>
            <w:tcW w:w="2223" w:type="dxa"/>
          </w:tcPr>
          <w:p w:rsidR="001F537C" w:rsidRPr="00027CA6" w:rsidRDefault="001F537C" w:rsidP="003C079E">
            <w:pPr>
              <w:pStyle w:val="ColorfulList-Accent11"/>
              <w:ind w:left="0"/>
              <w:rPr>
                <w:rFonts w:cs="Calibri"/>
                <w:b w:val="0"/>
              </w:rPr>
            </w:pPr>
            <w:r w:rsidRPr="006401BF">
              <w:rPr>
                <w:rFonts w:cs="Calibri"/>
                <w:b w:val="0"/>
              </w:rPr>
              <w:t>Procedural and legal to support Parliament on ISDs related matters.</w:t>
            </w:r>
          </w:p>
        </w:tc>
        <w:tc>
          <w:tcPr>
            <w:tcW w:w="1747" w:type="dxa"/>
            <w:gridSpan w:val="2"/>
          </w:tcPr>
          <w:p w:rsidR="001F537C" w:rsidRPr="00027CA6" w:rsidRDefault="001F537C" w:rsidP="003C079E">
            <w:pPr>
              <w:pStyle w:val="Default"/>
              <w:cnfStyle w:val="000000100000"/>
              <w:rPr>
                <w:rFonts w:ascii="Calibri" w:hAnsi="Calibri" w:cs="Calibri"/>
                <w:sz w:val="22"/>
                <w:szCs w:val="22"/>
              </w:rPr>
            </w:pPr>
            <w:r w:rsidRPr="006401BF">
              <w:rPr>
                <w:rFonts w:ascii="Calibri" w:hAnsi="Calibri" w:cs="Calibri"/>
                <w:sz w:val="22"/>
                <w:szCs w:val="22"/>
              </w:rPr>
              <w:t xml:space="preserve">% of legal and procedural </w:t>
            </w:r>
            <w:r w:rsidR="00BA76A8">
              <w:rPr>
                <w:rFonts w:ascii="Calibri" w:hAnsi="Calibri" w:cs="Calibri"/>
                <w:sz w:val="22"/>
                <w:szCs w:val="22"/>
              </w:rPr>
              <w:t xml:space="preserve">advice </w:t>
            </w:r>
            <w:r w:rsidRPr="006401BF">
              <w:rPr>
                <w:rFonts w:ascii="Calibri" w:hAnsi="Calibri" w:cs="Calibri"/>
                <w:sz w:val="22"/>
                <w:szCs w:val="22"/>
              </w:rPr>
              <w:t>provided within 7 days</w:t>
            </w:r>
          </w:p>
        </w:tc>
        <w:tc>
          <w:tcPr>
            <w:tcW w:w="1701" w:type="dxa"/>
          </w:tcPr>
          <w:p w:rsidR="001F537C" w:rsidRPr="00027CA6" w:rsidRDefault="001F537C" w:rsidP="003C079E">
            <w:pPr>
              <w:pStyle w:val="ColorfulList-Accent11"/>
              <w:ind w:left="0"/>
              <w:cnfStyle w:val="000000100000"/>
              <w:rPr>
                <w:rFonts w:cs="Calibri"/>
              </w:rPr>
            </w:pPr>
            <w:r>
              <w:rPr>
                <w:rFonts w:cs="Calibri"/>
              </w:rPr>
              <w:t>90%</w:t>
            </w:r>
          </w:p>
        </w:tc>
        <w:tc>
          <w:tcPr>
            <w:tcW w:w="1417" w:type="dxa"/>
          </w:tcPr>
          <w:p w:rsidR="001F537C" w:rsidRDefault="008628E7" w:rsidP="003C079E">
            <w:pPr>
              <w:pStyle w:val="ColorfulList-Accent11"/>
              <w:ind w:left="0"/>
              <w:cnfStyle w:val="000000100000"/>
              <w:rPr>
                <w:rFonts w:cs="Calibri"/>
              </w:rPr>
            </w:pPr>
            <w:r>
              <w:rPr>
                <w:rFonts w:cs="Calibri"/>
              </w:rPr>
              <w:t>76,92</w:t>
            </w:r>
            <w:r w:rsidR="008E16DD">
              <w:rPr>
                <w:rFonts w:cs="Calibri"/>
              </w:rPr>
              <w:t>%</w:t>
            </w:r>
          </w:p>
          <w:p w:rsidR="008E16DD" w:rsidRPr="00027CA6" w:rsidRDefault="008628E7" w:rsidP="003C079E">
            <w:pPr>
              <w:pStyle w:val="ColorfulList-Accent11"/>
              <w:ind w:left="0"/>
              <w:cnfStyle w:val="000000100000"/>
              <w:rPr>
                <w:rFonts w:cs="Calibri"/>
              </w:rPr>
            </w:pPr>
            <w:r>
              <w:rPr>
                <w:rFonts w:cs="Calibri"/>
              </w:rPr>
              <w:t>(30 of 39</w:t>
            </w:r>
            <w:r w:rsidR="008E16DD">
              <w:rPr>
                <w:rFonts w:cs="Calibri"/>
              </w:rPr>
              <w:t>)</w:t>
            </w:r>
          </w:p>
        </w:tc>
        <w:tc>
          <w:tcPr>
            <w:tcW w:w="1134" w:type="dxa"/>
          </w:tcPr>
          <w:p w:rsidR="001F537C" w:rsidRPr="00027CA6" w:rsidRDefault="008E16DD" w:rsidP="008628E7">
            <w:pPr>
              <w:pStyle w:val="ColorfulList-Accent11"/>
              <w:ind w:left="0"/>
              <w:cnfStyle w:val="000000100000"/>
              <w:rPr>
                <w:rFonts w:cs="Calibri"/>
              </w:rPr>
            </w:pPr>
            <w:r>
              <w:rPr>
                <w:rFonts w:cs="Calibri"/>
              </w:rPr>
              <w:t>-1</w:t>
            </w:r>
            <w:r w:rsidR="008628E7">
              <w:rPr>
                <w:rFonts w:cs="Calibri"/>
              </w:rPr>
              <w:t>3,08</w:t>
            </w:r>
            <w:r>
              <w:rPr>
                <w:rFonts w:cs="Calibri"/>
              </w:rPr>
              <w:t>%</w:t>
            </w:r>
          </w:p>
        </w:tc>
        <w:tc>
          <w:tcPr>
            <w:tcW w:w="2126" w:type="dxa"/>
          </w:tcPr>
          <w:p w:rsidR="001F537C" w:rsidRPr="00027CA6" w:rsidRDefault="0050653A" w:rsidP="00990A34">
            <w:pPr>
              <w:cnfStyle w:val="000000100000"/>
              <w:rPr>
                <w:rFonts w:ascii="Calibri" w:eastAsia="Calibri" w:hAnsi="Calibri" w:cs="Calibri"/>
              </w:rPr>
            </w:pPr>
            <w:r w:rsidRPr="0050653A">
              <w:rPr>
                <w:rFonts w:ascii="Calibri" w:eastAsia="Calibri" w:hAnsi="Calibri" w:cs="Calibri"/>
              </w:rPr>
              <w:t xml:space="preserve">All reports were produced, however 9 were not done within the </w:t>
            </w:r>
            <w:r w:rsidR="00EC1320" w:rsidRPr="0050653A">
              <w:rPr>
                <w:rFonts w:ascii="Calibri" w:eastAsia="Calibri" w:hAnsi="Calibri" w:cs="Calibri"/>
              </w:rPr>
              <w:t>7-day</w:t>
            </w:r>
            <w:r w:rsidRPr="0050653A">
              <w:rPr>
                <w:rFonts w:ascii="Calibri" w:eastAsia="Calibri" w:hAnsi="Calibri" w:cs="Calibri"/>
              </w:rPr>
              <w:t xml:space="preserve"> timeframe due to the fact that there was a significant increase in work volumes arising from committee activity. Volume increased from 8 to 31 between quar</w:t>
            </w:r>
            <w:r>
              <w:rPr>
                <w:rFonts w:ascii="Calibri" w:eastAsia="Calibri" w:hAnsi="Calibri" w:cs="Calibri"/>
              </w:rPr>
              <w:t>ter 1 and 2 (one legal advisor)</w:t>
            </w:r>
            <w:r w:rsidR="008E16DD" w:rsidRPr="008E16DD">
              <w:rPr>
                <w:rFonts w:ascii="Calibri" w:eastAsia="Calibri" w:hAnsi="Calibri" w:cs="Calibri"/>
              </w:rPr>
              <w:t>.</w:t>
            </w:r>
          </w:p>
        </w:tc>
      </w:tr>
      <w:tr w:rsidR="001F537C" w:rsidRPr="00027CA6" w:rsidTr="004A3B99">
        <w:trPr>
          <w:trHeight w:val="1685"/>
        </w:trPr>
        <w:tc>
          <w:tcPr>
            <w:cnfStyle w:val="001000000000"/>
            <w:tcW w:w="2223" w:type="dxa"/>
          </w:tcPr>
          <w:p w:rsidR="001F537C" w:rsidRPr="00027CA6" w:rsidRDefault="001F537C" w:rsidP="003C079E">
            <w:pPr>
              <w:pStyle w:val="ColorfulList-Accent11"/>
              <w:ind w:left="0"/>
              <w:rPr>
                <w:rFonts w:cs="Calibri"/>
                <w:b w:val="0"/>
              </w:rPr>
            </w:pPr>
            <w:r w:rsidRPr="006401BF">
              <w:rPr>
                <w:rFonts w:cs="Calibri"/>
                <w:b w:val="0"/>
              </w:rPr>
              <w:lastRenderedPageBreak/>
              <w:t>Analytical services (research, content and secretariat support) to support Parliament on ISDs related matters.</w:t>
            </w:r>
          </w:p>
        </w:tc>
        <w:tc>
          <w:tcPr>
            <w:tcW w:w="1747" w:type="dxa"/>
            <w:gridSpan w:val="2"/>
          </w:tcPr>
          <w:p w:rsidR="001F537C" w:rsidRPr="00027CA6" w:rsidRDefault="001F537C" w:rsidP="003C079E">
            <w:pPr>
              <w:pStyle w:val="Default"/>
              <w:cnfStyle w:val="000000000000"/>
              <w:rPr>
                <w:rFonts w:ascii="Calibri" w:hAnsi="Calibri" w:cs="Calibri"/>
                <w:sz w:val="22"/>
                <w:szCs w:val="22"/>
              </w:rPr>
            </w:pPr>
            <w:r w:rsidRPr="006401BF">
              <w:rPr>
                <w:rFonts w:ascii="Calibri" w:hAnsi="Calibri" w:cs="Calibri"/>
                <w:sz w:val="22"/>
                <w:szCs w:val="22"/>
              </w:rPr>
              <w:t>% of analysis reports provided within agreed timeframes</w:t>
            </w:r>
          </w:p>
        </w:tc>
        <w:tc>
          <w:tcPr>
            <w:tcW w:w="1701" w:type="dxa"/>
          </w:tcPr>
          <w:p w:rsidR="001F537C" w:rsidRPr="00027CA6" w:rsidRDefault="001F537C" w:rsidP="003C079E">
            <w:pPr>
              <w:pStyle w:val="ColorfulList-Accent11"/>
              <w:ind w:left="0"/>
              <w:cnfStyle w:val="000000000000"/>
              <w:rPr>
                <w:rFonts w:cs="Calibri"/>
              </w:rPr>
            </w:pPr>
            <w:r>
              <w:rPr>
                <w:rFonts w:cs="Calibri"/>
              </w:rPr>
              <w:t>100%</w:t>
            </w:r>
          </w:p>
        </w:tc>
        <w:tc>
          <w:tcPr>
            <w:tcW w:w="1417" w:type="dxa"/>
          </w:tcPr>
          <w:p w:rsidR="001F537C" w:rsidRDefault="008E16DD" w:rsidP="003C079E">
            <w:pPr>
              <w:pStyle w:val="ColorfulList-Accent11"/>
              <w:ind w:left="0"/>
              <w:cnfStyle w:val="000000000000"/>
              <w:rPr>
                <w:rFonts w:cs="Calibri"/>
              </w:rPr>
            </w:pPr>
            <w:r>
              <w:rPr>
                <w:rFonts w:cs="Calibri"/>
              </w:rPr>
              <w:t>100%</w:t>
            </w:r>
          </w:p>
          <w:p w:rsidR="008E16DD" w:rsidRPr="00027CA6" w:rsidRDefault="00A90AE0" w:rsidP="003C079E">
            <w:pPr>
              <w:pStyle w:val="ColorfulList-Accent11"/>
              <w:ind w:left="0"/>
              <w:cnfStyle w:val="000000000000"/>
              <w:rPr>
                <w:rFonts w:cs="Calibri"/>
              </w:rPr>
            </w:pPr>
            <w:r>
              <w:rPr>
                <w:rFonts w:cs="Calibri"/>
              </w:rPr>
              <w:t>(6 of 6</w:t>
            </w:r>
            <w:r w:rsidR="008E16DD">
              <w:rPr>
                <w:rFonts w:cs="Calibri"/>
              </w:rPr>
              <w:t>)</w:t>
            </w:r>
          </w:p>
        </w:tc>
        <w:tc>
          <w:tcPr>
            <w:tcW w:w="1134" w:type="dxa"/>
          </w:tcPr>
          <w:p w:rsidR="001F537C" w:rsidRPr="00027CA6" w:rsidRDefault="008E16DD" w:rsidP="003C079E">
            <w:pPr>
              <w:pStyle w:val="ColorfulList-Accent11"/>
              <w:ind w:left="0"/>
              <w:cnfStyle w:val="000000000000"/>
              <w:rPr>
                <w:rFonts w:cs="Calibri"/>
              </w:rPr>
            </w:pPr>
            <w:r>
              <w:rPr>
                <w:rFonts w:cs="Calibri"/>
              </w:rPr>
              <w:t>0%</w:t>
            </w:r>
          </w:p>
        </w:tc>
        <w:tc>
          <w:tcPr>
            <w:tcW w:w="2126" w:type="dxa"/>
          </w:tcPr>
          <w:p w:rsidR="001F537C" w:rsidRPr="00027CA6" w:rsidRDefault="001F537C" w:rsidP="003C079E">
            <w:pPr>
              <w:cnfStyle w:val="000000000000"/>
              <w:rPr>
                <w:rFonts w:ascii="Calibri" w:eastAsia="Calibri" w:hAnsi="Calibri" w:cs="Calibri"/>
              </w:rPr>
            </w:pPr>
          </w:p>
        </w:tc>
      </w:tr>
    </w:tbl>
    <w:p w:rsidR="00BA76A8" w:rsidRDefault="00BA76A8" w:rsidP="00DC17D2">
      <w:pPr>
        <w:spacing w:before="120" w:after="200"/>
        <w:rPr>
          <w:rFonts w:ascii="Calibri" w:hAnsi="Calibri" w:cs="Calibri"/>
          <w:b/>
          <w:smallCaps/>
          <w:noProof/>
          <w:sz w:val="24"/>
          <w:szCs w:val="24"/>
        </w:rPr>
      </w:pPr>
      <w:r>
        <w:rPr>
          <w:rFonts w:ascii="Calibri" w:hAnsi="Calibri" w:cs="Calibri"/>
          <w:b/>
          <w:smallCaps/>
          <w:noProof/>
          <w:sz w:val="24"/>
          <w:szCs w:val="24"/>
        </w:rPr>
        <w:t>Performance Trends:</w:t>
      </w:r>
    </w:p>
    <w:p w:rsidR="00BA76A8" w:rsidRPr="00C67A70" w:rsidRDefault="00BA76A8" w:rsidP="00BA76A8">
      <w:r w:rsidRPr="00C67A70">
        <w:t xml:space="preserve">As reported above, the target for the indicator on % legal and procedural </w:t>
      </w:r>
      <w:r w:rsidR="00DC17D2" w:rsidRPr="00C67A70">
        <w:t xml:space="preserve">was missed by 13%. A breakdown of the 39 outputs for this indicator are shown below: </w:t>
      </w:r>
    </w:p>
    <w:p w:rsidR="00DC17D2" w:rsidRPr="00DC17D2" w:rsidRDefault="00DC17D2" w:rsidP="00DC17D2">
      <w:pPr>
        <w:jc w:val="center"/>
        <w:rPr>
          <w:sz w:val="24"/>
          <w:szCs w:val="24"/>
        </w:rPr>
      </w:pPr>
      <w:r w:rsidRPr="003D7576">
        <w:rPr>
          <w:rFonts w:ascii="Arial" w:hAnsi="Arial" w:cs="Arial"/>
          <w:noProof/>
          <w:lang w:eastAsia="en-ZA"/>
        </w:rPr>
        <w:drawing>
          <wp:inline distT="0" distB="0" distL="0" distR="0">
            <wp:extent cx="5976519" cy="154305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DC17D2" w:rsidRPr="00C67A70" w:rsidRDefault="00DC17D2" w:rsidP="00DC17D2">
      <w:pPr>
        <w:jc w:val="both"/>
      </w:pPr>
      <w:r w:rsidRPr="00C67A70">
        <w:t>For the % of analysis reports provided within agreed timeframes, all six (6) outputs were provided within agreed timeframes. As part of the support provided by the OISD to the NA, through the Speaker, issues emanating from the substantive report are highlighted for possible debate in the House. The OISD further ensures timely communication, monitoring and tracking the recommendations contained in reports adopted by the NA to the relevant organs of State, where appropriate for implementation. The graph below reflects reports that have been submitted to Parliament per cluster during mid-year 2020-2021 reporting period:</w:t>
      </w:r>
    </w:p>
    <w:p w:rsidR="002008C7" w:rsidRDefault="002008C7" w:rsidP="00DC17D2">
      <w:pPr>
        <w:jc w:val="both"/>
        <w:rPr>
          <w:sz w:val="24"/>
          <w:szCs w:val="24"/>
        </w:rPr>
      </w:pPr>
      <w:r w:rsidRPr="00C70B29">
        <w:rPr>
          <w:rFonts w:ascii="Arial" w:hAnsi="Arial" w:cs="Arial"/>
          <w:b/>
          <w:noProof/>
          <w:lang w:eastAsia="en-ZA"/>
        </w:rPr>
        <w:drawing>
          <wp:inline distT="0" distB="0" distL="0" distR="0">
            <wp:extent cx="5581650" cy="2655736"/>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439EA" w:rsidRPr="00C67A70" w:rsidRDefault="005439EA" w:rsidP="005439EA">
      <w:r w:rsidRPr="00C67A70">
        <w:t xml:space="preserve">The bulk of the substantive reports were tabled during the past financial year but most of them have not yet been considered by Parliament. Some substantive reports were considered during this period, including the following: </w:t>
      </w:r>
    </w:p>
    <w:p w:rsidR="005439EA" w:rsidRPr="00C67A70" w:rsidRDefault="005439EA" w:rsidP="003B5E3A">
      <w:pPr>
        <w:pStyle w:val="ListParagraph"/>
        <w:numPr>
          <w:ilvl w:val="0"/>
          <w:numId w:val="4"/>
        </w:numPr>
        <w:jc w:val="both"/>
        <w:rPr>
          <w:rFonts w:asciiTheme="minorHAnsi" w:hAnsiTheme="minorHAnsi" w:cstheme="minorHAnsi"/>
          <w:sz w:val="22"/>
          <w:szCs w:val="22"/>
        </w:rPr>
      </w:pPr>
      <w:r w:rsidRPr="00C67A70">
        <w:rPr>
          <w:rFonts w:asciiTheme="minorHAnsi" w:hAnsiTheme="minorHAnsi" w:cstheme="minorHAnsi"/>
          <w:sz w:val="22"/>
          <w:szCs w:val="22"/>
        </w:rPr>
        <w:t xml:space="preserve">On 20 August 2020, the PC on Higher Education, Science and Technology report was adopted in the House on their oversight of the Commission for Gender Equality report on “Gender Transformation in Tertiary Institutions for 2018/2019”. </w:t>
      </w:r>
    </w:p>
    <w:p w:rsidR="005439EA" w:rsidRPr="00C67A70" w:rsidRDefault="005439EA" w:rsidP="003B5E3A">
      <w:pPr>
        <w:pStyle w:val="ListParagraph"/>
        <w:numPr>
          <w:ilvl w:val="0"/>
          <w:numId w:val="4"/>
        </w:numPr>
        <w:jc w:val="both"/>
        <w:rPr>
          <w:rFonts w:asciiTheme="minorHAnsi" w:hAnsiTheme="minorHAnsi" w:cstheme="minorHAnsi"/>
          <w:sz w:val="22"/>
          <w:szCs w:val="22"/>
        </w:rPr>
      </w:pPr>
      <w:r w:rsidRPr="00C67A70">
        <w:rPr>
          <w:rFonts w:asciiTheme="minorHAnsi" w:hAnsiTheme="minorHAnsi" w:cstheme="minorHAnsi"/>
          <w:sz w:val="22"/>
          <w:szCs w:val="22"/>
        </w:rPr>
        <w:t xml:space="preserve">On 4 September 2020, the PC on Transport scrutinized the status of remedial action with respect to the Public Protector’s report on “a systemic investigation into allegations of illegal </w:t>
      </w:r>
      <w:r w:rsidRPr="00C67A70">
        <w:rPr>
          <w:rFonts w:asciiTheme="minorHAnsi" w:hAnsiTheme="minorHAnsi" w:cstheme="minorHAnsi"/>
          <w:sz w:val="22"/>
          <w:szCs w:val="22"/>
        </w:rPr>
        <w:lastRenderedPageBreak/>
        <w:t xml:space="preserve">conversion of goods carrying Toyota Quantum panel vans into passenger carrying mini bus taxis to transport members of the public for reward”. </w:t>
      </w:r>
    </w:p>
    <w:p w:rsidR="005439EA" w:rsidRPr="00C67A70" w:rsidRDefault="005439EA" w:rsidP="003B5E3A">
      <w:pPr>
        <w:pStyle w:val="ListParagraph"/>
        <w:numPr>
          <w:ilvl w:val="0"/>
          <w:numId w:val="4"/>
        </w:numPr>
        <w:jc w:val="both"/>
        <w:rPr>
          <w:rFonts w:asciiTheme="minorHAnsi" w:hAnsiTheme="minorHAnsi" w:cstheme="minorHAnsi"/>
          <w:sz w:val="22"/>
          <w:szCs w:val="22"/>
        </w:rPr>
      </w:pPr>
      <w:r w:rsidRPr="00C67A70">
        <w:rPr>
          <w:rFonts w:asciiTheme="minorHAnsi" w:hAnsiTheme="minorHAnsi" w:cstheme="minorHAnsi"/>
          <w:sz w:val="22"/>
          <w:szCs w:val="22"/>
        </w:rPr>
        <w:t xml:space="preserve">On 4 September 2020, the PC on Justice and Correctional Services, dealt with the Report of the Commission for Gender Equality” Bound by duty to care: Assessing Correctional Service Centres on the health and Welfare Services for Female Offenders – 2018. The CGE to work with the Department of Correctional Services on the recommendations of the report and provide the sub-committee on correctional services with a report within 3 months. (thus being December 2020). </w:t>
      </w:r>
    </w:p>
    <w:p w:rsidR="005439EA" w:rsidRPr="00C67A70" w:rsidRDefault="005439EA" w:rsidP="003B5E3A">
      <w:pPr>
        <w:pStyle w:val="ListParagraph"/>
        <w:numPr>
          <w:ilvl w:val="0"/>
          <w:numId w:val="4"/>
        </w:numPr>
        <w:jc w:val="both"/>
        <w:rPr>
          <w:rFonts w:asciiTheme="minorHAnsi" w:hAnsiTheme="minorHAnsi" w:cstheme="minorHAnsi"/>
          <w:sz w:val="22"/>
          <w:szCs w:val="22"/>
        </w:rPr>
      </w:pPr>
      <w:r w:rsidRPr="00C67A70">
        <w:rPr>
          <w:rFonts w:asciiTheme="minorHAnsi" w:hAnsiTheme="minorHAnsi" w:cstheme="minorHAnsi"/>
          <w:sz w:val="22"/>
          <w:szCs w:val="22"/>
        </w:rPr>
        <w:t>On 4 September 2020, the SC on the Auditor-General was briefed by the Auditor General on the “First Special Report on the Financial Management of Government’s Covid-19 Initiatives”.</w:t>
      </w:r>
    </w:p>
    <w:p w:rsidR="00D73FE3" w:rsidRDefault="00D73FE3" w:rsidP="00401DC8">
      <w:pPr>
        <w:spacing w:after="0"/>
        <w:jc w:val="center"/>
        <w:rPr>
          <w:sz w:val="24"/>
          <w:szCs w:val="24"/>
        </w:rPr>
      </w:pPr>
    </w:p>
    <w:p w:rsidR="00CE7B2D" w:rsidRDefault="00CE7B2D">
      <w:pPr>
        <w:rPr>
          <w:rFonts w:asciiTheme="majorHAnsi" w:eastAsiaTheme="majorEastAsia" w:hAnsiTheme="majorHAnsi" w:cstheme="majorBidi"/>
          <w:b/>
          <w:bCs/>
          <w:color w:val="000000" w:themeColor="text1"/>
          <w:sz w:val="24"/>
          <w:szCs w:val="24"/>
          <w:lang w:val="en-US"/>
        </w:rPr>
      </w:pPr>
      <w:r>
        <w:rPr>
          <w:sz w:val="24"/>
          <w:szCs w:val="24"/>
        </w:rPr>
        <w:br w:type="page"/>
      </w:r>
    </w:p>
    <w:p w:rsidR="009E635B" w:rsidRPr="002648FC" w:rsidRDefault="009E635B" w:rsidP="003B5E3A">
      <w:pPr>
        <w:pStyle w:val="Heading3"/>
        <w:numPr>
          <w:ilvl w:val="0"/>
          <w:numId w:val="7"/>
        </w:numPr>
        <w:rPr>
          <w:sz w:val="24"/>
          <w:szCs w:val="24"/>
        </w:rPr>
      </w:pPr>
      <w:bookmarkStart w:id="25" w:name="_Toc54361048"/>
      <w:r w:rsidRPr="002648FC">
        <w:rPr>
          <w:sz w:val="24"/>
          <w:szCs w:val="24"/>
        </w:rPr>
        <w:lastRenderedPageBreak/>
        <w:t>Programme 2: Administration</w:t>
      </w:r>
      <w:bookmarkEnd w:id="25"/>
    </w:p>
    <w:p w:rsidR="003C42B6" w:rsidRPr="00027CA6" w:rsidRDefault="003C42B6">
      <w:pPr>
        <w:rPr>
          <w:rFonts w:ascii="Calibri" w:hAnsi="Calibri" w:cs="Calibri"/>
          <w:sz w:val="24"/>
          <w:szCs w:val="24"/>
        </w:rPr>
      </w:pPr>
    </w:p>
    <w:p w:rsidR="009E635B" w:rsidRPr="00C67A70" w:rsidRDefault="00FD38E9" w:rsidP="00FD38E9">
      <w:pPr>
        <w:jc w:val="both"/>
        <w:rPr>
          <w:rFonts w:ascii="Calibri" w:hAnsi="Calibri" w:cs="Calibri"/>
        </w:rPr>
      </w:pPr>
      <w:r w:rsidRPr="00C67A70">
        <w:rPr>
          <w:rFonts w:ascii="Calibri" w:hAnsi="Calibri" w:cs="Calibri"/>
        </w:rPr>
        <w:t xml:space="preserve">The purpose of this programme is to </w:t>
      </w:r>
      <w:r w:rsidR="00BF1606" w:rsidRPr="00C67A70">
        <w:rPr>
          <w:rFonts w:ascii="Calibri" w:hAnsi="Calibri" w:cs="Calibri"/>
        </w:rPr>
        <w:t>Provide procedural and legal advice, analysis, information and research, language, content and secretarial and legislative drafting services for meetings of the National Assembly, National Council of Provinces and their committees. Provide public education, information and access to support public participation. Provide analysis, advice, content, protocol and administrative support for parliamentary international engagement.</w:t>
      </w:r>
    </w:p>
    <w:p w:rsidR="00990A34" w:rsidRDefault="00990A34" w:rsidP="00990A34">
      <w:pPr>
        <w:jc w:val="center"/>
        <w:rPr>
          <w:rFonts w:ascii="Calibri" w:hAnsi="Calibri" w:cs="Calibri"/>
          <w:sz w:val="24"/>
          <w:szCs w:val="24"/>
        </w:rPr>
      </w:pPr>
      <w:r>
        <w:rPr>
          <w:noProof/>
          <w:lang w:eastAsia="en-ZA"/>
        </w:rPr>
        <w:drawing>
          <wp:inline distT="0" distB="0" distL="0" distR="0">
            <wp:extent cx="5286375" cy="319087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C42B6" w:rsidRPr="00C67A70" w:rsidRDefault="00CC3B01" w:rsidP="00CC3B01">
      <w:pPr>
        <w:jc w:val="both"/>
        <w:rPr>
          <w:rFonts w:ascii="Calibri" w:hAnsi="Calibri" w:cs="Calibri"/>
        </w:rPr>
      </w:pPr>
      <w:r w:rsidRPr="00C67A70">
        <w:rPr>
          <w:rFonts w:ascii="Calibri" w:hAnsi="Calibri" w:cs="Calibri"/>
        </w:rPr>
        <w:t>The Administration Programme tracks indicators within the Legislative Sector Support (LSS) Programme, including the number of capacity building programmes implemented for Members of Parliament, as well as the number of reports prepared on implementation of Sector Strate</w:t>
      </w:r>
      <w:r w:rsidR="00D27ACD" w:rsidRPr="00C67A70">
        <w:rPr>
          <w:rFonts w:ascii="Calibri" w:hAnsi="Calibri" w:cs="Calibri"/>
        </w:rPr>
        <w:t>gy. For this period, there were 2</w:t>
      </w:r>
      <w:r w:rsidRPr="00C67A70">
        <w:rPr>
          <w:rFonts w:ascii="Calibri" w:hAnsi="Calibri" w:cs="Calibri"/>
        </w:rPr>
        <w:t xml:space="preserve"> report</w:t>
      </w:r>
      <w:r w:rsidR="00D27ACD" w:rsidRPr="00C67A70">
        <w:rPr>
          <w:rFonts w:ascii="Calibri" w:hAnsi="Calibri" w:cs="Calibri"/>
        </w:rPr>
        <w:t>s</w:t>
      </w:r>
      <w:r w:rsidRPr="00C67A70">
        <w:rPr>
          <w:rFonts w:ascii="Calibri" w:hAnsi="Calibri" w:cs="Calibri"/>
        </w:rPr>
        <w:t xml:space="preserve"> planned on the implementat</w:t>
      </w:r>
      <w:r w:rsidR="00765BD8" w:rsidRPr="00C67A70">
        <w:rPr>
          <w:rFonts w:ascii="Calibri" w:hAnsi="Calibri" w:cs="Calibri"/>
        </w:rPr>
        <w:t xml:space="preserve">ion of the sector strategy, </w:t>
      </w:r>
      <w:r w:rsidR="00603902" w:rsidRPr="00C67A70">
        <w:rPr>
          <w:rFonts w:ascii="Calibri" w:hAnsi="Calibri" w:cs="Calibri"/>
        </w:rPr>
        <w:t xml:space="preserve">and 2 of 2 </w:t>
      </w:r>
      <w:r w:rsidR="00765BD8" w:rsidRPr="00C67A70">
        <w:rPr>
          <w:rFonts w:ascii="Calibri" w:hAnsi="Calibri" w:cs="Calibri"/>
        </w:rPr>
        <w:t xml:space="preserve">capacity building programmes </w:t>
      </w:r>
      <w:r w:rsidR="00603902" w:rsidRPr="00C67A70">
        <w:rPr>
          <w:rFonts w:ascii="Calibri" w:hAnsi="Calibri" w:cs="Calibri"/>
        </w:rPr>
        <w:t xml:space="preserve">were </w:t>
      </w:r>
      <w:r w:rsidR="00765BD8" w:rsidRPr="00C67A70">
        <w:rPr>
          <w:rFonts w:ascii="Calibri" w:hAnsi="Calibri" w:cs="Calibri"/>
        </w:rPr>
        <w:t>implemented</w:t>
      </w:r>
      <w:r w:rsidRPr="00C67A70">
        <w:rPr>
          <w:rFonts w:ascii="Calibri" w:hAnsi="Calibri" w:cs="Calibri"/>
        </w:rPr>
        <w:t>.</w:t>
      </w:r>
    </w:p>
    <w:p w:rsidR="000A583E" w:rsidRDefault="000A583E" w:rsidP="00CC3B01">
      <w:pPr>
        <w:jc w:val="both"/>
        <w:rPr>
          <w:rFonts w:ascii="Calibri" w:hAnsi="Calibri" w:cs="Calibri"/>
          <w:sz w:val="24"/>
          <w:szCs w:val="24"/>
        </w:rPr>
      </w:pPr>
    </w:p>
    <w:p w:rsidR="00A0493B" w:rsidRDefault="00A0493B" w:rsidP="00CC3B01">
      <w:pPr>
        <w:jc w:val="both"/>
        <w:rPr>
          <w:rFonts w:ascii="Calibri" w:hAnsi="Calibri" w:cs="Calibri"/>
          <w:sz w:val="24"/>
          <w:szCs w:val="24"/>
        </w:rPr>
      </w:pPr>
    </w:p>
    <w:p w:rsidR="00A0493B" w:rsidRDefault="00A0493B" w:rsidP="00CC3B01">
      <w:pPr>
        <w:jc w:val="both"/>
        <w:rPr>
          <w:rFonts w:ascii="Calibri" w:hAnsi="Calibri" w:cs="Calibri"/>
          <w:sz w:val="24"/>
          <w:szCs w:val="24"/>
        </w:rPr>
      </w:pPr>
    </w:p>
    <w:p w:rsidR="00A0493B" w:rsidRDefault="00A0493B" w:rsidP="00CC3B01">
      <w:pPr>
        <w:jc w:val="both"/>
        <w:rPr>
          <w:rFonts w:ascii="Calibri" w:hAnsi="Calibri" w:cs="Calibri"/>
          <w:sz w:val="24"/>
          <w:szCs w:val="24"/>
        </w:rPr>
      </w:pPr>
    </w:p>
    <w:p w:rsidR="00A0493B" w:rsidRDefault="00A0493B" w:rsidP="00CC3B01">
      <w:pPr>
        <w:jc w:val="both"/>
        <w:rPr>
          <w:rFonts w:ascii="Calibri" w:hAnsi="Calibri" w:cs="Calibri"/>
          <w:sz w:val="24"/>
          <w:szCs w:val="24"/>
        </w:rPr>
      </w:pPr>
    </w:p>
    <w:p w:rsidR="00A0493B" w:rsidRDefault="00A0493B" w:rsidP="00CC3B01">
      <w:pPr>
        <w:jc w:val="both"/>
        <w:rPr>
          <w:rFonts w:ascii="Calibri" w:hAnsi="Calibri" w:cs="Calibri"/>
          <w:sz w:val="24"/>
          <w:szCs w:val="24"/>
        </w:rPr>
      </w:pPr>
    </w:p>
    <w:p w:rsidR="00A0493B" w:rsidRDefault="00A0493B" w:rsidP="00CC3B01">
      <w:pPr>
        <w:jc w:val="both"/>
        <w:rPr>
          <w:rFonts w:ascii="Calibri" w:hAnsi="Calibri" w:cs="Calibri"/>
          <w:sz w:val="24"/>
          <w:szCs w:val="24"/>
        </w:rPr>
      </w:pPr>
    </w:p>
    <w:p w:rsidR="00C67A70" w:rsidRDefault="00C67A70" w:rsidP="00CC3B01">
      <w:pPr>
        <w:jc w:val="both"/>
        <w:rPr>
          <w:rFonts w:ascii="Calibri" w:hAnsi="Calibri" w:cs="Calibri"/>
          <w:sz w:val="24"/>
          <w:szCs w:val="24"/>
        </w:rPr>
      </w:pPr>
    </w:p>
    <w:p w:rsidR="00C67A70" w:rsidRDefault="00C67A70" w:rsidP="00CC3B01">
      <w:pPr>
        <w:jc w:val="both"/>
        <w:rPr>
          <w:rFonts w:ascii="Calibri" w:hAnsi="Calibri" w:cs="Calibri"/>
          <w:sz w:val="24"/>
          <w:szCs w:val="24"/>
        </w:rPr>
      </w:pPr>
    </w:p>
    <w:p w:rsidR="00C67A70" w:rsidRDefault="00C67A70" w:rsidP="00CC3B01">
      <w:pPr>
        <w:jc w:val="both"/>
        <w:rPr>
          <w:rFonts w:ascii="Calibri" w:hAnsi="Calibri" w:cs="Calibri"/>
          <w:sz w:val="24"/>
          <w:szCs w:val="24"/>
        </w:rPr>
      </w:pPr>
    </w:p>
    <w:p w:rsidR="00C67A70" w:rsidRDefault="00C67A70" w:rsidP="00CC3B01">
      <w:pPr>
        <w:jc w:val="both"/>
        <w:rPr>
          <w:rFonts w:ascii="Calibri" w:hAnsi="Calibri" w:cs="Calibri"/>
          <w:sz w:val="24"/>
          <w:szCs w:val="24"/>
        </w:rPr>
      </w:pPr>
    </w:p>
    <w:p w:rsidR="00C67A70" w:rsidRPr="00027CA6" w:rsidRDefault="00C67A70" w:rsidP="00CC3B01">
      <w:pPr>
        <w:jc w:val="both"/>
        <w:rPr>
          <w:rFonts w:ascii="Calibri" w:hAnsi="Calibri" w:cs="Calibri"/>
          <w:sz w:val="24"/>
          <w:szCs w:val="24"/>
        </w:rPr>
      </w:pPr>
    </w:p>
    <w:p w:rsidR="000A583E" w:rsidRPr="0004348E" w:rsidRDefault="000A583E" w:rsidP="003B5E3A">
      <w:pPr>
        <w:pStyle w:val="Heading4"/>
        <w:numPr>
          <w:ilvl w:val="0"/>
          <w:numId w:val="6"/>
        </w:numPr>
        <w:rPr>
          <w:rFonts w:ascii="Calibri" w:hAnsi="Calibri" w:cs="Calibri"/>
          <w:sz w:val="24"/>
          <w:szCs w:val="24"/>
        </w:rPr>
      </w:pPr>
      <w:r w:rsidRPr="0004348E">
        <w:rPr>
          <w:rFonts w:ascii="Calibri" w:hAnsi="Calibri" w:cs="Calibri"/>
          <w:sz w:val="24"/>
          <w:szCs w:val="24"/>
        </w:rPr>
        <w:t>Legislative Sector Support Programme</w:t>
      </w:r>
    </w:p>
    <w:p w:rsidR="000A583E" w:rsidRPr="00C67A70" w:rsidRDefault="000A583E" w:rsidP="000A583E">
      <w:pPr>
        <w:jc w:val="both"/>
        <w:rPr>
          <w:rFonts w:ascii="Calibri" w:hAnsi="Calibri" w:cs="Calibri"/>
        </w:rPr>
      </w:pPr>
      <w:r w:rsidRPr="00C67A70">
        <w:rPr>
          <w:rFonts w:ascii="Calibri" w:hAnsi="Calibri" w:cs="Calibri"/>
        </w:rPr>
        <w:t xml:space="preserve">The objective seeks to improve the present development programmes provided to Members by increasing the usefulness, relevance and accessibility of programmes. The objective will be accomplished through the development and implementation of a Members’ Capacity-Building and Development Strategy to ensure integrated programmes based on the needs of Members. The core of the objective will focus on knowledge management and how knowledge is created and maintained in the organisation. A knowledge management strategy will be developed to drive this element. </w:t>
      </w:r>
    </w:p>
    <w:tbl>
      <w:tblPr>
        <w:tblStyle w:val="GridTable4Accent5"/>
        <w:tblW w:w="10348" w:type="dxa"/>
        <w:tblInd w:w="-147" w:type="dxa"/>
        <w:tblLayout w:type="fixed"/>
        <w:tblLook w:val="04A0"/>
      </w:tblPr>
      <w:tblGrid>
        <w:gridCol w:w="2223"/>
        <w:gridCol w:w="46"/>
        <w:gridCol w:w="1842"/>
        <w:gridCol w:w="1701"/>
        <w:gridCol w:w="1560"/>
        <w:gridCol w:w="1088"/>
        <w:gridCol w:w="1888"/>
      </w:tblGrid>
      <w:tr w:rsidR="00086EFF" w:rsidRPr="002648FC" w:rsidTr="00DF6F0A">
        <w:trPr>
          <w:cnfStyle w:val="100000000000"/>
          <w:trHeight w:val="583"/>
        </w:trPr>
        <w:tc>
          <w:tcPr>
            <w:cnfStyle w:val="001000000000"/>
            <w:tcW w:w="2269" w:type="dxa"/>
            <w:gridSpan w:val="2"/>
          </w:tcPr>
          <w:p w:rsidR="00086EFF" w:rsidRPr="002648FC" w:rsidRDefault="00086EFF" w:rsidP="003C079E">
            <w:pPr>
              <w:pStyle w:val="ColorfulList-Accent11"/>
              <w:ind w:left="0"/>
              <w:rPr>
                <w:rFonts w:cs="Calibri"/>
                <w:bCs w:val="0"/>
              </w:rPr>
            </w:pPr>
            <w:r w:rsidRPr="002648FC">
              <w:rPr>
                <w:rFonts w:cs="Calibri"/>
              </w:rPr>
              <w:t>Parliamentary Service</w:t>
            </w:r>
          </w:p>
        </w:tc>
        <w:tc>
          <w:tcPr>
            <w:tcW w:w="1842" w:type="dxa"/>
          </w:tcPr>
          <w:p w:rsidR="00086EFF" w:rsidRPr="002648FC" w:rsidRDefault="00086EFF" w:rsidP="003C079E">
            <w:pPr>
              <w:pStyle w:val="ColorfulList-Accent11"/>
              <w:ind w:left="0"/>
              <w:cnfStyle w:val="100000000000"/>
              <w:rPr>
                <w:rFonts w:cs="Calibri"/>
              </w:rPr>
            </w:pPr>
            <w:r w:rsidRPr="002648FC">
              <w:rPr>
                <w:rFonts w:cs="Calibri"/>
              </w:rPr>
              <w:t>Indicator</w:t>
            </w:r>
          </w:p>
        </w:tc>
        <w:tc>
          <w:tcPr>
            <w:tcW w:w="1701" w:type="dxa"/>
          </w:tcPr>
          <w:p w:rsidR="00086EFF" w:rsidRPr="002648FC" w:rsidRDefault="00533AC5" w:rsidP="003C079E">
            <w:pPr>
              <w:pStyle w:val="ColorfulList-Accent11"/>
              <w:ind w:left="0"/>
              <w:cnfStyle w:val="100000000000"/>
              <w:rPr>
                <w:rFonts w:cs="Calibri"/>
              </w:rPr>
            </w:pPr>
            <w:r w:rsidRPr="002648FC">
              <w:rPr>
                <w:rFonts w:cs="Calibri"/>
              </w:rPr>
              <w:t>Mid-Year</w:t>
            </w:r>
            <w:r w:rsidR="00086EFF" w:rsidRPr="002648FC">
              <w:rPr>
                <w:rFonts w:cs="Calibri"/>
              </w:rPr>
              <w:t xml:space="preserve"> Target 2020/21</w:t>
            </w:r>
          </w:p>
        </w:tc>
        <w:tc>
          <w:tcPr>
            <w:tcW w:w="1560" w:type="dxa"/>
          </w:tcPr>
          <w:p w:rsidR="00086EFF" w:rsidRPr="002648FC" w:rsidRDefault="00086EFF" w:rsidP="003C079E">
            <w:pPr>
              <w:pStyle w:val="ColorfulList-Accent11"/>
              <w:ind w:left="0"/>
              <w:cnfStyle w:val="100000000000"/>
              <w:rPr>
                <w:rFonts w:cs="Calibri"/>
              </w:rPr>
            </w:pPr>
            <w:r w:rsidRPr="002648FC">
              <w:rPr>
                <w:rFonts w:cs="Calibri"/>
              </w:rPr>
              <w:t>Actual performance</w:t>
            </w:r>
          </w:p>
        </w:tc>
        <w:tc>
          <w:tcPr>
            <w:tcW w:w="1088" w:type="dxa"/>
          </w:tcPr>
          <w:p w:rsidR="00086EFF" w:rsidRPr="002648FC" w:rsidRDefault="00086EFF" w:rsidP="003C079E">
            <w:pPr>
              <w:pStyle w:val="ColorfulList-Accent11"/>
              <w:ind w:left="0"/>
              <w:cnfStyle w:val="100000000000"/>
              <w:rPr>
                <w:rFonts w:cs="Calibri"/>
              </w:rPr>
            </w:pPr>
            <w:r w:rsidRPr="002648FC">
              <w:rPr>
                <w:rFonts w:cs="Calibri"/>
              </w:rPr>
              <w:t>Variance</w:t>
            </w:r>
          </w:p>
        </w:tc>
        <w:tc>
          <w:tcPr>
            <w:tcW w:w="1888" w:type="dxa"/>
          </w:tcPr>
          <w:p w:rsidR="00086EFF" w:rsidRPr="002648FC" w:rsidRDefault="00086EFF" w:rsidP="003C079E">
            <w:pPr>
              <w:pStyle w:val="ColorfulList-Accent11"/>
              <w:ind w:left="0"/>
              <w:jc w:val="both"/>
              <w:cnfStyle w:val="100000000000"/>
              <w:rPr>
                <w:rFonts w:cs="Calibri"/>
              </w:rPr>
            </w:pPr>
            <w:r w:rsidRPr="002648FC">
              <w:rPr>
                <w:rFonts w:cs="Calibri"/>
              </w:rPr>
              <w:t>Reasons for variance &amp; mitigation factors</w:t>
            </w:r>
          </w:p>
        </w:tc>
      </w:tr>
      <w:tr w:rsidR="00086EFF" w:rsidRPr="00027CA6" w:rsidTr="00AF4211">
        <w:trPr>
          <w:cnfStyle w:val="000000100000"/>
          <w:trHeight w:val="508"/>
        </w:trPr>
        <w:tc>
          <w:tcPr>
            <w:cnfStyle w:val="001000000000"/>
            <w:tcW w:w="2223" w:type="dxa"/>
          </w:tcPr>
          <w:p w:rsidR="00086EFF" w:rsidRPr="00027CA6" w:rsidRDefault="001F537C" w:rsidP="003C079E">
            <w:pPr>
              <w:pStyle w:val="ColorfulList-Accent11"/>
              <w:ind w:left="0"/>
              <w:rPr>
                <w:rFonts w:cs="Calibri"/>
                <w:b w:val="0"/>
              </w:rPr>
            </w:pPr>
            <w:r w:rsidRPr="001F537C">
              <w:rPr>
                <w:rFonts w:cs="Calibri"/>
                <w:b w:val="0"/>
              </w:rPr>
              <w:t>Members’ capacity-building programmes</w:t>
            </w:r>
          </w:p>
        </w:tc>
        <w:tc>
          <w:tcPr>
            <w:tcW w:w="1888" w:type="dxa"/>
            <w:gridSpan w:val="2"/>
          </w:tcPr>
          <w:p w:rsidR="00086EFF" w:rsidRPr="00027CA6" w:rsidRDefault="001F537C" w:rsidP="003C079E">
            <w:pPr>
              <w:pStyle w:val="Default"/>
              <w:cnfStyle w:val="000000100000"/>
              <w:rPr>
                <w:rFonts w:ascii="Calibri" w:hAnsi="Calibri" w:cs="Calibri"/>
                <w:sz w:val="22"/>
                <w:szCs w:val="22"/>
              </w:rPr>
            </w:pPr>
            <w:r w:rsidRPr="001F537C">
              <w:rPr>
                <w:rFonts w:ascii="Calibri" w:hAnsi="Calibri" w:cs="Calibri"/>
                <w:sz w:val="22"/>
                <w:szCs w:val="22"/>
              </w:rPr>
              <w:t>% of programmes implemented</w:t>
            </w:r>
          </w:p>
        </w:tc>
        <w:tc>
          <w:tcPr>
            <w:tcW w:w="1701" w:type="dxa"/>
          </w:tcPr>
          <w:p w:rsidR="00086EFF" w:rsidRPr="00027CA6" w:rsidRDefault="001F537C" w:rsidP="003C079E">
            <w:pPr>
              <w:pStyle w:val="ColorfulList-Accent11"/>
              <w:ind w:left="0"/>
              <w:cnfStyle w:val="000000100000"/>
              <w:rPr>
                <w:rFonts w:cs="Calibri"/>
              </w:rPr>
            </w:pPr>
            <w:r>
              <w:rPr>
                <w:rFonts w:cs="Calibri"/>
              </w:rPr>
              <w:t>10</w:t>
            </w:r>
            <w:r w:rsidR="00086EFF">
              <w:rPr>
                <w:rFonts w:cs="Calibri"/>
              </w:rPr>
              <w:t>0%</w:t>
            </w:r>
          </w:p>
        </w:tc>
        <w:tc>
          <w:tcPr>
            <w:tcW w:w="1560" w:type="dxa"/>
          </w:tcPr>
          <w:p w:rsidR="00086EFF" w:rsidRDefault="00C374A3" w:rsidP="003C079E">
            <w:pPr>
              <w:pStyle w:val="ColorfulList-Accent11"/>
              <w:ind w:left="0"/>
              <w:cnfStyle w:val="000000100000"/>
              <w:rPr>
                <w:rFonts w:cs="Calibri"/>
              </w:rPr>
            </w:pPr>
            <w:r>
              <w:rPr>
                <w:rFonts w:cs="Calibri"/>
              </w:rPr>
              <w:t xml:space="preserve">100% </w:t>
            </w:r>
          </w:p>
          <w:p w:rsidR="00C374A3" w:rsidRPr="00027CA6" w:rsidRDefault="00AF4211" w:rsidP="00AF4211">
            <w:pPr>
              <w:pStyle w:val="ColorfulList-Accent11"/>
              <w:ind w:left="0"/>
              <w:cnfStyle w:val="000000100000"/>
              <w:rPr>
                <w:rFonts w:cs="Calibri"/>
              </w:rPr>
            </w:pPr>
            <w:r>
              <w:rPr>
                <w:rFonts w:cs="Calibri"/>
              </w:rPr>
              <w:t>(2)</w:t>
            </w:r>
          </w:p>
        </w:tc>
        <w:tc>
          <w:tcPr>
            <w:tcW w:w="1088" w:type="dxa"/>
          </w:tcPr>
          <w:p w:rsidR="00086EFF" w:rsidRPr="00027CA6" w:rsidRDefault="00C374A3" w:rsidP="003C079E">
            <w:pPr>
              <w:pStyle w:val="ColorfulList-Accent11"/>
              <w:ind w:left="0"/>
              <w:cnfStyle w:val="000000100000"/>
              <w:rPr>
                <w:rFonts w:cs="Calibri"/>
              </w:rPr>
            </w:pPr>
            <w:r>
              <w:rPr>
                <w:rFonts w:cs="Calibri"/>
              </w:rPr>
              <w:t>0</w:t>
            </w:r>
          </w:p>
        </w:tc>
        <w:tc>
          <w:tcPr>
            <w:tcW w:w="1888" w:type="dxa"/>
          </w:tcPr>
          <w:p w:rsidR="00086EFF" w:rsidRPr="00027CA6" w:rsidRDefault="00086EFF" w:rsidP="003C079E">
            <w:pPr>
              <w:cnfStyle w:val="000000100000"/>
              <w:rPr>
                <w:rFonts w:ascii="Calibri" w:eastAsia="Calibri" w:hAnsi="Calibri" w:cs="Calibri"/>
              </w:rPr>
            </w:pPr>
          </w:p>
        </w:tc>
      </w:tr>
      <w:tr w:rsidR="00086EFF" w:rsidRPr="00027CA6" w:rsidTr="00DF6F0A">
        <w:trPr>
          <w:trHeight w:val="1176"/>
        </w:trPr>
        <w:tc>
          <w:tcPr>
            <w:cnfStyle w:val="001000000000"/>
            <w:tcW w:w="2223" w:type="dxa"/>
          </w:tcPr>
          <w:p w:rsidR="00086EFF" w:rsidRPr="00027CA6" w:rsidRDefault="001F537C" w:rsidP="003C079E">
            <w:pPr>
              <w:pStyle w:val="ColorfulList-Accent11"/>
              <w:ind w:left="0"/>
              <w:rPr>
                <w:rFonts w:cs="Calibri"/>
                <w:b w:val="0"/>
              </w:rPr>
            </w:pPr>
            <w:r w:rsidRPr="001F537C">
              <w:rPr>
                <w:rFonts w:cs="Calibri"/>
                <w:b w:val="0"/>
              </w:rPr>
              <w:t>Legislative sector cooperation</w:t>
            </w:r>
          </w:p>
        </w:tc>
        <w:tc>
          <w:tcPr>
            <w:tcW w:w="1888" w:type="dxa"/>
            <w:gridSpan w:val="2"/>
          </w:tcPr>
          <w:p w:rsidR="00086EFF" w:rsidRPr="00027CA6" w:rsidRDefault="001F537C" w:rsidP="003C079E">
            <w:pPr>
              <w:pStyle w:val="Default"/>
              <w:cnfStyle w:val="000000000000"/>
              <w:rPr>
                <w:rFonts w:ascii="Calibri" w:hAnsi="Calibri" w:cs="Calibri"/>
                <w:sz w:val="22"/>
                <w:szCs w:val="22"/>
              </w:rPr>
            </w:pPr>
            <w:r w:rsidRPr="001F537C">
              <w:rPr>
                <w:rFonts w:ascii="Calibri" w:hAnsi="Calibri" w:cs="Calibri"/>
                <w:sz w:val="22"/>
                <w:szCs w:val="22"/>
              </w:rPr>
              <w:t>No of reports prepared on implementation of Sector Strategy</w:t>
            </w:r>
          </w:p>
        </w:tc>
        <w:tc>
          <w:tcPr>
            <w:tcW w:w="1701" w:type="dxa"/>
          </w:tcPr>
          <w:p w:rsidR="00086EFF" w:rsidRPr="00027CA6" w:rsidRDefault="00533AC5" w:rsidP="003C079E">
            <w:pPr>
              <w:pStyle w:val="ColorfulList-Accent11"/>
              <w:ind w:left="0"/>
              <w:cnfStyle w:val="000000000000"/>
              <w:rPr>
                <w:rFonts w:cs="Calibri"/>
              </w:rPr>
            </w:pPr>
            <w:r>
              <w:rPr>
                <w:rFonts w:cs="Calibri"/>
              </w:rPr>
              <w:t>2</w:t>
            </w:r>
          </w:p>
        </w:tc>
        <w:tc>
          <w:tcPr>
            <w:tcW w:w="1560" w:type="dxa"/>
          </w:tcPr>
          <w:p w:rsidR="00086EFF" w:rsidRPr="00027CA6" w:rsidRDefault="00533AC5" w:rsidP="003C079E">
            <w:pPr>
              <w:pStyle w:val="ColorfulList-Accent11"/>
              <w:ind w:left="0"/>
              <w:cnfStyle w:val="000000000000"/>
              <w:rPr>
                <w:rFonts w:cs="Calibri"/>
              </w:rPr>
            </w:pPr>
            <w:r>
              <w:rPr>
                <w:rFonts w:cs="Calibri"/>
              </w:rPr>
              <w:t>2</w:t>
            </w:r>
          </w:p>
        </w:tc>
        <w:tc>
          <w:tcPr>
            <w:tcW w:w="1088" w:type="dxa"/>
          </w:tcPr>
          <w:p w:rsidR="00086EFF" w:rsidRPr="00027CA6" w:rsidRDefault="00C374A3" w:rsidP="003C079E">
            <w:pPr>
              <w:pStyle w:val="ColorfulList-Accent11"/>
              <w:ind w:left="0"/>
              <w:cnfStyle w:val="000000000000"/>
              <w:rPr>
                <w:rFonts w:cs="Calibri"/>
              </w:rPr>
            </w:pPr>
            <w:r>
              <w:rPr>
                <w:rFonts w:cs="Calibri"/>
              </w:rPr>
              <w:t>0</w:t>
            </w:r>
          </w:p>
        </w:tc>
        <w:tc>
          <w:tcPr>
            <w:tcW w:w="1888" w:type="dxa"/>
          </w:tcPr>
          <w:p w:rsidR="00086EFF" w:rsidRPr="00027CA6" w:rsidRDefault="00086EFF" w:rsidP="003C079E">
            <w:pPr>
              <w:cnfStyle w:val="000000000000"/>
              <w:rPr>
                <w:rFonts w:ascii="Calibri" w:eastAsia="Calibri" w:hAnsi="Calibri" w:cs="Calibri"/>
              </w:rPr>
            </w:pPr>
          </w:p>
        </w:tc>
      </w:tr>
    </w:tbl>
    <w:p w:rsidR="00C374A3" w:rsidRDefault="00C374A3" w:rsidP="00AF4211">
      <w:pPr>
        <w:spacing w:after="0"/>
        <w:rPr>
          <w:rFonts w:ascii="Calibri" w:hAnsi="Calibri" w:cs="Calibri"/>
          <w:b/>
          <w:smallCaps/>
          <w:noProof/>
          <w:sz w:val="24"/>
          <w:szCs w:val="24"/>
        </w:rPr>
      </w:pPr>
    </w:p>
    <w:p w:rsidR="00276CE5" w:rsidRDefault="00276CE5" w:rsidP="00AF4211">
      <w:pPr>
        <w:spacing w:after="0"/>
        <w:rPr>
          <w:rFonts w:ascii="Calibri" w:hAnsi="Calibri" w:cs="Calibri"/>
          <w:b/>
          <w:smallCaps/>
          <w:noProof/>
          <w:sz w:val="24"/>
          <w:szCs w:val="24"/>
        </w:rPr>
      </w:pPr>
      <w:r>
        <w:rPr>
          <w:rFonts w:ascii="Calibri" w:hAnsi="Calibri" w:cs="Calibri"/>
          <w:b/>
          <w:smallCaps/>
          <w:noProof/>
          <w:sz w:val="24"/>
          <w:szCs w:val="24"/>
        </w:rPr>
        <w:t>Performance Trends</w:t>
      </w:r>
    </w:p>
    <w:p w:rsidR="004101C7" w:rsidRPr="00C67A70" w:rsidRDefault="00171DC7" w:rsidP="00AF4211">
      <w:pPr>
        <w:spacing w:after="0"/>
        <w:jc w:val="both"/>
      </w:pPr>
      <w:r w:rsidRPr="00C67A70">
        <w:t xml:space="preserve">Implementation of programmes </w:t>
      </w:r>
      <w:r w:rsidR="004101C7" w:rsidRPr="00C67A70">
        <w:t xml:space="preserve">was recorded </w:t>
      </w:r>
      <w:r w:rsidRPr="00C67A70">
        <w:t xml:space="preserve">as an achievement for this period. Two (2) Programmes (Advanced Certificate and Continuing Education Programme) were delivered by </w:t>
      </w:r>
      <w:r w:rsidR="004101C7" w:rsidRPr="00C67A70">
        <w:t>the University</w:t>
      </w:r>
      <w:r w:rsidRPr="00C67A70">
        <w:t xml:space="preserve"> of </w:t>
      </w:r>
      <w:r w:rsidR="004101C7" w:rsidRPr="00C67A70">
        <w:t xml:space="preserve">the </w:t>
      </w:r>
      <w:r w:rsidRPr="00C67A70">
        <w:t xml:space="preserve">Witwatersrand and </w:t>
      </w:r>
      <w:r w:rsidR="004101C7" w:rsidRPr="00C67A70">
        <w:t>the University of Johannesburg</w:t>
      </w:r>
      <w:r w:rsidRPr="00C67A70">
        <w:t xml:space="preserve"> respectively to Members of Parliament and Provincial Legislatures. The Wits Graduate Certificate Orientation sessions were </w:t>
      </w:r>
      <w:r w:rsidR="004101C7" w:rsidRPr="00C67A70">
        <w:t xml:space="preserve">also </w:t>
      </w:r>
      <w:r w:rsidRPr="00C67A70">
        <w:t>conducted</w:t>
      </w:r>
      <w:r w:rsidR="004101C7" w:rsidRPr="00C67A70">
        <w:t xml:space="preserve">. The details were as follows: </w:t>
      </w:r>
    </w:p>
    <w:p w:rsidR="00171DC7" w:rsidRPr="00C67A70" w:rsidRDefault="004101C7" w:rsidP="003B5E3A">
      <w:pPr>
        <w:pStyle w:val="ListParagraph"/>
        <w:numPr>
          <w:ilvl w:val="0"/>
          <w:numId w:val="9"/>
        </w:numPr>
        <w:spacing w:after="0"/>
        <w:jc w:val="both"/>
        <w:rPr>
          <w:rFonts w:asciiTheme="minorHAnsi" w:hAnsiTheme="minorHAnsi" w:cstheme="minorHAnsi"/>
          <w:sz w:val="22"/>
          <w:szCs w:val="22"/>
        </w:rPr>
      </w:pPr>
      <w:r w:rsidRPr="00C67A70">
        <w:rPr>
          <w:rFonts w:asciiTheme="minorHAnsi" w:hAnsiTheme="minorHAnsi" w:cstheme="minorHAnsi"/>
          <w:sz w:val="22"/>
          <w:szCs w:val="22"/>
        </w:rPr>
        <w:t>V</w:t>
      </w:r>
      <w:r w:rsidR="00171DC7" w:rsidRPr="00C67A70">
        <w:rPr>
          <w:rFonts w:asciiTheme="minorHAnsi" w:hAnsiTheme="minorHAnsi" w:cstheme="minorHAnsi"/>
          <w:sz w:val="22"/>
          <w:szCs w:val="22"/>
        </w:rPr>
        <w:t>irtual classes of The Continuing Education Programme (CEP) were delivered by University of Johannesburg to 18 members of Parliament and Provincial Legislatures in July 2020.</w:t>
      </w:r>
    </w:p>
    <w:p w:rsidR="00171DC7" w:rsidRPr="00C67A70" w:rsidRDefault="00171DC7" w:rsidP="003B5E3A">
      <w:pPr>
        <w:pStyle w:val="ListParagraph"/>
        <w:numPr>
          <w:ilvl w:val="0"/>
          <w:numId w:val="9"/>
        </w:numPr>
        <w:spacing w:after="0"/>
        <w:jc w:val="both"/>
        <w:rPr>
          <w:rFonts w:asciiTheme="minorHAnsi" w:hAnsiTheme="minorHAnsi" w:cstheme="minorHAnsi"/>
          <w:sz w:val="22"/>
          <w:szCs w:val="22"/>
        </w:rPr>
      </w:pPr>
      <w:r w:rsidRPr="00C67A70">
        <w:rPr>
          <w:rFonts w:asciiTheme="minorHAnsi" w:hAnsiTheme="minorHAnsi" w:cstheme="minorHAnsi"/>
          <w:sz w:val="22"/>
          <w:szCs w:val="22"/>
        </w:rPr>
        <w:t>Applications for the Graduate certificate in Governanc</w:t>
      </w:r>
      <w:r w:rsidR="004101C7" w:rsidRPr="00C67A70">
        <w:rPr>
          <w:rFonts w:asciiTheme="minorHAnsi" w:hAnsiTheme="minorHAnsi" w:cstheme="minorHAnsi"/>
          <w:sz w:val="22"/>
          <w:szCs w:val="22"/>
        </w:rPr>
        <w:t>e and Leadership were finalised, with</w:t>
      </w:r>
      <w:r w:rsidRPr="00C67A70">
        <w:rPr>
          <w:rFonts w:asciiTheme="minorHAnsi" w:hAnsiTheme="minorHAnsi" w:cstheme="minorHAnsi"/>
          <w:sz w:val="22"/>
          <w:szCs w:val="22"/>
        </w:rPr>
        <w:t xml:space="preserve"> 162 Members </w:t>
      </w:r>
      <w:r w:rsidR="004101C7" w:rsidRPr="00C67A70">
        <w:rPr>
          <w:rFonts w:asciiTheme="minorHAnsi" w:hAnsiTheme="minorHAnsi" w:cstheme="minorHAnsi"/>
          <w:sz w:val="22"/>
          <w:szCs w:val="22"/>
        </w:rPr>
        <w:t>enrolling</w:t>
      </w:r>
      <w:r w:rsidRPr="00C67A70">
        <w:rPr>
          <w:rFonts w:asciiTheme="minorHAnsi" w:hAnsiTheme="minorHAnsi" w:cstheme="minorHAnsi"/>
          <w:sz w:val="22"/>
          <w:szCs w:val="22"/>
        </w:rPr>
        <w:t xml:space="preserve">. </w:t>
      </w:r>
    </w:p>
    <w:p w:rsidR="00171DC7" w:rsidRPr="00C67A70" w:rsidRDefault="00171DC7" w:rsidP="003B5E3A">
      <w:pPr>
        <w:pStyle w:val="ListParagraph"/>
        <w:numPr>
          <w:ilvl w:val="0"/>
          <w:numId w:val="9"/>
        </w:numPr>
        <w:spacing w:after="0"/>
        <w:jc w:val="both"/>
        <w:rPr>
          <w:rFonts w:asciiTheme="minorHAnsi" w:hAnsiTheme="minorHAnsi" w:cstheme="minorHAnsi"/>
          <w:sz w:val="22"/>
          <w:szCs w:val="22"/>
        </w:rPr>
      </w:pPr>
      <w:r w:rsidRPr="00C67A70">
        <w:rPr>
          <w:rFonts w:asciiTheme="minorHAnsi" w:hAnsiTheme="minorHAnsi" w:cstheme="minorHAnsi"/>
          <w:sz w:val="22"/>
          <w:szCs w:val="22"/>
        </w:rPr>
        <w:t xml:space="preserve">A draft </w:t>
      </w:r>
      <w:r w:rsidR="004101C7" w:rsidRPr="00C67A70">
        <w:rPr>
          <w:rFonts w:asciiTheme="minorHAnsi" w:hAnsiTheme="minorHAnsi" w:cstheme="minorHAnsi"/>
          <w:sz w:val="22"/>
          <w:szCs w:val="22"/>
        </w:rPr>
        <w:t xml:space="preserve">capacity building </w:t>
      </w:r>
      <w:r w:rsidRPr="00C67A70">
        <w:rPr>
          <w:rFonts w:asciiTheme="minorHAnsi" w:hAnsiTheme="minorHAnsi" w:cstheme="minorHAnsi"/>
          <w:sz w:val="22"/>
          <w:szCs w:val="22"/>
        </w:rPr>
        <w:t>programme has been developed for implementation in Quarter 3.</w:t>
      </w:r>
    </w:p>
    <w:p w:rsidR="00171DC7" w:rsidRPr="00C67A70" w:rsidRDefault="00171DC7" w:rsidP="003B5E3A">
      <w:pPr>
        <w:pStyle w:val="ListParagraph"/>
        <w:numPr>
          <w:ilvl w:val="0"/>
          <w:numId w:val="9"/>
        </w:numPr>
        <w:spacing w:after="0"/>
        <w:jc w:val="both"/>
        <w:rPr>
          <w:rFonts w:asciiTheme="minorHAnsi" w:hAnsiTheme="minorHAnsi" w:cstheme="minorHAnsi"/>
          <w:sz w:val="22"/>
          <w:szCs w:val="22"/>
        </w:rPr>
      </w:pPr>
      <w:r w:rsidRPr="00C67A70">
        <w:rPr>
          <w:rFonts w:asciiTheme="minorHAnsi" w:hAnsiTheme="minorHAnsi" w:cstheme="minorHAnsi"/>
          <w:sz w:val="22"/>
          <w:szCs w:val="22"/>
        </w:rPr>
        <w:t>In relation to the development of a Training Policy for Sector officials, a draft training policy was developed and Project Governance and Funding Model were established towards the launch of the Parliamentary Institute</w:t>
      </w:r>
      <w:r w:rsidR="004101C7" w:rsidRPr="00C67A70">
        <w:rPr>
          <w:rFonts w:asciiTheme="minorHAnsi" w:hAnsiTheme="minorHAnsi" w:cstheme="minorHAnsi"/>
          <w:sz w:val="22"/>
          <w:szCs w:val="22"/>
        </w:rPr>
        <w:t>.</w:t>
      </w:r>
    </w:p>
    <w:p w:rsidR="00AF4211" w:rsidRDefault="00AF4211" w:rsidP="00AF4211">
      <w:pPr>
        <w:spacing w:after="0"/>
        <w:jc w:val="both"/>
      </w:pPr>
    </w:p>
    <w:p w:rsidR="00171DC7" w:rsidRPr="00C67A70" w:rsidRDefault="00171DC7" w:rsidP="00171DC7">
      <w:pPr>
        <w:jc w:val="both"/>
      </w:pPr>
      <w:r w:rsidRPr="00C67A70">
        <w:t>In relation to the establishment and implementation of the National Bargaining Forum for officials, several meetings were held and Memorandum seeking mandate for salary negotiations was prepared and circulated to SALSA in order to discuss with Executive Authorities.</w:t>
      </w:r>
    </w:p>
    <w:p w:rsidR="00171DC7" w:rsidRPr="00C67A70" w:rsidRDefault="00171DC7" w:rsidP="003B5E3A">
      <w:pPr>
        <w:pStyle w:val="ListParagraph"/>
        <w:numPr>
          <w:ilvl w:val="0"/>
          <w:numId w:val="10"/>
        </w:numPr>
        <w:spacing w:after="0"/>
        <w:jc w:val="both"/>
        <w:rPr>
          <w:rFonts w:asciiTheme="minorHAnsi" w:hAnsiTheme="minorHAnsi" w:cstheme="minorHAnsi"/>
          <w:sz w:val="22"/>
          <w:szCs w:val="22"/>
        </w:rPr>
      </w:pPr>
      <w:r w:rsidRPr="00C67A70">
        <w:rPr>
          <w:rFonts w:asciiTheme="minorHAnsi" w:hAnsiTheme="minorHAnsi" w:cstheme="minorHAnsi"/>
          <w:sz w:val="22"/>
          <w:szCs w:val="22"/>
        </w:rPr>
        <w:t>In relation to evaluation of cap</w:t>
      </w:r>
      <w:r w:rsidR="004101C7" w:rsidRPr="00C67A70">
        <w:rPr>
          <w:rFonts w:asciiTheme="minorHAnsi" w:hAnsiTheme="minorHAnsi" w:cstheme="minorHAnsi"/>
          <w:sz w:val="22"/>
          <w:szCs w:val="22"/>
        </w:rPr>
        <w:t>acity building programmes, a Terms of Reference</w:t>
      </w:r>
      <w:r w:rsidRPr="00C67A70">
        <w:rPr>
          <w:rFonts w:asciiTheme="minorHAnsi" w:hAnsiTheme="minorHAnsi" w:cstheme="minorHAnsi"/>
          <w:sz w:val="22"/>
          <w:szCs w:val="22"/>
        </w:rPr>
        <w:t xml:space="preserve"> for the appointment service provider was developed</w:t>
      </w:r>
    </w:p>
    <w:p w:rsidR="00171DC7" w:rsidRPr="00C67A70" w:rsidRDefault="00171DC7" w:rsidP="003B5E3A">
      <w:pPr>
        <w:pStyle w:val="ListParagraph"/>
        <w:numPr>
          <w:ilvl w:val="0"/>
          <w:numId w:val="10"/>
        </w:numPr>
        <w:spacing w:after="0"/>
        <w:jc w:val="both"/>
        <w:rPr>
          <w:rFonts w:asciiTheme="minorHAnsi" w:hAnsiTheme="minorHAnsi" w:cstheme="minorHAnsi"/>
          <w:sz w:val="22"/>
          <w:szCs w:val="22"/>
        </w:rPr>
      </w:pPr>
      <w:r w:rsidRPr="00C67A70">
        <w:rPr>
          <w:rFonts w:asciiTheme="minorHAnsi" w:hAnsiTheme="minorHAnsi" w:cstheme="minorHAnsi"/>
          <w:sz w:val="22"/>
          <w:szCs w:val="22"/>
        </w:rPr>
        <w:t>In terms of the development and implementation of capacity building programmes for Sect</w:t>
      </w:r>
      <w:r w:rsidR="004101C7" w:rsidRPr="00C67A70">
        <w:rPr>
          <w:rFonts w:asciiTheme="minorHAnsi" w:hAnsiTheme="minorHAnsi" w:cstheme="minorHAnsi"/>
          <w:sz w:val="22"/>
          <w:szCs w:val="22"/>
        </w:rPr>
        <w:t>or officials, a Terms of Reference</w:t>
      </w:r>
      <w:r w:rsidRPr="00C67A70">
        <w:rPr>
          <w:rFonts w:asciiTheme="minorHAnsi" w:hAnsiTheme="minorHAnsi" w:cstheme="minorHAnsi"/>
          <w:sz w:val="22"/>
          <w:szCs w:val="22"/>
        </w:rPr>
        <w:t xml:space="preserve"> for 6 training programmes for officials</w:t>
      </w:r>
    </w:p>
    <w:p w:rsidR="00171DC7" w:rsidRPr="00C67A70" w:rsidRDefault="00171DC7" w:rsidP="003B5E3A">
      <w:pPr>
        <w:pStyle w:val="ListParagraph"/>
        <w:numPr>
          <w:ilvl w:val="0"/>
          <w:numId w:val="10"/>
        </w:numPr>
        <w:spacing w:after="0"/>
        <w:jc w:val="both"/>
        <w:rPr>
          <w:rFonts w:asciiTheme="minorHAnsi" w:hAnsiTheme="minorHAnsi" w:cstheme="minorHAnsi"/>
          <w:sz w:val="22"/>
          <w:szCs w:val="22"/>
        </w:rPr>
      </w:pPr>
      <w:r w:rsidRPr="00C67A70">
        <w:rPr>
          <w:rFonts w:asciiTheme="minorHAnsi" w:hAnsiTheme="minorHAnsi" w:cstheme="minorHAnsi"/>
          <w:sz w:val="22"/>
          <w:szCs w:val="22"/>
        </w:rPr>
        <w:t>In relation to the establishment and implementation of the National Bargaining Forum for officials, two meetings were held by the task team to prepare for salary negotiations and a mandate seeking report developed and submitted to SALSA for approval</w:t>
      </w:r>
    </w:p>
    <w:p w:rsidR="00AF4211" w:rsidRDefault="00AF4211" w:rsidP="00AF4211">
      <w:pPr>
        <w:spacing w:after="0"/>
        <w:jc w:val="both"/>
      </w:pPr>
    </w:p>
    <w:p w:rsidR="00171DC7" w:rsidRDefault="00171DC7" w:rsidP="00171DC7">
      <w:pPr>
        <w:jc w:val="both"/>
      </w:pPr>
      <w:r>
        <w:t xml:space="preserve">At the beginning of the period the LSS coordinated the a few Sector engagements such as the Special Speakers Forum meeting, </w:t>
      </w:r>
      <w:r w:rsidR="000D3CB5">
        <w:t>2</w:t>
      </w:r>
      <w:r>
        <w:t xml:space="preserve"> Task team meetings on Collective Bargaining and </w:t>
      </w:r>
      <w:r w:rsidR="000D3CB5">
        <w:t>2</w:t>
      </w:r>
      <w:r>
        <w:t xml:space="preserve"> Reference Group</w:t>
      </w:r>
      <w:r w:rsidR="000D3CB5">
        <w:t xml:space="preserve"> meetings (Core Business and Governance and Assurance</w:t>
      </w:r>
      <w:r>
        <w:t xml:space="preserve">). </w:t>
      </w:r>
      <w:r w:rsidR="000D3CB5">
        <w:t>V</w:t>
      </w:r>
      <w:r>
        <w:t xml:space="preserve">irtual meetings were </w:t>
      </w:r>
      <w:r w:rsidR="000D3CB5">
        <w:t xml:space="preserve">also </w:t>
      </w:r>
      <w:r>
        <w:t>convened</w:t>
      </w:r>
      <w:r w:rsidR="00AF4211">
        <w:t xml:space="preserve"> as follows</w:t>
      </w:r>
      <w:r>
        <w:t>:</w:t>
      </w:r>
    </w:p>
    <w:p w:rsidR="00171DC7" w:rsidRPr="004101C7" w:rsidRDefault="00171DC7" w:rsidP="003B5E3A">
      <w:pPr>
        <w:pStyle w:val="ListParagraph"/>
        <w:numPr>
          <w:ilvl w:val="0"/>
          <w:numId w:val="10"/>
        </w:numPr>
        <w:spacing w:after="0"/>
        <w:ind w:left="714" w:hanging="357"/>
        <w:jc w:val="both"/>
        <w:rPr>
          <w:rFonts w:asciiTheme="minorHAnsi" w:hAnsiTheme="minorHAnsi" w:cstheme="minorHAnsi"/>
          <w:sz w:val="22"/>
          <w:szCs w:val="22"/>
        </w:rPr>
      </w:pPr>
      <w:r w:rsidRPr="004101C7">
        <w:rPr>
          <w:rFonts w:asciiTheme="minorHAnsi" w:hAnsiTheme="minorHAnsi" w:cstheme="minorHAnsi"/>
          <w:sz w:val="22"/>
          <w:szCs w:val="22"/>
        </w:rPr>
        <w:t xml:space="preserve">SALSA Virtual meetings were held (17, 21, 23 and 25 September); </w:t>
      </w:r>
    </w:p>
    <w:p w:rsidR="00171DC7" w:rsidRPr="004101C7" w:rsidRDefault="00171DC7" w:rsidP="003B5E3A">
      <w:pPr>
        <w:pStyle w:val="ListParagraph"/>
        <w:numPr>
          <w:ilvl w:val="0"/>
          <w:numId w:val="10"/>
        </w:numPr>
        <w:spacing w:after="0"/>
        <w:ind w:left="714" w:hanging="357"/>
        <w:jc w:val="both"/>
        <w:rPr>
          <w:rFonts w:asciiTheme="minorHAnsi" w:hAnsiTheme="minorHAnsi" w:cstheme="minorHAnsi"/>
          <w:sz w:val="22"/>
          <w:szCs w:val="22"/>
        </w:rPr>
      </w:pPr>
      <w:r w:rsidRPr="004101C7">
        <w:rPr>
          <w:rFonts w:asciiTheme="minorHAnsi" w:hAnsiTheme="minorHAnsi" w:cstheme="minorHAnsi"/>
          <w:sz w:val="22"/>
          <w:szCs w:val="22"/>
        </w:rPr>
        <w:t xml:space="preserve">SALSA executive planning meeting held on 29 September; </w:t>
      </w:r>
    </w:p>
    <w:p w:rsidR="00171DC7" w:rsidRPr="004101C7" w:rsidRDefault="00171DC7" w:rsidP="003B5E3A">
      <w:pPr>
        <w:pStyle w:val="ListParagraph"/>
        <w:numPr>
          <w:ilvl w:val="0"/>
          <w:numId w:val="10"/>
        </w:numPr>
        <w:spacing w:after="0"/>
        <w:ind w:left="714" w:hanging="357"/>
        <w:jc w:val="both"/>
        <w:rPr>
          <w:rFonts w:asciiTheme="minorHAnsi" w:hAnsiTheme="minorHAnsi" w:cstheme="minorHAnsi"/>
          <w:sz w:val="22"/>
          <w:szCs w:val="22"/>
        </w:rPr>
      </w:pPr>
      <w:r w:rsidRPr="004101C7">
        <w:rPr>
          <w:rFonts w:asciiTheme="minorHAnsi" w:hAnsiTheme="minorHAnsi" w:cstheme="minorHAnsi"/>
          <w:sz w:val="22"/>
          <w:szCs w:val="22"/>
        </w:rPr>
        <w:lastRenderedPageBreak/>
        <w:t xml:space="preserve">1 Cluster meeting (Core Business); </w:t>
      </w:r>
    </w:p>
    <w:p w:rsidR="00171DC7" w:rsidRPr="004101C7" w:rsidRDefault="00171DC7" w:rsidP="003B5E3A">
      <w:pPr>
        <w:pStyle w:val="ListParagraph"/>
        <w:numPr>
          <w:ilvl w:val="0"/>
          <w:numId w:val="10"/>
        </w:numPr>
        <w:jc w:val="both"/>
        <w:rPr>
          <w:rFonts w:asciiTheme="minorHAnsi" w:hAnsiTheme="minorHAnsi" w:cstheme="minorHAnsi"/>
          <w:sz w:val="22"/>
          <w:szCs w:val="22"/>
        </w:rPr>
      </w:pPr>
      <w:r w:rsidRPr="004101C7">
        <w:rPr>
          <w:rFonts w:asciiTheme="minorHAnsi" w:hAnsiTheme="minorHAnsi" w:cstheme="minorHAnsi"/>
          <w:sz w:val="22"/>
          <w:szCs w:val="22"/>
        </w:rPr>
        <w:t>4 task team meetings (1 law making and 6 for Collective Bargaining)</w:t>
      </w:r>
    </w:p>
    <w:p w:rsidR="00A6464F" w:rsidRPr="004101C7" w:rsidRDefault="00A6464F" w:rsidP="003B5E3A">
      <w:pPr>
        <w:pStyle w:val="Heading3"/>
        <w:numPr>
          <w:ilvl w:val="0"/>
          <w:numId w:val="7"/>
        </w:numPr>
        <w:rPr>
          <w:sz w:val="24"/>
          <w:szCs w:val="24"/>
        </w:rPr>
      </w:pPr>
      <w:bookmarkStart w:id="26" w:name="_Toc54361049"/>
      <w:r w:rsidRPr="004101C7">
        <w:rPr>
          <w:sz w:val="24"/>
          <w:szCs w:val="24"/>
        </w:rPr>
        <w:t>Programme 3: Core Business</w:t>
      </w:r>
      <w:bookmarkEnd w:id="26"/>
    </w:p>
    <w:p w:rsidR="000A583E" w:rsidRPr="00302D03" w:rsidRDefault="000A583E" w:rsidP="000A583E">
      <w:pPr>
        <w:jc w:val="both"/>
        <w:rPr>
          <w:rFonts w:ascii="Calibri" w:hAnsi="Calibri" w:cs="Calibri"/>
        </w:rPr>
      </w:pPr>
    </w:p>
    <w:p w:rsidR="003C079E" w:rsidRPr="00302D03" w:rsidRDefault="008E16DD" w:rsidP="008E16DD">
      <w:pPr>
        <w:jc w:val="both"/>
        <w:rPr>
          <w:rFonts w:ascii="Calibri" w:hAnsi="Calibri" w:cs="Calibri"/>
        </w:rPr>
      </w:pPr>
      <w:r w:rsidRPr="00302D03">
        <w:rPr>
          <w:rFonts w:ascii="Calibri" w:hAnsi="Calibri" w:cs="Calibri"/>
        </w:rPr>
        <w:t>The Core Business Branch is responsible for the implementation of Programme 3 as set out in the Annual Performance Plan (APP). Provide procedural and legal advice, analysis, information and research, language, content and secretarial and legislative drafting services for meetings of the National Assembly, National Council of Provinces and their committees. Provide public education, information and access to support public participation. Provide analysis, advice, content, protocol and administrative support for parliamentary international engagement.</w:t>
      </w:r>
    </w:p>
    <w:p w:rsidR="0050653A" w:rsidRPr="00302D03" w:rsidRDefault="0050653A" w:rsidP="008E16DD">
      <w:pPr>
        <w:jc w:val="both"/>
        <w:rPr>
          <w:rFonts w:ascii="Calibri" w:hAnsi="Calibri" w:cs="Calibri"/>
        </w:rPr>
      </w:pPr>
    </w:p>
    <w:p w:rsidR="0050653A" w:rsidRDefault="0050653A" w:rsidP="00956ED5">
      <w:pPr>
        <w:jc w:val="center"/>
        <w:rPr>
          <w:rFonts w:ascii="Calibri" w:hAnsi="Calibri" w:cs="Calibri"/>
          <w:sz w:val="24"/>
          <w:szCs w:val="24"/>
        </w:rPr>
      </w:pPr>
      <w:r>
        <w:rPr>
          <w:noProof/>
          <w:lang w:eastAsia="en-ZA"/>
        </w:rPr>
        <w:drawing>
          <wp:inline distT="0" distB="0" distL="0" distR="0">
            <wp:extent cx="5878285" cy="3788228"/>
            <wp:effectExtent l="0" t="0" r="8255" b="31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12D4B" w:rsidRDefault="00412D4B" w:rsidP="00412D4B">
      <w:pPr>
        <w:jc w:val="center"/>
        <w:rPr>
          <w:rFonts w:ascii="Calibri" w:hAnsi="Calibri" w:cs="Calibri"/>
          <w:sz w:val="24"/>
          <w:szCs w:val="24"/>
        </w:rPr>
      </w:pPr>
    </w:p>
    <w:p w:rsidR="008E16DD" w:rsidRPr="00302D03" w:rsidRDefault="00644501" w:rsidP="00DC3210">
      <w:pPr>
        <w:spacing w:after="0" w:line="240" w:lineRule="auto"/>
        <w:ind w:right="272"/>
        <w:jc w:val="both"/>
      </w:pPr>
      <w:r w:rsidRPr="00302D03">
        <w:t>Programmes for the N</w:t>
      </w:r>
      <w:r w:rsidR="00C451CB" w:rsidRPr="00302D03">
        <w:t>A</w:t>
      </w:r>
      <w:r w:rsidRPr="00302D03">
        <w:t xml:space="preserve"> and NCOP were adopted as planned. </w:t>
      </w:r>
      <w:r w:rsidR="008E16DD" w:rsidRPr="00302D03">
        <w:t xml:space="preserve">With regards to the performance indicator which seeks to improve the timeliness of advisory and information services and products. The performance indicator consists of 13 sub-indicators, </w:t>
      </w:r>
      <w:r w:rsidR="00001C9E">
        <w:t>of which</w:t>
      </w:r>
      <w:r w:rsidR="007E1A86" w:rsidRPr="00302D03">
        <w:t xml:space="preserve"> nine (9</w:t>
      </w:r>
      <w:r w:rsidR="008E16DD" w:rsidRPr="00302D03">
        <w:t xml:space="preserve">) </w:t>
      </w:r>
      <w:r w:rsidR="007E1A86" w:rsidRPr="00302D03">
        <w:t xml:space="preserve">met their target, </w:t>
      </w:r>
      <w:r w:rsidR="00001C9E">
        <w:t xml:space="preserve">and </w:t>
      </w:r>
      <w:r w:rsidR="007E1A86" w:rsidRPr="00302D03">
        <w:t>four (4</w:t>
      </w:r>
      <w:r w:rsidR="008E16DD" w:rsidRPr="00302D03">
        <w:t>) indicators missed the target – Poli</w:t>
      </w:r>
      <w:r w:rsidR="007E1A86" w:rsidRPr="00302D03">
        <w:t>cy advice missed the target by 3</w:t>
      </w:r>
      <w:r w:rsidR="00BE71AE" w:rsidRPr="00302D03">
        <w:t>%, Hansard by 5</w:t>
      </w:r>
      <w:r w:rsidR="008E16DD" w:rsidRPr="00302D03">
        <w:t>%,</w:t>
      </w:r>
      <w:r w:rsidR="00BE71AE" w:rsidRPr="00302D03">
        <w:t xml:space="preserve">interpretation by less than 1%, </w:t>
      </w:r>
      <w:r w:rsidR="00412868" w:rsidRPr="00302D03">
        <w:t>and</w:t>
      </w:r>
      <w:r w:rsidR="008E16DD" w:rsidRPr="00302D03">
        <w:rPr>
          <w:lang w:val="en-GB"/>
        </w:rPr>
        <w:t xml:space="preserve"> PAIA requests </w:t>
      </w:r>
      <w:r w:rsidR="00BE71AE" w:rsidRPr="00302D03">
        <w:rPr>
          <w:lang w:val="en-GB"/>
        </w:rPr>
        <w:t xml:space="preserve">missed their </w:t>
      </w:r>
      <w:r w:rsidR="00051DFD" w:rsidRPr="00302D03">
        <w:rPr>
          <w:lang w:val="en-GB"/>
        </w:rPr>
        <w:t>target by</w:t>
      </w:r>
      <w:r w:rsidR="00412868" w:rsidRPr="00302D03">
        <w:rPr>
          <w:lang w:val="en-GB"/>
        </w:rPr>
        <w:t xml:space="preserve"> 100% </w:t>
      </w:r>
      <w:r w:rsidR="008E16DD" w:rsidRPr="00302D03">
        <w:rPr>
          <w:lang w:val="en-GB"/>
        </w:rPr>
        <w:t xml:space="preserve">for the reporting period. </w:t>
      </w:r>
      <w:r w:rsidR="008E16DD" w:rsidRPr="00302D03">
        <w:t>The service cha</w:t>
      </w:r>
      <w:r w:rsidR="00E07AAE" w:rsidRPr="00302D03">
        <w:t>rter’s overall performance of 83% missed the target by 10</w:t>
      </w:r>
      <w:r w:rsidR="008E16DD" w:rsidRPr="00302D03">
        <w:t>%.</w:t>
      </w:r>
    </w:p>
    <w:p w:rsidR="008E16DD" w:rsidRPr="00302D03" w:rsidRDefault="008E16DD" w:rsidP="00DC3210">
      <w:pPr>
        <w:spacing w:after="0" w:line="240" w:lineRule="auto"/>
        <w:ind w:right="272"/>
        <w:jc w:val="both"/>
        <w:rPr>
          <w:color w:val="FF0000"/>
        </w:rPr>
      </w:pPr>
    </w:p>
    <w:p w:rsidR="008E16DD" w:rsidRPr="00302D03" w:rsidRDefault="008E16DD" w:rsidP="00DC3210">
      <w:pPr>
        <w:spacing w:after="0" w:line="240" w:lineRule="auto"/>
        <w:ind w:right="272"/>
        <w:jc w:val="both"/>
      </w:pPr>
      <w:r w:rsidRPr="00302D03">
        <w:t>The report provides progress on the surveys to measure public awareness, access and participation in the processes of Parliament.</w:t>
      </w:r>
    </w:p>
    <w:p w:rsidR="00A93C73" w:rsidRPr="00302D03" w:rsidRDefault="00A93C73" w:rsidP="00DC3210">
      <w:pPr>
        <w:spacing w:after="0" w:line="240" w:lineRule="auto"/>
        <w:ind w:right="272"/>
        <w:jc w:val="both"/>
      </w:pPr>
    </w:p>
    <w:p w:rsidR="00A93C73" w:rsidRDefault="00A93C73" w:rsidP="00DC3210">
      <w:pPr>
        <w:spacing w:after="0" w:line="240" w:lineRule="auto"/>
        <w:ind w:right="272"/>
        <w:jc w:val="both"/>
        <w:rPr>
          <w:sz w:val="24"/>
          <w:szCs w:val="24"/>
        </w:rPr>
      </w:pPr>
    </w:p>
    <w:p w:rsidR="00A93C73" w:rsidRDefault="00A93C73" w:rsidP="00DC3210">
      <w:pPr>
        <w:spacing w:after="0" w:line="240" w:lineRule="auto"/>
        <w:ind w:right="272"/>
        <w:jc w:val="both"/>
        <w:rPr>
          <w:sz w:val="24"/>
          <w:szCs w:val="24"/>
        </w:rPr>
      </w:pPr>
    </w:p>
    <w:p w:rsidR="00A93C73" w:rsidRPr="007F648A" w:rsidRDefault="00A93C73" w:rsidP="00DC3210">
      <w:pPr>
        <w:spacing w:after="0" w:line="240" w:lineRule="auto"/>
        <w:ind w:right="272"/>
        <w:jc w:val="both"/>
        <w:rPr>
          <w:sz w:val="24"/>
          <w:szCs w:val="24"/>
        </w:rPr>
      </w:pPr>
    </w:p>
    <w:p w:rsidR="003C42B6" w:rsidRDefault="003C42B6">
      <w:pPr>
        <w:rPr>
          <w:rFonts w:ascii="Calibri" w:hAnsi="Calibri" w:cs="Calibri"/>
          <w:sz w:val="24"/>
          <w:szCs w:val="24"/>
        </w:rPr>
      </w:pPr>
    </w:p>
    <w:p w:rsidR="00176D84" w:rsidRDefault="00176D84">
      <w:pPr>
        <w:rPr>
          <w:rFonts w:ascii="Calibri" w:hAnsi="Calibri" w:cs="Calibri"/>
          <w:sz w:val="24"/>
          <w:szCs w:val="24"/>
        </w:rPr>
      </w:pPr>
    </w:p>
    <w:p w:rsidR="003C079E" w:rsidRPr="003C079E" w:rsidRDefault="003C079E" w:rsidP="003B5E3A">
      <w:pPr>
        <w:pStyle w:val="Heading4"/>
        <w:numPr>
          <w:ilvl w:val="0"/>
          <w:numId w:val="6"/>
        </w:numPr>
      </w:pPr>
      <w:r w:rsidRPr="003C079E">
        <w:t>The Programme of Parliament</w:t>
      </w:r>
    </w:p>
    <w:p w:rsidR="0004348E" w:rsidRPr="00176D84" w:rsidRDefault="0004348E" w:rsidP="00757409">
      <w:pPr>
        <w:jc w:val="both"/>
        <w:rPr>
          <w:rFonts w:ascii="Calibri" w:hAnsi="Calibri" w:cs="Calibri"/>
        </w:rPr>
      </w:pPr>
    </w:p>
    <w:p w:rsidR="003C079E" w:rsidRPr="00176D84" w:rsidRDefault="003C079E" w:rsidP="00757409">
      <w:pPr>
        <w:jc w:val="both"/>
        <w:rPr>
          <w:rFonts w:ascii="Calibri" w:hAnsi="Calibri" w:cs="Calibri"/>
        </w:rPr>
      </w:pPr>
      <w:r w:rsidRPr="00176D84">
        <w:rPr>
          <w:rFonts w:ascii="Calibri" w:hAnsi="Calibri" w:cs="Calibri"/>
        </w:rPr>
        <w:t xml:space="preserve">A key input towards the strengthening of committee oversight include adequate time for committees to conduct oversight. Committees will require more dedicated time in the form of committee weeks. For this change to occur, the Parliamentary Service must prepare a programming framework based on the statutory and strategic requirements, the direction provided by the Executive Authority, and that of the Programming Committees.The new programming framework will be implemented over time, with a gradual shift towards dedicated constituency, committee and plenary weeks. The new framework will also need to schedule joint committee and joint inter-sectoral work. In addition, the Parliamentary Service must prepare a draft Oversight Plan, based on the inputs of Officer Bearers and key stakeholders, to direct the oversight work of Parliament. </w:t>
      </w:r>
    </w:p>
    <w:p w:rsidR="003C079E" w:rsidRPr="00176D84" w:rsidRDefault="003C079E" w:rsidP="003C079E">
      <w:pPr>
        <w:rPr>
          <w:rFonts w:ascii="Calibri" w:hAnsi="Calibri" w:cs="Calibri"/>
        </w:rPr>
      </w:pPr>
    </w:p>
    <w:tbl>
      <w:tblPr>
        <w:tblStyle w:val="GridTable4Accent5"/>
        <w:tblW w:w="10348" w:type="dxa"/>
        <w:tblInd w:w="-147" w:type="dxa"/>
        <w:tblLayout w:type="fixed"/>
        <w:tblLook w:val="04A0"/>
      </w:tblPr>
      <w:tblGrid>
        <w:gridCol w:w="2223"/>
        <w:gridCol w:w="46"/>
        <w:gridCol w:w="1938"/>
        <w:gridCol w:w="1701"/>
        <w:gridCol w:w="1418"/>
        <w:gridCol w:w="1134"/>
        <w:gridCol w:w="1888"/>
      </w:tblGrid>
      <w:tr w:rsidR="003C079E" w:rsidRPr="00027CA6" w:rsidTr="003C079E">
        <w:trPr>
          <w:cnfStyle w:val="100000000000"/>
          <w:trHeight w:val="583"/>
        </w:trPr>
        <w:tc>
          <w:tcPr>
            <w:cnfStyle w:val="001000000000"/>
            <w:tcW w:w="2269" w:type="dxa"/>
            <w:gridSpan w:val="2"/>
          </w:tcPr>
          <w:p w:rsidR="003C079E" w:rsidRPr="00027CA6" w:rsidRDefault="003C079E" w:rsidP="003C079E">
            <w:pPr>
              <w:pStyle w:val="ColorfulList-Accent11"/>
              <w:ind w:left="0"/>
              <w:rPr>
                <w:rFonts w:cs="Calibri"/>
                <w:bCs w:val="0"/>
              </w:rPr>
            </w:pPr>
            <w:r>
              <w:rPr>
                <w:rFonts w:cs="Calibri"/>
                <w:b w:val="0"/>
              </w:rPr>
              <w:t>Parliamentary Service</w:t>
            </w:r>
          </w:p>
        </w:tc>
        <w:tc>
          <w:tcPr>
            <w:tcW w:w="1938" w:type="dxa"/>
          </w:tcPr>
          <w:p w:rsidR="003C079E" w:rsidRPr="00027CA6" w:rsidRDefault="003C079E" w:rsidP="003C079E">
            <w:pPr>
              <w:pStyle w:val="ColorfulList-Accent11"/>
              <w:ind w:left="0"/>
              <w:cnfStyle w:val="100000000000"/>
              <w:rPr>
                <w:rFonts w:cs="Calibri"/>
                <w:b w:val="0"/>
              </w:rPr>
            </w:pPr>
            <w:r>
              <w:rPr>
                <w:rFonts w:cs="Calibri"/>
                <w:b w:val="0"/>
              </w:rPr>
              <w:t>Indicator</w:t>
            </w:r>
          </w:p>
        </w:tc>
        <w:tc>
          <w:tcPr>
            <w:tcW w:w="1701" w:type="dxa"/>
          </w:tcPr>
          <w:p w:rsidR="009842E4" w:rsidRDefault="009842E4" w:rsidP="003C079E">
            <w:pPr>
              <w:pStyle w:val="ColorfulList-Accent11"/>
              <w:ind w:left="0"/>
              <w:cnfStyle w:val="100000000000"/>
              <w:rPr>
                <w:rFonts w:cs="Calibri"/>
              </w:rPr>
            </w:pPr>
            <w:r>
              <w:rPr>
                <w:rFonts w:cs="Calibri"/>
              </w:rPr>
              <w:t>Mid-Year</w:t>
            </w:r>
          </w:p>
          <w:p w:rsidR="003C079E" w:rsidRPr="00027CA6" w:rsidRDefault="003C079E" w:rsidP="003C079E">
            <w:pPr>
              <w:pStyle w:val="ColorfulList-Accent11"/>
              <w:ind w:left="0"/>
              <w:cnfStyle w:val="100000000000"/>
              <w:rPr>
                <w:rFonts w:cs="Calibri"/>
              </w:rPr>
            </w:pPr>
            <w:r w:rsidRPr="00027CA6">
              <w:rPr>
                <w:rFonts w:cs="Calibri"/>
              </w:rPr>
              <w:t>Target</w:t>
            </w:r>
            <w:r>
              <w:rPr>
                <w:rFonts w:cs="Calibri"/>
              </w:rPr>
              <w:t xml:space="preserve"> 2020/21</w:t>
            </w:r>
          </w:p>
        </w:tc>
        <w:tc>
          <w:tcPr>
            <w:tcW w:w="1418" w:type="dxa"/>
          </w:tcPr>
          <w:p w:rsidR="003C079E" w:rsidRPr="00027CA6" w:rsidRDefault="003C079E" w:rsidP="003C079E">
            <w:pPr>
              <w:pStyle w:val="ColorfulList-Accent11"/>
              <w:ind w:left="0"/>
              <w:cnfStyle w:val="100000000000"/>
              <w:rPr>
                <w:rFonts w:cs="Calibri"/>
              </w:rPr>
            </w:pPr>
            <w:r w:rsidRPr="00027CA6">
              <w:rPr>
                <w:rFonts w:cs="Calibri"/>
              </w:rPr>
              <w:t>Actual performance</w:t>
            </w:r>
          </w:p>
        </w:tc>
        <w:tc>
          <w:tcPr>
            <w:tcW w:w="1134" w:type="dxa"/>
          </w:tcPr>
          <w:p w:rsidR="003C079E" w:rsidRPr="00027CA6" w:rsidRDefault="003C079E" w:rsidP="003C079E">
            <w:pPr>
              <w:pStyle w:val="ColorfulList-Accent11"/>
              <w:ind w:left="0"/>
              <w:cnfStyle w:val="100000000000"/>
              <w:rPr>
                <w:rFonts w:cs="Calibri"/>
              </w:rPr>
            </w:pPr>
            <w:r w:rsidRPr="00027CA6">
              <w:rPr>
                <w:rFonts w:cs="Calibri"/>
              </w:rPr>
              <w:t>Variance</w:t>
            </w:r>
          </w:p>
        </w:tc>
        <w:tc>
          <w:tcPr>
            <w:tcW w:w="1888" w:type="dxa"/>
          </w:tcPr>
          <w:p w:rsidR="003C079E" w:rsidRPr="00027CA6" w:rsidRDefault="003C079E" w:rsidP="003C079E">
            <w:pPr>
              <w:pStyle w:val="ColorfulList-Accent11"/>
              <w:ind w:left="0"/>
              <w:jc w:val="both"/>
              <w:cnfStyle w:val="100000000000"/>
              <w:rPr>
                <w:rFonts w:cs="Calibri"/>
              </w:rPr>
            </w:pPr>
            <w:r w:rsidRPr="00027CA6">
              <w:rPr>
                <w:rFonts w:cs="Calibri"/>
              </w:rPr>
              <w:t>Reasons for variance &amp; mitigation factors</w:t>
            </w:r>
          </w:p>
        </w:tc>
      </w:tr>
      <w:tr w:rsidR="003C079E" w:rsidRPr="00027CA6" w:rsidTr="00266F70">
        <w:trPr>
          <w:cnfStyle w:val="000000100000"/>
          <w:trHeight w:val="1175"/>
        </w:trPr>
        <w:tc>
          <w:tcPr>
            <w:cnfStyle w:val="001000000000"/>
            <w:tcW w:w="2223" w:type="dxa"/>
          </w:tcPr>
          <w:p w:rsidR="003C079E" w:rsidRPr="00027CA6" w:rsidRDefault="003C079E" w:rsidP="003C079E">
            <w:pPr>
              <w:pStyle w:val="ColorfulList-Accent11"/>
              <w:ind w:left="0"/>
              <w:rPr>
                <w:rFonts w:cs="Calibri"/>
                <w:b w:val="0"/>
              </w:rPr>
            </w:pPr>
            <w:r w:rsidRPr="003C079E">
              <w:rPr>
                <w:rFonts w:cs="Calibri"/>
                <w:b w:val="0"/>
              </w:rPr>
              <w:t>Joint parliamentary programming</w:t>
            </w:r>
          </w:p>
        </w:tc>
        <w:tc>
          <w:tcPr>
            <w:tcW w:w="1984" w:type="dxa"/>
            <w:gridSpan w:val="2"/>
          </w:tcPr>
          <w:p w:rsidR="003C079E" w:rsidRPr="00027CA6" w:rsidRDefault="003C079E" w:rsidP="003C079E">
            <w:pPr>
              <w:pStyle w:val="Default"/>
              <w:cnfStyle w:val="000000100000"/>
              <w:rPr>
                <w:rFonts w:ascii="Calibri" w:hAnsi="Calibri" w:cs="Calibri"/>
                <w:sz w:val="22"/>
                <w:szCs w:val="22"/>
              </w:rPr>
            </w:pPr>
            <w:r w:rsidRPr="003C079E">
              <w:rPr>
                <w:rFonts w:ascii="Calibri" w:hAnsi="Calibri" w:cs="Calibri"/>
                <w:sz w:val="22"/>
                <w:szCs w:val="22"/>
              </w:rPr>
              <w:t>Number of annual parliamentary frameworks adopted</w:t>
            </w:r>
          </w:p>
        </w:tc>
        <w:tc>
          <w:tcPr>
            <w:tcW w:w="1701" w:type="dxa"/>
          </w:tcPr>
          <w:p w:rsidR="003C079E" w:rsidRDefault="003C079E" w:rsidP="003C079E">
            <w:pPr>
              <w:pStyle w:val="ColorfulList-Accent11"/>
              <w:ind w:left="0"/>
              <w:cnfStyle w:val="000000100000"/>
              <w:rPr>
                <w:rFonts w:cs="Calibri"/>
              </w:rPr>
            </w:pPr>
          </w:p>
          <w:p w:rsidR="00383B8D" w:rsidRDefault="00383B8D" w:rsidP="003C079E">
            <w:pPr>
              <w:pStyle w:val="ColorfulList-Accent11"/>
              <w:ind w:left="0"/>
              <w:cnfStyle w:val="000000100000"/>
              <w:rPr>
                <w:rFonts w:cs="Calibri"/>
              </w:rPr>
            </w:pPr>
            <w:r>
              <w:rPr>
                <w:rFonts w:cs="Calibri"/>
              </w:rPr>
              <w:t>Quarter 3 Target:</w:t>
            </w:r>
          </w:p>
          <w:p w:rsidR="00383B8D" w:rsidRPr="00027CA6" w:rsidRDefault="00383B8D" w:rsidP="003C079E">
            <w:pPr>
              <w:pStyle w:val="ColorfulList-Accent11"/>
              <w:ind w:left="0"/>
              <w:cnfStyle w:val="000000100000"/>
              <w:rPr>
                <w:rFonts w:cs="Calibri"/>
              </w:rPr>
            </w:pPr>
            <w:r>
              <w:rPr>
                <w:rFonts w:cs="Calibri"/>
              </w:rPr>
              <w:t>1</w:t>
            </w:r>
          </w:p>
        </w:tc>
        <w:tc>
          <w:tcPr>
            <w:tcW w:w="1418" w:type="dxa"/>
          </w:tcPr>
          <w:p w:rsidR="003C079E" w:rsidRPr="00027CA6" w:rsidRDefault="00266F70" w:rsidP="003C079E">
            <w:pPr>
              <w:pStyle w:val="ColorfulList-Accent11"/>
              <w:ind w:left="0"/>
              <w:cnfStyle w:val="000000100000"/>
              <w:rPr>
                <w:rFonts w:cs="Calibri"/>
              </w:rPr>
            </w:pPr>
            <w:r>
              <w:rPr>
                <w:rFonts w:cs="Calibri"/>
              </w:rPr>
              <w:t>N/A</w:t>
            </w:r>
          </w:p>
        </w:tc>
        <w:tc>
          <w:tcPr>
            <w:tcW w:w="1134" w:type="dxa"/>
          </w:tcPr>
          <w:p w:rsidR="003C079E" w:rsidRPr="00027CA6" w:rsidRDefault="003C079E" w:rsidP="003C079E">
            <w:pPr>
              <w:pStyle w:val="ColorfulList-Accent11"/>
              <w:ind w:left="0"/>
              <w:cnfStyle w:val="000000100000"/>
              <w:rPr>
                <w:rFonts w:cs="Calibri"/>
              </w:rPr>
            </w:pPr>
          </w:p>
        </w:tc>
        <w:tc>
          <w:tcPr>
            <w:tcW w:w="1888" w:type="dxa"/>
          </w:tcPr>
          <w:p w:rsidR="003C079E" w:rsidRPr="00027CA6" w:rsidRDefault="003C079E" w:rsidP="003C079E">
            <w:pPr>
              <w:cnfStyle w:val="000000100000"/>
              <w:rPr>
                <w:rFonts w:ascii="Calibri" w:eastAsia="Calibri" w:hAnsi="Calibri" w:cs="Calibri"/>
              </w:rPr>
            </w:pPr>
          </w:p>
        </w:tc>
      </w:tr>
      <w:tr w:rsidR="003C079E" w:rsidRPr="00027CA6" w:rsidTr="00266F70">
        <w:trPr>
          <w:trHeight w:val="926"/>
        </w:trPr>
        <w:tc>
          <w:tcPr>
            <w:cnfStyle w:val="001000000000"/>
            <w:tcW w:w="2223" w:type="dxa"/>
          </w:tcPr>
          <w:p w:rsidR="003C079E" w:rsidRPr="003C079E" w:rsidRDefault="003C079E" w:rsidP="003C079E">
            <w:pPr>
              <w:pStyle w:val="ColorfulList-Accent11"/>
              <w:ind w:left="0"/>
              <w:rPr>
                <w:rFonts w:cs="Calibri"/>
                <w:b w:val="0"/>
              </w:rPr>
            </w:pPr>
            <w:r w:rsidRPr="003C079E">
              <w:rPr>
                <w:rFonts w:cs="Calibri"/>
                <w:b w:val="0"/>
              </w:rPr>
              <w:t>National Assembly</w:t>
            </w:r>
          </w:p>
          <w:p w:rsidR="003C079E" w:rsidRPr="00027CA6" w:rsidRDefault="003C079E" w:rsidP="003C079E">
            <w:pPr>
              <w:pStyle w:val="ColorfulList-Accent11"/>
              <w:ind w:left="0"/>
              <w:rPr>
                <w:rFonts w:cs="Calibri"/>
                <w:b w:val="0"/>
              </w:rPr>
            </w:pPr>
            <w:r w:rsidRPr="003C079E">
              <w:rPr>
                <w:rFonts w:cs="Calibri"/>
                <w:b w:val="0"/>
              </w:rPr>
              <w:t>programming</w:t>
            </w:r>
          </w:p>
        </w:tc>
        <w:tc>
          <w:tcPr>
            <w:tcW w:w="1984" w:type="dxa"/>
            <w:gridSpan w:val="2"/>
          </w:tcPr>
          <w:p w:rsidR="003C079E" w:rsidRPr="00027CA6" w:rsidRDefault="003C079E" w:rsidP="003C079E">
            <w:pPr>
              <w:pStyle w:val="Default"/>
              <w:cnfStyle w:val="000000000000"/>
              <w:rPr>
                <w:rFonts w:ascii="Calibri" w:hAnsi="Calibri" w:cs="Calibri"/>
                <w:sz w:val="22"/>
                <w:szCs w:val="22"/>
              </w:rPr>
            </w:pPr>
            <w:r w:rsidRPr="003C079E">
              <w:rPr>
                <w:rFonts w:ascii="Calibri" w:hAnsi="Calibri" w:cs="Calibri"/>
                <w:sz w:val="22"/>
                <w:szCs w:val="22"/>
              </w:rPr>
              <w:t>Number of NA programmes adopted</w:t>
            </w:r>
          </w:p>
        </w:tc>
        <w:tc>
          <w:tcPr>
            <w:tcW w:w="1701" w:type="dxa"/>
          </w:tcPr>
          <w:p w:rsidR="003C079E" w:rsidRPr="00027CA6" w:rsidRDefault="009842E4" w:rsidP="003C079E">
            <w:pPr>
              <w:pStyle w:val="ColorfulList-Accent11"/>
              <w:ind w:left="0"/>
              <w:cnfStyle w:val="000000000000"/>
              <w:rPr>
                <w:rFonts w:cs="Calibri"/>
              </w:rPr>
            </w:pPr>
            <w:r>
              <w:rPr>
                <w:rFonts w:cs="Calibri"/>
              </w:rPr>
              <w:t>2</w:t>
            </w:r>
          </w:p>
        </w:tc>
        <w:tc>
          <w:tcPr>
            <w:tcW w:w="1418" w:type="dxa"/>
          </w:tcPr>
          <w:p w:rsidR="003C079E" w:rsidRPr="00027CA6" w:rsidRDefault="009842E4" w:rsidP="003C079E">
            <w:pPr>
              <w:pStyle w:val="ColorfulList-Accent11"/>
              <w:ind w:left="0"/>
              <w:cnfStyle w:val="000000000000"/>
              <w:rPr>
                <w:rFonts w:cs="Calibri"/>
              </w:rPr>
            </w:pPr>
            <w:r>
              <w:rPr>
                <w:rFonts w:cs="Calibri"/>
              </w:rPr>
              <w:t>2</w:t>
            </w:r>
          </w:p>
        </w:tc>
        <w:tc>
          <w:tcPr>
            <w:tcW w:w="1134" w:type="dxa"/>
          </w:tcPr>
          <w:p w:rsidR="003C079E" w:rsidRPr="00027CA6" w:rsidRDefault="00266F70" w:rsidP="003C079E">
            <w:pPr>
              <w:pStyle w:val="ColorfulList-Accent11"/>
              <w:ind w:left="0"/>
              <w:cnfStyle w:val="000000000000"/>
              <w:rPr>
                <w:rFonts w:cs="Calibri"/>
              </w:rPr>
            </w:pPr>
            <w:r>
              <w:rPr>
                <w:rFonts w:cs="Calibri"/>
              </w:rPr>
              <w:t>0</w:t>
            </w:r>
          </w:p>
        </w:tc>
        <w:tc>
          <w:tcPr>
            <w:tcW w:w="1888" w:type="dxa"/>
          </w:tcPr>
          <w:p w:rsidR="003C079E" w:rsidRPr="00027CA6" w:rsidRDefault="003C079E" w:rsidP="003C079E">
            <w:pPr>
              <w:cnfStyle w:val="000000000000"/>
              <w:rPr>
                <w:rFonts w:ascii="Calibri" w:eastAsia="Calibri" w:hAnsi="Calibri" w:cs="Calibri"/>
              </w:rPr>
            </w:pPr>
          </w:p>
        </w:tc>
      </w:tr>
      <w:tr w:rsidR="003C079E" w:rsidRPr="00027CA6" w:rsidTr="00266F70">
        <w:trPr>
          <w:cnfStyle w:val="000000100000"/>
          <w:trHeight w:val="982"/>
        </w:trPr>
        <w:tc>
          <w:tcPr>
            <w:cnfStyle w:val="001000000000"/>
            <w:tcW w:w="2223" w:type="dxa"/>
          </w:tcPr>
          <w:p w:rsidR="003C079E" w:rsidRPr="003C079E" w:rsidRDefault="003C079E" w:rsidP="003C079E">
            <w:pPr>
              <w:pStyle w:val="ColorfulList-Accent11"/>
              <w:ind w:left="0"/>
              <w:rPr>
                <w:rFonts w:cs="Calibri"/>
                <w:b w:val="0"/>
              </w:rPr>
            </w:pPr>
            <w:r w:rsidRPr="003C079E">
              <w:rPr>
                <w:rFonts w:cs="Calibri"/>
                <w:b w:val="0"/>
              </w:rPr>
              <w:t>National Council of Provinces programming</w:t>
            </w:r>
          </w:p>
        </w:tc>
        <w:tc>
          <w:tcPr>
            <w:tcW w:w="1984" w:type="dxa"/>
            <w:gridSpan w:val="2"/>
          </w:tcPr>
          <w:p w:rsidR="003C079E" w:rsidRPr="001F537C" w:rsidRDefault="003C079E" w:rsidP="003C079E">
            <w:pPr>
              <w:pStyle w:val="Default"/>
              <w:cnfStyle w:val="000000100000"/>
              <w:rPr>
                <w:rFonts w:ascii="Calibri" w:hAnsi="Calibri" w:cs="Calibri"/>
                <w:sz w:val="22"/>
                <w:szCs w:val="22"/>
              </w:rPr>
            </w:pPr>
            <w:r w:rsidRPr="003C079E">
              <w:rPr>
                <w:rFonts w:ascii="Calibri" w:hAnsi="Calibri" w:cs="Calibri"/>
                <w:sz w:val="22"/>
                <w:szCs w:val="22"/>
              </w:rPr>
              <w:t>Number of NCOP programmes adopted</w:t>
            </w:r>
          </w:p>
        </w:tc>
        <w:tc>
          <w:tcPr>
            <w:tcW w:w="1701" w:type="dxa"/>
          </w:tcPr>
          <w:p w:rsidR="003C079E" w:rsidRDefault="009842E4" w:rsidP="003C079E">
            <w:pPr>
              <w:pStyle w:val="ColorfulList-Accent11"/>
              <w:ind w:left="0"/>
              <w:cnfStyle w:val="000000100000"/>
              <w:rPr>
                <w:rFonts w:cs="Calibri"/>
              </w:rPr>
            </w:pPr>
            <w:r>
              <w:rPr>
                <w:rFonts w:cs="Calibri"/>
              </w:rPr>
              <w:t>2</w:t>
            </w:r>
          </w:p>
        </w:tc>
        <w:tc>
          <w:tcPr>
            <w:tcW w:w="1418" w:type="dxa"/>
          </w:tcPr>
          <w:p w:rsidR="003C079E" w:rsidRPr="00027CA6" w:rsidRDefault="009842E4" w:rsidP="003C079E">
            <w:pPr>
              <w:pStyle w:val="ColorfulList-Accent11"/>
              <w:ind w:left="0"/>
              <w:cnfStyle w:val="000000100000"/>
              <w:rPr>
                <w:rFonts w:cs="Calibri"/>
              </w:rPr>
            </w:pPr>
            <w:r>
              <w:rPr>
                <w:rFonts w:cs="Calibri"/>
              </w:rPr>
              <w:t>2</w:t>
            </w:r>
          </w:p>
        </w:tc>
        <w:tc>
          <w:tcPr>
            <w:tcW w:w="1134" w:type="dxa"/>
          </w:tcPr>
          <w:p w:rsidR="003C079E" w:rsidRPr="00027CA6" w:rsidRDefault="00266F70" w:rsidP="003C079E">
            <w:pPr>
              <w:pStyle w:val="ColorfulList-Accent11"/>
              <w:ind w:left="0"/>
              <w:cnfStyle w:val="000000100000"/>
              <w:rPr>
                <w:rFonts w:cs="Calibri"/>
              </w:rPr>
            </w:pPr>
            <w:r>
              <w:rPr>
                <w:rFonts w:cs="Calibri"/>
              </w:rPr>
              <w:t>0</w:t>
            </w:r>
          </w:p>
        </w:tc>
        <w:tc>
          <w:tcPr>
            <w:tcW w:w="1888" w:type="dxa"/>
          </w:tcPr>
          <w:p w:rsidR="003C079E" w:rsidRPr="00027CA6" w:rsidRDefault="003C079E" w:rsidP="003C079E">
            <w:pPr>
              <w:cnfStyle w:val="000000100000"/>
              <w:rPr>
                <w:rFonts w:ascii="Calibri" w:eastAsia="Calibri" w:hAnsi="Calibri" w:cs="Calibri"/>
              </w:rPr>
            </w:pPr>
          </w:p>
        </w:tc>
      </w:tr>
    </w:tbl>
    <w:p w:rsidR="003C079E" w:rsidRDefault="003C079E" w:rsidP="003C079E">
      <w:pPr>
        <w:rPr>
          <w:rFonts w:ascii="Calibri" w:hAnsi="Calibri" w:cs="Calibri"/>
          <w:sz w:val="24"/>
          <w:szCs w:val="24"/>
        </w:rPr>
      </w:pPr>
    </w:p>
    <w:p w:rsidR="00316F86" w:rsidRPr="003C079E" w:rsidRDefault="003C079E" w:rsidP="003B5E3A">
      <w:pPr>
        <w:pStyle w:val="Heading4"/>
        <w:numPr>
          <w:ilvl w:val="0"/>
          <w:numId w:val="6"/>
        </w:numPr>
      </w:pPr>
      <w:r w:rsidRPr="003C079E">
        <w:t>Advisory, Research and Information Services</w:t>
      </w:r>
    </w:p>
    <w:p w:rsidR="00A8629F" w:rsidRPr="00176D84" w:rsidRDefault="00A8629F" w:rsidP="00316F86">
      <w:pPr>
        <w:jc w:val="both"/>
        <w:rPr>
          <w:rFonts w:ascii="Calibri" w:hAnsi="Calibri" w:cs="Calibri"/>
        </w:rPr>
      </w:pPr>
    </w:p>
    <w:p w:rsidR="004D3167" w:rsidRPr="00176D84" w:rsidRDefault="003C079E" w:rsidP="00316F86">
      <w:pPr>
        <w:jc w:val="both"/>
        <w:rPr>
          <w:rFonts w:ascii="Calibri" w:hAnsi="Calibri" w:cs="Calibri"/>
        </w:rPr>
      </w:pPr>
      <w:r w:rsidRPr="00176D84">
        <w:rPr>
          <w:rFonts w:ascii="Calibri" w:hAnsi="Calibri" w:cs="Calibri"/>
        </w:rPr>
        <w:t xml:space="preserve">Advisory, research and information services in Parliament must access and review data sets and information. It must analyse, evaluate and synthesise evidence and information to address the information needs of Members. Parliament must also increase its ability to monitor, track and evaluate the implementation of recommendations and resolutions. Parliament can also benefit from tracking its own data, to build an evaluative culture, and to gain insights into legislative impact. The institution can further improve accountability by engaging and interacting with evaluations done by the Executive and other institutions, thereby providing a broader range of information and insight on the effectiveness of government programmes. </w:t>
      </w:r>
    </w:p>
    <w:tbl>
      <w:tblPr>
        <w:tblStyle w:val="GridTable4Accent5"/>
        <w:tblW w:w="10348" w:type="dxa"/>
        <w:tblInd w:w="-147" w:type="dxa"/>
        <w:tblLayout w:type="fixed"/>
        <w:tblLook w:val="04A0"/>
      </w:tblPr>
      <w:tblGrid>
        <w:gridCol w:w="2127"/>
        <w:gridCol w:w="142"/>
        <w:gridCol w:w="1559"/>
        <w:gridCol w:w="1701"/>
        <w:gridCol w:w="1417"/>
        <w:gridCol w:w="1134"/>
        <w:gridCol w:w="2268"/>
      </w:tblGrid>
      <w:tr w:rsidR="003C079E" w:rsidRPr="00D94FAB" w:rsidTr="00D94FAB">
        <w:trPr>
          <w:cnfStyle w:val="100000000000"/>
          <w:trHeight w:val="583"/>
        </w:trPr>
        <w:tc>
          <w:tcPr>
            <w:cnfStyle w:val="001000000000"/>
            <w:tcW w:w="2269" w:type="dxa"/>
            <w:gridSpan w:val="2"/>
          </w:tcPr>
          <w:p w:rsidR="003C079E" w:rsidRPr="00D94FAB" w:rsidRDefault="003C079E" w:rsidP="003C079E">
            <w:pPr>
              <w:pStyle w:val="ColorfulList-Accent11"/>
              <w:ind w:left="0"/>
              <w:rPr>
                <w:rFonts w:cs="Calibri"/>
                <w:bCs w:val="0"/>
              </w:rPr>
            </w:pPr>
            <w:r w:rsidRPr="00D94FAB">
              <w:rPr>
                <w:rFonts w:cs="Calibri"/>
              </w:rPr>
              <w:t>Parliamentary Service</w:t>
            </w:r>
          </w:p>
        </w:tc>
        <w:tc>
          <w:tcPr>
            <w:tcW w:w="1559" w:type="dxa"/>
          </w:tcPr>
          <w:p w:rsidR="003C079E" w:rsidRPr="00D94FAB" w:rsidRDefault="003C079E" w:rsidP="003C079E">
            <w:pPr>
              <w:pStyle w:val="ColorfulList-Accent11"/>
              <w:ind w:left="0"/>
              <w:cnfStyle w:val="100000000000"/>
              <w:rPr>
                <w:rFonts w:cs="Calibri"/>
              </w:rPr>
            </w:pPr>
            <w:r w:rsidRPr="00D94FAB">
              <w:rPr>
                <w:rFonts w:cs="Calibri"/>
              </w:rPr>
              <w:t>Indicator</w:t>
            </w:r>
          </w:p>
        </w:tc>
        <w:tc>
          <w:tcPr>
            <w:tcW w:w="1701" w:type="dxa"/>
          </w:tcPr>
          <w:p w:rsidR="00FA7A2C" w:rsidRDefault="00FA7A2C" w:rsidP="003C079E">
            <w:pPr>
              <w:pStyle w:val="ColorfulList-Accent11"/>
              <w:ind w:left="0"/>
              <w:cnfStyle w:val="100000000000"/>
              <w:rPr>
                <w:rFonts w:cs="Calibri"/>
              </w:rPr>
            </w:pPr>
            <w:r>
              <w:rPr>
                <w:rFonts w:cs="Calibri"/>
              </w:rPr>
              <w:t xml:space="preserve">Mid-Year </w:t>
            </w:r>
          </w:p>
          <w:p w:rsidR="003C079E" w:rsidRPr="00D94FAB" w:rsidRDefault="003C079E" w:rsidP="003C079E">
            <w:pPr>
              <w:pStyle w:val="ColorfulList-Accent11"/>
              <w:ind w:left="0"/>
              <w:cnfStyle w:val="100000000000"/>
              <w:rPr>
                <w:rFonts w:cs="Calibri"/>
              </w:rPr>
            </w:pPr>
            <w:r w:rsidRPr="00D94FAB">
              <w:rPr>
                <w:rFonts w:cs="Calibri"/>
              </w:rPr>
              <w:t>Target 2020/21</w:t>
            </w:r>
          </w:p>
        </w:tc>
        <w:tc>
          <w:tcPr>
            <w:tcW w:w="1417" w:type="dxa"/>
          </w:tcPr>
          <w:p w:rsidR="003C079E" w:rsidRPr="00D94FAB" w:rsidRDefault="003C079E" w:rsidP="003C079E">
            <w:pPr>
              <w:pStyle w:val="ColorfulList-Accent11"/>
              <w:ind w:left="0"/>
              <w:cnfStyle w:val="100000000000"/>
              <w:rPr>
                <w:rFonts w:cs="Calibri"/>
              </w:rPr>
            </w:pPr>
            <w:r w:rsidRPr="00D94FAB">
              <w:rPr>
                <w:rFonts w:cs="Calibri"/>
              </w:rPr>
              <w:t>Actual performance</w:t>
            </w:r>
          </w:p>
        </w:tc>
        <w:tc>
          <w:tcPr>
            <w:tcW w:w="1134" w:type="dxa"/>
          </w:tcPr>
          <w:p w:rsidR="003C079E" w:rsidRPr="00D94FAB" w:rsidRDefault="003C079E" w:rsidP="003C079E">
            <w:pPr>
              <w:pStyle w:val="ColorfulList-Accent11"/>
              <w:ind w:left="0"/>
              <w:cnfStyle w:val="100000000000"/>
              <w:rPr>
                <w:rFonts w:cs="Calibri"/>
              </w:rPr>
            </w:pPr>
            <w:r w:rsidRPr="00D94FAB">
              <w:rPr>
                <w:rFonts w:cs="Calibri"/>
              </w:rPr>
              <w:t>Variance</w:t>
            </w:r>
          </w:p>
        </w:tc>
        <w:tc>
          <w:tcPr>
            <w:tcW w:w="2268" w:type="dxa"/>
          </w:tcPr>
          <w:p w:rsidR="003C079E" w:rsidRPr="00D94FAB" w:rsidRDefault="003C079E" w:rsidP="003C079E">
            <w:pPr>
              <w:pStyle w:val="ColorfulList-Accent11"/>
              <w:ind w:left="0"/>
              <w:jc w:val="both"/>
              <w:cnfStyle w:val="100000000000"/>
              <w:rPr>
                <w:rFonts w:cs="Calibri"/>
              </w:rPr>
            </w:pPr>
            <w:r w:rsidRPr="00D94FAB">
              <w:rPr>
                <w:rFonts w:cs="Calibri"/>
              </w:rPr>
              <w:t>Reasons for variance &amp; mitigation factors</w:t>
            </w:r>
          </w:p>
        </w:tc>
      </w:tr>
      <w:tr w:rsidR="003C079E" w:rsidRPr="00027CA6" w:rsidTr="00D94FAB">
        <w:trPr>
          <w:cnfStyle w:val="000000100000"/>
          <w:trHeight w:val="1357"/>
        </w:trPr>
        <w:tc>
          <w:tcPr>
            <w:cnfStyle w:val="001000000000"/>
            <w:tcW w:w="2127" w:type="dxa"/>
          </w:tcPr>
          <w:p w:rsidR="003C079E" w:rsidRPr="00027CA6" w:rsidRDefault="003C079E" w:rsidP="003C079E">
            <w:pPr>
              <w:pStyle w:val="ColorfulList-Accent11"/>
              <w:ind w:left="0"/>
              <w:rPr>
                <w:rFonts w:cs="Calibri"/>
                <w:b w:val="0"/>
              </w:rPr>
            </w:pPr>
            <w:r w:rsidRPr="003C079E">
              <w:rPr>
                <w:rFonts w:cs="Calibri"/>
                <w:b w:val="0"/>
              </w:rPr>
              <w:t>Advisory, research and information services</w:t>
            </w:r>
          </w:p>
        </w:tc>
        <w:tc>
          <w:tcPr>
            <w:tcW w:w="1701" w:type="dxa"/>
            <w:gridSpan w:val="2"/>
          </w:tcPr>
          <w:p w:rsidR="003C079E" w:rsidRPr="00027CA6" w:rsidRDefault="003C079E" w:rsidP="003C079E">
            <w:pPr>
              <w:pStyle w:val="Default"/>
              <w:cnfStyle w:val="000000100000"/>
              <w:rPr>
                <w:rFonts w:ascii="Calibri" w:hAnsi="Calibri" w:cs="Calibri"/>
                <w:sz w:val="22"/>
                <w:szCs w:val="22"/>
              </w:rPr>
            </w:pPr>
            <w:r w:rsidRPr="003C079E">
              <w:rPr>
                <w:rFonts w:ascii="Calibri" w:hAnsi="Calibri" w:cs="Calibri"/>
                <w:sz w:val="22"/>
                <w:szCs w:val="22"/>
              </w:rPr>
              <w:t>% of information available as per Service Charter levels</w:t>
            </w:r>
          </w:p>
        </w:tc>
        <w:tc>
          <w:tcPr>
            <w:tcW w:w="1701" w:type="dxa"/>
          </w:tcPr>
          <w:p w:rsidR="003C079E" w:rsidRPr="00027CA6" w:rsidRDefault="003C079E" w:rsidP="003C079E">
            <w:pPr>
              <w:pStyle w:val="ColorfulList-Accent11"/>
              <w:ind w:left="0"/>
              <w:cnfStyle w:val="000000100000"/>
              <w:rPr>
                <w:rFonts w:cs="Calibri"/>
              </w:rPr>
            </w:pPr>
            <w:r>
              <w:rPr>
                <w:rFonts w:cs="Calibri"/>
              </w:rPr>
              <w:t>93%</w:t>
            </w:r>
          </w:p>
        </w:tc>
        <w:tc>
          <w:tcPr>
            <w:tcW w:w="1417" w:type="dxa"/>
          </w:tcPr>
          <w:p w:rsidR="003C079E" w:rsidRDefault="00C44618" w:rsidP="003C079E">
            <w:pPr>
              <w:pStyle w:val="ColorfulList-Accent11"/>
              <w:ind w:left="0"/>
              <w:cnfStyle w:val="000000100000"/>
              <w:rPr>
                <w:rFonts w:cs="Calibri"/>
              </w:rPr>
            </w:pPr>
            <w:r>
              <w:rPr>
                <w:rFonts w:cs="Calibri"/>
              </w:rPr>
              <w:t>83,13</w:t>
            </w:r>
            <w:r w:rsidR="004A74FC">
              <w:rPr>
                <w:rFonts w:cs="Calibri"/>
              </w:rPr>
              <w:t>%</w:t>
            </w:r>
          </w:p>
          <w:p w:rsidR="004A74FC" w:rsidRPr="00027CA6" w:rsidRDefault="00001C9E" w:rsidP="003C079E">
            <w:pPr>
              <w:pStyle w:val="ColorfulList-Accent11"/>
              <w:ind w:left="0"/>
              <w:cnfStyle w:val="000000100000"/>
              <w:rPr>
                <w:rFonts w:cs="Calibri"/>
              </w:rPr>
            </w:pPr>
            <w:r>
              <w:rPr>
                <w:rFonts w:cs="Calibri"/>
              </w:rPr>
              <w:t>(9</w:t>
            </w:r>
            <w:r w:rsidR="004A74FC">
              <w:rPr>
                <w:rFonts w:cs="Calibri"/>
              </w:rPr>
              <w:t xml:space="preserve"> of 13)</w:t>
            </w:r>
          </w:p>
        </w:tc>
        <w:tc>
          <w:tcPr>
            <w:tcW w:w="1134" w:type="dxa"/>
          </w:tcPr>
          <w:p w:rsidR="003C079E" w:rsidRPr="00027CA6" w:rsidRDefault="00FA7A2C" w:rsidP="003C079E">
            <w:pPr>
              <w:pStyle w:val="ColorfulList-Accent11"/>
              <w:ind w:left="0"/>
              <w:cnfStyle w:val="000000100000"/>
              <w:rPr>
                <w:rFonts w:cs="Calibri"/>
              </w:rPr>
            </w:pPr>
            <w:r>
              <w:rPr>
                <w:rFonts w:cs="Calibri"/>
              </w:rPr>
              <w:t>-9,66</w:t>
            </w:r>
            <w:r w:rsidR="004A74FC">
              <w:rPr>
                <w:rFonts w:cs="Calibri"/>
              </w:rPr>
              <w:t>%</w:t>
            </w:r>
          </w:p>
        </w:tc>
        <w:tc>
          <w:tcPr>
            <w:tcW w:w="2268" w:type="dxa"/>
          </w:tcPr>
          <w:p w:rsidR="003C079E" w:rsidRPr="00C005C9" w:rsidRDefault="00CE5F5D" w:rsidP="00D94FAB">
            <w:pPr>
              <w:pStyle w:val="ListParagraph"/>
              <w:spacing w:after="0"/>
              <w:ind w:left="0"/>
              <w:cnfStyle w:val="000000100000"/>
              <w:rPr>
                <w:rFonts w:ascii="Calibri" w:eastAsia="Calibri" w:hAnsi="Calibri" w:cs="Calibri"/>
              </w:rPr>
            </w:pPr>
            <w:r w:rsidRPr="00CE5F5D">
              <w:rPr>
                <w:rFonts w:ascii="Calibri" w:eastAsia="Calibri" w:hAnsi="Calibri" w:cs="Calibri"/>
                <w:color w:val="auto"/>
                <w:spacing w:val="0"/>
                <w:sz w:val="22"/>
                <w:szCs w:val="22"/>
                <w:lang w:val="en-ZA" w:eastAsia="en-US"/>
              </w:rPr>
              <w:t>The main contributing factor for variance in the implementation was limitation of technology in the implementation of remote Hansard support to Members</w:t>
            </w:r>
          </w:p>
        </w:tc>
      </w:tr>
    </w:tbl>
    <w:p w:rsidR="000D38B7" w:rsidRDefault="000D38B7">
      <w:pPr>
        <w:rPr>
          <w:rFonts w:ascii="Calibri" w:hAnsi="Calibri" w:cs="Calibri"/>
          <w:sz w:val="24"/>
          <w:szCs w:val="24"/>
        </w:rPr>
      </w:pPr>
    </w:p>
    <w:p w:rsidR="000300D9" w:rsidRDefault="000300D9">
      <w:pPr>
        <w:rPr>
          <w:rFonts w:ascii="Calibri" w:hAnsi="Calibri" w:cs="Calibri"/>
          <w:sz w:val="24"/>
          <w:szCs w:val="24"/>
        </w:rPr>
      </w:pPr>
    </w:p>
    <w:p w:rsidR="000300D9" w:rsidRDefault="000300D9" w:rsidP="00CB0849">
      <w:pPr>
        <w:spacing w:after="0"/>
        <w:rPr>
          <w:rFonts w:ascii="Calibri" w:hAnsi="Calibri" w:cs="Calibri"/>
          <w:b/>
          <w:smallCaps/>
          <w:noProof/>
          <w:sz w:val="24"/>
          <w:szCs w:val="24"/>
        </w:rPr>
      </w:pPr>
      <w:r w:rsidRPr="00CB0849">
        <w:rPr>
          <w:rFonts w:ascii="Calibri" w:hAnsi="Calibri" w:cs="Calibri"/>
          <w:b/>
          <w:smallCaps/>
          <w:noProof/>
          <w:sz w:val="24"/>
          <w:szCs w:val="24"/>
        </w:rPr>
        <w:t>Performance Trends</w:t>
      </w:r>
    </w:p>
    <w:p w:rsidR="002E1D3A" w:rsidRPr="00CB0849" w:rsidRDefault="002E1D3A" w:rsidP="00CB0849">
      <w:pPr>
        <w:spacing w:after="0"/>
        <w:rPr>
          <w:rFonts w:ascii="Calibri" w:hAnsi="Calibri" w:cs="Calibri"/>
          <w:b/>
          <w:smallCaps/>
          <w:noProof/>
          <w:sz w:val="24"/>
          <w:szCs w:val="24"/>
        </w:rPr>
      </w:pPr>
    </w:p>
    <w:p w:rsidR="000300D9" w:rsidRDefault="00001C9E">
      <w:pPr>
        <w:rPr>
          <w:rFonts w:ascii="Calibri" w:hAnsi="Calibri" w:cs="Calibri"/>
        </w:rPr>
      </w:pPr>
      <w:r w:rsidRPr="00001C9E">
        <w:rPr>
          <w:rFonts w:ascii="Calibri" w:hAnsi="Calibri" w:cs="Calibri"/>
        </w:rPr>
        <w:t>Of the 13 indicators, policy advice, Hansard</w:t>
      </w:r>
      <w:r>
        <w:rPr>
          <w:rFonts w:ascii="Calibri" w:hAnsi="Calibri" w:cs="Calibri"/>
        </w:rPr>
        <w:t>, interpretation</w:t>
      </w:r>
      <w:r w:rsidRPr="00001C9E">
        <w:rPr>
          <w:rFonts w:ascii="Calibri" w:hAnsi="Calibri" w:cs="Calibri"/>
        </w:rPr>
        <w:t xml:space="preserve"> and documentation were not delivered to clients in the required timeframes, as seen below.</w:t>
      </w:r>
    </w:p>
    <w:p w:rsidR="00CB0849" w:rsidRPr="00FD5EBE" w:rsidRDefault="00CB0849">
      <w:pPr>
        <w:rPr>
          <w:rFonts w:ascii="Calibri" w:hAnsi="Calibri" w:cs="Calibri"/>
        </w:rPr>
      </w:pPr>
    </w:p>
    <w:tbl>
      <w:tblPr>
        <w:tblStyle w:val="GridTable1LightAccent5"/>
        <w:tblW w:w="8270" w:type="dxa"/>
        <w:jc w:val="center"/>
        <w:tblLook w:val="04A0"/>
      </w:tblPr>
      <w:tblGrid>
        <w:gridCol w:w="571"/>
        <w:gridCol w:w="3669"/>
        <w:gridCol w:w="747"/>
        <w:gridCol w:w="748"/>
        <w:gridCol w:w="1411"/>
        <w:gridCol w:w="1133"/>
      </w:tblGrid>
      <w:tr w:rsidR="00001C9E" w:rsidRPr="000D38B7" w:rsidTr="00542C84">
        <w:trPr>
          <w:cnfStyle w:val="100000000000"/>
          <w:trHeight w:val="267"/>
          <w:jc w:val="center"/>
        </w:trPr>
        <w:tc>
          <w:tcPr>
            <w:cnfStyle w:val="001000000000"/>
            <w:tcW w:w="562" w:type="dxa"/>
            <w:noWrap/>
            <w:hideMark/>
          </w:tcPr>
          <w:p w:rsidR="00001C9E" w:rsidRPr="000D38B7" w:rsidRDefault="00001C9E" w:rsidP="000D38B7">
            <w:pPr>
              <w:rPr>
                <w:rFonts w:ascii="Calibri" w:eastAsia="Times New Roman" w:hAnsi="Calibri" w:cs="Calibri"/>
                <w:lang w:eastAsia="en-ZA"/>
              </w:rPr>
            </w:pPr>
            <w:r w:rsidRPr="000D38B7">
              <w:rPr>
                <w:rFonts w:ascii="Calibri" w:eastAsia="Times New Roman" w:hAnsi="Calibri" w:cs="Calibri"/>
                <w:lang w:eastAsia="en-ZA"/>
              </w:rPr>
              <w:t> </w:t>
            </w:r>
          </w:p>
        </w:tc>
        <w:tc>
          <w:tcPr>
            <w:tcW w:w="3669" w:type="dxa"/>
            <w:noWrap/>
            <w:hideMark/>
          </w:tcPr>
          <w:p w:rsidR="00001C9E" w:rsidRPr="000D38B7" w:rsidRDefault="00001C9E" w:rsidP="000D38B7">
            <w:pPr>
              <w:cnfStyle w:val="100000000000"/>
              <w:rPr>
                <w:rFonts w:ascii="Calibri" w:eastAsia="Times New Roman" w:hAnsi="Calibri" w:cs="Calibri"/>
                <w:b w:val="0"/>
                <w:bCs w:val="0"/>
                <w:sz w:val="24"/>
                <w:szCs w:val="24"/>
                <w:lang w:eastAsia="en-ZA"/>
              </w:rPr>
            </w:pPr>
            <w:r w:rsidRPr="000D38B7">
              <w:rPr>
                <w:rFonts w:ascii="Calibri" w:eastAsia="Times New Roman" w:hAnsi="Calibri" w:cs="Calibri"/>
                <w:b w:val="0"/>
                <w:bCs w:val="0"/>
                <w:sz w:val="24"/>
                <w:szCs w:val="24"/>
                <w:lang w:eastAsia="en-ZA"/>
              </w:rPr>
              <w:t>Sub-Indicator</w:t>
            </w:r>
          </w:p>
        </w:tc>
        <w:tc>
          <w:tcPr>
            <w:tcW w:w="2906" w:type="dxa"/>
            <w:gridSpan w:val="3"/>
            <w:noWrap/>
            <w:hideMark/>
          </w:tcPr>
          <w:p w:rsidR="00001C9E" w:rsidRPr="000D38B7" w:rsidRDefault="00001C9E" w:rsidP="000D38B7">
            <w:pPr>
              <w:jc w:val="center"/>
              <w:cnfStyle w:val="100000000000"/>
              <w:rPr>
                <w:rFonts w:ascii="Calibri" w:eastAsia="Times New Roman" w:hAnsi="Calibri" w:cs="Calibri"/>
                <w:b w:val="0"/>
                <w:bCs w:val="0"/>
                <w:color w:val="000000"/>
                <w:lang w:eastAsia="en-ZA"/>
              </w:rPr>
            </w:pPr>
            <w:r w:rsidRPr="000D38B7">
              <w:rPr>
                <w:rFonts w:ascii="Calibri" w:eastAsia="Times New Roman" w:hAnsi="Calibri" w:cs="Calibri"/>
                <w:b w:val="0"/>
                <w:bCs w:val="0"/>
                <w:color w:val="000000"/>
                <w:lang w:eastAsia="en-ZA"/>
              </w:rPr>
              <w:t>Mid-Year</w:t>
            </w:r>
          </w:p>
        </w:tc>
        <w:tc>
          <w:tcPr>
            <w:tcW w:w="1133" w:type="dxa"/>
            <w:noWrap/>
            <w:hideMark/>
          </w:tcPr>
          <w:p w:rsidR="00001C9E" w:rsidRPr="000D38B7" w:rsidRDefault="00001C9E" w:rsidP="000D38B7">
            <w:pPr>
              <w:cnfStyle w:val="100000000000"/>
              <w:rPr>
                <w:rFonts w:ascii="Calibri" w:eastAsia="Times New Roman" w:hAnsi="Calibri" w:cs="Calibri"/>
                <w:b w:val="0"/>
                <w:bCs w:val="0"/>
                <w:color w:val="000000"/>
                <w:lang w:eastAsia="en-ZA"/>
              </w:rPr>
            </w:pPr>
            <w:r w:rsidRPr="000D38B7">
              <w:rPr>
                <w:rFonts w:ascii="Calibri" w:eastAsia="Times New Roman" w:hAnsi="Calibri" w:cs="Calibri"/>
                <w:b w:val="0"/>
                <w:bCs w:val="0"/>
                <w:color w:val="000000"/>
                <w:lang w:eastAsia="en-ZA"/>
              </w:rPr>
              <w:t>variance</w:t>
            </w:r>
          </w:p>
        </w:tc>
      </w:tr>
      <w:tr w:rsidR="00001C9E" w:rsidRPr="000D38B7" w:rsidTr="00542C84">
        <w:trPr>
          <w:trHeight w:val="316"/>
          <w:jc w:val="center"/>
        </w:trPr>
        <w:tc>
          <w:tcPr>
            <w:cnfStyle w:val="001000000000"/>
            <w:tcW w:w="562" w:type="dxa"/>
            <w:noWrap/>
            <w:hideMark/>
          </w:tcPr>
          <w:p w:rsidR="00001C9E" w:rsidRPr="000D38B7" w:rsidRDefault="00001C9E" w:rsidP="000D38B7">
            <w:pPr>
              <w:jc w:val="right"/>
              <w:rPr>
                <w:rFonts w:ascii="Calibri" w:eastAsia="Times New Roman" w:hAnsi="Calibri" w:cs="Calibri"/>
                <w:b w:val="0"/>
                <w:bCs w:val="0"/>
                <w:sz w:val="28"/>
                <w:szCs w:val="28"/>
                <w:lang w:eastAsia="en-ZA"/>
              </w:rPr>
            </w:pPr>
            <w:r w:rsidRPr="000D38B7">
              <w:rPr>
                <w:rFonts w:ascii="Calibri" w:eastAsia="Times New Roman" w:hAnsi="Calibri" w:cs="Calibri"/>
                <w:b w:val="0"/>
                <w:bCs w:val="0"/>
                <w:sz w:val="28"/>
                <w:szCs w:val="28"/>
                <w:lang w:eastAsia="en-ZA"/>
              </w:rPr>
              <w:t>a</w:t>
            </w:r>
          </w:p>
        </w:tc>
        <w:tc>
          <w:tcPr>
            <w:tcW w:w="3669" w:type="dxa"/>
            <w:noWrap/>
            <w:hideMark/>
          </w:tcPr>
          <w:p w:rsidR="00001C9E" w:rsidRPr="000D38B7" w:rsidRDefault="00001C9E" w:rsidP="000D38B7">
            <w:pPr>
              <w:cnfStyle w:val="000000000000"/>
              <w:rPr>
                <w:rFonts w:ascii="Calibri" w:eastAsia="Times New Roman" w:hAnsi="Calibri" w:cs="Calibri"/>
                <w:lang w:eastAsia="en-ZA"/>
              </w:rPr>
            </w:pPr>
            <w:r w:rsidRPr="000D38B7">
              <w:rPr>
                <w:rFonts w:ascii="Calibri" w:eastAsia="Times New Roman" w:hAnsi="Calibri" w:cs="Calibri"/>
                <w:lang w:eastAsia="en-ZA"/>
              </w:rPr>
              <w:t>House Papers</w:t>
            </w:r>
          </w:p>
        </w:tc>
        <w:tc>
          <w:tcPr>
            <w:tcW w:w="747"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155</w:t>
            </w:r>
          </w:p>
        </w:tc>
        <w:tc>
          <w:tcPr>
            <w:tcW w:w="748"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155</w:t>
            </w:r>
          </w:p>
        </w:tc>
        <w:tc>
          <w:tcPr>
            <w:tcW w:w="1411"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100%</w:t>
            </w:r>
          </w:p>
        </w:tc>
        <w:tc>
          <w:tcPr>
            <w:tcW w:w="1133" w:type="dxa"/>
            <w:noWrap/>
            <w:hideMark/>
          </w:tcPr>
          <w:p w:rsidR="00001C9E" w:rsidRPr="000D38B7" w:rsidRDefault="00001C9E" w:rsidP="000D38B7">
            <w:pPr>
              <w:jc w:val="right"/>
              <w:cnfStyle w:val="000000000000"/>
              <w:rPr>
                <w:rFonts w:ascii="Calibri" w:eastAsia="Times New Roman" w:hAnsi="Calibri" w:cs="Calibri"/>
                <w:color w:val="000000"/>
                <w:lang w:eastAsia="en-ZA"/>
              </w:rPr>
            </w:pPr>
            <w:r w:rsidRPr="000D38B7">
              <w:rPr>
                <w:rFonts w:ascii="Calibri" w:eastAsia="Times New Roman" w:hAnsi="Calibri" w:cs="Calibri"/>
                <w:color w:val="000000"/>
                <w:lang w:eastAsia="en-ZA"/>
              </w:rPr>
              <w:t>0,00%</w:t>
            </w:r>
          </w:p>
        </w:tc>
      </w:tr>
      <w:tr w:rsidR="00001C9E" w:rsidRPr="000D38B7" w:rsidTr="00542C84">
        <w:trPr>
          <w:trHeight w:val="316"/>
          <w:jc w:val="center"/>
        </w:trPr>
        <w:tc>
          <w:tcPr>
            <w:cnfStyle w:val="001000000000"/>
            <w:tcW w:w="562" w:type="dxa"/>
            <w:noWrap/>
            <w:hideMark/>
          </w:tcPr>
          <w:p w:rsidR="00001C9E" w:rsidRPr="000D38B7" w:rsidRDefault="00001C9E" w:rsidP="000D38B7">
            <w:pPr>
              <w:jc w:val="right"/>
              <w:rPr>
                <w:rFonts w:ascii="Calibri" w:eastAsia="Times New Roman" w:hAnsi="Calibri" w:cs="Calibri"/>
                <w:b w:val="0"/>
                <w:bCs w:val="0"/>
                <w:sz w:val="28"/>
                <w:szCs w:val="28"/>
                <w:lang w:eastAsia="en-ZA"/>
              </w:rPr>
            </w:pPr>
            <w:r w:rsidRPr="000D38B7">
              <w:rPr>
                <w:rFonts w:ascii="Calibri" w:eastAsia="Times New Roman" w:hAnsi="Calibri" w:cs="Calibri"/>
                <w:b w:val="0"/>
                <w:bCs w:val="0"/>
                <w:sz w:val="28"/>
                <w:szCs w:val="28"/>
                <w:lang w:eastAsia="en-ZA"/>
              </w:rPr>
              <w:t>b</w:t>
            </w:r>
          </w:p>
        </w:tc>
        <w:tc>
          <w:tcPr>
            <w:tcW w:w="3669" w:type="dxa"/>
            <w:noWrap/>
            <w:hideMark/>
          </w:tcPr>
          <w:p w:rsidR="00001C9E" w:rsidRPr="000D38B7" w:rsidRDefault="00001C9E" w:rsidP="000D38B7">
            <w:pPr>
              <w:cnfStyle w:val="000000000000"/>
              <w:rPr>
                <w:rFonts w:ascii="Calibri" w:eastAsia="Times New Roman" w:hAnsi="Calibri" w:cs="Calibri"/>
                <w:lang w:eastAsia="en-ZA"/>
              </w:rPr>
            </w:pPr>
            <w:r w:rsidRPr="000D38B7">
              <w:rPr>
                <w:rFonts w:ascii="Calibri" w:eastAsia="Times New Roman" w:hAnsi="Calibri" w:cs="Calibri"/>
                <w:lang w:eastAsia="en-ZA"/>
              </w:rPr>
              <w:t>Procedural advice</w:t>
            </w:r>
          </w:p>
        </w:tc>
        <w:tc>
          <w:tcPr>
            <w:tcW w:w="747"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292</w:t>
            </w:r>
          </w:p>
        </w:tc>
        <w:tc>
          <w:tcPr>
            <w:tcW w:w="748"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292</w:t>
            </w:r>
          </w:p>
        </w:tc>
        <w:tc>
          <w:tcPr>
            <w:tcW w:w="1411"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100%</w:t>
            </w:r>
          </w:p>
        </w:tc>
        <w:tc>
          <w:tcPr>
            <w:tcW w:w="1133" w:type="dxa"/>
            <w:noWrap/>
            <w:hideMark/>
          </w:tcPr>
          <w:p w:rsidR="00001C9E" w:rsidRPr="000D38B7" w:rsidRDefault="00001C9E" w:rsidP="000D38B7">
            <w:pPr>
              <w:jc w:val="right"/>
              <w:cnfStyle w:val="000000000000"/>
              <w:rPr>
                <w:rFonts w:ascii="Calibri" w:eastAsia="Times New Roman" w:hAnsi="Calibri" w:cs="Calibri"/>
                <w:color w:val="000000"/>
                <w:lang w:eastAsia="en-ZA"/>
              </w:rPr>
            </w:pPr>
            <w:r w:rsidRPr="000D38B7">
              <w:rPr>
                <w:rFonts w:ascii="Calibri" w:eastAsia="Times New Roman" w:hAnsi="Calibri" w:cs="Calibri"/>
                <w:color w:val="000000"/>
                <w:lang w:eastAsia="en-ZA"/>
              </w:rPr>
              <w:t>0,00%</w:t>
            </w:r>
          </w:p>
        </w:tc>
      </w:tr>
      <w:tr w:rsidR="00001C9E" w:rsidRPr="000D38B7" w:rsidTr="00542C84">
        <w:trPr>
          <w:trHeight w:val="316"/>
          <w:jc w:val="center"/>
        </w:trPr>
        <w:tc>
          <w:tcPr>
            <w:cnfStyle w:val="001000000000"/>
            <w:tcW w:w="562" w:type="dxa"/>
            <w:noWrap/>
            <w:hideMark/>
          </w:tcPr>
          <w:p w:rsidR="00001C9E" w:rsidRPr="000D38B7" w:rsidRDefault="00001C9E" w:rsidP="000D38B7">
            <w:pPr>
              <w:jc w:val="right"/>
              <w:rPr>
                <w:rFonts w:ascii="Calibri" w:eastAsia="Times New Roman" w:hAnsi="Calibri" w:cs="Calibri"/>
                <w:b w:val="0"/>
                <w:bCs w:val="0"/>
                <w:sz w:val="28"/>
                <w:szCs w:val="28"/>
                <w:lang w:eastAsia="en-ZA"/>
              </w:rPr>
            </w:pPr>
            <w:r w:rsidRPr="000D38B7">
              <w:rPr>
                <w:rFonts w:ascii="Calibri" w:eastAsia="Times New Roman" w:hAnsi="Calibri" w:cs="Calibri"/>
                <w:b w:val="0"/>
                <w:bCs w:val="0"/>
                <w:sz w:val="28"/>
                <w:szCs w:val="28"/>
                <w:lang w:eastAsia="en-ZA"/>
              </w:rPr>
              <w:t>c</w:t>
            </w:r>
          </w:p>
        </w:tc>
        <w:tc>
          <w:tcPr>
            <w:tcW w:w="3669" w:type="dxa"/>
            <w:noWrap/>
            <w:hideMark/>
          </w:tcPr>
          <w:p w:rsidR="00001C9E" w:rsidRPr="000D38B7" w:rsidRDefault="00001C9E" w:rsidP="000D38B7">
            <w:pPr>
              <w:cnfStyle w:val="000000000000"/>
              <w:rPr>
                <w:rFonts w:ascii="Calibri" w:eastAsia="Times New Roman" w:hAnsi="Calibri" w:cs="Calibri"/>
                <w:lang w:eastAsia="en-ZA"/>
              </w:rPr>
            </w:pPr>
            <w:r w:rsidRPr="000D38B7">
              <w:rPr>
                <w:rFonts w:ascii="Calibri" w:eastAsia="Times New Roman" w:hAnsi="Calibri" w:cs="Calibri"/>
                <w:lang w:eastAsia="en-ZA"/>
              </w:rPr>
              <w:t>Legal Advice</w:t>
            </w:r>
          </w:p>
        </w:tc>
        <w:tc>
          <w:tcPr>
            <w:tcW w:w="747"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23</w:t>
            </w:r>
          </w:p>
        </w:tc>
        <w:tc>
          <w:tcPr>
            <w:tcW w:w="748"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23</w:t>
            </w:r>
          </w:p>
        </w:tc>
        <w:tc>
          <w:tcPr>
            <w:tcW w:w="1411"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100%</w:t>
            </w:r>
          </w:p>
        </w:tc>
        <w:tc>
          <w:tcPr>
            <w:tcW w:w="1133" w:type="dxa"/>
            <w:noWrap/>
            <w:hideMark/>
          </w:tcPr>
          <w:p w:rsidR="00001C9E" w:rsidRPr="000D38B7" w:rsidRDefault="00001C9E" w:rsidP="000D38B7">
            <w:pPr>
              <w:jc w:val="right"/>
              <w:cnfStyle w:val="000000000000"/>
              <w:rPr>
                <w:rFonts w:ascii="Calibri" w:eastAsia="Times New Roman" w:hAnsi="Calibri" w:cs="Calibri"/>
                <w:color w:val="000000"/>
                <w:lang w:eastAsia="en-ZA"/>
              </w:rPr>
            </w:pPr>
            <w:r w:rsidRPr="000D38B7">
              <w:rPr>
                <w:rFonts w:ascii="Calibri" w:eastAsia="Times New Roman" w:hAnsi="Calibri" w:cs="Calibri"/>
                <w:color w:val="000000"/>
                <w:lang w:eastAsia="en-ZA"/>
              </w:rPr>
              <w:t>0,00%</w:t>
            </w:r>
          </w:p>
        </w:tc>
      </w:tr>
      <w:tr w:rsidR="00001C9E" w:rsidRPr="000D38B7" w:rsidTr="00542C84">
        <w:trPr>
          <w:trHeight w:val="316"/>
          <w:jc w:val="center"/>
        </w:trPr>
        <w:tc>
          <w:tcPr>
            <w:cnfStyle w:val="001000000000"/>
            <w:tcW w:w="562" w:type="dxa"/>
            <w:noWrap/>
            <w:hideMark/>
          </w:tcPr>
          <w:p w:rsidR="00001C9E" w:rsidRPr="000D38B7" w:rsidRDefault="00001C9E" w:rsidP="000D38B7">
            <w:pPr>
              <w:jc w:val="right"/>
              <w:rPr>
                <w:rFonts w:ascii="Calibri" w:eastAsia="Times New Roman" w:hAnsi="Calibri" w:cs="Calibri"/>
                <w:b w:val="0"/>
                <w:bCs w:val="0"/>
                <w:sz w:val="28"/>
                <w:szCs w:val="28"/>
                <w:lang w:eastAsia="en-ZA"/>
              </w:rPr>
            </w:pPr>
            <w:r w:rsidRPr="000D38B7">
              <w:rPr>
                <w:rFonts w:ascii="Calibri" w:eastAsia="Times New Roman" w:hAnsi="Calibri" w:cs="Calibri"/>
                <w:b w:val="0"/>
                <w:bCs w:val="0"/>
                <w:sz w:val="28"/>
                <w:szCs w:val="28"/>
                <w:lang w:eastAsia="en-ZA"/>
              </w:rPr>
              <w:t>d</w:t>
            </w:r>
          </w:p>
        </w:tc>
        <w:tc>
          <w:tcPr>
            <w:tcW w:w="3669" w:type="dxa"/>
            <w:noWrap/>
            <w:hideMark/>
          </w:tcPr>
          <w:p w:rsidR="00001C9E" w:rsidRPr="000D38B7" w:rsidRDefault="00001C9E" w:rsidP="000D38B7">
            <w:pPr>
              <w:cnfStyle w:val="000000000000"/>
              <w:rPr>
                <w:rFonts w:ascii="Calibri" w:eastAsia="Times New Roman" w:hAnsi="Calibri" w:cs="Calibri"/>
                <w:lang w:eastAsia="en-ZA"/>
              </w:rPr>
            </w:pPr>
            <w:r w:rsidRPr="000D38B7">
              <w:rPr>
                <w:rFonts w:ascii="Calibri" w:eastAsia="Times New Roman" w:hAnsi="Calibri" w:cs="Calibri"/>
                <w:lang w:eastAsia="en-ZA"/>
              </w:rPr>
              <w:t>Policy Advice</w:t>
            </w:r>
          </w:p>
        </w:tc>
        <w:tc>
          <w:tcPr>
            <w:tcW w:w="747"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31</w:t>
            </w:r>
          </w:p>
        </w:tc>
        <w:tc>
          <w:tcPr>
            <w:tcW w:w="748"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32</w:t>
            </w:r>
          </w:p>
        </w:tc>
        <w:tc>
          <w:tcPr>
            <w:tcW w:w="1411" w:type="dxa"/>
            <w:noWrap/>
            <w:hideMark/>
          </w:tcPr>
          <w:p w:rsidR="00001C9E" w:rsidRPr="000D38B7" w:rsidRDefault="00001C9E" w:rsidP="000D38B7">
            <w:pPr>
              <w:jc w:val="right"/>
              <w:cnfStyle w:val="000000000000"/>
              <w:rPr>
                <w:rFonts w:ascii="Calibri" w:eastAsia="Times New Roman" w:hAnsi="Calibri" w:cs="Calibri"/>
                <w:color w:val="FF0000"/>
                <w:lang w:eastAsia="en-ZA"/>
              </w:rPr>
            </w:pPr>
            <w:r w:rsidRPr="000D38B7">
              <w:rPr>
                <w:rFonts w:ascii="Calibri" w:eastAsia="Times New Roman" w:hAnsi="Calibri" w:cs="Calibri"/>
                <w:color w:val="FF0000"/>
                <w:lang w:eastAsia="en-ZA"/>
              </w:rPr>
              <w:t>97%</w:t>
            </w:r>
          </w:p>
        </w:tc>
        <w:tc>
          <w:tcPr>
            <w:tcW w:w="1133" w:type="dxa"/>
            <w:noWrap/>
            <w:hideMark/>
          </w:tcPr>
          <w:p w:rsidR="00001C9E" w:rsidRPr="000D38B7" w:rsidRDefault="00001C9E" w:rsidP="000D38B7">
            <w:pPr>
              <w:jc w:val="right"/>
              <w:cnfStyle w:val="000000000000"/>
              <w:rPr>
                <w:rFonts w:ascii="Calibri" w:eastAsia="Times New Roman" w:hAnsi="Calibri" w:cs="Calibri"/>
                <w:color w:val="FF0000"/>
                <w:lang w:eastAsia="en-ZA"/>
              </w:rPr>
            </w:pPr>
            <w:r w:rsidRPr="000D38B7">
              <w:rPr>
                <w:rFonts w:ascii="Calibri" w:eastAsia="Times New Roman" w:hAnsi="Calibri" w:cs="Calibri"/>
                <w:color w:val="FF0000"/>
                <w:lang w:eastAsia="en-ZA"/>
              </w:rPr>
              <w:t>-3,13%</w:t>
            </w:r>
          </w:p>
        </w:tc>
      </w:tr>
      <w:tr w:rsidR="00001C9E" w:rsidRPr="000D38B7" w:rsidTr="00542C84">
        <w:trPr>
          <w:trHeight w:val="316"/>
          <w:jc w:val="center"/>
        </w:trPr>
        <w:tc>
          <w:tcPr>
            <w:cnfStyle w:val="001000000000"/>
            <w:tcW w:w="562" w:type="dxa"/>
            <w:noWrap/>
            <w:hideMark/>
          </w:tcPr>
          <w:p w:rsidR="00001C9E" w:rsidRPr="000D38B7" w:rsidRDefault="00001C9E" w:rsidP="000D38B7">
            <w:pPr>
              <w:jc w:val="right"/>
              <w:rPr>
                <w:rFonts w:ascii="Calibri" w:eastAsia="Times New Roman" w:hAnsi="Calibri" w:cs="Calibri"/>
                <w:b w:val="0"/>
                <w:bCs w:val="0"/>
                <w:sz w:val="28"/>
                <w:szCs w:val="28"/>
                <w:lang w:eastAsia="en-ZA"/>
              </w:rPr>
            </w:pPr>
            <w:r w:rsidRPr="000D38B7">
              <w:rPr>
                <w:rFonts w:ascii="Calibri" w:eastAsia="Times New Roman" w:hAnsi="Calibri" w:cs="Calibri"/>
                <w:b w:val="0"/>
                <w:bCs w:val="0"/>
                <w:sz w:val="28"/>
                <w:szCs w:val="28"/>
                <w:lang w:eastAsia="en-ZA"/>
              </w:rPr>
              <w:t>e</w:t>
            </w:r>
          </w:p>
        </w:tc>
        <w:tc>
          <w:tcPr>
            <w:tcW w:w="3669" w:type="dxa"/>
            <w:noWrap/>
            <w:hideMark/>
          </w:tcPr>
          <w:p w:rsidR="00001C9E" w:rsidRPr="000D38B7" w:rsidRDefault="00001C9E" w:rsidP="000D38B7">
            <w:pPr>
              <w:cnfStyle w:val="000000000000"/>
              <w:rPr>
                <w:rFonts w:ascii="Calibri" w:eastAsia="Times New Roman" w:hAnsi="Calibri" w:cs="Calibri"/>
                <w:lang w:eastAsia="en-ZA"/>
              </w:rPr>
            </w:pPr>
            <w:r w:rsidRPr="000D38B7">
              <w:rPr>
                <w:rFonts w:ascii="Calibri" w:eastAsia="Times New Roman" w:hAnsi="Calibri" w:cs="Calibri"/>
                <w:lang w:eastAsia="en-ZA"/>
              </w:rPr>
              <w:t>Research</w:t>
            </w:r>
          </w:p>
        </w:tc>
        <w:tc>
          <w:tcPr>
            <w:tcW w:w="747"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681</w:t>
            </w:r>
          </w:p>
        </w:tc>
        <w:tc>
          <w:tcPr>
            <w:tcW w:w="748"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681</w:t>
            </w:r>
          </w:p>
        </w:tc>
        <w:tc>
          <w:tcPr>
            <w:tcW w:w="1411"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100%</w:t>
            </w:r>
          </w:p>
        </w:tc>
        <w:tc>
          <w:tcPr>
            <w:tcW w:w="1133" w:type="dxa"/>
            <w:noWrap/>
            <w:hideMark/>
          </w:tcPr>
          <w:p w:rsidR="00001C9E" w:rsidRPr="000D38B7" w:rsidRDefault="00001C9E" w:rsidP="000D38B7">
            <w:pPr>
              <w:jc w:val="right"/>
              <w:cnfStyle w:val="000000000000"/>
              <w:rPr>
                <w:rFonts w:ascii="Calibri" w:eastAsia="Times New Roman" w:hAnsi="Calibri" w:cs="Calibri"/>
                <w:color w:val="000000"/>
                <w:lang w:eastAsia="en-ZA"/>
              </w:rPr>
            </w:pPr>
            <w:r w:rsidRPr="000D38B7">
              <w:rPr>
                <w:rFonts w:ascii="Calibri" w:eastAsia="Times New Roman" w:hAnsi="Calibri" w:cs="Calibri"/>
                <w:color w:val="000000"/>
                <w:lang w:eastAsia="en-ZA"/>
              </w:rPr>
              <w:t>5,00%</w:t>
            </w:r>
          </w:p>
        </w:tc>
      </w:tr>
      <w:tr w:rsidR="00001C9E" w:rsidRPr="000D38B7" w:rsidTr="00542C84">
        <w:trPr>
          <w:trHeight w:val="316"/>
          <w:jc w:val="center"/>
        </w:trPr>
        <w:tc>
          <w:tcPr>
            <w:cnfStyle w:val="001000000000"/>
            <w:tcW w:w="562" w:type="dxa"/>
            <w:noWrap/>
            <w:hideMark/>
          </w:tcPr>
          <w:p w:rsidR="00001C9E" w:rsidRPr="000D38B7" w:rsidRDefault="00001C9E" w:rsidP="000D38B7">
            <w:pPr>
              <w:jc w:val="right"/>
              <w:rPr>
                <w:rFonts w:ascii="Calibri" w:eastAsia="Times New Roman" w:hAnsi="Calibri" w:cs="Calibri"/>
                <w:b w:val="0"/>
                <w:bCs w:val="0"/>
                <w:sz w:val="28"/>
                <w:szCs w:val="28"/>
                <w:lang w:eastAsia="en-ZA"/>
              </w:rPr>
            </w:pPr>
            <w:r w:rsidRPr="000D38B7">
              <w:rPr>
                <w:rFonts w:ascii="Calibri" w:eastAsia="Times New Roman" w:hAnsi="Calibri" w:cs="Calibri"/>
                <w:b w:val="0"/>
                <w:bCs w:val="0"/>
                <w:sz w:val="28"/>
                <w:szCs w:val="28"/>
                <w:lang w:eastAsia="en-ZA"/>
              </w:rPr>
              <w:t>f</w:t>
            </w:r>
          </w:p>
        </w:tc>
        <w:tc>
          <w:tcPr>
            <w:tcW w:w="3669" w:type="dxa"/>
            <w:noWrap/>
            <w:hideMark/>
          </w:tcPr>
          <w:p w:rsidR="00001C9E" w:rsidRPr="000D38B7" w:rsidRDefault="00001C9E" w:rsidP="000D38B7">
            <w:pPr>
              <w:cnfStyle w:val="000000000000"/>
              <w:rPr>
                <w:rFonts w:ascii="Calibri" w:eastAsia="Times New Roman" w:hAnsi="Calibri" w:cs="Calibri"/>
                <w:lang w:eastAsia="en-ZA"/>
              </w:rPr>
            </w:pPr>
            <w:r w:rsidRPr="000D38B7">
              <w:rPr>
                <w:rFonts w:ascii="Calibri" w:eastAsia="Times New Roman" w:hAnsi="Calibri" w:cs="Calibri"/>
                <w:lang w:eastAsia="en-ZA"/>
              </w:rPr>
              <w:t>Information Requests</w:t>
            </w:r>
          </w:p>
        </w:tc>
        <w:tc>
          <w:tcPr>
            <w:tcW w:w="747"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157</w:t>
            </w:r>
          </w:p>
        </w:tc>
        <w:tc>
          <w:tcPr>
            <w:tcW w:w="748"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158</w:t>
            </w:r>
          </w:p>
        </w:tc>
        <w:tc>
          <w:tcPr>
            <w:tcW w:w="1411"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99,4%</w:t>
            </w:r>
          </w:p>
        </w:tc>
        <w:tc>
          <w:tcPr>
            <w:tcW w:w="1133" w:type="dxa"/>
            <w:noWrap/>
            <w:hideMark/>
          </w:tcPr>
          <w:p w:rsidR="00001C9E" w:rsidRPr="000D38B7" w:rsidRDefault="00001C9E" w:rsidP="000D38B7">
            <w:pPr>
              <w:jc w:val="right"/>
              <w:cnfStyle w:val="000000000000"/>
              <w:rPr>
                <w:rFonts w:ascii="Calibri" w:eastAsia="Times New Roman" w:hAnsi="Calibri" w:cs="Calibri"/>
                <w:color w:val="000000"/>
                <w:lang w:eastAsia="en-ZA"/>
              </w:rPr>
            </w:pPr>
            <w:r w:rsidRPr="000D38B7">
              <w:rPr>
                <w:rFonts w:ascii="Calibri" w:eastAsia="Times New Roman" w:hAnsi="Calibri" w:cs="Calibri"/>
                <w:color w:val="000000"/>
                <w:lang w:eastAsia="en-ZA"/>
              </w:rPr>
              <w:t>4,37%</w:t>
            </w:r>
          </w:p>
        </w:tc>
      </w:tr>
      <w:tr w:rsidR="00001C9E" w:rsidRPr="000D38B7" w:rsidTr="00542C84">
        <w:trPr>
          <w:trHeight w:val="316"/>
          <w:jc w:val="center"/>
        </w:trPr>
        <w:tc>
          <w:tcPr>
            <w:cnfStyle w:val="001000000000"/>
            <w:tcW w:w="562" w:type="dxa"/>
            <w:noWrap/>
            <w:hideMark/>
          </w:tcPr>
          <w:p w:rsidR="00001C9E" w:rsidRPr="000D38B7" w:rsidRDefault="00001C9E" w:rsidP="000D38B7">
            <w:pPr>
              <w:jc w:val="right"/>
              <w:rPr>
                <w:rFonts w:ascii="Calibri" w:eastAsia="Times New Roman" w:hAnsi="Calibri" w:cs="Calibri"/>
                <w:b w:val="0"/>
                <w:bCs w:val="0"/>
                <w:sz w:val="28"/>
                <w:szCs w:val="28"/>
                <w:lang w:eastAsia="en-ZA"/>
              </w:rPr>
            </w:pPr>
            <w:r w:rsidRPr="000D38B7">
              <w:rPr>
                <w:rFonts w:ascii="Calibri" w:eastAsia="Times New Roman" w:hAnsi="Calibri" w:cs="Calibri"/>
                <w:b w:val="0"/>
                <w:bCs w:val="0"/>
                <w:sz w:val="28"/>
                <w:szCs w:val="28"/>
                <w:lang w:eastAsia="en-ZA"/>
              </w:rPr>
              <w:t>g</w:t>
            </w:r>
          </w:p>
        </w:tc>
        <w:tc>
          <w:tcPr>
            <w:tcW w:w="3669" w:type="dxa"/>
            <w:noWrap/>
            <w:hideMark/>
          </w:tcPr>
          <w:p w:rsidR="00001C9E" w:rsidRPr="000D38B7" w:rsidRDefault="00001C9E" w:rsidP="000D38B7">
            <w:pPr>
              <w:cnfStyle w:val="000000000000"/>
              <w:rPr>
                <w:rFonts w:ascii="Calibri" w:eastAsia="Times New Roman" w:hAnsi="Calibri" w:cs="Calibri"/>
                <w:lang w:eastAsia="en-ZA"/>
              </w:rPr>
            </w:pPr>
            <w:r w:rsidRPr="000D38B7">
              <w:rPr>
                <w:rFonts w:ascii="Calibri" w:eastAsia="Times New Roman" w:hAnsi="Calibri" w:cs="Calibri"/>
                <w:lang w:eastAsia="en-ZA"/>
              </w:rPr>
              <w:t>Minutes</w:t>
            </w:r>
          </w:p>
        </w:tc>
        <w:tc>
          <w:tcPr>
            <w:tcW w:w="747"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825</w:t>
            </w:r>
          </w:p>
        </w:tc>
        <w:tc>
          <w:tcPr>
            <w:tcW w:w="748"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861</w:t>
            </w:r>
          </w:p>
        </w:tc>
        <w:tc>
          <w:tcPr>
            <w:tcW w:w="1411"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95,82%</w:t>
            </w:r>
          </w:p>
        </w:tc>
        <w:tc>
          <w:tcPr>
            <w:tcW w:w="1133" w:type="dxa"/>
            <w:noWrap/>
            <w:hideMark/>
          </w:tcPr>
          <w:p w:rsidR="00001C9E" w:rsidRPr="000D38B7" w:rsidRDefault="00001C9E" w:rsidP="000D38B7">
            <w:pPr>
              <w:jc w:val="right"/>
              <w:cnfStyle w:val="000000000000"/>
              <w:rPr>
                <w:rFonts w:ascii="Calibri" w:eastAsia="Times New Roman" w:hAnsi="Calibri" w:cs="Calibri"/>
                <w:color w:val="000000"/>
                <w:lang w:eastAsia="en-ZA"/>
              </w:rPr>
            </w:pPr>
            <w:r w:rsidRPr="000D38B7">
              <w:rPr>
                <w:rFonts w:ascii="Calibri" w:eastAsia="Times New Roman" w:hAnsi="Calibri" w:cs="Calibri"/>
                <w:color w:val="000000"/>
                <w:lang w:eastAsia="en-ZA"/>
              </w:rPr>
              <w:t>5,82%</w:t>
            </w:r>
          </w:p>
        </w:tc>
      </w:tr>
      <w:tr w:rsidR="00001C9E" w:rsidRPr="000D38B7" w:rsidTr="00542C84">
        <w:trPr>
          <w:trHeight w:val="316"/>
          <w:jc w:val="center"/>
        </w:trPr>
        <w:tc>
          <w:tcPr>
            <w:cnfStyle w:val="001000000000"/>
            <w:tcW w:w="562" w:type="dxa"/>
            <w:noWrap/>
            <w:hideMark/>
          </w:tcPr>
          <w:p w:rsidR="00001C9E" w:rsidRPr="000D38B7" w:rsidRDefault="00001C9E" w:rsidP="000D38B7">
            <w:pPr>
              <w:jc w:val="right"/>
              <w:rPr>
                <w:rFonts w:ascii="Calibri" w:eastAsia="Times New Roman" w:hAnsi="Calibri" w:cs="Calibri"/>
                <w:b w:val="0"/>
                <w:bCs w:val="0"/>
                <w:sz w:val="28"/>
                <w:szCs w:val="28"/>
                <w:lang w:eastAsia="en-ZA"/>
              </w:rPr>
            </w:pPr>
            <w:r w:rsidRPr="000D38B7">
              <w:rPr>
                <w:rFonts w:ascii="Calibri" w:eastAsia="Times New Roman" w:hAnsi="Calibri" w:cs="Calibri"/>
                <w:b w:val="0"/>
                <w:bCs w:val="0"/>
                <w:sz w:val="28"/>
                <w:szCs w:val="28"/>
                <w:lang w:eastAsia="en-ZA"/>
              </w:rPr>
              <w:t>h</w:t>
            </w:r>
          </w:p>
        </w:tc>
        <w:tc>
          <w:tcPr>
            <w:tcW w:w="3669" w:type="dxa"/>
            <w:noWrap/>
            <w:hideMark/>
          </w:tcPr>
          <w:p w:rsidR="00001C9E" w:rsidRPr="000D38B7" w:rsidRDefault="00001C9E" w:rsidP="000D38B7">
            <w:pPr>
              <w:cnfStyle w:val="000000000000"/>
              <w:rPr>
                <w:rFonts w:ascii="Calibri" w:eastAsia="Times New Roman" w:hAnsi="Calibri" w:cs="Calibri"/>
                <w:lang w:eastAsia="en-ZA"/>
              </w:rPr>
            </w:pPr>
            <w:r w:rsidRPr="000D38B7">
              <w:rPr>
                <w:rFonts w:ascii="Calibri" w:eastAsia="Times New Roman" w:hAnsi="Calibri" w:cs="Calibri"/>
                <w:lang w:eastAsia="en-ZA"/>
              </w:rPr>
              <w:t>Reports</w:t>
            </w:r>
          </w:p>
        </w:tc>
        <w:tc>
          <w:tcPr>
            <w:tcW w:w="747"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227</w:t>
            </w:r>
          </w:p>
        </w:tc>
        <w:tc>
          <w:tcPr>
            <w:tcW w:w="748"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238</w:t>
            </w:r>
          </w:p>
        </w:tc>
        <w:tc>
          <w:tcPr>
            <w:tcW w:w="1411"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95,38%</w:t>
            </w:r>
          </w:p>
        </w:tc>
        <w:tc>
          <w:tcPr>
            <w:tcW w:w="1133" w:type="dxa"/>
            <w:noWrap/>
            <w:hideMark/>
          </w:tcPr>
          <w:p w:rsidR="00001C9E" w:rsidRPr="000D38B7" w:rsidRDefault="00001C9E" w:rsidP="000D38B7">
            <w:pPr>
              <w:jc w:val="right"/>
              <w:cnfStyle w:val="000000000000"/>
              <w:rPr>
                <w:rFonts w:ascii="Calibri" w:eastAsia="Times New Roman" w:hAnsi="Calibri" w:cs="Calibri"/>
                <w:color w:val="000000"/>
                <w:lang w:eastAsia="en-ZA"/>
              </w:rPr>
            </w:pPr>
            <w:r w:rsidRPr="000D38B7">
              <w:rPr>
                <w:rFonts w:ascii="Calibri" w:eastAsia="Times New Roman" w:hAnsi="Calibri" w:cs="Calibri"/>
                <w:color w:val="000000"/>
                <w:lang w:eastAsia="en-ZA"/>
              </w:rPr>
              <w:t>0,38%</w:t>
            </w:r>
          </w:p>
        </w:tc>
      </w:tr>
      <w:tr w:rsidR="00001C9E" w:rsidRPr="000D38B7" w:rsidTr="00542C84">
        <w:trPr>
          <w:trHeight w:val="316"/>
          <w:jc w:val="center"/>
        </w:trPr>
        <w:tc>
          <w:tcPr>
            <w:cnfStyle w:val="001000000000"/>
            <w:tcW w:w="562" w:type="dxa"/>
            <w:noWrap/>
            <w:hideMark/>
          </w:tcPr>
          <w:p w:rsidR="00001C9E" w:rsidRPr="000D38B7" w:rsidRDefault="00001C9E" w:rsidP="000D38B7">
            <w:pPr>
              <w:jc w:val="right"/>
              <w:rPr>
                <w:rFonts w:ascii="Calibri" w:eastAsia="Times New Roman" w:hAnsi="Calibri" w:cs="Calibri"/>
                <w:b w:val="0"/>
                <w:bCs w:val="0"/>
                <w:sz w:val="28"/>
                <w:szCs w:val="28"/>
                <w:lang w:eastAsia="en-ZA"/>
              </w:rPr>
            </w:pPr>
            <w:r w:rsidRPr="000D38B7">
              <w:rPr>
                <w:rFonts w:ascii="Calibri" w:eastAsia="Times New Roman" w:hAnsi="Calibri" w:cs="Calibri"/>
                <w:b w:val="0"/>
                <w:bCs w:val="0"/>
                <w:sz w:val="28"/>
                <w:szCs w:val="28"/>
                <w:lang w:eastAsia="en-ZA"/>
              </w:rPr>
              <w:t>i</w:t>
            </w:r>
          </w:p>
        </w:tc>
        <w:tc>
          <w:tcPr>
            <w:tcW w:w="3669" w:type="dxa"/>
            <w:noWrap/>
            <w:hideMark/>
          </w:tcPr>
          <w:p w:rsidR="00001C9E" w:rsidRPr="000D38B7" w:rsidRDefault="00001C9E" w:rsidP="000D38B7">
            <w:pPr>
              <w:cnfStyle w:val="000000000000"/>
              <w:rPr>
                <w:rFonts w:ascii="Calibri" w:eastAsia="Times New Roman" w:hAnsi="Calibri" w:cs="Calibri"/>
                <w:lang w:eastAsia="en-ZA"/>
              </w:rPr>
            </w:pPr>
            <w:r w:rsidRPr="000D38B7">
              <w:rPr>
                <w:rFonts w:ascii="Calibri" w:eastAsia="Times New Roman" w:hAnsi="Calibri" w:cs="Calibri"/>
                <w:lang w:eastAsia="en-ZA"/>
              </w:rPr>
              <w:t>Hansard</w:t>
            </w:r>
          </w:p>
        </w:tc>
        <w:tc>
          <w:tcPr>
            <w:tcW w:w="747"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3</w:t>
            </w:r>
          </w:p>
        </w:tc>
        <w:tc>
          <w:tcPr>
            <w:tcW w:w="748"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63</w:t>
            </w:r>
          </w:p>
        </w:tc>
        <w:tc>
          <w:tcPr>
            <w:tcW w:w="1411" w:type="dxa"/>
            <w:noWrap/>
            <w:hideMark/>
          </w:tcPr>
          <w:p w:rsidR="00001C9E" w:rsidRPr="000D38B7" w:rsidRDefault="00001C9E" w:rsidP="000D38B7">
            <w:pPr>
              <w:jc w:val="right"/>
              <w:cnfStyle w:val="000000000000"/>
              <w:rPr>
                <w:rFonts w:ascii="Calibri" w:eastAsia="Times New Roman" w:hAnsi="Calibri" w:cs="Calibri"/>
                <w:color w:val="FF0000"/>
                <w:lang w:eastAsia="en-ZA"/>
              </w:rPr>
            </w:pPr>
            <w:r w:rsidRPr="000D38B7">
              <w:rPr>
                <w:rFonts w:ascii="Calibri" w:eastAsia="Times New Roman" w:hAnsi="Calibri" w:cs="Calibri"/>
                <w:color w:val="FF0000"/>
                <w:lang w:eastAsia="en-ZA"/>
              </w:rPr>
              <w:t>4,76%</w:t>
            </w:r>
          </w:p>
        </w:tc>
        <w:tc>
          <w:tcPr>
            <w:tcW w:w="1133" w:type="dxa"/>
            <w:noWrap/>
            <w:hideMark/>
          </w:tcPr>
          <w:p w:rsidR="00001C9E" w:rsidRPr="000D38B7" w:rsidRDefault="00001C9E" w:rsidP="000D38B7">
            <w:pPr>
              <w:jc w:val="right"/>
              <w:cnfStyle w:val="000000000000"/>
              <w:rPr>
                <w:rFonts w:ascii="Calibri" w:eastAsia="Times New Roman" w:hAnsi="Calibri" w:cs="Calibri"/>
                <w:color w:val="FF0000"/>
                <w:lang w:eastAsia="en-ZA"/>
              </w:rPr>
            </w:pPr>
            <w:r w:rsidRPr="000D38B7">
              <w:rPr>
                <w:rFonts w:ascii="Calibri" w:eastAsia="Times New Roman" w:hAnsi="Calibri" w:cs="Calibri"/>
                <w:color w:val="FF0000"/>
                <w:lang w:eastAsia="en-ZA"/>
              </w:rPr>
              <w:t>-90,24%</w:t>
            </w:r>
          </w:p>
        </w:tc>
      </w:tr>
      <w:tr w:rsidR="00001C9E" w:rsidRPr="000D38B7" w:rsidTr="00542C84">
        <w:trPr>
          <w:trHeight w:val="316"/>
          <w:jc w:val="center"/>
        </w:trPr>
        <w:tc>
          <w:tcPr>
            <w:cnfStyle w:val="001000000000"/>
            <w:tcW w:w="562" w:type="dxa"/>
            <w:noWrap/>
            <w:hideMark/>
          </w:tcPr>
          <w:p w:rsidR="00001C9E" w:rsidRPr="000D38B7" w:rsidRDefault="00001C9E" w:rsidP="000D38B7">
            <w:pPr>
              <w:jc w:val="right"/>
              <w:rPr>
                <w:rFonts w:ascii="Calibri" w:eastAsia="Times New Roman" w:hAnsi="Calibri" w:cs="Calibri"/>
                <w:b w:val="0"/>
                <w:bCs w:val="0"/>
                <w:sz w:val="28"/>
                <w:szCs w:val="28"/>
                <w:lang w:eastAsia="en-ZA"/>
              </w:rPr>
            </w:pPr>
            <w:r w:rsidRPr="000D38B7">
              <w:rPr>
                <w:rFonts w:ascii="Calibri" w:eastAsia="Times New Roman" w:hAnsi="Calibri" w:cs="Calibri"/>
                <w:b w:val="0"/>
                <w:bCs w:val="0"/>
                <w:sz w:val="28"/>
                <w:szCs w:val="28"/>
                <w:lang w:eastAsia="en-ZA"/>
              </w:rPr>
              <w:t>j</w:t>
            </w:r>
          </w:p>
        </w:tc>
        <w:tc>
          <w:tcPr>
            <w:tcW w:w="3669" w:type="dxa"/>
            <w:noWrap/>
            <w:hideMark/>
          </w:tcPr>
          <w:p w:rsidR="00001C9E" w:rsidRPr="000D38B7" w:rsidRDefault="00001C9E" w:rsidP="000D38B7">
            <w:pPr>
              <w:cnfStyle w:val="000000000000"/>
              <w:rPr>
                <w:rFonts w:ascii="Calibri" w:eastAsia="Times New Roman" w:hAnsi="Calibri" w:cs="Calibri"/>
                <w:lang w:eastAsia="en-ZA"/>
              </w:rPr>
            </w:pPr>
            <w:r w:rsidRPr="000D38B7">
              <w:rPr>
                <w:rFonts w:ascii="Calibri" w:eastAsia="Times New Roman" w:hAnsi="Calibri" w:cs="Calibri"/>
                <w:lang w:eastAsia="en-ZA"/>
              </w:rPr>
              <w:t>Interpretation</w:t>
            </w:r>
          </w:p>
        </w:tc>
        <w:tc>
          <w:tcPr>
            <w:tcW w:w="747"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539</w:t>
            </w:r>
          </w:p>
        </w:tc>
        <w:tc>
          <w:tcPr>
            <w:tcW w:w="748"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570</w:t>
            </w:r>
          </w:p>
        </w:tc>
        <w:tc>
          <w:tcPr>
            <w:tcW w:w="1411" w:type="dxa"/>
            <w:noWrap/>
            <w:hideMark/>
          </w:tcPr>
          <w:p w:rsidR="00001C9E" w:rsidRPr="000D38B7" w:rsidRDefault="00001C9E" w:rsidP="000D38B7">
            <w:pPr>
              <w:jc w:val="right"/>
              <w:cnfStyle w:val="000000000000"/>
              <w:rPr>
                <w:rFonts w:ascii="Calibri" w:eastAsia="Times New Roman" w:hAnsi="Calibri" w:cs="Calibri"/>
                <w:color w:val="FF0000"/>
                <w:lang w:eastAsia="en-ZA"/>
              </w:rPr>
            </w:pPr>
            <w:r w:rsidRPr="000D38B7">
              <w:rPr>
                <w:rFonts w:ascii="Calibri" w:eastAsia="Times New Roman" w:hAnsi="Calibri" w:cs="Calibri"/>
                <w:color w:val="FF0000"/>
                <w:lang w:eastAsia="en-ZA"/>
              </w:rPr>
              <w:t>94,56%</w:t>
            </w:r>
          </w:p>
        </w:tc>
        <w:tc>
          <w:tcPr>
            <w:tcW w:w="1133" w:type="dxa"/>
            <w:noWrap/>
            <w:hideMark/>
          </w:tcPr>
          <w:p w:rsidR="00001C9E" w:rsidRPr="000D38B7" w:rsidRDefault="00001C9E" w:rsidP="000D38B7">
            <w:pPr>
              <w:jc w:val="right"/>
              <w:cnfStyle w:val="000000000000"/>
              <w:rPr>
                <w:rFonts w:ascii="Calibri" w:eastAsia="Times New Roman" w:hAnsi="Calibri" w:cs="Calibri"/>
                <w:color w:val="FF0000"/>
                <w:lang w:eastAsia="en-ZA"/>
              </w:rPr>
            </w:pPr>
            <w:r w:rsidRPr="000D38B7">
              <w:rPr>
                <w:rFonts w:ascii="Calibri" w:eastAsia="Times New Roman" w:hAnsi="Calibri" w:cs="Calibri"/>
                <w:color w:val="FF0000"/>
                <w:lang w:eastAsia="en-ZA"/>
              </w:rPr>
              <w:t>-0,44%</w:t>
            </w:r>
          </w:p>
        </w:tc>
      </w:tr>
      <w:tr w:rsidR="00001C9E" w:rsidRPr="000D38B7" w:rsidTr="00542C84">
        <w:trPr>
          <w:trHeight w:val="316"/>
          <w:jc w:val="center"/>
        </w:trPr>
        <w:tc>
          <w:tcPr>
            <w:cnfStyle w:val="001000000000"/>
            <w:tcW w:w="562" w:type="dxa"/>
            <w:noWrap/>
            <w:hideMark/>
          </w:tcPr>
          <w:p w:rsidR="00001C9E" w:rsidRPr="000D38B7" w:rsidRDefault="00001C9E" w:rsidP="000D38B7">
            <w:pPr>
              <w:jc w:val="right"/>
              <w:rPr>
                <w:rFonts w:ascii="Calibri" w:eastAsia="Times New Roman" w:hAnsi="Calibri" w:cs="Calibri"/>
                <w:b w:val="0"/>
                <w:bCs w:val="0"/>
                <w:sz w:val="28"/>
                <w:szCs w:val="28"/>
                <w:lang w:eastAsia="en-ZA"/>
              </w:rPr>
            </w:pPr>
            <w:r w:rsidRPr="000D38B7">
              <w:rPr>
                <w:rFonts w:ascii="Calibri" w:eastAsia="Times New Roman" w:hAnsi="Calibri" w:cs="Calibri"/>
                <w:b w:val="0"/>
                <w:bCs w:val="0"/>
                <w:sz w:val="28"/>
                <w:szCs w:val="28"/>
                <w:lang w:eastAsia="en-ZA"/>
              </w:rPr>
              <w:t>k</w:t>
            </w:r>
          </w:p>
        </w:tc>
        <w:tc>
          <w:tcPr>
            <w:tcW w:w="3669" w:type="dxa"/>
            <w:noWrap/>
            <w:hideMark/>
          </w:tcPr>
          <w:p w:rsidR="00001C9E" w:rsidRPr="000D38B7" w:rsidRDefault="00001C9E" w:rsidP="000D38B7">
            <w:pPr>
              <w:cnfStyle w:val="000000000000"/>
              <w:rPr>
                <w:rFonts w:ascii="Calibri" w:eastAsia="Times New Roman" w:hAnsi="Calibri" w:cs="Calibri"/>
                <w:lang w:eastAsia="en-ZA"/>
              </w:rPr>
            </w:pPr>
            <w:r w:rsidRPr="000D38B7">
              <w:rPr>
                <w:rFonts w:ascii="Calibri" w:eastAsia="Times New Roman" w:hAnsi="Calibri" w:cs="Calibri"/>
                <w:lang w:eastAsia="en-ZA"/>
              </w:rPr>
              <w:t>Translations</w:t>
            </w:r>
          </w:p>
        </w:tc>
        <w:tc>
          <w:tcPr>
            <w:tcW w:w="747"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199</w:t>
            </w:r>
          </w:p>
        </w:tc>
        <w:tc>
          <w:tcPr>
            <w:tcW w:w="748"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206</w:t>
            </w:r>
          </w:p>
        </w:tc>
        <w:tc>
          <w:tcPr>
            <w:tcW w:w="1411"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96,60%</w:t>
            </w:r>
          </w:p>
        </w:tc>
        <w:tc>
          <w:tcPr>
            <w:tcW w:w="1133" w:type="dxa"/>
            <w:noWrap/>
            <w:hideMark/>
          </w:tcPr>
          <w:p w:rsidR="00001C9E" w:rsidRPr="000D38B7" w:rsidRDefault="00001C9E" w:rsidP="000D38B7">
            <w:pPr>
              <w:jc w:val="right"/>
              <w:cnfStyle w:val="000000000000"/>
              <w:rPr>
                <w:rFonts w:ascii="Calibri" w:eastAsia="Times New Roman" w:hAnsi="Calibri" w:cs="Calibri"/>
                <w:color w:val="000000"/>
                <w:lang w:eastAsia="en-ZA"/>
              </w:rPr>
            </w:pPr>
            <w:r w:rsidRPr="000D38B7">
              <w:rPr>
                <w:rFonts w:ascii="Calibri" w:eastAsia="Times New Roman" w:hAnsi="Calibri" w:cs="Calibri"/>
                <w:color w:val="000000"/>
                <w:lang w:eastAsia="en-ZA"/>
              </w:rPr>
              <w:t>1,60%</w:t>
            </w:r>
          </w:p>
        </w:tc>
      </w:tr>
      <w:tr w:rsidR="00001C9E" w:rsidRPr="000D38B7" w:rsidTr="00542C84">
        <w:trPr>
          <w:trHeight w:val="316"/>
          <w:jc w:val="center"/>
        </w:trPr>
        <w:tc>
          <w:tcPr>
            <w:cnfStyle w:val="001000000000"/>
            <w:tcW w:w="562" w:type="dxa"/>
            <w:noWrap/>
            <w:hideMark/>
          </w:tcPr>
          <w:p w:rsidR="00001C9E" w:rsidRPr="000D38B7" w:rsidRDefault="00001C9E" w:rsidP="000D38B7">
            <w:pPr>
              <w:jc w:val="right"/>
              <w:rPr>
                <w:rFonts w:ascii="Calibri" w:eastAsia="Times New Roman" w:hAnsi="Calibri" w:cs="Calibri"/>
                <w:b w:val="0"/>
                <w:bCs w:val="0"/>
                <w:sz w:val="28"/>
                <w:szCs w:val="28"/>
                <w:lang w:eastAsia="en-ZA"/>
              </w:rPr>
            </w:pPr>
            <w:r w:rsidRPr="000D38B7">
              <w:rPr>
                <w:rFonts w:ascii="Calibri" w:eastAsia="Times New Roman" w:hAnsi="Calibri" w:cs="Calibri"/>
                <w:b w:val="0"/>
                <w:bCs w:val="0"/>
                <w:sz w:val="28"/>
                <w:szCs w:val="28"/>
                <w:lang w:eastAsia="en-ZA"/>
              </w:rPr>
              <w:t>l</w:t>
            </w:r>
          </w:p>
        </w:tc>
        <w:tc>
          <w:tcPr>
            <w:tcW w:w="3669" w:type="dxa"/>
            <w:noWrap/>
            <w:hideMark/>
          </w:tcPr>
          <w:p w:rsidR="00001C9E" w:rsidRPr="000D38B7" w:rsidRDefault="00001C9E" w:rsidP="000D38B7">
            <w:pPr>
              <w:cnfStyle w:val="000000000000"/>
              <w:rPr>
                <w:rFonts w:ascii="Calibri" w:eastAsia="Times New Roman" w:hAnsi="Calibri" w:cs="Calibri"/>
                <w:lang w:eastAsia="en-ZA"/>
              </w:rPr>
            </w:pPr>
            <w:r w:rsidRPr="000D38B7">
              <w:rPr>
                <w:rFonts w:ascii="Calibri" w:eastAsia="Times New Roman" w:hAnsi="Calibri" w:cs="Calibri"/>
                <w:lang w:eastAsia="en-ZA"/>
              </w:rPr>
              <w:t>Documentation</w:t>
            </w:r>
          </w:p>
        </w:tc>
        <w:tc>
          <w:tcPr>
            <w:tcW w:w="747"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0</w:t>
            </w:r>
          </w:p>
        </w:tc>
        <w:tc>
          <w:tcPr>
            <w:tcW w:w="748"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1</w:t>
            </w:r>
          </w:p>
        </w:tc>
        <w:tc>
          <w:tcPr>
            <w:tcW w:w="1411" w:type="dxa"/>
            <w:noWrap/>
            <w:hideMark/>
          </w:tcPr>
          <w:p w:rsidR="00001C9E" w:rsidRPr="000D38B7" w:rsidRDefault="00001C9E" w:rsidP="000D38B7">
            <w:pPr>
              <w:jc w:val="right"/>
              <w:cnfStyle w:val="000000000000"/>
              <w:rPr>
                <w:rFonts w:ascii="Calibri" w:eastAsia="Times New Roman" w:hAnsi="Calibri" w:cs="Calibri"/>
                <w:color w:val="FF0000"/>
                <w:lang w:eastAsia="en-ZA"/>
              </w:rPr>
            </w:pPr>
            <w:r w:rsidRPr="000D38B7">
              <w:rPr>
                <w:rFonts w:ascii="Calibri" w:eastAsia="Times New Roman" w:hAnsi="Calibri" w:cs="Calibri"/>
                <w:color w:val="FF0000"/>
                <w:lang w:eastAsia="en-ZA"/>
              </w:rPr>
              <w:t>0%</w:t>
            </w:r>
          </w:p>
        </w:tc>
        <w:tc>
          <w:tcPr>
            <w:tcW w:w="1133" w:type="dxa"/>
            <w:noWrap/>
            <w:hideMark/>
          </w:tcPr>
          <w:p w:rsidR="00001C9E" w:rsidRPr="000D38B7" w:rsidRDefault="00001C9E" w:rsidP="000D38B7">
            <w:pPr>
              <w:jc w:val="right"/>
              <w:cnfStyle w:val="000000000000"/>
              <w:rPr>
                <w:rFonts w:ascii="Calibri" w:eastAsia="Times New Roman" w:hAnsi="Calibri" w:cs="Calibri"/>
                <w:color w:val="FF0000"/>
                <w:lang w:eastAsia="en-ZA"/>
              </w:rPr>
            </w:pPr>
            <w:r w:rsidRPr="000D38B7">
              <w:rPr>
                <w:rFonts w:ascii="Calibri" w:eastAsia="Times New Roman" w:hAnsi="Calibri" w:cs="Calibri"/>
                <w:color w:val="FF0000"/>
                <w:lang w:eastAsia="en-ZA"/>
              </w:rPr>
              <w:t>-100,00%</w:t>
            </w:r>
          </w:p>
        </w:tc>
      </w:tr>
      <w:tr w:rsidR="00001C9E" w:rsidRPr="000D38B7" w:rsidTr="00542C84">
        <w:trPr>
          <w:trHeight w:val="316"/>
          <w:jc w:val="center"/>
        </w:trPr>
        <w:tc>
          <w:tcPr>
            <w:cnfStyle w:val="001000000000"/>
            <w:tcW w:w="562" w:type="dxa"/>
            <w:noWrap/>
            <w:hideMark/>
          </w:tcPr>
          <w:p w:rsidR="00001C9E" w:rsidRPr="000D38B7" w:rsidRDefault="00001C9E" w:rsidP="000D38B7">
            <w:pPr>
              <w:jc w:val="right"/>
              <w:rPr>
                <w:rFonts w:ascii="Calibri" w:eastAsia="Times New Roman" w:hAnsi="Calibri" w:cs="Calibri"/>
                <w:b w:val="0"/>
                <w:bCs w:val="0"/>
                <w:sz w:val="28"/>
                <w:szCs w:val="28"/>
                <w:lang w:eastAsia="en-ZA"/>
              </w:rPr>
            </w:pPr>
            <w:r w:rsidRPr="000D38B7">
              <w:rPr>
                <w:rFonts w:ascii="Calibri" w:eastAsia="Times New Roman" w:hAnsi="Calibri" w:cs="Calibri"/>
                <w:b w:val="0"/>
                <w:bCs w:val="0"/>
                <w:sz w:val="28"/>
                <w:szCs w:val="28"/>
                <w:lang w:eastAsia="en-ZA"/>
              </w:rPr>
              <w:t>m</w:t>
            </w:r>
          </w:p>
        </w:tc>
        <w:tc>
          <w:tcPr>
            <w:tcW w:w="3669" w:type="dxa"/>
            <w:noWrap/>
            <w:hideMark/>
          </w:tcPr>
          <w:p w:rsidR="00001C9E" w:rsidRPr="000D38B7" w:rsidRDefault="00001C9E" w:rsidP="000D38B7">
            <w:pPr>
              <w:cnfStyle w:val="000000000000"/>
              <w:rPr>
                <w:rFonts w:ascii="Calibri" w:eastAsia="Times New Roman" w:hAnsi="Calibri" w:cs="Calibri"/>
                <w:lang w:eastAsia="en-ZA"/>
              </w:rPr>
            </w:pPr>
            <w:r w:rsidRPr="000D38B7">
              <w:rPr>
                <w:rFonts w:ascii="Calibri" w:eastAsia="Times New Roman" w:hAnsi="Calibri" w:cs="Calibri"/>
                <w:lang w:eastAsia="en-ZA"/>
              </w:rPr>
              <w:t>OLOGB</w:t>
            </w:r>
          </w:p>
        </w:tc>
        <w:tc>
          <w:tcPr>
            <w:tcW w:w="747"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120</w:t>
            </w:r>
          </w:p>
        </w:tc>
        <w:tc>
          <w:tcPr>
            <w:tcW w:w="748"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120</w:t>
            </w:r>
          </w:p>
        </w:tc>
        <w:tc>
          <w:tcPr>
            <w:tcW w:w="1411" w:type="dxa"/>
            <w:noWrap/>
            <w:hideMark/>
          </w:tcPr>
          <w:p w:rsidR="00001C9E" w:rsidRPr="000D38B7" w:rsidRDefault="00001C9E" w:rsidP="000D38B7">
            <w:pPr>
              <w:jc w:val="right"/>
              <w:cnfStyle w:val="000000000000"/>
              <w:rPr>
                <w:rFonts w:ascii="Calibri" w:eastAsia="Times New Roman" w:hAnsi="Calibri" w:cs="Calibri"/>
                <w:lang w:eastAsia="en-ZA"/>
              </w:rPr>
            </w:pPr>
            <w:r w:rsidRPr="000D38B7">
              <w:rPr>
                <w:rFonts w:ascii="Calibri" w:eastAsia="Times New Roman" w:hAnsi="Calibri" w:cs="Calibri"/>
                <w:lang w:eastAsia="en-ZA"/>
              </w:rPr>
              <w:t>100%</w:t>
            </w:r>
          </w:p>
        </w:tc>
        <w:tc>
          <w:tcPr>
            <w:tcW w:w="1133" w:type="dxa"/>
            <w:noWrap/>
            <w:hideMark/>
          </w:tcPr>
          <w:p w:rsidR="00001C9E" w:rsidRPr="000D38B7" w:rsidRDefault="00001C9E" w:rsidP="000D38B7">
            <w:pPr>
              <w:jc w:val="right"/>
              <w:cnfStyle w:val="000000000000"/>
              <w:rPr>
                <w:rFonts w:ascii="Calibri" w:eastAsia="Times New Roman" w:hAnsi="Calibri" w:cs="Calibri"/>
                <w:color w:val="000000"/>
                <w:lang w:eastAsia="en-ZA"/>
              </w:rPr>
            </w:pPr>
            <w:r w:rsidRPr="000D38B7">
              <w:rPr>
                <w:rFonts w:ascii="Calibri" w:eastAsia="Times New Roman" w:hAnsi="Calibri" w:cs="Calibri"/>
                <w:color w:val="000000"/>
                <w:lang w:eastAsia="en-ZA"/>
              </w:rPr>
              <w:t>0,00%</w:t>
            </w:r>
          </w:p>
        </w:tc>
      </w:tr>
      <w:tr w:rsidR="00001C9E" w:rsidRPr="000D38B7" w:rsidTr="00542C84">
        <w:trPr>
          <w:trHeight w:val="316"/>
          <w:jc w:val="center"/>
        </w:trPr>
        <w:tc>
          <w:tcPr>
            <w:cnfStyle w:val="001000000000"/>
            <w:tcW w:w="562" w:type="dxa"/>
            <w:noWrap/>
            <w:hideMark/>
          </w:tcPr>
          <w:p w:rsidR="00001C9E" w:rsidRPr="000D38B7" w:rsidRDefault="00001C9E" w:rsidP="000D38B7">
            <w:pPr>
              <w:jc w:val="right"/>
              <w:rPr>
                <w:rFonts w:ascii="Calibri" w:eastAsia="Times New Roman" w:hAnsi="Calibri" w:cs="Calibri"/>
                <w:b w:val="0"/>
                <w:bCs w:val="0"/>
                <w:sz w:val="28"/>
                <w:szCs w:val="28"/>
                <w:lang w:eastAsia="en-ZA"/>
              </w:rPr>
            </w:pPr>
            <w:r w:rsidRPr="000D38B7">
              <w:rPr>
                <w:rFonts w:ascii="Calibri" w:eastAsia="Times New Roman" w:hAnsi="Calibri" w:cs="Calibri"/>
                <w:b w:val="0"/>
                <w:bCs w:val="0"/>
                <w:sz w:val="28"/>
                <w:szCs w:val="28"/>
                <w:lang w:eastAsia="en-ZA"/>
              </w:rPr>
              <w:t>2.1</w:t>
            </w:r>
          </w:p>
        </w:tc>
        <w:tc>
          <w:tcPr>
            <w:tcW w:w="3669" w:type="dxa"/>
            <w:noWrap/>
            <w:hideMark/>
          </w:tcPr>
          <w:p w:rsidR="00001C9E" w:rsidRPr="000D38B7" w:rsidRDefault="00001C9E" w:rsidP="000D38B7">
            <w:pPr>
              <w:cnfStyle w:val="000000000000"/>
              <w:rPr>
                <w:rFonts w:ascii="Calibri" w:eastAsia="Times New Roman" w:hAnsi="Calibri" w:cs="Calibri"/>
                <w:b/>
                <w:bCs/>
                <w:sz w:val="24"/>
                <w:szCs w:val="24"/>
                <w:lang w:eastAsia="en-ZA"/>
              </w:rPr>
            </w:pPr>
            <w:r w:rsidRPr="000D38B7">
              <w:rPr>
                <w:rFonts w:ascii="Calibri" w:eastAsia="Times New Roman" w:hAnsi="Calibri" w:cs="Calibri"/>
                <w:b/>
                <w:bCs/>
                <w:sz w:val="24"/>
                <w:szCs w:val="24"/>
                <w:lang w:eastAsia="en-ZA"/>
              </w:rPr>
              <w:t>Service Charter Provision</w:t>
            </w:r>
          </w:p>
        </w:tc>
        <w:tc>
          <w:tcPr>
            <w:tcW w:w="1495" w:type="dxa"/>
            <w:gridSpan w:val="2"/>
            <w:noWrap/>
            <w:hideMark/>
          </w:tcPr>
          <w:p w:rsidR="00001C9E" w:rsidRPr="000D38B7" w:rsidRDefault="00001C9E" w:rsidP="000D38B7">
            <w:pPr>
              <w:jc w:val="center"/>
              <w:cnfStyle w:val="000000000000"/>
              <w:rPr>
                <w:rFonts w:ascii="Calibri" w:eastAsia="Times New Roman" w:hAnsi="Calibri" w:cs="Calibri"/>
                <w:lang w:eastAsia="en-ZA"/>
              </w:rPr>
            </w:pPr>
            <w:r w:rsidRPr="000D38B7">
              <w:rPr>
                <w:rFonts w:ascii="Calibri" w:eastAsia="Times New Roman" w:hAnsi="Calibri" w:cs="Calibri"/>
                <w:lang w:eastAsia="en-ZA"/>
              </w:rPr>
              <w:t> </w:t>
            </w:r>
          </w:p>
        </w:tc>
        <w:tc>
          <w:tcPr>
            <w:tcW w:w="1411" w:type="dxa"/>
            <w:noWrap/>
            <w:hideMark/>
          </w:tcPr>
          <w:p w:rsidR="00001C9E" w:rsidRPr="000D38B7" w:rsidRDefault="00001C9E" w:rsidP="000D38B7">
            <w:pPr>
              <w:jc w:val="right"/>
              <w:cnfStyle w:val="000000000000"/>
              <w:rPr>
                <w:rFonts w:ascii="Calibri" w:eastAsia="Times New Roman" w:hAnsi="Calibri" w:cs="Calibri"/>
                <w:b/>
                <w:color w:val="FF0000"/>
                <w:lang w:eastAsia="en-ZA"/>
              </w:rPr>
            </w:pPr>
            <w:r w:rsidRPr="000D38B7">
              <w:rPr>
                <w:rFonts w:ascii="Calibri" w:eastAsia="Times New Roman" w:hAnsi="Calibri" w:cs="Calibri"/>
                <w:b/>
                <w:color w:val="FF0000"/>
                <w:lang w:eastAsia="en-ZA"/>
              </w:rPr>
              <w:t>83,34%</w:t>
            </w:r>
          </w:p>
        </w:tc>
        <w:tc>
          <w:tcPr>
            <w:tcW w:w="1133" w:type="dxa"/>
            <w:noWrap/>
            <w:hideMark/>
          </w:tcPr>
          <w:p w:rsidR="00001C9E" w:rsidRPr="000D38B7" w:rsidRDefault="00001C9E" w:rsidP="000D38B7">
            <w:pPr>
              <w:jc w:val="right"/>
              <w:cnfStyle w:val="000000000000"/>
              <w:rPr>
                <w:rFonts w:ascii="Calibri" w:eastAsia="Times New Roman" w:hAnsi="Calibri" w:cs="Calibri"/>
                <w:b/>
                <w:color w:val="FF0000"/>
                <w:lang w:eastAsia="en-ZA"/>
              </w:rPr>
            </w:pPr>
            <w:r w:rsidRPr="000D38B7">
              <w:rPr>
                <w:rFonts w:ascii="Calibri" w:eastAsia="Times New Roman" w:hAnsi="Calibri" w:cs="Calibri"/>
                <w:b/>
                <w:color w:val="FF0000"/>
                <w:lang w:eastAsia="en-ZA"/>
              </w:rPr>
              <w:t>-9,66%</w:t>
            </w:r>
          </w:p>
        </w:tc>
      </w:tr>
    </w:tbl>
    <w:p w:rsidR="00454050" w:rsidRDefault="00454050" w:rsidP="00454050">
      <w:pPr>
        <w:jc w:val="both"/>
        <w:rPr>
          <w:rFonts w:ascii="Arial" w:hAnsi="Arial" w:cs="Arial"/>
        </w:rPr>
      </w:pPr>
    </w:p>
    <w:p w:rsidR="00494407" w:rsidRDefault="00494407" w:rsidP="00CB0849">
      <w:pPr>
        <w:rPr>
          <w:rFonts w:ascii="Calibri" w:hAnsi="Calibri" w:cs="Calibri"/>
        </w:rPr>
      </w:pPr>
      <w:r w:rsidRPr="00CB0849">
        <w:rPr>
          <w:rFonts w:ascii="Calibri" w:hAnsi="Calibri" w:cs="Calibri"/>
        </w:rPr>
        <w:t xml:space="preserve">With regards to volumes of work, for 8 of the 13 indicators, volumes at the mid-year 2020/21 are higher than in the same period for 2019/20, as illustrated below: </w:t>
      </w:r>
    </w:p>
    <w:p w:rsidR="00CB0849" w:rsidRPr="00CB0849" w:rsidRDefault="00CB0849" w:rsidP="00CB0849">
      <w:pPr>
        <w:rPr>
          <w:rFonts w:ascii="Calibri" w:hAnsi="Calibri" w:cs="Calibri"/>
        </w:rPr>
      </w:pPr>
    </w:p>
    <w:p w:rsidR="00494407" w:rsidRDefault="00494407" w:rsidP="00494407">
      <w:pPr>
        <w:jc w:val="center"/>
        <w:rPr>
          <w:rFonts w:ascii="Arial" w:hAnsi="Arial" w:cs="Arial"/>
        </w:rPr>
      </w:pPr>
      <w:r w:rsidRPr="00494407">
        <w:rPr>
          <w:noProof/>
          <w:lang w:eastAsia="en-ZA"/>
        </w:rPr>
        <w:lastRenderedPageBreak/>
        <w:drawing>
          <wp:inline distT="0" distB="0" distL="0" distR="0">
            <wp:extent cx="3856008" cy="3577467"/>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63811" cy="3584706"/>
                    </a:xfrm>
                    <a:prstGeom prst="rect">
                      <a:avLst/>
                    </a:prstGeom>
                    <a:noFill/>
                    <a:ln>
                      <a:noFill/>
                    </a:ln>
                  </pic:spPr>
                </pic:pic>
              </a:graphicData>
            </a:graphic>
          </wp:inline>
        </w:drawing>
      </w:r>
    </w:p>
    <w:p w:rsidR="00607E0F" w:rsidRPr="003C079E" w:rsidRDefault="003C079E" w:rsidP="003B5E3A">
      <w:pPr>
        <w:pStyle w:val="Heading4"/>
        <w:numPr>
          <w:ilvl w:val="0"/>
          <w:numId w:val="6"/>
        </w:numPr>
      </w:pPr>
      <w:r w:rsidRPr="003C079E">
        <w:t>Public Involvement</w:t>
      </w:r>
    </w:p>
    <w:p w:rsidR="007254B5" w:rsidRPr="007D79B1" w:rsidRDefault="007254B5" w:rsidP="00262239">
      <w:pPr>
        <w:jc w:val="both"/>
        <w:rPr>
          <w:rFonts w:ascii="Calibri" w:hAnsi="Calibri" w:cs="Calibri"/>
        </w:rPr>
      </w:pPr>
    </w:p>
    <w:p w:rsidR="003C079E" w:rsidRPr="007D79B1" w:rsidRDefault="003C079E" w:rsidP="00262239">
      <w:pPr>
        <w:jc w:val="both"/>
        <w:rPr>
          <w:rFonts w:ascii="Calibri" w:hAnsi="Calibri" w:cs="Calibri"/>
        </w:rPr>
      </w:pPr>
      <w:r w:rsidRPr="007D79B1">
        <w:rPr>
          <w:rFonts w:ascii="Calibri" w:hAnsi="Calibri" w:cs="Calibri"/>
        </w:rPr>
        <w:t>Involvement and participation by the public are key to ensure participatory democracy and more responsive government. Increased public participation will require improved information dissemination and greater access for people to participate. In turn, this will require the use of more languages, broadcasting on radio, social media and mobile technology, and the use of external networks to reach communities and people. Greater access to participate in Parliament will require more joint public hearings, e-hearings, online submissions, and better use of constituency offices.</w:t>
      </w:r>
    </w:p>
    <w:p w:rsidR="00271E6B" w:rsidRPr="007D79B1" w:rsidRDefault="00271E6B" w:rsidP="00262239">
      <w:pPr>
        <w:jc w:val="both"/>
        <w:rPr>
          <w:rFonts w:ascii="Calibri" w:hAnsi="Calibri" w:cs="Calibri"/>
        </w:rPr>
      </w:pPr>
    </w:p>
    <w:tbl>
      <w:tblPr>
        <w:tblStyle w:val="GridTable4Accent5"/>
        <w:tblW w:w="10348" w:type="dxa"/>
        <w:tblInd w:w="-147" w:type="dxa"/>
        <w:tblLayout w:type="fixed"/>
        <w:tblLook w:val="04A0"/>
      </w:tblPr>
      <w:tblGrid>
        <w:gridCol w:w="2223"/>
        <w:gridCol w:w="46"/>
        <w:gridCol w:w="1938"/>
        <w:gridCol w:w="1701"/>
        <w:gridCol w:w="1464"/>
        <w:gridCol w:w="1088"/>
        <w:gridCol w:w="1888"/>
      </w:tblGrid>
      <w:tr w:rsidR="003C079E" w:rsidRPr="00027CA6" w:rsidTr="00CE5F5D">
        <w:trPr>
          <w:cnfStyle w:val="100000000000"/>
          <w:trHeight w:val="583"/>
        </w:trPr>
        <w:tc>
          <w:tcPr>
            <w:cnfStyle w:val="001000000000"/>
            <w:tcW w:w="2269" w:type="dxa"/>
            <w:gridSpan w:val="2"/>
          </w:tcPr>
          <w:p w:rsidR="003C079E" w:rsidRPr="00027CA6" w:rsidRDefault="003C079E" w:rsidP="003C079E">
            <w:pPr>
              <w:pStyle w:val="ColorfulList-Accent11"/>
              <w:ind w:left="0"/>
              <w:rPr>
                <w:rFonts w:cs="Calibri"/>
                <w:bCs w:val="0"/>
              </w:rPr>
            </w:pPr>
            <w:r>
              <w:rPr>
                <w:rFonts w:cs="Calibri"/>
                <w:b w:val="0"/>
              </w:rPr>
              <w:t>Parliamentary Service</w:t>
            </w:r>
          </w:p>
        </w:tc>
        <w:tc>
          <w:tcPr>
            <w:tcW w:w="1938" w:type="dxa"/>
          </w:tcPr>
          <w:p w:rsidR="003C079E" w:rsidRPr="00027CA6" w:rsidRDefault="003C079E" w:rsidP="003C079E">
            <w:pPr>
              <w:pStyle w:val="ColorfulList-Accent11"/>
              <w:ind w:left="0"/>
              <w:cnfStyle w:val="100000000000"/>
              <w:rPr>
                <w:rFonts w:cs="Calibri"/>
                <w:b w:val="0"/>
              </w:rPr>
            </w:pPr>
            <w:r>
              <w:rPr>
                <w:rFonts w:cs="Calibri"/>
                <w:b w:val="0"/>
              </w:rPr>
              <w:t>Indicator</w:t>
            </w:r>
          </w:p>
        </w:tc>
        <w:tc>
          <w:tcPr>
            <w:tcW w:w="1701" w:type="dxa"/>
          </w:tcPr>
          <w:p w:rsidR="009E5AD2" w:rsidRDefault="009E5AD2" w:rsidP="003C079E">
            <w:pPr>
              <w:pStyle w:val="ColorfulList-Accent11"/>
              <w:ind w:left="0"/>
              <w:cnfStyle w:val="100000000000"/>
              <w:rPr>
                <w:rFonts w:cs="Calibri"/>
              </w:rPr>
            </w:pPr>
            <w:r>
              <w:rPr>
                <w:rFonts w:cs="Calibri"/>
              </w:rPr>
              <w:t>Mid-Year</w:t>
            </w:r>
          </w:p>
          <w:p w:rsidR="003C079E" w:rsidRPr="00027CA6" w:rsidRDefault="003C079E" w:rsidP="003C079E">
            <w:pPr>
              <w:pStyle w:val="ColorfulList-Accent11"/>
              <w:ind w:left="0"/>
              <w:cnfStyle w:val="100000000000"/>
              <w:rPr>
                <w:rFonts w:cs="Calibri"/>
              </w:rPr>
            </w:pPr>
            <w:r w:rsidRPr="00027CA6">
              <w:rPr>
                <w:rFonts w:cs="Calibri"/>
              </w:rPr>
              <w:t>Target</w:t>
            </w:r>
            <w:r>
              <w:rPr>
                <w:rFonts w:cs="Calibri"/>
              </w:rPr>
              <w:t xml:space="preserve"> 2020/21</w:t>
            </w:r>
          </w:p>
        </w:tc>
        <w:tc>
          <w:tcPr>
            <w:tcW w:w="1464" w:type="dxa"/>
          </w:tcPr>
          <w:p w:rsidR="003C079E" w:rsidRPr="00027CA6" w:rsidRDefault="003C079E" w:rsidP="003C079E">
            <w:pPr>
              <w:pStyle w:val="ColorfulList-Accent11"/>
              <w:ind w:left="0"/>
              <w:cnfStyle w:val="100000000000"/>
              <w:rPr>
                <w:rFonts w:cs="Calibri"/>
              </w:rPr>
            </w:pPr>
            <w:r w:rsidRPr="00027CA6">
              <w:rPr>
                <w:rFonts w:cs="Calibri"/>
              </w:rPr>
              <w:t>Actual performance</w:t>
            </w:r>
          </w:p>
        </w:tc>
        <w:tc>
          <w:tcPr>
            <w:tcW w:w="1088" w:type="dxa"/>
          </w:tcPr>
          <w:p w:rsidR="003C079E" w:rsidRPr="00027CA6" w:rsidRDefault="003C079E" w:rsidP="003C079E">
            <w:pPr>
              <w:pStyle w:val="ColorfulList-Accent11"/>
              <w:ind w:left="0"/>
              <w:cnfStyle w:val="100000000000"/>
              <w:rPr>
                <w:rFonts w:cs="Calibri"/>
              </w:rPr>
            </w:pPr>
            <w:r w:rsidRPr="00027CA6">
              <w:rPr>
                <w:rFonts w:cs="Calibri"/>
              </w:rPr>
              <w:t>Variance</w:t>
            </w:r>
          </w:p>
        </w:tc>
        <w:tc>
          <w:tcPr>
            <w:tcW w:w="1888" w:type="dxa"/>
          </w:tcPr>
          <w:p w:rsidR="003C079E" w:rsidRPr="00027CA6" w:rsidRDefault="003C079E" w:rsidP="003C079E">
            <w:pPr>
              <w:pStyle w:val="ColorfulList-Accent11"/>
              <w:ind w:left="0"/>
              <w:jc w:val="both"/>
              <w:cnfStyle w:val="100000000000"/>
              <w:rPr>
                <w:rFonts w:cs="Calibri"/>
              </w:rPr>
            </w:pPr>
            <w:r w:rsidRPr="00027CA6">
              <w:rPr>
                <w:rFonts w:cs="Calibri"/>
              </w:rPr>
              <w:t>Reasons for variance &amp; mitigation factors</w:t>
            </w:r>
          </w:p>
        </w:tc>
      </w:tr>
      <w:tr w:rsidR="003C079E" w:rsidRPr="00027CA6" w:rsidTr="00CE5F5D">
        <w:trPr>
          <w:cnfStyle w:val="000000100000"/>
          <w:trHeight w:val="1357"/>
        </w:trPr>
        <w:tc>
          <w:tcPr>
            <w:cnfStyle w:val="001000000000"/>
            <w:tcW w:w="2223" w:type="dxa"/>
          </w:tcPr>
          <w:p w:rsidR="003C079E" w:rsidRPr="00027CA6" w:rsidRDefault="003C079E" w:rsidP="003C079E">
            <w:pPr>
              <w:pStyle w:val="ColorfulList-Accent11"/>
              <w:ind w:left="0"/>
              <w:rPr>
                <w:rFonts w:cs="Calibri"/>
                <w:b w:val="0"/>
              </w:rPr>
            </w:pPr>
            <w:r w:rsidRPr="003C079E">
              <w:rPr>
                <w:rFonts w:cs="Calibri"/>
                <w:b w:val="0"/>
              </w:rPr>
              <w:t>Access to participate</w:t>
            </w:r>
          </w:p>
        </w:tc>
        <w:tc>
          <w:tcPr>
            <w:tcW w:w="1984" w:type="dxa"/>
            <w:gridSpan w:val="2"/>
          </w:tcPr>
          <w:p w:rsidR="003C079E" w:rsidRPr="00027CA6" w:rsidRDefault="003C079E" w:rsidP="003C079E">
            <w:pPr>
              <w:pStyle w:val="Default"/>
              <w:cnfStyle w:val="000000100000"/>
              <w:rPr>
                <w:rFonts w:ascii="Calibri" w:hAnsi="Calibri" w:cs="Calibri"/>
                <w:sz w:val="22"/>
                <w:szCs w:val="22"/>
              </w:rPr>
            </w:pPr>
            <w:r w:rsidRPr="003C079E">
              <w:rPr>
                <w:rFonts w:ascii="Calibri" w:hAnsi="Calibri" w:cs="Calibri"/>
                <w:sz w:val="22"/>
                <w:szCs w:val="22"/>
              </w:rPr>
              <w:t>% Population having access to participate in parliamentary processes</w:t>
            </w:r>
          </w:p>
        </w:tc>
        <w:tc>
          <w:tcPr>
            <w:tcW w:w="1701" w:type="dxa"/>
          </w:tcPr>
          <w:p w:rsidR="003C079E" w:rsidRDefault="00D36E6D" w:rsidP="003C079E">
            <w:pPr>
              <w:pStyle w:val="ColorfulList-Accent11"/>
              <w:ind w:left="0"/>
              <w:cnfStyle w:val="000000100000"/>
              <w:rPr>
                <w:rFonts w:cs="Calibri"/>
              </w:rPr>
            </w:pPr>
            <w:r>
              <w:rPr>
                <w:rFonts w:cs="Calibri"/>
              </w:rPr>
              <w:t>-</w:t>
            </w:r>
          </w:p>
          <w:p w:rsidR="00D36E6D" w:rsidRDefault="00D36E6D" w:rsidP="003C079E">
            <w:pPr>
              <w:pStyle w:val="ColorfulList-Accent11"/>
              <w:ind w:left="0"/>
              <w:cnfStyle w:val="000000100000"/>
              <w:rPr>
                <w:rFonts w:cs="Calibri"/>
              </w:rPr>
            </w:pPr>
          </w:p>
          <w:p w:rsidR="00C337A2" w:rsidRPr="00027CA6" w:rsidRDefault="00C337A2" w:rsidP="003C079E">
            <w:pPr>
              <w:pStyle w:val="ColorfulList-Accent11"/>
              <w:ind w:left="0"/>
              <w:cnfStyle w:val="000000100000"/>
              <w:rPr>
                <w:rFonts w:cs="Calibri"/>
              </w:rPr>
            </w:pPr>
            <w:r>
              <w:rPr>
                <w:rFonts w:cs="Calibri"/>
              </w:rPr>
              <w:t>Annual – 16%</w:t>
            </w:r>
          </w:p>
        </w:tc>
        <w:tc>
          <w:tcPr>
            <w:tcW w:w="1464" w:type="dxa"/>
          </w:tcPr>
          <w:p w:rsidR="003C079E" w:rsidRPr="00027CA6" w:rsidRDefault="00CE5F5D" w:rsidP="003C079E">
            <w:pPr>
              <w:pStyle w:val="ColorfulList-Accent11"/>
              <w:ind w:left="0"/>
              <w:cnfStyle w:val="000000100000"/>
              <w:rPr>
                <w:rFonts w:cs="Calibri"/>
              </w:rPr>
            </w:pPr>
            <w:r w:rsidRPr="00CE5F5D">
              <w:rPr>
                <w:rFonts w:cs="Calibri"/>
              </w:rPr>
              <w:t>Procurement and on</w:t>
            </w:r>
            <w:r>
              <w:rPr>
                <w:rFonts w:cs="Calibri"/>
              </w:rPr>
              <w:t>-</w:t>
            </w:r>
            <w:r w:rsidRPr="00CE5F5D">
              <w:rPr>
                <w:rFonts w:cs="Calibri"/>
              </w:rPr>
              <w:t>boarding complete. Survey questionnaire finalised.</w:t>
            </w:r>
          </w:p>
        </w:tc>
        <w:tc>
          <w:tcPr>
            <w:tcW w:w="1088" w:type="dxa"/>
          </w:tcPr>
          <w:p w:rsidR="003C079E" w:rsidRPr="00027CA6" w:rsidRDefault="003C079E" w:rsidP="003C079E">
            <w:pPr>
              <w:pStyle w:val="ColorfulList-Accent11"/>
              <w:ind w:left="0"/>
              <w:cnfStyle w:val="000000100000"/>
              <w:rPr>
                <w:rFonts w:cs="Calibri"/>
              </w:rPr>
            </w:pPr>
          </w:p>
        </w:tc>
        <w:tc>
          <w:tcPr>
            <w:tcW w:w="1888" w:type="dxa"/>
          </w:tcPr>
          <w:p w:rsidR="003C079E" w:rsidRPr="00027CA6" w:rsidRDefault="003C079E" w:rsidP="003C079E">
            <w:pPr>
              <w:cnfStyle w:val="000000100000"/>
              <w:rPr>
                <w:rFonts w:ascii="Calibri" w:eastAsia="Calibri" w:hAnsi="Calibri" w:cs="Calibri"/>
              </w:rPr>
            </w:pPr>
          </w:p>
        </w:tc>
      </w:tr>
      <w:tr w:rsidR="003C079E" w:rsidRPr="00027CA6" w:rsidTr="00CE5F5D">
        <w:trPr>
          <w:trHeight w:val="1357"/>
        </w:trPr>
        <w:tc>
          <w:tcPr>
            <w:cnfStyle w:val="001000000000"/>
            <w:tcW w:w="2223" w:type="dxa"/>
          </w:tcPr>
          <w:p w:rsidR="003C079E" w:rsidRPr="00467F54" w:rsidRDefault="003C079E" w:rsidP="003C079E">
            <w:pPr>
              <w:pStyle w:val="ColorfulList-Accent11"/>
              <w:ind w:left="0"/>
              <w:rPr>
                <w:rFonts w:cs="Calibri"/>
                <w:b w:val="0"/>
              </w:rPr>
            </w:pPr>
            <w:r w:rsidRPr="00467F54">
              <w:rPr>
                <w:rFonts w:cs="Calibri"/>
                <w:b w:val="0"/>
              </w:rPr>
              <w:t>Participation in parliamentary activities</w:t>
            </w:r>
          </w:p>
        </w:tc>
        <w:tc>
          <w:tcPr>
            <w:tcW w:w="1984" w:type="dxa"/>
            <w:gridSpan w:val="2"/>
          </w:tcPr>
          <w:p w:rsidR="003C079E" w:rsidRPr="003C079E" w:rsidRDefault="003C079E" w:rsidP="003C079E">
            <w:pPr>
              <w:pStyle w:val="Default"/>
              <w:cnfStyle w:val="000000000000"/>
              <w:rPr>
                <w:rFonts w:ascii="Calibri" w:hAnsi="Calibri" w:cs="Calibri"/>
                <w:sz w:val="22"/>
                <w:szCs w:val="22"/>
              </w:rPr>
            </w:pPr>
            <w:r w:rsidRPr="003C079E">
              <w:rPr>
                <w:rFonts w:ascii="Calibri" w:hAnsi="Calibri" w:cs="Calibri"/>
                <w:sz w:val="22"/>
                <w:szCs w:val="22"/>
              </w:rPr>
              <w:t>% increase in participation in the House and Committee activities</w:t>
            </w:r>
          </w:p>
        </w:tc>
        <w:tc>
          <w:tcPr>
            <w:tcW w:w="1701" w:type="dxa"/>
          </w:tcPr>
          <w:p w:rsidR="003C079E" w:rsidRDefault="00D36E6D" w:rsidP="003C079E">
            <w:pPr>
              <w:pStyle w:val="ColorfulList-Accent11"/>
              <w:ind w:left="0"/>
              <w:cnfStyle w:val="000000000000"/>
              <w:rPr>
                <w:rFonts w:cs="Calibri"/>
              </w:rPr>
            </w:pPr>
            <w:r>
              <w:rPr>
                <w:rFonts w:cs="Calibri"/>
              </w:rPr>
              <w:t>-</w:t>
            </w:r>
          </w:p>
          <w:p w:rsidR="00D36E6D" w:rsidRDefault="00D36E6D" w:rsidP="003C079E">
            <w:pPr>
              <w:pStyle w:val="ColorfulList-Accent11"/>
              <w:ind w:left="0"/>
              <w:cnfStyle w:val="000000000000"/>
              <w:rPr>
                <w:rFonts w:cs="Calibri"/>
              </w:rPr>
            </w:pPr>
          </w:p>
          <w:p w:rsidR="00C337A2" w:rsidRDefault="00C337A2" w:rsidP="003C079E">
            <w:pPr>
              <w:pStyle w:val="ColorfulList-Accent11"/>
              <w:ind w:left="0"/>
              <w:cnfStyle w:val="000000000000"/>
              <w:rPr>
                <w:rFonts w:cs="Calibri"/>
              </w:rPr>
            </w:pPr>
            <w:r>
              <w:rPr>
                <w:rFonts w:cs="Calibri"/>
              </w:rPr>
              <w:t>Annual – 10%</w:t>
            </w:r>
          </w:p>
        </w:tc>
        <w:tc>
          <w:tcPr>
            <w:tcW w:w="1464" w:type="dxa"/>
          </w:tcPr>
          <w:p w:rsidR="003C079E" w:rsidRPr="00027CA6" w:rsidRDefault="00CE5F5D" w:rsidP="003C079E">
            <w:pPr>
              <w:pStyle w:val="ColorfulList-Accent11"/>
              <w:ind w:left="0"/>
              <w:cnfStyle w:val="000000000000"/>
              <w:rPr>
                <w:rFonts w:cs="Calibri"/>
              </w:rPr>
            </w:pPr>
            <w:r w:rsidRPr="00CE5F5D">
              <w:rPr>
                <w:rFonts w:cs="Calibri"/>
              </w:rPr>
              <w:t>Procurement and on</w:t>
            </w:r>
            <w:r>
              <w:rPr>
                <w:rFonts w:cs="Calibri"/>
              </w:rPr>
              <w:t>-</w:t>
            </w:r>
            <w:r w:rsidRPr="00CE5F5D">
              <w:rPr>
                <w:rFonts w:cs="Calibri"/>
              </w:rPr>
              <w:t>boarding complete. Survey questionnaire finalised.</w:t>
            </w:r>
          </w:p>
        </w:tc>
        <w:tc>
          <w:tcPr>
            <w:tcW w:w="1088" w:type="dxa"/>
          </w:tcPr>
          <w:p w:rsidR="003C079E" w:rsidRPr="00027CA6" w:rsidRDefault="003C079E" w:rsidP="003C079E">
            <w:pPr>
              <w:pStyle w:val="ColorfulList-Accent11"/>
              <w:ind w:left="0"/>
              <w:cnfStyle w:val="000000000000"/>
              <w:rPr>
                <w:rFonts w:cs="Calibri"/>
              </w:rPr>
            </w:pPr>
          </w:p>
        </w:tc>
        <w:tc>
          <w:tcPr>
            <w:tcW w:w="1888" w:type="dxa"/>
          </w:tcPr>
          <w:p w:rsidR="003C079E" w:rsidRPr="00027CA6" w:rsidRDefault="003C079E" w:rsidP="003C079E">
            <w:pPr>
              <w:cnfStyle w:val="000000000000"/>
              <w:rPr>
                <w:rFonts w:ascii="Calibri" w:eastAsia="Calibri" w:hAnsi="Calibri" w:cs="Calibri"/>
              </w:rPr>
            </w:pPr>
          </w:p>
        </w:tc>
      </w:tr>
    </w:tbl>
    <w:p w:rsidR="00316F86" w:rsidRPr="00027CA6" w:rsidRDefault="00316F86">
      <w:pPr>
        <w:rPr>
          <w:rFonts w:ascii="Calibri" w:hAnsi="Calibri" w:cs="Calibri"/>
          <w:sz w:val="24"/>
          <w:szCs w:val="24"/>
        </w:rPr>
      </w:pPr>
    </w:p>
    <w:p w:rsidR="00B67E2C" w:rsidRPr="00467F54" w:rsidRDefault="00467F54">
      <w:pPr>
        <w:rPr>
          <w:rFonts w:ascii="Calibri" w:hAnsi="Calibri" w:cs="Calibri"/>
          <w:b/>
          <w:smallCaps/>
          <w:noProof/>
          <w:sz w:val="24"/>
          <w:szCs w:val="24"/>
        </w:rPr>
      </w:pPr>
      <w:r w:rsidRPr="00467F54">
        <w:rPr>
          <w:rFonts w:ascii="Calibri" w:hAnsi="Calibri" w:cs="Calibri"/>
          <w:b/>
          <w:smallCaps/>
          <w:noProof/>
          <w:sz w:val="24"/>
          <w:szCs w:val="24"/>
        </w:rPr>
        <w:t>Performance Trends</w:t>
      </w:r>
    </w:p>
    <w:p w:rsidR="001164B6" w:rsidRPr="001164B6" w:rsidRDefault="001164B6" w:rsidP="001164B6">
      <w:pPr>
        <w:jc w:val="both"/>
        <w:rPr>
          <w:rFonts w:ascii="Calibri" w:hAnsi="Calibri" w:cs="Calibri"/>
        </w:rPr>
      </w:pPr>
      <w:r w:rsidRPr="001164B6">
        <w:rPr>
          <w:rFonts w:ascii="Calibri" w:hAnsi="Calibri" w:cs="Calibri"/>
        </w:rPr>
        <w:lastRenderedPageBreak/>
        <w:t>Both indicators have annual targets that are measured through independent surveys administered by IPSOS. In the 1st quarter specifications for the survey and Terms of Reference were drafted.Phase 2 Implementation Plan to be finalised (run parallel with Phase 1) The TOR for the 2020/21 survey has been finalised for sign-off.Procurement process concluded and IPSOS has been appointed as the service provider appointed and an on-boarding meeting was convened with the service provider.Survey questionnaire has been finalised and submitted for approval by the relevant stakeholders.</w:t>
      </w:r>
    </w:p>
    <w:p w:rsidR="00467F54" w:rsidRPr="008A51D5" w:rsidRDefault="001164B6" w:rsidP="00467F54">
      <w:pPr>
        <w:pStyle w:val="ColorfulList-Accent11"/>
        <w:ind w:left="0"/>
        <w:jc w:val="both"/>
        <w:rPr>
          <w:rFonts w:asciiTheme="minorHAnsi" w:eastAsia="Times New Roman" w:hAnsiTheme="minorHAnsi" w:cstheme="minorHAnsi"/>
          <w:lang w:val="en-US"/>
        </w:rPr>
      </w:pPr>
      <w:r>
        <w:rPr>
          <w:rFonts w:asciiTheme="minorHAnsi" w:eastAsia="Times New Roman" w:hAnsiTheme="minorHAnsi" w:cstheme="minorHAnsi"/>
          <w:lang w:val="en-US"/>
        </w:rPr>
        <w:t>With regards to public participation activities, the following was reported for this period:</w:t>
      </w:r>
    </w:p>
    <w:p w:rsidR="00467F54" w:rsidRPr="008A51D5" w:rsidRDefault="00467F54" w:rsidP="003B5E3A">
      <w:pPr>
        <w:numPr>
          <w:ilvl w:val="0"/>
          <w:numId w:val="14"/>
        </w:numPr>
        <w:spacing w:after="0" w:line="240" w:lineRule="auto"/>
        <w:ind w:left="850" w:hanging="425"/>
        <w:jc w:val="both"/>
        <w:rPr>
          <w:rFonts w:eastAsia="Calibri" w:cstheme="minorHAnsi"/>
        </w:rPr>
      </w:pPr>
      <w:r w:rsidRPr="008A51D5">
        <w:rPr>
          <w:rFonts w:eastAsia="Calibri" w:cstheme="minorHAnsi"/>
          <w:b/>
        </w:rPr>
        <w:t>Parliamentary Constituency Offices:</w:t>
      </w:r>
    </w:p>
    <w:p w:rsidR="008A51D5" w:rsidRPr="008A51D5" w:rsidRDefault="00467F54" w:rsidP="003B5E3A">
      <w:pPr>
        <w:pStyle w:val="ListParagraph"/>
        <w:numPr>
          <w:ilvl w:val="1"/>
          <w:numId w:val="14"/>
        </w:numPr>
        <w:spacing w:before="200" w:after="200" w:line="360" w:lineRule="auto"/>
        <w:contextualSpacing/>
        <w:jc w:val="both"/>
        <w:rPr>
          <w:rFonts w:asciiTheme="minorHAnsi" w:eastAsia="Calibri" w:hAnsiTheme="minorHAnsi" w:cstheme="minorHAnsi"/>
          <w:sz w:val="22"/>
          <w:szCs w:val="22"/>
        </w:rPr>
      </w:pPr>
      <w:r w:rsidRPr="008A51D5">
        <w:rPr>
          <w:rFonts w:asciiTheme="minorHAnsi" w:eastAsia="Calibri" w:hAnsiTheme="minorHAnsi" w:cstheme="minorHAnsi"/>
          <w:sz w:val="22"/>
          <w:szCs w:val="22"/>
        </w:rPr>
        <w:t xml:space="preserve">Responded to a request for COVID 19 materials from a PCO.  </w:t>
      </w:r>
    </w:p>
    <w:p w:rsidR="00467F54" w:rsidRPr="008A51D5" w:rsidRDefault="00467F54" w:rsidP="003B5E3A">
      <w:pPr>
        <w:pStyle w:val="ListParagraph"/>
        <w:numPr>
          <w:ilvl w:val="1"/>
          <w:numId w:val="14"/>
        </w:numPr>
        <w:spacing w:before="200" w:after="200" w:line="360" w:lineRule="auto"/>
        <w:contextualSpacing/>
        <w:jc w:val="both"/>
        <w:rPr>
          <w:rFonts w:asciiTheme="minorHAnsi" w:eastAsia="Calibri" w:hAnsiTheme="minorHAnsi" w:cstheme="minorHAnsi"/>
          <w:sz w:val="22"/>
          <w:szCs w:val="22"/>
        </w:rPr>
      </w:pPr>
      <w:r w:rsidRPr="008A51D5">
        <w:rPr>
          <w:rFonts w:asciiTheme="minorHAnsi" w:hAnsiTheme="minorHAnsi" w:cstheme="minorHAnsi"/>
          <w:color w:val="auto"/>
          <w:spacing w:val="0"/>
          <w:sz w:val="22"/>
          <w:szCs w:val="22"/>
          <w:lang w:val="en-US" w:eastAsia="en-US"/>
        </w:rPr>
        <w:t>On request PEO drafted a profile article on the role of PEO for the newsletter of the Parliamentary Office of the Deputy Speaker in the Free State. The article was published in the September edition.</w:t>
      </w:r>
    </w:p>
    <w:p w:rsidR="00467F54" w:rsidRPr="008A51D5" w:rsidRDefault="008A51D5" w:rsidP="003B5E3A">
      <w:pPr>
        <w:numPr>
          <w:ilvl w:val="0"/>
          <w:numId w:val="13"/>
        </w:numPr>
        <w:spacing w:before="200" w:after="200" w:line="360" w:lineRule="auto"/>
        <w:ind w:left="851" w:hanging="425"/>
        <w:jc w:val="both"/>
        <w:rPr>
          <w:rFonts w:eastAsia="Calibri" w:cstheme="minorHAnsi"/>
          <w:lang w:val="en-US"/>
        </w:rPr>
      </w:pPr>
      <w:r w:rsidRPr="008A51D5">
        <w:rPr>
          <w:rFonts w:eastAsia="Calibri" w:cstheme="minorHAnsi"/>
          <w:b/>
          <w:lang w:val="en-US"/>
        </w:rPr>
        <w:t xml:space="preserve">Support was given to the following </w:t>
      </w:r>
      <w:r w:rsidR="00467F54" w:rsidRPr="008A51D5">
        <w:rPr>
          <w:rFonts w:eastAsia="Calibri" w:cstheme="minorHAnsi"/>
          <w:b/>
          <w:lang w:val="en-US"/>
        </w:rPr>
        <w:t>Sectoral Parliaments</w:t>
      </w:r>
      <w:r w:rsidR="00467F54" w:rsidRPr="008A51D5">
        <w:rPr>
          <w:rFonts w:eastAsia="Calibri" w:cstheme="minorHAnsi"/>
          <w:lang w:val="en-US"/>
        </w:rPr>
        <w:t xml:space="preserve">: </w:t>
      </w:r>
    </w:p>
    <w:p w:rsidR="008A51D5" w:rsidRPr="008A51D5" w:rsidRDefault="00467F54" w:rsidP="003B5E3A">
      <w:pPr>
        <w:pStyle w:val="ListParagraph"/>
        <w:numPr>
          <w:ilvl w:val="1"/>
          <w:numId w:val="13"/>
        </w:numPr>
        <w:spacing w:after="0" w:line="360" w:lineRule="auto"/>
        <w:jc w:val="both"/>
        <w:rPr>
          <w:rFonts w:asciiTheme="minorHAnsi" w:hAnsiTheme="minorHAnsi" w:cstheme="minorHAnsi"/>
          <w:sz w:val="22"/>
          <w:szCs w:val="22"/>
          <w:lang w:val="en-US"/>
        </w:rPr>
      </w:pPr>
      <w:r w:rsidRPr="008A51D5">
        <w:rPr>
          <w:rFonts w:asciiTheme="minorHAnsi" w:eastAsia="Calibri" w:hAnsiTheme="minorHAnsi" w:cstheme="minorHAnsi"/>
          <w:b/>
          <w:sz w:val="22"/>
          <w:szCs w:val="22"/>
          <w:lang w:val="en-US"/>
        </w:rPr>
        <w:t>Children’s Parliament:</w:t>
      </w:r>
      <w:r w:rsidRPr="008A51D5">
        <w:rPr>
          <w:rFonts w:asciiTheme="minorHAnsi" w:hAnsiTheme="minorHAnsi" w:cstheme="minorHAnsi"/>
          <w:color w:val="auto"/>
          <w:spacing w:val="0"/>
          <w:sz w:val="22"/>
          <w:szCs w:val="22"/>
          <w:lang w:val="en-US" w:eastAsia="en-US"/>
        </w:rPr>
        <w:t>Contributed to the Children’s Parliament concept document in collaboration with National Sector Departments and Civil Society Partners</w:t>
      </w:r>
      <w:r w:rsidR="008A51D5" w:rsidRPr="008A51D5">
        <w:rPr>
          <w:rFonts w:asciiTheme="minorHAnsi" w:hAnsiTheme="minorHAnsi" w:cstheme="minorHAnsi"/>
          <w:sz w:val="22"/>
          <w:szCs w:val="22"/>
          <w:lang w:val="en-US"/>
        </w:rPr>
        <w:t>.</w:t>
      </w:r>
    </w:p>
    <w:p w:rsidR="008A51D5" w:rsidRPr="008A51D5" w:rsidRDefault="00467F54" w:rsidP="003B5E3A">
      <w:pPr>
        <w:pStyle w:val="ListParagraph"/>
        <w:numPr>
          <w:ilvl w:val="1"/>
          <w:numId w:val="13"/>
        </w:numPr>
        <w:spacing w:after="0" w:line="360" w:lineRule="auto"/>
        <w:jc w:val="both"/>
        <w:rPr>
          <w:rFonts w:asciiTheme="minorHAnsi" w:hAnsiTheme="minorHAnsi" w:cstheme="minorHAnsi"/>
          <w:sz w:val="22"/>
          <w:szCs w:val="22"/>
          <w:lang w:val="en-US"/>
        </w:rPr>
      </w:pPr>
      <w:r w:rsidRPr="008A51D5">
        <w:rPr>
          <w:rFonts w:asciiTheme="minorHAnsi" w:hAnsiTheme="minorHAnsi" w:cstheme="minorHAnsi"/>
          <w:b/>
          <w:color w:val="auto"/>
          <w:spacing w:val="0"/>
          <w:sz w:val="22"/>
          <w:szCs w:val="22"/>
          <w:lang w:val="en-US" w:eastAsia="en-US"/>
        </w:rPr>
        <w:t>Youth Parliament</w:t>
      </w:r>
      <w:r w:rsidR="008A51D5" w:rsidRPr="008A51D5">
        <w:rPr>
          <w:rFonts w:asciiTheme="minorHAnsi" w:hAnsiTheme="minorHAnsi" w:cstheme="minorHAnsi"/>
          <w:b/>
          <w:color w:val="auto"/>
          <w:spacing w:val="0"/>
          <w:sz w:val="22"/>
          <w:szCs w:val="22"/>
          <w:lang w:val="en-US" w:eastAsia="en-US"/>
        </w:rPr>
        <w:t xml:space="preserve">: </w:t>
      </w:r>
      <w:r w:rsidRPr="008A51D5">
        <w:rPr>
          <w:rFonts w:asciiTheme="minorHAnsi" w:hAnsiTheme="minorHAnsi" w:cstheme="minorHAnsi"/>
          <w:color w:val="auto"/>
          <w:spacing w:val="0"/>
          <w:sz w:val="22"/>
          <w:szCs w:val="22"/>
          <w:lang w:val="en-US" w:eastAsia="en-US"/>
        </w:rPr>
        <w:t>Developed concept document for Youth Month</w:t>
      </w:r>
      <w:r w:rsidR="008A51D5" w:rsidRPr="008A51D5">
        <w:rPr>
          <w:rFonts w:asciiTheme="minorHAnsi" w:hAnsiTheme="minorHAnsi" w:cstheme="minorHAnsi"/>
          <w:color w:val="auto"/>
          <w:spacing w:val="0"/>
          <w:sz w:val="22"/>
          <w:szCs w:val="22"/>
          <w:lang w:val="en-US" w:eastAsia="en-US"/>
        </w:rPr>
        <w:t xml:space="preserve">, </w:t>
      </w:r>
      <w:r w:rsidR="008A51D5" w:rsidRPr="008A51D5">
        <w:rPr>
          <w:rFonts w:asciiTheme="minorHAnsi" w:eastAsia="Calibri" w:hAnsiTheme="minorHAnsi" w:cstheme="minorHAnsi"/>
          <w:color w:val="auto"/>
          <w:spacing w:val="0"/>
          <w:sz w:val="22"/>
          <w:szCs w:val="22"/>
          <w:lang w:val="en-US" w:eastAsia="en-US"/>
        </w:rPr>
        <w:t>and hosted a</w:t>
      </w:r>
      <w:r w:rsidRPr="008A51D5">
        <w:rPr>
          <w:rFonts w:asciiTheme="minorHAnsi" w:hAnsiTheme="minorHAnsi" w:cstheme="minorHAnsi"/>
          <w:color w:val="auto"/>
          <w:spacing w:val="0"/>
          <w:sz w:val="22"/>
          <w:szCs w:val="22"/>
          <w:lang w:val="en-US" w:eastAsia="en-US"/>
        </w:rPr>
        <w:t xml:space="preserve"> virtual workshop for 50 particip</w:t>
      </w:r>
      <w:r w:rsidR="008A51D5" w:rsidRPr="008A51D5">
        <w:rPr>
          <w:rFonts w:asciiTheme="minorHAnsi" w:hAnsiTheme="minorHAnsi" w:cstheme="minorHAnsi"/>
          <w:color w:val="auto"/>
          <w:spacing w:val="0"/>
          <w:sz w:val="22"/>
          <w:szCs w:val="22"/>
          <w:lang w:val="en-US" w:eastAsia="en-US"/>
        </w:rPr>
        <w:t>ants</w:t>
      </w:r>
      <w:r w:rsidR="008A51D5" w:rsidRPr="008A51D5">
        <w:rPr>
          <w:rFonts w:asciiTheme="minorHAnsi" w:hAnsiTheme="minorHAnsi" w:cstheme="minorHAnsi"/>
          <w:b/>
          <w:color w:val="auto"/>
          <w:spacing w:val="0"/>
          <w:sz w:val="22"/>
          <w:szCs w:val="22"/>
          <w:lang w:val="en-US" w:eastAsia="en-US"/>
        </w:rPr>
        <w:t xml:space="preserve">. </w:t>
      </w:r>
    </w:p>
    <w:p w:rsidR="008A51D5" w:rsidRPr="008A51D5" w:rsidRDefault="00467F54" w:rsidP="003B5E3A">
      <w:pPr>
        <w:pStyle w:val="ListParagraph"/>
        <w:numPr>
          <w:ilvl w:val="1"/>
          <w:numId w:val="13"/>
        </w:numPr>
        <w:spacing w:after="0" w:line="360" w:lineRule="auto"/>
        <w:jc w:val="both"/>
        <w:rPr>
          <w:rFonts w:asciiTheme="minorHAnsi" w:hAnsiTheme="minorHAnsi" w:cstheme="minorHAnsi"/>
          <w:sz w:val="22"/>
          <w:szCs w:val="22"/>
          <w:lang w:val="en-US"/>
        </w:rPr>
      </w:pPr>
      <w:r w:rsidRPr="008A51D5">
        <w:rPr>
          <w:rFonts w:asciiTheme="minorHAnsi" w:hAnsiTheme="minorHAnsi" w:cstheme="minorHAnsi"/>
          <w:b/>
          <w:color w:val="auto"/>
          <w:spacing w:val="0"/>
          <w:sz w:val="22"/>
          <w:szCs w:val="22"/>
          <w:lang w:val="en-US" w:eastAsia="en-US"/>
        </w:rPr>
        <w:t xml:space="preserve">Africa Day: </w:t>
      </w:r>
      <w:r w:rsidRPr="008A51D5">
        <w:rPr>
          <w:rFonts w:asciiTheme="minorHAnsi" w:hAnsiTheme="minorHAnsi" w:cstheme="minorHAnsi"/>
          <w:color w:val="auto"/>
          <w:spacing w:val="0"/>
          <w:sz w:val="22"/>
          <w:szCs w:val="22"/>
          <w:lang w:val="en-US" w:eastAsia="en-US"/>
        </w:rPr>
        <w:t xml:space="preserve">Africa Day and the Women's Charter Review:  </w:t>
      </w:r>
      <w:r w:rsidRPr="008A51D5">
        <w:rPr>
          <w:rFonts w:asciiTheme="minorHAnsi" w:eastAsia="Calibri" w:hAnsiTheme="minorHAnsi" w:cstheme="minorHAnsi"/>
          <w:color w:val="auto"/>
          <w:spacing w:val="0"/>
          <w:sz w:val="22"/>
          <w:szCs w:val="22"/>
          <w:lang w:val="en-US" w:eastAsia="en-US"/>
        </w:rPr>
        <w:t xml:space="preserve">Concept document and </w:t>
      </w:r>
      <w:r w:rsidRPr="008A51D5">
        <w:rPr>
          <w:rFonts w:asciiTheme="minorHAnsi" w:hAnsiTheme="minorHAnsi" w:cstheme="minorHAnsi"/>
          <w:color w:val="auto"/>
          <w:spacing w:val="0"/>
          <w:sz w:val="22"/>
          <w:szCs w:val="22"/>
          <w:lang w:val="en-US" w:eastAsia="en-US"/>
        </w:rPr>
        <w:t xml:space="preserve">Video script was drafted </w:t>
      </w:r>
      <w:r w:rsidR="008A51D5" w:rsidRPr="008A51D5">
        <w:rPr>
          <w:rFonts w:asciiTheme="minorHAnsi" w:eastAsia="Calibri" w:hAnsiTheme="minorHAnsi" w:cstheme="minorHAnsi"/>
          <w:color w:val="auto"/>
          <w:spacing w:val="0"/>
          <w:sz w:val="22"/>
          <w:szCs w:val="22"/>
          <w:lang w:val="en-US" w:eastAsia="en-US"/>
        </w:rPr>
        <w:t xml:space="preserve">to link the programme. </w:t>
      </w:r>
    </w:p>
    <w:p w:rsidR="00467F54" w:rsidRPr="008A51D5" w:rsidRDefault="008A51D5" w:rsidP="003B5E3A">
      <w:pPr>
        <w:pStyle w:val="ListParagraph"/>
        <w:numPr>
          <w:ilvl w:val="1"/>
          <w:numId w:val="13"/>
        </w:numPr>
        <w:spacing w:after="0" w:line="360" w:lineRule="auto"/>
        <w:jc w:val="both"/>
        <w:rPr>
          <w:rFonts w:asciiTheme="minorHAnsi" w:hAnsiTheme="minorHAnsi" w:cstheme="minorHAnsi"/>
          <w:sz w:val="22"/>
          <w:szCs w:val="22"/>
          <w:lang w:val="en-US"/>
        </w:rPr>
      </w:pPr>
      <w:r w:rsidRPr="008A51D5">
        <w:rPr>
          <w:rFonts w:asciiTheme="minorHAnsi" w:hAnsiTheme="minorHAnsi" w:cstheme="minorHAnsi"/>
          <w:b/>
          <w:color w:val="auto"/>
          <w:spacing w:val="0"/>
          <w:sz w:val="22"/>
          <w:szCs w:val="22"/>
          <w:lang w:val="en-US" w:eastAsia="en-US"/>
        </w:rPr>
        <w:t>Women’s Charter Review</w:t>
      </w:r>
      <w:r w:rsidRPr="008A51D5">
        <w:rPr>
          <w:rFonts w:asciiTheme="minorHAnsi" w:hAnsiTheme="minorHAnsi" w:cstheme="minorHAnsi"/>
          <w:color w:val="auto"/>
          <w:spacing w:val="0"/>
          <w:sz w:val="22"/>
          <w:szCs w:val="22"/>
          <w:lang w:val="en-US" w:eastAsia="en-US"/>
        </w:rPr>
        <w:t xml:space="preserve">: </w:t>
      </w:r>
      <w:r w:rsidR="00467F54" w:rsidRPr="008A51D5">
        <w:rPr>
          <w:rFonts w:asciiTheme="minorHAnsi" w:hAnsiTheme="minorHAnsi" w:cstheme="minorHAnsi"/>
          <w:color w:val="auto"/>
          <w:spacing w:val="0"/>
          <w:sz w:val="22"/>
          <w:szCs w:val="22"/>
          <w:lang w:val="en-US" w:eastAsia="en-US"/>
        </w:rPr>
        <w:t xml:space="preserve">Participated in the Review of the Women’s Charter virtual programme and distributed 100 </w:t>
      </w:r>
      <w:r w:rsidR="00467F54" w:rsidRPr="008A51D5">
        <w:rPr>
          <w:rFonts w:asciiTheme="minorHAnsi" w:hAnsiTheme="minorHAnsi" w:cstheme="minorHAnsi"/>
          <w:i/>
          <w:color w:val="auto"/>
          <w:spacing w:val="0"/>
          <w:sz w:val="22"/>
          <w:szCs w:val="22"/>
          <w:lang w:val="en-US" w:eastAsia="en-US"/>
        </w:rPr>
        <w:t>You and the Constitution</w:t>
      </w:r>
      <w:r w:rsidR="00467F54" w:rsidRPr="008A51D5">
        <w:rPr>
          <w:rFonts w:asciiTheme="minorHAnsi" w:hAnsiTheme="minorHAnsi" w:cstheme="minorHAnsi"/>
          <w:color w:val="auto"/>
          <w:spacing w:val="0"/>
          <w:sz w:val="22"/>
          <w:szCs w:val="22"/>
          <w:lang w:val="en-US" w:eastAsia="en-US"/>
        </w:rPr>
        <w:t xml:space="preserve"> Booklets and 100 brand</w:t>
      </w:r>
      <w:r w:rsidRPr="008A51D5">
        <w:rPr>
          <w:rFonts w:asciiTheme="minorHAnsi" w:hAnsiTheme="minorHAnsi" w:cstheme="minorHAnsi"/>
          <w:color w:val="auto"/>
          <w:spacing w:val="0"/>
          <w:sz w:val="22"/>
          <w:szCs w:val="22"/>
          <w:lang w:val="en-US" w:eastAsia="en-US"/>
        </w:rPr>
        <w:t>ed items</w:t>
      </w:r>
      <w:r w:rsidR="00467F54" w:rsidRPr="008A51D5">
        <w:rPr>
          <w:rFonts w:asciiTheme="minorHAnsi" w:hAnsiTheme="minorHAnsi" w:cstheme="minorHAnsi"/>
          <w:color w:val="auto"/>
          <w:spacing w:val="0"/>
          <w:sz w:val="22"/>
          <w:szCs w:val="22"/>
          <w:lang w:val="en-US" w:eastAsia="en-US"/>
        </w:rPr>
        <w:t xml:space="preserve"> to the participants</w:t>
      </w:r>
      <w:r w:rsidRPr="008A51D5">
        <w:rPr>
          <w:rFonts w:asciiTheme="minorHAnsi" w:hAnsiTheme="minorHAnsi" w:cstheme="minorHAnsi"/>
          <w:color w:val="auto"/>
          <w:spacing w:val="0"/>
          <w:sz w:val="22"/>
          <w:szCs w:val="22"/>
          <w:lang w:val="en-US" w:eastAsia="en-US"/>
        </w:rPr>
        <w:t xml:space="preserve">. </w:t>
      </w:r>
    </w:p>
    <w:p w:rsidR="00467F54" w:rsidRPr="00467F54" w:rsidRDefault="00467F54" w:rsidP="00467F54">
      <w:pPr>
        <w:spacing w:line="360" w:lineRule="auto"/>
        <w:jc w:val="both"/>
        <w:rPr>
          <w:rFonts w:cstheme="minorHAnsi"/>
          <w:lang w:val="en-US"/>
        </w:rPr>
      </w:pPr>
    </w:p>
    <w:p w:rsidR="00DD2B25" w:rsidRPr="00DD2B25" w:rsidRDefault="00467F54" w:rsidP="003B5E3A">
      <w:pPr>
        <w:numPr>
          <w:ilvl w:val="0"/>
          <w:numId w:val="14"/>
        </w:numPr>
        <w:spacing w:after="0" w:line="360" w:lineRule="auto"/>
        <w:ind w:left="709" w:hanging="283"/>
        <w:jc w:val="both"/>
        <w:rPr>
          <w:rFonts w:cstheme="minorHAnsi"/>
          <w:lang w:val="en-US"/>
        </w:rPr>
      </w:pPr>
      <w:r w:rsidRPr="00467F54">
        <w:rPr>
          <w:rFonts w:cstheme="minorHAnsi"/>
          <w:b/>
          <w:lang w:val="en-US"/>
        </w:rPr>
        <w:t>Committee Support</w:t>
      </w:r>
      <w:r w:rsidR="00DD2B25">
        <w:rPr>
          <w:rFonts w:cstheme="minorHAnsi"/>
          <w:b/>
          <w:lang w:val="en-US"/>
        </w:rPr>
        <w:t xml:space="preserve">: </w:t>
      </w:r>
    </w:p>
    <w:p w:rsidR="00467F54" w:rsidRPr="00467F54" w:rsidRDefault="00467F54" w:rsidP="003B5E3A">
      <w:pPr>
        <w:numPr>
          <w:ilvl w:val="1"/>
          <w:numId w:val="14"/>
        </w:numPr>
        <w:spacing w:after="0" w:line="360" w:lineRule="auto"/>
        <w:jc w:val="both"/>
        <w:rPr>
          <w:rFonts w:cstheme="minorHAnsi"/>
        </w:rPr>
      </w:pPr>
      <w:r w:rsidRPr="00467F54">
        <w:rPr>
          <w:rFonts w:cstheme="minorHAnsi"/>
          <w:b/>
          <w:bCs/>
        </w:rPr>
        <w:t>NHI Bill and 18</w:t>
      </w:r>
      <w:r w:rsidRPr="00467F54">
        <w:rPr>
          <w:rFonts w:cstheme="minorHAnsi"/>
          <w:b/>
          <w:bCs/>
          <w:vertAlign w:val="superscript"/>
        </w:rPr>
        <w:t>th</w:t>
      </w:r>
      <w:r w:rsidRPr="00467F54">
        <w:rPr>
          <w:rFonts w:cstheme="minorHAnsi"/>
          <w:b/>
          <w:bCs/>
        </w:rPr>
        <w:t xml:space="preserve"> Amendment to the Constitution: </w:t>
      </w:r>
      <w:r w:rsidRPr="00467F54">
        <w:rPr>
          <w:rFonts w:cstheme="minorHAnsi"/>
        </w:rPr>
        <w:t>Preliminary reports for PEO activities conducted during 18th Constitution A/B and NHI public hearings were submitted (30 April 2020).</w:t>
      </w:r>
      <w:r w:rsidRPr="00467F54">
        <w:rPr>
          <w:rFonts w:cstheme="minorHAnsi"/>
        </w:rPr>
        <w:br/>
        <w:t>Responded to a request for information from the Khayelitsha Health Forum in relation to stores not adhering to the health regulations around COVID</w:t>
      </w:r>
      <w:r w:rsidR="00DD2B25">
        <w:rPr>
          <w:rFonts w:cstheme="minorHAnsi"/>
        </w:rPr>
        <w:t xml:space="preserve">, and liaised with the relevant portfolio committee and on oversight in this regard. </w:t>
      </w:r>
    </w:p>
    <w:p w:rsidR="00467F54" w:rsidRPr="00467F54" w:rsidRDefault="00467F54" w:rsidP="00467F54">
      <w:pPr>
        <w:spacing w:line="360" w:lineRule="auto"/>
        <w:jc w:val="both"/>
        <w:rPr>
          <w:rFonts w:cstheme="minorHAnsi"/>
          <w:lang w:val="en-US"/>
        </w:rPr>
      </w:pPr>
    </w:p>
    <w:p w:rsidR="00206FFF" w:rsidRPr="00206FFF" w:rsidRDefault="00206FFF" w:rsidP="003B5E3A">
      <w:pPr>
        <w:numPr>
          <w:ilvl w:val="0"/>
          <w:numId w:val="12"/>
        </w:numPr>
        <w:spacing w:after="0" w:line="360" w:lineRule="auto"/>
        <w:jc w:val="both"/>
        <w:rPr>
          <w:rFonts w:cstheme="minorHAnsi"/>
          <w:b/>
        </w:rPr>
      </w:pPr>
      <w:r w:rsidRPr="00206FFF">
        <w:rPr>
          <w:rFonts w:cstheme="minorHAnsi"/>
          <w:b/>
        </w:rPr>
        <w:t>Stakeholder Engagement</w:t>
      </w:r>
      <w:r>
        <w:rPr>
          <w:rFonts w:cstheme="minorHAnsi"/>
          <w:b/>
        </w:rPr>
        <w:t xml:space="preserve">: </w:t>
      </w:r>
    </w:p>
    <w:p w:rsidR="00467F54" w:rsidRPr="00206FFF" w:rsidRDefault="00467F54" w:rsidP="003B5E3A">
      <w:pPr>
        <w:numPr>
          <w:ilvl w:val="1"/>
          <w:numId w:val="12"/>
        </w:numPr>
        <w:spacing w:after="0" w:line="360" w:lineRule="auto"/>
        <w:jc w:val="both"/>
        <w:rPr>
          <w:rFonts w:cstheme="minorHAnsi"/>
        </w:rPr>
      </w:pPr>
      <w:r w:rsidRPr="00467F54">
        <w:rPr>
          <w:rFonts w:cstheme="minorHAnsi"/>
          <w:b/>
        </w:rPr>
        <w:t xml:space="preserve">Civil Society PP dialogue: </w:t>
      </w:r>
      <w:r w:rsidRPr="00467F54">
        <w:rPr>
          <w:rFonts w:cstheme="minorHAnsi"/>
        </w:rPr>
        <w:t>Exploratory dialogue held with stakeholders on 19 June with 45 key stakeholders. The DM presented the PPM and a follow up quarterly session is planned for early October.</w:t>
      </w:r>
    </w:p>
    <w:p w:rsidR="00467F54" w:rsidRPr="00206FFF" w:rsidRDefault="00467F54" w:rsidP="003B5E3A">
      <w:pPr>
        <w:numPr>
          <w:ilvl w:val="1"/>
          <w:numId w:val="12"/>
        </w:numPr>
        <w:spacing w:after="0" w:line="360" w:lineRule="auto"/>
        <w:jc w:val="both"/>
        <w:rPr>
          <w:rFonts w:cstheme="minorHAnsi"/>
        </w:rPr>
      </w:pPr>
      <w:r w:rsidRPr="00467F54">
        <w:rPr>
          <w:rFonts w:cstheme="minorHAnsi"/>
          <w:b/>
        </w:rPr>
        <w:t>Disability Sector:</w:t>
      </w:r>
      <w:r w:rsidRPr="00467F54">
        <w:rPr>
          <w:rFonts w:cstheme="minorHAnsi"/>
        </w:rPr>
        <w:t xml:space="preserve"> In July, August and September 2020 PEO participated in the Disability Network meetings to plan the Business and Disability conferences. One was held August </w:t>
      </w:r>
      <w:r w:rsidRPr="00467F54">
        <w:rPr>
          <w:rFonts w:cstheme="minorHAnsi"/>
        </w:rPr>
        <w:lastRenderedPageBreak/>
        <w:t>where PEO presented on the Law-making process.  Another is planned for December 2020 where PEO will be doing another presentation on People with Disabilities and participation in the Law Making process.</w:t>
      </w:r>
    </w:p>
    <w:p w:rsidR="00206FFF" w:rsidRDefault="00467F54" w:rsidP="003B5E3A">
      <w:pPr>
        <w:numPr>
          <w:ilvl w:val="1"/>
          <w:numId w:val="15"/>
        </w:numPr>
        <w:spacing w:after="0" w:line="360" w:lineRule="auto"/>
        <w:jc w:val="both"/>
        <w:rPr>
          <w:rFonts w:cstheme="minorHAnsi"/>
        </w:rPr>
      </w:pPr>
      <w:r w:rsidRPr="00206FFF">
        <w:rPr>
          <w:rFonts w:cstheme="minorHAnsi"/>
          <w:b/>
          <w:bCs/>
        </w:rPr>
        <w:t>Arts and Culture Sector:</w:t>
      </w:r>
      <w:r w:rsidR="00206FFF" w:rsidRPr="00206FFF">
        <w:rPr>
          <w:rFonts w:cstheme="minorHAnsi"/>
          <w:bCs/>
        </w:rPr>
        <w:t>P</w:t>
      </w:r>
      <w:r w:rsidRPr="00206FFF">
        <w:rPr>
          <w:rFonts w:cstheme="minorHAnsi"/>
        </w:rPr>
        <w:t>rovided Artscape with assistance with information around Level 4 COVID-19 regulations.  proposal to collaborate around Artscape video footage of their 11 February 2020 Education and training launch as part of the PEO activities during 2020.  Artscape linked the Department of Arts and Culture with the PEO to provide assistance with a request for an AU flag for their Africa Day celebrations, thus promoting the visibility of the office</w:t>
      </w:r>
      <w:r w:rsidR="00206FFF">
        <w:rPr>
          <w:rFonts w:cstheme="minorHAnsi"/>
        </w:rPr>
        <w:t xml:space="preserve">. </w:t>
      </w:r>
    </w:p>
    <w:p w:rsidR="00206FFF" w:rsidRDefault="00467F54" w:rsidP="003B5E3A">
      <w:pPr>
        <w:numPr>
          <w:ilvl w:val="1"/>
          <w:numId w:val="15"/>
        </w:numPr>
        <w:spacing w:after="0" w:line="360" w:lineRule="auto"/>
        <w:jc w:val="both"/>
        <w:rPr>
          <w:rFonts w:cstheme="minorHAnsi"/>
        </w:rPr>
      </w:pPr>
      <w:r w:rsidRPr="00206FFF">
        <w:rPr>
          <w:rFonts w:cstheme="minorHAnsi"/>
          <w:b/>
          <w:bCs/>
        </w:rPr>
        <w:t>Higher Education Sector University of the Western Cape(UWC)</w:t>
      </w:r>
      <w:r w:rsidRPr="00206FFF">
        <w:rPr>
          <w:rFonts w:cstheme="minorHAnsi"/>
        </w:rPr>
        <w:t xml:space="preserve"> Education Faculty and School of Government submitted a concept document and a TOR. The DM indicated that the proposal by UWC needs to follow an SCM process. PEO to develop TOR and call for quotations during June 2020</w:t>
      </w:r>
    </w:p>
    <w:p w:rsidR="00206FFF" w:rsidRDefault="00206FFF" w:rsidP="00206FFF">
      <w:pPr>
        <w:spacing w:after="0" w:line="360" w:lineRule="auto"/>
        <w:jc w:val="both"/>
        <w:rPr>
          <w:rFonts w:cstheme="minorHAnsi"/>
        </w:rPr>
      </w:pPr>
    </w:p>
    <w:p w:rsidR="00206FFF" w:rsidRDefault="00206FFF" w:rsidP="00206FFF">
      <w:pPr>
        <w:spacing w:after="0" w:line="360" w:lineRule="auto"/>
        <w:jc w:val="both"/>
        <w:rPr>
          <w:rFonts w:cstheme="minorHAnsi"/>
        </w:rPr>
      </w:pPr>
    </w:p>
    <w:p w:rsidR="00262239" w:rsidRPr="000E5E77" w:rsidRDefault="00262239" w:rsidP="003B5E3A">
      <w:pPr>
        <w:pStyle w:val="Heading3"/>
        <w:numPr>
          <w:ilvl w:val="0"/>
          <w:numId w:val="7"/>
        </w:numPr>
        <w:rPr>
          <w:sz w:val="24"/>
          <w:szCs w:val="24"/>
        </w:rPr>
      </w:pPr>
      <w:bookmarkStart w:id="27" w:name="_Toc54361050"/>
      <w:r w:rsidRPr="000E5E77">
        <w:rPr>
          <w:sz w:val="24"/>
          <w:szCs w:val="24"/>
        </w:rPr>
        <w:t>Programme 4: Support Services</w:t>
      </w:r>
      <w:bookmarkEnd w:id="27"/>
    </w:p>
    <w:p w:rsidR="00316F86" w:rsidRPr="000E5E77" w:rsidRDefault="00316F86">
      <w:pPr>
        <w:rPr>
          <w:rFonts w:ascii="Calibri" w:hAnsi="Calibri" w:cs="Calibri"/>
        </w:rPr>
      </w:pPr>
    </w:p>
    <w:p w:rsidR="00380670" w:rsidRDefault="00380670" w:rsidP="00C612D1">
      <w:pPr>
        <w:jc w:val="both"/>
        <w:rPr>
          <w:rFonts w:ascii="Calibri" w:hAnsi="Calibri" w:cs="Calibri"/>
        </w:rPr>
      </w:pPr>
      <w:r w:rsidRPr="00380670">
        <w:rPr>
          <w:rFonts w:ascii="Calibri" w:hAnsi="Calibri" w:cs="Calibri"/>
        </w:rPr>
        <w:t>The programme to invest in ICT infrastructure, systems and skills must allow the institution to move away from its traditional and current capabilities, to a future state that includes converging information, interaction, networks, applications, devices and channels. The future state must provide a seamless and valuable experience for Members of Parliament, as the primary clients of the Parliamentary Service.</w:t>
      </w:r>
    </w:p>
    <w:p w:rsidR="007B2042" w:rsidRDefault="007B2042" w:rsidP="00C612D1">
      <w:pPr>
        <w:jc w:val="both"/>
        <w:rPr>
          <w:rFonts w:ascii="Calibri" w:hAnsi="Calibri" w:cs="Calibri"/>
        </w:rPr>
      </w:pPr>
    </w:p>
    <w:p w:rsidR="007B2042" w:rsidRDefault="007B2042" w:rsidP="007B2042">
      <w:pPr>
        <w:jc w:val="center"/>
        <w:rPr>
          <w:rFonts w:ascii="Calibri" w:hAnsi="Calibri" w:cs="Calibri"/>
        </w:rPr>
      </w:pPr>
      <w:r>
        <w:rPr>
          <w:noProof/>
          <w:lang w:eastAsia="en-ZA"/>
        </w:rPr>
        <w:drawing>
          <wp:inline distT="0" distB="0" distL="0" distR="0">
            <wp:extent cx="5628904" cy="3598224"/>
            <wp:effectExtent l="0" t="0" r="0" b="25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B2042" w:rsidRDefault="007B2042" w:rsidP="007B2042">
      <w:pPr>
        <w:jc w:val="center"/>
        <w:rPr>
          <w:rFonts w:ascii="Calibri" w:hAnsi="Calibri" w:cs="Calibri"/>
        </w:rPr>
      </w:pPr>
    </w:p>
    <w:p w:rsidR="00262239" w:rsidRPr="00206FFF" w:rsidRDefault="002F6218" w:rsidP="00C612D1">
      <w:pPr>
        <w:jc w:val="both"/>
        <w:rPr>
          <w:rFonts w:ascii="Calibri" w:hAnsi="Calibri" w:cs="Calibri"/>
        </w:rPr>
      </w:pPr>
      <w:r w:rsidRPr="00206FFF">
        <w:rPr>
          <w:rFonts w:ascii="Calibri" w:hAnsi="Calibri" w:cs="Calibri"/>
        </w:rPr>
        <w:t>All 4</w:t>
      </w:r>
      <w:r w:rsidR="00C612D1" w:rsidRPr="00206FFF">
        <w:rPr>
          <w:rFonts w:ascii="Calibri" w:hAnsi="Calibri" w:cs="Calibri"/>
        </w:rPr>
        <w:t xml:space="preserve"> indicators in Programme 4 have annual targets</w:t>
      </w:r>
      <w:r w:rsidR="0074136E" w:rsidRPr="00206FFF">
        <w:rPr>
          <w:rFonts w:ascii="Calibri" w:hAnsi="Calibri" w:cs="Calibri"/>
        </w:rPr>
        <w:t xml:space="preserve">, </w:t>
      </w:r>
      <w:r w:rsidR="00E06B22" w:rsidRPr="00206FFF">
        <w:rPr>
          <w:rFonts w:ascii="Calibri" w:hAnsi="Calibri" w:cs="Calibri"/>
        </w:rPr>
        <w:t>with progress reported for each of the indicators</w:t>
      </w:r>
      <w:r w:rsidR="00C612D1" w:rsidRPr="00206FFF">
        <w:rPr>
          <w:rFonts w:ascii="Calibri" w:hAnsi="Calibri" w:cs="Calibri"/>
        </w:rPr>
        <w:t xml:space="preserve">. </w:t>
      </w:r>
      <w:r w:rsidR="00446F5E" w:rsidRPr="00206FFF">
        <w:rPr>
          <w:rFonts w:ascii="Calibri" w:hAnsi="Calibri" w:cs="Calibri"/>
        </w:rPr>
        <w:t>Indicators on Universal Access (ICT),</w:t>
      </w:r>
      <w:r w:rsidR="006A6DC7" w:rsidRPr="00206FFF">
        <w:rPr>
          <w:rFonts w:ascii="Calibri" w:hAnsi="Calibri" w:cs="Calibri"/>
        </w:rPr>
        <w:t>Talent Management Index</w:t>
      </w:r>
      <w:r w:rsidR="0074136E" w:rsidRPr="00206FFF">
        <w:rPr>
          <w:rFonts w:ascii="Calibri" w:hAnsi="Calibri" w:cs="Calibri"/>
        </w:rPr>
        <w:t xml:space="preserve">, </w:t>
      </w:r>
      <w:r w:rsidR="00B72788" w:rsidRPr="00206FFF">
        <w:rPr>
          <w:rFonts w:ascii="Calibri" w:hAnsi="Calibri" w:cs="Calibri"/>
        </w:rPr>
        <w:t>the Client Satisfaction indicator</w:t>
      </w:r>
      <w:r w:rsidR="0074136E" w:rsidRPr="00206FFF">
        <w:rPr>
          <w:rFonts w:ascii="Calibri" w:hAnsi="Calibri" w:cs="Calibri"/>
        </w:rPr>
        <w:t>, and t</w:t>
      </w:r>
      <w:r w:rsidR="006A6DC7" w:rsidRPr="00206FFF">
        <w:rPr>
          <w:rFonts w:ascii="Calibri" w:hAnsi="Calibri" w:cs="Calibri"/>
        </w:rPr>
        <w:t>he indicator on the population aware of Parliament</w:t>
      </w:r>
      <w:r w:rsidR="0074136E" w:rsidRPr="00206FFF">
        <w:rPr>
          <w:rFonts w:ascii="Calibri" w:hAnsi="Calibri" w:cs="Calibri"/>
        </w:rPr>
        <w:t>, were not measured</w:t>
      </w:r>
      <w:r w:rsidR="003A5153" w:rsidRPr="00206FFF">
        <w:rPr>
          <w:rFonts w:ascii="Calibri" w:hAnsi="Calibri" w:cs="Calibri"/>
        </w:rPr>
        <w:t xml:space="preserve"> for the mid-year</w:t>
      </w:r>
      <w:r w:rsidR="0074136E" w:rsidRPr="00206FFF">
        <w:rPr>
          <w:rFonts w:ascii="Calibri" w:hAnsi="Calibri" w:cs="Calibri"/>
        </w:rPr>
        <w:t xml:space="preserve">. </w:t>
      </w:r>
    </w:p>
    <w:p w:rsidR="00C612D1" w:rsidRDefault="00C612D1" w:rsidP="00380670">
      <w:pPr>
        <w:pStyle w:val="Heading3"/>
        <w:numPr>
          <w:ilvl w:val="0"/>
          <w:numId w:val="0"/>
        </w:numPr>
        <w:spacing w:line="360" w:lineRule="auto"/>
        <w:rPr>
          <w:rFonts w:ascii="Calibri" w:eastAsiaTheme="minorHAnsi" w:hAnsi="Calibri" w:cs="Calibri"/>
          <w:b w:val="0"/>
          <w:bCs w:val="0"/>
          <w:color w:val="auto"/>
          <w:lang w:val="en-ZA"/>
        </w:rPr>
      </w:pPr>
    </w:p>
    <w:p w:rsidR="00206FFF" w:rsidRDefault="00206FFF" w:rsidP="00206FFF"/>
    <w:p w:rsidR="00206FFF" w:rsidRDefault="00206FFF" w:rsidP="00206FFF"/>
    <w:p w:rsidR="00206FFF" w:rsidRDefault="00206FFF" w:rsidP="00206FFF"/>
    <w:p w:rsidR="00206FFF" w:rsidRDefault="00206FFF" w:rsidP="00206FFF"/>
    <w:p w:rsidR="00206FFF" w:rsidRDefault="00206FFF" w:rsidP="00206FFF"/>
    <w:p w:rsidR="00206FFF" w:rsidRDefault="00206FFF" w:rsidP="00206FFF"/>
    <w:p w:rsidR="00206FFF" w:rsidRDefault="00206FFF" w:rsidP="00206FFF"/>
    <w:p w:rsidR="00206FFF" w:rsidRDefault="00206FFF" w:rsidP="00206FFF"/>
    <w:p w:rsidR="00206FFF" w:rsidRDefault="00206FFF" w:rsidP="00206FFF"/>
    <w:p w:rsidR="00206FFF" w:rsidRDefault="00206FFF" w:rsidP="00206FFF"/>
    <w:p w:rsidR="001C31CB" w:rsidRPr="007254B5" w:rsidRDefault="00A6273D" w:rsidP="003B5E3A">
      <w:pPr>
        <w:pStyle w:val="Heading4"/>
        <w:numPr>
          <w:ilvl w:val="0"/>
          <w:numId w:val="6"/>
        </w:numPr>
        <w:rPr>
          <w:rFonts w:asciiTheme="minorHAnsi" w:hAnsiTheme="minorHAnsi" w:cstheme="minorHAnsi"/>
          <w:sz w:val="24"/>
          <w:szCs w:val="24"/>
        </w:rPr>
      </w:pPr>
      <w:r w:rsidRPr="007254B5">
        <w:rPr>
          <w:rFonts w:asciiTheme="minorHAnsi" w:hAnsiTheme="minorHAnsi" w:cstheme="minorHAnsi"/>
          <w:sz w:val="24"/>
          <w:szCs w:val="24"/>
        </w:rPr>
        <w:t>Parliamentary Communications Services</w:t>
      </w:r>
    </w:p>
    <w:p w:rsidR="007254B5" w:rsidRPr="007254B5" w:rsidRDefault="007254B5" w:rsidP="007254B5">
      <w:pPr>
        <w:rPr>
          <w:rFonts w:cstheme="minorHAnsi"/>
          <w:sz w:val="24"/>
          <w:szCs w:val="24"/>
          <w:lang w:val="en-US"/>
        </w:rPr>
      </w:pPr>
    </w:p>
    <w:tbl>
      <w:tblPr>
        <w:tblStyle w:val="GridTable4Accent5"/>
        <w:tblW w:w="10348" w:type="dxa"/>
        <w:tblInd w:w="-147" w:type="dxa"/>
        <w:tblLayout w:type="fixed"/>
        <w:tblLook w:val="04A0"/>
      </w:tblPr>
      <w:tblGrid>
        <w:gridCol w:w="2223"/>
        <w:gridCol w:w="46"/>
        <w:gridCol w:w="1938"/>
        <w:gridCol w:w="1701"/>
        <w:gridCol w:w="1418"/>
        <w:gridCol w:w="1134"/>
        <w:gridCol w:w="1888"/>
      </w:tblGrid>
      <w:tr w:rsidR="00380670" w:rsidRPr="00027CA6" w:rsidTr="00EC4885">
        <w:trPr>
          <w:cnfStyle w:val="100000000000"/>
          <w:trHeight w:val="583"/>
        </w:trPr>
        <w:tc>
          <w:tcPr>
            <w:cnfStyle w:val="001000000000"/>
            <w:tcW w:w="2269" w:type="dxa"/>
            <w:gridSpan w:val="2"/>
          </w:tcPr>
          <w:p w:rsidR="00380670" w:rsidRPr="00027CA6" w:rsidRDefault="00380670" w:rsidP="00EC4885">
            <w:pPr>
              <w:pStyle w:val="ColorfulList-Accent11"/>
              <w:ind w:left="0"/>
              <w:rPr>
                <w:rFonts w:cs="Calibri"/>
                <w:bCs w:val="0"/>
              </w:rPr>
            </w:pPr>
            <w:r>
              <w:rPr>
                <w:rFonts w:cs="Calibri"/>
                <w:b w:val="0"/>
              </w:rPr>
              <w:t>Parliamentary Service</w:t>
            </w:r>
          </w:p>
        </w:tc>
        <w:tc>
          <w:tcPr>
            <w:tcW w:w="1938" w:type="dxa"/>
          </w:tcPr>
          <w:p w:rsidR="00380670" w:rsidRPr="00027CA6" w:rsidRDefault="00380670" w:rsidP="00EC4885">
            <w:pPr>
              <w:pStyle w:val="ColorfulList-Accent11"/>
              <w:ind w:left="0"/>
              <w:cnfStyle w:val="100000000000"/>
              <w:rPr>
                <w:rFonts w:cs="Calibri"/>
                <w:b w:val="0"/>
              </w:rPr>
            </w:pPr>
            <w:r>
              <w:rPr>
                <w:rFonts w:cs="Calibri"/>
                <w:b w:val="0"/>
              </w:rPr>
              <w:t>Indicator</w:t>
            </w:r>
          </w:p>
        </w:tc>
        <w:tc>
          <w:tcPr>
            <w:tcW w:w="1701" w:type="dxa"/>
          </w:tcPr>
          <w:p w:rsidR="00380670" w:rsidRPr="00027CA6" w:rsidRDefault="001E4867" w:rsidP="00EC4885">
            <w:pPr>
              <w:pStyle w:val="ColorfulList-Accent11"/>
              <w:ind w:left="0"/>
              <w:cnfStyle w:val="100000000000"/>
              <w:rPr>
                <w:rFonts w:cs="Calibri"/>
              </w:rPr>
            </w:pPr>
            <w:r>
              <w:rPr>
                <w:rFonts w:cs="Calibri"/>
              </w:rPr>
              <w:t xml:space="preserve">Mid-Year </w:t>
            </w:r>
            <w:r w:rsidR="00380670" w:rsidRPr="00027CA6">
              <w:rPr>
                <w:rFonts w:cs="Calibri"/>
              </w:rPr>
              <w:t>Target</w:t>
            </w:r>
            <w:r w:rsidR="00380670">
              <w:rPr>
                <w:rFonts w:cs="Calibri"/>
              </w:rPr>
              <w:t xml:space="preserve"> 2020/21</w:t>
            </w:r>
          </w:p>
        </w:tc>
        <w:tc>
          <w:tcPr>
            <w:tcW w:w="1418" w:type="dxa"/>
          </w:tcPr>
          <w:p w:rsidR="00380670" w:rsidRPr="00027CA6" w:rsidRDefault="00380670" w:rsidP="00EC4885">
            <w:pPr>
              <w:pStyle w:val="ColorfulList-Accent11"/>
              <w:ind w:left="0"/>
              <w:cnfStyle w:val="100000000000"/>
              <w:rPr>
                <w:rFonts w:cs="Calibri"/>
              </w:rPr>
            </w:pPr>
            <w:r w:rsidRPr="00027CA6">
              <w:rPr>
                <w:rFonts w:cs="Calibri"/>
              </w:rPr>
              <w:t>Actual performance</w:t>
            </w:r>
          </w:p>
        </w:tc>
        <w:tc>
          <w:tcPr>
            <w:tcW w:w="1134" w:type="dxa"/>
          </w:tcPr>
          <w:p w:rsidR="00380670" w:rsidRPr="00027CA6" w:rsidRDefault="00380670" w:rsidP="00EC4885">
            <w:pPr>
              <w:pStyle w:val="ColorfulList-Accent11"/>
              <w:ind w:left="0"/>
              <w:cnfStyle w:val="100000000000"/>
              <w:rPr>
                <w:rFonts w:cs="Calibri"/>
              </w:rPr>
            </w:pPr>
            <w:r w:rsidRPr="00027CA6">
              <w:rPr>
                <w:rFonts w:cs="Calibri"/>
              </w:rPr>
              <w:t>Variance</w:t>
            </w:r>
          </w:p>
        </w:tc>
        <w:tc>
          <w:tcPr>
            <w:tcW w:w="1888" w:type="dxa"/>
          </w:tcPr>
          <w:p w:rsidR="00380670" w:rsidRPr="00027CA6" w:rsidRDefault="00380670" w:rsidP="00EC4885">
            <w:pPr>
              <w:pStyle w:val="ColorfulList-Accent11"/>
              <w:ind w:left="0"/>
              <w:jc w:val="both"/>
              <w:cnfStyle w:val="100000000000"/>
              <w:rPr>
                <w:rFonts w:cs="Calibri"/>
              </w:rPr>
            </w:pPr>
            <w:r w:rsidRPr="00027CA6">
              <w:rPr>
                <w:rFonts w:cs="Calibri"/>
              </w:rPr>
              <w:t>Reasons for variance &amp; mitigation factors</w:t>
            </w:r>
          </w:p>
        </w:tc>
      </w:tr>
      <w:tr w:rsidR="00380670" w:rsidRPr="00027CA6" w:rsidTr="00EC4885">
        <w:trPr>
          <w:cnfStyle w:val="000000100000"/>
          <w:trHeight w:val="1357"/>
        </w:trPr>
        <w:tc>
          <w:tcPr>
            <w:cnfStyle w:val="001000000000"/>
            <w:tcW w:w="2223" w:type="dxa"/>
          </w:tcPr>
          <w:p w:rsidR="00CB531A" w:rsidRDefault="00CB531A" w:rsidP="00CB531A">
            <w:pPr>
              <w:pStyle w:val="Default"/>
              <w:rPr>
                <w:sz w:val="20"/>
                <w:szCs w:val="20"/>
              </w:rPr>
            </w:pPr>
            <w:r>
              <w:rPr>
                <w:sz w:val="20"/>
                <w:szCs w:val="20"/>
              </w:rPr>
              <w:t xml:space="preserve">Communication services </w:t>
            </w:r>
          </w:p>
          <w:p w:rsidR="00380670" w:rsidRPr="00027CA6" w:rsidRDefault="00380670" w:rsidP="00EC4885">
            <w:pPr>
              <w:pStyle w:val="ColorfulList-Accent11"/>
              <w:ind w:left="0"/>
              <w:rPr>
                <w:rFonts w:cs="Calibri"/>
                <w:b w:val="0"/>
              </w:rPr>
            </w:pPr>
          </w:p>
        </w:tc>
        <w:tc>
          <w:tcPr>
            <w:tcW w:w="1984" w:type="dxa"/>
            <w:gridSpan w:val="2"/>
          </w:tcPr>
          <w:p w:rsidR="00380670" w:rsidRPr="00027CA6" w:rsidRDefault="00CB531A" w:rsidP="00EC4885">
            <w:pPr>
              <w:pStyle w:val="Default"/>
              <w:cnfStyle w:val="000000100000"/>
              <w:rPr>
                <w:rFonts w:ascii="Calibri" w:hAnsi="Calibri" w:cs="Calibri"/>
                <w:sz w:val="22"/>
                <w:szCs w:val="22"/>
              </w:rPr>
            </w:pPr>
            <w:r w:rsidRPr="00CB531A">
              <w:rPr>
                <w:rFonts w:ascii="Calibri" w:hAnsi="Calibri" w:cs="Calibri"/>
                <w:sz w:val="22"/>
                <w:szCs w:val="22"/>
              </w:rPr>
              <w:t>% of population who are aware of the business of Parliament</w:t>
            </w:r>
          </w:p>
        </w:tc>
        <w:tc>
          <w:tcPr>
            <w:tcW w:w="1701" w:type="dxa"/>
          </w:tcPr>
          <w:p w:rsidR="00380670" w:rsidRDefault="00CB531A" w:rsidP="00EC4885">
            <w:pPr>
              <w:pStyle w:val="ColorfulList-Accent11"/>
              <w:ind w:left="0"/>
              <w:cnfStyle w:val="000000100000"/>
              <w:rPr>
                <w:rFonts w:cs="Calibri"/>
              </w:rPr>
            </w:pPr>
            <w:r>
              <w:rPr>
                <w:rFonts w:cs="Calibri"/>
              </w:rPr>
              <w:t>-</w:t>
            </w:r>
          </w:p>
          <w:p w:rsidR="00CB531A" w:rsidRDefault="00CB531A" w:rsidP="00EC4885">
            <w:pPr>
              <w:pStyle w:val="ColorfulList-Accent11"/>
              <w:ind w:left="0"/>
              <w:cnfStyle w:val="000000100000"/>
              <w:rPr>
                <w:rFonts w:cs="Calibri"/>
              </w:rPr>
            </w:pPr>
          </w:p>
          <w:p w:rsidR="00CB531A" w:rsidRPr="00027CA6" w:rsidRDefault="00CB531A" w:rsidP="00EC4885">
            <w:pPr>
              <w:pStyle w:val="ColorfulList-Accent11"/>
              <w:ind w:left="0"/>
              <w:cnfStyle w:val="000000100000"/>
              <w:rPr>
                <w:rFonts w:cs="Calibri"/>
              </w:rPr>
            </w:pPr>
            <w:r>
              <w:rPr>
                <w:rFonts w:cs="Calibri"/>
              </w:rPr>
              <w:t>Annual – 24%</w:t>
            </w:r>
          </w:p>
        </w:tc>
        <w:tc>
          <w:tcPr>
            <w:tcW w:w="1418" w:type="dxa"/>
          </w:tcPr>
          <w:p w:rsidR="00380670" w:rsidRPr="00027CA6" w:rsidRDefault="00CB531A" w:rsidP="00EC4885">
            <w:pPr>
              <w:pStyle w:val="ColorfulList-Accent11"/>
              <w:ind w:left="0"/>
              <w:cnfStyle w:val="000000100000"/>
              <w:rPr>
                <w:rFonts w:cs="Calibri"/>
              </w:rPr>
            </w:pPr>
            <w:r>
              <w:rPr>
                <w:rFonts w:cs="Calibri"/>
              </w:rPr>
              <w:t>N/A</w:t>
            </w:r>
          </w:p>
        </w:tc>
        <w:tc>
          <w:tcPr>
            <w:tcW w:w="1134" w:type="dxa"/>
          </w:tcPr>
          <w:p w:rsidR="00380670" w:rsidRPr="00027CA6" w:rsidRDefault="00380670" w:rsidP="00EC4885">
            <w:pPr>
              <w:pStyle w:val="ColorfulList-Accent11"/>
              <w:ind w:left="0"/>
              <w:cnfStyle w:val="000000100000"/>
              <w:rPr>
                <w:rFonts w:cs="Calibri"/>
              </w:rPr>
            </w:pPr>
          </w:p>
        </w:tc>
        <w:tc>
          <w:tcPr>
            <w:tcW w:w="1888" w:type="dxa"/>
          </w:tcPr>
          <w:p w:rsidR="00380670" w:rsidRPr="00027CA6" w:rsidRDefault="00380670" w:rsidP="00EC4885">
            <w:pPr>
              <w:cnfStyle w:val="000000100000"/>
              <w:rPr>
                <w:rFonts w:ascii="Calibri" w:eastAsia="Calibri" w:hAnsi="Calibri" w:cs="Calibri"/>
              </w:rPr>
            </w:pPr>
          </w:p>
        </w:tc>
      </w:tr>
    </w:tbl>
    <w:p w:rsidR="004042FD" w:rsidRDefault="004042FD" w:rsidP="004042FD">
      <w:pPr>
        <w:spacing w:after="200"/>
        <w:rPr>
          <w:rFonts w:ascii="Calibri" w:hAnsi="Calibri" w:cs="Calibri"/>
          <w:b/>
          <w:smallCaps/>
          <w:noProof/>
          <w:sz w:val="24"/>
          <w:szCs w:val="24"/>
        </w:rPr>
      </w:pPr>
    </w:p>
    <w:p w:rsidR="008100AA" w:rsidRDefault="008100AA" w:rsidP="004042FD">
      <w:pPr>
        <w:spacing w:after="200"/>
        <w:rPr>
          <w:rFonts w:ascii="Calibri" w:hAnsi="Calibri" w:cs="Calibri"/>
          <w:b/>
          <w:smallCaps/>
          <w:noProof/>
          <w:sz w:val="24"/>
          <w:szCs w:val="24"/>
        </w:rPr>
      </w:pPr>
      <w:r>
        <w:rPr>
          <w:rFonts w:ascii="Calibri" w:hAnsi="Calibri" w:cs="Calibri"/>
          <w:b/>
          <w:smallCaps/>
          <w:noProof/>
          <w:sz w:val="24"/>
          <w:szCs w:val="24"/>
        </w:rPr>
        <w:t>Performance Trends</w:t>
      </w:r>
    </w:p>
    <w:p w:rsidR="00E10BD4" w:rsidRPr="00E10BD4" w:rsidRDefault="00E10BD4" w:rsidP="00E10BD4">
      <w:pPr>
        <w:jc w:val="both"/>
      </w:pPr>
      <w:r w:rsidRPr="00E10BD4">
        <w:t>The service provider to conduct the Public Perception survey has been appointed.  IPSOS was appointed to conduct both the Public Perception and Stakeholder surveys.   The first on-boarding meeting has taken place.  The communication plan and an abridged version of the research findings has been completed in preparation for the briefings etc. with the stakeholders.</w:t>
      </w:r>
    </w:p>
    <w:p w:rsidR="008100AA" w:rsidRDefault="00E10BD4" w:rsidP="00E10BD4">
      <w:pPr>
        <w:jc w:val="both"/>
      </w:pPr>
      <w:r w:rsidRPr="00E10BD4">
        <w:t xml:space="preserve">IPSOS declared that Covid-19 had impacted negatively on their execution of their 2020 wave-one research project which will have a knock-on effect on the launch of wave-two fieldwork i.e. Fieldwork launch for the Parliament survey.  </w:t>
      </w:r>
    </w:p>
    <w:p w:rsidR="00E10BD4" w:rsidRPr="00E10BD4" w:rsidRDefault="00E10BD4" w:rsidP="00E10BD4">
      <w:pPr>
        <w:jc w:val="both"/>
        <w:rPr>
          <w:b/>
        </w:rPr>
      </w:pPr>
      <w:r w:rsidRPr="00E10BD4">
        <w:rPr>
          <w:b/>
        </w:rPr>
        <w:t>6</w:t>
      </w:r>
      <w:r w:rsidRPr="00E10BD4">
        <w:rPr>
          <w:b/>
          <w:vertAlign w:val="superscript"/>
        </w:rPr>
        <w:t>th</w:t>
      </w:r>
      <w:r w:rsidRPr="00E10BD4">
        <w:rPr>
          <w:b/>
        </w:rPr>
        <w:t xml:space="preserve"> Parliament Communication Strategy </w:t>
      </w:r>
    </w:p>
    <w:p w:rsidR="00ED1FE2" w:rsidRPr="00E10BD4" w:rsidRDefault="00ED1FE2" w:rsidP="003B5E3A">
      <w:pPr>
        <w:numPr>
          <w:ilvl w:val="0"/>
          <w:numId w:val="16"/>
        </w:numPr>
        <w:jc w:val="both"/>
      </w:pPr>
      <w:r w:rsidRPr="00E10BD4">
        <w:t xml:space="preserve">The draft Strategy has been submitted to the Accounting Officer for approval.  Presentations on the Communication Strategy to two Support Services Branch meetings </w:t>
      </w:r>
      <w:r w:rsidR="00E10BD4">
        <w:t xml:space="preserve">were conducted. </w:t>
      </w:r>
    </w:p>
    <w:p w:rsidR="00D45CD8" w:rsidRDefault="00D45CD8" w:rsidP="003B5E3A">
      <w:pPr>
        <w:numPr>
          <w:ilvl w:val="0"/>
          <w:numId w:val="16"/>
        </w:numPr>
        <w:jc w:val="both"/>
      </w:pPr>
      <w:r>
        <w:t>Additionally, a</w:t>
      </w:r>
      <w:r w:rsidR="00ED1FE2" w:rsidRPr="00E10BD4">
        <w:t xml:space="preserve"> review of the Corporate Identity Manual to bring our institutional branding and brand promise in line with the new strategic plan of Parliament </w:t>
      </w:r>
      <w:r>
        <w:t xml:space="preserve">is also underway. </w:t>
      </w:r>
    </w:p>
    <w:p w:rsidR="00486472" w:rsidRDefault="00486472" w:rsidP="003B096C">
      <w:pPr>
        <w:ind w:left="720"/>
        <w:jc w:val="both"/>
      </w:pPr>
      <w:r w:rsidRPr="00486472">
        <w:rPr>
          <w:noProof/>
          <w:lang w:eastAsia="en-ZA"/>
        </w:rPr>
        <w:lastRenderedPageBreak/>
        <w:drawing>
          <wp:inline distT="0" distB="0" distL="0" distR="0">
            <wp:extent cx="5476875" cy="3886200"/>
            <wp:effectExtent l="0" t="0" r="0" b="0"/>
            <wp:docPr id="19" name="Chart 1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415052E1-B744-4375-91CE-8F6659DE6D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86472" w:rsidRDefault="00486472" w:rsidP="003B096C">
      <w:pPr>
        <w:ind w:left="720"/>
        <w:jc w:val="both"/>
      </w:pPr>
    </w:p>
    <w:p w:rsidR="00486472" w:rsidRDefault="00486472" w:rsidP="003B096C">
      <w:pPr>
        <w:ind w:left="720"/>
        <w:jc w:val="both"/>
      </w:pPr>
    </w:p>
    <w:p w:rsidR="00486472" w:rsidRPr="00781D3D" w:rsidRDefault="00781D3D" w:rsidP="003B096C">
      <w:pPr>
        <w:ind w:left="720"/>
        <w:jc w:val="both"/>
        <w:rPr>
          <w:b/>
        </w:rPr>
      </w:pPr>
      <w:r w:rsidRPr="00781D3D">
        <w:rPr>
          <w:b/>
        </w:rPr>
        <w:t>Net Reputation Score</w:t>
      </w:r>
    </w:p>
    <w:p w:rsidR="00781D3D" w:rsidRDefault="00781D3D" w:rsidP="003B096C">
      <w:pPr>
        <w:ind w:left="720"/>
        <w:jc w:val="both"/>
      </w:pPr>
    </w:p>
    <w:p w:rsidR="00781D3D" w:rsidRDefault="00781D3D" w:rsidP="003B096C">
      <w:pPr>
        <w:ind w:left="720"/>
        <w:jc w:val="both"/>
      </w:pPr>
      <w:r w:rsidRPr="00781D3D">
        <w:rPr>
          <w:noProof/>
          <w:lang w:eastAsia="en-ZA"/>
        </w:rPr>
        <w:drawing>
          <wp:inline distT="0" distB="0" distL="0" distR="0">
            <wp:extent cx="2828925" cy="2809875"/>
            <wp:effectExtent l="0" t="0" r="0" b="0"/>
            <wp:docPr id="20" name="Chart 2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A6CC77D7-FADE-417D-A56C-B789CCE3F1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781D3D">
        <w:rPr>
          <w:noProof/>
          <w:lang w:eastAsia="en-ZA"/>
        </w:rPr>
        <w:drawing>
          <wp:inline distT="0" distB="0" distL="0" distR="0">
            <wp:extent cx="2543175" cy="2781300"/>
            <wp:effectExtent l="0" t="0" r="0" b="0"/>
            <wp:docPr id="21" name="Chart 2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528A9BB2-8A36-43D9-90BD-6BD37F726F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86472" w:rsidRDefault="00486472" w:rsidP="003B096C">
      <w:pPr>
        <w:ind w:left="720"/>
        <w:jc w:val="both"/>
      </w:pPr>
    </w:p>
    <w:p w:rsidR="00A11BB5" w:rsidRDefault="00A11BB5" w:rsidP="00C2157E">
      <w:pPr>
        <w:ind w:left="-284"/>
        <w:jc w:val="both"/>
      </w:pPr>
      <w:r w:rsidRPr="00A11BB5">
        <w:rPr>
          <w:noProof/>
          <w:lang w:eastAsia="en-ZA"/>
        </w:rPr>
        <w:lastRenderedPageBreak/>
        <w:drawing>
          <wp:inline distT="0" distB="0" distL="0" distR="0">
            <wp:extent cx="6562725" cy="4829175"/>
            <wp:effectExtent l="0" t="0" r="0" b="0"/>
            <wp:docPr id="22" name="Chart 2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2287A152-3964-4C28-BD7C-6514C2B9FD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254B5" w:rsidRPr="007254B5" w:rsidRDefault="007254B5" w:rsidP="003B5E3A">
      <w:pPr>
        <w:pStyle w:val="Heading4"/>
        <w:numPr>
          <w:ilvl w:val="0"/>
          <w:numId w:val="6"/>
        </w:numPr>
        <w:rPr>
          <w:rFonts w:asciiTheme="minorHAnsi" w:hAnsiTheme="minorHAnsi" w:cstheme="minorHAnsi"/>
          <w:sz w:val="24"/>
          <w:szCs w:val="24"/>
        </w:rPr>
      </w:pPr>
      <w:r w:rsidRPr="007254B5">
        <w:rPr>
          <w:rFonts w:ascii="Calibri" w:hAnsi="Calibri" w:cs="Calibri"/>
          <w:sz w:val="24"/>
          <w:szCs w:val="24"/>
        </w:rPr>
        <w:t>Information and Communication Technology (ICT)</w:t>
      </w:r>
    </w:p>
    <w:p w:rsidR="007254B5" w:rsidRDefault="007254B5" w:rsidP="007254B5">
      <w:pPr>
        <w:pStyle w:val="ListParagraph"/>
        <w:ind w:left="0"/>
        <w:jc w:val="both"/>
        <w:rPr>
          <w:rFonts w:ascii="Calibri" w:hAnsi="Calibri" w:cs="Calibri"/>
          <w:b/>
          <w:sz w:val="24"/>
          <w:szCs w:val="24"/>
        </w:rPr>
      </w:pPr>
    </w:p>
    <w:tbl>
      <w:tblPr>
        <w:tblStyle w:val="GridTable4Accent5"/>
        <w:tblW w:w="10348" w:type="dxa"/>
        <w:tblInd w:w="-147" w:type="dxa"/>
        <w:tblLayout w:type="fixed"/>
        <w:tblLook w:val="04A0"/>
      </w:tblPr>
      <w:tblGrid>
        <w:gridCol w:w="2223"/>
        <w:gridCol w:w="46"/>
        <w:gridCol w:w="1938"/>
        <w:gridCol w:w="1701"/>
        <w:gridCol w:w="1418"/>
        <w:gridCol w:w="1134"/>
        <w:gridCol w:w="1888"/>
      </w:tblGrid>
      <w:tr w:rsidR="00CB531A" w:rsidRPr="00027CA6" w:rsidTr="00EC4885">
        <w:trPr>
          <w:cnfStyle w:val="100000000000"/>
          <w:trHeight w:val="583"/>
        </w:trPr>
        <w:tc>
          <w:tcPr>
            <w:cnfStyle w:val="001000000000"/>
            <w:tcW w:w="2269" w:type="dxa"/>
            <w:gridSpan w:val="2"/>
          </w:tcPr>
          <w:p w:rsidR="00CB531A" w:rsidRPr="00027CA6" w:rsidRDefault="00CB531A" w:rsidP="00EC4885">
            <w:pPr>
              <w:pStyle w:val="ColorfulList-Accent11"/>
              <w:ind w:left="0"/>
              <w:rPr>
                <w:rFonts w:cs="Calibri"/>
                <w:bCs w:val="0"/>
              </w:rPr>
            </w:pPr>
            <w:r>
              <w:rPr>
                <w:rFonts w:cs="Calibri"/>
                <w:b w:val="0"/>
              </w:rPr>
              <w:t>Parliamentary Service</w:t>
            </w:r>
          </w:p>
        </w:tc>
        <w:tc>
          <w:tcPr>
            <w:tcW w:w="1938" w:type="dxa"/>
          </w:tcPr>
          <w:p w:rsidR="00CB531A" w:rsidRPr="00027CA6" w:rsidRDefault="00CB531A" w:rsidP="00EC4885">
            <w:pPr>
              <w:pStyle w:val="ColorfulList-Accent11"/>
              <w:ind w:left="0"/>
              <w:cnfStyle w:val="100000000000"/>
              <w:rPr>
                <w:rFonts w:cs="Calibri"/>
                <w:b w:val="0"/>
              </w:rPr>
            </w:pPr>
            <w:r>
              <w:rPr>
                <w:rFonts w:cs="Calibri"/>
                <w:b w:val="0"/>
              </w:rPr>
              <w:t>Indicator</w:t>
            </w:r>
          </w:p>
        </w:tc>
        <w:tc>
          <w:tcPr>
            <w:tcW w:w="1701" w:type="dxa"/>
          </w:tcPr>
          <w:p w:rsidR="001E4867" w:rsidRDefault="001E4867" w:rsidP="00EC4885">
            <w:pPr>
              <w:pStyle w:val="ColorfulList-Accent11"/>
              <w:ind w:left="0"/>
              <w:cnfStyle w:val="100000000000"/>
              <w:rPr>
                <w:rFonts w:cs="Calibri"/>
              </w:rPr>
            </w:pPr>
            <w:r>
              <w:rPr>
                <w:rFonts w:cs="Calibri"/>
              </w:rPr>
              <w:t>Mid-Year</w:t>
            </w:r>
          </w:p>
          <w:p w:rsidR="00CB531A" w:rsidRPr="00027CA6" w:rsidRDefault="00CB531A" w:rsidP="00EC4885">
            <w:pPr>
              <w:pStyle w:val="ColorfulList-Accent11"/>
              <w:ind w:left="0"/>
              <w:cnfStyle w:val="100000000000"/>
              <w:rPr>
                <w:rFonts w:cs="Calibri"/>
              </w:rPr>
            </w:pPr>
            <w:r w:rsidRPr="00027CA6">
              <w:rPr>
                <w:rFonts w:cs="Calibri"/>
              </w:rPr>
              <w:t>Target</w:t>
            </w:r>
            <w:r>
              <w:rPr>
                <w:rFonts w:cs="Calibri"/>
              </w:rPr>
              <w:t xml:space="preserve"> 2020/21</w:t>
            </w:r>
          </w:p>
        </w:tc>
        <w:tc>
          <w:tcPr>
            <w:tcW w:w="1418" w:type="dxa"/>
          </w:tcPr>
          <w:p w:rsidR="00CB531A" w:rsidRPr="00027CA6" w:rsidRDefault="00CB531A" w:rsidP="00EC4885">
            <w:pPr>
              <w:pStyle w:val="ColorfulList-Accent11"/>
              <w:ind w:left="0"/>
              <w:cnfStyle w:val="100000000000"/>
              <w:rPr>
                <w:rFonts w:cs="Calibri"/>
              </w:rPr>
            </w:pPr>
            <w:r w:rsidRPr="00027CA6">
              <w:rPr>
                <w:rFonts w:cs="Calibri"/>
              </w:rPr>
              <w:t>Actual performance</w:t>
            </w:r>
          </w:p>
        </w:tc>
        <w:tc>
          <w:tcPr>
            <w:tcW w:w="1134" w:type="dxa"/>
          </w:tcPr>
          <w:p w:rsidR="00CB531A" w:rsidRPr="00027CA6" w:rsidRDefault="00CB531A" w:rsidP="00EC4885">
            <w:pPr>
              <w:pStyle w:val="ColorfulList-Accent11"/>
              <w:ind w:left="0"/>
              <w:cnfStyle w:val="100000000000"/>
              <w:rPr>
                <w:rFonts w:cs="Calibri"/>
              </w:rPr>
            </w:pPr>
            <w:r w:rsidRPr="00027CA6">
              <w:rPr>
                <w:rFonts w:cs="Calibri"/>
              </w:rPr>
              <w:t>Variance</w:t>
            </w:r>
          </w:p>
        </w:tc>
        <w:tc>
          <w:tcPr>
            <w:tcW w:w="1888" w:type="dxa"/>
          </w:tcPr>
          <w:p w:rsidR="00CB531A" w:rsidRPr="00027CA6" w:rsidRDefault="00CB531A" w:rsidP="00EC4885">
            <w:pPr>
              <w:pStyle w:val="ColorfulList-Accent11"/>
              <w:ind w:left="0"/>
              <w:jc w:val="both"/>
              <w:cnfStyle w:val="100000000000"/>
              <w:rPr>
                <w:rFonts w:cs="Calibri"/>
              </w:rPr>
            </w:pPr>
            <w:r w:rsidRPr="00027CA6">
              <w:rPr>
                <w:rFonts w:cs="Calibri"/>
              </w:rPr>
              <w:t>Reasons for variance &amp; mitigation factors</w:t>
            </w:r>
          </w:p>
        </w:tc>
      </w:tr>
      <w:tr w:rsidR="00CB531A" w:rsidRPr="00027CA6" w:rsidTr="00EC4885">
        <w:trPr>
          <w:cnfStyle w:val="000000100000"/>
          <w:trHeight w:val="1357"/>
        </w:trPr>
        <w:tc>
          <w:tcPr>
            <w:cnfStyle w:val="001000000000"/>
            <w:tcW w:w="2223" w:type="dxa"/>
          </w:tcPr>
          <w:p w:rsidR="00CB531A" w:rsidRPr="00027CA6" w:rsidRDefault="00CB531A" w:rsidP="00EC4885">
            <w:pPr>
              <w:pStyle w:val="ColorfulList-Accent11"/>
              <w:ind w:left="0"/>
              <w:rPr>
                <w:rFonts w:cs="Calibri"/>
                <w:b w:val="0"/>
              </w:rPr>
            </w:pPr>
            <w:r w:rsidRPr="00CB531A">
              <w:rPr>
                <w:rFonts w:ascii="Arial" w:eastAsia="Times New Roman" w:hAnsi="Arial" w:cs="Arial"/>
                <w:color w:val="000000"/>
                <w:sz w:val="20"/>
                <w:szCs w:val="20"/>
                <w:lang w:eastAsia="en-ZA"/>
              </w:rPr>
              <w:t>Digital services (ICT)</w:t>
            </w:r>
          </w:p>
        </w:tc>
        <w:tc>
          <w:tcPr>
            <w:tcW w:w="1984" w:type="dxa"/>
            <w:gridSpan w:val="2"/>
          </w:tcPr>
          <w:p w:rsidR="00CB531A" w:rsidRPr="00027CA6" w:rsidRDefault="00CB531A" w:rsidP="00EC4885">
            <w:pPr>
              <w:pStyle w:val="Default"/>
              <w:cnfStyle w:val="000000100000"/>
              <w:rPr>
                <w:rFonts w:ascii="Calibri" w:hAnsi="Calibri" w:cs="Calibri"/>
                <w:sz w:val="22"/>
                <w:szCs w:val="22"/>
              </w:rPr>
            </w:pPr>
            <w:r w:rsidRPr="00CB531A">
              <w:rPr>
                <w:rFonts w:ascii="Calibri" w:hAnsi="Calibri" w:cs="Calibri"/>
                <w:sz w:val="22"/>
                <w:szCs w:val="22"/>
              </w:rPr>
              <w:t>% of universal access</w:t>
            </w:r>
          </w:p>
        </w:tc>
        <w:tc>
          <w:tcPr>
            <w:tcW w:w="1701" w:type="dxa"/>
          </w:tcPr>
          <w:p w:rsidR="00CB531A" w:rsidRDefault="00CB531A" w:rsidP="00EC4885">
            <w:pPr>
              <w:pStyle w:val="ColorfulList-Accent11"/>
              <w:ind w:left="0"/>
              <w:cnfStyle w:val="000000100000"/>
              <w:rPr>
                <w:rFonts w:cs="Calibri"/>
              </w:rPr>
            </w:pPr>
            <w:r>
              <w:rPr>
                <w:rFonts w:cs="Calibri"/>
              </w:rPr>
              <w:t>-</w:t>
            </w:r>
          </w:p>
          <w:p w:rsidR="00CB531A" w:rsidRDefault="00CB531A" w:rsidP="00EC4885">
            <w:pPr>
              <w:pStyle w:val="ColorfulList-Accent11"/>
              <w:ind w:left="0"/>
              <w:cnfStyle w:val="000000100000"/>
              <w:rPr>
                <w:rFonts w:cs="Calibri"/>
              </w:rPr>
            </w:pPr>
          </w:p>
          <w:p w:rsidR="00CB531A" w:rsidRPr="00027CA6" w:rsidRDefault="00CB531A" w:rsidP="00EC4885">
            <w:pPr>
              <w:pStyle w:val="ColorfulList-Accent11"/>
              <w:ind w:left="0"/>
              <w:cnfStyle w:val="000000100000"/>
              <w:rPr>
                <w:rFonts w:cs="Calibri"/>
              </w:rPr>
            </w:pPr>
            <w:r>
              <w:rPr>
                <w:rFonts w:cs="Calibri"/>
              </w:rPr>
              <w:t>Annual – 94%</w:t>
            </w:r>
          </w:p>
        </w:tc>
        <w:tc>
          <w:tcPr>
            <w:tcW w:w="1418" w:type="dxa"/>
          </w:tcPr>
          <w:p w:rsidR="009D5836" w:rsidRDefault="009D5836" w:rsidP="00EC4885">
            <w:pPr>
              <w:pStyle w:val="ColorfulList-Accent11"/>
              <w:ind w:left="0"/>
              <w:cnfStyle w:val="000000100000"/>
              <w:rPr>
                <w:rFonts w:cs="Calibri"/>
              </w:rPr>
            </w:pPr>
          </w:p>
          <w:p w:rsidR="009D5836" w:rsidRDefault="009D5836" w:rsidP="00EC4885">
            <w:pPr>
              <w:pStyle w:val="ColorfulList-Accent11"/>
              <w:ind w:left="0"/>
              <w:cnfStyle w:val="000000100000"/>
              <w:rPr>
                <w:rFonts w:cs="Calibri"/>
              </w:rPr>
            </w:pPr>
          </w:p>
          <w:p w:rsidR="009D5836" w:rsidRDefault="009D5836" w:rsidP="00EC4885">
            <w:pPr>
              <w:pStyle w:val="ColorfulList-Accent11"/>
              <w:ind w:left="0"/>
              <w:cnfStyle w:val="000000100000"/>
              <w:rPr>
                <w:rFonts w:cs="Calibri"/>
              </w:rPr>
            </w:pPr>
            <w:r>
              <w:rPr>
                <w:rFonts w:cs="Calibri"/>
              </w:rPr>
              <w:t>Progressive performance</w:t>
            </w:r>
          </w:p>
          <w:p w:rsidR="00CB531A" w:rsidRPr="00027CA6" w:rsidRDefault="009D55A3" w:rsidP="00EC4885">
            <w:pPr>
              <w:pStyle w:val="ColorfulList-Accent11"/>
              <w:ind w:left="0"/>
              <w:cnfStyle w:val="000000100000"/>
              <w:rPr>
                <w:rFonts w:cs="Calibri"/>
              </w:rPr>
            </w:pPr>
            <w:r>
              <w:rPr>
                <w:rFonts w:cs="Calibri"/>
              </w:rPr>
              <w:t>93,47%</w:t>
            </w:r>
          </w:p>
        </w:tc>
        <w:tc>
          <w:tcPr>
            <w:tcW w:w="1134" w:type="dxa"/>
          </w:tcPr>
          <w:p w:rsidR="009D5836" w:rsidRDefault="009D5836" w:rsidP="00EC4885">
            <w:pPr>
              <w:pStyle w:val="ColorfulList-Accent11"/>
              <w:ind w:left="0"/>
              <w:cnfStyle w:val="000000100000"/>
              <w:rPr>
                <w:rFonts w:cs="Calibri"/>
              </w:rPr>
            </w:pPr>
          </w:p>
          <w:p w:rsidR="009D5836" w:rsidRDefault="009D5836" w:rsidP="00EC4885">
            <w:pPr>
              <w:pStyle w:val="ColorfulList-Accent11"/>
              <w:ind w:left="0"/>
              <w:cnfStyle w:val="000000100000"/>
              <w:rPr>
                <w:rFonts w:cs="Calibri"/>
              </w:rPr>
            </w:pPr>
          </w:p>
          <w:p w:rsidR="00CB531A" w:rsidRPr="00027CA6" w:rsidRDefault="008A421D" w:rsidP="00EC4885">
            <w:pPr>
              <w:pStyle w:val="ColorfulList-Accent11"/>
              <w:ind w:left="0"/>
              <w:cnfStyle w:val="000000100000"/>
              <w:rPr>
                <w:rFonts w:cs="Calibri"/>
              </w:rPr>
            </w:pPr>
            <w:r>
              <w:rPr>
                <w:rFonts w:cs="Calibri"/>
              </w:rPr>
              <w:t>-0,53%</w:t>
            </w:r>
          </w:p>
        </w:tc>
        <w:tc>
          <w:tcPr>
            <w:tcW w:w="1888" w:type="dxa"/>
          </w:tcPr>
          <w:p w:rsidR="00CB531A" w:rsidRPr="00027CA6" w:rsidRDefault="008A421D" w:rsidP="00EC4885">
            <w:pPr>
              <w:cnfStyle w:val="000000100000"/>
              <w:rPr>
                <w:rFonts w:ascii="Calibri" w:eastAsia="Calibri" w:hAnsi="Calibri" w:cs="Calibri"/>
              </w:rPr>
            </w:pPr>
            <w:r w:rsidRPr="008A421D">
              <w:rPr>
                <w:rFonts w:ascii="Calibri" w:eastAsia="Calibri" w:hAnsi="Calibri" w:cs="Calibri"/>
              </w:rPr>
              <w:t>Implementation is in progress with regards to the automation of Travel services, and Members Disclosure on the ERP.</w:t>
            </w:r>
          </w:p>
        </w:tc>
      </w:tr>
    </w:tbl>
    <w:p w:rsidR="00CB531A" w:rsidRDefault="00CB531A" w:rsidP="00CB531A">
      <w:pPr>
        <w:spacing w:after="200"/>
        <w:rPr>
          <w:rFonts w:ascii="Calibri" w:hAnsi="Calibri" w:cs="Calibri"/>
          <w:b/>
          <w:smallCaps/>
          <w:noProof/>
          <w:sz w:val="24"/>
          <w:szCs w:val="24"/>
        </w:rPr>
      </w:pPr>
    </w:p>
    <w:p w:rsidR="003B096C" w:rsidRDefault="003B096C" w:rsidP="003B096C">
      <w:pPr>
        <w:spacing w:after="200"/>
        <w:rPr>
          <w:rFonts w:ascii="Calibri" w:hAnsi="Calibri" w:cs="Calibri"/>
          <w:b/>
          <w:smallCaps/>
          <w:noProof/>
          <w:sz w:val="24"/>
          <w:szCs w:val="24"/>
        </w:rPr>
      </w:pPr>
      <w:r>
        <w:rPr>
          <w:rFonts w:ascii="Calibri" w:hAnsi="Calibri" w:cs="Calibri"/>
          <w:b/>
          <w:smallCaps/>
          <w:noProof/>
          <w:sz w:val="24"/>
          <w:szCs w:val="24"/>
        </w:rPr>
        <w:t>Performance Trends</w:t>
      </w:r>
    </w:p>
    <w:p w:rsidR="003B096C" w:rsidRPr="00C33F2F" w:rsidRDefault="003B096C" w:rsidP="003B096C">
      <w:pPr>
        <w:jc w:val="both"/>
        <w:rPr>
          <w:rFonts w:ascii="Calibri" w:hAnsi="Calibri" w:cs="Calibri"/>
        </w:rPr>
      </w:pPr>
      <w:r w:rsidRPr="009D55A3">
        <w:rPr>
          <w:rFonts w:ascii="Calibri" w:hAnsi="Calibri" w:cs="Calibri"/>
          <w:sz w:val="24"/>
          <w:szCs w:val="24"/>
          <w:lang w:val="en-US"/>
        </w:rPr>
        <w:t>Access to information and processes of Parliament enable greater accessibility, transparency and openness. It also enhances effectiveness and efficiency thus improving productivity.</w:t>
      </w:r>
      <w:r w:rsidRPr="00C33F2F">
        <w:rPr>
          <w:rFonts w:ascii="Calibri" w:hAnsi="Calibri" w:cs="Calibri"/>
        </w:rPr>
        <w:t xml:space="preserve">% of universal access is a cumulative annual target which is tracked quarterly. At the current level of 93,47%, the indicator is very likely to meet or exceed the annual target of 94%. </w:t>
      </w:r>
    </w:p>
    <w:p w:rsidR="003B096C" w:rsidRPr="003B096C" w:rsidRDefault="003B096C" w:rsidP="00CB531A">
      <w:pPr>
        <w:spacing w:after="200"/>
        <w:rPr>
          <w:rFonts w:ascii="Calibri" w:hAnsi="Calibri" w:cs="Calibri"/>
          <w:b/>
          <w:smallCaps/>
          <w:noProof/>
        </w:rPr>
      </w:pPr>
    </w:p>
    <w:p w:rsidR="003B096C" w:rsidRPr="003B096C" w:rsidRDefault="003B096C" w:rsidP="003B096C">
      <w:pPr>
        <w:jc w:val="both"/>
        <w:rPr>
          <w:rFonts w:ascii="Calibri" w:hAnsi="Calibri" w:cs="Calibri"/>
          <w:lang w:val="en-US"/>
        </w:rPr>
      </w:pPr>
      <w:r w:rsidRPr="003B096C">
        <w:rPr>
          <w:rFonts w:ascii="Calibri" w:hAnsi="Calibri" w:cs="Calibri"/>
          <w:lang w:val="en-US"/>
        </w:rPr>
        <w:t>The following performance highlights were recorded:</w:t>
      </w:r>
    </w:p>
    <w:p w:rsidR="003B096C" w:rsidRPr="003B096C" w:rsidRDefault="003B096C" w:rsidP="003B096C">
      <w:pPr>
        <w:jc w:val="both"/>
        <w:rPr>
          <w:rFonts w:ascii="Calibri" w:hAnsi="Calibri" w:cs="Calibri"/>
          <w:lang w:eastAsia="en-ZA"/>
        </w:rPr>
      </w:pPr>
      <w:r w:rsidRPr="003B096C">
        <w:rPr>
          <w:rFonts w:ascii="Calibri" w:hAnsi="Calibri" w:cs="Calibri"/>
          <w:color w:val="000000"/>
          <w:kern w:val="24"/>
          <w:lang w:eastAsia="en-ZA"/>
        </w:rPr>
        <w:lastRenderedPageBreak/>
        <w:t>Provision of ICT and technical support to enable the following:</w:t>
      </w:r>
    </w:p>
    <w:p w:rsidR="003B096C" w:rsidRPr="003B096C" w:rsidRDefault="003B096C" w:rsidP="003B5E3A">
      <w:pPr>
        <w:numPr>
          <w:ilvl w:val="0"/>
          <w:numId w:val="17"/>
        </w:numPr>
        <w:spacing w:after="0" w:line="240" w:lineRule="auto"/>
        <w:contextualSpacing/>
        <w:jc w:val="both"/>
        <w:rPr>
          <w:rFonts w:ascii="Calibri" w:hAnsi="Calibri" w:cs="Calibri"/>
          <w:lang w:eastAsia="en-ZA"/>
        </w:rPr>
      </w:pPr>
      <w:r w:rsidRPr="003B096C">
        <w:rPr>
          <w:rFonts w:ascii="Calibri" w:hAnsi="Calibri" w:cs="Calibri"/>
          <w:color w:val="000000"/>
          <w:kern w:val="24"/>
          <w:lang w:eastAsia="en-ZA"/>
        </w:rPr>
        <w:t xml:space="preserve">Hybrid plenaries for the NA: </w:t>
      </w:r>
      <w:r w:rsidRPr="003B096C">
        <w:rPr>
          <w:rFonts w:ascii="Calibri" w:hAnsi="Calibri" w:cs="Calibri"/>
          <w:i/>
          <w:iCs/>
          <w:color w:val="000000"/>
          <w:kern w:val="24"/>
          <w:lang w:eastAsia="en-ZA"/>
        </w:rPr>
        <w:t xml:space="preserve">± </w:t>
      </w:r>
      <w:r w:rsidRPr="003B096C">
        <w:rPr>
          <w:rFonts w:ascii="Calibri" w:hAnsi="Calibri" w:cs="Calibri"/>
          <w:b/>
          <w:bCs/>
          <w:i/>
          <w:iCs/>
          <w:color w:val="000000"/>
          <w:kern w:val="24"/>
          <w:lang w:eastAsia="en-ZA"/>
        </w:rPr>
        <w:t>44</w:t>
      </w:r>
    </w:p>
    <w:p w:rsidR="003B096C" w:rsidRPr="003B096C" w:rsidRDefault="003B096C" w:rsidP="003B5E3A">
      <w:pPr>
        <w:numPr>
          <w:ilvl w:val="0"/>
          <w:numId w:val="17"/>
        </w:numPr>
        <w:spacing w:after="0" w:line="240" w:lineRule="auto"/>
        <w:contextualSpacing/>
        <w:jc w:val="both"/>
        <w:rPr>
          <w:rFonts w:ascii="Calibri" w:hAnsi="Calibri" w:cs="Calibri"/>
          <w:lang w:eastAsia="en-ZA"/>
        </w:rPr>
      </w:pPr>
      <w:r w:rsidRPr="003B096C">
        <w:rPr>
          <w:rFonts w:ascii="Calibri" w:hAnsi="Calibri" w:cs="Calibri"/>
          <w:color w:val="000000"/>
          <w:kern w:val="24"/>
          <w:lang w:eastAsia="en-ZA"/>
        </w:rPr>
        <w:t xml:space="preserve">Virtual plenaries for NCOP: </w:t>
      </w:r>
      <w:r w:rsidRPr="003B096C">
        <w:rPr>
          <w:rFonts w:ascii="Calibri" w:hAnsi="Calibri" w:cs="Calibri"/>
          <w:i/>
          <w:iCs/>
          <w:color w:val="000000"/>
          <w:kern w:val="24"/>
          <w:lang w:eastAsia="en-ZA"/>
        </w:rPr>
        <w:t xml:space="preserve">± </w:t>
      </w:r>
      <w:r w:rsidRPr="003B096C">
        <w:rPr>
          <w:rFonts w:ascii="Calibri" w:hAnsi="Calibri" w:cs="Calibri"/>
          <w:b/>
          <w:bCs/>
          <w:i/>
          <w:iCs/>
          <w:color w:val="000000"/>
          <w:kern w:val="24"/>
          <w:lang w:eastAsia="en-ZA"/>
        </w:rPr>
        <w:t>20</w:t>
      </w:r>
    </w:p>
    <w:p w:rsidR="003B096C" w:rsidRPr="003B096C" w:rsidRDefault="003B096C" w:rsidP="003B5E3A">
      <w:pPr>
        <w:numPr>
          <w:ilvl w:val="0"/>
          <w:numId w:val="17"/>
        </w:numPr>
        <w:spacing w:after="0" w:line="240" w:lineRule="auto"/>
        <w:contextualSpacing/>
        <w:jc w:val="both"/>
        <w:rPr>
          <w:rFonts w:ascii="Calibri" w:hAnsi="Calibri" w:cs="Calibri"/>
          <w:lang w:eastAsia="en-ZA"/>
        </w:rPr>
      </w:pPr>
      <w:r w:rsidRPr="003B096C">
        <w:rPr>
          <w:rFonts w:ascii="Calibri" w:hAnsi="Calibri" w:cs="Calibri"/>
          <w:color w:val="000000"/>
          <w:kern w:val="24"/>
          <w:lang w:eastAsia="en-ZA"/>
        </w:rPr>
        <w:t xml:space="preserve">Hybrid meeting engagements for </w:t>
      </w:r>
      <w:r w:rsidRPr="003B096C">
        <w:rPr>
          <w:rFonts w:ascii="Calibri" w:hAnsi="Calibri" w:cs="Calibri"/>
          <w:b/>
          <w:bCs/>
          <w:i/>
          <w:iCs/>
          <w:color w:val="000000"/>
          <w:kern w:val="24"/>
          <w:lang w:eastAsia="en-ZA"/>
        </w:rPr>
        <w:t>Youth and Women’s Parliaments</w:t>
      </w:r>
    </w:p>
    <w:p w:rsidR="003B096C" w:rsidRPr="003B096C" w:rsidRDefault="003B096C" w:rsidP="003B5E3A">
      <w:pPr>
        <w:numPr>
          <w:ilvl w:val="0"/>
          <w:numId w:val="17"/>
        </w:numPr>
        <w:spacing w:after="0" w:line="240" w:lineRule="auto"/>
        <w:contextualSpacing/>
        <w:jc w:val="both"/>
        <w:rPr>
          <w:rFonts w:ascii="Calibri" w:hAnsi="Calibri" w:cs="Calibri"/>
          <w:lang w:eastAsia="en-ZA"/>
        </w:rPr>
      </w:pPr>
      <w:r w:rsidRPr="003B096C">
        <w:rPr>
          <w:rFonts w:ascii="Calibri" w:hAnsi="Calibri" w:cs="Calibri"/>
          <w:color w:val="000000"/>
          <w:kern w:val="24"/>
          <w:lang w:eastAsia="en-ZA"/>
        </w:rPr>
        <w:t xml:space="preserve">Virtual meetings of the </w:t>
      </w:r>
      <w:r w:rsidRPr="003B096C">
        <w:rPr>
          <w:rFonts w:ascii="Calibri" w:hAnsi="Calibri" w:cs="Calibri"/>
          <w:b/>
          <w:i/>
          <w:color w:val="000000"/>
          <w:kern w:val="24"/>
          <w:lang w:eastAsia="en-ZA"/>
        </w:rPr>
        <w:t>Women’s Charter</w:t>
      </w:r>
      <w:r w:rsidRPr="003B096C">
        <w:rPr>
          <w:rFonts w:ascii="Calibri" w:hAnsi="Calibri" w:cs="Calibri"/>
          <w:color w:val="000000"/>
          <w:kern w:val="24"/>
          <w:lang w:eastAsia="en-ZA"/>
        </w:rPr>
        <w:t xml:space="preserve"> with more than three provinces</w:t>
      </w:r>
    </w:p>
    <w:p w:rsidR="003B096C" w:rsidRPr="003B096C" w:rsidRDefault="003B096C" w:rsidP="003B5E3A">
      <w:pPr>
        <w:numPr>
          <w:ilvl w:val="0"/>
          <w:numId w:val="17"/>
        </w:numPr>
        <w:spacing w:after="0" w:line="240" w:lineRule="auto"/>
        <w:contextualSpacing/>
        <w:jc w:val="both"/>
        <w:rPr>
          <w:rFonts w:ascii="Calibri" w:hAnsi="Calibri" w:cs="Calibri"/>
          <w:lang w:eastAsia="en-ZA"/>
        </w:rPr>
      </w:pPr>
      <w:r w:rsidRPr="003B096C">
        <w:rPr>
          <w:rFonts w:ascii="Calibri" w:hAnsi="Calibri" w:cs="Calibri"/>
          <w:color w:val="000000"/>
          <w:kern w:val="24"/>
          <w:lang w:eastAsia="en-ZA"/>
        </w:rPr>
        <w:t>Virtual public participation meetings</w:t>
      </w:r>
    </w:p>
    <w:p w:rsidR="003B096C" w:rsidRPr="003B096C" w:rsidRDefault="003B096C" w:rsidP="003B5E3A">
      <w:pPr>
        <w:numPr>
          <w:ilvl w:val="0"/>
          <w:numId w:val="17"/>
        </w:numPr>
        <w:spacing w:after="0" w:line="240" w:lineRule="auto"/>
        <w:contextualSpacing/>
        <w:jc w:val="both"/>
        <w:rPr>
          <w:rFonts w:ascii="Calibri" w:hAnsi="Calibri" w:cs="Calibri"/>
          <w:lang w:eastAsia="en-ZA"/>
        </w:rPr>
      </w:pPr>
      <w:r w:rsidRPr="003B096C">
        <w:rPr>
          <w:rFonts w:ascii="Calibri" w:hAnsi="Calibri" w:cs="Calibri"/>
          <w:color w:val="000000"/>
          <w:kern w:val="24"/>
          <w:lang w:eastAsia="en-ZA"/>
        </w:rPr>
        <w:t xml:space="preserve">Virtual committee meetings: </w:t>
      </w:r>
      <w:r w:rsidRPr="003B096C">
        <w:rPr>
          <w:rFonts w:ascii="Calibri" w:hAnsi="Calibri" w:cs="Calibri"/>
          <w:b/>
          <w:bCs/>
          <w:i/>
          <w:iCs/>
          <w:color w:val="000000"/>
          <w:kern w:val="24"/>
          <w:lang w:eastAsia="en-ZA"/>
        </w:rPr>
        <w:t xml:space="preserve">more than 550  </w:t>
      </w:r>
    </w:p>
    <w:p w:rsidR="003B096C" w:rsidRPr="003B096C" w:rsidRDefault="003B096C" w:rsidP="003B5E3A">
      <w:pPr>
        <w:numPr>
          <w:ilvl w:val="0"/>
          <w:numId w:val="17"/>
        </w:numPr>
        <w:spacing w:after="0" w:line="240" w:lineRule="auto"/>
        <w:contextualSpacing/>
        <w:jc w:val="both"/>
        <w:rPr>
          <w:rFonts w:ascii="Calibri" w:hAnsi="Calibri" w:cs="Calibri"/>
          <w:lang w:eastAsia="en-ZA"/>
        </w:rPr>
      </w:pPr>
      <w:r w:rsidRPr="003B096C">
        <w:rPr>
          <w:rFonts w:ascii="Calibri" w:hAnsi="Calibri" w:cs="Calibri"/>
          <w:color w:val="000000"/>
          <w:kern w:val="24"/>
          <w:lang w:eastAsia="en-ZA"/>
        </w:rPr>
        <w:t>Virtual public participation meetings</w:t>
      </w:r>
    </w:p>
    <w:p w:rsidR="003B096C" w:rsidRPr="003B096C" w:rsidRDefault="003B096C" w:rsidP="003B5E3A">
      <w:pPr>
        <w:numPr>
          <w:ilvl w:val="0"/>
          <w:numId w:val="17"/>
        </w:numPr>
        <w:spacing w:after="0" w:line="240" w:lineRule="auto"/>
        <w:contextualSpacing/>
        <w:jc w:val="both"/>
        <w:rPr>
          <w:rFonts w:ascii="Calibri" w:hAnsi="Calibri" w:cs="Calibri"/>
          <w:lang w:eastAsia="en-ZA"/>
        </w:rPr>
      </w:pPr>
      <w:r w:rsidRPr="003B096C">
        <w:rPr>
          <w:rFonts w:ascii="Calibri" w:hAnsi="Calibri" w:cs="Calibri"/>
          <w:color w:val="000000"/>
          <w:kern w:val="24"/>
          <w:lang w:eastAsia="en-ZA"/>
        </w:rPr>
        <w:t xml:space="preserve">Virtual programming committee meetings: </w:t>
      </w:r>
      <w:r w:rsidRPr="003B096C">
        <w:rPr>
          <w:rFonts w:ascii="Calibri" w:hAnsi="Calibri" w:cs="Calibri"/>
          <w:b/>
          <w:bCs/>
          <w:i/>
          <w:iCs/>
          <w:color w:val="000000"/>
          <w:kern w:val="24"/>
          <w:lang w:eastAsia="en-ZA"/>
        </w:rPr>
        <w:t xml:space="preserve">20 </w:t>
      </w:r>
    </w:p>
    <w:p w:rsidR="003B096C" w:rsidRDefault="003B096C" w:rsidP="003B5E3A">
      <w:pPr>
        <w:numPr>
          <w:ilvl w:val="0"/>
          <w:numId w:val="17"/>
        </w:numPr>
        <w:spacing w:after="0" w:line="240" w:lineRule="auto"/>
        <w:contextualSpacing/>
        <w:jc w:val="both"/>
        <w:rPr>
          <w:rFonts w:ascii="Calibri" w:hAnsi="Calibri" w:cs="Calibri"/>
          <w:lang w:eastAsia="en-ZA"/>
        </w:rPr>
      </w:pPr>
      <w:r w:rsidRPr="003B096C">
        <w:rPr>
          <w:rFonts w:ascii="Calibri" w:hAnsi="Calibri" w:cs="Calibri"/>
          <w:color w:val="000000"/>
          <w:kern w:val="24"/>
          <w:lang w:eastAsia="en-ZA"/>
        </w:rPr>
        <w:t xml:space="preserve">Support for Members funeral services: </w:t>
      </w:r>
      <w:r w:rsidRPr="003B096C">
        <w:rPr>
          <w:rFonts w:ascii="Calibri" w:hAnsi="Calibri" w:cs="Calibri"/>
          <w:b/>
          <w:bCs/>
          <w:i/>
          <w:iCs/>
          <w:color w:val="000000"/>
          <w:kern w:val="24"/>
          <w:lang w:eastAsia="en-ZA"/>
        </w:rPr>
        <w:t>3</w:t>
      </w:r>
    </w:p>
    <w:p w:rsidR="003B096C" w:rsidRPr="003B096C" w:rsidRDefault="003B096C" w:rsidP="003B5E3A">
      <w:pPr>
        <w:numPr>
          <w:ilvl w:val="0"/>
          <w:numId w:val="17"/>
        </w:numPr>
        <w:spacing w:after="0" w:line="240" w:lineRule="auto"/>
        <w:contextualSpacing/>
        <w:jc w:val="both"/>
        <w:rPr>
          <w:rFonts w:ascii="Calibri" w:hAnsi="Calibri" w:cs="Calibri"/>
          <w:lang w:eastAsia="en-ZA"/>
        </w:rPr>
      </w:pPr>
      <w:r w:rsidRPr="003B096C">
        <w:rPr>
          <w:rFonts w:ascii="Calibri" w:hAnsi="Calibri" w:cs="Calibri"/>
          <w:color w:val="000000"/>
          <w:kern w:val="24"/>
          <w:lang w:eastAsia="en-ZA"/>
        </w:rPr>
        <w:t>Virtual meetings of the Administration</w:t>
      </w:r>
    </w:p>
    <w:p w:rsidR="003B096C" w:rsidRDefault="003B096C" w:rsidP="00CB531A">
      <w:pPr>
        <w:spacing w:after="200"/>
        <w:rPr>
          <w:rFonts w:ascii="Calibri" w:hAnsi="Calibri" w:cs="Calibri"/>
          <w:b/>
          <w:smallCaps/>
          <w:noProof/>
        </w:rPr>
      </w:pPr>
    </w:p>
    <w:p w:rsidR="003B096C" w:rsidRPr="00270800" w:rsidRDefault="003B096C" w:rsidP="003B096C">
      <w:pPr>
        <w:rPr>
          <w:rFonts w:ascii="Calibri" w:hAnsi="Calibri" w:cs="Calibri"/>
          <w:b/>
          <w:bCs/>
          <w:i/>
          <w:iCs/>
          <w:color w:val="000000"/>
          <w:kern w:val="24"/>
          <w:lang w:eastAsia="en-ZA"/>
        </w:rPr>
      </w:pPr>
      <w:r w:rsidRPr="00270800">
        <w:rPr>
          <w:rFonts w:ascii="Calibri" w:hAnsi="Calibri" w:cs="Calibri"/>
          <w:b/>
          <w:bCs/>
          <w:i/>
          <w:iCs/>
          <w:color w:val="000000"/>
          <w:kern w:val="24"/>
          <w:lang w:eastAsia="en-ZA"/>
        </w:rPr>
        <w:t>ICT Infrastructure Support</w:t>
      </w:r>
    </w:p>
    <w:p w:rsidR="003B096C" w:rsidRDefault="003B096C" w:rsidP="003B5E3A">
      <w:pPr>
        <w:numPr>
          <w:ilvl w:val="0"/>
          <w:numId w:val="18"/>
        </w:numPr>
        <w:spacing w:after="0" w:line="240" w:lineRule="auto"/>
        <w:rPr>
          <w:rFonts w:ascii="Calibri" w:hAnsi="Calibri" w:cs="Calibri"/>
          <w:bCs/>
          <w:iCs/>
          <w:color w:val="000000"/>
          <w:kern w:val="24"/>
          <w:lang w:eastAsia="en-ZA"/>
        </w:rPr>
      </w:pPr>
      <w:r w:rsidRPr="00270800">
        <w:rPr>
          <w:rFonts w:ascii="Calibri" w:hAnsi="Calibri" w:cs="Calibri"/>
          <w:bCs/>
          <w:iCs/>
          <w:color w:val="000000"/>
          <w:kern w:val="24"/>
          <w:lang w:eastAsia="en-ZA"/>
        </w:rPr>
        <w:t>Upkeep and support of ICT infrastructure, including technical support for virtual; conferencing platforms, VPN, internet services, security of network and systems)</w:t>
      </w:r>
    </w:p>
    <w:p w:rsidR="003B096C" w:rsidRPr="003B096C" w:rsidRDefault="003B096C" w:rsidP="003B5E3A">
      <w:pPr>
        <w:numPr>
          <w:ilvl w:val="0"/>
          <w:numId w:val="18"/>
        </w:numPr>
        <w:spacing w:after="0" w:line="240" w:lineRule="auto"/>
        <w:rPr>
          <w:rFonts w:ascii="Calibri" w:hAnsi="Calibri" w:cs="Calibri"/>
          <w:bCs/>
          <w:iCs/>
          <w:color w:val="000000"/>
          <w:kern w:val="24"/>
          <w:lang w:eastAsia="en-ZA"/>
        </w:rPr>
      </w:pPr>
      <w:r w:rsidRPr="003B096C">
        <w:rPr>
          <w:rFonts w:ascii="Calibri" w:hAnsi="Calibri" w:cs="Calibri"/>
          <w:color w:val="000000"/>
          <w:kern w:val="24"/>
          <w:lang w:eastAsia="en-ZA"/>
        </w:rPr>
        <w:t xml:space="preserve">Ensuring </w:t>
      </w:r>
      <w:r w:rsidRPr="003B096C">
        <w:rPr>
          <w:rFonts w:ascii="Calibri" w:hAnsi="Calibri" w:cs="Calibri"/>
          <w:b/>
          <w:color w:val="000000"/>
          <w:kern w:val="24"/>
          <w:lang w:eastAsia="en-ZA"/>
        </w:rPr>
        <w:t>99,9%</w:t>
      </w:r>
      <w:r w:rsidRPr="003B096C">
        <w:rPr>
          <w:rFonts w:ascii="Calibri" w:hAnsi="Calibri" w:cs="Calibri"/>
          <w:b/>
          <w:bCs/>
          <w:iCs/>
          <w:color w:val="000000"/>
          <w:kern w:val="24"/>
          <w:lang w:eastAsia="en-ZA"/>
        </w:rPr>
        <w:t>availability</w:t>
      </w:r>
      <w:r w:rsidRPr="003B096C">
        <w:rPr>
          <w:rFonts w:ascii="Calibri" w:hAnsi="Calibri" w:cs="Calibri"/>
          <w:bCs/>
          <w:iCs/>
          <w:color w:val="000000"/>
          <w:kern w:val="24"/>
          <w:lang w:eastAsia="en-ZA"/>
        </w:rPr>
        <w:t xml:space="preserve"> of the network and key systems </w:t>
      </w:r>
      <w:r w:rsidRPr="003B096C">
        <w:rPr>
          <w:rFonts w:ascii="Calibri" w:hAnsi="Calibri" w:cs="Calibri"/>
          <w:color w:val="000000"/>
          <w:kern w:val="24"/>
          <w:lang w:eastAsia="en-ZA"/>
        </w:rPr>
        <w:t>(e.g. ERP, email, intranet, website, etc.)</w:t>
      </w:r>
    </w:p>
    <w:p w:rsidR="003B096C" w:rsidRPr="003B096C" w:rsidRDefault="003B096C" w:rsidP="00CB531A">
      <w:pPr>
        <w:spacing w:after="200"/>
        <w:rPr>
          <w:rFonts w:ascii="Calibri" w:hAnsi="Calibri" w:cs="Calibri"/>
          <w:b/>
          <w:smallCaps/>
          <w:noProof/>
        </w:rPr>
      </w:pPr>
    </w:p>
    <w:p w:rsidR="003B096C" w:rsidRPr="000C7050" w:rsidRDefault="003B096C" w:rsidP="003B096C">
      <w:pPr>
        <w:rPr>
          <w:rFonts w:ascii="Calibri" w:hAnsi="Calibri" w:cs="Calibri"/>
          <w:lang w:eastAsia="en-ZA"/>
        </w:rPr>
      </w:pPr>
      <w:r w:rsidRPr="000C7050">
        <w:rPr>
          <w:rFonts w:ascii="Calibri" w:hAnsi="Calibri" w:cs="Calibri"/>
          <w:b/>
          <w:bCs/>
          <w:i/>
          <w:iCs/>
          <w:color w:val="000000"/>
          <w:kern w:val="24"/>
          <w:lang w:eastAsia="en-ZA"/>
        </w:rPr>
        <w:t>Provision of ICT tools of trade</w:t>
      </w:r>
      <w:r w:rsidRPr="000C7050">
        <w:rPr>
          <w:rFonts w:ascii="Calibri" w:hAnsi="Calibri" w:cs="Calibri"/>
          <w:color w:val="000000"/>
          <w:kern w:val="24"/>
          <w:lang w:eastAsia="en-ZA"/>
        </w:rPr>
        <w:t>:</w:t>
      </w:r>
    </w:p>
    <w:p w:rsidR="003B096C" w:rsidRPr="000C7050" w:rsidRDefault="003B096C" w:rsidP="003B5E3A">
      <w:pPr>
        <w:numPr>
          <w:ilvl w:val="0"/>
          <w:numId w:val="19"/>
        </w:numPr>
        <w:spacing w:after="0" w:line="240" w:lineRule="auto"/>
        <w:contextualSpacing/>
        <w:rPr>
          <w:rFonts w:ascii="Calibri" w:hAnsi="Calibri" w:cs="Calibri"/>
          <w:lang w:eastAsia="en-ZA"/>
        </w:rPr>
      </w:pPr>
      <w:r w:rsidRPr="000C7050">
        <w:rPr>
          <w:rFonts w:ascii="Calibri" w:hAnsi="Calibri" w:cs="Calibri"/>
          <w:color w:val="000000"/>
          <w:kern w:val="24"/>
          <w:lang w:eastAsia="en-ZA"/>
        </w:rPr>
        <w:t xml:space="preserve">Replacement and issue of laptops: </w:t>
      </w:r>
      <w:r w:rsidRPr="000C7050">
        <w:rPr>
          <w:rFonts w:ascii="Calibri" w:hAnsi="Calibri" w:cs="Calibri"/>
          <w:b/>
          <w:bCs/>
          <w:i/>
          <w:iCs/>
          <w:color w:val="000000"/>
          <w:kern w:val="24"/>
          <w:lang w:eastAsia="en-ZA"/>
        </w:rPr>
        <w:t>±88</w:t>
      </w:r>
    </w:p>
    <w:p w:rsidR="003B096C" w:rsidRPr="000C7050" w:rsidRDefault="003B096C" w:rsidP="003B5E3A">
      <w:pPr>
        <w:numPr>
          <w:ilvl w:val="0"/>
          <w:numId w:val="19"/>
        </w:numPr>
        <w:spacing w:after="0" w:line="240" w:lineRule="auto"/>
        <w:contextualSpacing/>
        <w:rPr>
          <w:rFonts w:ascii="Calibri" w:hAnsi="Calibri" w:cs="Calibri"/>
          <w:lang w:eastAsia="en-ZA"/>
        </w:rPr>
      </w:pPr>
      <w:r w:rsidRPr="000C7050">
        <w:rPr>
          <w:rFonts w:ascii="Calibri" w:hAnsi="Calibri" w:cs="Calibri"/>
          <w:color w:val="000000"/>
          <w:kern w:val="24"/>
          <w:lang w:eastAsia="en-ZA"/>
        </w:rPr>
        <w:t xml:space="preserve">Move desktops remotely: </w:t>
      </w:r>
      <w:r w:rsidRPr="000C7050">
        <w:rPr>
          <w:rFonts w:ascii="Calibri" w:hAnsi="Calibri" w:cs="Calibri"/>
          <w:b/>
          <w:bCs/>
          <w:i/>
          <w:iCs/>
          <w:color w:val="000000"/>
          <w:kern w:val="24"/>
          <w:lang w:eastAsia="en-ZA"/>
        </w:rPr>
        <w:t>±30</w:t>
      </w:r>
    </w:p>
    <w:p w:rsidR="003B096C" w:rsidRPr="000C7050" w:rsidRDefault="003B096C" w:rsidP="003B5E3A">
      <w:pPr>
        <w:numPr>
          <w:ilvl w:val="0"/>
          <w:numId w:val="19"/>
        </w:numPr>
        <w:spacing w:after="0" w:line="240" w:lineRule="auto"/>
        <w:contextualSpacing/>
        <w:rPr>
          <w:rFonts w:ascii="Calibri" w:hAnsi="Calibri" w:cs="Calibri"/>
          <w:lang w:eastAsia="en-ZA"/>
        </w:rPr>
      </w:pPr>
      <w:r w:rsidRPr="000C7050">
        <w:rPr>
          <w:rFonts w:ascii="Calibri" w:hAnsi="Calibri" w:cs="Calibri"/>
          <w:color w:val="000000"/>
          <w:kern w:val="24"/>
          <w:lang w:eastAsia="en-ZA"/>
        </w:rPr>
        <w:t xml:space="preserve">Institutional laptop procurement for 2020/21 in progress </w:t>
      </w:r>
    </w:p>
    <w:p w:rsidR="003B096C" w:rsidRDefault="003B096C" w:rsidP="003B5E3A">
      <w:pPr>
        <w:numPr>
          <w:ilvl w:val="0"/>
          <w:numId w:val="19"/>
        </w:numPr>
        <w:spacing w:after="0" w:line="240" w:lineRule="auto"/>
        <w:contextualSpacing/>
        <w:rPr>
          <w:rFonts w:ascii="Calibri" w:hAnsi="Calibri" w:cs="Calibri"/>
          <w:lang w:eastAsia="en-ZA"/>
        </w:rPr>
      </w:pPr>
      <w:r w:rsidRPr="000C7050">
        <w:rPr>
          <w:rFonts w:ascii="Calibri" w:hAnsi="Calibri" w:cs="Calibri"/>
          <w:color w:val="000000"/>
          <w:kern w:val="24"/>
          <w:lang w:eastAsia="en-ZA"/>
        </w:rPr>
        <w:t xml:space="preserve">Number of voice and data provisions made: </w:t>
      </w:r>
      <w:r w:rsidRPr="000C7050">
        <w:rPr>
          <w:rFonts w:ascii="Calibri" w:hAnsi="Calibri" w:cs="Calibri"/>
          <w:b/>
          <w:bCs/>
          <w:color w:val="000000"/>
          <w:kern w:val="24"/>
          <w:lang w:eastAsia="en-ZA"/>
        </w:rPr>
        <w:t>354</w:t>
      </w:r>
    </w:p>
    <w:p w:rsidR="003B096C" w:rsidRPr="003B096C" w:rsidRDefault="003B096C" w:rsidP="003B5E3A">
      <w:pPr>
        <w:numPr>
          <w:ilvl w:val="0"/>
          <w:numId w:val="19"/>
        </w:numPr>
        <w:spacing w:after="0" w:line="240" w:lineRule="auto"/>
        <w:contextualSpacing/>
        <w:rPr>
          <w:rFonts w:ascii="Calibri" w:hAnsi="Calibri" w:cs="Calibri"/>
          <w:lang w:eastAsia="en-ZA"/>
        </w:rPr>
      </w:pPr>
      <w:r w:rsidRPr="003B096C">
        <w:rPr>
          <w:rFonts w:ascii="Calibri" w:hAnsi="Calibri" w:cs="Calibri"/>
          <w:color w:val="000000"/>
          <w:kern w:val="24"/>
          <w:lang w:eastAsia="en-ZA"/>
        </w:rPr>
        <w:t xml:space="preserve">Number of adaptors procured: </w:t>
      </w:r>
      <w:r w:rsidRPr="003B096C">
        <w:rPr>
          <w:rFonts w:ascii="Calibri" w:hAnsi="Calibri" w:cs="Calibri"/>
          <w:b/>
          <w:bCs/>
          <w:color w:val="000000"/>
          <w:kern w:val="24"/>
          <w:lang w:eastAsia="en-ZA"/>
        </w:rPr>
        <w:t>170</w:t>
      </w:r>
    </w:p>
    <w:p w:rsidR="003B096C" w:rsidRDefault="003B096C" w:rsidP="00CB531A">
      <w:pPr>
        <w:spacing w:after="200"/>
        <w:rPr>
          <w:rFonts w:ascii="Calibri" w:hAnsi="Calibri" w:cs="Calibri"/>
          <w:b/>
          <w:smallCaps/>
          <w:noProof/>
        </w:rPr>
      </w:pPr>
    </w:p>
    <w:p w:rsidR="003B096C" w:rsidRPr="000C7050" w:rsidRDefault="003B096C" w:rsidP="003B096C">
      <w:pPr>
        <w:rPr>
          <w:rFonts w:ascii="Calibri" w:hAnsi="Calibri" w:cs="Calibri"/>
          <w:lang w:eastAsia="en-ZA"/>
        </w:rPr>
      </w:pPr>
      <w:r w:rsidRPr="000C7050">
        <w:rPr>
          <w:rFonts w:ascii="Calibri" w:hAnsi="Calibri" w:cs="Calibri"/>
          <w:b/>
          <w:bCs/>
          <w:i/>
          <w:iCs/>
          <w:color w:val="000000"/>
          <w:kern w:val="24"/>
          <w:lang w:eastAsia="en-ZA"/>
        </w:rPr>
        <w:t>Provision of ICT training:</w:t>
      </w:r>
    </w:p>
    <w:p w:rsidR="003B096C" w:rsidRPr="000C7050" w:rsidRDefault="003B096C" w:rsidP="003B5E3A">
      <w:pPr>
        <w:numPr>
          <w:ilvl w:val="0"/>
          <w:numId w:val="20"/>
        </w:numPr>
        <w:spacing w:after="0" w:line="240" w:lineRule="auto"/>
        <w:contextualSpacing/>
        <w:rPr>
          <w:rFonts w:ascii="Calibri" w:hAnsi="Calibri" w:cs="Calibri"/>
          <w:lang w:eastAsia="en-ZA"/>
        </w:rPr>
      </w:pPr>
      <w:r w:rsidRPr="000C7050">
        <w:rPr>
          <w:rFonts w:ascii="Calibri" w:hAnsi="Calibri" w:cs="Calibri"/>
          <w:i/>
          <w:iCs/>
          <w:color w:val="000000"/>
          <w:kern w:val="24"/>
          <w:lang w:eastAsia="en-ZA"/>
        </w:rPr>
        <w:t xml:space="preserve">MS Teams – </w:t>
      </w:r>
      <w:r w:rsidRPr="000C7050">
        <w:rPr>
          <w:rFonts w:ascii="Calibri" w:hAnsi="Calibri" w:cs="Calibri"/>
          <w:b/>
          <w:bCs/>
          <w:i/>
          <w:iCs/>
          <w:color w:val="000000"/>
          <w:kern w:val="24"/>
          <w:lang w:eastAsia="en-ZA"/>
        </w:rPr>
        <w:t>413</w:t>
      </w:r>
      <w:r w:rsidRPr="000C7050">
        <w:rPr>
          <w:rFonts w:ascii="Calibri" w:hAnsi="Calibri" w:cs="Calibri"/>
          <w:i/>
          <w:iCs/>
          <w:color w:val="000000"/>
          <w:kern w:val="24"/>
          <w:lang w:eastAsia="en-ZA"/>
        </w:rPr>
        <w:t xml:space="preserve"> users </w:t>
      </w:r>
    </w:p>
    <w:p w:rsidR="003B096C" w:rsidRPr="000C7050" w:rsidRDefault="003B096C" w:rsidP="003B5E3A">
      <w:pPr>
        <w:numPr>
          <w:ilvl w:val="0"/>
          <w:numId w:val="20"/>
        </w:numPr>
        <w:spacing w:after="0" w:line="240" w:lineRule="auto"/>
        <w:contextualSpacing/>
        <w:rPr>
          <w:rFonts w:ascii="Calibri" w:hAnsi="Calibri" w:cs="Calibri"/>
          <w:lang w:eastAsia="en-ZA"/>
        </w:rPr>
      </w:pPr>
      <w:r w:rsidRPr="000C7050">
        <w:rPr>
          <w:rFonts w:ascii="Calibri" w:hAnsi="Calibri" w:cs="Calibri"/>
          <w:i/>
          <w:iCs/>
          <w:color w:val="000000"/>
          <w:kern w:val="24"/>
          <w:lang w:eastAsia="en-ZA"/>
        </w:rPr>
        <w:t xml:space="preserve">Zoom – </w:t>
      </w:r>
      <w:r w:rsidRPr="000C7050">
        <w:rPr>
          <w:rFonts w:ascii="Calibri" w:hAnsi="Calibri" w:cs="Calibri"/>
          <w:b/>
          <w:bCs/>
          <w:i/>
          <w:iCs/>
          <w:color w:val="000000"/>
          <w:kern w:val="24"/>
          <w:lang w:eastAsia="en-ZA"/>
        </w:rPr>
        <w:t>388</w:t>
      </w:r>
      <w:r w:rsidRPr="000C7050">
        <w:rPr>
          <w:rFonts w:ascii="Calibri" w:hAnsi="Calibri" w:cs="Calibri"/>
          <w:i/>
          <w:iCs/>
          <w:color w:val="000000"/>
          <w:kern w:val="24"/>
          <w:lang w:eastAsia="en-ZA"/>
        </w:rPr>
        <w:t xml:space="preserve"> users </w:t>
      </w:r>
    </w:p>
    <w:p w:rsidR="003B096C" w:rsidRDefault="003B096C" w:rsidP="003B5E3A">
      <w:pPr>
        <w:numPr>
          <w:ilvl w:val="0"/>
          <w:numId w:val="20"/>
        </w:numPr>
        <w:spacing w:after="0" w:line="240" w:lineRule="auto"/>
        <w:contextualSpacing/>
        <w:rPr>
          <w:rFonts w:ascii="Calibri" w:hAnsi="Calibri" w:cs="Calibri"/>
          <w:lang w:eastAsia="en-ZA"/>
        </w:rPr>
      </w:pPr>
      <w:r w:rsidRPr="000C7050">
        <w:rPr>
          <w:rFonts w:ascii="Calibri" w:hAnsi="Calibri" w:cs="Calibri"/>
          <w:i/>
          <w:iCs/>
          <w:color w:val="000000"/>
          <w:kern w:val="24"/>
          <w:lang w:eastAsia="en-ZA"/>
        </w:rPr>
        <w:t xml:space="preserve">ICDL - </w:t>
      </w:r>
      <w:r w:rsidRPr="000C7050">
        <w:rPr>
          <w:rFonts w:ascii="Calibri" w:hAnsi="Calibri" w:cs="Calibri"/>
          <w:b/>
          <w:bCs/>
          <w:i/>
          <w:iCs/>
          <w:color w:val="000000"/>
          <w:kern w:val="24"/>
          <w:lang w:eastAsia="en-ZA"/>
        </w:rPr>
        <w:t>128</w:t>
      </w:r>
      <w:r w:rsidRPr="000C7050">
        <w:rPr>
          <w:rFonts w:ascii="Calibri" w:hAnsi="Calibri" w:cs="Calibri"/>
          <w:i/>
          <w:iCs/>
          <w:color w:val="000000"/>
          <w:kern w:val="24"/>
          <w:lang w:eastAsia="en-ZA"/>
        </w:rPr>
        <w:t xml:space="preserve"> users </w:t>
      </w:r>
    </w:p>
    <w:p w:rsidR="003B096C" w:rsidRPr="003B096C" w:rsidRDefault="003B096C" w:rsidP="003B5E3A">
      <w:pPr>
        <w:numPr>
          <w:ilvl w:val="0"/>
          <w:numId w:val="20"/>
        </w:numPr>
        <w:spacing w:after="0" w:line="240" w:lineRule="auto"/>
        <w:contextualSpacing/>
        <w:rPr>
          <w:rFonts w:ascii="Calibri" w:hAnsi="Calibri" w:cs="Calibri"/>
          <w:lang w:eastAsia="en-ZA"/>
        </w:rPr>
      </w:pPr>
      <w:r w:rsidRPr="003B096C">
        <w:rPr>
          <w:rFonts w:ascii="Calibri" w:hAnsi="Calibri" w:cs="Calibri"/>
          <w:i/>
          <w:iCs/>
          <w:color w:val="000000"/>
          <w:kern w:val="24"/>
          <w:lang w:eastAsia="en-ZA"/>
        </w:rPr>
        <w:t xml:space="preserve">uVimba – </w:t>
      </w:r>
      <w:r w:rsidRPr="003B096C">
        <w:rPr>
          <w:rFonts w:ascii="Calibri" w:hAnsi="Calibri" w:cs="Calibri"/>
          <w:b/>
          <w:bCs/>
          <w:i/>
          <w:iCs/>
          <w:color w:val="000000"/>
          <w:kern w:val="24"/>
          <w:lang w:eastAsia="en-ZA"/>
        </w:rPr>
        <w:t>41</w:t>
      </w:r>
      <w:r w:rsidRPr="003B096C">
        <w:rPr>
          <w:rFonts w:ascii="Calibri" w:hAnsi="Calibri" w:cs="Calibri"/>
          <w:i/>
          <w:iCs/>
          <w:color w:val="000000"/>
          <w:kern w:val="24"/>
          <w:lang w:eastAsia="en-ZA"/>
        </w:rPr>
        <w:t xml:space="preserve"> users</w:t>
      </w:r>
    </w:p>
    <w:p w:rsidR="003B096C" w:rsidRDefault="003B096C" w:rsidP="00CB531A">
      <w:pPr>
        <w:spacing w:after="200"/>
        <w:rPr>
          <w:rFonts w:ascii="Calibri" w:hAnsi="Calibri" w:cs="Calibri"/>
          <w:b/>
          <w:smallCaps/>
          <w:noProof/>
        </w:rPr>
      </w:pPr>
    </w:p>
    <w:p w:rsidR="003B096C" w:rsidRPr="00270800" w:rsidRDefault="003B096C" w:rsidP="003B096C">
      <w:pPr>
        <w:rPr>
          <w:rFonts w:ascii="Calibri" w:hAnsi="Calibri" w:cs="Calibri"/>
          <w:b/>
          <w:bCs/>
          <w:i/>
          <w:iCs/>
          <w:color w:val="000000"/>
          <w:kern w:val="24"/>
          <w:lang w:val="en-US" w:eastAsia="en-ZA"/>
        </w:rPr>
      </w:pPr>
      <w:r w:rsidRPr="00270800">
        <w:rPr>
          <w:rFonts w:ascii="Calibri" w:hAnsi="Calibri" w:cs="Calibri"/>
          <w:b/>
          <w:bCs/>
          <w:i/>
          <w:iCs/>
          <w:color w:val="000000"/>
          <w:kern w:val="24"/>
          <w:lang w:val="en-US" w:eastAsia="en-ZA"/>
        </w:rPr>
        <w:t>Implementation of hybrid integration services:</w:t>
      </w:r>
    </w:p>
    <w:p w:rsidR="003B096C" w:rsidRPr="00270800" w:rsidRDefault="003B096C" w:rsidP="003B5E3A">
      <w:pPr>
        <w:numPr>
          <w:ilvl w:val="0"/>
          <w:numId w:val="21"/>
        </w:numPr>
        <w:spacing w:after="0" w:line="240" w:lineRule="auto"/>
        <w:rPr>
          <w:rFonts w:ascii="Calibri" w:hAnsi="Calibri" w:cs="Calibri"/>
          <w:bCs/>
          <w:iCs/>
          <w:color w:val="000000"/>
          <w:kern w:val="24"/>
          <w:lang w:val="en-US" w:eastAsia="en-ZA"/>
        </w:rPr>
      </w:pPr>
      <w:r w:rsidRPr="00270800">
        <w:rPr>
          <w:rFonts w:ascii="Calibri" w:hAnsi="Calibri" w:cs="Calibri"/>
          <w:bCs/>
          <w:iCs/>
          <w:color w:val="000000"/>
          <w:kern w:val="24"/>
          <w:lang w:val="en-US" w:eastAsia="en-ZA"/>
        </w:rPr>
        <w:t>NA Chamber completed May 2020</w:t>
      </w:r>
    </w:p>
    <w:p w:rsidR="003B096C" w:rsidRPr="00270800" w:rsidRDefault="003B096C" w:rsidP="003B5E3A">
      <w:pPr>
        <w:numPr>
          <w:ilvl w:val="0"/>
          <w:numId w:val="21"/>
        </w:numPr>
        <w:spacing w:after="0" w:line="240" w:lineRule="auto"/>
        <w:rPr>
          <w:rFonts w:ascii="Calibri" w:hAnsi="Calibri" w:cs="Calibri"/>
          <w:bCs/>
          <w:iCs/>
          <w:color w:val="000000"/>
          <w:kern w:val="24"/>
          <w:lang w:val="en-US" w:eastAsia="en-ZA"/>
        </w:rPr>
      </w:pPr>
      <w:r w:rsidRPr="00270800">
        <w:rPr>
          <w:rFonts w:ascii="Calibri" w:hAnsi="Calibri" w:cs="Calibri"/>
          <w:bCs/>
          <w:iCs/>
          <w:color w:val="000000"/>
          <w:kern w:val="24"/>
          <w:lang w:eastAsia="en-ZA"/>
        </w:rPr>
        <w:t>NCOP Chamber 90% completed</w:t>
      </w:r>
    </w:p>
    <w:p w:rsidR="003B096C" w:rsidRDefault="003B096C" w:rsidP="003B5E3A">
      <w:pPr>
        <w:numPr>
          <w:ilvl w:val="0"/>
          <w:numId w:val="21"/>
        </w:numPr>
        <w:spacing w:after="0" w:line="240" w:lineRule="auto"/>
        <w:rPr>
          <w:rFonts w:ascii="Calibri" w:hAnsi="Calibri" w:cs="Calibri"/>
          <w:bCs/>
          <w:iCs/>
          <w:color w:val="000000"/>
          <w:kern w:val="24"/>
          <w:lang w:val="en-US" w:eastAsia="en-ZA"/>
        </w:rPr>
      </w:pPr>
      <w:r>
        <w:rPr>
          <w:rFonts w:ascii="Calibri" w:hAnsi="Calibri" w:cs="Calibri"/>
          <w:bCs/>
          <w:iCs/>
          <w:color w:val="000000"/>
          <w:kern w:val="24"/>
          <w:lang w:eastAsia="en-ZA"/>
        </w:rPr>
        <w:t xml:space="preserve">Replacement of </w:t>
      </w:r>
      <w:r w:rsidRPr="00270800">
        <w:rPr>
          <w:rFonts w:ascii="Calibri" w:hAnsi="Calibri" w:cs="Calibri"/>
          <w:bCs/>
          <w:iCs/>
          <w:color w:val="000000"/>
          <w:kern w:val="24"/>
          <w:lang w:eastAsia="en-ZA"/>
        </w:rPr>
        <w:t xml:space="preserve">AV equipment for Old Assembly, Good Hope and M46 </w:t>
      </w:r>
    </w:p>
    <w:p w:rsidR="003B096C" w:rsidRPr="003B096C" w:rsidRDefault="003B096C" w:rsidP="003B5E3A">
      <w:pPr>
        <w:numPr>
          <w:ilvl w:val="0"/>
          <w:numId w:val="21"/>
        </w:numPr>
        <w:spacing w:after="0" w:line="240" w:lineRule="auto"/>
        <w:rPr>
          <w:rFonts w:ascii="Calibri" w:hAnsi="Calibri" w:cs="Calibri"/>
          <w:bCs/>
          <w:iCs/>
          <w:color w:val="000000"/>
          <w:kern w:val="24"/>
          <w:lang w:val="en-US" w:eastAsia="en-ZA"/>
        </w:rPr>
      </w:pPr>
      <w:r w:rsidRPr="003B096C">
        <w:rPr>
          <w:rFonts w:ascii="Calibri" w:hAnsi="Calibri" w:cs="Calibri"/>
          <w:bCs/>
          <w:iCs/>
          <w:color w:val="000000"/>
          <w:kern w:val="24"/>
          <w:lang w:eastAsia="en-ZA"/>
        </w:rPr>
        <w:t>Business case for modernisation of committee rooms (integrated) in progress</w:t>
      </w:r>
    </w:p>
    <w:p w:rsidR="00F36475" w:rsidRPr="009D55A3" w:rsidRDefault="00F36475" w:rsidP="009D55A3">
      <w:pPr>
        <w:jc w:val="both"/>
        <w:rPr>
          <w:rFonts w:ascii="Calibri" w:hAnsi="Calibri" w:cs="Calibri"/>
          <w:sz w:val="24"/>
          <w:szCs w:val="24"/>
          <w:lang w:val="en-US"/>
        </w:rPr>
      </w:pPr>
    </w:p>
    <w:p w:rsidR="00CB531A" w:rsidRDefault="00224CB0" w:rsidP="003B5E3A">
      <w:pPr>
        <w:pStyle w:val="Heading4"/>
        <w:numPr>
          <w:ilvl w:val="0"/>
          <w:numId w:val="6"/>
        </w:numPr>
        <w:rPr>
          <w:rFonts w:ascii="Calibri" w:hAnsi="Calibri" w:cs="Calibri"/>
          <w:sz w:val="24"/>
          <w:szCs w:val="24"/>
        </w:rPr>
      </w:pPr>
      <w:r w:rsidRPr="00224CB0">
        <w:rPr>
          <w:rFonts w:ascii="Calibri" w:hAnsi="Calibri" w:cs="Calibri"/>
          <w:sz w:val="24"/>
          <w:szCs w:val="24"/>
        </w:rPr>
        <w:t>Institutional Support Services</w:t>
      </w:r>
    </w:p>
    <w:p w:rsidR="003F1F84" w:rsidRPr="003F1F84" w:rsidRDefault="003F1F84" w:rsidP="003F1F84">
      <w:pPr>
        <w:rPr>
          <w:lang w:val="en-US"/>
        </w:rPr>
      </w:pPr>
    </w:p>
    <w:tbl>
      <w:tblPr>
        <w:tblStyle w:val="GridTable4Accent5"/>
        <w:tblW w:w="10348" w:type="dxa"/>
        <w:tblInd w:w="-147" w:type="dxa"/>
        <w:tblLayout w:type="fixed"/>
        <w:tblLook w:val="04A0"/>
      </w:tblPr>
      <w:tblGrid>
        <w:gridCol w:w="2223"/>
        <w:gridCol w:w="46"/>
        <w:gridCol w:w="1938"/>
        <w:gridCol w:w="1701"/>
        <w:gridCol w:w="1418"/>
        <w:gridCol w:w="1134"/>
        <w:gridCol w:w="1888"/>
      </w:tblGrid>
      <w:tr w:rsidR="00544CD9" w:rsidRPr="00027CA6" w:rsidTr="00EC4885">
        <w:trPr>
          <w:cnfStyle w:val="100000000000"/>
          <w:trHeight w:val="583"/>
        </w:trPr>
        <w:tc>
          <w:tcPr>
            <w:cnfStyle w:val="001000000000"/>
            <w:tcW w:w="2269" w:type="dxa"/>
            <w:gridSpan w:val="2"/>
          </w:tcPr>
          <w:p w:rsidR="00544CD9" w:rsidRPr="002B0A4B" w:rsidRDefault="00544CD9" w:rsidP="00EC4885">
            <w:pPr>
              <w:pStyle w:val="ColorfulList-Accent11"/>
              <w:ind w:left="0"/>
              <w:rPr>
                <w:rFonts w:cs="Calibri"/>
                <w:bCs w:val="0"/>
              </w:rPr>
            </w:pPr>
            <w:r w:rsidRPr="002B0A4B">
              <w:rPr>
                <w:rFonts w:cs="Calibri"/>
              </w:rPr>
              <w:t>Parliamentary Service</w:t>
            </w:r>
          </w:p>
        </w:tc>
        <w:tc>
          <w:tcPr>
            <w:tcW w:w="1938" w:type="dxa"/>
          </w:tcPr>
          <w:p w:rsidR="00544CD9" w:rsidRPr="002B0A4B" w:rsidRDefault="00544CD9" w:rsidP="00EC4885">
            <w:pPr>
              <w:pStyle w:val="ColorfulList-Accent11"/>
              <w:ind w:left="0"/>
              <w:cnfStyle w:val="100000000000"/>
              <w:rPr>
                <w:rFonts w:cs="Calibri"/>
              </w:rPr>
            </w:pPr>
            <w:r w:rsidRPr="002B0A4B">
              <w:rPr>
                <w:rFonts w:cs="Calibri"/>
              </w:rPr>
              <w:t>Indicator</w:t>
            </w:r>
          </w:p>
        </w:tc>
        <w:tc>
          <w:tcPr>
            <w:tcW w:w="1701" w:type="dxa"/>
          </w:tcPr>
          <w:p w:rsidR="001E4867" w:rsidRDefault="001E4867" w:rsidP="00EC4885">
            <w:pPr>
              <w:pStyle w:val="ColorfulList-Accent11"/>
              <w:ind w:left="0"/>
              <w:cnfStyle w:val="100000000000"/>
              <w:rPr>
                <w:rFonts w:cs="Calibri"/>
              </w:rPr>
            </w:pPr>
            <w:r>
              <w:rPr>
                <w:rFonts w:cs="Calibri"/>
              </w:rPr>
              <w:t>Mid-Year</w:t>
            </w:r>
          </w:p>
          <w:p w:rsidR="00544CD9" w:rsidRPr="00027CA6" w:rsidRDefault="00544CD9" w:rsidP="00EC4885">
            <w:pPr>
              <w:pStyle w:val="ColorfulList-Accent11"/>
              <w:ind w:left="0"/>
              <w:cnfStyle w:val="100000000000"/>
              <w:rPr>
                <w:rFonts w:cs="Calibri"/>
              </w:rPr>
            </w:pPr>
            <w:r w:rsidRPr="00027CA6">
              <w:rPr>
                <w:rFonts w:cs="Calibri"/>
              </w:rPr>
              <w:t>Target</w:t>
            </w:r>
            <w:r>
              <w:rPr>
                <w:rFonts w:cs="Calibri"/>
              </w:rPr>
              <w:t xml:space="preserve"> 2020/21</w:t>
            </w:r>
          </w:p>
        </w:tc>
        <w:tc>
          <w:tcPr>
            <w:tcW w:w="1418" w:type="dxa"/>
          </w:tcPr>
          <w:p w:rsidR="00544CD9" w:rsidRPr="00027CA6" w:rsidRDefault="00544CD9" w:rsidP="00EC4885">
            <w:pPr>
              <w:pStyle w:val="ColorfulList-Accent11"/>
              <w:ind w:left="0"/>
              <w:cnfStyle w:val="100000000000"/>
              <w:rPr>
                <w:rFonts w:cs="Calibri"/>
              </w:rPr>
            </w:pPr>
            <w:r w:rsidRPr="00027CA6">
              <w:rPr>
                <w:rFonts w:cs="Calibri"/>
              </w:rPr>
              <w:t>Actual performance</w:t>
            </w:r>
          </w:p>
        </w:tc>
        <w:tc>
          <w:tcPr>
            <w:tcW w:w="1134" w:type="dxa"/>
          </w:tcPr>
          <w:p w:rsidR="00544CD9" w:rsidRPr="00027CA6" w:rsidRDefault="00544CD9" w:rsidP="00EC4885">
            <w:pPr>
              <w:pStyle w:val="ColorfulList-Accent11"/>
              <w:ind w:left="0"/>
              <w:cnfStyle w:val="100000000000"/>
              <w:rPr>
                <w:rFonts w:cs="Calibri"/>
              </w:rPr>
            </w:pPr>
            <w:r w:rsidRPr="00027CA6">
              <w:rPr>
                <w:rFonts w:cs="Calibri"/>
              </w:rPr>
              <w:t>Variance</w:t>
            </w:r>
          </w:p>
        </w:tc>
        <w:tc>
          <w:tcPr>
            <w:tcW w:w="1888" w:type="dxa"/>
          </w:tcPr>
          <w:p w:rsidR="00544CD9" w:rsidRPr="00027CA6" w:rsidRDefault="00544CD9" w:rsidP="00EC4885">
            <w:pPr>
              <w:pStyle w:val="ColorfulList-Accent11"/>
              <w:ind w:left="0"/>
              <w:jc w:val="both"/>
              <w:cnfStyle w:val="100000000000"/>
              <w:rPr>
                <w:rFonts w:cs="Calibri"/>
              </w:rPr>
            </w:pPr>
            <w:r w:rsidRPr="00027CA6">
              <w:rPr>
                <w:rFonts w:cs="Calibri"/>
              </w:rPr>
              <w:t>Reasons for variance &amp; mitigation factors</w:t>
            </w:r>
          </w:p>
        </w:tc>
      </w:tr>
      <w:tr w:rsidR="00544CD9" w:rsidRPr="00027CA6" w:rsidTr="009D55A3">
        <w:trPr>
          <w:cnfStyle w:val="000000100000"/>
          <w:trHeight w:val="902"/>
        </w:trPr>
        <w:tc>
          <w:tcPr>
            <w:cnfStyle w:val="001000000000"/>
            <w:tcW w:w="2223" w:type="dxa"/>
          </w:tcPr>
          <w:p w:rsidR="00544CD9" w:rsidRPr="00027CA6" w:rsidRDefault="00544CD9" w:rsidP="00EC4885">
            <w:pPr>
              <w:pStyle w:val="ColorfulList-Accent11"/>
              <w:ind w:left="0"/>
              <w:rPr>
                <w:rFonts w:cs="Calibri"/>
                <w:b w:val="0"/>
              </w:rPr>
            </w:pPr>
            <w:r w:rsidRPr="00544CD9">
              <w:rPr>
                <w:rFonts w:ascii="Arial" w:eastAsia="Times New Roman" w:hAnsi="Arial" w:cs="Arial"/>
                <w:color w:val="000000"/>
                <w:sz w:val="20"/>
                <w:szCs w:val="20"/>
                <w:lang w:eastAsia="en-ZA"/>
              </w:rPr>
              <w:t>Facility management services</w:t>
            </w:r>
          </w:p>
        </w:tc>
        <w:tc>
          <w:tcPr>
            <w:tcW w:w="1984" w:type="dxa"/>
            <w:gridSpan w:val="2"/>
          </w:tcPr>
          <w:p w:rsidR="00544CD9" w:rsidRPr="00027CA6" w:rsidRDefault="00544CD9" w:rsidP="00EC4885">
            <w:pPr>
              <w:pStyle w:val="Default"/>
              <w:cnfStyle w:val="000000100000"/>
              <w:rPr>
                <w:rFonts w:ascii="Calibri" w:hAnsi="Calibri" w:cs="Calibri"/>
                <w:sz w:val="22"/>
                <w:szCs w:val="22"/>
              </w:rPr>
            </w:pPr>
            <w:r w:rsidRPr="00544CD9">
              <w:rPr>
                <w:rFonts w:ascii="Calibri" w:hAnsi="Calibri" w:cs="Calibri"/>
                <w:sz w:val="22"/>
                <w:szCs w:val="22"/>
              </w:rPr>
              <w:t>% clients satisfied with services</w:t>
            </w:r>
          </w:p>
        </w:tc>
        <w:tc>
          <w:tcPr>
            <w:tcW w:w="1701" w:type="dxa"/>
          </w:tcPr>
          <w:p w:rsidR="00544CD9" w:rsidRDefault="00544CD9" w:rsidP="00EC4885">
            <w:pPr>
              <w:pStyle w:val="ColorfulList-Accent11"/>
              <w:ind w:left="0"/>
              <w:cnfStyle w:val="000000100000"/>
              <w:rPr>
                <w:rFonts w:cs="Calibri"/>
              </w:rPr>
            </w:pPr>
            <w:r>
              <w:rPr>
                <w:rFonts w:cs="Calibri"/>
              </w:rPr>
              <w:t>-</w:t>
            </w:r>
          </w:p>
          <w:p w:rsidR="00544CD9" w:rsidRDefault="00544CD9" w:rsidP="00EC4885">
            <w:pPr>
              <w:pStyle w:val="ColorfulList-Accent11"/>
              <w:ind w:left="0"/>
              <w:cnfStyle w:val="000000100000"/>
              <w:rPr>
                <w:rFonts w:cs="Calibri"/>
              </w:rPr>
            </w:pPr>
          </w:p>
          <w:p w:rsidR="00544CD9" w:rsidRPr="00027CA6" w:rsidRDefault="00544CD9" w:rsidP="00EC4885">
            <w:pPr>
              <w:pStyle w:val="ColorfulList-Accent11"/>
              <w:ind w:left="0"/>
              <w:cnfStyle w:val="000000100000"/>
              <w:rPr>
                <w:rFonts w:cs="Calibri"/>
              </w:rPr>
            </w:pPr>
            <w:r>
              <w:rPr>
                <w:rFonts w:cs="Calibri"/>
              </w:rPr>
              <w:t>Annual – 70%</w:t>
            </w:r>
          </w:p>
        </w:tc>
        <w:tc>
          <w:tcPr>
            <w:tcW w:w="1418" w:type="dxa"/>
          </w:tcPr>
          <w:p w:rsidR="00544CD9" w:rsidRPr="00027CA6" w:rsidRDefault="00544CD9" w:rsidP="00EC4885">
            <w:pPr>
              <w:pStyle w:val="ColorfulList-Accent11"/>
              <w:ind w:left="0"/>
              <w:cnfStyle w:val="000000100000"/>
              <w:rPr>
                <w:rFonts w:cs="Calibri"/>
              </w:rPr>
            </w:pPr>
            <w:r>
              <w:rPr>
                <w:rFonts w:cs="Calibri"/>
              </w:rPr>
              <w:t>N/A</w:t>
            </w:r>
          </w:p>
        </w:tc>
        <w:tc>
          <w:tcPr>
            <w:tcW w:w="1134" w:type="dxa"/>
          </w:tcPr>
          <w:p w:rsidR="00544CD9" w:rsidRPr="00027CA6" w:rsidRDefault="00544CD9" w:rsidP="00EC4885">
            <w:pPr>
              <w:pStyle w:val="ColorfulList-Accent11"/>
              <w:ind w:left="0"/>
              <w:cnfStyle w:val="000000100000"/>
              <w:rPr>
                <w:rFonts w:cs="Calibri"/>
              </w:rPr>
            </w:pPr>
          </w:p>
        </w:tc>
        <w:tc>
          <w:tcPr>
            <w:tcW w:w="1888" w:type="dxa"/>
          </w:tcPr>
          <w:p w:rsidR="00544CD9" w:rsidRPr="00027CA6" w:rsidRDefault="00544CD9" w:rsidP="00EC4885">
            <w:pPr>
              <w:cnfStyle w:val="000000100000"/>
              <w:rPr>
                <w:rFonts w:ascii="Calibri" w:eastAsia="Calibri" w:hAnsi="Calibri" w:cs="Calibri"/>
              </w:rPr>
            </w:pPr>
          </w:p>
        </w:tc>
      </w:tr>
    </w:tbl>
    <w:p w:rsidR="0032731F" w:rsidRDefault="0032731F" w:rsidP="003B096C">
      <w:pPr>
        <w:spacing w:after="200"/>
        <w:rPr>
          <w:rFonts w:ascii="Calibri" w:hAnsi="Calibri" w:cs="Calibri"/>
          <w:b/>
          <w:smallCaps/>
          <w:noProof/>
          <w:sz w:val="24"/>
          <w:szCs w:val="24"/>
        </w:rPr>
      </w:pPr>
    </w:p>
    <w:p w:rsidR="003B096C" w:rsidRDefault="003B096C" w:rsidP="003B096C">
      <w:pPr>
        <w:spacing w:after="200"/>
        <w:rPr>
          <w:rFonts w:ascii="Calibri" w:hAnsi="Calibri" w:cs="Calibri"/>
          <w:b/>
          <w:smallCaps/>
          <w:noProof/>
          <w:sz w:val="24"/>
          <w:szCs w:val="24"/>
        </w:rPr>
      </w:pPr>
      <w:r>
        <w:rPr>
          <w:rFonts w:ascii="Calibri" w:hAnsi="Calibri" w:cs="Calibri"/>
          <w:b/>
          <w:smallCaps/>
          <w:noProof/>
          <w:sz w:val="24"/>
          <w:szCs w:val="24"/>
        </w:rPr>
        <w:t>Performance Trends</w:t>
      </w:r>
    </w:p>
    <w:p w:rsidR="00417BE3" w:rsidRPr="00417BE3" w:rsidRDefault="00417BE3" w:rsidP="00417BE3">
      <w:pPr>
        <w:jc w:val="both"/>
        <w:rPr>
          <w:rFonts w:cstheme="minorHAnsi"/>
          <w:lang w:val="en-US"/>
        </w:rPr>
      </w:pPr>
      <w:r w:rsidRPr="00417BE3">
        <w:rPr>
          <w:rFonts w:cstheme="minorHAnsi"/>
          <w:lang w:val="en-US"/>
        </w:rPr>
        <w:t>This outcome indicator measures how services provided by the ISSD meet or surpass customer expectation. Customer satisfaction is defined as the number of customers, or percentage of total customers, whose reported experience with services (household, catering, protection services, fleet management, SHE, mail distribution, and post/courier services) exceeds specified satisfaction targets.</w:t>
      </w:r>
    </w:p>
    <w:p w:rsidR="00544CD9" w:rsidRDefault="00D16FF5" w:rsidP="00D16FF5">
      <w:pPr>
        <w:spacing w:after="200"/>
        <w:rPr>
          <w:rFonts w:cstheme="minorHAnsi"/>
        </w:rPr>
      </w:pPr>
      <w:r w:rsidRPr="00417BE3">
        <w:rPr>
          <w:rFonts w:cstheme="minorHAnsi"/>
        </w:rPr>
        <w:t>ISSD together with PCS are in the process of acquiring the service provider to do the customer satisfaction survey.</w:t>
      </w:r>
    </w:p>
    <w:p w:rsidR="00417BE3" w:rsidRPr="00417BE3" w:rsidRDefault="00417BE3" w:rsidP="00932A70">
      <w:pPr>
        <w:spacing w:after="0" w:line="240" w:lineRule="auto"/>
        <w:rPr>
          <w:rFonts w:cstheme="minorHAnsi"/>
          <w:b/>
          <w:smallCaps/>
          <w:noProof/>
        </w:rPr>
      </w:pPr>
    </w:p>
    <w:p w:rsidR="003F1F84" w:rsidRPr="007254B5" w:rsidRDefault="003F1F84" w:rsidP="003B5E3A">
      <w:pPr>
        <w:pStyle w:val="Heading4"/>
        <w:numPr>
          <w:ilvl w:val="0"/>
          <w:numId w:val="6"/>
        </w:numPr>
        <w:spacing w:before="0" w:line="240" w:lineRule="auto"/>
        <w:rPr>
          <w:rFonts w:asciiTheme="minorHAnsi" w:hAnsiTheme="minorHAnsi" w:cstheme="minorHAnsi"/>
          <w:sz w:val="24"/>
          <w:szCs w:val="24"/>
        </w:rPr>
      </w:pPr>
      <w:r>
        <w:rPr>
          <w:rFonts w:ascii="Calibri" w:hAnsi="Calibri" w:cs="Calibri"/>
          <w:sz w:val="24"/>
          <w:szCs w:val="24"/>
        </w:rPr>
        <w:t>Human Resources</w:t>
      </w:r>
    </w:p>
    <w:p w:rsidR="003F1F84" w:rsidRPr="009D55A3" w:rsidRDefault="003F1F84" w:rsidP="00932A70">
      <w:pPr>
        <w:spacing w:after="0" w:line="240" w:lineRule="auto"/>
        <w:jc w:val="both"/>
        <w:rPr>
          <w:rFonts w:ascii="Calibri" w:hAnsi="Calibri" w:cs="Calibri"/>
          <w:sz w:val="24"/>
          <w:szCs w:val="24"/>
          <w:lang w:val="en-US"/>
        </w:rPr>
      </w:pPr>
    </w:p>
    <w:tbl>
      <w:tblPr>
        <w:tblStyle w:val="GridTable4Accent5"/>
        <w:tblW w:w="10348" w:type="dxa"/>
        <w:tblInd w:w="-147" w:type="dxa"/>
        <w:tblLayout w:type="fixed"/>
        <w:tblLook w:val="04A0"/>
      </w:tblPr>
      <w:tblGrid>
        <w:gridCol w:w="2223"/>
        <w:gridCol w:w="46"/>
        <w:gridCol w:w="1938"/>
        <w:gridCol w:w="1701"/>
        <w:gridCol w:w="1418"/>
        <w:gridCol w:w="1134"/>
        <w:gridCol w:w="1888"/>
      </w:tblGrid>
      <w:tr w:rsidR="00A55517" w:rsidRPr="00027CA6" w:rsidTr="00EC4885">
        <w:trPr>
          <w:cnfStyle w:val="100000000000"/>
          <w:trHeight w:val="583"/>
        </w:trPr>
        <w:tc>
          <w:tcPr>
            <w:cnfStyle w:val="001000000000"/>
            <w:tcW w:w="2269" w:type="dxa"/>
            <w:gridSpan w:val="2"/>
          </w:tcPr>
          <w:p w:rsidR="00A55517" w:rsidRPr="00027CA6" w:rsidRDefault="00A55517" w:rsidP="00EC4885">
            <w:pPr>
              <w:pStyle w:val="ColorfulList-Accent11"/>
              <w:ind w:left="0"/>
              <w:rPr>
                <w:rFonts w:cs="Calibri"/>
                <w:bCs w:val="0"/>
              </w:rPr>
            </w:pPr>
            <w:r>
              <w:rPr>
                <w:rFonts w:cs="Calibri"/>
                <w:b w:val="0"/>
              </w:rPr>
              <w:t>Parliamentary Service</w:t>
            </w:r>
          </w:p>
        </w:tc>
        <w:tc>
          <w:tcPr>
            <w:tcW w:w="1938" w:type="dxa"/>
          </w:tcPr>
          <w:p w:rsidR="00A55517" w:rsidRPr="00027CA6" w:rsidRDefault="00A55517" w:rsidP="00EC4885">
            <w:pPr>
              <w:pStyle w:val="ColorfulList-Accent11"/>
              <w:ind w:left="0"/>
              <w:cnfStyle w:val="100000000000"/>
              <w:rPr>
                <w:rFonts w:cs="Calibri"/>
                <w:b w:val="0"/>
              </w:rPr>
            </w:pPr>
            <w:r>
              <w:rPr>
                <w:rFonts w:cs="Calibri"/>
                <w:b w:val="0"/>
              </w:rPr>
              <w:t>Indicator</w:t>
            </w:r>
          </w:p>
        </w:tc>
        <w:tc>
          <w:tcPr>
            <w:tcW w:w="1701" w:type="dxa"/>
          </w:tcPr>
          <w:p w:rsidR="001E4867" w:rsidRDefault="001E4867" w:rsidP="00EC4885">
            <w:pPr>
              <w:pStyle w:val="ColorfulList-Accent11"/>
              <w:ind w:left="0"/>
              <w:cnfStyle w:val="100000000000"/>
              <w:rPr>
                <w:rFonts w:cs="Calibri"/>
              </w:rPr>
            </w:pPr>
            <w:r>
              <w:rPr>
                <w:rFonts w:cs="Calibri"/>
              </w:rPr>
              <w:t>Mid-Year</w:t>
            </w:r>
          </w:p>
          <w:p w:rsidR="00A55517" w:rsidRPr="00027CA6" w:rsidRDefault="00A55517" w:rsidP="00EC4885">
            <w:pPr>
              <w:pStyle w:val="ColorfulList-Accent11"/>
              <w:ind w:left="0"/>
              <w:cnfStyle w:val="100000000000"/>
              <w:rPr>
                <w:rFonts w:cs="Calibri"/>
              </w:rPr>
            </w:pPr>
            <w:r w:rsidRPr="00027CA6">
              <w:rPr>
                <w:rFonts w:cs="Calibri"/>
              </w:rPr>
              <w:t>Target</w:t>
            </w:r>
            <w:r>
              <w:rPr>
                <w:rFonts w:cs="Calibri"/>
              </w:rPr>
              <w:t xml:space="preserve"> 2020/21</w:t>
            </w:r>
          </w:p>
        </w:tc>
        <w:tc>
          <w:tcPr>
            <w:tcW w:w="1418" w:type="dxa"/>
          </w:tcPr>
          <w:p w:rsidR="00A55517" w:rsidRPr="00027CA6" w:rsidRDefault="00A55517" w:rsidP="00EC4885">
            <w:pPr>
              <w:pStyle w:val="ColorfulList-Accent11"/>
              <w:ind w:left="0"/>
              <w:cnfStyle w:val="100000000000"/>
              <w:rPr>
                <w:rFonts w:cs="Calibri"/>
              </w:rPr>
            </w:pPr>
            <w:r w:rsidRPr="00027CA6">
              <w:rPr>
                <w:rFonts w:cs="Calibri"/>
              </w:rPr>
              <w:t>Actual performance</w:t>
            </w:r>
          </w:p>
        </w:tc>
        <w:tc>
          <w:tcPr>
            <w:tcW w:w="1134" w:type="dxa"/>
          </w:tcPr>
          <w:p w:rsidR="00A55517" w:rsidRPr="00027CA6" w:rsidRDefault="00A55517" w:rsidP="00EC4885">
            <w:pPr>
              <w:pStyle w:val="ColorfulList-Accent11"/>
              <w:ind w:left="0"/>
              <w:cnfStyle w:val="100000000000"/>
              <w:rPr>
                <w:rFonts w:cs="Calibri"/>
              </w:rPr>
            </w:pPr>
            <w:r w:rsidRPr="00027CA6">
              <w:rPr>
                <w:rFonts w:cs="Calibri"/>
              </w:rPr>
              <w:t>Variance</w:t>
            </w:r>
          </w:p>
        </w:tc>
        <w:tc>
          <w:tcPr>
            <w:tcW w:w="1888" w:type="dxa"/>
          </w:tcPr>
          <w:p w:rsidR="00A55517" w:rsidRPr="00027CA6" w:rsidRDefault="00A55517" w:rsidP="00EC4885">
            <w:pPr>
              <w:pStyle w:val="ColorfulList-Accent11"/>
              <w:ind w:left="0"/>
              <w:jc w:val="both"/>
              <w:cnfStyle w:val="100000000000"/>
              <w:rPr>
                <w:rFonts w:cs="Calibri"/>
              </w:rPr>
            </w:pPr>
            <w:r w:rsidRPr="00027CA6">
              <w:rPr>
                <w:rFonts w:cs="Calibri"/>
              </w:rPr>
              <w:t>Reasons for variance &amp; mitigation factors</w:t>
            </w:r>
          </w:p>
        </w:tc>
      </w:tr>
      <w:tr w:rsidR="00A55517" w:rsidRPr="00027CA6" w:rsidTr="00932A70">
        <w:trPr>
          <w:cnfStyle w:val="000000100000"/>
          <w:trHeight w:val="958"/>
        </w:trPr>
        <w:tc>
          <w:tcPr>
            <w:cnfStyle w:val="001000000000"/>
            <w:tcW w:w="2223" w:type="dxa"/>
          </w:tcPr>
          <w:p w:rsidR="00A55517" w:rsidRPr="00027CA6" w:rsidRDefault="00A55517" w:rsidP="00EC4885">
            <w:pPr>
              <w:pStyle w:val="ColorfulList-Accent11"/>
              <w:ind w:left="0"/>
              <w:rPr>
                <w:rFonts w:cs="Calibri"/>
                <w:b w:val="0"/>
              </w:rPr>
            </w:pPr>
            <w:r w:rsidRPr="00A55517">
              <w:rPr>
                <w:rFonts w:ascii="Arial" w:eastAsia="Times New Roman" w:hAnsi="Arial" w:cs="Arial"/>
                <w:color w:val="000000"/>
                <w:sz w:val="20"/>
                <w:szCs w:val="20"/>
                <w:lang w:eastAsia="en-ZA"/>
              </w:rPr>
              <w:t>Talent management services</w:t>
            </w:r>
          </w:p>
        </w:tc>
        <w:tc>
          <w:tcPr>
            <w:tcW w:w="1984" w:type="dxa"/>
            <w:gridSpan w:val="2"/>
          </w:tcPr>
          <w:p w:rsidR="00A55517" w:rsidRPr="00027CA6" w:rsidRDefault="00A55517" w:rsidP="00EC4885">
            <w:pPr>
              <w:pStyle w:val="Default"/>
              <w:cnfStyle w:val="000000100000"/>
              <w:rPr>
                <w:rFonts w:ascii="Calibri" w:hAnsi="Calibri" w:cs="Calibri"/>
                <w:sz w:val="22"/>
                <w:szCs w:val="22"/>
              </w:rPr>
            </w:pPr>
            <w:r w:rsidRPr="00A55517">
              <w:rPr>
                <w:rFonts w:ascii="Calibri" w:hAnsi="Calibri" w:cs="Calibri"/>
                <w:sz w:val="22"/>
                <w:szCs w:val="22"/>
              </w:rPr>
              <w:t>% increase in talent management index</w:t>
            </w:r>
          </w:p>
        </w:tc>
        <w:tc>
          <w:tcPr>
            <w:tcW w:w="1701" w:type="dxa"/>
          </w:tcPr>
          <w:p w:rsidR="00A55517" w:rsidRDefault="00A55517" w:rsidP="00EC4885">
            <w:pPr>
              <w:pStyle w:val="ColorfulList-Accent11"/>
              <w:ind w:left="0"/>
              <w:cnfStyle w:val="000000100000"/>
              <w:rPr>
                <w:rFonts w:cs="Calibri"/>
              </w:rPr>
            </w:pPr>
            <w:r>
              <w:rPr>
                <w:rFonts w:cs="Calibri"/>
              </w:rPr>
              <w:t>-</w:t>
            </w:r>
          </w:p>
          <w:p w:rsidR="00A55517" w:rsidRDefault="00A55517" w:rsidP="00EC4885">
            <w:pPr>
              <w:pStyle w:val="ColorfulList-Accent11"/>
              <w:ind w:left="0"/>
              <w:cnfStyle w:val="000000100000"/>
              <w:rPr>
                <w:rFonts w:cs="Calibri"/>
              </w:rPr>
            </w:pPr>
          </w:p>
          <w:p w:rsidR="00A55517" w:rsidRPr="00027CA6" w:rsidRDefault="00A55517" w:rsidP="00EC4885">
            <w:pPr>
              <w:pStyle w:val="ColorfulList-Accent11"/>
              <w:ind w:left="0"/>
              <w:cnfStyle w:val="000000100000"/>
              <w:rPr>
                <w:rFonts w:cs="Calibri"/>
              </w:rPr>
            </w:pPr>
            <w:r>
              <w:rPr>
                <w:rFonts w:cs="Calibri"/>
              </w:rPr>
              <w:t>Annual – 1%</w:t>
            </w:r>
          </w:p>
        </w:tc>
        <w:tc>
          <w:tcPr>
            <w:tcW w:w="1418" w:type="dxa"/>
          </w:tcPr>
          <w:p w:rsidR="00A55517" w:rsidRPr="00027CA6" w:rsidRDefault="00A55517" w:rsidP="00EC4885">
            <w:pPr>
              <w:pStyle w:val="ColorfulList-Accent11"/>
              <w:ind w:left="0"/>
              <w:cnfStyle w:val="000000100000"/>
              <w:rPr>
                <w:rFonts w:cs="Calibri"/>
              </w:rPr>
            </w:pPr>
            <w:r>
              <w:rPr>
                <w:rFonts w:cs="Calibri"/>
              </w:rPr>
              <w:t>N/A</w:t>
            </w:r>
          </w:p>
        </w:tc>
        <w:tc>
          <w:tcPr>
            <w:tcW w:w="1134" w:type="dxa"/>
          </w:tcPr>
          <w:p w:rsidR="00A55517" w:rsidRPr="00027CA6" w:rsidRDefault="00A55517" w:rsidP="00EC4885">
            <w:pPr>
              <w:pStyle w:val="ColorfulList-Accent11"/>
              <w:ind w:left="0"/>
              <w:cnfStyle w:val="000000100000"/>
              <w:rPr>
                <w:rFonts w:cs="Calibri"/>
              </w:rPr>
            </w:pPr>
          </w:p>
        </w:tc>
        <w:tc>
          <w:tcPr>
            <w:tcW w:w="1888" w:type="dxa"/>
          </w:tcPr>
          <w:p w:rsidR="00A55517" w:rsidRPr="00027CA6" w:rsidRDefault="00A55517" w:rsidP="00EC4885">
            <w:pPr>
              <w:cnfStyle w:val="000000100000"/>
              <w:rPr>
                <w:rFonts w:ascii="Calibri" w:eastAsia="Calibri" w:hAnsi="Calibri" w:cs="Calibri"/>
              </w:rPr>
            </w:pPr>
          </w:p>
        </w:tc>
      </w:tr>
    </w:tbl>
    <w:p w:rsidR="00A55517" w:rsidRDefault="00A55517" w:rsidP="009C76AD">
      <w:pPr>
        <w:spacing w:after="0"/>
        <w:rPr>
          <w:rFonts w:ascii="Calibri" w:hAnsi="Calibri" w:cs="Calibri"/>
          <w:b/>
          <w:smallCaps/>
          <w:noProof/>
          <w:sz w:val="24"/>
          <w:szCs w:val="24"/>
        </w:rPr>
      </w:pPr>
    </w:p>
    <w:p w:rsidR="00417BE3" w:rsidRDefault="00417BE3" w:rsidP="00932A70">
      <w:pPr>
        <w:spacing w:after="0" w:line="240" w:lineRule="auto"/>
        <w:rPr>
          <w:rFonts w:ascii="Calibri" w:hAnsi="Calibri" w:cs="Calibri"/>
          <w:b/>
          <w:smallCaps/>
          <w:noProof/>
          <w:sz w:val="24"/>
          <w:szCs w:val="24"/>
        </w:rPr>
      </w:pPr>
      <w:r>
        <w:rPr>
          <w:rFonts w:ascii="Calibri" w:hAnsi="Calibri" w:cs="Calibri"/>
          <w:b/>
          <w:smallCaps/>
          <w:noProof/>
          <w:sz w:val="24"/>
          <w:szCs w:val="24"/>
        </w:rPr>
        <w:t>Performance Trends</w:t>
      </w:r>
    </w:p>
    <w:p w:rsidR="00417BE3" w:rsidRPr="009C76AD" w:rsidRDefault="00417BE3" w:rsidP="00932A70">
      <w:pPr>
        <w:spacing w:after="0" w:line="240" w:lineRule="auto"/>
        <w:rPr>
          <w:rFonts w:ascii="Calibri" w:hAnsi="Calibri" w:cs="Calibri"/>
          <w:smallCaps/>
          <w:noProof/>
        </w:rPr>
      </w:pPr>
    </w:p>
    <w:p w:rsidR="00932A70" w:rsidRPr="00932A70" w:rsidRDefault="00932A70" w:rsidP="00932A70">
      <w:pPr>
        <w:spacing w:after="0" w:line="240" w:lineRule="auto"/>
        <w:rPr>
          <w:b/>
        </w:rPr>
      </w:pPr>
      <w:r w:rsidRPr="00932A70">
        <w:rPr>
          <w:b/>
        </w:rPr>
        <w:t>Retention of Talent</w:t>
      </w:r>
    </w:p>
    <w:p w:rsidR="00932A70" w:rsidRPr="00932A70" w:rsidRDefault="00932A70" w:rsidP="00932A70">
      <w:pPr>
        <w:spacing w:after="0" w:line="240" w:lineRule="auto"/>
        <w:jc w:val="both"/>
        <w:rPr>
          <w:rFonts w:ascii="Calibri" w:hAnsi="Calibri" w:cs="Calibri"/>
          <w:b/>
          <w:bCs/>
          <w:lang w:val="en-US"/>
        </w:rPr>
      </w:pPr>
    </w:p>
    <w:p w:rsidR="00932A70" w:rsidRPr="00932A70" w:rsidRDefault="00932A70" w:rsidP="00932A70">
      <w:pPr>
        <w:jc w:val="both"/>
        <w:rPr>
          <w:rFonts w:ascii="Calibri" w:hAnsi="Calibri" w:cs="Calibri"/>
          <w:bCs/>
        </w:rPr>
      </w:pPr>
      <w:r w:rsidRPr="00932A70">
        <w:rPr>
          <w:rFonts w:ascii="Calibri" w:hAnsi="Calibri" w:cs="Calibri"/>
          <w:bCs/>
        </w:rPr>
        <w:t xml:space="preserve">There were 3 resignations thus far, of which one (1) was in the Information and Communication Division, one (1) in the Knowledge and Information Services Division and one (1) in the Parliamentary Budget Office, representing a turnover rate of 0.23% against an annual target of 5%. </w:t>
      </w:r>
    </w:p>
    <w:p w:rsidR="00932A70" w:rsidRPr="00932A70" w:rsidRDefault="00932A70" w:rsidP="00932A70">
      <w:pPr>
        <w:jc w:val="both"/>
        <w:rPr>
          <w:rFonts w:ascii="Calibri" w:hAnsi="Calibri" w:cs="Calibri"/>
          <w:b/>
          <w:bCs/>
          <w:lang w:val="en-US"/>
        </w:rPr>
      </w:pPr>
      <w:r w:rsidRPr="00932A70">
        <w:rPr>
          <w:rFonts w:ascii="Calibri" w:hAnsi="Calibri" w:cs="Calibri"/>
          <w:b/>
          <w:bCs/>
          <w:lang w:val="en-US"/>
        </w:rPr>
        <w:t>Leadership Development</w:t>
      </w:r>
    </w:p>
    <w:p w:rsidR="00932A70" w:rsidRPr="00932A70" w:rsidRDefault="00932A70" w:rsidP="00932A70">
      <w:pPr>
        <w:jc w:val="both"/>
        <w:rPr>
          <w:rFonts w:ascii="Calibri" w:hAnsi="Calibri" w:cs="Calibri"/>
          <w:bCs/>
          <w:i/>
          <w:lang w:val="en-US"/>
        </w:rPr>
      </w:pPr>
      <w:r w:rsidRPr="00932A70">
        <w:rPr>
          <w:rFonts w:ascii="Calibri" w:hAnsi="Calibri" w:cs="Calibri"/>
          <w:b/>
          <w:bCs/>
          <w:i/>
          <w:lang w:val="en-US"/>
        </w:rPr>
        <w:t>Coaching programme</w:t>
      </w:r>
      <w:r w:rsidRPr="00932A70">
        <w:rPr>
          <w:rFonts w:ascii="Calibri" w:hAnsi="Calibri" w:cs="Calibri"/>
          <w:bCs/>
          <w:i/>
          <w:lang w:val="en-US"/>
        </w:rPr>
        <w:t xml:space="preserve">: </w:t>
      </w:r>
    </w:p>
    <w:p w:rsidR="00932A70" w:rsidRPr="00932A70" w:rsidRDefault="00932A70" w:rsidP="00932A70">
      <w:pPr>
        <w:jc w:val="both"/>
        <w:rPr>
          <w:rFonts w:ascii="Calibri" w:hAnsi="Calibri" w:cs="Calibri"/>
          <w:bCs/>
          <w:lang w:val="en-US"/>
        </w:rPr>
      </w:pPr>
      <w:r w:rsidRPr="00932A70">
        <w:rPr>
          <w:rFonts w:ascii="Calibri" w:hAnsi="Calibri" w:cs="Calibri"/>
          <w:bCs/>
          <w:lang w:val="en-US"/>
        </w:rPr>
        <w:t>Seventeen coaching sessions were held, of which twelve</w:t>
      </w:r>
      <w:r w:rsidRPr="00932A70">
        <w:rPr>
          <w:rFonts w:ascii="Calibri" w:hAnsi="Calibri" w:cs="Calibri"/>
          <w:b/>
          <w:bCs/>
          <w:lang w:val="en-US"/>
        </w:rPr>
        <w:t xml:space="preserve"> (</w:t>
      </w:r>
      <w:r w:rsidRPr="00932A70">
        <w:rPr>
          <w:rFonts w:ascii="Calibri" w:hAnsi="Calibri" w:cs="Calibri"/>
          <w:bCs/>
          <w:lang w:val="en-US"/>
        </w:rPr>
        <w:t xml:space="preserve">12) sessions were with 4 managers and 5 sessions with 2 candidates on the Women in Leadership Programme. The 3-year contract with the service provider, Connemara has come to an end. A draft bid is currently being reviewed. </w:t>
      </w:r>
    </w:p>
    <w:p w:rsidR="00932A70" w:rsidRPr="00932A70" w:rsidRDefault="00932A70" w:rsidP="00932A70">
      <w:pPr>
        <w:jc w:val="both"/>
        <w:rPr>
          <w:rFonts w:ascii="Calibri" w:hAnsi="Calibri" w:cs="Calibri"/>
          <w:bCs/>
          <w:i/>
          <w:lang w:val="en-US"/>
        </w:rPr>
      </w:pPr>
      <w:r w:rsidRPr="00932A70">
        <w:rPr>
          <w:rFonts w:ascii="Calibri" w:hAnsi="Calibri" w:cs="Calibri"/>
          <w:b/>
          <w:bCs/>
          <w:i/>
          <w:lang w:val="en-US"/>
        </w:rPr>
        <w:t>Managers’ Development Programme:</w:t>
      </w:r>
    </w:p>
    <w:p w:rsidR="00932A70" w:rsidRPr="00932A70" w:rsidRDefault="00932A70" w:rsidP="00932A70">
      <w:pPr>
        <w:jc w:val="both"/>
        <w:rPr>
          <w:rFonts w:ascii="Calibri" w:hAnsi="Calibri" w:cs="Calibri"/>
          <w:bCs/>
          <w:lang w:val="en-US"/>
        </w:rPr>
      </w:pPr>
      <w:r w:rsidRPr="00932A70">
        <w:rPr>
          <w:rFonts w:ascii="Calibri" w:hAnsi="Calibri" w:cs="Calibri"/>
          <w:bCs/>
          <w:lang w:val="en-US"/>
        </w:rPr>
        <w:t xml:space="preserve">A project plan has been developed for the roll-out of the Management Development Programme (MDP). A proposed list of delegates for the MDP has been received from line managers and is being reviewed. The psychometric assessments, necessary for the Intrapersonal module of the programme, have not been conducted due to challenges in the SCM process for the appointment of a service provider for Psychometric Assessments. </w:t>
      </w:r>
    </w:p>
    <w:p w:rsidR="00932A70" w:rsidRPr="00932A70" w:rsidRDefault="00932A70" w:rsidP="00932A70">
      <w:pPr>
        <w:jc w:val="both"/>
        <w:rPr>
          <w:rFonts w:ascii="Calibri" w:hAnsi="Calibri" w:cs="Calibri"/>
          <w:bCs/>
          <w:i/>
          <w:lang w:val="en-US"/>
        </w:rPr>
      </w:pPr>
      <w:r w:rsidRPr="00932A70">
        <w:rPr>
          <w:rFonts w:ascii="Calibri" w:hAnsi="Calibri" w:cs="Calibri"/>
          <w:b/>
          <w:bCs/>
          <w:i/>
          <w:lang w:val="en-US"/>
        </w:rPr>
        <w:t>Graduate Development programme</w:t>
      </w:r>
      <w:r w:rsidRPr="00932A70">
        <w:rPr>
          <w:rFonts w:ascii="Calibri" w:hAnsi="Calibri" w:cs="Calibri"/>
          <w:bCs/>
          <w:i/>
          <w:lang w:val="en-US"/>
        </w:rPr>
        <w:t xml:space="preserve">:  </w:t>
      </w:r>
    </w:p>
    <w:p w:rsidR="00932A70" w:rsidRPr="00932A70" w:rsidRDefault="00932A70" w:rsidP="00932A70">
      <w:pPr>
        <w:jc w:val="both"/>
        <w:rPr>
          <w:rFonts w:ascii="Calibri" w:hAnsi="Calibri" w:cs="Calibri"/>
          <w:bCs/>
          <w:lang w:val="en-US"/>
        </w:rPr>
      </w:pPr>
      <w:r w:rsidRPr="00932A70">
        <w:rPr>
          <w:rFonts w:ascii="Calibri" w:hAnsi="Calibri" w:cs="Calibri"/>
          <w:bCs/>
          <w:lang w:val="en-US"/>
        </w:rPr>
        <w:t xml:space="preserve">37 posts were identified for inclusion in the Graduate Development Programme this year. Shortlisting was in progress when the institution went into lockdown in response to the COVID-19 pandemic and the State of Disaster declared by the President in March 2020. Shortlisting for 9 posts, in the National Assembly, National Council of Provinces, Legal Services, Finance Management Office and Internal Audit collectively, were completed while a further 9 posts were in progress. </w:t>
      </w:r>
      <w:r w:rsidRPr="00932A70">
        <w:rPr>
          <w:rFonts w:ascii="Calibri" w:hAnsi="Calibri" w:cs="Calibri"/>
          <w:lang w:val="en-US"/>
        </w:rPr>
        <w:t xml:space="preserve">Twenty-two (22) posts were re-advertised in the second quarter due to there being an insufficient pool of candidates from the first response in the areas of Research, </w:t>
      </w:r>
      <w:r w:rsidRPr="00932A70">
        <w:rPr>
          <w:rFonts w:ascii="Calibri" w:hAnsi="Calibri" w:cs="Calibri"/>
          <w:lang w:val="en-US"/>
        </w:rPr>
        <w:lastRenderedPageBreak/>
        <w:t xml:space="preserve">Public Education, Facilities Management, Documentation and Catering. Shortlisting is currently underway for the re-advertised posts. </w:t>
      </w:r>
      <w:r w:rsidRPr="00932A70">
        <w:rPr>
          <w:rFonts w:ascii="Calibri" w:hAnsi="Calibri" w:cs="Calibri"/>
          <w:bCs/>
          <w:lang w:val="en-US"/>
        </w:rPr>
        <w:t>Interviews are scheduled for early November.</w:t>
      </w:r>
    </w:p>
    <w:p w:rsidR="00932A70" w:rsidRPr="00932A70" w:rsidRDefault="00932A70" w:rsidP="00932A70">
      <w:pPr>
        <w:jc w:val="both"/>
        <w:rPr>
          <w:rFonts w:ascii="Calibri" w:hAnsi="Calibri" w:cs="Calibri"/>
          <w:bCs/>
          <w:lang w:val="en-US"/>
        </w:rPr>
      </w:pPr>
      <w:r w:rsidRPr="00932A70">
        <w:rPr>
          <w:rFonts w:ascii="Calibri" w:hAnsi="Calibri" w:cs="Calibri"/>
          <w:b/>
          <w:bCs/>
          <w:lang w:val="en-US"/>
        </w:rPr>
        <w:t>Remuneration</w:t>
      </w:r>
      <w:r w:rsidRPr="00932A70">
        <w:rPr>
          <w:rFonts w:ascii="Calibri" w:hAnsi="Calibri" w:cs="Calibri"/>
          <w:bCs/>
          <w:lang w:val="en-US"/>
        </w:rPr>
        <w:t xml:space="preserve">: The salary survey report has been received and is being considered. </w:t>
      </w:r>
    </w:p>
    <w:p w:rsidR="00932A70" w:rsidRPr="001B15F6" w:rsidRDefault="001B15F6" w:rsidP="00932A70">
      <w:pPr>
        <w:jc w:val="both"/>
        <w:rPr>
          <w:rFonts w:ascii="Calibri" w:hAnsi="Calibri" w:cs="Calibri"/>
          <w:b/>
          <w:lang w:val="en-US"/>
        </w:rPr>
      </w:pPr>
      <w:r w:rsidRPr="001B15F6">
        <w:rPr>
          <w:rFonts w:ascii="Calibri" w:hAnsi="Calibri" w:cs="Calibri"/>
          <w:b/>
          <w:lang w:val="en-US"/>
        </w:rPr>
        <w:t>Wellness</w:t>
      </w:r>
    </w:p>
    <w:p w:rsidR="00932A70" w:rsidRPr="00932A70" w:rsidRDefault="00932A70" w:rsidP="00932A70">
      <w:pPr>
        <w:jc w:val="both"/>
        <w:rPr>
          <w:rFonts w:ascii="Calibri" w:hAnsi="Calibri" w:cs="Calibri"/>
          <w:lang w:val="en-US"/>
        </w:rPr>
      </w:pPr>
      <w:r w:rsidRPr="00932A70">
        <w:rPr>
          <w:rFonts w:ascii="Calibri" w:hAnsi="Calibri" w:cs="Calibri"/>
          <w:lang w:val="en-US"/>
        </w:rPr>
        <w:t xml:space="preserve">The HR Wellness continued to provide critical services in response to the COVID-19 pandemic. The lockdown alert level moved from Alert Level 5 in March 2020 to Alert Level 1 from 21 September 2020. This meant that Parliament needed to review its return to work processes during all alert levels in order to ensure that adequate measures were in place to ensure the safety and wellbeing of its employees. The following measures were implemented to prepare the workplace for returning employees and was also developed into a Managers Toolkit to guide Managers in managing the return to work of their employees. </w:t>
      </w:r>
    </w:p>
    <w:p w:rsidR="00932A70" w:rsidRPr="00932A70" w:rsidRDefault="00932A70" w:rsidP="003B5E3A">
      <w:pPr>
        <w:numPr>
          <w:ilvl w:val="0"/>
          <w:numId w:val="22"/>
        </w:numPr>
        <w:jc w:val="both"/>
        <w:rPr>
          <w:rFonts w:ascii="Calibri" w:hAnsi="Calibri" w:cs="Calibri"/>
          <w:lang w:val="en-US"/>
        </w:rPr>
      </w:pPr>
      <w:r w:rsidRPr="00932A70">
        <w:rPr>
          <w:rFonts w:ascii="Calibri" w:hAnsi="Calibri" w:cs="Calibri"/>
          <w:lang w:val="en-US"/>
        </w:rPr>
        <w:t xml:space="preserve">The need for all Managers to be vigilant and to take into account the personal circumstances of their employees to ensure their safety eg. those who are at higher risk of severe COVID-19 illness or caring for someone who is at higher risk of severe COVID-19 illness, or someone affected by public transport limitations. </w:t>
      </w:r>
    </w:p>
    <w:p w:rsidR="00932A70" w:rsidRPr="00932A70" w:rsidRDefault="00932A70" w:rsidP="003B5E3A">
      <w:pPr>
        <w:numPr>
          <w:ilvl w:val="0"/>
          <w:numId w:val="22"/>
        </w:numPr>
        <w:jc w:val="both"/>
        <w:rPr>
          <w:rFonts w:ascii="Calibri" w:hAnsi="Calibri" w:cs="Calibri"/>
          <w:lang w:val="en-US"/>
        </w:rPr>
      </w:pPr>
      <w:r w:rsidRPr="00932A70">
        <w:rPr>
          <w:rFonts w:ascii="Calibri" w:hAnsi="Calibri" w:cs="Calibri"/>
          <w:lang w:val="en-US"/>
        </w:rPr>
        <w:t>The Wellness Fitness Clearance provided by HR Wellness through the completion of the Parliament COVID-19 Digital Screening Tool. All staff returning to work must obtain this clearance.</w:t>
      </w:r>
    </w:p>
    <w:p w:rsidR="00932A70" w:rsidRPr="00932A70" w:rsidRDefault="00932A70" w:rsidP="003B5E3A">
      <w:pPr>
        <w:numPr>
          <w:ilvl w:val="0"/>
          <w:numId w:val="22"/>
        </w:numPr>
        <w:jc w:val="both"/>
        <w:rPr>
          <w:rFonts w:ascii="Calibri" w:hAnsi="Calibri" w:cs="Calibri"/>
          <w:lang w:val="en-US"/>
        </w:rPr>
      </w:pPr>
      <w:r w:rsidRPr="00932A70">
        <w:rPr>
          <w:rFonts w:ascii="Calibri" w:hAnsi="Calibri" w:cs="Calibri"/>
          <w:lang w:val="en-US"/>
        </w:rPr>
        <w:t xml:space="preserve">Employees with existing chronic conditions who must obtain Wellness Fitness Clearance from their treating medical practitioners prior returning to work and especially if the employee is required to travel.  </w:t>
      </w:r>
    </w:p>
    <w:p w:rsidR="00932A70" w:rsidRPr="00932A70" w:rsidRDefault="00932A70" w:rsidP="003B5E3A">
      <w:pPr>
        <w:numPr>
          <w:ilvl w:val="0"/>
          <w:numId w:val="22"/>
        </w:numPr>
        <w:jc w:val="both"/>
        <w:rPr>
          <w:rFonts w:ascii="Calibri" w:hAnsi="Calibri" w:cs="Calibri"/>
          <w:lang w:val="en-US"/>
        </w:rPr>
      </w:pPr>
      <w:r w:rsidRPr="00932A70">
        <w:rPr>
          <w:rFonts w:ascii="Calibri" w:hAnsi="Calibri" w:cs="Calibri"/>
          <w:lang w:val="en-US"/>
        </w:rPr>
        <w:t>The COVID-19 screening process that staff will be required to undergo at the dedicated entrances of the precinct before proceeding to their respective work stations</w:t>
      </w:r>
    </w:p>
    <w:p w:rsidR="00932A70" w:rsidRPr="00932A70" w:rsidRDefault="00932A70" w:rsidP="003B5E3A">
      <w:pPr>
        <w:numPr>
          <w:ilvl w:val="0"/>
          <w:numId w:val="22"/>
        </w:numPr>
        <w:jc w:val="both"/>
        <w:rPr>
          <w:rFonts w:ascii="Calibri" w:hAnsi="Calibri" w:cs="Calibri"/>
          <w:lang w:val="en-US"/>
        </w:rPr>
      </w:pPr>
      <w:r w:rsidRPr="00932A70">
        <w:rPr>
          <w:rFonts w:ascii="Calibri" w:hAnsi="Calibri" w:cs="Calibri"/>
          <w:lang w:val="en-US"/>
        </w:rPr>
        <w:t>The compilation of a workforce plan to advise HR Wellness and the Compliance Officer of employees who are due to return to work in Level 2 which must be in compliance with the age, wellness fitness clearance and vulnerability risk status of each employee</w:t>
      </w:r>
    </w:p>
    <w:p w:rsidR="00932A70" w:rsidRPr="00932A70" w:rsidRDefault="00932A70" w:rsidP="003B5E3A">
      <w:pPr>
        <w:numPr>
          <w:ilvl w:val="0"/>
          <w:numId w:val="22"/>
        </w:numPr>
        <w:jc w:val="both"/>
        <w:rPr>
          <w:rFonts w:ascii="Calibri" w:hAnsi="Calibri" w:cs="Calibri"/>
          <w:lang w:val="en-US"/>
        </w:rPr>
      </w:pPr>
      <w:r w:rsidRPr="00932A70">
        <w:rPr>
          <w:rFonts w:ascii="Calibri" w:hAnsi="Calibri" w:cs="Calibri"/>
          <w:lang w:val="en-US"/>
        </w:rPr>
        <w:t>The development of a COVID-19 response plan to identify processes for dealing with probable and confirmed COVID-19 cases</w:t>
      </w:r>
    </w:p>
    <w:p w:rsidR="00932A70" w:rsidRPr="00932A70" w:rsidRDefault="00932A70" w:rsidP="003B5E3A">
      <w:pPr>
        <w:numPr>
          <w:ilvl w:val="0"/>
          <w:numId w:val="22"/>
        </w:numPr>
        <w:jc w:val="both"/>
        <w:rPr>
          <w:rFonts w:ascii="Calibri" w:hAnsi="Calibri" w:cs="Calibri"/>
          <w:lang w:val="en-US"/>
        </w:rPr>
      </w:pPr>
      <w:r w:rsidRPr="00932A70">
        <w:rPr>
          <w:rFonts w:ascii="Calibri" w:hAnsi="Calibri" w:cs="Calibri"/>
          <w:lang w:val="en-US"/>
        </w:rPr>
        <w:t xml:space="preserve">The Wellness Support Programmes that are available to all employees including Mental Health and Wellbeing information, Trauma Defusing and Counselling, </w:t>
      </w:r>
    </w:p>
    <w:p w:rsidR="00932A70" w:rsidRPr="00932A70" w:rsidRDefault="00932A70" w:rsidP="003B5E3A">
      <w:pPr>
        <w:numPr>
          <w:ilvl w:val="0"/>
          <w:numId w:val="22"/>
        </w:numPr>
        <w:jc w:val="both"/>
        <w:rPr>
          <w:rFonts w:ascii="Calibri" w:hAnsi="Calibri" w:cs="Calibri"/>
          <w:lang w:val="en-US"/>
        </w:rPr>
      </w:pPr>
      <w:r w:rsidRPr="00932A70">
        <w:rPr>
          <w:rFonts w:ascii="Calibri" w:hAnsi="Calibri" w:cs="Calibri"/>
          <w:lang w:val="en-US"/>
        </w:rPr>
        <w:t>The introduction of on-site Therapeutic Services which is aimed to provide emotional and psychological support to employees in a professional and confidential manner to help them cope with the effects of the pandemic.</w:t>
      </w:r>
    </w:p>
    <w:p w:rsidR="00932A70" w:rsidRPr="00932A70" w:rsidRDefault="00932A70" w:rsidP="003B5E3A">
      <w:pPr>
        <w:numPr>
          <w:ilvl w:val="0"/>
          <w:numId w:val="22"/>
        </w:numPr>
        <w:jc w:val="both"/>
        <w:rPr>
          <w:rFonts w:ascii="Calibri" w:hAnsi="Calibri" w:cs="Calibri"/>
          <w:lang w:val="en-US"/>
        </w:rPr>
      </w:pPr>
      <w:r w:rsidRPr="00932A70">
        <w:rPr>
          <w:rFonts w:ascii="Calibri" w:hAnsi="Calibri" w:cs="Calibri"/>
          <w:lang w:val="en-US"/>
        </w:rPr>
        <w:t xml:space="preserve">Access to Hello Doctor, a telehealth facility that allows employees to access doctors and healthcare practitioners to discuss any health related queries at any time.  </w:t>
      </w:r>
    </w:p>
    <w:p w:rsidR="00932A70" w:rsidRPr="00932A70" w:rsidRDefault="00932A70" w:rsidP="003B5E3A">
      <w:pPr>
        <w:numPr>
          <w:ilvl w:val="0"/>
          <w:numId w:val="22"/>
        </w:numPr>
        <w:jc w:val="both"/>
        <w:rPr>
          <w:rFonts w:ascii="Calibri" w:hAnsi="Calibri" w:cs="Calibri"/>
          <w:lang w:val="en-US"/>
        </w:rPr>
      </w:pPr>
      <w:r w:rsidRPr="00932A70">
        <w:rPr>
          <w:rFonts w:ascii="Calibri" w:hAnsi="Calibri" w:cs="Calibri"/>
          <w:lang w:val="en-US"/>
        </w:rPr>
        <w:t xml:space="preserve">Requirements to be met when travelling </w:t>
      </w:r>
    </w:p>
    <w:p w:rsidR="00932A70" w:rsidRPr="00932A70" w:rsidRDefault="00932A70" w:rsidP="003B5E3A">
      <w:pPr>
        <w:numPr>
          <w:ilvl w:val="0"/>
          <w:numId w:val="22"/>
        </w:numPr>
        <w:jc w:val="both"/>
        <w:rPr>
          <w:rFonts w:ascii="Calibri" w:hAnsi="Calibri" w:cs="Calibri"/>
          <w:lang w:val="en-US"/>
        </w:rPr>
      </w:pPr>
      <w:r w:rsidRPr="00932A70">
        <w:rPr>
          <w:rFonts w:ascii="Calibri" w:hAnsi="Calibri" w:cs="Calibri"/>
          <w:lang w:val="en-US"/>
        </w:rPr>
        <w:t>Wellness support to bereaved families</w:t>
      </w:r>
    </w:p>
    <w:p w:rsidR="006474A7" w:rsidRDefault="006474A7" w:rsidP="00A67052">
      <w:pPr>
        <w:spacing w:after="0" w:line="240" w:lineRule="auto"/>
        <w:jc w:val="both"/>
        <w:rPr>
          <w:rFonts w:ascii="Calibri" w:hAnsi="Calibri" w:cs="Calibri"/>
          <w:lang w:val="en-US"/>
        </w:rPr>
      </w:pPr>
    </w:p>
    <w:p w:rsidR="00932A70" w:rsidRPr="006474A7" w:rsidRDefault="006474A7" w:rsidP="00A67052">
      <w:pPr>
        <w:spacing w:after="0" w:line="240" w:lineRule="auto"/>
        <w:jc w:val="both"/>
        <w:rPr>
          <w:rFonts w:ascii="Calibri" w:hAnsi="Calibri" w:cs="Calibri"/>
          <w:b/>
          <w:lang w:val="en-US"/>
        </w:rPr>
      </w:pPr>
      <w:r w:rsidRPr="006474A7">
        <w:rPr>
          <w:rFonts w:ascii="Calibri" w:hAnsi="Calibri" w:cs="Calibri"/>
          <w:b/>
          <w:lang w:val="en-US"/>
        </w:rPr>
        <w:t>Organisational Realignment</w:t>
      </w:r>
    </w:p>
    <w:p w:rsidR="00A67052" w:rsidRDefault="00A67052" w:rsidP="00A67052">
      <w:pPr>
        <w:spacing w:after="0" w:line="240" w:lineRule="auto"/>
        <w:jc w:val="both"/>
        <w:rPr>
          <w:rFonts w:ascii="Calibri" w:hAnsi="Calibri" w:cs="Calibri"/>
          <w:lang w:val="en-US"/>
        </w:rPr>
      </w:pPr>
    </w:p>
    <w:p w:rsidR="00932A70" w:rsidRPr="00A67052" w:rsidRDefault="00932A70" w:rsidP="00932A70">
      <w:pPr>
        <w:jc w:val="both"/>
        <w:rPr>
          <w:rFonts w:ascii="Calibri" w:hAnsi="Calibri" w:cs="Calibri"/>
          <w:lang w:val="en-US"/>
        </w:rPr>
      </w:pPr>
      <w:r w:rsidRPr="00932A70">
        <w:rPr>
          <w:rFonts w:ascii="Calibri" w:hAnsi="Calibri" w:cs="Calibri"/>
          <w:lang w:val="en-US"/>
        </w:rPr>
        <w:t xml:space="preserve">The Organisational Realignment Project is progressing in line with timelines. </w:t>
      </w:r>
      <w:r w:rsidRPr="00932A70">
        <w:rPr>
          <w:rFonts w:ascii="Calibri" w:hAnsi="Calibri" w:cs="Calibri"/>
        </w:rPr>
        <w:t xml:space="preserve">The following activities were completed in this mid-term period: </w:t>
      </w:r>
    </w:p>
    <w:p w:rsidR="00A67052" w:rsidRPr="00A67052" w:rsidRDefault="00932A70" w:rsidP="003B5E3A">
      <w:pPr>
        <w:pStyle w:val="ListParagraph"/>
        <w:numPr>
          <w:ilvl w:val="0"/>
          <w:numId w:val="23"/>
        </w:numPr>
        <w:jc w:val="both"/>
        <w:rPr>
          <w:rFonts w:asciiTheme="minorHAnsi" w:hAnsiTheme="minorHAnsi" w:cstheme="minorHAnsi"/>
          <w:sz w:val="22"/>
          <w:szCs w:val="22"/>
        </w:rPr>
      </w:pPr>
      <w:r w:rsidRPr="00A67052">
        <w:rPr>
          <w:rFonts w:asciiTheme="minorHAnsi" w:hAnsiTheme="minorHAnsi" w:cstheme="minorHAnsi"/>
          <w:sz w:val="22"/>
          <w:szCs w:val="22"/>
        </w:rPr>
        <w:t>Structural Review of the Offi</w:t>
      </w:r>
      <w:r w:rsidR="00A67052" w:rsidRPr="00A67052">
        <w:rPr>
          <w:rFonts w:asciiTheme="minorHAnsi" w:hAnsiTheme="minorHAnsi" w:cstheme="minorHAnsi"/>
          <w:sz w:val="22"/>
          <w:szCs w:val="22"/>
        </w:rPr>
        <w:t xml:space="preserve">ces of the Executive Authority: </w:t>
      </w:r>
      <w:r w:rsidRPr="00A67052">
        <w:rPr>
          <w:rFonts w:ascii="Calibri" w:hAnsi="Calibri" w:cs="Calibri"/>
          <w:sz w:val="22"/>
          <w:szCs w:val="22"/>
          <w:lang w:val="en-US"/>
        </w:rPr>
        <w:t xml:space="preserve">During this period, engagements were held with the Speaker of the National Assembly and the Chairperson of the NCOP to review the </w:t>
      </w:r>
      <w:r w:rsidRPr="00A67052">
        <w:rPr>
          <w:rFonts w:ascii="Calibri" w:hAnsi="Calibri" w:cs="Calibri"/>
          <w:sz w:val="22"/>
          <w:szCs w:val="22"/>
          <w:lang w:val="en-US"/>
        </w:rPr>
        <w:lastRenderedPageBreak/>
        <w:t xml:space="preserve">structure of their offices which was intended to establish their Private Offices. The process to arrive at the recommendations for the establishment of the Offices included </w:t>
      </w:r>
      <w:r w:rsidRPr="00A67052">
        <w:rPr>
          <w:rFonts w:ascii="Calibri" w:hAnsi="Calibri" w:cs="Calibri"/>
          <w:sz w:val="22"/>
          <w:szCs w:val="22"/>
          <w:lang w:val="en-ZA"/>
        </w:rPr>
        <w:t xml:space="preserve">engagements with key stakeholders viz. the House Chairpersons in the National Assembly and National Council of Provinces and the Chief Whip of the NCOP to understand the needs and support required.  </w:t>
      </w:r>
      <w:r w:rsidRPr="00A67052">
        <w:rPr>
          <w:rFonts w:ascii="Calibri" w:hAnsi="Calibri" w:cs="Calibri"/>
          <w:sz w:val="22"/>
          <w:szCs w:val="22"/>
          <w:lang w:val="en-US"/>
        </w:rPr>
        <w:t xml:space="preserve">A benchmarking exercise with other African Parliaments (Kenya, Namibia, Zambia) was conducted to augment the information in the final design of the operating model of support to the Presiding Officers. The proposal with recommendations was completed and presented to the Presiding Officers.  </w:t>
      </w:r>
    </w:p>
    <w:p w:rsidR="00A67052" w:rsidRPr="00A67052" w:rsidRDefault="00A67052" w:rsidP="003B5E3A">
      <w:pPr>
        <w:pStyle w:val="ListParagraph"/>
        <w:numPr>
          <w:ilvl w:val="0"/>
          <w:numId w:val="23"/>
        </w:numPr>
        <w:jc w:val="both"/>
        <w:rPr>
          <w:rFonts w:asciiTheme="minorHAnsi" w:hAnsiTheme="minorHAnsi" w:cstheme="minorHAnsi"/>
          <w:sz w:val="22"/>
          <w:szCs w:val="22"/>
        </w:rPr>
      </w:pPr>
      <w:r w:rsidRPr="00A67052">
        <w:rPr>
          <w:rFonts w:asciiTheme="minorHAnsi" w:hAnsiTheme="minorHAnsi" w:cstheme="minorHAnsi"/>
          <w:sz w:val="22"/>
          <w:szCs w:val="22"/>
        </w:rPr>
        <w:t xml:space="preserve">Legal Services: </w:t>
      </w:r>
      <w:r w:rsidR="00932A70" w:rsidRPr="00A67052">
        <w:rPr>
          <w:rFonts w:asciiTheme="minorHAnsi" w:hAnsiTheme="minorHAnsi" w:cstheme="minorHAnsi"/>
          <w:sz w:val="22"/>
          <w:szCs w:val="22"/>
        </w:rPr>
        <w:t xml:space="preserve">Engagements were held with key internal stakeholders as well as external stakeholders such as the State Law Advisors for the analysis and inputs to inform the design proposals for the future state of this prioritized area in line with the Shared Services model. A benchmarking exercise was also conducted with other African Parliaments to gather information on the support that is provided in their Parliaments in terms of legal services. The draft report and proposal has been completed.  </w:t>
      </w:r>
    </w:p>
    <w:p w:rsidR="00A67052" w:rsidRPr="00A67052" w:rsidRDefault="00932A70" w:rsidP="003B5E3A">
      <w:pPr>
        <w:pStyle w:val="ListParagraph"/>
        <w:numPr>
          <w:ilvl w:val="0"/>
          <w:numId w:val="23"/>
        </w:numPr>
        <w:jc w:val="both"/>
        <w:rPr>
          <w:rFonts w:asciiTheme="minorHAnsi" w:hAnsiTheme="minorHAnsi" w:cstheme="minorHAnsi"/>
          <w:sz w:val="22"/>
          <w:szCs w:val="22"/>
        </w:rPr>
      </w:pPr>
      <w:r w:rsidRPr="00A67052">
        <w:rPr>
          <w:rFonts w:asciiTheme="minorHAnsi" w:hAnsiTheme="minorHAnsi" w:cstheme="minorHAnsi"/>
          <w:sz w:val="22"/>
          <w:szCs w:val="22"/>
        </w:rPr>
        <w:t>International Relations and Protocol</w:t>
      </w:r>
      <w:r w:rsidR="00A67052" w:rsidRPr="00A67052">
        <w:rPr>
          <w:rFonts w:asciiTheme="minorHAnsi" w:hAnsiTheme="minorHAnsi" w:cstheme="minorHAnsi"/>
          <w:sz w:val="22"/>
          <w:szCs w:val="22"/>
        </w:rPr>
        <w:t xml:space="preserve">: </w:t>
      </w:r>
      <w:r w:rsidRPr="00A67052">
        <w:rPr>
          <w:rFonts w:asciiTheme="minorHAnsi" w:hAnsiTheme="minorHAnsi" w:cstheme="minorHAnsi"/>
          <w:sz w:val="22"/>
          <w:szCs w:val="22"/>
        </w:rPr>
        <w:t>Engagements were held with key stakeholders to inform the analysis and design proposals for the future state. A benchmarking exercise was conducted with other African Parliaments to gather information on the support that is provided in terms of International Relations and Protocol services. The draft proposal and report has been completed.</w:t>
      </w:r>
    </w:p>
    <w:p w:rsidR="00A67052" w:rsidRPr="00A67052" w:rsidRDefault="00932A70" w:rsidP="003B5E3A">
      <w:pPr>
        <w:pStyle w:val="ListParagraph"/>
        <w:numPr>
          <w:ilvl w:val="0"/>
          <w:numId w:val="23"/>
        </w:numPr>
        <w:jc w:val="both"/>
        <w:rPr>
          <w:rFonts w:asciiTheme="minorHAnsi" w:hAnsiTheme="minorHAnsi" w:cstheme="minorHAnsi"/>
          <w:sz w:val="22"/>
          <w:szCs w:val="22"/>
        </w:rPr>
      </w:pPr>
      <w:r w:rsidRPr="00A67052">
        <w:rPr>
          <w:rFonts w:asciiTheme="minorHAnsi" w:hAnsiTheme="minorHAnsi" w:cstheme="minorHAnsi"/>
          <w:sz w:val="22"/>
          <w:szCs w:val="22"/>
        </w:rPr>
        <w:t>Research and Advisory Services</w:t>
      </w:r>
      <w:r w:rsidR="00A67052" w:rsidRPr="00A67052">
        <w:rPr>
          <w:rFonts w:asciiTheme="minorHAnsi" w:hAnsiTheme="minorHAnsi" w:cstheme="minorHAnsi"/>
          <w:sz w:val="22"/>
          <w:szCs w:val="22"/>
        </w:rPr>
        <w:t xml:space="preserve">: </w:t>
      </w:r>
      <w:r w:rsidRPr="00A67052">
        <w:rPr>
          <w:rFonts w:asciiTheme="minorHAnsi" w:hAnsiTheme="minorHAnsi" w:cstheme="minorHAnsi"/>
          <w:sz w:val="22"/>
          <w:szCs w:val="22"/>
        </w:rPr>
        <w:t>Engagement sessions were held with key stakeholders to inform the analysis of services relating to research and advisory support and to design proposals for the future state. The draft proposal and report has been completed.</w:t>
      </w:r>
    </w:p>
    <w:p w:rsidR="00932A70" w:rsidRPr="00A67052" w:rsidRDefault="00932A70" w:rsidP="003B5E3A">
      <w:pPr>
        <w:pStyle w:val="ListParagraph"/>
        <w:numPr>
          <w:ilvl w:val="0"/>
          <w:numId w:val="23"/>
        </w:numPr>
        <w:jc w:val="both"/>
        <w:rPr>
          <w:rFonts w:asciiTheme="minorHAnsi" w:hAnsiTheme="minorHAnsi" w:cstheme="minorHAnsi"/>
          <w:sz w:val="22"/>
          <w:szCs w:val="22"/>
        </w:rPr>
      </w:pPr>
      <w:r w:rsidRPr="00A67052">
        <w:rPr>
          <w:rFonts w:asciiTheme="minorHAnsi" w:hAnsiTheme="minorHAnsi" w:cstheme="minorHAnsi"/>
          <w:sz w:val="22"/>
          <w:szCs w:val="22"/>
        </w:rPr>
        <w:t>Registrar: Members Interest</w:t>
      </w:r>
      <w:r w:rsidR="00A67052" w:rsidRPr="00A67052">
        <w:rPr>
          <w:rFonts w:asciiTheme="minorHAnsi" w:hAnsiTheme="minorHAnsi" w:cstheme="minorHAnsi"/>
          <w:sz w:val="22"/>
          <w:szCs w:val="22"/>
        </w:rPr>
        <w:t xml:space="preserve">: </w:t>
      </w:r>
      <w:r w:rsidRPr="00A67052">
        <w:rPr>
          <w:rFonts w:asciiTheme="minorHAnsi" w:hAnsiTheme="minorHAnsi" w:cstheme="minorHAnsi"/>
          <w:sz w:val="22"/>
          <w:szCs w:val="22"/>
        </w:rPr>
        <w:t>The design proposal and report has been completed.The next set of priority areas will be identified with milestones.</w:t>
      </w:r>
    </w:p>
    <w:p w:rsidR="00CB531A" w:rsidRPr="00A67052" w:rsidRDefault="00CB531A" w:rsidP="00A67052">
      <w:pPr>
        <w:rPr>
          <w:rFonts w:cstheme="minorHAnsi"/>
        </w:rPr>
      </w:pPr>
    </w:p>
    <w:p w:rsidR="00CB531A" w:rsidRDefault="00CB531A" w:rsidP="00A67052">
      <w:pPr>
        <w:rPr>
          <w:rFonts w:cstheme="minorHAnsi"/>
        </w:rPr>
      </w:pPr>
    </w:p>
    <w:p w:rsidR="00A67052" w:rsidRDefault="00A67052" w:rsidP="00A67052">
      <w:pPr>
        <w:rPr>
          <w:rFonts w:cstheme="minorHAnsi"/>
        </w:rPr>
      </w:pPr>
    </w:p>
    <w:p w:rsidR="00A67052" w:rsidRDefault="00A67052" w:rsidP="00A67052">
      <w:pPr>
        <w:rPr>
          <w:rFonts w:cstheme="minorHAnsi"/>
        </w:rPr>
      </w:pPr>
    </w:p>
    <w:p w:rsidR="00A67052" w:rsidRDefault="00A67052" w:rsidP="00A67052">
      <w:pPr>
        <w:rPr>
          <w:rFonts w:cstheme="minorHAnsi"/>
        </w:rPr>
      </w:pPr>
    </w:p>
    <w:p w:rsidR="00171FD0" w:rsidRPr="00027CA6" w:rsidRDefault="00171FD0" w:rsidP="003B5E3A">
      <w:pPr>
        <w:pStyle w:val="Heading3"/>
        <w:numPr>
          <w:ilvl w:val="0"/>
          <w:numId w:val="8"/>
        </w:numPr>
        <w:rPr>
          <w:b w:val="0"/>
        </w:rPr>
      </w:pPr>
      <w:bookmarkStart w:id="28" w:name="_Toc54361051"/>
      <w:r w:rsidRPr="00027CA6">
        <w:t>Programme 5: Associated Services</w:t>
      </w:r>
      <w:bookmarkEnd w:id="28"/>
    </w:p>
    <w:p w:rsidR="00171FD0" w:rsidRPr="0044478B" w:rsidRDefault="00171FD0" w:rsidP="0044478B">
      <w:pPr>
        <w:pStyle w:val="ListParagraph"/>
        <w:ind w:left="360"/>
        <w:jc w:val="both"/>
        <w:rPr>
          <w:rFonts w:asciiTheme="minorHAnsi" w:hAnsiTheme="minorHAnsi" w:cstheme="minorHAnsi"/>
          <w:sz w:val="22"/>
          <w:szCs w:val="22"/>
        </w:rPr>
      </w:pPr>
    </w:p>
    <w:p w:rsidR="00C659AD" w:rsidRPr="0044478B" w:rsidRDefault="00C659AD" w:rsidP="0044478B">
      <w:pPr>
        <w:jc w:val="both"/>
        <w:rPr>
          <w:rFonts w:cstheme="minorHAnsi"/>
        </w:rPr>
      </w:pPr>
      <w:r w:rsidRPr="0044478B">
        <w:rPr>
          <w:rFonts w:cstheme="minorHAnsi"/>
        </w:rPr>
        <w:t xml:space="preserve">Provide travel, communication and other facilities for Members of Parliament to fulfil their duties as elected public representatives. Provide financial support. </w:t>
      </w:r>
    </w:p>
    <w:p w:rsidR="001C31CB" w:rsidRPr="0044478B" w:rsidRDefault="001C31CB" w:rsidP="0044478B">
      <w:pPr>
        <w:jc w:val="both"/>
        <w:rPr>
          <w:rFonts w:cstheme="minorHAnsi"/>
        </w:rPr>
      </w:pPr>
      <w:r w:rsidRPr="0044478B">
        <w:rPr>
          <w:rFonts w:cstheme="minorHAnsi"/>
        </w:rPr>
        <w:t xml:space="preserve">The purpose of this programme is a) to provide travel, communication and other facilities for Members of Parliament to fulfil their duties as elected public representatives, and b) to provide financial support to political parties represented in Parliament, their leaders and constituency offices. </w:t>
      </w:r>
    </w:p>
    <w:p w:rsidR="005E539F" w:rsidRPr="003F1F84" w:rsidRDefault="005E539F" w:rsidP="001C31CB">
      <w:pPr>
        <w:jc w:val="both"/>
        <w:rPr>
          <w:rFonts w:ascii="Calibri" w:hAnsi="Calibri" w:cs="Calibri"/>
          <w:sz w:val="24"/>
          <w:szCs w:val="24"/>
        </w:rPr>
      </w:pPr>
    </w:p>
    <w:p w:rsidR="00985DAF" w:rsidRPr="003F1F84" w:rsidRDefault="001C31CB" w:rsidP="003B5E3A">
      <w:pPr>
        <w:pStyle w:val="Heading4"/>
        <w:numPr>
          <w:ilvl w:val="0"/>
          <w:numId w:val="6"/>
        </w:numPr>
        <w:rPr>
          <w:rFonts w:asciiTheme="minorHAnsi" w:hAnsiTheme="minorHAnsi" w:cstheme="minorHAnsi"/>
          <w:sz w:val="24"/>
          <w:szCs w:val="24"/>
        </w:rPr>
      </w:pPr>
      <w:r w:rsidRPr="003F1F84">
        <w:rPr>
          <w:rFonts w:ascii="Calibri" w:hAnsi="Calibri" w:cs="Calibri"/>
          <w:sz w:val="24"/>
          <w:szCs w:val="24"/>
        </w:rPr>
        <w:t>Members’ Support Services</w:t>
      </w:r>
    </w:p>
    <w:p w:rsidR="003F1F84" w:rsidRPr="0044478B" w:rsidRDefault="003F1F84" w:rsidP="0044478B">
      <w:pPr>
        <w:jc w:val="both"/>
        <w:rPr>
          <w:rFonts w:cstheme="minorHAnsi"/>
        </w:rPr>
      </w:pPr>
    </w:p>
    <w:p w:rsidR="00985DAF" w:rsidRPr="0044478B" w:rsidRDefault="00985DAF" w:rsidP="0044478B">
      <w:pPr>
        <w:jc w:val="both"/>
        <w:rPr>
          <w:rFonts w:cstheme="minorHAnsi"/>
        </w:rPr>
      </w:pPr>
      <w:r w:rsidRPr="0044478B">
        <w:rPr>
          <w:rFonts w:cstheme="minorHAnsi"/>
        </w:rPr>
        <w:t>The objective seeks to review and implement the facilities needs of Members, and to integrate various services into a seamless support service. In addition, the processing time of claims and payments will be reduced.</w:t>
      </w:r>
    </w:p>
    <w:p w:rsidR="005E539F" w:rsidRDefault="005E539F" w:rsidP="00985DAF">
      <w:pPr>
        <w:spacing w:after="200"/>
        <w:rPr>
          <w:rFonts w:ascii="Calibri" w:hAnsi="Calibri" w:cs="Calibri"/>
          <w:sz w:val="24"/>
          <w:szCs w:val="24"/>
        </w:rPr>
      </w:pPr>
    </w:p>
    <w:p w:rsidR="00764178" w:rsidRPr="003F1F84" w:rsidRDefault="00764178" w:rsidP="00764178">
      <w:pPr>
        <w:spacing w:after="200"/>
        <w:rPr>
          <w:rFonts w:ascii="Calibri" w:hAnsi="Calibri" w:cs="Calibri"/>
          <w:b/>
          <w:bCs/>
          <w:i/>
          <w:iCs/>
          <w:sz w:val="24"/>
          <w:szCs w:val="24"/>
        </w:rPr>
      </w:pPr>
      <w:r w:rsidRPr="003F1F84">
        <w:rPr>
          <w:rFonts w:ascii="Calibri" w:hAnsi="Calibri" w:cs="Calibri"/>
          <w:b/>
          <w:bCs/>
          <w:i/>
          <w:iCs/>
          <w:sz w:val="24"/>
          <w:szCs w:val="24"/>
        </w:rPr>
        <w:t>Turnaround times for processing of claims and service provider payments</w:t>
      </w:r>
    </w:p>
    <w:p w:rsidR="00764178" w:rsidRPr="0044478B" w:rsidRDefault="00764178" w:rsidP="003B5E3A">
      <w:pPr>
        <w:pStyle w:val="ListParagraph"/>
        <w:numPr>
          <w:ilvl w:val="0"/>
          <w:numId w:val="3"/>
        </w:numPr>
        <w:spacing w:after="0"/>
        <w:ind w:left="357" w:hanging="357"/>
        <w:rPr>
          <w:rFonts w:asciiTheme="minorHAnsi" w:eastAsiaTheme="minorHAnsi" w:hAnsiTheme="minorHAnsi" w:cstheme="minorHAnsi"/>
          <w:color w:val="auto"/>
          <w:spacing w:val="0"/>
          <w:sz w:val="22"/>
          <w:szCs w:val="22"/>
          <w:lang w:val="en-ZA" w:eastAsia="en-US"/>
        </w:rPr>
      </w:pPr>
      <w:r w:rsidRPr="0044478B">
        <w:rPr>
          <w:rFonts w:asciiTheme="minorHAnsi" w:eastAsiaTheme="minorHAnsi" w:hAnsiTheme="minorHAnsi" w:cstheme="minorHAnsi"/>
          <w:color w:val="auto"/>
          <w:spacing w:val="0"/>
          <w:sz w:val="22"/>
          <w:szCs w:val="22"/>
          <w:lang w:val="en-ZA" w:eastAsia="en-US"/>
        </w:rPr>
        <w:lastRenderedPageBreak/>
        <w:t>The Mid-Year turnaround:  average days to pay - 1.46 days</w:t>
      </w:r>
    </w:p>
    <w:p w:rsidR="00764178" w:rsidRDefault="00764178" w:rsidP="00985DAF">
      <w:pPr>
        <w:spacing w:after="200"/>
        <w:rPr>
          <w:rFonts w:ascii="Calibri" w:hAnsi="Calibri" w:cs="Calibri"/>
          <w:sz w:val="24"/>
          <w:szCs w:val="24"/>
        </w:rPr>
      </w:pPr>
    </w:p>
    <w:p w:rsidR="0007338F" w:rsidRPr="003F1F84" w:rsidRDefault="0007338F" w:rsidP="0007338F">
      <w:pPr>
        <w:spacing w:after="200"/>
        <w:rPr>
          <w:rFonts w:ascii="Calibri" w:hAnsi="Calibri" w:cs="Calibri"/>
          <w:b/>
          <w:i/>
          <w:sz w:val="24"/>
          <w:szCs w:val="24"/>
        </w:rPr>
      </w:pPr>
      <w:r w:rsidRPr="003F1F84">
        <w:rPr>
          <w:rFonts w:ascii="Calibri" w:hAnsi="Calibri" w:cs="Calibri"/>
          <w:b/>
          <w:i/>
          <w:sz w:val="24"/>
          <w:szCs w:val="24"/>
        </w:rPr>
        <w:t>Facilities Provided</w:t>
      </w:r>
    </w:p>
    <w:p w:rsidR="0007338F" w:rsidRPr="0044478B" w:rsidRDefault="0007338F" w:rsidP="003B5E3A">
      <w:pPr>
        <w:pStyle w:val="ListParagraph"/>
        <w:numPr>
          <w:ilvl w:val="0"/>
          <w:numId w:val="3"/>
        </w:numPr>
        <w:spacing w:after="0"/>
        <w:ind w:left="357" w:hanging="357"/>
        <w:rPr>
          <w:rFonts w:asciiTheme="minorHAnsi" w:eastAsiaTheme="minorHAnsi" w:hAnsiTheme="minorHAnsi" w:cstheme="minorHAnsi"/>
          <w:color w:val="auto"/>
          <w:spacing w:val="0"/>
          <w:sz w:val="22"/>
          <w:szCs w:val="22"/>
          <w:lang w:val="en-ZA" w:eastAsia="en-US"/>
        </w:rPr>
      </w:pPr>
      <w:r w:rsidRPr="0044478B">
        <w:rPr>
          <w:rFonts w:asciiTheme="minorHAnsi" w:eastAsiaTheme="minorHAnsi" w:hAnsiTheme="minorHAnsi" w:cstheme="minorHAnsi"/>
          <w:color w:val="auto"/>
          <w:spacing w:val="0"/>
          <w:sz w:val="22"/>
          <w:szCs w:val="22"/>
          <w:lang w:val="en-ZA" w:eastAsia="en-US"/>
        </w:rPr>
        <w:t>5 Members passed away between April and September 2020</w:t>
      </w:r>
    </w:p>
    <w:p w:rsidR="0007338F" w:rsidRPr="0044478B" w:rsidRDefault="0007338F" w:rsidP="003B5E3A">
      <w:pPr>
        <w:pStyle w:val="ListParagraph"/>
        <w:numPr>
          <w:ilvl w:val="0"/>
          <w:numId w:val="3"/>
        </w:numPr>
        <w:spacing w:after="0"/>
        <w:ind w:left="357" w:hanging="357"/>
        <w:rPr>
          <w:rFonts w:asciiTheme="minorHAnsi" w:eastAsiaTheme="minorHAnsi" w:hAnsiTheme="minorHAnsi" w:cstheme="minorHAnsi"/>
          <w:color w:val="auto"/>
          <w:spacing w:val="0"/>
          <w:sz w:val="22"/>
          <w:szCs w:val="22"/>
          <w:lang w:val="en-ZA" w:eastAsia="en-US"/>
        </w:rPr>
      </w:pPr>
      <w:r w:rsidRPr="0044478B">
        <w:rPr>
          <w:rFonts w:asciiTheme="minorHAnsi" w:eastAsiaTheme="minorHAnsi" w:hAnsiTheme="minorHAnsi" w:cstheme="minorHAnsi"/>
          <w:color w:val="auto"/>
          <w:spacing w:val="0"/>
          <w:sz w:val="22"/>
          <w:szCs w:val="22"/>
          <w:lang w:val="en-ZA" w:eastAsia="en-US"/>
        </w:rPr>
        <w:t>All bereavement payments were made on receipt of the required documentation</w:t>
      </w:r>
    </w:p>
    <w:p w:rsidR="0007338F" w:rsidRPr="0044478B" w:rsidRDefault="0007338F" w:rsidP="003B5E3A">
      <w:pPr>
        <w:pStyle w:val="ListParagraph"/>
        <w:numPr>
          <w:ilvl w:val="0"/>
          <w:numId w:val="3"/>
        </w:numPr>
        <w:spacing w:after="0"/>
        <w:ind w:left="357" w:hanging="357"/>
        <w:rPr>
          <w:rFonts w:asciiTheme="minorHAnsi" w:eastAsiaTheme="minorHAnsi" w:hAnsiTheme="minorHAnsi" w:cstheme="minorHAnsi"/>
          <w:color w:val="auto"/>
          <w:spacing w:val="0"/>
          <w:sz w:val="22"/>
          <w:szCs w:val="22"/>
          <w:lang w:val="en-ZA" w:eastAsia="en-US"/>
        </w:rPr>
      </w:pPr>
      <w:r w:rsidRPr="0044478B">
        <w:rPr>
          <w:rFonts w:asciiTheme="minorHAnsi" w:eastAsiaTheme="minorHAnsi" w:hAnsiTheme="minorHAnsi" w:cstheme="minorHAnsi"/>
          <w:color w:val="auto"/>
          <w:spacing w:val="0"/>
          <w:sz w:val="22"/>
          <w:szCs w:val="22"/>
          <w:lang w:val="en-ZA" w:eastAsia="en-US"/>
        </w:rPr>
        <w:t>Facilities were provided to new Members sworn in within 1 week</w:t>
      </w:r>
    </w:p>
    <w:p w:rsidR="0007338F" w:rsidRPr="0044478B" w:rsidRDefault="0007338F" w:rsidP="003B5E3A">
      <w:pPr>
        <w:pStyle w:val="ListParagraph"/>
        <w:numPr>
          <w:ilvl w:val="0"/>
          <w:numId w:val="3"/>
        </w:numPr>
        <w:spacing w:after="0"/>
        <w:ind w:left="357" w:hanging="357"/>
        <w:rPr>
          <w:rFonts w:asciiTheme="minorHAnsi" w:eastAsiaTheme="minorHAnsi" w:hAnsiTheme="minorHAnsi" w:cstheme="minorHAnsi"/>
          <w:color w:val="auto"/>
          <w:spacing w:val="0"/>
          <w:sz w:val="22"/>
          <w:szCs w:val="22"/>
          <w:lang w:val="en-ZA" w:eastAsia="en-US"/>
        </w:rPr>
      </w:pPr>
      <w:r w:rsidRPr="0044478B">
        <w:rPr>
          <w:rFonts w:asciiTheme="minorHAnsi" w:eastAsiaTheme="minorHAnsi" w:hAnsiTheme="minorHAnsi" w:cstheme="minorHAnsi"/>
          <w:color w:val="auto"/>
          <w:spacing w:val="0"/>
          <w:sz w:val="22"/>
          <w:szCs w:val="22"/>
          <w:lang w:val="en-ZA" w:eastAsia="en-US"/>
        </w:rPr>
        <w:t>Where required, equipment was couriered to both existing and new Members</w:t>
      </w:r>
    </w:p>
    <w:p w:rsidR="0007338F" w:rsidRPr="003F1F84" w:rsidRDefault="0007338F" w:rsidP="0007338F">
      <w:pPr>
        <w:spacing w:after="200"/>
        <w:rPr>
          <w:rFonts w:ascii="Calibri" w:hAnsi="Calibri" w:cs="Calibri"/>
          <w:b/>
          <w:sz w:val="24"/>
          <w:szCs w:val="24"/>
        </w:rPr>
      </w:pPr>
    </w:p>
    <w:p w:rsidR="0007338F" w:rsidRPr="003F1F84" w:rsidRDefault="0007338F" w:rsidP="0007338F">
      <w:pPr>
        <w:spacing w:after="200"/>
        <w:rPr>
          <w:rFonts w:ascii="Calibri" w:hAnsi="Calibri" w:cs="Calibri"/>
          <w:b/>
          <w:sz w:val="24"/>
          <w:szCs w:val="24"/>
        </w:rPr>
      </w:pPr>
      <w:r w:rsidRPr="003F1F84">
        <w:rPr>
          <w:rFonts w:ascii="Calibri" w:hAnsi="Calibri" w:cs="Calibri"/>
          <w:b/>
          <w:bCs/>
          <w:i/>
          <w:iCs/>
          <w:sz w:val="24"/>
          <w:szCs w:val="24"/>
        </w:rPr>
        <w:t>Bursaries and Capacity Building</w:t>
      </w:r>
    </w:p>
    <w:p w:rsidR="0007338F" w:rsidRPr="0044478B" w:rsidRDefault="0007338F" w:rsidP="003B5E3A">
      <w:pPr>
        <w:pStyle w:val="ListParagraph"/>
        <w:numPr>
          <w:ilvl w:val="0"/>
          <w:numId w:val="3"/>
        </w:numPr>
        <w:spacing w:after="0"/>
        <w:ind w:left="357" w:hanging="357"/>
        <w:rPr>
          <w:rFonts w:asciiTheme="minorHAnsi" w:eastAsiaTheme="minorHAnsi" w:hAnsiTheme="minorHAnsi" w:cstheme="minorHAnsi"/>
          <w:color w:val="auto"/>
          <w:spacing w:val="0"/>
          <w:sz w:val="22"/>
          <w:szCs w:val="22"/>
          <w:lang w:val="en-ZA" w:eastAsia="en-US"/>
        </w:rPr>
      </w:pPr>
      <w:r w:rsidRPr="0044478B">
        <w:rPr>
          <w:rFonts w:asciiTheme="minorHAnsi" w:eastAsiaTheme="minorHAnsi" w:hAnsiTheme="minorHAnsi" w:cstheme="minorHAnsi"/>
          <w:color w:val="auto"/>
          <w:spacing w:val="0"/>
          <w:sz w:val="22"/>
          <w:szCs w:val="22"/>
          <w:lang w:val="en-ZA" w:eastAsia="en-US"/>
        </w:rPr>
        <w:t>Average turnaround time for payment of bursaries in quarter 2 – 19 days</w:t>
      </w:r>
    </w:p>
    <w:p w:rsidR="0007338F" w:rsidRPr="0044478B" w:rsidRDefault="0007338F" w:rsidP="003B5E3A">
      <w:pPr>
        <w:pStyle w:val="ListParagraph"/>
        <w:numPr>
          <w:ilvl w:val="0"/>
          <w:numId w:val="3"/>
        </w:numPr>
        <w:spacing w:after="0"/>
        <w:ind w:left="357" w:hanging="357"/>
        <w:rPr>
          <w:rFonts w:asciiTheme="minorHAnsi" w:eastAsiaTheme="minorHAnsi" w:hAnsiTheme="minorHAnsi" w:cstheme="minorHAnsi"/>
          <w:color w:val="auto"/>
          <w:spacing w:val="0"/>
          <w:sz w:val="22"/>
          <w:szCs w:val="22"/>
          <w:lang w:val="en-ZA" w:eastAsia="en-US"/>
        </w:rPr>
      </w:pPr>
      <w:r w:rsidRPr="0044478B">
        <w:rPr>
          <w:rFonts w:asciiTheme="minorHAnsi" w:eastAsiaTheme="minorHAnsi" w:hAnsiTheme="minorHAnsi" w:cstheme="minorHAnsi"/>
          <w:color w:val="auto"/>
          <w:spacing w:val="0"/>
          <w:sz w:val="22"/>
          <w:szCs w:val="22"/>
          <w:lang w:val="en-ZA" w:eastAsia="en-US"/>
        </w:rPr>
        <w:t>26 Bursaries were processed in quarter 2</w:t>
      </w:r>
    </w:p>
    <w:p w:rsidR="0007338F" w:rsidRPr="0044478B" w:rsidRDefault="0007338F" w:rsidP="003B5E3A">
      <w:pPr>
        <w:pStyle w:val="ListParagraph"/>
        <w:numPr>
          <w:ilvl w:val="0"/>
          <w:numId w:val="3"/>
        </w:numPr>
        <w:spacing w:after="0"/>
        <w:ind w:left="357" w:hanging="357"/>
        <w:rPr>
          <w:rFonts w:asciiTheme="minorHAnsi" w:eastAsiaTheme="minorHAnsi" w:hAnsiTheme="minorHAnsi" w:cstheme="minorHAnsi"/>
          <w:color w:val="auto"/>
          <w:spacing w:val="0"/>
          <w:sz w:val="22"/>
          <w:szCs w:val="22"/>
          <w:lang w:val="en-ZA" w:eastAsia="en-US"/>
        </w:rPr>
      </w:pPr>
      <w:r w:rsidRPr="0044478B">
        <w:rPr>
          <w:rFonts w:asciiTheme="minorHAnsi" w:eastAsiaTheme="minorHAnsi" w:hAnsiTheme="minorHAnsi" w:cstheme="minorHAnsi"/>
          <w:color w:val="auto"/>
          <w:spacing w:val="0"/>
          <w:sz w:val="22"/>
          <w:szCs w:val="22"/>
          <w:lang w:val="en-ZA" w:eastAsia="en-US"/>
        </w:rPr>
        <w:t>49 Members registered for Governance and Leadership programme at Wits</w:t>
      </w:r>
    </w:p>
    <w:p w:rsidR="0007338F" w:rsidRPr="0044478B" w:rsidRDefault="0007338F" w:rsidP="003B5E3A">
      <w:pPr>
        <w:pStyle w:val="ListParagraph"/>
        <w:numPr>
          <w:ilvl w:val="0"/>
          <w:numId w:val="3"/>
        </w:numPr>
        <w:spacing w:after="0"/>
        <w:ind w:left="357" w:hanging="357"/>
        <w:rPr>
          <w:rFonts w:asciiTheme="minorHAnsi" w:eastAsiaTheme="minorHAnsi" w:hAnsiTheme="minorHAnsi" w:cstheme="minorHAnsi"/>
          <w:color w:val="auto"/>
          <w:spacing w:val="0"/>
          <w:sz w:val="22"/>
          <w:szCs w:val="22"/>
          <w:lang w:val="en-ZA" w:eastAsia="en-US"/>
        </w:rPr>
      </w:pPr>
      <w:r w:rsidRPr="0044478B">
        <w:rPr>
          <w:rFonts w:asciiTheme="minorHAnsi" w:eastAsiaTheme="minorHAnsi" w:hAnsiTheme="minorHAnsi" w:cstheme="minorHAnsi"/>
          <w:color w:val="auto"/>
          <w:spacing w:val="0"/>
          <w:sz w:val="22"/>
          <w:szCs w:val="22"/>
          <w:lang w:val="en-ZA" w:eastAsia="en-US"/>
        </w:rPr>
        <w:t>Members of Committee on Communications registered for an online short-term course</w:t>
      </w:r>
    </w:p>
    <w:p w:rsidR="0007338F" w:rsidRPr="003F1F84" w:rsidRDefault="0007338F" w:rsidP="0007338F">
      <w:pPr>
        <w:spacing w:after="0"/>
        <w:rPr>
          <w:rFonts w:ascii="Calibri" w:hAnsi="Calibri" w:cs="Calibri"/>
          <w:sz w:val="24"/>
          <w:szCs w:val="24"/>
        </w:rPr>
      </w:pPr>
    </w:p>
    <w:p w:rsidR="00B93B8F" w:rsidRPr="003F1F84" w:rsidRDefault="00BB5D1A" w:rsidP="003B5E3A">
      <w:pPr>
        <w:pStyle w:val="Heading4"/>
        <w:numPr>
          <w:ilvl w:val="0"/>
          <w:numId w:val="6"/>
        </w:numPr>
        <w:rPr>
          <w:rFonts w:asciiTheme="minorHAnsi" w:hAnsiTheme="minorHAnsi" w:cstheme="minorHAnsi"/>
        </w:rPr>
      </w:pPr>
      <w:r w:rsidRPr="003F1F84">
        <w:t>Transfers to Political Parties</w:t>
      </w:r>
    </w:p>
    <w:p w:rsidR="00BB5D1A" w:rsidRPr="003F1F84" w:rsidRDefault="00BB5D1A" w:rsidP="00BB5D1A">
      <w:pPr>
        <w:spacing w:after="0"/>
        <w:rPr>
          <w:rFonts w:ascii="Calibri" w:hAnsi="Calibri" w:cs="Calibri"/>
          <w:sz w:val="24"/>
          <w:szCs w:val="24"/>
        </w:rPr>
      </w:pPr>
    </w:p>
    <w:p w:rsidR="00BB5D1A" w:rsidRDefault="00A6571E" w:rsidP="00BB5D1A">
      <w:pPr>
        <w:spacing w:after="0"/>
        <w:rPr>
          <w:rFonts w:ascii="Calibri" w:hAnsi="Calibri" w:cs="Calibri"/>
          <w:sz w:val="24"/>
          <w:szCs w:val="24"/>
        </w:rPr>
      </w:pPr>
      <w:r w:rsidRPr="003F1F84">
        <w:rPr>
          <w:rFonts w:ascii="Calibri" w:hAnsi="Calibri" w:cs="Calibri"/>
          <w:sz w:val="24"/>
          <w:szCs w:val="24"/>
        </w:rPr>
        <w:t>All transfers to political parties were processed timeously in accordance with policy.</w:t>
      </w: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Pr="009C5DA4" w:rsidRDefault="00F675F6" w:rsidP="00F675F6">
      <w:pPr>
        <w:jc w:val="right"/>
        <w:rPr>
          <w:rFonts w:ascii="Arial" w:hAnsi="Arial" w:cs="Arial"/>
        </w:rPr>
      </w:pPr>
      <w:r>
        <w:rPr>
          <w:rFonts w:ascii="Arial" w:hAnsi="Arial" w:cs="Arial"/>
          <w:noProof/>
          <w:lang w:eastAsia="en-ZA"/>
        </w:rPr>
        <w:drawing>
          <wp:inline distT="0" distB="0" distL="0" distR="0">
            <wp:extent cx="3562350" cy="1200150"/>
            <wp:effectExtent l="38100" t="0" r="1905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A708ED" w:rsidRPr="006758E9" w:rsidRDefault="00A708ED" w:rsidP="00F675F6">
      <w:pPr>
        <w:pStyle w:val="Heading1"/>
        <w:numPr>
          <w:ilvl w:val="0"/>
          <w:numId w:val="0"/>
        </w:numPr>
        <w:rPr>
          <w:rFonts w:ascii="Calibri" w:hAnsi="Calibri" w:cs="Calibri"/>
          <w:color w:val="FFFFFF" w:themeColor="background1"/>
          <w:sz w:val="24"/>
          <w:szCs w:val="24"/>
        </w:rPr>
      </w:pPr>
      <w:bookmarkStart w:id="29" w:name="_Toc54361052"/>
      <w:r w:rsidRPr="006758E9">
        <w:rPr>
          <w:rFonts w:ascii="Calibri" w:hAnsi="Calibri" w:cs="Calibri"/>
          <w:color w:val="FFFFFF" w:themeColor="background1"/>
          <w:sz w:val="24"/>
          <w:szCs w:val="24"/>
        </w:rPr>
        <w:t>PART D</w:t>
      </w:r>
      <w:r w:rsidR="009C3971" w:rsidRPr="006758E9">
        <w:rPr>
          <w:rFonts w:ascii="Calibri" w:hAnsi="Calibri" w:cs="Calibri"/>
          <w:color w:val="FFFFFF" w:themeColor="background1"/>
          <w:sz w:val="24"/>
          <w:szCs w:val="24"/>
        </w:rPr>
        <w:t xml:space="preserve">: </w:t>
      </w:r>
      <w:r w:rsidR="006758E9" w:rsidRPr="006758E9">
        <w:rPr>
          <w:rFonts w:ascii="Calibri" w:hAnsi="Calibri" w:cs="Calibri"/>
          <w:color w:val="FFFFFF" w:themeColor="background1"/>
          <w:sz w:val="24"/>
          <w:szCs w:val="24"/>
        </w:rPr>
        <w:t>Financial</w:t>
      </w:r>
      <w:r w:rsidR="009C3971" w:rsidRPr="006758E9">
        <w:rPr>
          <w:rFonts w:ascii="Calibri" w:hAnsi="Calibri" w:cs="Calibri"/>
          <w:color w:val="FFFFFF" w:themeColor="background1"/>
          <w:sz w:val="24"/>
          <w:szCs w:val="24"/>
        </w:rPr>
        <w:t xml:space="preserve"> Report</w:t>
      </w:r>
      <w:bookmarkEnd w:id="29"/>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9F6F91" w:rsidRDefault="009F6F91">
      <w:pPr>
        <w:rPr>
          <w:rFonts w:ascii="Calibri" w:eastAsiaTheme="majorEastAsia" w:hAnsi="Calibri" w:cs="Calibri"/>
          <w:b/>
          <w:bCs/>
          <w:smallCaps/>
          <w:color w:val="000000" w:themeColor="text1"/>
          <w:sz w:val="36"/>
          <w:szCs w:val="36"/>
          <w:lang w:val="en-US"/>
        </w:rPr>
      </w:pPr>
      <w:bookmarkStart w:id="30" w:name="_Toc54361053"/>
      <w:r>
        <w:rPr>
          <w:rFonts w:ascii="Calibri" w:hAnsi="Calibri" w:cs="Calibri"/>
          <w:sz w:val="36"/>
          <w:szCs w:val="36"/>
        </w:rPr>
        <w:br w:type="page"/>
      </w:r>
    </w:p>
    <w:p w:rsidR="006758E9" w:rsidRPr="00EA79A4" w:rsidRDefault="006758E9" w:rsidP="003B5E3A">
      <w:pPr>
        <w:pStyle w:val="Heading2"/>
        <w:numPr>
          <w:ilvl w:val="1"/>
          <w:numId w:val="5"/>
        </w:numPr>
        <w:rPr>
          <w:rFonts w:ascii="Calibri" w:hAnsi="Calibri" w:cs="Calibri"/>
          <w:sz w:val="36"/>
          <w:szCs w:val="36"/>
        </w:rPr>
      </w:pPr>
      <w:r>
        <w:rPr>
          <w:rFonts w:ascii="Calibri" w:hAnsi="Calibri" w:cs="Calibri"/>
          <w:sz w:val="36"/>
          <w:szCs w:val="36"/>
        </w:rPr>
        <w:lastRenderedPageBreak/>
        <w:t>Financial Report</w:t>
      </w:r>
      <w:bookmarkEnd w:id="30"/>
    </w:p>
    <w:p w:rsidR="006758E9" w:rsidRDefault="006758E9" w:rsidP="00BB5D1A">
      <w:pPr>
        <w:spacing w:after="0"/>
        <w:rPr>
          <w:rFonts w:ascii="Calibri" w:hAnsi="Calibri" w:cs="Calibri"/>
          <w:sz w:val="24"/>
          <w:szCs w:val="24"/>
        </w:rPr>
      </w:pPr>
    </w:p>
    <w:p w:rsidR="006758E9" w:rsidRPr="005E122B" w:rsidRDefault="005E122B" w:rsidP="00921C12">
      <w:pPr>
        <w:spacing w:after="0"/>
        <w:rPr>
          <w:rFonts w:ascii="Calibri" w:hAnsi="Calibri" w:cs="Calibri"/>
          <w:b/>
          <w:sz w:val="24"/>
          <w:szCs w:val="24"/>
        </w:rPr>
      </w:pPr>
      <w:r w:rsidRPr="005E122B">
        <w:rPr>
          <w:rFonts w:ascii="Calibri" w:hAnsi="Calibri" w:cs="Calibri"/>
          <w:b/>
          <w:sz w:val="24"/>
          <w:szCs w:val="24"/>
        </w:rPr>
        <w:t xml:space="preserve">Financial Performance </w:t>
      </w:r>
      <w:r w:rsidR="00921C12" w:rsidRPr="005E122B">
        <w:rPr>
          <w:rFonts w:ascii="Calibri" w:hAnsi="Calibri" w:cs="Calibri"/>
          <w:b/>
          <w:sz w:val="24"/>
          <w:szCs w:val="24"/>
        </w:rPr>
        <w:t>by Programme</w:t>
      </w:r>
    </w:p>
    <w:p w:rsidR="006758E9" w:rsidRDefault="006758E9" w:rsidP="00BB5D1A">
      <w:pPr>
        <w:spacing w:after="0"/>
        <w:rPr>
          <w:rFonts w:ascii="Calibri" w:hAnsi="Calibri" w:cs="Calibri"/>
          <w:sz w:val="24"/>
          <w:szCs w:val="24"/>
        </w:rPr>
      </w:pPr>
    </w:p>
    <w:p w:rsidR="006758E9" w:rsidRPr="00386AB9" w:rsidRDefault="005E122B" w:rsidP="005E122B">
      <w:pPr>
        <w:spacing w:after="0"/>
        <w:jc w:val="both"/>
        <w:rPr>
          <w:rFonts w:ascii="Calibri" w:hAnsi="Calibri" w:cs="Calibri"/>
        </w:rPr>
      </w:pPr>
      <w:r w:rsidRPr="00386AB9">
        <w:rPr>
          <w:rFonts w:ascii="Calibri" w:hAnsi="Calibri" w:cs="Calibri"/>
        </w:rPr>
        <w:t xml:space="preserve">Parliament has spent R1,093b or 40 percent of the annual budget of R2,706b for the first half of the financial year. Spending for the first and second quarter against the annual budget is at 20 and 24 percent respectively, and indications are that there will be an underspending of 5 percent or R128,788m at the end of the financial year. </w:t>
      </w:r>
    </w:p>
    <w:p w:rsidR="005E122B" w:rsidRDefault="005E122B" w:rsidP="00BB5D1A">
      <w:pPr>
        <w:spacing w:after="0"/>
        <w:rPr>
          <w:rFonts w:ascii="Calibri" w:hAnsi="Calibri" w:cs="Calibri"/>
          <w:sz w:val="24"/>
          <w:szCs w:val="24"/>
        </w:rPr>
      </w:pPr>
    </w:p>
    <w:tbl>
      <w:tblPr>
        <w:tblStyle w:val="GridTable4Accent4"/>
        <w:tblW w:w="10128" w:type="dxa"/>
        <w:tblLayout w:type="fixed"/>
        <w:tblLook w:val="0420"/>
      </w:tblPr>
      <w:tblGrid>
        <w:gridCol w:w="2417"/>
        <w:gridCol w:w="1290"/>
        <w:gridCol w:w="856"/>
        <w:gridCol w:w="1285"/>
        <w:gridCol w:w="714"/>
        <w:gridCol w:w="1285"/>
        <w:gridCol w:w="858"/>
        <w:gridCol w:w="1423"/>
      </w:tblGrid>
      <w:tr w:rsidR="005E122B" w:rsidRPr="00465EE6" w:rsidTr="00465EE6">
        <w:trPr>
          <w:cnfStyle w:val="100000000000"/>
          <w:trHeight w:val="320"/>
        </w:trPr>
        <w:tc>
          <w:tcPr>
            <w:tcW w:w="2417" w:type="dxa"/>
            <w:hideMark/>
          </w:tcPr>
          <w:p w:rsidR="005E122B" w:rsidRPr="005E122B" w:rsidRDefault="005E122B" w:rsidP="005E122B">
            <w:pPr>
              <w:rPr>
                <w:rFonts w:eastAsia="Times New Roman" w:cstheme="minorHAnsi"/>
                <w:lang w:eastAsia="en-ZA"/>
              </w:rPr>
            </w:pPr>
            <w:r w:rsidRPr="005E122B">
              <w:rPr>
                <w:rFonts w:eastAsia="Times New Roman" w:cstheme="minorHAnsi"/>
                <w:color w:val="000000" w:themeColor="text1"/>
                <w:kern w:val="24"/>
                <w:lang w:eastAsia="en-ZA"/>
              </w:rPr>
              <w:t>Programmes</w:t>
            </w:r>
          </w:p>
        </w:tc>
        <w:tc>
          <w:tcPr>
            <w:tcW w:w="6288" w:type="dxa"/>
            <w:gridSpan w:val="6"/>
            <w:hideMark/>
          </w:tcPr>
          <w:p w:rsidR="005E122B" w:rsidRPr="005E122B" w:rsidRDefault="005E122B" w:rsidP="005E122B">
            <w:pPr>
              <w:jc w:val="center"/>
              <w:rPr>
                <w:rFonts w:eastAsia="Times New Roman" w:cstheme="minorHAnsi"/>
                <w:lang w:eastAsia="en-ZA"/>
              </w:rPr>
            </w:pPr>
            <w:r w:rsidRPr="005E122B">
              <w:rPr>
                <w:rFonts w:eastAsia="Times New Roman" w:cstheme="minorHAnsi"/>
                <w:color w:val="000000" w:themeColor="text1"/>
                <w:kern w:val="24"/>
                <w:lang w:eastAsia="en-ZA"/>
              </w:rPr>
              <w:t>Total spending</w:t>
            </w:r>
          </w:p>
        </w:tc>
        <w:tc>
          <w:tcPr>
            <w:tcW w:w="1423" w:type="dxa"/>
            <w:vMerge w:val="restart"/>
            <w:hideMark/>
          </w:tcPr>
          <w:p w:rsidR="005E122B" w:rsidRPr="005E122B" w:rsidRDefault="005E122B" w:rsidP="005E122B">
            <w:pPr>
              <w:rPr>
                <w:rFonts w:eastAsia="Times New Roman" w:cstheme="minorHAnsi"/>
                <w:lang w:eastAsia="en-ZA"/>
              </w:rPr>
            </w:pPr>
            <w:r w:rsidRPr="005E122B">
              <w:rPr>
                <w:rFonts w:eastAsia="Times New Roman" w:cstheme="minorHAnsi"/>
                <w:color w:val="000000" w:themeColor="text1"/>
                <w:kern w:val="24"/>
                <w:lang w:eastAsia="en-ZA"/>
              </w:rPr>
              <w:t>Annual Budget</w:t>
            </w:r>
          </w:p>
          <w:p w:rsidR="005E122B" w:rsidRPr="005E122B" w:rsidRDefault="005E122B" w:rsidP="005E122B">
            <w:pPr>
              <w:rPr>
                <w:rFonts w:eastAsia="Times New Roman" w:cstheme="minorHAnsi"/>
                <w:lang w:eastAsia="en-ZA"/>
              </w:rPr>
            </w:pPr>
            <w:r w:rsidRPr="005E122B">
              <w:rPr>
                <w:rFonts w:eastAsia="Times New Roman" w:cstheme="minorHAnsi"/>
                <w:color w:val="000000" w:themeColor="text1"/>
                <w:kern w:val="24"/>
                <w:lang w:eastAsia="en-ZA"/>
              </w:rPr>
              <w:t>R’000</w:t>
            </w:r>
          </w:p>
        </w:tc>
      </w:tr>
      <w:tr w:rsidR="005E122B" w:rsidRPr="00465EE6" w:rsidTr="00465EE6">
        <w:trPr>
          <w:cnfStyle w:val="000000100000"/>
          <w:trHeight w:val="320"/>
        </w:trPr>
        <w:tc>
          <w:tcPr>
            <w:tcW w:w="2417" w:type="dxa"/>
            <w:hideMark/>
          </w:tcPr>
          <w:p w:rsidR="005E122B" w:rsidRPr="005E122B" w:rsidRDefault="005E122B" w:rsidP="005E122B">
            <w:pPr>
              <w:rPr>
                <w:rFonts w:eastAsia="Times New Roman" w:cstheme="minorHAnsi"/>
                <w:lang w:eastAsia="en-ZA"/>
              </w:rPr>
            </w:pPr>
          </w:p>
        </w:tc>
        <w:tc>
          <w:tcPr>
            <w:tcW w:w="2146" w:type="dxa"/>
            <w:gridSpan w:val="2"/>
            <w:hideMark/>
          </w:tcPr>
          <w:p w:rsidR="005E122B" w:rsidRPr="005E122B" w:rsidRDefault="005E122B" w:rsidP="005E122B">
            <w:pPr>
              <w:jc w:val="center"/>
              <w:rPr>
                <w:rFonts w:eastAsia="Times New Roman" w:cstheme="minorHAnsi"/>
                <w:lang w:eastAsia="en-ZA"/>
              </w:rPr>
            </w:pPr>
            <w:r w:rsidRPr="005E122B">
              <w:rPr>
                <w:rFonts w:eastAsia="Times New Roman" w:cstheme="minorHAnsi"/>
                <w:b/>
                <w:bCs/>
                <w:color w:val="000000" w:themeColor="text1"/>
                <w:kern w:val="24"/>
                <w:lang w:eastAsia="en-ZA"/>
              </w:rPr>
              <w:t>Quarter 1</w:t>
            </w:r>
          </w:p>
        </w:tc>
        <w:tc>
          <w:tcPr>
            <w:tcW w:w="1999" w:type="dxa"/>
            <w:gridSpan w:val="2"/>
            <w:hideMark/>
          </w:tcPr>
          <w:p w:rsidR="005E122B" w:rsidRPr="005E122B" w:rsidRDefault="005E122B" w:rsidP="005E122B">
            <w:pPr>
              <w:jc w:val="center"/>
              <w:rPr>
                <w:rFonts w:eastAsia="Times New Roman" w:cstheme="minorHAnsi"/>
                <w:lang w:eastAsia="en-ZA"/>
              </w:rPr>
            </w:pPr>
            <w:r w:rsidRPr="005E122B">
              <w:rPr>
                <w:rFonts w:eastAsia="Times New Roman" w:cstheme="minorHAnsi"/>
                <w:b/>
                <w:bCs/>
                <w:color w:val="000000" w:themeColor="text1"/>
                <w:kern w:val="24"/>
                <w:lang w:eastAsia="en-ZA"/>
              </w:rPr>
              <w:t>Quarter 2</w:t>
            </w:r>
          </w:p>
        </w:tc>
        <w:tc>
          <w:tcPr>
            <w:tcW w:w="2141" w:type="dxa"/>
            <w:gridSpan w:val="2"/>
            <w:hideMark/>
          </w:tcPr>
          <w:p w:rsidR="005E122B" w:rsidRPr="005E122B" w:rsidRDefault="005E122B" w:rsidP="005E122B">
            <w:pPr>
              <w:rPr>
                <w:rFonts w:eastAsia="Times New Roman" w:cstheme="minorHAnsi"/>
                <w:lang w:eastAsia="en-ZA"/>
              </w:rPr>
            </w:pPr>
            <w:r w:rsidRPr="005E122B">
              <w:rPr>
                <w:rFonts w:eastAsia="Times New Roman" w:cstheme="minorHAnsi"/>
                <w:b/>
                <w:bCs/>
                <w:color w:val="000000" w:themeColor="text1"/>
                <w:kern w:val="24"/>
                <w:lang w:eastAsia="en-ZA"/>
              </w:rPr>
              <w:t>Year to Date</w:t>
            </w:r>
          </w:p>
        </w:tc>
        <w:tc>
          <w:tcPr>
            <w:tcW w:w="1423" w:type="dxa"/>
            <w:vMerge/>
            <w:hideMark/>
          </w:tcPr>
          <w:p w:rsidR="005E122B" w:rsidRPr="005E122B" w:rsidRDefault="005E122B" w:rsidP="005E122B">
            <w:pPr>
              <w:rPr>
                <w:rFonts w:eastAsia="Times New Roman" w:cstheme="minorHAnsi"/>
                <w:lang w:eastAsia="en-ZA"/>
              </w:rPr>
            </w:pPr>
          </w:p>
        </w:tc>
      </w:tr>
      <w:tr w:rsidR="005E122B" w:rsidRPr="00465EE6" w:rsidTr="00465EE6">
        <w:trPr>
          <w:trHeight w:val="576"/>
        </w:trPr>
        <w:tc>
          <w:tcPr>
            <w:tcW w:w="2417" w:type="dxa"/>
            <w:hideMark/>
          </w:tcPr>
          <w:p w:rsidR="005E122B" w:rsidRPr="005E122B" w:rsidRDefault="005E122B" w:rsidP="005E122B">
            <w:pPr>
              <w:rPr>
                <w:rFonts w:eastAsia="Times New Roman" w:cstheme="minorHAnsi"/>
                <w:lang w:eastAsia="en-ZA"/>
              </w:rPr>
            </w:pPr>
          </w:p>
        </w:tc>
        <w:tc>
          <w:tcPr>
            <w:tcW w:w="1290" w:type="dxa"/>
            <w:hideMark/>
          </w:tcPr>
          <w:p w:rsidR="005E122B" w:rsidRPr="005E122B" w:rsidRDefault="005E122B" w:rsidP="005E122B">
            <w:pPr>
              <w:rPr>
                <w:rFonts w:eastAsia="Times New Roman" w:cstheme="minorHAnsi"/>
                <w:lang w:eastAsia="en-ZA"/>
              </w:rPr>
            </w:pPr>
            <w:r w:rsidRPr="005E122B">
              <w:rPr>
                <w:rFonts w:eastAsia="Times New Roman" w:cstheme="minorHAnsi"/>
                <w:b/>
                <w:bCs/>
                <w:color w:val="000000" w:themeColor="text1"/>
                <w:kern w:val="24"/>
                <w:lang w:eastAsia="en-ZA"/>
              </w:rPr>
              <w:t>Amount</w:t>
            </w:r>
          </w:p>
          <w:p w:rsidR="005E122B" w:rsidRPr="005E122B" w:rsidRDefault="005E122B" w:rsidP="005E122B">
            <w:pPr>
              <w:rPr>
                <w:rFonts w:eastAsia="Times New Roman" w:cstheme="minorHAnsi"/>
                <w:lang w:eastAsia="en-ZA"/>
              </w:rPr>
            </w:pPr>
            <w:r w:rsidRPr="005E122B">
              <w:rPr>
                <w:rFonts w:eastAsia="Times New Roman" w:cstheme="minorHAnsi"/>
                <w:b/>
                <w:bCs/>
                <w:color w:val="000000" w:themeColor="text1"/>
                <w:kern w:val="24"/>
                <w:lang w:eastAsia="en-ZA"/>
              </w:rPr>
              <w:t>R’000</w:t>
            </w:r>
          </w:p>
        </w:tc>
        <w:tc>
          <w:tcPr>
            <w:tcW w:w="856" w:type="dxa"/>
            <w:hideMark/>
          </w:tcPr>
          <w:p w:rsidR="005E122B" w:rsidRPr="005E122B" w:rsidRDefault="005E122B" w:rsidP="005E122B">
            <w:pPr>
              <w:rPr>
                <w:rFonts w:eastAsia="Times New Roman" w:cstheme="minorHAnsi"/>
                <w:lang w:eastAsia="en-ZA"/>
              </w:rPr>
            </w:pPr>
            <w:r w:rsidRPr="005E122B">
              <w:rPr>
                <w:rFonts w:eastAsia="Times New Roman" w:cstheme="minorHAnsi"/>
                <w:b/>
                <w:bCs/>
                <w:color w:val="000000" w:themeColor="text1"/>
                <w:kern w:val="24"/>
                <w:lang w:eastAsia="en-ZA"/>
              </w:rPr>
              <w:t>%</w:t>
            </w:r>
          </w:p>
        </w:tc>
        <w:tc>
          <w:tcPr>
            <w:tcW w:w="1285" w:type="dxa"/>
            <w:hideMark/>
          </w:tcPr>
          <w:p w:rsidR="005E122B" w:rsidRPr="005E122B" w:rsidRDefault="005E122B" w:rsidP="005E122B">
            <w:pPr>
              <w:rPr>
                <w:rFonts w:eastAsia="Times New Roman" w:cstheme="minorHAnsi"/>
                <w:lang w:eastAsia="en-ZA"/>
              </w:rPr>
            </w:pPr>
            <w:r w:rsidRPr="005E122B">
              <w:rPr>
                <w:rFonts w:eastAsia="Times New Roman" w:cstheme="minorHAnsi"/>
                <w:b/>
                <w:bCs/>
                <w:color w:val="000000" w:themeColor="text1"/>
                <w:kern w:val="24"/>
                <w:lang w:eastAsia="en-ZA"/>
              </w:rPr>
              <w:t>Amount</w:t>
            </w:r>
          </w:p>
          <w:p w:rsidR="005E122B" w:rsidRPr="005E122B" w:rsidRDefault="005E122B" w:rsidP="005E122B">
            <w:pPr>
              <w:rPr>
                <w:rFonts w:eastAsia="Times New Roman" w:cstheme="minorHAnsi"/>
                <w:lang w:eastAsia="en-ZA"/>
              </w:rPr>
            </w:pPr>
            <w:r w:rsidRPr="005E122B">
              <w:rPr>
                <w:rFonts w:eastAsia="Times New Roman" w:cstheme="minorHAnsi"/>
                <w:b/>
                <w:bCs/>
                <w:color w:val="000000" w:themeColor="text1"/>
                <w:kern w:val="24"/>
                <w:lang w:eastAsia="en-ZA"/>
              </w:rPr>
              <w:t>R’000</w:t>
            </w:r>
          </w:p>
        </w:tc>
        <w:tc>
          <w:tcPr>
            <w:tcW w:w="714" w:type="dxa"/>
            <w:hideMark/>
          </w:tcPr>
          <w:p w:rsidR="005E122B" w:rsidRPr="005E122B" w:rsidRDefault="005E122B" w:rsidP="005E122B">
            <w:pPr>
              <w:rPr>
                <w:rFonts w:eastAsia="Times New Roman" w:cstheme="minorHAnsi"/>
                <w:lang w:eastAsia="en-ZA"/>
              </w:rPr>
            </w:pPr>
            <w:r w:rsidRPr="005E122B">
              <w:rPr>
                <w:rFonts w:eastAsia="Times New Roman" w:cstheme="minorHAnsi"/>
                <w:b/>
                <w:bCs/>
                <w:color w:val="000000" w:themeColor="text1"/>
                <w:kern w:val="24"/>
                <w:lang w:eastAsia="en-ZA"/>
              </w:rPr>
              <w:t>%</w:t>
            </w:r>
          </w:p>
        </w:tc>
        <w:tc>
          <w:tcPr>
            <w:tcW w:w="1285" w:type="dxa"/>
            <w:hideMark/>
          </w:tcPr>
          <w:p w:rsidR="005E122B" w:rsidRPr="005E122B" w:rsidRDefault="005E122B" w:rsidP="005E122B">
            <w:pPr>
              <w:rPr>
                <w:rFonts w:eastAsia="Times New Roman" w:cstheme="minorHAnsi"/>
                <w:lang w:eastAsia="en-ZA"/>
              </w:rPr>
            </w:pPr>
            <w:r w:rsidRPr="005E122B">
              <w:rPr>
                <w:rFonts w:eastAsia="Times New Roman" w:cstheme="minorHAnsi"/>
                <w:b/>
                <w:bCs/>
                <w:color w:val="000000" w:themeColor="text1"/>
                <w:kern w:val="24"/>
                <w:lang w:eastAsia="en-ZA"/>
              </w:rPr>
              <w:t>Amount</w:t>
            </w:r>
          </w:p>
          <w:p w:rsidR="005E122B" w:rsidRPr="005E122B" w:rsidRDefault="005E122B" w:rsidP="005E122B">
            <w:pPr>
              <w:rPr>
                <w:rFonts w:eastAsia="Times New Roman" w:cstheme="minorHAnsi"/>
                <w:lang w:eastAsia="en-ZA"/>
              </w:rPr>
            </w:pPr>
            <w:r w:rsidRPr="005E122B">
              <w:rPr>
                <w:rFonts w:eastAsia="Times New Roman" w:cstheme="minorHAnsi"/>
                <w:b/>
                <w:bCs/>
                <w:color w:val="000000" w:themeColor="text1"/>
                <w:kern w:val="24"/>
                <w:lang w:eastAsia="en-ZA"/>
              </w:rPr>
              <w:t>R’000</w:t>
            </w:r>
          </w:p>
        </w:tc>
        <w:tc>
          <w:tcPr>
            <w:tcW w:w="856" w:type="dxa"/>
            <w:hideMark/>
          </w:tcPr>
          <w:p w:rsidR="005E122B" w:rsidRPr="005E122B" w:rsidRDefault="005E122B" w:rsidP="005E122B">
            <w:pPr>
              <w:rPr>
                <w:rFonts w:eastAsia="Times New Roman" w:cstheme="minorHAnsi"/>
                <w:lang w:eastAsia="en-ZA"/>
              </w:rPr>
            </w:pPr>
            <w:r w:rsidRPr="005E122B">
              <w:rPr>
                <w:rFonts w:eastAsia="Times New Roman" w:cstheme="minorHAnsi"/>
                <w:b/>
                <w:bCs/>
                <w:color w:val="000000" w:themeColor="text1"/>
                <w:kern w:val="24"/>
                <w:lang w:eastAsia="en-ZA"/>
              </w:rPr>
              <w:t>%</w:t>
            </w:r>
          </w:p>
        </w:tc>
        <w:tc>
          <w:tcPr>
            <w:tcW w:w="1423" w:type="dxa"/>
            <w:vMerge/>
            <w:hideMark/>
          </w:tcPr>
          <w:p w:rsidR="005E122B" w:rsidRPr="005E122B" w:rsidRDefault="005E122B" w:rsidP="005E122B">
            <w:pPr>
              <w:rPr>
                <w:rFonts w:eastAsia="Times New Roman" w:cstheme="minorHAnsi"/>
                <w:lang w:eastAsia="en-ZA"/>
              </w:rPr>
            </w:pPr>
          </w:p>
        </w:tc>
      </w:tr>
      <w:tr w:rsidR="005E122B" w:rsidRPr="00465EE6" w:rsidTr="00465EE6">
        <w:trPr>
          <w:cnfStyle w:val="000000100000"/>
          <w:trHeight w:val="455"/>
        </w:trPr>
        <w:tc>
          <w:tcPr>
            <w:tcW w:w="2417" w:type="dxa"/>
            <w:hideMark/>
          </w:tcPr>
          <w:p w:rsidR="005E122B" w:rsidRPr="005E122B" w:rsidRDefault="005E122B" w:rsidP="005E122B">
            <w:pPr>
              <w:textAlignment w:val="bottom"/>
              <w:rPr>
                <w:rFonts w:eastAsia="Times New Roman" w:cstheme="minorHAnsi"/>
                <w:lang w:eastAsia="en-ZA"/>
              </w:rPr>
            </w:pPr>
            <w:r w:rsidRPr="005E122B">
              <w:rPr>
                <w:rFonts w:eastAsia="Times New Roman" w:cstheme="minorHAnsi"/>
                <w:color w:val="000000"/>
                <w:kern w:val="24"/>
                <w:lang w:val="en-US" w:eastAsia="en-ZA"/>
              </w:rPr>
              <w:t>Strategic Leadership &amp; Governance</w:t>
            </w:r>
          </w:p>
        </w:tc>
        <w:tc>
          <w:tcPr>
            <w:tcW w:w="1290" w:type="dxa"/>
            <w:hideMark/>
          </w:tcPr>
          <w:p w:rsidR="005E122B" w:rsidRPr="005E122B" w:rsidRDefault="005E122B" w:rsidP="005E122B">
            <w:pPr>
              <w:jc w:val="right"/>
              <w:textAlignment w:val="center"/>
              <w:rPr>
                <w:rFonts w:eastAsia="Times New Roman" w:cstheme="minorHAnsi"/>
                <w:lang w:eastAsia="en-ZA"/>
              </w:rPr>
            </w:pPr>
            <w:r w:rsidRPr="005E122B">
              <w:rPr>
                <w:rFonts w:eastAsiaTheme="minorEastAsia" w:cstheme="minorHAnsi"/>
                <w:color w:val="000000"/>
                <w:kern w:val="24"/>
                <w:lang w:val="en-US" w:eastAsia="en-ZA"/>
              </w:rPr>
              <w:t>21,079</w:t>
            </w:r>
          </w:p>
        </w:tc>
        <w:tc>
          <w:tcPr>
            <w:tcW w:w="856" w:type="dxa"/>
            <w:hideMark/>
          </w:tcPr>
          <w:p w:rsidR="005E122B" w:rsidRPr="005E122B" w:rsidRDefault="005E122B" w:rsidP="005E122B">
            <w:pPr>
              <w:jc w:val="right"/>
              <w:textAlignment w:val="center"/>
              <w:rPr>
                <w:rFonts w:eastAsia="Times New Roman" w:cstheme="minorHAnsi"/>
                <w:lang w:eastAsia="en-ZA"/>
              </w:rPr>
            </w:pPr>
            <w:r w:rsidRPr="005E122B">
              <w:rPr>
                <w:rFonts w:eastAsiaTheme="minorEastAsia" w:cstheme="minorHAnsi"/>
                <w:color w:val="000000"/>
                <w:kern w:val="24"/>
                <w:lang w:val="en-US" w:eastAsia="en-ZA"/>
              </w:rPr>
              <w:t>19%</w:t>
            </w:r>
          </w:p>
        </w:tc>
        <w:tc>
          <w:tcPr>
            <w:tcW w:w="1285" w:type="dxa"/>
            <w:hideMark/>
          </w:tcPr>
          <w:p w:rsidR="005E122B" w:rsidRPr="005E122B" w:rsidRDefault="005E122B" w:rsidP="005E122B">
            <w:pPr>
              <w:jc w:val="right"/>
              <w:textAlignment w:val="center"/>
              <w:rPr>
                <w:rFonts w:eastAsia="Times New Roman" w:cstheme="minorHAnsi"/>
                <w:lang w:eastAsia="en-ZA"/>
              </w:rPr>
            </w:pPr>
            <w:r w:rsidRPr="005E122B">
              <w:rPr>
                <w:rFonts w:eastAsiaTheme="minorEastAsia" w:cstheme="minorHAnsi"/>
                <w:color w:val="000000"/>
                <w:kern w:val="24"/>
                <w:lang w:val="en-US" w:eastAsia="en-ZA"/>
              </w:rPr>
              <w:t>22,023</w:t>
            </w:r>
          </w:p>
        </w:tc>
        <w:tc>
          <w:tcPr>
            <w:tcW w:w="714" w:type="dxa"/>
            <w:hideMark/>
          </w:tcPr>
          <w:p w:rsidR="005E122B" w:rsidRPr="005E122B" w:rsidRDefault="005E122B" w:rsidP="005E122B">
            <w:pPr>
              <w:jc w:val="right"/>
              <w:textAlignment w:val="center"/>
              <w:rPr>
                <w:rFonts w:eastAsia="Times New Roman" w:cstheme="minorHAnsi"/>
                <w:lang w:eastAsia="en-ZA"/>
              </w:rPr>
            </w:pPr>
            <w:r w:rsidRPr="005E122B">
              <w:rPr>
                <w:rFonts w:eastAsiaTheme="minorEastAsia" w:cstheme="minorHAnsi"/>
                <w:color w:val="000000"/>
                <w:kern w:val="24"/>
                <w:lang w:val="en-US" w:eastAsia="en-ZA"/>
              </w:rPr>
              <w:t>20%</w:t>
            </w:r>
          </w:p>
        </w:tc>
        <w:tc>
          <w:tcPr>
            <w:tcW w:w="1285" w:type="dxa"/>
            <w:hideMark/>
          </w:tcPr>
          <w:p w:rsidR="005E122B" w:rsidRPr="005E122B" w:rsidRDefault="005E122B" w:rsidP="005E122B">
            <w:pPr>
              <w:jc w:val="right"/>
              <w:textAlignment w:val="center"/>
              <w:rPr>
                <w:rFonts w:eastAsia="Times New Roman" w:cstheme="minorHAnsi"/>
                <w:lang w:eastAsia="en-ZA"/>
              </w:rPr>
            </w:pPr>
            <w:r w:rsidRPr="005E122B">
              <w:rPr>
                <w:rFonts w:eastAsiaTheme="minorEastAsia" w:cstheme="minorHAnsi"/>
                <w:color w:val="000000"/>
                <w:kern w:val="24"/>
                <w:lang w:val="en-US" w:eastAsia="en-ZA"/>
              </w:rPr>
              <w:t>43,102</w:t>
            </w:r>
          </w:p>
        </w:tc>
        <w:tc>
          <w:tcPr>
            <w:tcW w:w="856" w:type="dxa"/>
            <w:hideMark/>
          </w:tcPr>
          <w:p w:rsidR="005E122B" w:rsidRPr="005E122B" w:rsidRDefault="005E122B" w:rsidP="005E122B">
            <w:pPr>
              <w:jc w:val="right"/>
              <w:textAlignment w:val="center"/>
              <w:rPr>
                <w:rFonts w:eastAsia="Times New Roman" w:cstheme="minorHAnsi"/>
                <w:lang w:eastAsia="en-ZA"/>
              </w:rPr>
            </w:pPr>
            <w:r w:rsidRPr="005E122B">
              <w:rPr>
                <w:rFonts w:eastAsiaTheme="minorEastAsia" w:cstheme="minorHAnsi"/>
                <w:color w:val="000000"/>
                <w:kern w:val="24"/>
                <w:lang w:val="en-US" w:eastAsia="en-ZA"/>
              </w:rPr>
              <w:t>38%</w:t>
            </w:r>
          </w:p>
        </w:tc>
        <w:tc>
          <w:tcPr>
            <w:tcW w:w="1423" w:type="dxa"/>
            <w:hideMark/>
          </w:tcPr>
          <w:p w:rsidR="005E122B" w:rsidRPr="005E122B" w:rsidRDefault="005E122B" w:rsidP="005E122B">
            <w:pPr>
              <w:jc w:val="right"/>
              <w:textAlignment w:val="center"/>
              <w:rPr>
                <w:rFonts w:eastAsia="Times New Roman" w:cstheme="minorHAnsi"/>
                <w:lang w:eastAsia="en-ZA"/>
              </w:rPr>
            </w:pPr>
            <w:r w:rsidRPr="005E122B">
              <w:rPr>
                <w:rFonts w:eastAsiaTheme="minorEastAsia" w:cstheme="minorHAnsi"/>
                <w:color w:val="000000"/>
                <w:kern w:val="24"/>
                <w:lang w:val="en-US" w:eastAsia="en-ZA"/>
              </w:rPr>
              <w:t>112,216</w:t>
            </w:r>
          </w:p>
        </w:tc>
      </w:tr>
      <w:tr w:rsidR="005E122B" w:rsidRPr="00465EE6" w:rsidTr="00465EE6">
        <w:trPr>
          <w:trHeight w:val="455"/>
        </w:trPr>
        <w:tc>
          <w:tcPr>
            <w:tcW w:w="2417" w:type="dxa"/>
            <w:hideMark/>
          </w:tcPr>
          <w:p w:rsidR="005E122B" w:rsidRPr="005E122B" w:rsidRDefault="005E122B" w:rsidP="005E122B">
            <w:pPr>
              <w:textAlignment w:val="bottom"/>
              <w:rPr>
                <w:rFonts w:eastAsia="Times New Roman" w:cstheme="minorHAnsi"/>
                <w:lang w:eastAsia="en-ZA"/>
              </w:rPr>
            </w:pPr>
            <w:r w:rsidRPr="005E122B">
              <w:rPr>
                <w:rFonts w:eastAsia="Times New Roman" w:cstheme="minorHAnsi"/>
                <w:color w:val="000000"/>
                <w:kern w:val="24"/>
                <w:lang w:val="en-US" w:eastAsia="en-ZA"/>
              </w:rPr>
              <w:t>Administration</w:t>
            </w:r>
          </w:p>
        </w:tc>
        <w:tc>
          <w:tcPr>
            <w:tcW w:w="1290" w:type="dxa"/>
            <w:hideMark/>
          </w:tcPr>
          <w:p w:rsidR="005E122B" w:rsidRPr="005E122B" w:rsidRDefault="005E122B" w:rsidP="005E122B">
            <w:pPr>
              <w:jc w:val="right"/>
              <w:textAlignment w:val="center"/>
              <w:rPr>
                <w:rFonts w:eastAsia="Times New Roman" w:cstheme="minorHAnsi"/>
                <w:lang w:eastAsia="en-ZA"/>
              </w:rPr>
            </w:pPr>
            <w:r w:rsidRPr="005E122B">
              <w:rPr>
                <w:rFonts w:eastAsia="Times New Roman" w:cstheme="minorHAnsi"/>
                <w:color w:val="000000"/>
                <w:kern w:val="24"/>
                <w:lang w:val="en-US" w:eastAsia="en-ZA"/>
              </w:rPr>
              <w:t>29,530</w:t>
            </w:r>
          </w:p>
        </w:tc>
        <w:tc>
          <w:tcPr>
            <w:tcW w:w="856"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color w:val="000000"/>
                <w:kern w:val="24"/>
                <w:lang w:val="en-US" w:eastAsia="en-ZA"/>
              </w:rPr>
              <w:t>17%</w:t>
            </w:r>
          </w:p>
        </w:tc>
        <w:tc>
          <w:tcPr>
            <w:tcW w:w="1285" w:type="dxa"/>
            <w:hideMark/>
          </w:tcPr>
          <w:p w:rsidR="005E122B" w:rsidRPr="005E122B" w:rsidRDefault="005E122B" w:rsidP="005E122B">
            <w:pPr>
              <w:jc w:val="right"/>
              <w:textAlignment w:val="center"/>
              <w:rPr>
                <w:rFonts w:eastAsia="Times New Roman" w:cstheme="minorHAnsi"/>
                <w:lang w:eastAsia="en-ZA"/>
              </w:rPr>
            </w:pPr>
            <w:r w:rsidRPr="005E122B">
              <w:rPr>
                <w:rFonts w:eastAsia="Times New Roman" w:cstheme="minorHAnsi"/>
                <w:color w:val="000000"/>
                <w:kern w:val="24"/>
                <w:lang w:val="en-US" w:eastAsia="en-ZA"/>
              </w:rPr>
              <w:t>33,912</w:t>
            </w:r>
          </w:p>
        </w:tc>
        <w:tc>
          <w:tcPr>
            <w:tcW w:w="714"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color w:val="000000"/>
                <w:kern w:val="24"/>
                <w:lang w:val="en-US" w:eastAsia="en-ZA"/>
              </w:rPr>
              <w:t>19%</w:t>
            </w:r>
          </w:p>
        </w:tc>
        <w:tc>
          <w:tcPr>
            <w:tcW w:w="1285"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color w:val="000000"/>
                <w:kern w:val="24"/>
                <w:lang w:val="en-US" w:eastAsia="en-ZA"/>
              </w:rPr>
              <w:t>63,442</w:t>
            </w:r>
          </w:p>
        </w:tc>
        <w:tc>
          <w:tcPr>
            <w:tcW w:w="856"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color w:val="000000"/>
                <w:kern w:val="24"/>
                <w:lang w:val="en-US" w:eastAsia="en-ZA"/>
              </w:rPr>
              <w:t>36%</w:t>
            </w:r>
          </w:p>
        </w:tc>
        <w:tc>
          <w:tcPr>
            <w:tcW w:w="1423" w:type="dxa"/>
            <w:hideMark/>
          </w:tcPr>
          <w:p w:rsidR="005E122B" w:rsidRPr="005E122B" w:rsidRDefault="005E122B" w:rsidP="005E122B">
            <w:pPr>
              <w:jc w:val="right"/>
              <w:textAlignment w:val="center"/>
              <w:rPr>
                <w:rFonts w:eastAsia="Times New Roman" w:cstheme="minorHAnsi"/>
                <w:lang w:eastAsia="en-ZA"/>
              </w:rPr>
            </w:pPr>
            <w:r w:rsidRPr="005E122B">
              <w:rPr>
                <w:rFonts w:eastAsia="Times New Roman" w:cstheme="minorHAnsi"/>
                <w:color w:val="000000"/>
                <w:kern w:val="24"/>
                <w:lang w:val="en-US" w:eastAsia="en-ZA"/>
              </w:rPr>
              <w:t>176,619</w:t>
            </w:r>
          </w:p>
        </w:tc>
      </w:tr>
      <w:tr w:rsidR="005E122B" w:rsidRPr="00465EE6" w:rsidTr="00465EE6">
        <w:trPr>
          <w:cnfStyle w:val="000000100000"/>
          <w:trHeight w:val="455"/>
        </w:trPr>
        <w:tc>
          <w:tcPr>
            <w:tcW w:w="2417" w:type="dxa"/>
            <w:hideMark/>
          </w:tcPr>
          <w:p w:rsidR="005E122B" w:rsidRPr="005E122B" w:rsidRDefault="005E122B" w:rsidP="005E122B">
            <w:pPr>
              <w:textAlignment w:val="bottom"/>
              <w:rPr>
                <w:rFonts w:eastAsia="Times New Roman" w:cstheme="minorHAnsi"/>
                <w:lang w:eastAsia="en-ZA"/>
              </w:rPr>
            </w:pPr>
            <w:r w:rsidRPr="005E122B">
              <w:rPr>
                <w:rFonts w:eastAsia="Times New Roman" w:cstheme="minorHAnsi"/>
                <w:color w:val="000000"/>
                <w:kern w:val="24"/>
                <w:lang w:val="en-US" w:eastAsia="en-ZA"/>
              </w:rPr>
              <w:t>Core Business</w:t>
            </w:r>
          </w:p>
        </w:tc>
        <w:tc>
          <w:tcPr>
            <w:tcW w:w="1290" w:type="dxa"/>
            <w:hideMark/>
          </w:tcPr>
          <w:p w:rsidR="005E122B" w:rsidRPr="005E122B" w:rsidRDefault="005E122B" w:rsidP="005E122B">
            <w:pPr>
              <w:jc w:val="right"/>
              <w:textAlignment w:val="center"/>
              <w:rPr>
                <w:rFonts w:eastAsia="Times New Roman" w:cstheme="minorHAnsi"/>
                <w:lang w:eastAsia="en-ZA"/>
              </w:rPr>
            </w:pPr>
            <w:r w:rsidRPr="005E122B">
              <w:rPr>
                <w:rFonts w:eastAsia="Times New Roman" w:cstheme="minorHAnsi"/>
                <w:color w:val="000000"/>
                <w:kern w:val="24"/>
                <w:lang w:val="en-US" w:eastAsia="en-ZA"/>
              </w:rPr>
              <w:t>126,371</w:t>
            </w:r>
          </w:p>
        </w:tc>
        <w:tc>
          <w:tcPr>
            <w:tcW w:w="856"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color w:val="000000"/>
                <w:kern w:val="24"/>
                <w:lang w:val="en-US" w:eastAsia="en-ZA"/>
              </w:rPr>
              <w:t>18%</w:t>
            </w:r>
          </w:p>
        </w:tc>
        <w:tc>
          <w:tcPr>
            <w:tcW w:w="1285" w:type="dxa"/>
            <w:hideMark/>
          </w:tcPr>
          <w:p w:rsidR="005E122B" w:rsidRPr="005E122B" w:rsidRDefault="005E122B" w:rsidP="005E122B">
            <w:pPr>
              <w:jc w:val="right"/>
              <w:textAlignment w:val="center"/>
              <w:rPr>
                <w:rFonts w:eastAsia="Times New Roman" w:cstheme="minorHAnsi"/>
                <w:lang w:eastAsia="en-ZA"/>
              </w:rPr>
            </w:pPr>
            <w:r w:rsidRPr="005E122B">
              <w:rPr>
                <w:rFonts w:eastAsia="Times New Roman" w:cstheme="minorHAnsi"/>
                <w:color w:val="000000"/>
                <w:kern w:val="24"/>
                <w:lang w:val="en-US" w:eastAsia="en-ZA"/>
              </w:rPr>
              <w:t>129,588</w:t>
            </w:r>
          </w:p>
        </w:tc>
        <w:tc>
          <w:tcPr>
            <w:tcW w:w="714"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color w:val="000000"/>
                <w:kern w:val="24"/>
                <w:lang w:val="en-US" w:eastAsia="en-ZA"/>
              </w:rPr>
              <w:t>18%</w:t>
            </w:r>
          </w:p>
        </w:tc>
        <w:tc>
          <w:tcPr>
            <w:tcW w:w="1285"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color w:val="000000"/>
                <w:kern w:val="24"/>
                <w:lang w:val="en-US" w:eastAsia="en-ZA"/>
              </w:rPr>
              <w:t>255,959</w:t>
            </w:r>
          </w:p>
        </w:tc>
        <w:tc>
          <w:tcPr>
            <w:tcW w:w="856"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color w:val="000000"/>
                <w:kern w:val="24"/>
                <w:lang w:val="en-US" w:eastAsia="en-ZA"/>
              </w:rPr>
              <w:t>36%</w:t>
            </w:r>
          </w:p>
        </w:tc>
        <w:tc>
          <w:tcPr>
            <w:tcW w:w="1423" w:type="dxa"/>
            <w:hideMark/>
          </w:tcPr>
          <w:p w:rsidR="005E122B" w:rsidRPr="005E122B" w:rsidRDefault="005E122B" w:rsidP="005E122B">
            <w:pPr>
              <w:jc w:val="right"/>
              <w:textAlignment w:val="center"/>
              <w:rPr>
                <w:rFonts w:eastAsia="Times New Roman" w:cstheme="minorHAnsi"/>
                <w:lang w:eastAsia="en-ZA"/>
              </w:rPr>
            </w:pPr>
            <w:r w:rsidRPr="005E122B">
              <w:rPr>
                <w:rFonts w:eastAsia="Times New Roman" w:cstheme="minorHAnsi"/>
                <w:color w:val="000000"/>
                <w:kern w:val="24"/>
                <w:lang w:val="en-US" w:eastAsia="en-ZA"/>
              </w:rPr>
              <w:t>709,882</w:t>
            </w:r>
          </w:p>
        </w:tc>
      </w:tr>
      <w:tr w:rsidR="005E122B" w:rsidRPr="00465EE6" w:rsidTr="00465EE6">
        <w:trPr>
          <w:trHeight w:val="455"/>
        </w:trPr>
        <w:tc>
          <w:tcPr>
            <w:tcW w:w="2417" w:type="dxa"/>
            <w:hideMark/>
          </w:tcPr>
          <w:p w:rsidR="005E122B" w:rsidRPr="005E122B" w:rsidRDefault="005E122B" w:rsidP="005E122B">
            <w:pPr>
              <w:textAlignment w:val="bottom"/>
              <w:rPr>
                <w:rFonts w:eastAsia="Times New Roman" w:cstheme="minorHAnsi"/>
                <w:lang w:eastAsia="en-ZA"/>
              </w:rPr>
            </w:pPr>
            <w:r w:rsidRPr="005E122B">
              <w:rPr>
                <w:rFonts w:eastAsia="Times New Roman" w:cstheme="minorHAnsi"/>
                <w:color w:val="000000"/>
                <w:kern w:val="24"/>
                <w:lang w:val="en-US" w:eastAsia="en-ZA"/>
              </w:rPr>
              <w:t>Support</w:t>
            </w:r>
          </w:p>
        </w:tc>
        <w:tc>
          <w:tcPr>
            <w:tcW w:w="1290" w:type="dxa"/>
            <w:hideMark/>
          </w:tcPr>
          <w:p w:rsidR="005E122B" w:rsidRPr="005E122B" w:rsidRDefault="005E122B" w:rsidP="005E122B">
            <w:pPr>
              <w:jc w:val="right"/>
              <w:textAlignment w:val="center"/>
              <w:rPr>
                <w:rFonts w:eastAsia="Times New Roman" w:cstheme="minorHAnsi"/>
                <w:lang w:eastAsia="en-ZA"/>
              </w:rPr>
            </w:pPr>
            <w:r w:rsidRPr="005E122B">
              <w:rPr>
                <w:rFonts w:eastAsia="Times New Roman" w:cstheme="minorHAnsi"/>
                <w:color w:val="000000"/>
                <w:kern w:val="24"/>
                <w:lang w:val="en-US" w:eastAsia="en-ZA"/>
              </w:rPr>
              <w:t>86,426</w:t>
            </w:r>
          </w:p>
        </w:tc>
        <w:tc>
          <w:tcPr>
            <w:tcW w:w="856"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color w:val="000000"/>
                <w:kern w:val="24"/>
                <w:lang w:val="en-US" w:eastAsia="en-ZA"/>
              </w:rPr>
              <w:t>18%</w:t>
            </w:r>
          </w:p>
        </w:tc>
        <w:tc>
          <w:tcPr>
            <w:tcW w:w="1285" w:type="dxa"/>
            <w:hideMark/>
          </w:tcPr>
          <w:p w:rsidR="005E122B" w:rsidRPr="005E122B" w:rsidRDefault="005E122B" w:rsidP="005E122B">
            <w:pPr>
              <w:jc w:val="right"/>
              <w:textAlignment w:val="center"/>
              <w:rPr>
                <w:rFonts w:eastAsia="Times New Roman" w:cstheme="minorHAnsi"/>
                <w:lang w:eastAsia="en-ZA"/>
              </w:rPr>
            </w:pPr>
            <w:r w:rsidRPr="005E122B">
              <w:rPr>
                <w:rFonts w:eastAsia="Times New Roman" w:cstheme="minorHAnsi"/>
                <w:color w:val="000000"/>
                <w:kern w:val="24"/>
                <w:lang w:val="en-US" w:eastAsia="en-ZA"/>
              </w:rPr>
              <w:t>90,449</w:t>
            </w:r>
          </w:p>
        </w:tc>
        <w:tc>
          <w:tcPr>
            <w:tcW w:w="714"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color w:val="000000"/>
                <w:kern w:val="24"/>
                <w:lang w:val="en-US" w:eastAsia="en-ZA"/>
              </w:rPr>
              <w:t>19%</w:t>
            </w:r>
          </w:p>
        </w:tc>
        <w:tc>
          <w:tcPr>
            <w:tcW w:w="1285"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color w:val="000000"/>
                <w:kern w:val="24"/>
                <w:lang w:val="en-US" w:eastAsia="en-ZA"/>
              </w:rPr>
              <w:t>176,875</w:t>
            </w:r>
          </w:p>
        </w:tc>
        <w:tc>
          <w:tcPr>
            <w:tcW w:w="856"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color w:val="000000"/>
                <w:kern w:val="24"/>
                <w:lang w:val="en-US" w:eastAsia="en-ZA"/>
              </w:rPr>
              <w:t>37%</w:t>
            </w:r>
          </w:p>
        </w:tc>
        <w:tc>
          <w:tcPr>
            <w:tcW w:w="1423" w:type="dxa"/>
            <w:hideMark/>
          </w:tcPr>
          <w:p w:rsidR="005E122B" w:rsidRPr="005E122B" w:rsidRDefault="005E122B" w:rsidP="005E122B">
            <w:pPr>
              <w:jc w:val="right"/>
              <w:textAlignment w:val="center"/>
              <w:rPr>
                <w:rFonts w:eastAsia="Times New Roman" w:cstheme="minorHAnsi"/>
                <w:lang w:eastAsia="en-ZA"/>
              </w:rPr>
            </w:pPr>
            <w:r w:rsidRPr="005E122B">
              <w:rPr>
                <w:rFonts w:eastAsia="Times New Roman" w:cstheme="minorHAnsi"/>
                <w:color w:val="000000"/>
                <w:kern w:val="24"/>
                <w:lang w:val="en-US" w:eastAsia="en-ZA"/>
              </w:rPr>
              <w:t>479,358</w:t>
            </w:r>
          </w:p>
        </w:tc>
      </w:tr>
      <w:tr w:rsidR="005E122B" w:rsidRPr="00465EE6" w:rsidTr="00465EE6">
        <w:trPr>
          <w:cnfStyle w:val="000000100000"/>
          <w:trHeight w:val="455"/>
        </w:trPr>
        <w:tc>
          <w:tcPr>
            <w:tcW w:w="2417" w:type="dxa"/>
            <w:hideMark/>
          </w:tcPr>
          <w:p w:rsidR="005E122B" w:rsidRPr="005E122B" w:rsidRDefault="005E122B" w:rsidP="005E122B">
            <w:pPr>
              <w:textAlignment w:val="bottom"/>
              <w:rPr>
                <w:rFonts w:eastAsia="Times New Roman" w:cstheme="minorHAnsi"/>
                <w:lang w:eastAsia="en-ZA"/>
              </w:rPr>
            </w:pPr>
            <w:r w:rsidRPr="005E122B">
              <w:rPr>
                <w:rFonts w:eastAsia="Times New Roman" w:cstheme="minorHAnsi"/>
                <w:color w:val="000000"/>
                <w:kern w:val="24"/>
                <w:lang w:val="en-US" w:eastAsia="en-ZA"/>
              </w:rPr>
              <w:t>Associated Services</w:t>
            </w:r>
          </w:p>
        </w:tc>
        <w:tc>
          <w:tcPr>
            <w:tcW w:w="1290" w:type="dxa"/>
            <w:hideMark/>
          </w:tcPr>
          <w:p w:rsidR="005E122B" w:rsidRPr="005E122B" w:rsidRDefault="005E122B" w:rsidP="005E122B">
            <w:pPr>
              <w:jc w:val="right"/>
              <w:textAlignment w:val="center"/>
              <w:rPr>
                <w:rFonts w:eastAsia="Times New Roman" w:cstheme="minorHAnsi"/>
                <w:lang w:eastAsia="en-ZA"/>
              </w:rPr>
            </w:pPr>
            <w:r w:rsidRPr="005E122B">
              <w:rPr>
                <w:rFonts w:eastAsia="Times New Roman" w:cstheme="minorHAnsi"/>
                <w:color w:val="000000"/>
                <w:kern w:val="24"/>
                <w:lang w:val="en-US" w:eastAsia="en-ZA"/>
              </w:rPr>
              <w:t>151,950</w:t>
            </w:r>
          </w:p>
        </w:tc>
        <w:tc>
          <w:tcPr>
            <w:tcW w:w="856"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color w:val="000000"/>
                <w:kern w:val="24"/>
                <w:lang w:val="en-US" w:eastAsia="en-ZA"/>
              </w:rPr>
              <w:t>21%</w:t>
            </w:r>
          </w:p>
        </w:tc>
        <w:tc>
          <w:tcPr>
            <w:tcW w:w="1285" w:type="dxa"/>
            <w:hideMark/>
          </w:tcPr>
          <w:p w:rsidR="005E122B" w:rsidRPr="005E122B" w:rsidRDefault="005E122B" w:rsidP="005E122B">
            <w:pPr>
              <w:jc w:val="right"/>
              <w:textAlignment w:val="center"/>
              <w:rPr>
                <w:rFonts w:eastAsia="Times New Roman" w:cstheme="minorHAnsi"/>
                <w:lang w:eastAsia="en-ZA"/>
              </w:rPr>
            </w:pPr>
            <w:r w:rsidRPr="005E122B">
              <w:rPr>
                <w:rFonts w:eastAsia="Times New Roman" w:cstheme="minorHAnsi"/>
                <w:color w:val="000000"/>
                <w:kern w:val="24"/>
                <w:lang w:val="en-US" w:eastAsia="en-ZA"/>
              </w:rPr>
              <w:t>159,803</w:t>
            </w:r>
          </w:p>
        </w:tc>
        <w:tc>
          <w:tcPr>
            <w:tcW w:w="714"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color w:val="000000"/>
                <w:kern w:val="24"/>
                <w:lang w:val="en-US" w:eastAsia="en-ZA"/>
              </w:rPr>
              <w:t>22%</w:t>
            </w:r>
          </w:p>
        </w:tc>
        <w:tc>
          <w:tcPr>
            <w:tcW w:w="1285"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color w:val="000000"/>
                <w:kern w:val="24"/>
                <w:lang w:val="en-US" w:eastAsia="en-ZA"/>
              </w:rPr>
              <w:t>311,753</w:t>
            </w:r>
          </w:p>
        </w:tc>
        <w:tc>
          <w:tcPr>
            <w:tcW w:w="856"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color w:val="000000"/>
                <w:kern w:val="24"/>
                <w:lang w:val="en-US" w:eastAsia="en-ZA"/>
              </w:rPr>
              <w:t>43%</w:t>
            </w:r>
          </w:p>
        </w:tc>
        <w:tc>
          <w:tcPr>
            <w:tcW w:w="1423" w:type="dxa"/>
            <w:hideMark/>
          </w:tcPr>
          <w:p w:rsidR="005E122B" w:rsidRPr="005E122B" w:rsidRDefault="005E122B" w:rsidP="005E122B">
            <w:pPr>
              <w:jc w:val="right"/>
              <w:textAlignment w:val="center"/>
              <w:rPr>
                <w:rFonts w:eastAsia="Times New Roman" w:cstheme="minorHAnsi"/>
                <w:lang w:eastAsia="en-ZA"/>
              </w:rPr>
            </w:pPr>
            <w:r w:rsidRPr="005E122B">
              <w:rPr>
                <w:rFonts w:eastAsia="Times New Roman" w:cstheme="minorHAnsi"/>
                <w:color w:val="000000"/>
                <w:kern w:val="24"/>
                <w:lang w:val="en-US" w:eastAsia="en-ZA"/>
              </w:rPr>
              <w:t>720,302</w:t>
            </w:r>
          </w:p>
        </w:tc>
      </w:tr>
      <w:tr w:rsidR="005E122B" w:rsidRPr="00465EE6" w:rsidTr="00465EE6">
        <w:trPr>
          <w:trHeight w:val="455"/>
        </w:trPr>
        <w:tc>
          <w:tcPr>
            <w:tcW w:w="2417" w:type="dxa"/>
            <w:hideMark/>
          </w:tcPr>
          <w:p w:rsidR="005E122B" w:rsidRPr="005E122B" w:rsidRDefault="005E122B" w:rsidP="005E122B">
            <w:pPr>
              <w:textAlignment w:val="bottom"/>
              <w:rPr>
                <w:rFonts w:eastAsia="Times New Roman" w:cstheme="minorHAnsi"/>
                <w:lang w:eastAsia="en-ZA"/>
              </w:rPr>
            </w:pPr>
            <w:r w:rsidRPr="005E122B">
              <w:rPr>
                <w:rFonts w:eastAsia="Times New Roman" w:cstheme="minorHAnsi"/>
                <w:b/>
                <w:bCs/>
                <w:color w:val="000000"/>
                <w:kern w:val="24"/>
                <w:lang w:val="en-US" w:eastAsia="en-ZA"/>
              </w:rPr>
              <w:t>Sub Total</w:t>
            </w:r>
          </w:p>
        </w:tc>
        <w:tc>
          <w:tcPr>
            <w:tcW w:w="1290" w:type="dxa"/>
            <w:hideMark/>
          </w:tcPr>
          <w:p w:rsidR="005E122B" w:rsidRPr="005E122B" w:rsidRDefault="005E122B" w:rsidP="005E122B">
            <w:pPr>
              <w:jc w:val="right"/>
              <w:textAlignment w:val="center"/>
              <w:rPr>
                <w:rFonts w:eastAsia="Times New Roman" w:cstheme="minorHAnsi"/>
                <w:lang w:eastAsia="en-ZA"/>
              </w:rPr>
            </w:pPr>
            <w:r w:rsidRPr="005E122B">
              <w:rPr>
                <w:rFonts w:eastAsia="Times New Roman" w:cstheme="minorHAnsi"/>
                <w:b/>
                <w:bCs/>
                <w:color w:val="000000"/>
                <w:kern w:val="24"/>
                <w:lang w:val="en-US" w:eastAsia="en-ZA"/>
              </w:rPr>
              <w:t>415,356</w:t>
            </w:r>
          </w:p>
        </w:tc>
        <w:tc>
          <w:tcPr>
            <w:tcW w:w="856"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b/>
                <w:bCs/>
                <w:color w:val="000000"/>
                <w:kern w:val="24"/>
                <w:lang w:val="en-US" w:eastAsia="en-ZA"/>
              </w:rPr>
              <w:t>19%</w:t>
            </w:r>
          </w:p>
        </w:tc>
        <w:tc>
          <w:tcPr>
            <w:tcW w:w="1285" w:type="dxa"/>
            <w:hideMark/>
          </w:tcPr>
          <w:p w:rsidR="005E122B" w:rsidRPr="005E122B" w:rsidRDefault="005E122B" w:rsidP="005E122B">
            <w:pPr>
              <w:jc w:val="right"/>
              <w:textAlignment w:val="center"/>
              <w:rPr>
                <w:rFonts w:eastAsia="Times New Roman" w:cstheme="minorHAnsi"/>
                <w:lang w:eastAsia="en-ZA"/>
              </w:rPr>
            </w:pPr>
            <w:r w:rsidRPr="005E122B">
              <w:rPr>
                <w:rFonts w:eastAsia="Times New Roman" w:cstheme="minorHAnsi"/>
                <w:b/>
                <w:bCs/>
                <w:color w:val="000000"/>
                <w:kern w:val="24"/>
                <w:lang w:val="en-US" w:eastAsia="en-ZA"/>
              </w:rPr>
              <w:t>435,775</w:t>
            </w:r>
          </w:p>
        </w:tc>
        <w:tc>
          <w:tcPr>
            <w:tcW w:w="714"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b/>
                <w:bCs/>
                <w:color w:val="000000"/>
                <w:kern w:val="24"/>
                <w:lang w:val="en-US" w:eastAsia="en-ZA"/>
              </w:rPr>
              <w:t>20%</w:t>
            </w:r>
          </w:p>
        </w:tc>
        <w:tc>
          <w:tcPr>
            <w:tcW w:w="1285"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b/>
                <w:bCs/>
                <w:color w:val="000000"/>
                <w:kern w:val="24"/>
                <w:lang w:val="en-US" w:eastAsia="en-ZA"/>
              </w:rPr>
              <w:t>851,131</w:t>
            </w:r>
          </w:p>
        </w:tc>
        <w:tc>
          <w:tcPr>
            <w:tcW w:w="856"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b/>
                <w:bCs/>
                <w:color w:val="000000"/>
                <w:kern w:val="24"/>
                <w:lang w:val="en-US" w:eastAsia="en-ZA"/>
              </w:rPr>
              <w:t>39%</w:t>
            </w:r>
          </w:p>
        </w:tc>
        <w:tc>
          <w:tcPr>
            <w:tcW w:w="1423" w:type="dxa"/>
            <w:hideMark/>
          </w:tcPr>
          <w:p w:rsidR="005E122B" w:rsidRPr="005E122B" w:rsidRDefault="005E122B" w:rsidP="005E122B">
            <w:pPr>
              <w:jc w:val="right"/>
              <w:textAlignment w:val="center"/>
              <w:rPr>
                <w:rFonts w:eastAsia="Times New Roman" w:cstheme="minorHAnsi"/>
                <w:lang w:eastAsia="en-ZA"/>
              </w:rPr>
            </w:pPr>
            <w:r w:rsidRPr="005E122B">
              <w:rPr>
                <w:rFonts w:eastAsia="Times New Roman" w:cstheme="minorHAnsi"/>
                <w:b/>
                <w:bCs/>
                <w:color w:val="000000"/>
                <w:kern w:val="24"/>
                <w:lang w:val="en-US" w:eastAsia="en-ZA"/>
              </w:rPr>
              <w:t>2,198,377</w:t>
            </w:r>
          </w:p>
        </w:tc>
      </w:tr>
      <w:tr w:rsidR="005E122B" w:rsidRPr="00465EE6" w:rsidTr="00465EE6">
        <w:trPr>
          <w:cnfStyle w:val="000000100000"/>
          <w:trHeight w:val="455"/>
        </w:trPr>
        <w:tc>
          <w:tcPr>
            <w:tcW w:w="2417" w:type="dxa"/>
            <w:hideMark/>
          </w:tcPr>
          <w:p w:rsidR="005E122B" w:rsidRPr="005E122B" w:rsidRDefault="005E122B" w:rsidP="005E122B">
            <w:pPr>
              <w:textAlignment w:val="bottom"/>
              <w:rPr>
                <w:rFonts w:eastAsia="Times New Roman" w:cstheme="minorHAnsi"/>
                <w:lang w:eastAsia="en-ZA"/>
              </w:rPr>
            </w:pPr>
            <w:r w:rsidRPr="005E122B">
              <w:rPr>
                <w:rFonts w:eastAsia="Times New Roman" w:cstheme="minorHAnsi"/>
                <w:color w:val="000000"/>
                <w:kern w:val="24"/>
                <w:lang w:val="en-US" w:eastAsia="en-ZA"/>
              </w:rPr>
              <w:t>Direct Charges</w:t>
            </w:r>
          </w:p>
        </w:tc>
        <w:tc>
          <w:tcPr>
            <w:tcW w:w="1290" w:type="dxa"/>
            <w:hideMark/>
          </w:tcPr>
          <w:p w:rsidR="005E122B" w:rsidRPr="005E122B" w:rsidRDefault="005E122B" w:rsidP="005E122B">
            <w:pPr>
              <w:jc w:val="right"/>
              <w:textAlignment w:val="center"/>
              <w:rPr>
                <w:rFonts w:eastAsia="Times New Roman" w:cstheme="minorHAnsi"/>
                <w:lang w:eastAsia="en-ZA"/>
              </w:rPr>
            </w:pPr>
            <w:r w:rsidRPr="005E122B">
              <w:rPr>
                <w:rFonts w:eastAsia="Times New Roman" w:cstheme="minorHAnsi"/>
                <w:color w:val="000000"/>
                <w:kern w:val="24"/>
                <w:lang w:val="en-US" w:eastAsia="en-ZA"/>
              </w:rPr>
              <w:t>120,966</w:t>
            </w:r>
          </w:p>
        </w:tc>
        <w:tc>
          <w:tcPr>
            <w:tcW w:w="856"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color w:val="000000"/>
                <w:kern w:val="24"/>
                <w:lang w:val="en-US" w:eastAsia="en-ZA"/>
              </w:rPr>
              <w:t>24%</w:t>
            </w:r>
          </w:p>
        </w:tc>
        <w:tc>
          <w:tcPr>
            <w:tcW w:w="1285" w:type="dxa"/>
            <w:hideMark/>
          </w:tcPr>
          <w:p w:rsidR="005E122B" w:rsidRPr="005E122B" w:rsidRDefault="005E122B" w:rsidP="005E122B">
            <w:pPr>
              <w:jc w:val="right"/>
              <w:textAlignment w:val="center"/>
              <w:rPr>
                <w:rFonts w:eastAsia="Times New Roman" w:cstheme="minorHAnsi"/>
                <w:lang w:eastAsia="en-ZA"/>
              </w:rPr>
            </w:pPr>
            <w:r w:rsidRPr="005E122B">
              <w:rPr>
                <w:rFonts w:eastAsia="Times New Roman" w:cstheme="minorHAnsi"/>
                <w:color w:val="000000"/>
                <w:kern w:val="24"/>
                <w:lang w:val="en-US" w:eastAsia="en-ZA"/>
              </w:rPr>
              <w:t>121,133</w:t>
            </w:r>
          </w:p>
        </w:tc>
        <w:tc>
          <w:tcPr>
            <w:tcW w:w="714"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color w:val="000000"/>
                <w:kern w:val="24"/>
                <w:lang w:val="en-US" w:eastAsia="en-ZA"/>
              </w:rPr>
              <w:t>24%</w:t>
            </w:r>
          </w:p>
        </w:tc>
        <w:tc>
          <w:tcPr>
            <w:tcW w:w="1285"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color w:val="000000"/>
                <w:kern w:val="24"/>
                <w:lang w:val="en-US" w:eastAsia="en-ZA"/>
              </w:rPr>
              <w:t>242,099</w:t>
            </w:r>
          </w:p>
        </w:tc>
        <w:tc>
          <w:tcPr>
            <w:tcW w:w="856"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color w:val="000000"/>
                <w:kern w:val="24"/>
                <w:lang w:val="en-US" w:eastAsia="en-ZA"/>
              </w:rPr>
              <w:t>48%</w:t>
            </w:r>
          </w:p>
        </w:tc>
        <w:tc>
          <w:tcPr>
            <w:tcW w:w="1423" w:type="dxa"/>
            <w:hideMark/>
          </w:tcPr>
          <w:p w:rsidR="005E122B" w:rsidRPr="005E122B" w:rsidRDefault="005E122B" w:rsidP="005E122B">
            <w:pPr>
              <w:jc w:val="right"/>
              <w:textAlignment w:val="center"/>
              <w:rPr>
                <w:rFonts w:eastAsia="Times New Roman" w:cstheme="minorHAnsi"/>
                <w:lang w:eastAsia="en-ZA"/>
              </w:rPr>
            </w:pPr>
            <w:r w:rsidRPr="005E122B">
              <w:rPr>
                <w:rFonts w:eastAsia="Times New Roman" w:cstheme="minorHAnsi"/>
                <w:color w:val="000000"/>
                <w:kern w:val="24"/>
                <w:lang w:val="en-US" w:eastAsia="en-ZA"/>
              </w:rPr>
              <w:t>507,157</w:t>
            </w:r>
          </w:p>
        </w:tc>
      </w:tr>
      <w:tr w:rsidR="005E122B" w:rsidRPr="00465EE6" w:rsidTr="00465EE6">
        <w:trPr>
          <w:trHeight w:val="455"/>
        </w:trPr>
        <w:tc>
          <w:tcPr>
            <w:tcW w:w="2417" w:type="dxa"/>
            <w:hideMark/>
          </w:tcPr>
          <w:p w:rsidR="005E122B" w:rsidRPr="005E122B" w:rsidRDefault="005E122B" w:rsidP="005E122B">
            <w:pPr>
              <w:textAlignment w:val="bottom"/>
              <w:rPr>
                <w:rFonts w:eastAsia="Times New Roman" w:cstheme="minorHAnsi"/>
                <w:lang w:eastAsia="en-ZA"/>
              </w:rPr>
            </w:pPr>
            <w:r w:rsidRPr="005E122B">
              <w:rPr>
                <w:rFonts w:eastAsia="Times New Roman" w:cstheme="minorHAnsi"/>
                <w:b/>
                <w:bCs/>
                <w:color w:val="000000"/>
                <w:kern w:val="24"/>
                <w:lang w:val="en-US" w:eastAsia="en-ZA"/>
              </w:rPr>
              <w:t>TOTAL</w:t>
            </w:r>
          </w:p>
        </w:tc>
        <w:tc>
          <w:tcPr>
            <w:tcW w:w="1290" w:type="dxa"/>
            <w:hideMark/>
          </w:tcPr>
          <w:p w:rsidR="005E122B" w:rsidRPr="005E122B" w:rsidRDefault="005E122B" w:rsidP="005E122B">
            <w:pPr>
              <w:jc w:val="right"/>
              <w:textAlignment w:val="center"/>
              <w:rPr>
                <w:rFonts w:eastAsia="Times New Roman" w:cstheme="minorHAnsi"/>
                <w:lang w:eastAsia="en-ZA"/>
              </w:rPr>
            </w:pPr>
            <w:r w:rsidRPr="005E122B">
              <w:rPr>
                <w:rFonts w:eastAsia="Times New Roman" w:cstheme="minorHAnsi"/>
                <w:b/>
                <w:bCs/>
                <w:color w:val="000000"/>
                <w:kern w:val="24"/>
                <w:lang w:val="en-US" w:eastAsia="en-ZA"/>
              </w:rPr>
              <w:t>536,322</w:t>
            </w:r>
          </w:p>
        </w:tc>
        <w:tc>
          <w:tcPr>
            <w:tcW w:w="856"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b/>
                <w:bCs/>
                <w:color w:val="000000"/>
                <w:kern w:val="24"/>
                <w:lang w:val="en-US" w:eastAsia="en-ZA"/>
              </w:rPr>
              <w:t>20%</w:t>
            </w:r>
          </w:p>
        </w:tc>
        <w:tc>
          <w:tcPr>
            <w:tcW w:w="1285" w:type="dxa"/>
            <w:hideMark/>
          </w:tcPr>
          <w:p w:rsidR="005E122B" w:rsidRPr="005E122B" w:rsidRDefault="005E122B" w:rsidP="005E122B">
            <w:pPr>
              <w:jc w:val="right"/>
              <w:textAlignment w:val="center"/>
              <w:rPr>
                <w:rFonts w:eastAsia="Times New Roman" w:cstheme="minorHAnsi"/>
                <w:lang w:eastAsia="en-ZA"/>
              </w:rPr>
            </w:pPr>
            <w:r w:rsidRPr="005E122B">
              <w:rPr>
                <w:rFonts w:eastAsia="Times New Roman" w:cstheme="minorHAnsi"/>
                <w:b/>
                <w:bCs/>
                <w:color w:val="000000"/>
                <w:kern w:val="24"/>
                <w:lang w:val="en-US" w:eastAsia="en-ZA"/>
              </w:rPr>
              <w:t>556,908</w:t>
            </w:r>
          </w:p>
        </w:tc>
        <w:tc>
          <w:tcPr>
            <w:tcW w:w="714"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b/>
                <w:bCs/>
                <w:color w:val="000000"/>
                <w:kern w:val="24"/>
                <w:lang w:val="en-US" w:eastAsia="en-ZA"/>
              </w:rPr>
              <w:t>21%</w:t>
            </w:r>
          </w:p>
        </w:tc>
        <w:tc>
          <w:tcPr>
            <w:tcW w:w="1285"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b/>
                <w:bCs/>
                <w:color w:val="000000"/>
                <w:kern w:val="24"/>
                <w:lang w:val="en-US" w:eastAsia="en-ZA"/>
              </w:rPr>
              <w:t>1,093,230</w:t>
            </w:r>
          </w:p>
        </w:tc>
        <w:tc>
          <w:tcPr>
            <w:tcW w:w="856" w:type="dxa"/>
            <w:hideMark/>
          </w:tcPr>
          <w:p w:rsidR="005E122B" w:rsidRPr="005E122B" w:rsidRDefault="005E122B" w:rsidP="005E122B">
            <w:pPr>
              <w:jc w:val="right"/>
              <w:textAlignment w:val="bottom"/>
              <w:rPr>
                <w:rFonts w:eastAsia="Times New Roman" w:cstheme="minorHAnsi"/>
                <w:lang w:eastAsia="en-ZA"/>
              </w:rPr>
            </w:pPr>
            <w:r w:rsidRPr="005E122B">
              <w:rPr>
                <w:rFonts w:eastAsia="Times New Roman" w:cstheme="minorHAnsi"/>
                <w:b/>
                <w:bCs/>
                <w:color w:val="000000"/>
                <w:kern w:val="24"/>
                <w:lang w:val="en-US" w:eastAsia="en-ZA"/>
              </w:rPr>
              <w:t>40%</w:t>
            </w:r>
          </w:p>
        </w:tc>
        <w:tc>
          <w:tcPr>
            <w:tcW w:w="1423" w:type="dxa"/>
            <w:hideMark/>
          </w:tcPr>
          <w:p w:rsidR="005E122B" w:rsidRPr="005E122B" w:rsidRDefault="005E122B" w:rsidP="005E122B">
            <w:pPr>
              <w:jc w:val="right"/>
              <w:textAlignment w:val="center"/>
              <w:rPr>
                <w:rFonts w:eastAsia="Times New Roman" w:cstheme="minorHAnsi"/>
                <w:lang w:eastAsia="en-ZA"/>
              </w:rPr>
            </w:pPr>
            <w:r w:rsidRPr="005E122B">
              <w:rPr>
                <w:rFonts w:eastAsia="Times New Roman" w:cstheme="minorHAnsi"/>
                <w:b/>
                <w:bCs/>
                <w:color w:val="000000"/>
                <w:kern w:val="24"/>
                <w:lang w:val="en-US" w:eastAsia="en-ZA"/>
              </w:rPr>
              <w:t>2,705,534</w:t>
            </w:r>
          </w:p>
        </w:tc>
      </w:tr>
    </w:tbl>
    <w:p w:rsidR="005E122B" w:rsidRDefault="005E122B" w:rsidP="00BB5D1A">
      <w:pPr>
        <w:spacing w:after="0"/>
        <w:rPr>
          <w:rFonts w:ascii="Calibri" w:hAnsi="Calibri" w:cs="Calibri"/>
          <w:sz w:val="24"/>
          <w:szCs w:val="24"/>
        </w:rPr>
      </w:pPr>
    </w:p>
    <w:p w:rsidR="006758E9" w:rsidRPr="00386AB9" w:rsidRDefault="005E122B" w:rsidP="005E122B">
      <w:pPr>
        <w:spacing w:after="0"/>
        <w:rPr>
          <w:rFonts w:ascii="Calibri" w:hAnsi="Calibri" w:cs="Calibri"/>
          <w:b/>
          <w:sz w:val="24"/>
          <w:szCs w:val="24"/>
        </w:rPr>
      </w:pPr>
      <w:r w:rsidRPr="00386AB9">
        <w:rPr>
          <w:rFonts w:ascii="Calibri" w:hAnsi="Calibri" w:cs="Calibri"/>
          <w:b/>
          <w:sz w:val="24"/>
          <w:szCs w:val="24"/>
        </w:rPr>
        <w:t>Financial Performance by Economic classification</w:t>
      </w:r>
    </w:p>
    <w:p w:rsidR="006758E9" w:rsidRPr="00386AB9" w:rsidRDefault="006758E9" w:rsidP="00BB5D1A">
      <w:pPr>
        <w:spacing w:after="0"/>
        <w:rPr>
          <w:rFonts w:ascii="Calibri" w:hAnsi="Calibri" w:cs="Calibri"/>
        </w:rPr>
      </w:pPr>
    </w:p>
    <w:p w:rsidR="00465EE6" w:rsidRPr="00386AB9" w:rsidRDefault="00465EE6" w:rsidP="00465EE6">
      <w:pPr>
        <w:spacing w:after="0"/>
        <w:jc w:val="both"/>
        <w:rPr>
          <w:rFonts w:ascii="Calibri" w:hAnsi="Calibri" w:cs="Calibri"/>
        </w:rPr>
      </w:pPr>
      <w:r w:rsidRPr="00386AB9">
        <w:rPr>
          <w:rFonts w:ascii="Calibri" w:hAnsi="Calibri" w:cs="Calibri"/>
        </w:rPr>
        <w:t>Spending for compensation of Members against the annual budget is 24 percent  for the second quarter and 48 percent mid year, and indications are that there will be an underspending of 21 percent or R3,509m of the R5071578m annual budget at the end of the financial year. Spending for compensation of employees against the annual budget is 21 percent for the second quarter and 43 percent for the mid-year and indications are that there will be an underspending of R42,523m at the end of the financial year.. Spending for goods and services (APP and Members’ entitlements)  against the annual budget  is 11 and 15 percent  for the second quarter and 16 and 20 percent year to date respectively and indications are that there will be an underspending of R65,506m and R12,573m at the end of the financial year. Spending for capital expenditure is 3 percent for the second quarter and 8 percent year to date and indications are that there will be a minimal underspending of R457k at the end of the financial year. Spending for transfers against the annual budget is 24 percent for the second quarter and 49  percent for the mid-year and there will be a minimal underspending of 1 percent or R4,220m at the end of the financial year.</w:t>
      </w:r>
    </w:p>
    <w:p w:rsidR="006758E9" w:rsidRDefault="006758E9" w:rsidP="00BB5D1A">
      <w:pPr>
        <w:spacing w:after="0"/>
        <w:rPr>
          <w:rFonts w:ascii="Calibri" w:hAnsi="Calibri" w:cs="Calibri"/>
          <w:sz w:val="24"/>
          <w:szCs w:val="24"/>
        </w:rPr>
      </w:pPr>
    </w:p>
    <w:p w:rsidR="006758E9" w:rsidRDefault="006758E9" w:rsidP="00BB5D1A">
      <w:pPr>
        <w:spacing w:after="0"/>
        <w:rPr>
          <w:rFonts w:ascii="Calibri" w:hAnsi="Calibri" w:cs="Calibri"/>
          <w:sz w:val="24"/>
          <w:szCs w:val="24"/>
        </w:rPr>
      </w:pPr>
    </w:p>
    <w:p w:rsidR="007752E5" w:rsidRDefault="007752E5" w:rsidP="00BB5D1A">
      <w:pPr>
        <w:spacing w:after="0"/>
        <w:rPr>
          <w:rFonts w:ascii="Calibri" w:hAnsi="Calibri" w:cs="Calibri"/>
          <w:sz w:val="24"/>
          <w:szCs w:val="24"/>
        </w:rPr>
      </w:pPr>
    </w:p>
    <w:p w:rsidR="009F6F91" w:rsidRDefault="009F6F91">
      <w:pPr>
        <w:rPr>
          <w:rFonts w:ascii="Calibri" w:hAnsi="Calibri" w:cs="Calibri"/>
          <w:sz w:val="24"/>
          <w:szCs w:val="24"/>
        </w:rPr>
      </w:pPr>
      <w:r>
        <w:rPr>
          <w:rFonts w:ascii="Calibri" w:hAnsi="Calibri" w:cs="Calibri"/>
          <w:sz w:val="24"/>
          <w:szCs w:val="24"/>
        </w:rPr>
        <w:br w:type="page"/>
      </w:r>
    </w:p>
    <w:p w:rsidR="007752E5" w:rsidRDefault="007752E5" w:rsidP="00BB5D1A">
      <w:pPr>
        <w:spacing w:after="0"/>
        <w:rPr>
          <w:rFonts w:ascii="Calibri" w:hAnsi="Calibri" w:cs="Calibri"/>
          <w:sz w:val="24"/>
          <w:szCs w:val="24"/>
        </w:rPr>
      </w:pPr>
    </w:p>
    <w:tbl>
      <w:tblPr>
        <w:tblStyle w:val="GridTable4Accent4"/>
        <w:tblW w:w="10552" w:type="dxa"/>
        <w:tblLook w:val="0420"/>
      </w:tblPr>
      <w:tblGrid>
        <w:gridCol w:w="3951"/>
        <w:gridCol w:w="1128"/>
        <w:gridCol w:w="813"/>
        <w:gridCol w:w="1073"/>
        <w:gridCol w:w="731"/>
        <w:gridCol w:w="1110"/>
        <w:gridCol w:w="612"/>
        <w:gridCol w:w="1134"/>
      </w:tblGrid>
      <w:tr w:rsidR="00465EE6" w:rsidRPr="00465EE6" w:rsidTr="00465EE6">
        <w:trPr>
          <w:cnfStyle w:val="100000000000"/>
          <w:trHeight w:val="688"/>
        </w:trPr>
        <w:tc>
          <w:tcPr>
            <w:tcW w:w="4053" w:type="dxa"/>
            <w:hideMark/>
          </w:tcPr>
          <w:p w:rsidR="00465EE6" w:rsidRPr="00465EE6" w:rsidRDefault="00465EE6" w:rsidP="00465EE6">
            <w:pPr>
              <w:rPr>
                <w:rFonts w:eastAsia="Times New Roman" w:cstheme="minorHAnsi"/>
                <w:lang w:eastAsia="en-ZA"/>
              </w:rPr>
            </w:pPr>
            <w:r w:rsidRPr="00465EE6">
              <w:rPr>
                <w:rFonts w:eastAsia="Times New Roman" w:cstheme="minorHAnsi"/>
                <w:color w:val="000000"/>
                <w:kern w:val="24"/>
                <w:lang w:eastAsia="en-ZA"/>
              </w:rPr>
              <w:t>Programmes</w:t>
            </w:r>
          </w:p>
        </w:tc>
        <w:tc>
          <w:tcPr>
            <w:tcW w:w="5364" w:type="dxa"/>
            <w:gridSpan w:val="6"/>
            <w:hideMark/>
          </w:tcPr>
          <w:p w:rsidR="00465EE6" w:rsidRPr="00465EE6" w:rsidRDefault="00465EE6" w:rsidP="00465EE6">
            <w:pPr>
              <w:jc w:val="center"/>
              <w:rPr>
                <w:rFonts w:eastAsia="Times New Roman" w:cstheme="minorHAnsi"/>
                <w:lang w:eastAsia="en-ZA"/>
              </w:rPr>
            </w:pPr>
            <w:r w:rsidRPr="00465EE6">
              <w:rPr>
                <w:rFonts w:eastAsia="Times New Roman" w:cstheme="minorHAnsi"/>
                <w:color w:val="000000"/>
                <w:kern w:val="24"/>
                <w:lang w:eastAsia="en-ZA"/>
              </w:rPr>
              <w:t>Total spending</w:t>
            </w:r>
          </w:p>
        </w:tc>
        <w:tc>
          <w:tcPr>
            <w:tcW w:w="1135" w:type="dxa"/>
            <w:vMerge w:val="restart"/>
            <w:hideMark/>
          </w:tcPr>
          <w:p w:rsidR="00465EE6" w:rsidRPr="00465EE6" w:rsidRDefault="00465EE6" w:rsidP="00465EE6">
            <w:pPr>
              <w:rPr>
                <w:rFonts w:eastAsia="Times New Roman" w:cstheme="minorHAnsi"/>
                <w:lang w:eastAsia="en-ZA"/>
              </w:rPr>
            </w:pPr>
            <w:r w:rsidRPr="00465EE6">
              <w:rPr>
                <w:rFonts w:eastAsia="Times New Roman" w:cstheme="minorHAnsi"/>
                <w:color w:val="000000"/>
                <w:kern w:val="24"/>
                <w:lang w:eastAsia="en-ZA"/>
              </w:rPr>
              <w:t>Annual Budget</w:t>
            </w:r>
          </w:p>
          <w:p w:rsidR="00465EE6" w:rsidRPr="00465EE6" w:rsidRDefault="00465EE6" w:rsidP="00465EE6">
            <w:pPr>
              <w:rPr>
                <w:rFonts w:eastAsia="Times New Roman" w:cstheme="minorHAnsi"/>
                <w:lang w:eastAsia="en-ZA"/>
              </w:rPr>
            </w:pPr>
            <w:r w:rsidRPr="00465EE6">
              <w:rPr>
                <w:rFonts w:eastAsia="Times New Roman" w:cstheme="minorHAnsi"/>
                <w:color w:val="000000"/>
                <w:kern w:val="24"/>
                <w:lang w:eastAsia="en-ZA"/>
              </w:rPr>
              <w:t>R’000</w:t>
            </w:r>
          </w:p>
        </w:tc>
      </w:tr>
      <w:tr w:rsidR="00465EE6" w:rsidRPr="00465EE6" w:rsidTr="00465EE6">
        <w:trPr>
          <w:cnfStyle w:val="000000100000"/>
          <w:trHeight w:val="478"/>
        </w:trPr>
        <w:tc>
          <w:tcPr>
            <w:tcW w:w="4053" w:type="dxa"/>
            <w:hideMark/>
          </w:tcPr>
          <w:p w:rsidR="00465EE6" w:rsidRPr="00465EE6" w:rsidRDefault="00465EE6" w:rsidP="00465EE6">
            <w:pPr>
              <w:rPr>
                <w:rFonts w:eastAsia="Times New Roman" w:cstheme="minorHAnsi"/>
                <w:lang w:eastAsia="en-ZA"/>
              </w:rPr>
            </w:pPr>
          </w:p>
        </w:tc>
        <w:tc>
          <w:tcPr>
            <w:tcW w:w="1957" w:type="dxa"/>
            <w:gridSpan w:val="2"/>
            <w:hideMark/>
          </w:tcPr>
          <w:p w:rsidR="00465EE6" w:rsidRPr="00465EE6" w:rsidRDefault="00465EE6" w:rsidP="00465EE6">
            <w:pPr>
              <w:jc w:val="center"/>
              <w:rPr>
                <w:rFonts w:eastAsia="Times New Roman" w:cstheme="minorHAnsi"/>
                <w:lang w:eastAsia="en-ZA"/>
              </w:rPr>
            </w:pPr>
            <w:r w:rsidRPr="00465EE6">
              <w:rPr>
                <w:rFonts w:eastAsia="Times New Roman" w:cstheme="minorHAnsi"/>
                <w:b/>
                <w:bCs/>
                <w:color w:val="000000"/>
                <w:kern w:val="24"/>
                <w:lang w:eastAsia="en-ZA"/>
              </w:rPr>
              <w:t>Quarter 1</w:t>
            </w:r>
          </w:p>
        </w:tc>
        <w:tc>
          <w:tcPr>
            <w:tcW w:w="1815" w:type="dxa"/>
            <w:gridSpan w:val="2"/>
            <w:hideMark/>
          </w:tcPr>
          <w:p w:rsidR="00465EE6" w:rsidRPr="00465EE6" w:rsidRDefault="00465EE6" w:rsidP="00465EE6">
            <w:pPr>
              <w:jc w:val="center"/>
              <w:rPr>
                <w:rFonts w:eastAsia="Times New Roman" w:cstheme="minorHAnsi"/>
                <w:lang w:eastAsia="en-ZA"/>
              </w:rPr>
            </w:pPr>
            <w:r w:rsidRPr="00465EE6">
              <w:rPr>
                <w:rFonts w:eastAsia="Times New Roman" w:cstheme="minorHAnsi"/>
                <w:b/>
                <w:bCs/>
                <w:color w:val="000000"/>
                <w:kern w:val="24"/>
                <w:lang w:eastAsia="en-ZA"/>
              </w:rPr>
              <w:t>Quarter 2</w:t>
            </w:r>
          </w:p>
        </w:tc>
        <w:tc>
          <w:tcPr>
            <w:tcW w:w="1590" w:type="dxa"/>
            <w:gridSpan w:val="2"/>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Year to Date</w:t>
            </w:r>
          </w:p>
        </w:tc>
        <w:tc>
          <w:tcPr>
            <w:tcW w:w="0" w:type="auto"/>
            <w:vMerge/>
            <w:hideMark/>
          </w:tcPr>
          <w:p w:rsidR="00465EE6" w:rsidRPr="00465EE6" w:rsidRDefault="00465EE6" w:rsidP="00465EE6">
            <w:pPr>
              <w:rPr>
                <w:rFonts w:eastAsia="Times New Roman" w:cstheme="minorHAnsi"/>
                <w:lang w:eastAsia="en-ZA"/>
              </w:rPr>
            </w:pPr>
          </w:p>
        </w:tc>
      </w:tr>
      <w:tr w:rsidR="00465EE6" w:rsidRPr="00465EE6" w:rsidTr="00465EE6">
        <w:trPr>
          <w:trHeight w:val="478"/>
        </w:trPr>
        <w:tc>
          <w:tcPr>
            <w:tcW w:w="4053" w:type="dxa"/>
            <w:hideMark/>
          </w:tcPr>
          <w:p w:rsidR="00465EE6" w:rsidRPr="00465EE6" w:rsidRDefault="00465EE6" w:rsidP="00465EE6">
            <w:pPr>
              <w:rPr>
                <w:rFonts w:eastAsia="Times New Roman" w:cstheme="minorHAnsi"/>
                <w:lang w:eastAsia="en-ZA"/>
              </w:rPr>
            </w:pPr>
          </w:p>
        </w:tc>
        <w:tc>
          <w:tcPr>
            <w:tcW w:w="1135"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Amount</w:t>
            </w:r>
          </w:p>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R’000</w:t>
            </w:r>
          </w:p>
        </w:tc>
        <w:tc>
          <w:tcPr>
            <w:tcW w:w="822"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w:t>
            </w:r>
          </w:p>
        </w:tc>
        <w:tc>
          <w:tcPr>
            <w:tcW w:w="1078"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Amount</w:t>
            </w:r>
          </w:p>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R’000</w:t>
            </w:r>
          </w:p>
        </w:tc>
        <w:tc>
          <w:tcPr>
            <w:tcW w:w="737"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w:t>
            </w:r>
          </w:p>
        </w:tc>
        <w:tc>
          <w:tcPr>
            <w:tcW w:w="980"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Amount</w:t>
            </w:r>
          </w:p>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R’000</w:t>
            </w:r>
          </w:p>
        </w:tc>
        <w:tc>
          <w:tcPr>
            <w:tcW w:w="610"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w:t>
            </w:r>
          </w:p>
        </w:tc>
        <w:tc>
          <w:tcPr>
            <w:tcW w:w="0" w:type="auto"/>
            <w:vMerge/>
            <w:hideMark/>
          </w:tcPr>
          <w:p w:rsidR="00465EE6" w:rsidRPr="00465EE6" w:rsidRDefault="00465EE6" w:rsidP="00465EE6">
            <w:pPr>
              <w:rPr>
                <w:rFonts w:eastAsia="Times New Roman" w:cstheme="minorHAnsi"/>
                <w:lang w:eastAsia="en-ZA"/>
              </w:rPr>
            </w:pPr>
          </w:p>
        </w:tc>
      </w:tr>
      <w:tr w:rsidR="00465EE6" w:rsidRPr="00465EE6" w:rsidTr="00465EE6">
        <w:trPr>
          <w:cnfStyle w:val="000000100000"/>
          <w:trHeight w:val="443"/>
        </w:trPr>
        <w:tc>
          <w:tcPr>
            <w:tcW w:w="4053" w:type="dxa"/>
            <w:hideMark/>
          </w:tcPr>
          <w:p w:rsidR="00465EE6" w:rsidRPr="00465EE6" w:rsidRDefault="00465EE6" w:rsidP="00465EE6">
            <w:pPr>
              <w:textAlignment w:val="bottom"/>
              <w:rPr>
                <w:rFonts w:eastAsia="Times New Roman" w:cstheme="minorHAnsi"/>
                <w:lang w:eastAsia="en-ZA"/>
              </w:rPr>
            </w:pPr>
            <w:r w:rsidRPr="00465EE6">
              <w:rPr>
                <w:rFonts w:eastAsia="Times New Roman" w:cstheme="minorHAnsi"/>
                <w:color w:val="000000"/>
                <w:kern w:val="24"/>
                <w:lang w:val="en-US" w:eastAsia="en-ZA"/>
              </w:rPr>
              <w:t>Compensation of Members</w:t>
            </w:r>
          </w:p>
        </w:tc>
        <w:tc>
          <w:tcPr>
            <w:tcW w:w="1135"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120,966</w:t>
            </w:r>
          </w:p>
        </w:tc>
        <w:tc>
          <w:tcPr>
            <w:tcW w:w="822"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24%</w:t>
            </w:r>
          </w:p>
        </w:tc>
        <w:tc>
          <w:tcPr>
            <w:tcW w:w="1078"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121,133</w:t>
            </w:r>
          </w:p>
        </w:tc>
        <w:tc>
          <w:tcPr>
            <w:tcW w:w="737"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24%</w:t>
            </w:r>
          </w:p>
        </w:tc>
        <w:tc>
          <w:tcPr>
            <w:tcW w:w="980"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242,099</w:t>
            </w:r>
          </w:p>
        </w:tc>
        <w:tc>
          <w:tcPr>
            <w:tcW w:w="610"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48%</w:t>
            </w:r>
          </w:p>
        </w:tc>
        <w:tc>
          <w:tcPr>
            <w:tcW w:w="1135"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507,157</w:t>
            </w:r>
          </w:p>
        </w:tc>
      </w:tr>
      <w:tr w:rsidR="00465EE6" w:rsidRPr="00465EE6" w:rsidTr="00465EE6">
        <w:trPr>
          <w:trHeight w:val="423"/>
        </w:trPr>
        <w:tc>
          <w:tcPr>
            <w:tcW w:w="4053" w:type="dxa"/>
            <w:hideMark/>
          </w:tcPr>
          <w:p w:rsidR="00465EE6" w:rsidRPr="00465EE6" w:rsidRDefault="00465EE6" w:rsidP="00465EE6">
            <w:pPr>
              <w:textAlignment w:val="bottom"/>
              <w:rPr>
                <w:rFonts w:eastAsia="Times New Roman" w:cstheme="minorHAnsi"/>
                <w:lang w:eastAsia="en-ZA"/>
              </w:rPr>
            </w:pPr>
            <w:r w:rsidRPr="00465EE6">
              <w:rPr>
                <w:rFonts w:eastAsia="Times New Roman" w:cstheme="minorHAnsi"/>
                <w:color w:val="000000"/>
                <w:kern w:val="24"/>
                <w:lang w:val="en-US" w:eastAsia="en-ZA"/>
              </w:rPr>
              <w:t>Compensation of employees</w:t>
            </w:r>
          </w:p>
        </w:tc>
        <w:tc>
          <w:tcPr>
            <w:tcW w:w="1135"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266,728</w:t>
            </w:r>
          </w:p>
        </w:tc>
        <w:tc>
          <w:tcPr>
            <w:tcW w:w="822"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22%</w:t>
            </w:r>
          </w:p>
        </w:tc>
        <w:tc>
          <w:tcPr>
            <w:tcW w:w="1078"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262,554</w:t>
            </w:r>
          </w:p>
        </w:tc>
        <w:tc>
          <w:tcPr>
            <w:tcW w:w="737"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21%</w:t>
            </w:r>
          </w:p>
        </w:tc>
        <w:tc>
          <w:tcPr>
            <w:tcW w:w="980"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529,282</w:t>
            </w:r>
          </w:p>
        </w:tc>
        <w:tc>
          <w:tcPr>
            <w:tcW w:w="610"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43%</w:t>
            </w:r>
          </w:p>
        </w:tc>
        <w:tc>
          <w:tcPr>
            <w:tcW w:w="1135"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1,222,654</w:t>
            </w:r>
          </w:p>
        </w:tc>
      </w:tr>
      <w:tr w:rsidR="00465EE6" w:rsidRPr="00465EE6" w:rsidTr="00465EE6">
        <w:trPr>
          <w:cnfStyle w:val="000000100000"/>
          <w:trHeight w:val="379"/>
        </w:trPr>
        <w:tc>
          <w:tcPr>
            <w:tcW w:w="4053" w:type="dxa"/>
            <w:hideMark/>
          </w:tcPr>
          <w:p w:rsidR="00465EE6" w:rsidRPr="00465EE6" w:rsidRDefault="00465EE6" w:rsidP="00465EE6">
            <w:pPr>
              <w:textAlignment w:val="bottom"/>
              <w:rPr>
                <w:rFonts w:eastAsia="Times New Roman" w:cstheme="minorHAnsi"/>
                <w:lang w:eastAsia="en-ZA"/>
              </w:rPr>
            </w:pPr>
            <w:r w:rsidRPr="00465EE6">
              <w:rPr>
                <w:rFonts w:eastAsia="Times New Roman" w:cstheme="minorHAnsi"/>
                <w:color w:val="000000"/>
                <w:kern w:val="24"/>
                <w:lang w:val="en-US" w:eastAsia="en-ZA"/>
              </w:rPr>
              <w:t>Goods &amp; Services (APP)</w:t>
            </w:r>
          </w:p>
        </w:tc>
        <w:tc>
          <w:tcPr>
            <w:tcW w:w="1135"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15,983</w:t>
            </w:r>
          </w:p>
        </w:tc>
        <w:tc>
          <w:tcPr>
            <w:tcW w:w="822"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5%</w:t>
            </w:r>
          </w:p>
        </w:tc>
        <w:tc>
          <w:tcPr>
            <w:tcW w:w="1078"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33,366</w:t>
            </w:r>
          </w:p>
        </w:tc>
        <w:tc>
          <w:tcPr>
            <w:tcW w:w="737"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11%</w:t>
            </w:r>
          </w:p>
        </w:tc>
        <w:tc>
          <w:tcPr>
            <w:tcW w:w="980"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49,349</w:t>
            </w:r>
          </w:p>
        </w:tc>
        <w:tc>
          <w:tcPr>
            <w:tcW w:w="610"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16%</w:t>
            </w:r>
          </w:p>
        </w:tc>
        <w:tc>
          <w:tcPr>
            <w:tcW w:w="1135"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314,652</w:t>
            </w:r>
          </w:p>
        </w:tc>
      </w:tr>
      <w:tr w:rsidR="00465EE6" w:rsidRPr="00465EE6" w:rsidTr="00465EE6">
        <w:trPr>
          <w:trHeight w:val="536"/>
        </w:trPr>
        <w:tc>
          <w:tcPr>
            <w:tcW w:w="4053" w:type="dxa"/>
            <w:hideMark/>
          </w:tcPr>
          <w:p w:rsidR="00465EE6" w:rsidRPr="00465EE6" w:rsidRDefault="00465EE6" w:rsidP="00465EE6">
            <w:pPr>
              <w:textAlignment w:val="bottom"/>
              <w:rPr>
                <w:rFonts w:eastAsia="Times New Roman" w:cstheme="minorHAnsi"/>
                <w:lang w:eastAsia="en-ZA"/>
              </w:rPr>
            </w:pPr>
            <w:r w:rsidRPr="00465EE6">
              <w:rPr>
                <w:rFonts w:eastAsia="Times New Roman" w:cstheme="minorHAnsi"/>
                <w:color w:val="000000"/>
                <w:kern w:val="24"/>
                <w:lang w:val="en-US" w:eastAsia="en-ZA"/>
              </w:rPr>
              <w:t>Goods &amp; Services (Members Entitlements)</w:t>
            </w:r>
          </w:p>
        </w:tc>
        <w:tc>
          <w:tcPr>
            <w:tcW w:w="1135"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6,392</w:t>
            </w:r>
          </w:p>
        </w:tc>
        <w:tc>
          <w:tcPr>
            <w:tcW w:w="822"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5%</w:t>
            </w:r>
          </w:p>
        </w:tc>
        <w:tc>
          <w:tcPr>
            <w:tcW w:w="1078"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17,753</w:t>
            </w:r>
          </w:p>
        </w:tc>
        <w:tc>
          <w:tcPr>
            <w:tcW w:w="737"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15%</w:t>
            </w:r>
          </w:p>
        </w:tc>
        <w:tc>
          <w:tcPr>
            <w:tcW w:w="980"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24,145</w:t>
            </w:r>
          </w:p>
        </w:tc>
        <w:tc>
          <w:tcPr>
            <w:tcW w:w="610"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20%</w:t>
            </w:r>
          </w:p>
        </w:tc>
        <w:tc>
          <w:tcPr>
            <w:tcW w:w="1135"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120,000</w:t>
            </w:r>
          </w:p>
        </w:tc>
      </w:tr>
      <w:tr w:rsidR="00465EE6" w:rsidRPr="00465EE6" w:rsidTr="00465EE6">
        <w:trPr>
          <w:cnfStyle w:val="000000100000"/>
          <w:trHeight w:val="536"/>
        </w:trPr>
        <w:tc>
          <w:tcPr>
            <w:tcW w:w="4053" w:type="dxa"/>
            <w:hideMark/>
          </w:tcPr>
          <w:p w:rsidR="00465EE6" w:rsidRPr="00465EE6" w:rsidRDefault="00465EE6" w:rsidP="00465EE6">
            <w:pPr>
              <w:textAlignment w:val="bottom"/>
              <w:rPr>
                <w:rFonts w:eastAsia="Times New Roman" w:cstheme="minorHAnsi"/>
                <w:lang w:eastAsia="en-ZA"/>
              </w:rPr>
            </w:pPr>
            <w:r w:rsidRPr="00465EE6">
              <w:rPr>
                <w:rFonts w:eastAsia="Times New Roman" w:cstheme="minorHAnsi"/>
                <w:color w:val="000000"/>
                <w:kern w:val="24"/>
                <w:lang w:eastAsia="en-ZA"/>
              </w:rPr>
              <w:t>Transfers</w:t>
            </w:r>
          </w:p>
        </w:tc>
        <w:tc>
          <w:tcPr>
            <w:tcW w:w="1135"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124,184</w:t>
            </w:r>
          </w:p>
        </w:tc>
        <w:tc>
          <w:tcPr>
            <w:tcW w:w="822"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25%</w:t>
            </w:r>
          </w:p>
        </w:tc>
        <w:tc>
          <w:tcPr>
            <w:tcW w:w="1078"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120,856</w:t>
            </w:r>
          </w:p>
        </w:tc>
        <w:tc>
          <w:tcPr>
            <w:tcW w:w="737"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24%</w:t>
            </w:r>
          </w:p>
        </w:tc>
        <w:tc>
          <w:tcPr>
            <w:tcW w:w="980"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245,040</w:t>
            </w:r>
          </w:p>
        </w:tc>
        <w:tc>
          <w:tcPr>
            <w:tcW w:w="610"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49%</w:t>
            </w:r>
          </w:p>
        </w:tc>
        <w:tc>
          <w:tcPr>
            <w:tcW w:w="1135"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500,302</w:t>
            </w:r>
          </w:p>
        </w:tc>
      </w:tr>
      <w:tr w:rsidR="00465EE6" w:rsidRPr="00465EE6" w:rsidTr="00465EE6">
        <w:trPr>
          <w:trHeight w:val="536"/>
        </w:trPr>
        <w:tc>
          <w:tcPr>
            <w:tcW w:w="4053" w:type="dxa"/>
            <w:hideMark/>
          </w:tcPr>
          <w:p w:rsidR="00465EE6" w:rsidRPr="00465EE6" w:rsidRDefault="00465EE6" w:rsidP="00465EE6">
            <w:pPr>
              <w:textAlignment w:val="bottom"/>
              <w:rPr>
                <w:rFonts w:eastAsia="Times New Roman" w:cstheme="minorHAnsi"/>
                <w:lang w:eastAsia="en-ZA"/>
              </w:rPr>
            </w:pPr>
            <w:r w:rsidRPr="00465EE6">
              <w:rPr>
                <w:rFonts w:eastAsia="Times New Roman" w:cstheme="minorHAnsi"/>
                <w:color w:val="000000"/>
                <w:kern w:val="24"/>
                <w:lang w:eastAsia="en-ZA"/>
              </w:rPr>
              <w:t>Capital Expenditure</w:t>
            </w:r>
          </w:p>
        </w:tc>
        <w:tc>
          <w:tcPr>
            <w:tcW w:w="1135"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2,069</w:t>
            </w:r>
          </w:p>
        </w:tc>
        <w:tc>
          <w:tcPr>
            <w:tcW w:w="822"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5%</w:t>
            </w:r>
          </w:p>
        </w:tc>
        <w:tc>
          <w:tcPr>
            <w:tcW w:w="1078"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1,246</w:t>
            </w:r>
          </w:p>
        </w:tc>
        <w:tc>
          <w:tcPr>
            <w:tcW w:w="737"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3%</w:t>
            </w:r>
          </w:p>
        </w:tc>
        <w:tc>
          <w:tcPr>
            <w:tcW w:w="980"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3,315</w:t>
            </w:r>
          </w:p>
        </w:tc>
        <w:tc>
          <w:tcPr>
            <w:tcW w:w="610"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8%</w:t>
            </w:r>
          </w:p>
        </w:tc>
        <w:tc>
          <w:tcPr>
            <w:tcW w:w="1135"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40,769</w:t>
            </w:r>
          </w:p>
        </w:tc>
      </w:tr>
      <w:tr w:rsidR="00465EE6" w:rsidRPr="00465EE6" w:rsidTr="00465EE6">
        <w:trPr>
          <w:cnfStyle w:val="000000100000"/>
          <w:trHeight w:val="478"/>
        </w:trPr>
        <w:tc>
          <w:tcPr>
            <w:tcW w:w="4053" w:type="dxa"/>
            <w:hideMark/>
          </w:tcPr>
          <w:p w:rsidR="00465EE6" w:rsidRPr="00465EE6" w:rsidRDefault="00465EE6" w:rsidP="00465EE6">
            <w:pPr>
              <w:textAlignment w:val="bottom"/>
              <w:rPr>
                <w:rFonts w:eastAsia="Times New Roman" w:cstheme="minorHAnsi"/>
                <w:lang w:eastAsia="en-ZA"/>
              </w:rPr>
            </w:pPr>
            <w:r w:rsidRPr="00465EE6">
              <w:rPr>
                <w:rFonts w:eastAsia="Times New Roman" w:cstheme="minorHAnsi"/>
                <w:b/>
                <w:bCs/>
                <w:color w:val="000000"/>
                <w:kern w:val="24"/>
                <w:lang w:val="en-US" w:eastAsia="en-ZA"/>
              </w:rPr>
              <w:t>TOTAL</w:t>
            </w:r>
          </w:p>
        </w:tc>
        <w:tc>
          <w:tcPr>
            <w:tcW w:w="1135"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b/>
                <w:bCs/>
                <w:color w:val="000000"/>
                <w:kern w:val="24"/>
                <w:lang w:val="en-US" w:eastAsia="en-ZA"/>
              </w:rPr>
              <w:t>536,322</w:t>
            </w:r>
          </w:p>
        </w:tc>
        <w:tc>
          <w:tcPr>
            <w:tcW w:w="822"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b/>
                <w:bCs/>
                <w:color w:val="000000"/>
                <w:kern w:val="24"/>
                <w:lang w:val="en-US" w:eastAsia="en-ZA"/>
              </w:rPr>
              <w:t>20%</w:t>
            </w:r>
          </w:p>
        </w:tc>
        <w:tc>
          <w:tcPr>
            <w:tcW w:w="1078"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b/>
                <w:bCs/>
                <w:color w:val="000000"/>
                <w:kern w:val="24"/>
                <w:lang w:val="en-US" w:eastAsia="en-ZA"/>
              </w:rPr>
              <w:t>556,908</w:t>
            </w:r>
          </w:p>
        </w:tc>
        <w:tc>
          <w:tcPr>
            <w:tcW w:w="737"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b/>
                <w:bCs/>
                <w:color w:val="000000"/>
                <w:kern w:val="24"/>
                <w:lang w:val="en-US" w:eastAsia="en-ZA"/>
              </w:rPr>
              <w:t>21%</w:t>
            </w:r>
          </w:p>
        </w:tc>
        <w:tc>
          <w:tcPr>
            <w:tcW w:w="980"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b/>
                <w:bCs/>
                <w:color w:val="000000"/>
                <w:kern w:val="24"/>
                <w:lang w:val="en-US" w:eastAsia="en-ZA"/>
              </w:rPr>
              <w:t>1,093,230</w:t>
            </w:r>
          </w:p>
        </w:tc>
        <w:tc>
          <w:tcPr>
            <w:tcW w:w="610"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b/>
                <w:bCs/>
                <w:color w:val="000000"/>
                <w:kern w:val="24"/>
                <w:lang w:val="en-US" w:eastAsia="en-ZA"/>
              </w:rPr>
              <w:t>40%</w:t>
            </w:r>
          </w:p>
        </w:tc>
        <w:tc>
          <w:tcPr>
            <w:tcW w:w="1135"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b/>
                <w:bCs/>
                <w:color w:val="000000"/>
                <w:kern w:val="24"/>
                <w:lang w:val="en-US" w:eastAsia="en-ZA"/>
              </w:rPr>
              <w:t>2,705,534</w:t>
            </w:r>
          </w:p>
        </w:tc>
      </w:tr>
    </w:tbl>
    <w:p w:rsidR="006758E9" w:rsidRDefault="006758E9" w:rsidP="00BB5D1A">
      <w:pPr>
        <w:spacing w:after="0"/>
        <w:rPr>
          <w:rFonts w:ascii="Calibri" w:hAnsi="Calibri" w:cs="Calibri"/>
          <w:sz w:val="24"/>
          <w:szCs w:val="24"/>
        </w:rPr>
      </w:pPr>
    </w:p>
    <w:p w:rsidR="006758E9" w:rsidRPr="00465EE6" w:rsidRDefault="00465EE6" w:rsidP="00BB5D1A">
      <w:pPr>
        <w:spacing w:after="0"/>
        <w:rPr>
          <w:rFonts w:ascii="Calibri" w:hAnsi="Calibri" w:cs="Calibri"/>
          <w:b/>
          <w:sz w:val="24"/>
          <w:szCs w:val="24"/>
        </w:rPr>
      </w:pPr>
      <w:r w:rsidRPr="00465EE6">
        <w:rPr>
          <w:rFonts w:ascii="Calibri" w:hAnsi="Calibri" w:cs="Calibri"/>
          <w:b/>
          <w:sz w:val="24"/>
          <w:szCs w:val="24"/>
        </w:rPr>
        <w:t>Programme 1: Strategic Leadership and Governance</w:t>
      </w:r>
    </w:p>
    <w:p w:rsidR="006758E9" w:rsidRPr="00386AB9" w:rsidRDefault="006758E9" w:rsidP="00BB5D1A">
      <w:pPr>
        <w:spacing w:after="0"/>
        <w:rPr>
          <w:rFonts w:ascii="Calibri" w:hAnsi="Calibri" w:cs="Calibri"/>
        </w:rPr>
      </w:pPr>
    </w:p>
    <w:p w:rsidR="006758E9" w:rsidRPr="00386AB9" w:rsidRDefault="00465EE6" w:rsidP="00465EE6">
      <w:pPr>
        <w:spacing w:after="0"/>
        <w:jc w:val="both"/>
        <w:rPr>
          <w:rFonts w:ascii="Calibri" w:hAnsi="Calibri" w:cs="Calibri"/>
        </w:rPr>
      </w:pPr>
      <w:r w:rsidRPr="00386AB9">
        <w:rPr>
          <w:rFonts w:ascii="Calibri" w:hAnsi="Calibri" w:cs="Calibri"/>
        </w:rPr>
        <w:t>Programme 1 has spent R43,102m or 38 percent of the annual budget of R112,216m for the first half of the financial year and spending for the second quarter is at 20 percent of the annual budget. Spending against the annual budget is 36 and 38 percent for Offices of the Speaker and Chairpersons respectively. The Parliamentary Budget Office has spent 32 percent of the annual budget to date and the Office of Institutions Supporting Democracy has spent 44 of the annual budget as at 30 September 2020. Indications are that the programme will spend the 96 percent or R108,219m of the annual budget at the end of the financial year, resulting in a variance of R3,947m.</w:t>
      </w:r>
    </w:p>
    <w:p w:rsidR="006758E9" w:rsidRDefault="006758E9" w:rsidP="00BB5D1A">
      <w:pPr>
        <w:spacing w:after="0"/>
        <w:rPr>
          <w:rFonts w:ascii="Calibri" w:hAnsi="Calibri" w:cs="Calibri"/>
          <w:sz w:val="24"/>
          <w:szCs w:val="24"/>
        </w:rPr>
      </w:pPr>
    </w:p>
    <w:tbl>
      <w:tblPr>
        <w:tblStyle w:val="GridTable4Accent4"/>
        <w:tblW w:w="9816" w:type="dxa"/>
        <w:tblLook w:val="0420"/>
      </w:tblPr>
      <w:tblGrid>
        <w:gridCol w:w="3779"/>
        <w:gridCol w:w="1062"/>
        <w:gridCol w:w="769"/>
        <w:gridCol w:w="1011"/>
        <w:gridCol w:w="691"/>
        <w:gridCol w:w="959"/>
        <w:gridCol w:w="600"/>
        <w:gridCol w:w="945"/>
      </w:tblGrid>
      <w:tr w:rsidR="00465EE6" w:rsidRPr="00465EE6" w:rsidTr="00465EE6">
        <w:trPr>
          <w:cnfStyle w:val="100000000000"/>
          <w:trHeight w:val="499"/>
        </w:trPr>
        <w:tc>
          <w:tcPr>
            <w:tcW w:w="3836" w:type="dxa"/>
            <w:hideMark/>
          </w:tcPr>
          <w:p w:rsidR="00465EE6" w:rsidRPr="00465EE6" w:rsidRDefault="00465EE6" w:rsidP="00465EE6">
            <w:pPr>
              <w:rPr>
                <w:rFonts w:eastAsia="Times New Roman" w:cstheme="minorHAnsi"/>
                <w:lang w:eastAsia="en-ZA"/>
              </w:rPr>
            </w:pPr>
            <w:r w:rsidRPr="00465EE6">
              <w:rPr>
                <w:rFonts w:eastAsia="Times New Roman" w:cstheme="minorHAnsi"/>
                <w:color w:val="000000"/>
                <w:kern w:val="24"/>
                <w:lang w:eastAsia="en-ZA"/>
              </w:rPr>
              <w:t>Divisions</w:t>
            </w:r>
          </w:p>
        </w:tc>
        <w:tc>
          <w:tcPr>
            <w:tcW w:w="5035" w:type="dxa"/>
            <w:gridSpan w:val="6"/>
            <w:hideMark/>
          </w:tcPr>
          <w:p w:rsidR="00465EE6" w:rsidRPr="00465EE6" w:rsidRDefault="00465EE6" w:rsidP="00465EE6">
            <w:pPr>
              <w:jc w:val="center"/>
              <w:rPr>
                <w:rFonts w:eastAsia="Times New Roman" w:cstheme="minorHAnsi"/>
                <w:lang w:eastAsia="en-ZA"/>
              </w:rPr>
            </w:pPr>
            <w:r w:rsidRPr="00465EE6">
              <w:rPr>
                <w:rFonts w:eastAsia="Times New Roman" w:cstheme="minorHAnsi"/>
                <w:color w:val="000000"/>
                <w:kern w:val="24"/>
                <w:lang w:eastAsia="en-ZA"/>
              </w:rPr>
              <w:t>Total spending</w:t>
            </w:r>
          </w:p>
        </w:tc>
        <w:tc>
          <w:tcPr>
            <w:tcW w:w="945" w:type="dxa"/>
            <w:vMerge w:val="restart"/>
            <w:hideMark/>
          </w:tcPr>
          <w:p w:rsidR="00465EE6" w:rsidRPr="00465EE6" w:rsidRDefault="00465EE6" w:rsidP="00465EE6">
            <w:pPr>
              <w:rPr>
                <w:rFonts w:eastAsia="Times New Roman" w:cstheme="minorHAnsi"/>
                <w:lang w:eastAsia="en-ZA"/>
              </w:rPr>
            </w:pPr>
            <w:r w:rsidRPr="00465EE6">
              <w:rPr>
                <w:rFonts w:eastAsia="Times New Roman" w:cstheme="minorHAnsi"/>
                <w:color w:val="000000"/>
                <w:kern w:val="24"/>
                <w:lang w:eastAsia="en-ZA"/>
              </w:rPr>
              <w:t>Annual Budget</w:t>
            </w:r>
          </w:p>
          <w:p w:rsidR="00465EE6" w:rsidRPr="00465EE6" w:rsidRDefault="00465EE6" w:rsidP="00465EE6">
            <w:pPr>
              <w:rPr>
                <w:rFonts w:eastAsia="Times New Roman" w:cstheme="minorHAnsi"/>
                <w:lang w:eastAsia="en-ZA"/>
              </w:rPr>
            </w:pPr>
            <w:r w:rsidRPr="00465EE6">
              <w:rPr>
                <w:rFonts w:eastAsia="Times New Roman" w:cstheme="minorHAnsi"/>
                <w:color w:val="000000"/>
                <w:kern w:val="24"/>
                <w:lang w:eastAsia="en-ZA"/>
              </w:rPr>
              <w:t>R’000</w:t>
            </w:r>
          </w:p>
        </w:tc>
      </w:tr>
      <w:tr w:rsidR="00465EE6" w:rsidRPr="00465EE6" w:rsidTr="00465EE6">
        <w:trPr>
          <w:cnfStyle w:val="000000100000"/>
          <w:trHeight w:val="499"/>
        </w:trPr>
        <w:tc>
          <w:tcPr>
            <w:tcW w:w="3836" w:type="dxa"/>
            <w:hideMark/>
          </w:tcPr>
          <w:p w:rsidR="00465EE6" w:rsidRPr="00465EE6" w:rsidRDefault="00465EE6" w:rsidP="00465EE6">
            <w:pPr>
              <w:rPr>
                <w:rFonts w:eastAsia="Times New Roman" w:cstheme="minorHAnsi"/>
                <w:lang w:eastAsia="en-ZA"/>
              </w:rPr>
            </w:pPr>
          </w:p>
        </w:tc>
        <w:tc>
          <w:tcPr>
            <w:tcW w:w="1838" w:type="dxa"/>
            <w:gridSpan w:val="2"/>
            <w:hideMark/>
          </w:tcPr>
          <w:p w:rsidR="00465EE6" w:rsidRPr="00465EE6" w:rsidRDefault="00465EE6" w:rsidP="00465EE6">
            <w:pPr>
              <w:jc w:val="center"/>
              <w:rPr>
                <w:rFonts w:eastAsia="Times New Roman" w:cstheme="minorHAnsi"/>
                <w:lang w:eastAsia="en-ZA"/>
              </w:rPr>
            </w:pPr>
            <w:r w:rsidRPr="00465EE6">
              <w:rPr>
                <w:rFonts w:eastAsia="Times New Roman" w:cstheme="minorHAnsi"/>
                <w:b/>
                <w:bCs/>
                <w:color w:val="000000"/>
                <w:kern w:val="24"/>
                <w:lang w:eastAsia="en-ZA"/>
              </w:rPr>
              <w:t>Quarter 1</w:t>
            </w:r>
          </w:p>
        </w:tc>
        <w:tc>
          <w:tcPr>
            <w:tcW w:w="1705" w:type="dxa"/>
            <w:gridSpan w:val="2"/>
            <w:hideMark/>
          </w:tcPr>
          <w:p w:rsidR="00465EE6" w:rsidRPr="00465EE6" w:rsidRDefault="00465EE6" w:rsidP="00465EE6">
            <w:pPr>
              <w:jc w:val="center"/>
              <w:rPr>
                <w:rFonts w:eastAsia="Times New Roman" w:cstheme="minorHAnsi"/>
                <w:lang w:eastAsia="en-ZA"/>
              </w:rPr>
            </w:pPr>
            <w:r w:rsidRPr="00465EE6">
              <w:rPr>
                <w:rFonts w:eastAsia="Times New Roman" w:cstheme="minorHAnsi"/>
                <w:b/>
                <w:bCs/>
                <w:color w:val="000000"/>
                <w:kern w:val="24"/>
                <w:lang w:eastAsia="en-ZA"/>
              </w:rPr>
              <w:t>Quarter 2</w:t>
            </w:r>
          </w:p>
        </w:tc>
        <w:tc>
          <w:tcPr>
            <w:tcW w:w="1492" w:type="dxa"/>
            <w:gridSpan w:val="2"/>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Year to Date</w:t>
            </w:r>
          </w:p>
        </w:tc>
        <w:tc>
          <w:tcPr>
            <w:tcW w:w="0" w:type="auto"/>
            <w:vMerge/>
            <w:hideMark/>
          </w:tcPr>
          <w:p w:rsidR="00465EE6" w:rsidRPr="00465EE6" w:rsidRDefault="00465EE6" w:rsidP="00465EE6">
            <w:pPr>
              <w:rPr>
                <w:rFonts w:eastAsia="Times New Roman" w:cstheme="minorHAnsi"/>
                <w:lang w:eastAsia="en-ZA"/>
              </w:rPr>
            </w:pPr>
          </w:p>
        </w:tc>
      </w:tr>
      <w:tr w:rsidR="00465EE6" w:rsidRPr="00465EE6" w:rsidTr="00465EE6">
        <w:trPr>
          <w:trHeight w:val="499"/>
        </w:trPr>
        <w:tc>
          <w:tcPr>
            <w:tcW w:w="3836" w:type="dxa"/>
            <w:hideMark/>
          </w:tcPr>
          <w:p w:rsidR="00465EE6" w:rsidRPr="00465EE6" w:rsidRDefault="00465EE6" w:rsidP="00465EE6">
            <w:pPr>
              <w:rPr>
                <w:rFonts w:eastAsia="Times New Roman" w:cstheme="minorHAnsi"/>
                <w:lang w:eastAsia="en-ZA"/>
              </w:rPr>
            </w:pPr>
          </w:p>
        </w:tc>
        <w:tc>
          <w:tcPr>
            <w:tcW w:w="1065"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Amount</w:t>
            </w:r>
          </w:p>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R’000</w:t>
            </w:r>
          </w:p>
        </w:tc>
        <w:tc>
          <w:tcPr>
            <w:tcW w:w="772"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w:t>
            </w:r>
          </w:p>
        </w:tc>
        <w:tc>
          <w:tcPr>
            <w:tcW w:w="1012"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Amount</w:t>
            </w:r>
          </w:p>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R’000</w:t>
            </w:r>
          </w:p>
        </w:tc>
        <w:tc>
          <w:tcPr>
            <w:tcW w:w="692"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w:t>
            </w:r>
          </w:p>
        </w:tc>
        <w:tc>
          <w:tcPr>
            <w:tcW w:w="919"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Amount</w:t>
            </w:r>
          </w:p>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R’000</w:t>
            </w:r>
          </w:p>
        </w:tc>
        <w:tc>
          <w:tcPr>
            <w:tcW w:w="572"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w:t>
            </w:r>
          </w:p>
        </w:tc>
        <w:tc>
          <w:tcPr>
            <w:tcW w:w="0" w:type="auto"/>
            <w:vMerge/>
            <w:hideMark/>
          </w:tcPr>
          <w:p w:rsidR="00465EE6" w:rsidRPr="00465EE6" w:rsidRDefault="00465EE6" w:rsidP="00465EE6">
            <w:pPr>
              <w:rPr>
                <w:rFonts w:eastAsia="Times New Roman" w:cstheme="minorHAnsi"/>
                <w:lang w:eastAsia="en-ZA"/>
              </w:rPr>
            </w:pPr>
          </w:p>
        </w:tc>
      </w:tr>
      <w:tr w:rsidR="00465EE6" w:rsidRPr="00465EE6" w:rsidTr="00465EE6">
        <w:trPr>
          <w:cnfStyle w:val="000000100000"/>
          <w:trHeight w:val="500"/>
        </w:trPr>
        <w:tc>
          <w:tcPr>
            <w:tcW w:w="3836" w:type="dxa"/>
            <w:hideMark/>
          </w:tcPr>
          <w:p w:rsidR="00465EE6" w:rsidRPr="00465EE6" w:rsidRDefault="00465EE6" w:rsidP="00465EE6">
            <w:pPr>
              <w:textAlignment w:val="bottom"/>
              <w:rPr>
                <w:rFonts w:eastAsia="Times New Roman" w:cstheme="minorHAnsi"/>
                <w:lang w:eastAsia="en-ZA"/>
              </w:rPr>
            </w:pPr>
            <w:r w:rsidRPr="00465EE6">
              <w:rPr>
                <w:rFonts w:eastAsia="Times New Roman" w:cstheme="minorHAnsi"/>
                <w:color w:val="000000"/>
                <w:kern w:val="24"/>
                <w:lang w:val="en-US" w:eastAsia="en-ZA"/>
              </w:rPr>
              <w:t>Office of Speaker</w:t>
            </w:r>
          </w:p>
        </w:tc>
        <w:tc>
          <w:tcPr>
            <w:tcW w:w="1065"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8,056</w:t>
            </w:r>
          </w:p>
        </w:tc>
        <w:tc>
          <w:tcPr>
            <w:tcW w:w="772"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17%</w:t>
            </w:r>
          </w:p>
        </w:tc>
        <w:tc>
          <w:tcPr>
            <w:tcW w:w="1012"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8,618</w:t>
            </w:r>
          </w:p>
        </w:tc>
        <w:tc>
          <w:tcPr>
            <w:tcW w:w="692"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19%</w:t>
            </w:r>
          </w:p>
        </w:tc>
        <w:tc>
          <w:tcPr>
            <w:tcW w:w="919"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16,674</w:t>
            </w:r>
          </w:p>
        </w:tc>
        <w:tc>
          <w:tcPr>
            <w:tcW w:w="572"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36%</w:t>
            </w:r>
          </w:p>
        </w:tc>
        <w:tc>
          <w:tcPr>
            <w:tcW w:w="945"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46,188</w:t>
            </w:r>
          </w:p>
        </w:tc>
      </w:tr>
      <w:tr w:rsidR="00465EE6" w:rsidRPr="00465EE6" w:rsidTr="00465EE6">
        <w:trPr>
          <w:trHeight w:val="499"/>
        </w:trPr>
        <w:tc>
          <w:tcPr>
            <w:tcW w:w="3836" w:type="dxa"/>
            <w:hideMark/>
          </w:tcPr>
          <w:p w:rsidR="00465EE6" w:rsidRPr="00465EE6" w:rsidRDefault="00465EE6" w:rsidP="00465EE6">
            <w:pPr>
              <w:textAlignment w:val="bottom"/>
              <w:rPr>
                <w:rFonts w:eastAsia="Times New Roman" w:cstheme="minorHAnsi"/>
                <w:lang w:eastAsia="en-ZA"/>
              </w:rPr>
            </w:pPr>
            <w:r w:rsidRPr="00465EE6">
              <w:rPr>
                <w:rFonts w:eastAsia="Times New Roman" w:cstheme="minorHAnsi"/>
                <w:color w:val="000000"/>
                <w:kern w:val="24"/>
                <w:lang w:val="en-US" w:eastAsia="en-ZA"/>
              </w:rPr>
              <w:t>Office of Chairperson</w:t>
            </w:r>
          </w:p>
        </w:tc>
        <w:tc>
          <w:tcPr>
            <w:tcW w:w="1065"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7,332</w:t>
            </w:r>
          </w:p>
        </w:tc>
        <w:tc>
          <w:tcPr>
            <w:tcW w:w="772"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18%</w:t>
            </w:r>
          </w:p>
        </w:tc>
        <w:tc>
          <w:tcPr>
            <w:tcW w:w="1012"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7,782</w:t>
            </w:r>
          </w:p>
        </w:tc>
        <w:tc>
          <w:tcPr>
            <w:tcW w:w="692"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19%</w:t>
            </w:r>
          </w:p>
        </w:tc>
        <w:tc>
          <w:tcPr>
            <w:tcW w:w="919"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15,114</w:t>
            </w:r>
          </w:p>
        </w:tc>
        <w:tc>
          <w:tcPr>
            <w:tcW w:w="572"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38%</w:t>
            </w:r>
          </w:p>
        </w:tc>
        <w:tc>
          <w:tcPr>
            <w:tcW w:w="945"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39,979</w:t>
            </w:r>
          </w:p>
        </w:tc>
      </w:tr>
      <w:tr w:rsidR="00465EE6" w:rsidRPr="00465EE6" w:rsidTr="00465EE6">
        <w:trPr>
          <w:cnfStyle w:val="000000100000"/>
          <w:trHeight w:val="499"/>
        </w:trPr>
        <w:tc>
          <w:tcPr>
            <w:tcW w:w="3836" w:type="dxa"/>
            <w:hideMark/>
          </w:tcPr>
          <w:p w:rsidR="00465EE6" w:rsidRPr="00465EE6" w:rsidRDefault="00465EE6" w:rsidP="00465EE6">
            <w:pPr>
              <w:textAlignment w:val="bottom"/>
              <w:rPr>
                <w:rFonts w:eastAsia="Times New Roman" w:cstheme="minorHAnsi"/>
                <w:lang w:eastAsia="en-ZA"/>
              </w:rPr>
            </w:pPr>
            <w:r w:rsidRPr="00465EE6">
              <w:rPr>
                <w:rFonts w:eastAsia="Times New Roman" w:cstheme="minorHAnsi"/>
                <w:color w:val="000000"/>
                <w:kern w:val="24"/>
                <w:lang w:val="en-US" w:eastAsia="en-ZA"/>
              </w:rPr>
              <w:t>Parliamentary Budget Office</w:t>
            </w:r>
          </w:p>
        </w:tc>
        <w:tc>
          <w:tcPr>
            <w:tcW w:w="1065"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3,586</w:t>
            </w:r>
          </w:p>
        </w:tc>
        <w:tc>
          <w:tcPr>
            <w:tcW w:w="772"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22%</w:t>
            </w:r>
          </w:p>
        </w:tc>
        <w:tc>
          <w:tcPr>
            <w:tcW w:w="1012"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3,442</w:t>
            </w:r>
          </w:p>
        </w:tc>
        <w:tc>
          <w:tcPr>
            <w:tcW w:w="692"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21%</w:t>
            </w:r>
          </w:p>
        </w:tc>
        <w:tc>
          <w:tcPr>
            <w:tcW w:w="919"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7,028</w:t>
            </w:r>
          </w:p>
        </w:tc>
        <w:tc>
          <w:tcPr>
            <w:tcW w:w="572"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43%</w:t>
            </w:r>
          </w:p>
        </w:tc>
        <w:tc>
          <w:tcPr>
            <w:tcW w:w="945"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16,193</w:t>
            </w:r>
          </w:p>
        </w:tc>
      </w:tr>
      <w:tr w:rsidR="00465EE6" w:rsidRPr="00465EE6" w:rsidTr="00465EE6">
        <w:trPr>
          <w:trHeight w:val="499"/>
        </w:trPr>
        <w:tc>
          <w:tcPr>
            <w:tcW w:w="3836" w:type="dxa"/>
            <w:hideMark/>
          </w:tcPr>
          <w:p w:rsidR="00465EE6" w:rsidRPr="00465EE6" w:rsidRDefault="00465EE6" w:rsidP="00465EE6">
            <w:pPr>
              <w:textAlignment w:val="bottom"/>
              <w:rPr>
                <w:rFonts w:eastAsia="Times New Roman" w:cstheme="minorHAnsi"/>
                <w:lang w:eastAsia="en-ZA"/>
              </w:rPr>
            </w:pPr>
            <w:r w:rsidRPr="00465EE6">
              <w:rPr>
                <w:rFonts w:eastAsia="Times New Roman" w:cstheme="minorHAnsi"/>
                <w:color w:val="000000"/>
                <w:kern w:val="24"/>
                <w:lang w:val="en-US" w:eastAsia="en-ZA"/>
              </w:rPr>
              <w:t>OISD</w:t>
            </w:r>
          </w:p>
        </w:tc>
        <w:tc>
          <w:tcPr>
            <w:tcW w:w="1065"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2,105</w:t>
            </w:r>
          </w:p>
        </w:tc>
        <w:tc>
          <w:tcPr>
            <w:tcW w:w="772"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21%</w:t>
            </w:r>
          </w:p>
        </w:tc>
        <w:tc>
          <w:tcPr>
            <w:tcW w:w="1012"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2,181</w:t>
            </w:r>
          </w:p>
        </w:tc>
        <w:tc>
          <w:tcPr>
            <w:tcW w:w="692"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22%</w:t>
            </w:r>
          </w:p>
        </w:tc>
        <w:tc>
          <w:tcPr>
            <w:tcW w:w="919"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4,286</w:t>
            </w:r>
          </w:p>
        </w:tc>
        <w:tc>
          <w:tcPr>
            <w:tcW w:w="572"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44%</w:t>
            </w:r>
          </w:p>
        </w:tc>
        <w:tc>
          <w:tcPr>
            <w:tcW w:w="945"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9,806</w:t>
            </w:r>
          </w:p>
        </w:tc>
      </w:tr>
      <w:tr w:rsidR="00465EE6" w:rsidRPr="00465EE6" w:rsidTr="00465EE6">
        <w:trPr>
          <w:cnfStyle w:val="000000100000"/>
          <w:trHeight w:val="499"/>
        </w:trPr>
        <w:tc>
          <w:tcPr>
            <w:tcW w:w="3836" w:type="dxa"/>
            <w:hideMark/>
          </w:tcPr>
          <w:p w:rsidR="00465EE6" w:rsidRPr="00465EE6" w:rsidRDefault="00465EE6" w:rsidP="00465EE6">
            <w:pPr>
              <w:textAlignment w:val="bottom"/>
              <w:rPr>
                <w:rFonts w:eastAsia="Times New Roman" w:cstheme="minorHAnsi"/>
                <w:lang w:eastAsia="en-ZA"/>
              </w:rPr>
            </w:pPr>
            <w:r w:rsidRPr="00465EE6">
              <w:rPr>
                <w:rFonts w:eastAsia="Times New Roman" w:cstheme="minorHAnsi"/>
                <w:color w:val="000000"/>
                <w:kern w:val="24"/>
                <w:lang w:eastAsia="en-ZA"/>
              </w:rPr>
              <w:t>Treasury Advice</w:t>
            </w:r>
          </w:p>
        </w:tc>
        <w:tc>
          <w:tcPr>
            <w:tcW w:w="1065"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0</w:t>
            </w:r>
          </w:p>
        </w:tc>
        <w:tc>
          <w:tcPr>
            <w:tcW w:w="772"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0%</w:t>
            </w:r>
          </w:p>
        </w:tc>
        <w:tc>
          <w:tcPr>
            <w:tcW w:w="1012"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0</w:t>
            </w:r>
          </w:p>
        </w:tc>
        <w:tc>
          <w:tcPr>
            <w:tcW w:w="692"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0%</w:t>
            </w:r>
          </w:p>
        </w:tc>
        <w:tc>
          <w:tcPr>
            <w:tcW w:w="919"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0</w:t>
            </w:r>
          </w:p>
        </w:tc>
        <w:tc>
          <w:tcPr>
            <w:tcW w:w="572"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0%</w:t>
            </w:r>
          </w:p>
        </w:tc>
        <w:tc>
          <w:tcPr>
            <w:tcW w:w="945"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50</w:t>
            </w:r>
          </w:p>
        </w:tc>
      </w:tr>
      <w:tr w:rsidR="00465EE6" w:rsidRPr="00465EE6" w:rsidTr="00465EE6">
        <w:trPr>
          <w:trHeight w:val="499"/>
        </w:trPr>
        <w:tc>
          <w:tcPr>
            <w:tcW w:w="3836" w:type="dxa"/>
            <w:hideMark/>
          </w:tcPr>
          <w:p w:rsidR="00465EE6" w:rsidRPr="00465EE6" w:rsidRDefault="00465EE6" w:rsidP="00465EE6">
            <w:pPr>
              <w:textAlignment w:val="bottom"/>
              <w:rPr>
                <w:rFonts w:eastAsia="Times New Roman" w:cstheme="minorHAnsi"/>
                <w:lang w:eastAsia="en-ZA"/>
              </w:rPr>
            </w:pPr>
            <w:r w:rsidRPr="00465EE6">
              <w:rPr>
                <w:rFonts w:eastAsia="Times New Roman" w:cstheme="minorHAnsi"/>
                <w:b/>
                <w:bCs/>
                <w:color w:val="000000"/>
                <w:kern w:val="24"/>
                <w:lang w:val="en-US" w:eastAsia="en-ZA"/>
              </w:rPr>
              <w:t>TOTAL</w:t>
            </w:r>
          </w:p>
        </w:tc>
        <w:tc>
          <w:tcPr>
            <w:tcW w:w="1065"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b/>
                <w:bCs/>
                <w:color w:val="000000"/>
                <w:kern w:val="24"/>
                <w:lang w:val="en-US" w:eastAsia="en-ZA"/>
              </w:rPr>
              <w:t>21,079</w:t>
            </w:r>
          </w:p>
        </w:tc>
        <w:tc>
          <w:tcPr>
            <w:tcW w:w="772"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b/>
                <w:bCs/>
                <w:color w:val="000000"/>
                <w:kern w:val="24"/>
                <w:lang w:val="en-US" w:eastAsia="en-ZA"/>
              </w:rPr>
              <w:t>19%</w:t>
            </w:r>
          </w:p>
        </w:tc>
        <w:tc>
          <w:tcPr>
            <w:tcW w:w="1012"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b/>
                <w:bCs/>
                <w:color w:val="000000"/>
                <w:kern w:val="24"/>
                <w:lang w:val="en-US" w:eastAsia="en-ZA"/>
              </w:rPr>
              <w:t>22,023</w:t>
            </w:r>
          </w:p>
        </w:tc>
        <w:tc>
          <w:tcPr>
            <w:tcW w:w="692"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b/>
                <w:bCs/>
                <w:color w:val="000000"/>
                <w:kern w:val="24"/>
                <w:lang w:val="en-US" w:eastAsia="en-ZA"/>
              </w:rPr>
              <w:t>20%</w:t>
            </w:r>
          </w:p>
        </w:tc>
        <w:tc>
          <w:tcPr>
            <w:tcW w:w="919"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b/>
                <w:bCs/>
                <w:color w:val="000000"/>
                <w:kern w:val="24"/>
                <w:lang w:val="en-US" w:eastAsia="en-ZA"/>
              </w:rPr>
              <w:t>43,102</w:t>
            </w:r>
          </w:p>
        </w:tc>
        <w:tc>
          <w:tcPr>
            <w:tcW w:w="572"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b/>
                <w:bCs/>
                <w:color w:val="000000"/>
                <w:kern w:val="24"/>
                <w:lang w:val="en-US" w:eastAsia="en-ZA"/>
              </w:rPr>
              <w:t>38%</w:t>
            </w:r>
          </w:p>
        </w:tc>
        <w:tc>
          <w:tcPr>
            <w:tcW w:w="945"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b/>
                <w:bCs/>
                <w:color w:val="000000"/>
                <w:kern w:val="24"/>
                <w:lang w:val="en-US" w:eastAsia="en-ZA"/>
              </w:rPr>
              <w:t>112,216</w:t>
            </w:r>
          </w:p>
        </w:tc>
      </w:tr>
    </w:tbl>
    <w:p w:rsidR="006758E9" w:rsidRDefault="006758E9" w:rsidP="00BB5D1A">
      <w:pPr>
        <w:spacing w:after="0"/>
        <w:rPr>
          <w:rFonts w:ascii="Calibri" w:hAnsi="Calibri" w:cs="Calibri"/>
          <w:sz w:val="24"/>
          <w:szCs w:val="24"/>
        </w:rPr>
      </w:pPr>
    </w:p>
    <w:p w:rsidR="006758E9" w:rsidRDefault="006758E9" w:rsidP="00BB5D1A">
      <w:pPr>
        <w:spacing w:after="0"/>
        <w:rPr>
          <w:rFonts w:ascii="Calibri" w:hAnsi="Calibri" w:cs="Calibri"/>
          <w:sz w:val="24"/>
          <w:szCs w:val="24"/>
        </w:rPr>
      </w:pPr>
    </w:p>
    <w:p w:rsidR="006758E9" w:rsidRDefault="006758E9" w:rsidP="00BB5D1A">
      <w:pPr>
        <w:spacing w:after="0"/>
        <w:rPr>
          <w:rFonts w:ascii="Calibri" w:hAnsi="Calibri" w:cs="Calibri"/>
          <w:sz w:val="24"/>
          <w:szCs w:val="24"/>
        </w:rPr>
      </w:pPr>
    </w:p>
    <w:p w:rsidR="006758E9" w:rsidRDefault="006758E9" w:rsidP="00BB5D1A">
      <w:pPr>
        <w:spacing w:after="0"/>
        <w:rPr>
          <w:rFonts w:ascii="Calibri" w:hAnsi="Calibri" w:cs="Calibri"/>
          <w:sz w:val="24"/>
          <w:szCs w:val="24"/>
        </w:rPr>
      </w:pPr>
    </w:p>
    <w:p w:rsidR="006758E9" w:rsidRPr="00465EE6" w:rsidRDefault="009F6F91" w:rsidP="009F6F91">
      <w:pPr>
        <w:rPr>
          <w:rFonts w:ascii="Calibri" w:hAnsi="Calibri" w:cs="Calibri"/>
          <w:b/>
          <w:sz w:val="24"/>
          <w:szCs w:val="24"/>
        </w:rPr>
      </w:pPr>
      <w:r>
        <w:rPr>
          <w:rFonts w:ascii="Calibri" w:hAnsi="Calibri" w:cs="Calibri"/>
          <w:b/>
          <w:sz w:val="24"/>
          <w:szCs w:val="24"/>
        </w:rPr>
        <w:br w:type="page"/>
      </w:r>
      <w:r w:rsidR="00465EE6">
        <w:rPr>
          <w:rFonts w:ascii="Calibri" w:hAnsi="Calibri" w:cs="Calibri"/>
          <w:b/>
          <w:sz w:val="24"/>
          <w:szCs w:val="24"/>
        </w:rPr>
        <w:lastRenderedPageBreak/>
        <w:t>Programme 2</w:t>
      </w:r>
      <w:r w:rsidR="00465EE6" w:rsidRPr="00465EE6">
        <w:rPr>
          <w:rFonts w:ascii="Calibri" w:hAnsi="Calibri" w:cs="Calibri"/>
          <w:b/>
          <w:sz w:val="24"/>
          <w:szCs w:val="24"/>
        </w:rPr>
        <w:t>: Administration</w:t>
      </w:r>
    </w:p>
    <w:p w:rsidR="006758E9" w:rsidRPr="00386AB9" w:rsidRDefault="006758E9" w:rsidP="00BB5D1A">
      <w:pPr>
        <w:spacing w:after="0"/>
        <w:rPr>
          <w:rFonts w:ascii="Calibri" w:hAnsi="Calibri" w:cs="Calibri"/>
        </w:rPr>
      </w:pPr>
    </w:p>
    <w:p w:rsidR="006758E9" w:rsidRPr="00386AB9" w:rsidRDefault="00465EE6" w:rsidP="00465EE6">
      <w:pPr>
        <w:spacing w:after="0"/>
        <w:jc w:val="both"/>
        <w:rPr>
          <w:rFonts w:ascii="Calibri" w:hAnsi="Calibri" w:cs="Calibri"/>
        </w:rPr>
      </w:pPr>
      <w:r w:rsidRPr="00386AB9">
        <w:rPr>
          <w:rFonts w:ascii="Calibri" w:hAnsi="Calibri" w:cs="Calibri"/>
        </w:rPr>
        <w:t>Programme 2 has spent R63,442m or 36 percent of the annual budget of R176,619m for the first half of the financial year and spending for the second quarter against the annual budget is 23 percent. Offices of the Secretary, Strategic Management &amp; Governance, Finance Management Office, Registrar of Members Interest, Internal Audit and Legislative Support Sector spent 38, 44, 37, 35, 46 and 24 percent respectively. Indications are that at the end of the financial year the programme will spent R169,522m of the annual budget, resulting in a variance of R7,097m or 4 percent.</w:t>
      </w:r>
    </w:p>
    <w:p w:rsidR="006758E9" w:rsidRDefault="006758E9" w:rsidP="00BB5D1A">
      <w:pPr>
        <w:spacing w:after="0"/>
        <w:rPr>
          <w:rFonts w:ascii="Calibri" w:hAnsi="Calibri" w:cs="Calibri"/>
          <w:sz w:val="24"/>
          <w:szCs w:val="24"/>
        </w:rPr>
      </w:pPr>
    </w:p>
    <w:tbl>
      <w:tblPr>
        <w:tblStyle w:val="GridTable4Accent4"/>
        <w:tblW w:w="9891" w:type="dxa"/>
        <w:tblLook w:val="0420"/>
      </w:tblPr>
      <w:tblGrid>
        <w:gridCol w:w="3808"/>
        <w:gridCol w:w="1071"/>
        <w:gridCol w:w="774"/>
        <w:gridCol w:w="1018"/>
        <w:gridCol w:w="696"/>
        <w:gridCol w:w="968"/>
        <w:gridCol w:w="604"/>
        <w:gridCol w:w="952"/>
      </w:tblGrid>
      <w:tr w:rsidR="00465EE6" w:rsidRPr="00465EE6" w:rsidTr="00465EE6">
        <w:trPr>
          <w:cnfStyle w:val="100000000000"/>
          <w:trHeight w:val="417"/>
        </w:trPr>
        <w:tc>
          <w:tcPr>
            <w:tcW w:w="3808" w:type="dxa"/>
            <w:hideMark/>
          </w:tcPr>
          <w:p w:rsidR="00465EE6" w:rsidRPr="00465EE6" w:rsidRDefault="00465EE6" w:rsidP="00465EE6">
            <w:pPr>
              <w:rPr>
                <w:rFonts w:eastAsia="Times New Roman" w:cstheme="minorHAnsi"/>
                <w:lang w:eastAsia="en-ZA"/>
              </w:rPr>
            </w:pPr>
            <w:r w:rsidRPr="00465EE6">
              <w:rPr>
                <w:rFonts w:eastAsia="Times New Roman" w:cstheme="minorHAnsi"/>
                <w:color w:val="000000"/>
                <w:kern w:val="24"/>
                <w:lang w:eastAsia="en-ZA"/>
              </w:rPr>
              <w:t>Divisions</w:t>
            </w:r>
          </w:p>
        </w:tc>
        <w:tc>
          <w:tcPr>
            <w:tcW w:w="5131" w:type="dxa"/>
            <w:gridSpan w:val="6"/>
            <w:hideMark/>
          </w:tcPr>
          <w:p w:rsidR="00465EE6" w:rsidRPr="00465EE6" w:rsidRDefault="00465EE6" w:rsidP="00465EE6">
            <w:pPr>
              <w:jc w:val="center"/>
              <w:rPr>
                <w:rFonts w:eastAsia="Times New Roman" w:cstheme="minorHAnsi"/>
                <w:lang w:eastAsia="en-ZA"/>
              </w:rPr>
            </w:pPr>
            <w:r w:rsidRPr="00465EE6">
              <w:rPr>
                <w:rFonts w:eastAsia="Times New Roman" w:cstheme="minorHAnsi"/>
                <w:color w:val="000000"/>
                <w:kern w:val="24"/>
                <w:lang w:eastAsia="en-ZA"/>
              </w:rPr>
              <w:t>Total spending</w:t>
            </w:r>
          </w:p>
        </w:tc>
        <w:tc>
          <w:tcPr>
            <w:tcW w:w="952" w:type="dxa"/>
            <w:vMerge w:val="restart"/>
            <w:hideMark/>
          </w:tcPr>
          <w:p w:rsidR="00465EE6" w:rsidRPr="00465EE6" w:rsidRDefault="00465EE6" w:rsidP="00465EE6">
            <w:pPr>
              <w:rPr>
                <w:rFonts w:eastAsia="Times New Roman" w:cstheme="minorHAnsi"/>
                <w:lang w:eastAsia="en-ZA"/>
              </w:rPr>
            </w:pPr>
            <w:r w:rsidRPr="00465EE6">
              <w:rPr>
                <w:rFonts w:eastAsia="Times New Roman" w:cstheme="minorHAnsi"/>
                <w:color w:val="000000"/>
                <w:kern w:val="24"/>
                <w:lang w:eastAsia="en-ZA"/>
              </w:rPr>
              <w:t>Annual Budget</w:t>
            </w:r>
          </w:p>
          <w:p w:rsidR="00465EE6" w:rsidRPr="00465EE6" w:rsidRDefault="00465EE6" w:rsidP="00465EE6">
            <w:pPr>
              <w:rPr>
                <w:rFonts w:eastAsia="Times New Roman" w:cstheme="minorHAnsi"/>
                <w:lang w:eastAsia="en-ZA"/>
              </w:rPr>
            </w:pPr>
            <w:r w:rsidRPr="00465EE6">
              <w:rPr>
                <w:rFonts w:eastAsia="Times New Roman" w:cstheme="minorHAnsi"/>
                <w:color w:val="000000"/>
                <w:kern w:val="24"/>
                <w:lang w:eastAsia="en-ZA"/>
              </w:rPr>
              <w:t>R’000</w:t>
            </w:r>
          </w:p>
        </w:tc>
      </w:tr>
      <w:tr w:rsidR="00465EE6" w:rsidRPr="00465EE6" w:rsidTr="00465EE6">
        <w:trPr>
          <w:cnfStyle w:val="000000100000"/>
          <w:trHeight w:val="417"/>
        </w:trPr>
        <w:tc>
          <w:tcPr>
            <w:tcW w:w="3808" w:type="dxa"/>
            <w:hideMark/>
          </w:tcPr>
          <w:p w:rsidR="00465EE6" w:rsidRPr="00465EE6" w:rsidRDefault="00465EE6" w:rsidP="00465EE6">
            <w:pPr>
              <w:rPr>
                <w:rFonts w:eastAsia="Times New Roman" w:cstheme="minorHAnsi"/>
                <w:lang w:eastAsia="en-ZA"/>
              </w:rPr>
            </w:pPr>
          </w:p>
        </w:tc>
        <w:tc>
          <w:tcPr>
            <w:tcW w:w="1845" w:type="dxa"/>
            <w:gridSpan w:val="2"/>
            <w:hideMark/>
          </w:tcPr>
          <w:p w:rsidR="00465EE6" w:rsidRPr="00465EE6" w:rsidRDefault="00465EE6" w:rsidP="00465EE6">
            <w:pPr>
              <w:jc w:val="center"/>
              <w:rPr>
                <w:rFonts w:eastAsia="Times New Roman" w:cstheme="minorHAnsi"/>
                <w:lang w:eastAsia="en-ZA"/>
              </w:rPr>
            </w:pPr>
            <w:r w:rsidRPr="00465EE6">
              <w:rPr>
                <w:rFonts w:eastAsia="Times New Roman" w:cstheme="minorHAnsi"/>
                <w:b/>
                <w:bCs/>
                <w:color w:val="000000"/>
                <w:kern w:val="24"/>
                <w:lang w:eastAsia="en-ZA"/>
              </w:rPr>
              <w:t>Quarter 1</w:t>
            </w:r>
          </w:p>
        </w:tc>
        <w:tc>
          <w:tcPr>
            <w:tcW w:w="1714" w:type="dxa"/>
            <w:gridSpan w:val="2"/>
            <w:hideMark/>
          </w:tcPr>
          <w:p w:rsidR="00465EE6" w:rsidRPr="00465EE6" w:rsidRDefault="00465EE6" w:rsidP="00465EE6">
            <w:pPr>
              <w:jc w:val="center"/>
              <w:rPr>
                <w:rFonts w:eastAsia="Times New Roman" w:cstheme="minorHAnsi"/>
                <w:lang w:eastAsia="en-ZA"/>
              </w:rPr>
            </w:pPr>
            <w:r w:rsidRPr="00465EE6">
              <w:rPr>
                <w:rFonts w:eastAsia="Times New Roman" w:cstheme="minorHAnsi"/>
                <w:b/>
                <w:bCs/>
                <w:color w:val="000000"/>
                <w:kern w:val="24"/>
                <w:lang w:eastAsia="en-ZA"/>
              </w:rPr>
              <w:t>Quarter 2</w:t>
            </w:r>
          </w:p>
        </w:tc>
        <w:tc>
          <w:tcPr>
            <w:tcW w:w="1571" w:type="dxa"/>
            <w:gridSpan w:val="2"/>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Year to Date</w:t>
            </w:r>
          </w:p>
        </w:tc>
        <w:tc>
          <w:tcPr>
            <w:tcW w:w="0" w:type="auto"/>
            <w:vMerge/>
            <w:hideMark/>
          </w:tcPr>
          <w:p w:rsidR="00465EE6" w:rsidRPr="00465EE6" w:rsidRDefault="00465EE6" w:rsidP="00465EE6">
            <w:pPr>
              <w:rPr>
                <w:rFonts w:eastAsia="Times New Roman" w:cstheme="minorHAnsi"/>
                <w:lang w:eastAsia="en-ZA"/>
              </w:rPr>
            </w:pPr>
          </w:p>
        </w:tc>
      </w:tr>
      <w:tr w:rsidR="00465EE6" w:rsidRPr="00465EE6" w:rsidTr="00465EE6">
        <w:trPr>
          <w:trHeight w:val="417"/>
        </w:trPr>
        <w:tc>
          <w:tcPr>
            <w:tcW w:w="3808" w:type="dxa"/>
            <w:hideMark/>
          </w:tcPr>
          <w:p w:rsidR="00465EE6" w:rsidRPr="00465EE6" w:rsidRDefault="00465EE6" w:rsidP="00465EE6">
            <w:pPr>
              <w:rPr>
                <w:rFonts w:eastAsia="Times New Roman" w:cstheme="minorHAnsi"/>
                <w:lang w:eastAsia="en-ZA"/>
              </w:rPr>
            </w:pPr>
          </w:p>
        </w:tc>
        <w:tc>
          <w:tcPr>
            <w:tcW w:w="1071"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Amount</w:t>
            </w:r>
          </w:p>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R’000</w:t>
            </w:r>
          </w:p>
        </w:tc>
        <w:tc>
          <w:tcPr>
            <w:tcW w:w="773"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w:t>
            </w:r>
          </w:p>
        </w:tc>
        <w:tc>
          <w:tcPr>
            <w:tcW w:w="1018"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Amount</w:t>
            </w:r>
          </w:p>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R’000</w:t>
            </w:r>
          </w:p>
        </w:tc>
        <w:tc>
          <w:tcPr>
            <w:tcW w:w="696"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w:t>
            </w:r>
          </w:p>
        </w:tc>
        <w:tc>
          <w:tcPr>
            <w:tcW w:w="968"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Amount</w:t>
            </w:r>
          </w:p>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R’000</w:t>
            </w:r>
          </w:p>
        </w:tc>
        <w:tc>
          <w:tcPr>
            <w:tcW w:w="603"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w:t>
            </w:r>
          </w:p>
        </w:tc>
        <w:tc>
          <w:tcPr>
            <w:tcW w:w="0" w:type="auto"/>
            <w:vMerge/>
            <w:hideMark/>
          </w:tcPr>
          <w:p w:rsidR="00465EE6" w:rsidRPr="00465EE6" w:rsidRDefault="00465EE6" w:rsidP="00465EE6">
            <w:pPr>
              <w:rPr>
                <w:rFonts w:eastAsia="Times New Roman" w:cstheme="minorHAnsi"/>
                <w:lang w:eastAsia="en-ZA"/>
              </w:rPr>
            </w:pPr>
          </w:p>
        </w:tc>
      </w:tr>
      <w:tr w:rsidR="00465EE6" w:rsidRPr="00465EE6" w:rsidTr="00465EE6">
        <w:trPr>
          <w:cnfStyle w:val="000000100000"/>
          <w:trHeight w:val="233"/>
        </w:trPr>
        <w:tc>
          <w:tcPr>
            <w:tcW w:w="3808" w:type="dxa"/>
            <w:hideMark/>
          </w:tcPr>
          <w:p w:rsidR="00465EE6" w:rsidRPr="00465EE6" w:rsidRDefault="00465EE6" w:rsidP="00465EE6">
            <w:pPr>
              <w:spacing w:line="360" w:lineRule="auto"/>
              <w:jc w:val="both"/>
              <w:rPr>
                <w:rFonts w:eastAsia="Times New Roman" w:cstheme="minorHAnsi"/>
                <w:lang w:eastAsia="en-ZA"/>
              </w:rPr>
            </w:pPr>
            <w:r w:rsidRPr="00465EE6">
              <w:rPr>
                <w:rFonts w:eastAsia="Calibri" w:cstheme="minorHAnsi"/>
                <w:color w:val="000000"/>
                <w:kern w:val="24"/>
                <w:lang w:val="en-US" w:eastAsia="en-ZA"/>
              </w:rPr>
              <w:t>Office of the Secretary</w:t>
            </w:r>
          </w:p>
        </w:tc>
        <w:tc>
          <w:tcPr>
            <w:tcW w:w="1071"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1,980</w:t>
            </w:r>
          </w:p>
        </w:tc>
        <w:tc>
          <w:tcPr>
            <w:tcW w:w="773"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19%</w:t>
            </w:r>
          </w:p>
        </w:tc>
        <w:tc>
          <w:tcPr>
            <w:tcW w:w="1018"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1,935</w:t>
            </w:r>
          </w:p>
        </w:tc>
        <w:tc>
          <w:tcPr>
            <w:tcW w:w="696"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19%</w:t>
            </w:r>
          </w:p>
        </w:tc>
        <w:tc>
          <w:tcPr>
            <w:tcW w:w="968"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3,915</w:t>
            </w:r>
          </w:p>
        </w:tc>
        <w:tc>
          <w:tcPr>
            <w:tcW w:w="603"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38%</w:t>
            </w:r>
          </w:p>
        </w:tc>
        <w:tc>
          <w:tcPr>
            <w:tcW w:w="952"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10,269</w:t>
            </w:r>
          </w:p>
        </w:tc>
      </w:tr>
      <w:tr w:rsidR="00465EE6" w:rsidRPr="00465EE6" w:rsidTr="00465EE6">
        <w:trPr>
          <w:trHeight w:val="395"/>
        </w:trPr>
        <w:tc>
          <w:tcPr>
            <w:tcW w:w="3808" w:type="dxa"/>
            <w:hideMark/>
          </w:tcPr>
          <w:p w:rsidR="00465EE6" w:rsidRPr="00465EE6" w:rsidRDefault="00465EE6" w:rsidP="00465EE6">
            <w:pPr>
              <w:spacing w:line="256" w:lineRule="auto"/>
              <w:rPr>
                <w:rFonts w:eastAsia="Times New Roman" w:cstheme="minorHAnsi"/>
                <w:lang w:eastAsia="en-ZA"/>
              </w:rPr>
            </w:pPr>
            <w:r w:rsidRPr="00465EE6">
              <w:rPr>
                <w:rFonts w:eastAsia="Calibri" w:cstheme="minorHAnsi"/>
                <w:color w:val="000000"/>
                <w:kern w:val="24"/>
                <w:lang w:val="en-US" w:eastAsia="en-ZA"/>
              </w:rPr>
              <w:t>Strategic Management &amp; Governance</w:t>
            </w:r>
          </w:p>
        </w:tc>
        <w:tc>
          <w:tcPr>
            <w:tcW w:w="1071"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7,058</w:t>
            </w:r>
          </w:p>
        </w:tc>
        <w:tc>
          <w:tcPr>
            <w:tcW w:w="773"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22%</w:t>
            </w:r>
          </w:p>
        </w:tc>
        <w:tc>
          <w:tcPr>
            <w:tcW w:w="1018"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7,085</w:t>
            </w:r>
          </w:p>
        </w:tc>
        <w:tc>
          <w:tcPr>
            <w:tcW w:w="696"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23%</w:t>
            </w:r>
          </w:p>
        </w:tc>
        <w:tc>
          <w:tcPr>
            <w:tcW w:w="968"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14,143</w:t>
            </w:r>
          </w:p>
        </w:tc>
        <w:tc>
          <w:tcPr>
            <w:tcW w:w="603"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44%</w:t>
            </w:r>
          </w:p>
        </w:tc>
        <w:tc>
          <w:tcPr>
            <w:tcW w:w="952"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32,138</w:t>
            </w:r>
          </w:p>
        </w:tc>
      </w:tr>
      <w:tr w:rsidR="00465EE6" w:rsidRPr="00465EE6" w:rsidTr="00465EE6">
        <w:trPr>
          <w:cnfStyle w:val="000000100000"/>
          <w:trHeight w:val="417"/>
        </w:trPr>
        <w:tc>
          <w:tcPr>
            <w:tcW w:w="3808" w:type="dxa"/>
            <w:hideMark/>
          </w:tcPr>
          <w:p w:rsidR="00465EE6" w:rsidRPr="00465EE6" w:rsidRDefault="00465EE6" w:rsidP="00465EE6">
            <w:pPr>
              <w:spacing w:line="360" w:lineRule="auto"/>
              <w:jc w:val="both"/>
              <w:rPr>
                <w:rFonts w:eastAsia="Times New Roman" w:cstheme="minorHAnsi"/>
                <w:lang w:eastAsia="en-ZA"/>
              </w:rPr>
            </w:pPr>
            <w:r w:rsidRPr="00465EE6">
              <w:rPr>
                <w:rFonts w:eastAsia="Calibri" w:cstheme="minorHAnsi"/>
                <w:color w:val="000000"/>
                <w:kern w:val="24"/>
                <w:lang w:val="en-US" w:eastAsia="en-ZA"/>
              </w:rPr>
              <w:t>Finance Management Office ***</w:t>
            </w:r>
          </w:p>
        </w:tc>
        <w:tc>
          <w:tcPr>
            <w:tcW w:w="1071"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12,856</w:t>
            </w:r>
          </w:p>
        </w:tc>
        <w:tc>
          <w:tcPr>
            <w:tcW w:w="773"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17%</w:t>
            </w:r>
          </w:p>
        </w:tc>
        <w:tc>
          <w:tcPr>
            <w:tcW w:w="1018"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14,107</w:t>
            </w:r>
          </w:p>
        </w:tc>
        <w:tc>
          <w:tcPr>
            <w:tcW w:w="696"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35%</w:t>
            </w:r>
          </w:p>
        </w:tc>
        <w:tc>
          <w:tcPr>
            <w:tcW w:w="968"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26,963</w:t>
            </w:r>
          </w:p>
        </w:tc>
        <w:tc>
          <w:tcPr>
            <w:tcW w:w="603"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37%</w:t>
            </w:r>
          </w:p>
        </w:tc>
        <w:tc>
          <w:tcPr>
            <w:tcW w:w="952"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73,743</w:t>
            </w:r>
          </w:p>
        </w:tc>
      </w:tr>
      <w:tr w:rsidR="00465EE6" w:rsidRPr="00465EE6" w:rsidTr="00465EE6">
        <w:trPr>
          <w:trHeight w:val="279"/>
        </w:trPr>
        <w:tc>
          <w:tcPr>
            <w:tcW w:w="3808" w:type="dxa"/>
            <w:hideMark/>
          </w:tcPr>
          <w:p w:rsidR="00465EE6" w:rsidRPr="00465EE6" w:rsidRDefault="00465EE6" w:rsidP="00465EE6">
            <w:pPr>
              <w:spacing w:line="360" w:lineRule="auto"/>
              <w:jc w:val="both"/>
              <w:rPr>
                <w:rFonts w:eastAsia="Times New Roman" w:cstheme="minorHAnsi"/>
                <w:lang w:eastAsia="en-ZA"/>
              </w:rPr>
            </w:pPr>
            <w:r w:rsidRPr="00465EE6">
              <w:rPr>
                <w:rFonts w:eastAsia="Calibri" w:cstheme="minorHAnsi"/>
                <w:color w:val="000000"/>
                <w:kern w:val="24"/>
                <w:lang w:val="en-US" w:eastAsia="en-ZA"/>
              </w:rPr>
              <w:t>Registrar of Members’ Interest</w:t>
            </w:r>
          </w:p>
        </w:tc>
        <w:tc>
          <w:tcPr>
            <w:tcW w:w="1071"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447</w:t>
            </w:r>
          </w:p>
        </w:tc>
        <w:tc>
          <w:tcPr>
            <w:tcW w:w="773"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18%</w:t>
            </w:r>
          </w:p>
        </w:tc>
        <w:tc>
          <w:tcPr>
            <w:tcW w:w="1018"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453</w:t>
            </w:r>
          </w:p>
        </w:tc>
        <w:tc>
          <w:tcPr>
            <w:tcW w:w="696"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24%</w:t>
            </w:r>
          </w:p>
        </w:tc>
        <w:tc>
          <w:tcPr>
            <w:tcW w:w="968"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900</w:t>
            </w:r>
          </w:p>
        </w:tc>
        <w:tc>
          <w:tcPr>
            <w:tcW w:w="603"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35%</w:t>
            </w:r>
          </w:p>
        </w:tc>
        <w:tc>
          <w:tcPr>
            <w:tcW w:w="952"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2,545</w:t>
            </w:r>
          </w:p>
        </w:tc>
      </w:tr>
      <w:tr w:rsidR="00465EE6" w:rsidRPr="00465EE6" w:rsidTr="00465EE6">
        <w:trPr>
          <w:cnfStyle w:val="000000100000"/>
          <w:trHeight w:val="285"/>
        </w:trPr>
        <w:tc>
          <w:tcPr>
            <w:tcW w:w="3808" w:type="dxa"/>
            <w:hideMark/>
          </w:tcPr>
          <w:p w:rsidR="00465EE6" w:rsidRPr="00465EE6" w:rsidRDefault="00465EE6" w:rsidP="00465EE6">
            <w:pPr>
              <w:spacing w:line="360" w:lineRule="auto"/>
              <w:jc w:val="both"/>
              <w:rPr>
                <w:rFonts w:eastAsia="Times New Roman" w:cstheme="minorHAnsi"/>
                <w:lang w:eastAsia="en-ZA"/>
              </w:rPr>
            </w:pPr>
            <w:r w:rsidRPr="00465EE6">
              <w:rPr>
                <w:rFonts w:eastAsia="Calibri" w:cstheme="minorHAnsi"/>
                <w:color w:val="000000"/>
                <w:kern w:val="24"/>
                <w:lang w:val="en-US" w:eastAsia="en-ZA"/>
              </w:rPr>
              <w:t>Internal Audit</w:t>
            </w:r>
          </w:p>
        </w:tc>
        <w:tc>
          <w:tcPr>
            <w:tcW w:w="1071"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2,415</w:t>
            </w:r>
          </w:p>
        </w:tc>
        <w:tc>
          <w:tcPr>
            <w:tcW w:w="773"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14%</w:t>
            </w:r>
          </w:p>
        </w:tc>
        <w:tc>
          <w:tcPr>
            <w:tcW w:w="1018"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5,403</w:t>
            </w:r>
          </w:p>
        </w:tc>
        <w:tc>
          <w:tcPr>
            <w:tcW w:w="696"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15%</w:t>
            </w:r>
          </w:p>
        </w:tc>
        <w:tc>
          <w:tcPr>
            <w:tcW w:w="968"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7,818</w:t>
            </w:r>
          </w:p>
        </w:tc>
        <w:tc>
          <w:tcPr>
            <w:tcW w:w="603"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46%</w:t>
            </w:r>
          </w:p>
        </w:tc>
        <w:tc>
          <w:tcPr>
            <w:tcW w:w="952"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16,856</w:t>
            </w:r>
          </w:p>
        </w:tc>
      </w:tr>
      <w:tr w:rsidR="00465EE6" w:rsidRPr="00465EE6" w:rsidTr="00465EE6">
        <w:trPr>
          <w:trHeight w:val="417"/>
        </w:trPr>
        <w:tc>
          <w:tcPr>
            <w:tcW w:w="3808" w:type="dxa"/>
            <w:hideMark/>
          </w:tcPr>
          <w:p w:rsidR="00465EE6" w:rsidRPr="00465EE6" w:rsidRDefault="00465EE6" w:rsidP="00465EE6">
            <w:pPr>
              <w:spacing w:line="360" w:lineRule="auto"/>
              <w:jc w:val="both"/>
              <w:rPr>
                <w:rFonts w:eastAsia="Times New Roman" w:cstheme="minorHAnsi"/>
                <w:lang w:eastAsia="en-ZA"/>
              </w:rPr>
            </w:pPr>
            <w:r w:rsidRPr="00465EE6">
              <w:rPr>
                <w:rFonts w:eastAsia="Calibri" w:cstheme="minorHAnsi"/>
                <w:color w:val="000000"/>
                <w:kern w:val="24"/>
                <w:lang w:val="en-US" w:eastAsia="en-ZA"/>
              </w:rPr>
              <w:t>Legislative Sector Support</w:t>
            </w:r>
          </w:p>
        </w:tc>
        <w:tc>
          <w:tcPr>
            <w:tcW w:w="1071"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4,774</w:t>
            </w:r>
          </w:p>
        </w:tc>
        <w:tc>
          <w:tcPr>
            <w:tcW w:w="773"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12%</w:t>
            </w:r>
          </w:p>
        </w:tc>
        <w:tc>
          <w:tcPr>
            <w:tcW w:w="1018"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4,929</w:t>
            </w:r>
          </w:p>
        </w:tc>
        <w:tc>
          <w:tcPr>
            <w:tcW w:w="696"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16%</w:t>
            </w:r>
          </w:p>
        </w:tc>
        <w:tc>
          <w:tcPr>
            <w:tcW w:w="968"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9,703</w:t>
            </w:r>
          </w:p>
        </w:tc>
        <w:tc>
          <w:tcPr>
            <w:tcW w:w="603"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24%</w:t>
            </w:r>
          </w:p>
        </w:tc>
        <w:tc>
          <w:tcPr>
            <w:tcW w:w="952"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41,068</w:t>
            </w:r>
          </w:p>
        </w:tc>
      </w:tr>
      <w:tr w:rsidR="00465EE6" w:rsidRPr="00465EE6" w:rsidTr="00465EE6">
        <w:trPr>
          <w:cnfStyle w:val="000000100000"/>
          <w:trHeight w:val="113"/>
        </w:trPr>
        <w:tc>
          <w:tcPr>
            <w:tcW w:w="3808" w:type="dxa"/>
            <w:hideMark/>
          </w:tcPr>
          <w:p w:rsidR="00465EE6" w:rsidRPr="00465EE6" w:rsidRDefault="00465EE6" w:rsidP="00465EE6">
            <w:pPr>
              <w:textAlignment w:val="bottom"/>
              <w:rPr>
                <w:rFonts w:eastAsia="Times New Roman" w:cstheme="minorHAnsi"/>
                <w:lang w:eastAsia="en-ZA"/>
              </w:rPr>
            </w:pPr>
            <w:r w:rsidRPr="00465EE6">
              <w:rPr>
                <w:rFonts w:eastAsia="Times New Roman" w:cstheme="minorHAnsi"/>
                <w:b/>
                <w:bCs/>
                <w:color w:val="000000"/>
                <w:kern w:val="24"/>
                <w:lang w:val="en-US" w:eastAsia="en-ZA"/>
              </w:rPr>
              <w:t>TOTAL</w:t>
            </w:r>
          </w:p>
        </w:tc>
        <w:tc>
          <w:tcPr>
            <w:tcW w:w="1071"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b/>
                <w:bCs/>
                <w:color w:val="000000"/>
                <w:kern w:val="24"/>
                <w:lang w:val="en-US" w:eastAsia="en-ZA"/>
              </w:rPr>
              <w:t>29,530</w:t>
            </w:r>
          </w:p>
        </w:tc>
        <w:tc>
          <w:tcPr>
            <w:tcW w:w="773"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17%</w:t>
            </w:r>
          </w:p>
        </w:tc>
        <w:tc>
          <w:tcPr>
            <w:tcW w:w="1018"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b/>
                <w:bCs/>
                <w:color w:val="000000"/>
                <w:kern w:val="24"/>
                <w:lang w:val="en-US" w:eastAsia="en-ZA"/>
              </w:rPr>
              <w:t>33,912</w:t>
            </w:r>
          </w:p>
        </w:tc>
        <w:tc>
          <w:tcPr>
            <w:tcW w:w="696"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b/>
                <w:bCs/>
                <w:color w:val="000000"/>
                <w:kern w:val="24"/>
                <w:lang w:val="en-US" w:eastAsia="en-ZA"/>
              </w:rPr>
              <w:t>23%</w:t>
            </w:r>
          </w:p>
        </w:tc>
        <w:tc>
          <w:tcPr>
            <w:tcW w:w="968"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b/>
                <w:bCs/>
                <w:color w:val="000000"/>
                <w:kern w:val="24"/>
                <w:lang w:val="en-US" w:eastAsia="en-ZA"/>
              </w:rPr>
              <w:t>63,442</w:t>
            </w:r>
          </w:p>
        </w:tc>
        <w:tc>
          <w:tcPr>
            <w:tcW w:w="603"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36%</w:t>
            </w:r>
          </w:p>
        </w:tc>
        <w:tc>
          <w:tcPr>
            <w:tcW w:w="952"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b/>
                <w:bCs/>
                <w:color w:val="000000"/>
                <w:kern w:val="24"/>
                <w:lang w:val="en-US" w:eastAsia="en-ZA"/>
              </w:rPr>
              <w:t>176,619</w:t>
            </w:r>
          </w:p>
        </w:tc>
      </w:tr>
    </w:tbl>
    <w:p w:rsidR="00465EE6" w:rsidRDefault="00465EE6" w:rsidP="00BB5D1A">
      <w:pPr>
        <w:spacing w:after="0"/>
        <w:rPr>
          <w:rFonts w:ascii="Calibri" w:hAnsi="Calibri" w:cs="Calibri"/>
          <w:sz w:val="24"/>
          <w:szCs w:val="24"/>
        </w:rPr>
      </w:pPr>
    </w:p>
    <w:p w:rsidR="006758E9" w:rsidRPr="00465EE6" w:rsidRDefault="00465EE6" w:rsidP="00BB5D1A">
      <w:pPr>
        <w:spacing w:after="0"/>
        <w:rPr>
          <w:rFonts w:ascii="Calibri" w:hAnsi="Calibri" w:cs="Calibri"/>
          <w:b/>
          <w:sz w:val="24"/>
          <w:szCs w:val="24"/>
        </w:rPr>
      </w:pPr>
      <w:r>
        <w:rPr>
          <w:rFonts w:ascii="Calibri" w:hAnsi="Calibri" w:cs="Calibri"/>
          <w:b/>
          <w:sz w:val="24"/>
          <w:szCs w:val="24"/>
        </w:rPr>
        <w:t>Programme 3</w:t>
      </w:r>
      <w:r w:rsidRPr="00465EE6">
        <w:rPr>
          <w:rFonts w:ascii="Calibri" w:hAnsi="Calibri" w:cs="Calibri"/>
          <w:b/>
          <w:sz w:val="24"/>
          <w:szCs w:val="24"/>
        </w:rPr>
        <w:t>: Core Business</w:t>
      </w:r>
    </w:p>
    <w:p w:rsidR="006758E9" w:rsidRPr="00386AB9" w:rsidRDefault="006758E9" w:rsidP="00BB5D1A">
      <w:pPr>
        <w:spacing w:after="0"/>
        <w:rPr>
          <w:rFonts w:ascii="Calibri" w:hAnsi="Calibri" w:cs="Calibri"/>
        </w:rPr>
      </w:pPr>
    </w:p>
    <w:p w:rsidR="006758E9" w:rsidRPr="00386AB9" w:rsidRDefault="00465EE6" w:rsidP="00465EE6">
      <w:pPr>
        <w:spacing w:after="0"/>
        <w:jc w:val="both"/>
        <w:rPr>
          <w:rFonts w:ascii="Calibri" w:hAnsi="Calibri" w:cs="Calibri"/>
        </w:rPr>
      </w:pPr>
      <w:r w:rsidRPr="00386AB9">
        <w:rPr>
          <w:rFonts w:ascii="Calibri" w:hAnsi="Calibri" w:cs="Calibri"/>
        </w:rPr>
        <w:t>Core Business has spent 36 percent of the annual budget of R709,882m for the first half of the financial year and spending for the second quarter against the budget 18 percent. Events has spent 1 percent to date and for the second quarter. The NA, NCOP, CBS, KISD and IRD have spent 43, 30, 35, 43 and 28 percent of their annual budgets to date and 23, 15, 20,25 and 14 percent for the second quarter against the annual budget respectively. Indications are that at the end of the financial year the programme will spent R648,287m of the annual budget, resulting in a variance of R61,595m or 9 percent.</w:t>
      </w:r>
    </w:p>
    <w:p w:rsidR="006758E9" w:rsidRDefault="006758E9" w:rsidP="00BB5D1A">
      <w:pPr>
        <w:spacing w:after="0"/>
        <w:rPr>
          <w:rFonts w:ascii="Calibri" w:hAnsi="Calibri" w:cs="Calibri"/>
          <w:sz w:val="24"/>
          <w:szCs w:val="24"/>
        </w:rPr>
      </w:pPr>
    </w:p>
    <w:tbl>
      <w:tblPr>
        <w:tblStyle w:val="GridTable4Accent4"/>
        <w:tblW w:w="10076" w:type="dxa"/>
        <w:tblLook w:val="0420"/>
      </w:tblPr>
      <w:tblGrid>
        <w:gridCol w:w="3847"/>
        <w:gridCol w:w="1093"/>
        <w:gridCol w:w="790"/>
        <w:gridCol w:w="1039"/>
        <w:gridCol w:w="711"/>
        <w:gridCol w:w="995"/>
        <w:gridCol w:w="623"/>
        <w:gridCol w:w="978"/>
      </w:tblGrid>
      <w:tr w:rsidR="00465EE6" w:rsidRPr="00465EE6" w:rsidTr="00465EE6">
        <w:trPr>
          <w:cnfStyle w:val="100000000000"/>
          <w:trHeight w:val="590"/>
        </w:trPr>
        <w:tc>
          <w:tcPr>
            <w:tcW w:w="3847" w:type="dxa"/>
            <w:hideMark/>
          </w:tcPr>
          <w:p w:rsidR="00465EE6" w:rsidRPr="00465EE6" w:rsidRDefault="00465EE6" w:rsidP="00465EE6">
            <w:pPr>
              <w:spacing w:line="259" w:lineRule="auto"/>
              <w:rPr>
                <w:rFonts w:cstheme="minorHAnsi"/>
              </w:rPr>
            </w:pPr>
            <w:r w:rsidRPr="00465EE6">
              <w:rPr>
                <w:rFonts w:cstheme="minorHAnsi"/>
              </w:rPr>
              <w:t>Divisions</w:t>
            </w:r>
          </w:p>
        </w:tc>
        <w:tc>
          <w:tcPr>
            <w:tcW w:w="5251" w:type="dxa"/>
            <w:gridSpan w:val="6"/>
            <w:hideMark/>
          </w:tcPr>
          <w:p w:rsidR="00465EE6" w:rsidRPr="00465EE6" w:rsidRDefault="00465EE6" w:rsidP="00465EE6">
            <w:pPr>
              <w:spacing w:line="259" w:lineRule="auto"/>
              <w:rPr>
                <w:rFonts w:cstheme="minorHAnsi"/>
              </w:rPr>
            </w:pPr>
            <w:r w:rsidRPr="00465EE6">
              <w:rPr>
                <w:rFonts w:cstheme="minorHAnsi"/>
              </w:rPr>
              <w:t>Total spending</w:t>
            </w:r>
          </w:p>
        </w:tc>
        <w:tc>
          <w:tcPr>
            <w:tcW w:w="978" w:type="dxa"/>
            <w:vMerge w:val="restart"/>
            <w:hideMark/>
          </w:tcPr>
          <w:p w:rsidR="00465EE6" w:rsidRPr="00465EE6" w:rsidRDefault="00465EE6" w:rsidP="00465EE6">
            <w:pPr>
              <w:spacing w:line="259" w:lineRule="auto"/>
              <w:rPr>
                <w:rFonts w:cstheme="minorHAnsi"/>
              </w:rPr>
            </w:pPr>
            <w:r w:rsidRPr="00465EE6">
              <w:rPr>
                <w:rFonts w:cstheme="minorHAnsi"/>
              </w:rPr>
              <w:t>Annual Budget</w:t>
            </w:r>
          </w:p>
          <w:p w:rsidR="00465EE6" w:rsidRPr="00465EE6" w:rsidRDefault="00465EE6" w:rsidP="00465EE6">
            <w:pPr>
              <w:spacing w:line="259" w:lineRule="auto"/>
              <w:rPr>
                <w:rFonts w:cstheme="minorHAnsi"/>
              </w:rPr>
            </w:pPr>
            <w:r w:rsidRPr="00465EE6">
              <w:rPr>
                <w:rFonts w:cstheme="minorHAnsi"/>
              </w:rPr>
              <w:t>R’000</w:t>
            </w:r>
          </w:p>
        </w:tc>
      </w:tr>
      <w:tr w:rsidR="00465EE6" w:rsidRPr="00465EE6" w:rsidTr="00465EE6">
        <w:trPr>
          <w:cnfStyle w:val="000000100000"/>
          <w:trHeight w:val="355"/>
        </w:trPr>
        <w:tc>
          <w:tcPr>
            <w:tcW w:w="3847" w:type="dxa"/>
            <w:hideMark/>
          </w:tcPr>
          <w:p w:rsidR="00465EE6" w:rsidRPr="00465EE6" w:rsidRDefault="00465EE6" w:rsidP="00465EE6">
            <w:pPr>
              <w:spacing w:line="259" w:lineRule="auto"/>
              <w:rPr>
                <w:rFonts w:cstheme="minorHAnsi"/>
              </w:rPr>
            </w:pPr>
          </w:p>
        </w:tc>
        <w:tc>
          <w:tcPr>
            <w:tcW w:w="1883" w:type="dxa"/>
            <w:gridSpan w:val="2"/>
            <w:hideMark/>
          </w:tcPr>
          <w:p w:rsidR="00465EE6" w:rsidRPr="00465EE6" w:rsidRDefault="00465EE6" w:rsidP="00465EE6">
            <w:pPr>
              <w:spacing w:line="259" w:lineRule="auto"/>
              <w:rPr>
                <w:rFonts w:cstheme="minorHAnsi"/>
              </w:rPr>
            </w:pPr>
            <w:r w:rsidRPr="00465EE6">
              <w:rPr>
                <w:rFonts w:cstheme="minorHAnsi"/>
                <w:b/>
                <w:bCs/>
              </w:rPr>
              <w:t>Quarter 1</w:t>
            </w:r>
          </w:p>
        </w:tc>
        <w:tc>
          <w:tcPr>
            <w:tcW w:w="1750" w:type="dxa"/>
            <w:gridSpan w:val="2"/>
            <w:hideMark/>
          </w:tcPr>
          <w:p w:rsidR="00465EE6" w:rsidRPr="00465EE6" w:rsidRDefault="00465EE6" w:rsidP="00465EE6">
            <w:pPr>
              <w:spacing w:line="259" w:lineRule="auto"/>
              <w:rPr>
                <w:rFonts w:cstheme="minorHAnsi"/>
              </w:rPr>
            </w:pPr>
            <w:r w:rsidRPr="00465EE6">
              <w:rPr>
                <w:rFonts w:cstheme="minorHAnsi"/>
                <w:b/>
                <w:bCs/>
              </w:rPr>
              <w:t>Quarter 2</w:t>
            </w:r>
          </w:p>
        </w:tc>
        <w:tc>
          <w:tcPr>
            <w:tcW w:w="1618" w:type="dxa"/>
            <w:gridSpan w:val="2"/>
            <w:hideMark/>
          </w:tcPr>
          <w:p w:rsidR="00465EE6" w:rsidRPr="00465EE6" w:rsidRDefault="00465EE6" w:rsidP="00465EE6">
            <w:pPr>
              <w:spacing w:line="259" w:lineRule="auto"/>
              <w:rPr>
                <w:rFonts w:cstheme="minorHAnsi"/>
              </w:rPr>
            </w:pPr>
            <w:r w:rsidRPr="00465EE6">
              <w:rPr>
                <w:rFonts w:cstheme="minorHAnsi"/>
                <w:b/>
                <w:bCs/>
              </w:rPr>
              <w:t>Year to Date</w:t>
            </w:r>
          </w:p>
        </w:tc>
        <w:tc>
          <w:tcPr>
            <w:tcW w:w="0" w:type="auto"/>
            <w:vMerge/>
            <w:hideMark/>
          </w:tcPr>
          <w:p w:rsidR="00465EE6" w:rsidRPr="00465EE6" w:rsidRDefault="00465EE6" w:rsidP="00465EE6">
            <w:pPr>
              <w:spacing w:line="259" w:lineRule="auto"/>
              <w:rPr>
                <w:rFonts w:cstheme="minorHAnsi"/>
              </w:rPr>
            </w:pPr>
          </w:p>
        </w:tc>
      </w:tr>
      <w:tr w:rsidR="00465EE6" w:rsidRPr="00465EE6" w:rsidTr="00465EE6">
        <w:trPr>
          <w:trHeight w:val="590"/>
        </w:trPr>
        <w:tc>
          <w:tcPr>
            <w:tcW w:w="3847" w:type="dxa"/>
            <w:hideMark/>
          </w:tcPr>
          <w:p w:rsidR="00465EE6" w:rsidRPr="00465EE6" w:rsidRDefault="00465EE6" w:rsidP="00465EE6">
            <w:pPr>
              <w:spacing w:line="259" w:lineRule="auto"/>
              <w:rPr>
                <w:rFonts w:cstheme="minorHAnsi"/>
              </w:rPr>
            </w:pPr>
          </w:p>
        </w:tc>
        <w:tc>
          <w:tcPr>
            <w:tcW w:w="1093" w:type="dxa"/>
            <w:hideMark/>
          </w:tcPr>
          <w:p w:rsidR="00465EE6" w:rsidRPr="00465EE6" w:rsidRDefault="00465EE6" w:rsidP="00465EE6">
            <w:pPr>
              <w:spacing w:line="259" w:lineRule="auto"/>
              <w:rPr>
                <w:rFonts w:cstheme="minorHAnsi"/>
              </w:rPr>
            </w:pPr>
            <w:r w:rsidRPr="00465EE6">
              <w:rPr>
                <w:rFonts w:cstheme="minorHAnsi"/>
                <w:b/>
                <w:bCs/>
              </w:rPr>
              <w:t>Amount</w:t>
            </w:r>
          </w:p>
          <w:p w:rsidR="00465EE6" w:rsidRPr="00465EE6" w:rsidRDefault="00465EE6" w:rsidP="00465EE6">
            <w:pPr>
              <w:spacing w:line="259" w:lineRule="auto"/>
              <w:rPr>
                <w:rFonts w:cstheme="minorHAnsi"/>
              </w:rPr>
            </w:pPr>
            <w:r w:rsidRPr="00465EE6">
              <w:rPr>
                <w:rFonts w:cstheme="minorHAnsi"/>
                <w:b/>
                <w:bCs/>
              </w:rPr>
              <w:t>R’000</w:t>
            </w:r>
          </w:p>
        </w:tc>
        <w:tc>
          <w:tcPr>
            <w:tcW w:w="790" w:type="dxa"/>
            <w:hideMark/>
          </w:tcPr>
          <w:p w:rsidR="00465EE6" w:rsidRPr="00465EE6" w:rsidRDefault="00465EE6" w:rsidP="00465EE6">
            <w:pPr>
              <w:spacing w:line="259" w:lineRule="auto"/>
              <w:rPr>
                <w:rFonts w:cstheme="minorHAnsi"/>
              </w:rPr>
            </w:pPr>
            <w:r w:rsidRPr="00465EE6">
              <w:rPr>
                <w:rFonts w:cstheme="minorHAnsi"/>
                <w:b/>
                <w:bCs/>
              </w:rPr>
              <w:t>%</w:t>
            </w:r>
          </w:p>
        </w:tc>
        <w:tc>
          <w:tcPr>
            <w:tcW w:w="1039" w:type="dxa"/>
            <w:hideMark/>
          </w:tcPr>
          <w:p w:rsidR="00465EE6" w:rsidRPr="00465EE6" w:rsidRDefault="00465EE6" w:rsidP="00465EE6">
            <w:pPr>
              <w:spacing w:line="259" w:lineRule="auto"/>
              <w:rPr>
                <w:rFonts w:cstheme="minorHAnsi"/>
              </w:rPr>
            </w:pPr>
            <w:r w:rsidRPr="00465EE6">
              <w:rPr>
                <w:rFonts w:cstheme="minorHAnsi"/>
                <w:b/>
                <w:bCs/>
              </w:rPr>
              <w:t>Amount</w:t>
            </w:r>
          </w:p>
          <w:p w:rsidR="00465EE6" w:rsidRPr="00465EE6" w:rsidRDefault="00465EE6" w:rsidP="00465EE6">
            <w:pPr>
              <w:spacing w:line="259" w:lineRule="auto"/>
              <w:rPr>
                <w:rFonts w:cstheme="minorHAnsi"/>
              </w:rPr>
            </w:pPr>
            <w:r w:rsidRPr="00465EE6">
              <w:rPr>
                <w:rFonts w:cstheme="minorHAnsi"/>
                <w:b/>
                <w:bCs/>
              </w:rPr>
              <w:t>R’000</w:t>
            </w:r>
          </w:p>
        </w:tc>
        <w:tc>
          <w:tcPr>
            <w:tcW w:w="711" w:type="dxa"/>
            <w:hideMark/>
          </w:tcPr>
          <w:p w:rsidR="00465EE6" w:rsidRPr="00465EE6" w:rsidRDefault="00465EE6" w:rsidP="00465EE6">
            <w:pPr>
              <w:spacing w:line="259" w:lineRule="auto"/>
              <w:rPr>
                <w:rFonts w:cstheme="minorHAnsi"/>
              </w:rPr>
            </w:pPr>
            <w:r w:rsidRPr="00465EE6">
              <w:rPr>
                <w:rFonts w:cstheme="minorHAnsi"/>
                <w:b/>
                <w:bCs/>
              </w:rPr>
              <w:t>%</w:t>
            </w:r>
          </w:p>
        </w:tc>
        <w:tc>
          <w:tcPr>
            <w:tcW w:w="995" w:type="dxa"/>
            <w:hideMark/>
          </w:tcPr>
          <w:p w:rsidR="00465EE6" w:rsidRPr="00465EE6" w:rsidRDefault="00465EE6" w:rsidP="00465EE6">
            <w:pPr>
              <w:spacing w:line="259" w:lineRule="auto"/>
              <w:rPr>
                <w:rFonts w:cstheme="minorHAnsi"/>
              </w:rPr>
            </w:pPr>
            <w:r w:rsidRPr="00465EE6">
              <w:rPr>
                <w:rFonts w:cstheme="minorHAnsi"/>
                <w:b/>
                <w:bCs/>
              </w:rPr>
              <w:t>Amount</w:t>
            </w:r>
          </w:p>
          <w:p w:rsidR="00465EE6" w:rsidRPr="00465EE6" w:rsidRDefault="00465EE6" w:rsidP="00465EE6">
            <w:pPr>
              <w:spacing w:line="259" w:lineRule="auto"/>
              <w:rPr>
                <w:rFonts w:cstheme="minorHAnsi"/>
              </w:rPr>
            </w:pPr>
            <w:r w:rsidRPr="00465EE6">
              <w:rPr>
                <w:rFonts w:cstheme="minorHAnsi"/>
                <w:b/>
                <w:bCs/>
              </w:rPr>
              <w:t>R’000</w:t>
            </w:r>
          </w:p>
        </w:tc>
        <w:tc>
          <w:tcPr>
            <w:tcW w:w="623" w:type="dxa"/>
            <w:hideMark/>
          </w:tcPr>
          <w:p w:rsidR="00465EE6" w:rsidRPr="00465EE6" w:rsidRDefault="00465EE6" w:rsidP="00465EE6">
            <w:pPr>
              <w:spacing w:line="259" w:lineRule="auto"/>
              <w:rPr>
                <w:rFonts w:cstheme="minorHAnsi"/>
              </w:rPr>
            </w:pPr>
            <w:r w:rsidRPr="00465EE6">
              <w:rPr>
                <w:rFonts w:cstheme="minorHAnsi"/>
                <w:b/>
                <w:bCs/>
              </w:rPr>
              <w:t>%</w:t>
            </w:r>
          </w:p>
        </w:tc>
        <w:tc>
          <w:tcPr>
            <w:tcW w:w="0" w:type="auto"/>
            <w:vMerge/>
            <w:hideMark/>
          </w:tcPr>
          <w:p w:rsidR="00465EE6" w:rsidRPr="00465EE6" w:rsidRDefault="00465EE6" w:rsidP="00465EE6">
            <w:pPr>
              <w:spacing w:line="259" w:lineRule="auto"/>
              <w:rPr>
                <w:rFonts w:cstheme="minorHAnsi"/>
              </w:rPr>
            </w:pPr>
          </w:p>
        </w:tc>
      </w:tr>
      <w:tr w:rsidR="00465EE6" w:rsidRPr="00465EE6" w:rsidTr="00465EE6">
        <w:trPr>
          <w:cnfStyle w:val="000000100000"/>
          <w:trHeight w:val="592"/>
        </w:trPr>
        <w:tc>
          <w:tcPr>
            <w:tcW w:w="3847" w:type="dxa"/>
            <w:hideMark/>
          </w:tcPr>
          <w:p w:rsidR="00465EE6" w:rsidRPr="00465EE6" w:rsidRDefault="00465EE6" w:rsidP="00465EE6">
            <w:pPr>
              <w:spacing w:line="259" w:lineRule="auto"/>
              <w:rPr>
                <w:rFonts w:cstheme="minorHAnsi"/>
              </w:rPr>
            </w:pPr>
            <w:r w:rsidRPr="00465EE6">
              <w:rPr>
                <w:rFonts w:cstheme="minorHAnsi"/>
              </w:rPr>
              <w:t>Events (SONA, Youth &amp; Women  Parliaments)</w:t>
            </w:r>
          </w:p>
        </w:tc>
        <w:tc>
          <w:tcPr>
            <w:tcW w:w="1093" w:type="dxa"/>
            <w:hideMark/>
          </w:tcPr>
          <w:p w:rsidR="00465EE6" w:rsidRPr="00465EE6" w:rsidRDefault="00465EE6" w:rsidP="00465EE6">
            <w:pPr>
              <w:spacing w:line="259" w:lineRule="auto"/>
              <w:rPr>
                <w:rFonts w:cstheme="minorHAnsi"/>
              </w:rPr>
            </w:pPr>
            <w:r w:rsidRPr="00465EE6">
              <w:rPr>
                <w:rFonts w:cstheme="minorHAnsi"/>
                <w:b/>
                <w:bCs/>
                <w:lang w:val="en-US"/>
              </w:rPr>
              <w:t>56</w:t>
            </w:r>
          </w:p>
        </w:tc>
        <w:tc>
          <w:tcPr>
            <w:tcW w:w="790" w:type="dxa"/>
            <w:hideMark/>
          </w:tcPr>
          <w:p w:rsidR="00465EE6" w:rsidRPr="00465EE6" w:rsidRDefault="00465EE6" w:rsidP="00465EE6">
            <w:pPr>
              <w:spacing w:line="259" w:lineRule="auto"/>
              <w:rPr>
                <w:rFonts w:cstheme="minorHAnsi"/>
              </w:rPr>
            </w:pPr>
            <w:r w:rsidRPr="00465EE6">
              <w:rPr>
                <w:rFonts w:cstheme="minorHAnsi"/>
                <w:lang w:val="en-US"/>
              </w:rPr>
              <w:t>0%</w:t>
            </w:r>
          </w:p>
        </w:tc>
        <w:tc>
          <w:tcPr>
            <w:tcW w:w="1039" w:type="dxa"/>
            <w:hideMark/>
          </w:tcPr>
          <w:p w:rsidR="00465EE6" w:rsidRPr="00465EE6" w:rsidRDefault="00465EE6" w:rsidP="00465EE6">
            <w:pPr>
              <w:spacing w:line="259" w:lineRule="auto"/>
              <w:rPr>
                <w:rFonts w:cstheme="minorHAnsi"/>
              </w:rPr>
            </w:pPr>
            <w:r w:rsidRPr="00465EE6">
              <w:rPr>
                <w:rFonts w:cstheme="minorHAnsi"/>
                <w:b/>
                <w:bCs/>
                <w:lang w:val="en-US"/>
              </w:rPr>
              <w:t>98</w:t>
            </w:r>
          </w:p>
        </w:tc>
        <w:tc>
          <w:tcPr>
            <w:tcW w:w="711" w:type="dxa"/>
            <w:hideMark/>
          </w:tcPr>
          <w:p w:rsidR="00465EE6" w:rsidRPr="00465EE6" w:rsidRDefault="00465EE6" w:rsidP="00465EE6">
            <w:pPr>
              <w:spacing w:line="259" w:lineRule="auto"/>
              <w:rPr>
                <w:rFonts w:cstheme="minorHAnsi"/>
              </w:rPr>
            </w:pPr>
            <w:r w:rsidRPr="00465EE6">
              <w:rPr>
                <w:rFonts w:cstheme="minorHAnsi"/>
                <w:lang w:val="en-US"/>
              </w:rPr>
              <w:t>1%</w:t>
            </w:r>
          </w:p>
        </w:tc>
        <w:tc>
          <w:tcPr>
            <w:tcW w:w="995" w:type="dxa"/>
            <w:hideMark/>
          </w:tcPr>
          <w:p w:rsidR="00465EE6" w:rsidRPr="00465EE6" w:rsidRDefault="00465EE6" w:rsidP="00465EE6">
            <w:pPr>
              <w:spacing w:line="259" w:lineRule="auto"/>
              <w:rPr>
                <w:rFonts w:cstheme="minorHAnsi"/>
              </w:rPr>
            </w:pPr>
            <w:r w:rsidRPr="00465EE6">
              <w:rPr>
                <w:rFonts w:cstheme="minorHAnsi"/>
                <w:lang w:val="en-US"/>
              </w:rPr>
              <w:t xml:space="preserve">           154 </w:t>
            </w:r>
          </w:p>
        </w:tc>
        <w:tc>
          <w:tcPr>
            <w:tcW w:w="623" w:type="dxa"/>
            <w:hideMark/>
          </w:tcPr>
          <w:p w:rsidR="00465EE6" w:rsidRPr="00465EE6" w:rsidRDefault="00465EE6" w:rsidP="00465EE6">
            <w:pPr>
              <w:spacing w:line="259" w:lineRule="auto"/>
              <w:rPr>
                <w:rFonts w:cstheme="minorHAnsi"/>
              </w:rPr>
            </w:pPr>
            <w:r w:rsidRPr="00465EE6">
              <w:rPr>
                <w:rFonts w:cstheme="minorHAnsi"/>
                <w:lang w:val="en-US"/>
              </w:rPr>
              <w:t>1%</w:t>
            </w:r>
          </w:p>
        </w:tc>
        <w:tc>
          <w:tcPr>
            <w:tcW w:w="978" w:type="dxa"/>
            <w:hideMark/>
          </w:tcPr>
          <w:p w:rsidR="00465EE6" w:rsidRPr="00465EE6" w:rsidRDefault="00465EE6" w:rsidP="00465EE6">
            <w:pPr>
              <w:spacing w:line="259" w:lineRule="auto"/>
              <w:rPr>
                <w:rFonts w:cstheme="minorHAnsi"/>
              </w:rPr>
            </w:pPr>
            <w:r w:rsidRPr="00465EE6">
              <w:rPr>
                <w:rFonts w:cstheme="minorHAnsi"/>
                <w:b/>
                <w:bCs/>
                <w:lang w:val="en-US"/>
              </w:rPr>
              <w:t>16,740</w:t>
            </w:r>
          </w:p>
        </w:tc>
      </w:tr>
      <w:tr w:rsidR="00465EE6" w:rsidRPr="00465EE6" w:rsidTr="00465EE6">
        <w:trPr>
          <w:trHeight w:val="393"/>
        </w:trPr>
        <w:tc>
          <w:tcPr>
            <w:tcW w:w="3847" w:type="dxa"/>
            <w:hideMark/>
          </w:tcPr>
          <w:p w:rsidR="00465EE6" w:rsidRPr="00465EE6" w:rsidRDefault="00465EE6" w:rsidP="00465EE6">
            <w:pPr>
              <w:spacing w:line="259" w:lineRule="auto"/>
              <w:rPr>
                <w:rFonts w:cstheme="minorHAnsi"/>
              </w:rPr>
            </w:pPr>
            <w:r w:rsidRPr="00465EE6">
              <w:rPr>
                <w:rFonts w:cstheme="minorHAnsi"/>
              </w:rPr>
              <w:t>National Assembly</w:t>
            </w:r>
          </w:p>
        </w:tc>
        <w:tc>
          <w:tcPr>
            <w:tcW w:w="1093" w:type="dxa"/>
            <w:hideMark/>
          </w:tcPr>
          <w:p w:rsidR="00465EE6" w:rsidRPr="00465EE6" w:rsidRDefault="00465EE6" w:rsidP="00465EE6">
            <w:pPr>
              <w:spacing w:line="259" w:lineRule="auto"/>
              <w:rPr>
                <w:rFonts w:cstheme="minorHAnsi"/>
              </w:rPr>
            </w:pPr>
            <w:r w:rsidRPr="00465EE6">
              <w:rPr>
                <w:rFonts w:cstheme="minorHAnsi"/>
                <w:lang w:val="en-US"/>
              </w:rPr>
              <w:t>9,650</w:t>
            </w:r>
          </w:p>
        </w:tc>
        <w:tc>
          <w:tcPr>
            <w:tcW w:w="790" w:type="dxa"/>
            <w:hideMark/>
          </w:tcPr>
          <w:p w:rsidR="00465EE6" w:rsidRPr="00465EE6" w:rsidRDefault="00465EE6" w:rsidP="00465EE6">
            <w:pPr>
              <w:spacing w:line="259" w:lineRule="auto"/>
              <w:rPr>
                <w:rFonts w:cstheme="minorHAnsi"/>
              </w:rPr>
            </w:pPr>
            <w:r w:rsidRPr="00465EE6">
              <w:rPr>
                <w:rFonts w:cstheme="minorHAnsi"/>
                <w:lang w:val="en-US"/>
              </w:rPr>
              <w:t>21%</w:t>
            </w:r>
          </w:p>
        </w:tc>
        <w:tc>
          <w:tcPr>
            <w:tcW w:w="1039" w:type="dxa"/>
            <w:hideMark/>
          </w:tcPr>
          <w:p w:rsidR="00465EE6" w:rsidRPr="00465EE6" w:rsidRDefault="00465EE6" w:rsidP="00465EE6">
            <w:pPr>
              <w:spacing w:line="259" w:lineRule="auto"/>
              <w:rPr>
                <w:rFonts w:cstheme="minorHAnsi"/>
              </w:rPr>
            </w:pPr>
            <w:r w:rsidRPr="00465EE6">
              <w:rPr>
                <w:rFonts w:cstheme="minorHAnsi"/>
                <w:lang w:val="en-US"/>
              </w:rPr>
              <w:t>9,821</w:t>
            </w:r>
          </w:p>
        </w:tc>
        <w:tc>
          <w:tcPr>
            <w:tcW w:w="711" w:type="dxa"/>
            <w:hideMark/>
          </w:tcPr>
          <w:p w:rsidR="00465EE6" w:rsidRPr="00465EE6" w:rsidRDefault="00465EE6" w:rsidP="00465EE6">
            <w:pPr>
              <w:spacing w:line="259" w:lineRule="auto"/>
              <w:rPr>
                <w:rFonts w:cstheme="minorHAnsi"/>
              </w:rPr>
            </w:pPr>
            <w:r w:rsidRPr="00465EE6">
              <w:rPr>
                <w:rFonts w:cstheme="minorHAnsi"/>
                <w:lang w:val="en-US"/>
              </w:rPr>
              <w:t>22%</w:t>
            </w:r>
          </w:p>
        </w:tc>
        <w:tc>
          <w:tcPr>
            <w:tcW w:w="995" w:type="dxa"/>
            <w:hideMark/>
          </w:tcPr>
          <w:p w:rsidR="00465EE6" w:rsidRPr="00465EE6" w:rsidRDefault="00465EE6" w:rsidP="00465EE6">
            <w:pPr>
              <w:spacing w:line="259" w:lineRule="auto"/>
              <w:rPr>
                <w:rFonts w:cstheme="minorHAnsi"/>
              </w:rPr>
            </w:pPr>
            <w:r w:rsidRPr="00465EE6">
              <w:rPr>
                <w:rFonts w:cstheme="minorHAnsi"/>
                <w:lang w:val="en-US"/>
              </w:rPr>
              <w:t xml:space="preserve">19,471 </w:t>
            </w:r>
          </w:p>
        </w:tc>
        <w:tc>
          <w:tcPr>
            <w:tcW w:w="623" w:type="dxa"/>
            <w:hideMark/>
          </w:tcPr>
          <w:p w:rsidR="00465EE6" w:rsidRPr="00465EE6" w:rsidRDefault="00465EE6" w:rsidP="00465EE6">
            <w:pPr>
              <w:spacing w:line="259" w:lineRule="auto"/>
              <w:rPr>
                <w:rFonts w:cstheme="minorHAnsi"/>
              </w:rPr>
            </w:pPr>
            <w:r w:rsidRPr="00465EE6">
              <w:rPr>
                <w:rFonts w:cstheme="minorHAnsi"/>
                <w:lang w:val="en-US"/>
              </w:rPr>
              <w:t>43%</w:t>
            </w:r>
          </w:p>
        </w:tc>
        <w:tc>
          <w:tcPr>
            <w:tcW w:w="978" w:type="dxa"/>
            <w:hideMark/>
          </w:tcPr>
          <w:p w:rsidR="00465EE6" w:rsidRPr="00465EE6" w:rsidRDefault="00465EE6" w:rsidP="00465EE6">
            <w:pPr>
              <w:spacing w:line="259" w:lineRule="auto"/>
              <w:rPr>
                <w:rFonts w:cstheme="minorHAnsi"/>
              </w:rPr>
            </w:pPr>
            <w:r w:rsidRPr="00465EE6">
              <w:rPr>
                <w:rFonts w:cstheme="minorHAnsi"/>
                <w:lang w:val="en-US"/>
              </w:rPr>
              <w:t>45,600</w:t>
            </w:r>
          </w:p>
        </w:tc>
      </w:tr>
      <w:tr w:rsidR="00465EE6" w:rsidRPr="00465EE6" w:rsidTr="00465EE6">
        <w:trPr>
          <w:cnfStyle w:val="000000100000"/>
          <w:trHeight w:val="277"/>
        </w:trPr>
        <w:tc>
          <w:tcPr>
            <w:tcW w:w="3847" w:type="dxa"/>
            <w:hideMark/>
          </w:tcPr>
          <w:p w:rsidR="00465EE6" w:rsidRPr="00465EE6" w:rsidRDefault="00465EE6" w:rsidP="00465EE6">
            <w:pPr>
              <w:spacing w:line="259" w:lineRule="auto"/>
              <w:rPr>
                <w:rFonts w:cstheme="minorHAnsi"/>
              </w:rPr>
            </w:pPr>
            <w:r w:rsidRPr="00465EE6">
              <w:rPr>
                <w:rFonts w:cstheme="minorHAnsi"/>
              </w:rPr>
              <w:t>National Council of Provinces</w:t>
            </w:r>
          </w:p>
        </w:tc>
        <w:tc>
          <w:tcPr>
            <w:tcW w:w="1093" w:type="dxa"/>
            <w:hideMark/>
          </w:tcPr>
          <w:p w:rsidR="00465EE6" w:rsidRPr="00465EE6" w:rsidRDefault="00465EE6" w:rsidP="00465EE6">
            <w:pPr>
              <w:spacing w:line="259" w:lineRule="auto"/>
              <w:rPr>
                <w:rFonts w:cstheme="minorHAnsi"/>
              </w:rPr>
            </w:pPr>
            <w:r w:rsidRPr="00465EE6">
              <w:rPr>
                <w:rFonts w:cstheme="minorHAnsi"/>
                <w:lang w:val="en-US"/>
              </w:rPr>
              <w:t>8,769</w:t>
            </w:r>
          </w:p>
        </w:tc>
        <w:tc>
          <w:tcPr>
            <w:tcW w:w="790" w:type="dxa"/>
            <w:hideMark/>
          </w:tcPr>
          <w:p w:rsidR="00465EE6" w:rsidRPr="00465EE6" w:rsidRDefault="00465EE6" w:rsidP="00465EE6">
            <w:pPr>
              <w:spacing w:line="259" w:lineRule="auto"/>
              <w:rPr>
                <w:rFonts w:cstheme="minorHAnsi"/>
              </w:rPr>
            </w:pPr>
            <w:r w:rsidRPr="00465EE6">
              <w:rPr>
                <w:rFonts w:cstheme="minorHAnsi"/>
                <w:lang w:val="en-US"/>
              </w:rPr>
              <w:t>15%</w:t>
            </w:r>
          </w:p>
        </w:tc>
        <w:tc>
          <w:tcPr>
            <w:tcW w:w="1039" w:type="dxa"/>
            <w:hideMark/>
          </w:tcPr>
          <w:p w:rsidR="00465EE6" w:rsidRPr="00465EE6" w:rsidRDefault="00465EE6" w:rsidP="00465EE6">
            <w:pPr>
              <w:spacing w:line="259" w:lineRule="auto"/>
              <w:rPr>
                <w:rFonts w:cstheme="minorHAnsi"/>
              </w:rPr>
            </w:pPr>
            <w:r w:rsidRPr="00465EE6">
              <w:rPr>
                <w:rFonts w:cstheme="minorHAnsi"/>
                <w:lang w:val="en-US"/>
              </w:rPr>
              <w:t>8,445</w:t>
            </w:r>
          </w:p>
        </w:tc>
        <w:tc>
          <w:tcPr>
            <w:tcW w:w="711" w:type="dxa"/>
            <w:hideMark/>
          </w:tcPr>
          <w:p w:rsidR="00465EE6" w:rsidRPr="00465EE6" w:rsidRDefault="00465EE6" w:rsidP="00465EE6">
            <w:pPr>
              <w:spacing w:line="259" w:lineRule="auto"/>
              <w:rPr>
                <w:rFonts w:cstheme="minorHAnsi"/>
              </w:rPr>
            </w:pPr>
            <w:r w:rsidRPr="00465EE6">
              <w:rPr>
                <w:rFonts w:cstheme="minorHAnsi"/>
                <w:lang w:val="en-US"/>
              </w:rPr>
              <w:t>15%</w:t>
            </w:r>
          </w:p>
        </w:tc>
        <w:tc>
          <w:tcPr>
            <w:tcW w:w="995" w:type="dxa"/>
            <w:hideMark/>
          </w:tcPr>
          <w:p w:rsidR="00465EE6" w:rsidRPr="00465EE6" w:rsidRDefault="00465EE6" w:rsidP="00465EE6">
            <w:pPr>
              <w:spacing w:line="259" w:lineRule="auto"/>
              <w:rPr>
                <w:rFonts w:cstheme="minorHAnsi"/>
              </w:rPr>
            </w:pPr>
            <w:r w:rsidRPr="00465EE6">
              <w:rPr>
                <w:rFonts w:cstheme="minorHAnsi"/>
                <w:lang w:val="en-US"/>
              </w:rPr>
              <w:t xml:space="preserve">17,214 </w:t>
            </w:r>
          </w:p>
        </w:tc>
        <w:tc>
          <w:tcPr>
            <w:tcW w:w="623" w:type="dxa"/>
            <w:hideMark/>
          </w:tcPr>
          <w:p w:rsidR="00465EE6" w:rsidRPr="00465EE6" w:rsidRDefault="00465EE6" w:rsidP="00465EE6">
            <w:pPr>
              <w:spacing w:line="259" w:lineRule="auto"/>
              <w:rPr>
                <w:rFonts w:cstheme="minorHAnsi"/>
              </w:rPr>
            </w:pPr>
            <w:r w:rsidRPr="00465EE6">
              <w:rPr>
                <w:rFonts w:cstheme="minorHAnsi"/>
                <w:lang w:val="en-US"/>
              </w:rPr>
              <w:t>30%</w:t>
            </w:r>
          </w:p>
        </w:tc>
        <w:tc>
          <w:tcPr>
            <w:tcW w:w="978" w:type="dxa"/>
            <w:hideMark/>
          </w:tcPr>
          <w:p w:rsidR="00465EE6" w:rsidRPr="00465EE6" w:rsidRDefault="00465EE6" w:rsidP="00465EE6">
            <w:pPr>
              <w:spacing w:line="259" w:lineRule="auto"/>
              <w:rPr>
                <w:rFonts w:cstheme="minorHAnsi"/>
              </w:rPr>
            </w:pPr>
            <w:r w:rsidRPr="00465EE6">
              <w:rPr>
                <w:rFonts w:cstheme="minorHAnsi"/>
                <w:lang w:val="en-US"/>
              </w:rPr>
              <w:t>57,307</w:t>
            </w:r>
          </w:p>
        </w:tc>
      </w:tr>
      <w:tr w:rsidR="00465EE6" w:rsidRPr="00465EE6" w:rsidTr="00465EE6">
        <w:trPr>
          <w:trHeight w:val="252"/>
        </w:trPr>
        <w:tc>
          <w:tcPr>
            <w:tcW w:w="3847" w:type="dxa"/>
            <w:hideMark/>
          </w:tcPr>
          <w:p w:rsidR="00465EE6" w:rsidRPr="00465EE6" w:rsidRDefault="00465EE6" w:rsidP="00465EE6">
            <w:pPr>
              <w:spacing w:line="259" w:lineRule="auto"/>
              <w:rPr>
                <w:rFonts w:cstheme="minorHAnsi"/>
              </w:rPr>
            </w:pPr>
            <w:r w:rsidRPr="00465EE6">
              <w:rPr>
                <w:rFonts w:cstheme="minorHAnsi"/>
              </w:rPr>
              <w:t>Core Business Support</w:t>
            </w:r>
          </w:p>
        </w:tc>
        <w:tc>
          <w:tcPr>
            <w:tcW w:w="1093" w:type="dxa"/>
            <w:hideMark/>
          </w:tcPr>
          <w:p w:rsidR="00465EE6" w:rsidRPr="00465EE6" w:rsidRDefault="00465EE6" w:rsidP="00465EE6">
            <w:pPr>
              <w:spacing w:line="259" w:lineRule="auto"/>
              <w:rPr>
                <w:rFonts w:cstheme="minorHAnsi"/>
              </w:rPr>
            </w:pPr>
            <w:r w:rsidRPr="00465EE6">
              <w:rPr>
                <w:rFonts w:cstheme="minorHAnsi"/>
                <w:lang w:val="en-US"/>
              </w:rPr>
              <w:t>55,403</w:t>
            </w:r>
          </w:p>
        </w:tc>
        <w:tc>
          <w:tcPr>
            <w:tcW w:w="790" w:type="dxa"/>
            <w:hideMark/>
          </w:tcPr>
          <w:p w:rsidR="00465EE6" w:rsidRPr="00465EE6" w:rsidRDefault="00465EE6" w:rsidP="00465EE6">
            <w:pPr>
              <w:spacing w:line="259" w:lineRule="auto"/>
              <w:rPr>
                <w:rFonts w:cstheme="minorHAnsi"/>
              </w:rPr>
            </w:pPr>
            <w:r w:rsidRPr="00465EE6">
              <w:rPr>
                <w:rFonts w:cstheme="minorHAnsi"/>
                <w:lang w:val="en-US"/>
              </w:rPr>
              <w:t>17%</w:t>
            </w:r>
          </w:p>
        </w:tc>
        <w:tc>
          <w:tcPr>
            <w:tcW w:w="1039" w:type="dxa"/>
            <w:hideMark/>
          </w:tcPr>
          <w:p w:rsidR="00465EE6" w:rsidRPr="00465EE6" w:rsidRDefault="00465EE6" w:rsidP="00465EE6">
            <w:pPr>
              <w:spacing w:line="259" w:lineRule="auto"/>
              <w:rPr>
                <w:rFonts w:cstheme="minorHAnsi"/>
              </w:rPr>
            </w:pPr>
            <w:r w:rsidRPr="00465EE6">
              <w:rPr>
                <w:rFonts w:cstheme="minorHAnsi"/>
                <w:lang w:val="en-US"/>
              </w:rPr>
              <w:t>60,064</w:t>
            </w:r>
          </w:p>
        </w:tc>
        <w:tc>
          <w:tcPr>
            <w:tcW w:w="711" w:type="dxa"/>
            <w:hideMark/>
          </w:tcPr>
          <w:p w:rsidR="00465EE6" w:rsidRPr="00465EE6" w:rsidRDefault="00465EE6" w:rsidP="00465EE6">
            <w:pPr>
              <w:spacing w:line="259" w:lineRule="auto"/>
              <w:rPr>
                <w:rFonts w:cstheme="minorHAnsi"/>
              </w:rPr>
            </w:pPr>
            <w:r w:rsidRPr="00465EE6">
              <w:rPr>
                <w:rFonts w:cstheme="minorHAnsi"/>
                <w:lang w:val="en-US"/>
              </w:rPr>
              <w:t>18%</w:t>
            </w:r>
          </w:p>
        </w:tc>
        <w:tc>
          <w:tcPr>
            <w:tcW w:w="995" w:type="dxa"/>
            <w:hideMark/>
          </w:tcPr>
          <w:p w:rsidR="00465EE6" w:rsidRPr="00465EE6" w:rsidRDefault="00465EE6" w:rsidP="00465EE6">
            <w:pPr>
              <w:spacing w:line="259" w:lineRule="auto"/>
              <w:rPr>
                <w:rFonts w:cstheme="minorHAnsi"/>
              </w:rPr>
            </w:pPr>
            <w:r w:rsidRPr="00465EE6">
              <w:rPr>
                <w:rFonts w:cstheme="minorHAnsi"/>
                <w:lang w:val="en-US"/>
              </w:rPr>
              <w:t xml:space="preserve">115,467 </w:t>
            </w:r>
          </w:p>
        </w:tc>
        <w:tc>
          <w:tcPr>
            <w:tcW w:w="623" w:type="dxa"/>
            <w:hideMark/>
          </w:tcPr>
          <w:p w:rsidR="00465EE6" w:rsidRPr="00465EE6" w:rsidRDefault="00465EE6" w:rsidP="00465EE6">
            <w:pPr>
              <w:spacing w:line="259" w:lineRule="auto"/>
              <w:rPr>
                <w:rFonts w:cstheme="minorHAnsi"/>
              </w:rPr>
            </w:pPr>
            <w:r w:rsidRPr="00465EE6">
              <w:rPr>
                <w:rFonts w:cstheme="minorHAnsi"/>
                <w:lang w:val="en-US"/>
              </w:rPr>
              <w:t>35%</w:t>
            </w:r>
          </w:p>
        </w:tc>
        <w:tc>
          <w:tcPr>
            <w:tcW w:w="978" w:type="dxa"/>
            <w:hideMark/>
          </w:tcPr>
          <w:p w:rsidR="00465EE6" w:rsidRPr="00465EE6" w:rsidRDefault="00465EE6" w:rsidP="00465EE6">
            <w:pPr>
              <w:spacing w:line="259" w:lineRule="auto"/>
              <w:rPr>
                <w:rFonts w:cstheme="minorHAnsi"/>
              </w:rPr>
            </w:pPr>
            <w:r w:rsidRPr="00465EE6">
              <w:rPr>
                <w:rFonts w:cstheme="minorHAnsi"/>
                <w:lang w:val="en-US"/>
              </w:rPr>
              <w:t>332,581</w:t>
            </w:r>
          </w:p>
        </w:tc>
      </w:tr>
      <w:tr w:rsidR="00465EE6" w:rsidRPr="00465EE6" w:rsidTr="00465EE6">
        <w:trPr>
          <w:cnfStyle w:val="000000100000"/>
          <w:trHeight w:val="243"/>
        </w:trPr>
        <w:tc>
          <w:tcPr>
            <w:tcW w:w="3847" w:type="dxa"/>
            <w:hideMark/>
          </w:tcPr>
          <w:p w:rsidR="00465EE6" w:rsidRPr="00465EE6" w:rsidRDefault="00465EE6" w:rsidP="00465EE6">
            <w:pPr>
              <w:spacing w:line="259" w:lineRule="auto"/>
              <w:rPr>
                <w:rFonts w:cstheme="minorHAnsi"/>
              </w:rPr>
            </w:pPr>
            <w:r w:rsidRPr="00465EE6">
              <w:rPr>
                <w:rFonts w:cstheme="minorHAnsi"/>
              </w:rPr>
              <w:t>Knowledge and Information Services</w:t>
            </w:r>
          </w:p>
        </w:tc>
        <w:tc>
          <w:tcPr>
            <w:tcW w:w="1093" w:type="dxa"/>
            <w:hideMark/>
          </w:tcPr>
          <w:p w:rsidR="00465EE6" w:rsidRPr="00465EE6" w:rsidRDefault="00465EE6" w:rsidP="00465EE6">
            <w:pPr>
              <w:spacing w:line="259" w:lineRule="auto"/>
              <w:rPr>
                <w:rFonts w:cstheme="minorHAnsi"/>
              </w:rPr>
            </w:pPr>
            <w:r w:rsidRPr="00465EE6">
              <w:rPr>
                <w:rFonts w:cstheme="minorHAnsi"/>
                <w:lang w:val="en-US"/>
              </w:rPr>
              <w:t>46,142</w:t>
            </w:r>
          </w:p>
        </w:tc>
        <w:tc>
          <w:tcPr>
            <w:tcW w:w="790" w:type="dxa"/>
            <w:hideMark/>
          </w:tcPr>
          <w:p w:rsidR="00465EE6" w:rsidRPr="00465EE6" w:rsidRDefault="00465EE6" w:rsidP="00465EE6">
            <w:pPr>
              <w:spacing w:line="259" w:lineRule="auto"/>
              <w:rPr>
                <w:rFonts w:cstheme="minorHAnsi"/>
              </w:rPr>
            </w:pPr>
            <w:r w:rsidRPr="00465EE6">
              <w:rPr>
                <w:rFonts w:cstheme="minorHAnsi"/>
                <w:lang w:val="en-US"/>
              </w:rPr>
              <w:t>22%</w:t>
            </w:r>
          </w:p>
        </w:tc>
        <w:tc>
          <w:tcPr>
            <w:tcW w:w="1039" w:type="dxa"/>
            <w:hideMark/>
          </w:tcPr>
          <w:p w:rsidR="00465EE6" w:rsidRPr="00465EE6" w:rsidRDefault="00465EE6" w:rsidP="00465EE6">
            <w:pPr>
              <w:spacing w:line="259" w:lineRule="auto"/>
              <w:rPr>
                <w:rFonts w:cstheme="minorHAnsi"/>
              </w:rPr>
            </w:pPr>
            <w:r w:rsidRPr="00465EE6">
              <w:rPr>
                <w:rFonts w:cstheme="minorHAnsi"/>
                <w:lang w:val="en-US"/>
              </w:rPr>
              <w:t>44,760</w:t>
            </w:r>
          </w:p>
        </w:tc>
        <w:tc>
          <w:tcPr>
            <w:tcW w:w="711" w:type="dxa"/>
            <w:hideMark/>
          </w:tcPr>
          <w:p w:rsidR="00465EE6" w:rsidRPr="00465EE6" w:rsidRDefault="00465EE6" w:rsidP="00465EE6">
            <w:pPr>
              <w:spacing w:line="259" w:lineRule="auto"/>
              <w:rPr>
                <w:rFonts w:cstheme="minorHAnsi"/>
              </w:rPr>
            </w:pPr>
            <w:r w:rsidRPr="00465EE6">
              <w:rPr>
                <w:rFonts w:cstheme="minorHAnsi"/>
                <w:lang w:val="en-US"/>
              </w:rPr>
              <w:t>21%</w:t>
            </w:r>
          </w:p>
        </w:tc>
        <w:tc>
          <w:tcPr>
            <w:tcW w:w="995" w:type="dxa"/>
            <w:hideMark/>
          </w:tcPr>
          <w:p w:rsidR="00465EE6" w:rsidRPr="00465EE6" w:rsidRDefault="00465EE6" w:rsidP="00465EE6">
            <w:pPr>
              <w:spacing w:line="259" w:lineRule="auto"/>
              <w:rPr>
                <w:rFonts w:cstheme="minorHAnsi"/>
              </w:rPr>
            </w:pPr>
            <w:r w:rsidRPr="00465EE6">
              <w:rPr>
                <w:rFonts w:cstheme="minorHAnsi"/>
                <w:lang w:val="en-US"/>
              </w:rPr>
              <w:t xml:space="preserve">90,902 </w:t>
            </w:r>
          </w:p>
        </w:tc>
        <w:tc>
          <w:tcPr>
            <w:tcW w:w="623" w:type="dxa"/>
            <w:hideMark/>
          </w:tcPr>
          <w:p w:rsidR="00465EE6" w:rsidRPr="00465EE6" w:rsidRDefault="00465EE6" w:rsidP="00465EE6">
            <w:pPr>
              <w:spacing w:line="259" w:lineRule="auto"/>
              <w:rPr>
                <w:rFonts w:cstheme="minorHAnsi"/>
              </w:rPr>
            </w:pPr>
            <w:r w:rsidRPr="00465EE6">
              <w:rPr>
                <w:rFonts w:cstheme="minorHAnsi"/>
                <w:lang w:val="en-US"/>
              </w:rPr>
              <w:t>43%</w:t>
            </w:r>
          </w:p>
        </w:tc>
        <w:tc>
          <w:tcPr>
            <w:tcW w:w="978" w:type="dxa"/>
            <w:hideMark/>
          </w:tcPr>
          <w:p w:rsidR="00465EE6" w:rsidRPr="00465EE6" w:rsidRDefault="00465EE6" w:rsidP="00465EE6">
            <w:pPr>
              <w:spacing w:line="259" w:lineRule="auto"/>
              <w:rPr>
                <w:rFonts w:cstheme="minorHAnsi"/>
              </w:rPr>
            </w:pPr>
            <w:r w:rsidRPr="00465EE6">
              <w:rPr>
                <w:rFonts w:cstheme="minorHAnsi"/>
                <w:lang w:val="en-US"/>
              </w:rPr>
              <w:t>212,742</w:t>
            </w:r>
          </w:p>
        </w:tc>
      </w:tr>
      <w:tr w:rsidR="00465EE6" w:rsidRPr="00465EE6" w:rsidTr="00465EE6">
        <w:trPr>
          <w:trHeight w:val="268"/>
        </w:trPr>
        <w:tc>
          <w:tcPr>
            <w:tcW w:w="3847" w:type="dxa"/>
            <w:hideMark/>
          </w:tcPr>
          <w:p w:rsidR="00465EE6" w:rsidRPr="00465EE6" w:rsidRDefault="00465EE6" w:rsidP="00465EE6">
            <w:pPr>
              <w:spacing w:line="259" w:lineRule="auto"/>
              <w:rPr>
                <w:rFonts w:cstheme="minorHAnsi"/>
              </w:rPr>
            </w:pPr>
            <w:r w:rsidRPr="00465EE6">
              <w:rPr>
                <w:rFonts w:cstheme="minorHAnsi"/>
              </w:rPr>
              <w:t>International Relations and Protocol</w:t>
            </w:r>
          </w:p>
        </w:tc>
        <w:tc>
          <w:tcPr>
            <w:tcW w:w="1093" w:type="dxa"/>
            <w:hideMark/>
          </w:tcPr>
          <w:p w:rsidR="00465EE6" w:rsidRPr="00465EE6" w:rsidRDefault="00465EE6" w:rsidP="00465EE6">
            <w:pPr>
              <w:spacing w:line="259" w:lineRule="auto"/>
              <w:rPr>
                <w:rFonts w:cstheme="minorHAnsi"/>
              </w:rPr>
            </w:pPr>
            <w:r w:rsidRPr="00465EE6">
              <w:rPr>
                <w:rFonts w:cstheme="minorHAnsi"/>
                <w:lang w:val="en-US"/>
              </w:rPr>
              <w:t>6,351</w:t>
            </w:r>
          </w:p>
        </w:tc>
        <w:tc>
          <w:tcPr>
            <w:tcW w:w="790" w:type="dxa"/>
            <w:hideMark/>
          </w:tcPr>
          <w:p w:rsidR="00465EE6" w:rsidRPr="00465EE6" w:rsidRDefault="00465EE6" w:rsidP="00465EE6">
            <w:pPr>
              <w:spacing w:line="259" w:lineRule="auto"/>
              <w:rPr>
                <w:rFonts w:cstheme="minorHAnsi"/>
              </w:rPr>
            </w:pPr>
            <w:r w:rsidRPr="00465EE6">
              <w:rPr>
                <w:rFonts w:cstheme="minorHAnsi"/>
                <w:lang w:val="en-US"/>
              </w:rPr>
              <w:t>14%</w:t>
            </w:r>
          </w:p>
        </w:tc>
        <w:tc>
          <w:tcPr>
            <w:tcW w:w="1039" w:type="dxa"/>
            <w:hideMark/>
          </w:tcPr>
          <w:p w:rsidR="00465EE6" w:rsidRPr="00465EE6" w:rsidRDefault="00465EE6" w:rsidP="00465EE6">
            <w:pPr>
              <w:spacing w:line="259" w:lineRule="auto"/>
              <w:rPr>
                <w:rFonts w:cstheme="minorHAnsi"/>
              </w:rPr>
            </w:pPr>
            <w:r w:rsidRPr="00465EE6">
              <w:rPr>
                <w:rFonts w:cstheme="minorHAnsi"/>
                <w:lang w:val="en-US"/>
              </w:rPr>
              <w:t>6,400</w:t>
            </w:r>
          </w:p>
        </w:tc>
        <w:tc>
          <w:tcPr>
            <w:tcW w:w="711" w:type="dxa"/>
            <w:hideMark/>
          </w:tcPr>
          <w:p w:rsidR="00465EE6" w:rsidRPr="00465EE6" w:rsidRDefault="00465EE6" w:rsidP="00465EE6">
            <w:pPr>
              <w:spacing w:line="259" w:lineRule="auto"/>
              <w:rPr>
                <w:rFonts w:cstheme="minorHAnsi"/>
              </w:rPr>
            </w:pPr>
            <w:r w:rsidRPr="00465EE6">
              <w:rPr>
                <w:rFonts w:cstheme="minorHAnsi"/>
                <w:lang w:val="en-US"/>
              </w:rPr>
              <w:t>14%</w:t>
            </w:r>
          </w:p>
        </w:tc>
        <w:tc>
          <w:tcPr>
            <w:tcW w:w="995" w:type="dxa"/>
            <w:hideMark/>
          </w:tcPr>
          <w:p w:rsidR="00465EE6" w:rsidRPr="00465EE6" w:rsidRDefault="00465EE6" w:rsidP="00465EE6">
            <w:pPr>
              <w:spacing w:line="259" w:lineRule="auto"/>
              <w:rPr>
                <w:rFonts w:cstheme="minorHAnsi"/>
              </w:rPr>
            </w:pPr>
            <w:r w:rsidRPr="00465EE6">
              <w:rPr>
                <w:rFonts w:cstheme="minorHAnsi"/>
                <w:lang w:val="en-US"/>
              </w:rPr>
              <w:t xml:space="preserve">12,751 </w:t>
            </w:r>
          </w:p>
        </w:tc>
        <w:tc>
          <w:tcPr>
            <w:tcW w:w="623" w:type="dxa"/>
            <w:hideMark/>
          </w:tcPr>
          <w:p w:rsidR="00465EE6" w:rsidRPr="00465EE6" w:rsidRDefault="00465EE6" w:rsidP="00465EE6">
            <w:pPr>
              <w:spacing w:line="259" w:lineRule="auto"/>
              <w:rPr>
                <w:rFonts w:cstheme="minorHAnsi"/>
              </w:rPr>
            </w:pPr>
            <w:r w:rsidRPr="00465EE6">
              <w:rPr>
                <w:rFonts w:cstheme="minorHAnsi"/>
                <w:lang w:val="en-US"/>
              </w:rPr>
              <w:t>28%</w:t>
            </w:r>
          </w:p>
        </w:tc>
        <w:tc>
          <w:tcPr>
            <w:tcW w:w="978" w:type="dxa"/>
            <w:hideMark/>
          </w:tcPr>
          <w:p w:rsidR="00465EE6" w:rsidRPr="00465EE6" w:rsidRDefault="00465EE6" w:rsidP="00465EE6">
            <w:pPr>
              <w:spacing w:line="259" w:lineRule="auto"/>
              <w:rPr>
                <w:rFonts w:cstheme="minorHAnsi"/>
              </w:rPr>
            </w:pPr>
            <w:r w:rsidRPr="00465EE6">
              <w:rPr>
                <w:rFonts w:cstheme="minorHAnsi"/>
                <w:lang w:val="en-US"/>
              </w:rPr>
              <w:t>44,912</w:t>
            </w:r>
          </w:p>
        </w:tc>
      </w:tr>
      <w:tr w:rsidR="00465EE6" w:rsidRPr="00465EE6" w:rsidTr="00465EE6">
        <w:trPr>
          <w:cnfStyle w:val="000000100000"/>
          <w:trHeight w:val="268"/>
        </w:trPr>
        <w:tc>
          <w:tcPr>
            <w:tcW w:w="3847" w:type="dxa"/>
            <w:hideMark/>
          </w:tcPr>
          <w:p w:rsidR="00465EE6" w:rsidRPr="00465EE6" w:rsidRDefault="00465EE6" w:rsidP="00465EE6">
            <w:pPr>
              <w:spacing w:line="259" w:lineRule="auto"/>
              <w:rPr>
                <w:rFonts w:cstheme="minorHAnsi"/>
              </w:rPr>
            </w:pPr>
            <w:r w:rsidRPr="00465EE6">
              <w:rPr>
                <w:rFonts w:cstheme="minorHAnsi"/>
                <w:b/>
                <w:bCs/>
                <w:lang w:val="en-US"/>
              </w:rPr>
              <w:t>TOTAL</w:t>
            </w:r>
          </w:p>
        </w:tc>
        <w:tc>
          <w:tcPr>
            <w:tcW w:w="1093" w:type="dxa"/>
            <w:hideMark/>
          </w:tcPr>
          <w:p w:rsidR="00465EE6" w:rsidRPr="00465EE6" w:rsidRDefault="00465EE6" w:rsidP="00465EE6">
            <w:pPr>
              <w:spacing w:line="259" w:lineRule="auto"/>
              <w:rPr>
                <w:rFonts w:cstheme="minorHAnsi"/>
              </w:rPr>
            </w:pPr>
            <w:r w:rsidRPr="00465EE6">
              <w:rPr>
                <w:rFonts w:cstheme="minorHAnsi"/>
                <w:b/>
                <w:bCs/>
                <w:lang w:val="en-US"/>
              </w:rPr>
              <w:t>126,371</w:t>
            </w:r>
          </w:p>
        </w:tc>
        <w:tc>
          <w:tcPr>
            <w:tcW w:w="790" w:type="dxa"/>
            <w:hideMark/>
          </w:tcPr>
          <w:p w:rsidR="00465EE6" w:rsidRPr="00465EE6" w:rsidRDefault="00465EE6" w:rsidP="00465EE6">
            <w:pPr>
              <w:spacing w:line="259" w:lineRule="auto"/>
              <w:rPr>
                <w:rFonts w:cstheme="minorHAnsi"/>
              </w:rPr>
            </w:pPr>
            <w:r w:rsidRPr="00465EE6">
              <w:rPr>
                <w:rFonts w:cstheme="minorHAnsi"/>
                <w:lang w:val="en-US"/>
              </w:rPr>
              <w:t>18%</w:t>
            </w:r>
          </w:p>
        </w:tc>
        <w:tc>
          <w:tcPr>
            <w:tcW w:w="1039" w:type="dxa"/>
            <w:hideMark/>
          </w:tcPr>
          <w:p w:rsidR="00465EE6" w:rsidRPr="00465EE6" w:rsidRDefault="00465EE6" w:rsidP="00465EE6">
            <w:pPr>
              <w:spacing w:line="259" w:lineRule="auto"/>
              <w:rPr>
                <w:rFonts w:cstheme="minorHAnsi"/>
              </w:rPr>
            </w:pPr>
            <w:r w:rsidRPr="00465EE6">
              <w:rPr>
                <w:rFonts w:cstheme="minorHAnsi"/>
                <w:b/>
                <w:bCs/>
                <w:lang w:val="en-US"/>
              </w:rPr>
              <w:t>129,588</w:t>
            </w:r>
          </w:p>
        </w:tc>
        <w:tc>
          <w:tcPr>
            <w:tcW w:w="711" w:type="dxa"/>
            <w:hideMark/>
          </w:tcPr>
          <w:p w:rsidR="00465EE6" w:rsidRPr="00465EE6" w:rsidRDefault="00465EE6" w:rsidP="00465EE6">
            <w:pPr>
              <w:spacing w:line="259" w:lineRule="auto"/>
              <w:rPr>
                <w:rFonts w:cstheme="minorHAnsi"/>
              </w:rPr>
            </w:pPr>
            <w:r w:rsidRPr="00465EE6">
              <w:rPr>
                <w:rFonts w:cstheme="minorHAnsi"/>
                <w:lang w:val="en-US"/>
              </w:rPr>
              <w:t>18%</w:t>
            </w:r>
          </w:p>
        </w:tc>
        <w:tc>
          <w:tcPr>
            <w:tcW w:w="995" w:type="dxa"/>
            <w:hideMark/>
          </w:tcPr>
          <w:p w:rsidR="00465EE6" w:rsidRPr="00465EE6" w:rsidRDefault="00465EE6" w:rsidP="00465EE6">
            <w:pPr>
              <w:spacing w:line="259" w:lineRule="auto"/>
              <w:rPr>
                <w:rFonts w:cstheme="minorHAnsi"/>
              </w:rPr>
            </w:pPr>
            <w:r w:rsidRPr="00465EE6">
              <w:rPr>
                <w:rFonts w:cstheme="minorHAnsi"/>
                <w:b/>
                <w:bCs/>
                <w:lang w:val="en-US"/>
              </w:rPr>
              <w:t xml:space="preserve">255,959 </w:t>
            </w:r>
          </w:p>
        </w:tc>
        <w:tc>
          <w:tcPr>
            <w:tcW w:w="623" w:type="dxa"/>
            <w:hideMark/>
          </w:tcPr>
          <w:p w:rsidR="00465EE6" w:rsidRPr="00465EE6" w:rsidRDefault="00465EE6" w:rsidP="00465EE6">
            <w:pPr>
              <w:spacing w:line="259" w:lineRule="auto"/>
              <w:rPr>
                <w:rFonts w:cstheme="minorHAnsi"/>
              </w:rPr>
            </w:pPr>
            <w:r w:rsidRPr="00465EE6">
              <w:rPr>
                <w:rFonts w:cstheme="minorHAnsi"/>
                <w:lang w:val="en-US"/>
              </w:rPr>
              <w:t>36%</w:t>
            </w:r>
          </w:p>
        </w:tc>
        <w:tc>
          <w:tcPr>
            <w:tcW w:w="978" w:type="dxa"/>
            <w:hideMark/>
          </w:tcPr>
          <w:p w:rsidR="00465EE6" w:rsidRPr="00465EE6" w:rsidRDefault="00465EE6" w:rsidP="00465EE6">
            <w:pPr>
              <w:spacing w:line="259" w:lineRule="auto"/>
              <w:rPr>
                <w:rFonts w:cstheme="minorHAnsi"/>
              </w:rPr>
            </w:pPr>
            <w:r w:rsidRPr="00465EE6">
              <w:rPr>
                <w:rFonts w:cstheme="minorHAnsi"/>
                <w:b/>
                <w:bCs/>
                <w:lang w:val="en-US"/>
              </w:rPr>
              <w:t>709,882</w:t>
            </w:r>
          </w:p>
        </w:tc>
      </w:tr>
    </w:tbl>
    <w:p w:rsidR="009F6F91" w:rsidRDefault="009F6F91" w:rsidP="00BB5D1A">
      <w:pPr>
        <w:spacing w:after="0"/>
        <w:rPr>
          <w:rFonts w:ascii="Calibri" w:hAnsi="Calibri" w:cs="Calibri"/>
          <w:b/>
          <w:sz w:val="24"/>
          <w:szCs w:val="24"/>
        </w:rPr>
      </w:pPr>
    </w:p>
    <w:p w:rsidR="009F6F91" w:rsidRDefault="009F6F91">
      <w:pPr>
        <w:rPr>
          <w:rFonts w:ascii="Calibri" w:hAnsi="Calibri" w:cs="Calibri"/>
          <w:b/>
          <w:sz w:val="24"/>
          <w:szCs w:val="24"/>
        </w:rPr>
      </w:pPr>
      <w:r>
        <w:rPr>
          <w:rFonts w:ascii="Calibri" w:hAnsi="Calibri" w:cs="Calibri"/>
          <w:b/>
          <w:sz w:val="24"/>
          <w:szCs w:val="24"/>
        </w:rPr>
        <w:br w:type="page"/>
      </w:r>
    </w:p>
    <w:p w:rsidR="00465EE6" w:rsidRDefault="00465EE6" w:rsidP="00BB5D1A">
      <w:pPr>
        <w:spacing w:after="0"/>
        <w:rPr>
          <w:rFonts w:ascii="Calibri" w:hAnsi="Calibri" w:cs="Calibri"/>
          <w:b/>
          <w:sz w:val="24"/>
          <w:szCs w:val="24"/>
        </w:rPr>
      </w:pPr>
      <w:r w:rsidRPr="00465EE6">
        <w:rPr>
          <w:rFonts w:ascii="Calibri" w:hAnsi="Calibri" w:cs="Calibri"/>
          <w:b/>
          <w:sz w:val="24"/>
          <w:szCs w:val="24"/>
        </w:rPr>
        <w:lastRenderedPageBreak/>
        <w:t>Programme 4 : Support Services</w:t>
      </w:r>
      <w:r w:rsidRPr="00465EE6">
        <w:rPr>
          <w:rFonts w:ascii="Calibri" w:hAnsi="Calibri" w:cs="Calibri"/>
          <w:b/>
          <w:sz w:val="24"/>
          <w:szCs w:val="24"/>
        </w:rPr>
        <w:br/>
      </w:r>
    </w:p>
    <w:p w:rsidR="00465EE6" w:rsidRPr="00386AB9" w:rsidRDefault="00465EE6" w:rsidP="00465EE6">
      <w:pPr>
        <w:spacing w:after="0"/>
        <w:jc w:val="both"/>
        <w:rPr>
          <w:rFonts w:ascii="Calibri" w:hAnsi="Calibri" w:cs="Calibri"/>
        </w:rPr>
      </w:pPr>
      <w:r w:rsidRPr="00386AB9">
        <w:rPr>
          <w:rFonts w:ascii="Calibri" w:hAnsi="Calibri" w:cs="Calibri"/>
        </w:rPr>
        <w:t>Support Services has spent R176,875m or 37 percent of the annual budget of R470,358m for the first half of the financial year and spending for the second quarter against the annual budget is 19 percent. Office of the Deputy Secretary has spent 42 and 21 percent mid-year and the second quarter respectively of the annual budget. The PCS, HRM, ICT, ISS and MSS have spent 41, 30, 42, 36 and 43 percent to date respectively of their annual budgets and 21, 15, 23, 18 and 22 percent respectively for the second quarter against the annual budgets. Indications are that at the end of the financial year the programme will spent R454,161m of the annual budget, resulting in a variance of R25,197m or 4 percent.</w:t>
      </w:r>
    </w:p>
    <w:p w:rsidR="006758E9" w:rsidRDefault="006758E9" w:rsidP="00BB5D1A">
      <w:pPr>
        <w:spacing w:after="0"/>
        <w:rPr>
          <w:rFonts w:ascii="Calibri" w:hAnsi="Calibri" w:cs="Calibri"/>
          <w:sz w:val="24"/>
          <w:szCs w:val="24"/>
        </w:rPr>
      </w:pPr>
    </w:p>
    <w:tbl>
      <w:tblPr>
        <w:tblStyle w:val="GridTable4Accent4"/>
        <w:tblW w:w="9792" w:type="dxa"/>
        <w:tblLook w:val="0420"/>
      </w:tblPr>
      <w:tblGrid>
        <w:gridCol w:w="3749"/>
        <w:gridCol w:w="1059"/>
        <w:gridCol w:w="765"/>
        <w:gridCol w:w="1007"/>
        <w:gridCol w:w="689"/>
        <w:gridCol w:w="967"/>
        <w:gridCol w:w="606"/>
        <w:gridCol w:w="950"/>
      </w:tblGrid>
      <w:tr w:rsidR="00465EE6" w:rsidRPr="00465EE6" w:rsidTr="00465EE6">
        <w:trPr>
          <w:cnfStyle w:val="100000000000"/>
          <w:trHeight w:val="404"/>
        </w:trPr>
        <w:tc>
          <w:tcPr>
            <w:tcW w:w="3749" w:type="dxa"/>
            <w:hideMark/>
          </w:tcPr>
          <w:p w:rsidR="00465EE6" w:rsidRPr="00465EE6" w:rsidRDefault="00465EE6" w:rsidP="00465EE6">
            <w:pPr>
              <w:rPr>
                <w:rFonts w:eastAsia="Times New Roman" w:cstheme="minorHAnsi"/>
                <w:lang w:eastAsia="en-ZA"/>
              </w:rPr>
            </w:pPr>
            <w:r w:rsidRPr="00465EE6">
              <w:rPr>
                <w:rFonts w:eastAsia="Times New Roman" w:cstheme="minorHAnsi"/>
                <w:color w:val="000000"/>
                <w:kern w:val="24"/>
                <w:lang w:eastAsia="en-ZA"/>
              </w:rPr>
              <w:t>Divisions</w:t>
            </w:r>
          </w:p>
        </w:tc>
        <w:tc>
          <w:tcPr>
            <w:tcW w:w="5093" w:type="dxa"/>
            <w:gridSpan w:val="6"/>
            <w:hideMark/>
          </w:tcPr>
          <w:p w:rsidR="00465EE6" w:rsidRPr="00465EE6" w:rsidRDefault="00465EE6" w:rsidP="00465EE6">
            <w:pPr>
              <w:jc w:val="center"/>
              <w:rPr>
                <w:rFonts w:eastAsia="Times New Roman" w:cstheme="minorHAnsi"/>
                <w:lang w:eastAsia="en-ZA"/>
              </w:rPr>
            </w:pPr>
            <w:r w:rsidRPr="00465EE6">
              <w:rPr>
                <w:rFonts w:eastAsia="Times New Roman" w:cstheme="minorHAnsi"/>
                <w:color w:val="000000"/>
                <w:kern w:val="24"/>
                <w:lang w:eastAsia="en-ZA"/>
              </w:rPr>
              <w:t>Total spending</w:t>
            </w:r>
          </w:p>
        </w:tc>
        <w:tc>
          <w:tcPr>
            <w:tcW w:w="950" w:type="dxa"/>
            <w:vMerge w:val="restart"/>
            <w:hideMark/>
          </w:tcPr>
          <w:p w:rsidR="00465EE6" w:rsidRPr="00465EE6" w:rsidRDefault="00465EE6" w:rsidP="00465EE6">
            <w:pPr>
              <w:rPr>
                <w:rFonts w:eastAsia="Times New Roman" w:cstheme="minorHAnsi"/>
                <w:lang w:eastAsia="en-ZA"/>
              </w:rPr>
            </w:pPr>
            <w:r w:rsidRPr="00465EE6">
              <w:rPr>
                <w:rFonts w:eastAsia="Times New Roman" w:cstheme="minorHAnsi"/>
                <w:color w:val="000000"/>
                <w:kern w:val="24"/>
                <w:lang w:eastAsia="en-ZA"/>
              </w:rPr>
              <w:t>Annual Budget</w:t>
            </w:r>
          </w:p>
          <w:p w:rsidR="00465EE6" w:rsidRPr="00465EE6" w:rsidRDefault="00465EE6" w:rsidP="00465EE6">
            <w:pPr>
              <w:rPr>
                <w:rFonts w:eastAsia="Times New Roman" w:cstheme="minorHAnsi"/>
                <w:lang w:eastAsia="en-ZA"/>
              </w:rPr>
            </w:pPr>
            <w:r w:rsidRPr="00465EE6">
              <w:rPr>
                <w:rFonts w:eastAsia="Times New Roman" w:cstheme="minorHAnsi"/>
                <w:color w:val="000000"/>
                <w:kern w:val="24"/>
                <w:lang w:eastAsia="en-ZA"/>
              </w:rPr>
              <w:t>R’000</w:t>
            </w:r>
          </w:p>
        </w:tc>
      </w:tr>
      <w:tr w:rsidR="00465EE6" w:rsidRPr="00465EE6" w:rsidTr="00465EE6">
        <w:trPr>
          <w:cnfStyle w:val="000000100000"/>
          <w:trHeight w:val="404"/>
        </w:trPr>
        <w:tc>
          <w:tcPr>
            <w:tcW w:w="3749" w:type="dxa"/>
            <w:hideMark/>
          </w:tcPr>
          <w:p w:rsidR="00465EE6" w:rsidRPr="00465EE6" w:rsidRDefault="00465EE6" w:rsidP="00465EE6">
            <w:pPr>
              <w:rPr>
                <w:rFonts w:eastAsia="Times New Roman" w:cstheme="minorHAnsi"/>
                <w:lang w:eastAsia="en-ZA"/>
              </w:rPr>
            </w:pPr>
          </w:p>
        </w:tc>
        <w:tc>
          <w:tcPr>
            <w:tcW w:w="1824" w:type="dxa"/>
            <w:gridSpan w:val="2"/>
            <w:hideMark/>
          </w:tcPr>
          <w:p w:rsidR="00465EE6" w:rsidRPr="00465EE6" w:rsidRDefault="00465EE6" w:rsidP="00465EE6">
            <w:pPr>
              <w:jc w:val="center"/>
              <w:rPr>
                <w:rFonts w:eastAsia="Times New Roman" w:cstheme="minorHAnsi"/>
                <w:lang w:eastAsia="en-ZA"/>
              </w:rPr>
            </w:pPr>
            <w:r w:rsidRPr="00465EE6">
              <w:rPr>
                <w:rFonts w:eastAsia="Times New Roman" w:cstheme="minorHAnsi"/>
                <w:b/>
                <w:bCs/>
                <w:color w:val="000000"/>
                <w:kern w:val="24"/>
                <w:lang w:eastAsia="en-ZA"/>
              </w:rPr>
              <w:t>Quarter 1</w:t>
            </w:r>
          </w:p>
        </w:tc>
        <w:tc>
          <w:tcPr>
            <w:tcW w:w="1696" w:type="dxa"/>
            <w:gridSpan w:val="2"/>
            <w:hideMark/>
          </w:tcPr>
          <w:p w:rsidR="00465EE6" w:rsidRPr="00465EE6" w:rsidRDefault="00465EE6" w:rsidP="00465EE6">
            <w:pPr>
              <w:jc w:val="center"/>
              <w:rPr>
                <w:rFonts w:eastAsia="Times New Roman" w:cstheme="minorHAnsi"/>
                <w:lang w:eastAsia="en-ZA"/>
              </w:rPr>
            </w:pPr>
            <w:r w:rsidRPr="00465EE6">
              <w:rPr>
                <w:rFonts w:eastAsia="Times New Roman" w:cstheme="minorHAnsi"/>
                <w:b/>
                <w:bCs/>
                <w:color w:val="000000"/>
                <w:kern w:val="24"/>
                <w:lang w:eastAsia="en-ZA"/>
              </w:rPr>
              <w:t>Quarter 2</w:t>
            </w:r>
          </w:p>
        </w:tc>
        <w:tc>
          <w:tcPr>
            <w:tcW w:w="1572" w:type="dxa"/>
            <w:gridSpan w:val="2"/>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Year to Date</w:t>
            </w:r>
          </w:p>
        </w:tc>
        <w:tc>
          <w:tcPr>
            <w:tcW w:w="0" w:type="auto"/>
            <w:vMerge/>
            <w:hideMark/>
          </w:tcPr>
          <w:p w:rsidR="00465EE6" w:rsidRPr="00465EE6" w:rsidRDefault="00465EE6" w:rsidP="00465EE6">
            <w:pPr>
              <w:rPr>
                <w:rFonts w:eastAsia="Times New Roman" w:cstheme="minorHAnsi"/>
                <w:lang w:eastAsia="en-ZA"/>
              </w:rPr>
            </w:pPr>
          </w:p>
        </w:tc>
      </w:tr>
      <w:tr w:rsidR="00465EE6" w:rsidRPr="00465EE6" w:rsidTr="00465EE6">
        <w:trPr>
          <w:trHeight w:val="404"/>
        </w:trPr>
        <w:tc>
          <w:tcPr>
            <w:tcW w:w="3749" w:type="dxa"/>
            <w:hideMark/>
          </w:tcPr>
          <w:p w:rsidR="00465EE6" w:rsidRPr="00465EE6" w:rsidRDefault="00465EE6" w:rsidP="00465EE6">
            <w:pPr>
              <w:rPr>
                <w:rFonts w:eastAsia="Times New Roman" w:cstheme="minorHAnsi"/>
                <w:lang w:eastAsia="en-ZA"/>
              </w:rPr>
            </w:pPr>
          </w:p>
        </w:tc>
        <w:tc>
          <w:tcPr>
            <w:tcW w:w="1059"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Amount</w:t>
            </w:r>
          </w:p>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R’000</w:t>
            </w:r>
          </w:p>
        </w:tc>
        <w:tc>
          <w:tcPr>
            <w:tcW w:w="764"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w:t>
            </w:r>
          </w:p>
        </w:tc>
        <w:tc>
          <w:tcPr>
            <w:tcW w:w="1007"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Amount</w:t>
            </w:r>
          </w:p>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R’000</w:t>
            </w:r>
          </w:p>
        </w:tc>
        <w:tc>
          <w:tcPr>
            <w:tcW w:w="688"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w:t>
            </w:r>
          </w:p>
        </w:tc>
        <w:tc>
          <w:tcPr>
            <w:tcW w:w="967"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Amount</w:t>
            </w:r>
          </w:p>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R’000</w:t>
            </w:r>
          </w:p>
        </w:tc>
        <w:tc>
          <w:tcPr>
            <w:tcW w:w="605"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w:t>
            </w:r>
          </w:p>
        </w:tc>
        <w:tc>
          <w:tcPr>
            <w:tcW w:w="0" w:type="auto"/>
            <w:vMerge/>
            <w:hideMark/>
          </w:tcPr>
          <w:p w:rsidR="00465EE6" w:rsidRPr="00465EE6" w:rsidRDefault="00465EE6" w:rsidP="00465EE6">
            <w:pPr>
              <w:rPr>
                <w:rFonts w:eastAsia="Times New Roman" w:cstheme="minorHAnsi"/>
                <w:lang w:eastAsia="en-ZA"/>
              </w:rPr>
            </w:pPr>
          </w:p>
        </w:tc>
      </w:tr>
      <w:tr w:rsidR="00465EE6" w:rsidRPr="00465EE6" w:rsidTr="00465EE6">
        <w:trPr>
          <w:cnfStyle w:val="000000100000"/>
          <w:trHeight w:val="405"/>
        </w:trPr>
        <w:tc>
          <w:tcPr>
            <w:tcW w:w="3749" w:type="dxa"/>
            <w:hideMark/>
          </w:tcPr>
          <w:p w:rsidR="00465EE6" w:rsidRPr="00465EE6" w:rsidRDefault="00465EE6" w:rsidP="00465EE6">
            <w:pPr>
              <w:rPr>
                <w:rFonts w:eastAsia="Times New Roman" w:cstheme="minorHAnsi"/>
                <w:lang w:eastAsia="en-ZA"/>
              </w:rPr>
            </w:pPr>
            <w:r w:rsidRPr="00465EE6">
              <w:rPr>
                <w:rFonts w:eastAsia="Times New Roman" w:cstheme="minorHAnsi"/>
                <w:color w:val="000000"/>
                <w:kern w:val="24"/>
                <w:lang w:eastAsia="en-ZA"/>
              </w:rPr>
              <w:t xml:space="preserve">Deputy Secretary: Support Services </w:t>
            </w:r>
          </w:p>
        </w:tc>
        <w:tc>
          <w:tcPr>
            <w:tcW w:w="1059"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b/>
                <w:bCs/>
                <w:kern w:val="24"/>
                <w:lang w:val="en-US" w:eastAsia="en-ZA"/>
              </w:rPr>
              <w:t>935</w:t>
            </w:r>
          </w:p>
        </w:tc>
        <w:tc>
          <w:tcPr>
            <w:tcW w:w="764"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kern w:val="24"/>
                <w:lang w:val="en-US" w:eastAsia="en-ZA"/>
              </w:rPr>
              <w:t>21%</w:t>
            </w:r>
          </w:p>
        </w:tc>
        <w:tc>
          <w:tcPr>
            <w:tcW w:w="1007"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b/>
                <w:bCs/>
                <w:color w:val="000000"/>
                <w:kern w:val="24"/>
                <w:lang w:val="en-US" w:eastAsia="en-ZA"/>
              </w:rPr>
              <w:t>956</w:t>
            </w:r>
          </w:p>
        </w:tc>
        <w:tc>
          <w:tcPr>
            <w:tcW w:w="688"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21%</w:t>
            </w:r>
          </w:p>
        </w:tc>
        <w:tc>
          <w:tcPr>
            <w:tcW w:w="967"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1,891</w:t>
            </w:r>
          </w:p>
        </w:tc>
        <w:tc>
          <w:tcPr>
            <w:tcW w:w="605"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42%</w:t>
            </w:r>
          </w:p>
        </w:tc>
        <w:tc>
          <w:tcPr>
            <w:tcW w:w="950"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b/>
                <w:bCs/>
                <w:color w:val="000000"/>
                <w:kern w:val="24"/>
                <w:lang w:val="en-US" w:eastAsia="en-ZA"/>
              </w:rPr>
              <w:t>4,517</w:t>
            </w:r>
          </w:p>
        </w:tc>
      </w:tr>
      <w:tr w:rsidR="00465EE6" w:rsidRPr="00465EE6" w:rsidTr="00465EE6">
        <w:trPr>
          <w:trHeight w:val="404"/>
        </w:trPr>
        <w:tc>
          <w:tcPr>
            <w:tcW w:w="3749" w:type="dxa"/>
            <w:hideMark/>
          </w:tcPr>
          <w:p w:rsidR="00465EE6" w:rsidRPr="00465EE6" w:rsidRDefault="00465EE6" w:rsidP="00465EE6">
            <w:pPr>
              <w:rPr>
                <w:rFonts w:eastAsia="Times New Roman" w:cstheme="minorHAnsi"/>
                <w:lang w:eastAsia="en-ZA"/>
              </w:rPr>
            </w:pPr>
            <w:r w:rsidRPr="00465EE6">
              <w:rPr>
                <w:rFonts w:eastAsia="Calibri" w:cstheme="minorHAnsi"/>
                <w:color w:val="000000"/>
                <w:kern w:val="24"/>
                <w:lang w:eastAsia="en-ZA"/>
              </w:rPr>
              <w:t>Parliamentary Communication Services</w:t>
            </w:r>
          </w:p>
        </w:tc>
        <w:tc>
          <w:tcPr>
            <w:tcW w:w="1059"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14,507</w:t>
            </w:r>
          </w:p>
        </w:tc>
        <w:tc>
          <w:tcPr>
            <w:tcW w:w="764"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20%</w:t>
            </w:r>
          </w:p>
        </w:tc>
        <w:tc>
          <w:tcPr>
            <w:tcW w:w="1007"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14,990</w:t>
            </w:r>
          </w:p>
        </w:tc>
        <w:tc>
          <w:tcPr>
            <w:tcW w:w="688"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21%</w:t>
            </w:r>
          </w:p>
        </w:tc>
        <w:tc>
          <w:tcPr>
            <w:tcW w:w="967"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29,497</w:t>
            </w:r>
          </w:p>
        </w:tc>
        <w:tc>
          <w:tcPr>
            <w:tcW w:w="605"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41%</w:t>
            </w:r>
          </w:p>
        </w:tc>
        <w:tc>
          <w:tcPr>
            <w:tcW w:w="950"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71,967</w:t>
            </w:r>
          </w:p>
        </w:tc>
      </w:tr>
      <w:tr w:rsidR="00465EE6" w:rsidRPr="00465EE6" w:rsidTr="00465EE6">
        <w:trPr>
          <w:cnfStyle w:val="000000100000"/>
          <w:trHeight w:val="404"/>
        </w:trPr>
        <w:tc>
          <w:tcPr>
            <w:tcW w:w="3749" w:type="dxa"/>
            <w:hideMark/>
          </w:tcPr>
          <w:p w:rsidR="00465EE6" w:rsidRPr="00465EE6" w:rsidRDefault="00465EE6" w:rsidP="00465EE6">
            <w:pPr>
              <w:rPr>
                <w:rFonts w:eastAsia="Times New Roman" w:cstheme="minorHAnsi"/>
                <w:lang w:eastAsia="en-ZA"/>
              </w:rPr>
            </w:pPr>
            <w:r w:rsidRPr="00465EE6">
              <w:rPr>
                <w:rFonts w:eastAsia="Times New Roman" w:cstheme="minorHAnsi"/>
                <w:color w:val="000000"/>
                <w:kern w:val="24"/>
                <w:lang w:eastAsia="en-ZA"/>
              </w:rPr>
              <w:t>Human Resources</w:t>
            </w:r>
          </w:p>
        </w:tc>
        <w:tc>
          <w:tcPr>
            <w:tcW w:w="1059"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14,845</w:t>
            </w:r>
          </w:p>
        </w:tc>
        <w:tc>
          <w:tcPr>
            <w:tcW w:w="764"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15%</w:t>
            </w:r>
          </w:p>
        </w:tc>
        <w:tc>
          <w:tcPr>
            <w:tcW w:w="1007"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14,943</w:t>
            </w:r>
          </w:p>
        </w:tc>
        <w:tc>
          <w:tcPr>
            <w:tcW w:w="688"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15%</w:t>
            </w:r>
          </w:p>
        </w:tc>
        <w:tc>
          <w:tcPr>
            <w:tcW w:w="967"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29,788</w:t>
            </w:r>
          </w:p>
        </w:tc>
        <w:tc>
          <w:tcPr>
            <w:tcW w:w="605"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30%</w:t>
            </w:r>
          </w:p>
        </w:tc>
        <w:tc>
          <w:tcPr>
            <w:tcW w:w="950"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100,962</w:t>
            </w:r>
          </w:p>
        </w:tc>
      </w:tr>
      <w:tr w:rsidR="00465EE6" w:rsidRPr="00465EE6" w:rsidTr="00465EE6">
        <w:trPr>
          <w:trHeight w:val="404"/>
        </w:trPr>
        <w:tc>
          <w:tcPr>
            <w:tcW w:w="3749" w:type="dxa"/>
            <w:hideMark/>
          </w:tcPr>
          <w:p w:rsidR="00465EE6" w:rsidRPr="00465EE6" w:rsidRDefault="00465EE6" w:rsidP="00465EE6">
            <w:pPr>
              <w:rPr>
                <w:rFonts w:eastAsia="Times New Roman" w:cstheme="minorHAnsi"/>
                <w:lang w:eastAsia="en-ZA"/>
              </w:rPr>
            </w:pPr>
            <w:r w:rsidRPr="00465EE6">
              <w:rPr>
                <w:rFonts w:eastAsia="Calibri" w:cstheme="minorHAnsi"/>
                <w:color w:val="000000"/>
                <w:kern w:val="24"/>
                <w:lang w:eastAsia="en-ZA"/>
              </w:rPr>
              <w:t xml:space="preserve">Information Communication and Technology </w:t>
            </w:r>
          </w:p>
        </w:tc>
        <w:tc>
          <w:tcPr>
            <w:tcW w:w="1059"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19,352</w:t>
            </w:r>
          </w:p>
        </w:tc>
        <w:tc>
          <w:tcPr>
            <w:tcW w:w="764"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19%</w:t>
            </w:r>
          </w:p>
        </w:tc>
        <w:tc>
          <w:tcPr>
            <w:tcW w:w="1007"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22,654</w:t>
            </w:r>
          </w:p>
        </w:tc>
        <w:tc>
          <w:tcPr>
            <w:tcW w:w="688"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23%</w:t>
            </w:r>
          </w:p>
        </w:tc>
        <w:tc>
          <w:tcPr>
            <w:tcW w:w="967"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42,006</w:t>
            </w:r>
          </w:p>
        </w:tc>
        <w:tc>
          <w:tcPr>
            <w:tcW w:w="605"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42%</w:t>
            </w:r>
          </w:p>
        </w:tc>
        <w:tc>
          <w:tcPr>
            <w:tcW w:w="950"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99,876</w:t>
            </w:r>
          </w:p>
        </w:tc>
      </w:tr>
      <w:tr w:rsidR="00465EE6" w:rsidRPr="00465EE6" w:rsidTr="00465EE6">
        <w:trPr>
          <w:cnfStyle w:val="000000100000"/>
          <w:trHeight w:val="404"/>
        </w:trPr>
        <w:tc>
          <w:tcPr>
            <w:tcW w:w="3749" w:type="dxa"/>
            <w:hideMark/>
          </w:tcPr>
          <w:p w:rsidR="00465EE6" w:rsidRPr="00465EE6" w:rsidRDefault="00465EE6" w:rsidP="00465EE6">
            <w:pPr>
              <w:rPr>
                <w:rFonts w:eastAsia="Times New Roman" w:cstheme="minorHAnsi"/>
                <w:lang w:eastAsia="en-ZA"/>
              </w:rPr>
            </w:pPr>
            <w:r w:rsidRPr="00465EE6">
              <w:rPr>
                <w:rFonts w:eastAsia="Calibri" w:cstheme="minorHAnsi"/>
                <w:color w:val="000000"/>
                <w:kern w:val="24"/>
                <w:lang w:eastAsia="en-ZA"/>
              </w:rPr>
              <w:t>Institutional Support Services</w:t>
            </w:r>
          </w:p>
        </w:tc>
        <w:tc>
          <w:tcPr>
            <w:tcW w:w="1059"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32,852</w:t>
            </w:r>
          </w:p>
        </w:tc>
        <w:tc>
          <w:tcPr>
            <w:tcW w:w="764"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18%</w:t>
            </w:r>
          </w:p>
        </w:tc>
        <w:tc>
          <w:tcPr>
            <w:tcW w:w="1007"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32,886</w:t>
            </w:r>
          </w:p>
        </w:tc>
        <w:tc>
          <w:tcPr>
            <w:tcW w:w="688"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18%</w:t>
            </w:r>
          </w:p>
        </w:tc>
        <w:tc>
          <w:tcPr>
            <w:tcW w:w="967"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65,738</w:t>
            </w:r>
          </w:p>
        </w:tc>
        <w:tc>
          <w:tcPr>
            <w:tcW w:w="605"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36%</w:t>
            </w:r>
          </w:p>
        </w:tc>
        <w:tc>
          <w:tcPr>
            <w:tcW w:w="950"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183,700</w:t>
            </w:r>
          </w:p>
        </w:tc>
      </w:tr>
      <w:tr w:rsidR="00465EE6" w:rsidRPr="00465EE6" w:rsidTr="00465EE6">
        <w:trPr>
          <w:trHeight w:val="404"/>
        </w:trPr>
        <w:tc>
          <w:tcPr>
            <w:tcW w:w="3749" w:type="dxa"/>
            <w:hideMark/>
          </w:tcPr>
          <w:p w:rsidR="00465EE6" w:rsidRPr="00465EE6" w:rsidRDefault="00465EE6" w:rsidP="00465EE6">
            <w:pPr>
              <w:rPr>
                <w:rFonts w:eastAsia="Times New Roman" w:cstheme="minorHAnsi"/>
                <w:lang w:eastAsia="en-ZA"/>
              </w:rPr>
            </w:pPr>
            <w:r w:rsidRPr="00465EE6">
              <w:rPr>
                <w:rFonts w:eastAsia="Calibri" w:cstheme="minorHAnsi"/>
                <w:color w:val="000000"/>
                <w:kern w:val="24"/>
                <w:lang w:eastAsia="en-ZA"/>
              </w:rPr>
              <w:t>Members Support</w:t>
            </w:r>
          </w:p>
        </w:tc>
        <w:tc>
          <w:tcPr>
            <w:tcW w:w="1059"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3,935</w:t>
            </w:r>
          </w:p>
        </w:tc>
        <w:tc>
          <w:tcPr>
            <w:tcW w:w="764"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21%</w:t>
            </w:r>
          </w:p>
        </w:tc>
        <w:tc>
          <w:tcPr>
            <w:tcW w:w="1007"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4,020</w:t>
            </w:r>
          </w:p>
        </w:tc>
        <w:tc>
          <w:tcPr>
            <w:tcW w:w="688"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22%</w:t>
            </w:r>
          </w:p>
        </w:tc>
        <w:tc>
          <w:tcPr>
            <w:tcW w:w="967"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7,955</w:t>
            </w:r>
          </w:p>
        </w:tc>
        <w:tc>
          <w:tcPr>
            <w:tcW w:w="605"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43%</w:t>
            </w:r>
          </w:p>
        </w:tc>
        <w:tc>
          <w:tcPr>
            <w:tcW w:w="950"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18,336</w:t>
            </w:r>
          </w:p>
        </w:tc>
      </w:tr>
      <w:tr w:rsidR="00465EE6" w:rsidRPr="00465EE6" w:rsidTr="00465EE6">
        <w:trPr>
          <w:cnfStyle w:val="000000100000"/>
          <w:trHeight w:val="404"/>
        </w:trPr>
        <w:tc>
          <w:tcPr>
            <w:tcW w:w="3749" w:type="dxa"/>
            <w:hideMark/>
          </w:tcPr>
          <w:p w:rsidR="00465EE6" w:rsidRPr="00465EE6" w:rsidRDefault="00465EE6" w:rsidP="00465EE6">
            <w:pPr>
              <w:textAlignment w:val="bottom"/>
              <w:rPr>
                <w:rFonts w:eastAsia="Times New Roman" w:cstheme="minorHAnsi"/>
                <w:lang w:eastAsia="en-ZA"/>
              </w:rPr>
            </w:pPr>
            <w:r w:rsidRPr="00465EE6">
              <w:rPr>
                <w:rFonts w:eastAsia="Times New Roman" w:cstheme="minorHAnsi"/>
                <w:b/>
                <w:bCs/>
                <w:color w:val="000000"/>
                <w:kern w:val="24"/>
                <w:lang w:val="en-US" w:eastAsia="en-ZA"/>
              </w:rPr>
              <w:t>TOTAL</w:t>
            </w:r>
          </w:p>
        </w:tc>
        <w:tc>
          <w:tcPr>
            <w:tcW w:w="1059"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b/>
                <w:bCs/>
                <w:color w:val="000000"/>
                <w:kern w:val="24"/>
                <w:lang w:val="en-US" w:eastAsia="en-ZA"/>
              </w:rPr>
              <w:t>86,426</w:t>
            </w:r>
          </w:p>
        </w:tc>
        <w:tc>
          <w:tcPr>
            <w:tcW w:w="764"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b/>
                <w:bCs/>
                <w:color w:val="000000"/>
                <w:kern w:val="24"/>
                <w:lang w:val="en-US" w:eastAsia="en-ZA"/>
              </w:rPr>
              <w:t>18%</w:t>
            </w:r>
          </w:p>
        </w:tc>
        <w:tc>
          <w:tcPr>
            <w:tcW w:w="1007"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b/>
                <w:bCs/>
                <w:color w:val="000000"/>
                <w:kern w:val="24"/>
                <w:lang w:val="en-US" w:eastAsia="en-ZA"/>
              </w:rPr>
              <w:t>90,449</w:t>
            </w:r>
          </w:p>
        </w:tc>
        <w:tc>
          <w:tcPr>
            <w:tcW w:w="688"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b/>
                <w:bCs/>
                <w:color w:val="000000"/>
                <w:kern w:val="24"/>
                <w:lang w:val="en-US" w:eastAsia="en-ZA"/>
              </w:rPr>
              <w:t>19%</w:t>
            </w:r>
          </w:p>
        </w:tc>
        <w:tc>
          <w:tcPr>
            <w:tcW w:w="967"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b/>
                <w:bCs/>
                <w:color w:val="000000"/>
                <w:kern w:val="24"/>
                <w:lang w:val="en-US" w:eastAsia="en-ZA"/>
              </w:rPr>
              <w:t>176,875</w:t>
            </w:r>
          </w:p>
        </w:tc>
        <w:tc>
          <w:tcPr>
            <w:tcW w:w="605"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b/>
                <w:bCs/>
                <w:color w:val="000000"/>
                <w:kern w:val="24"/>
                <w:lang w:val="en-US" w:eastAsia="en-ZA"/>
              </w:rPr>
              <w:t>37%</w:t>
            </w:r>
          </w:p>
        </w:tc>
        <w:tc>
          <w:tcPr>
            <w:tcW w:w="950"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b/>
                <w:bCs/>
                <w:color w:val="000000"/>
                <w:kern w:val="24"/>
                <w:lang w:val="en-US" w:eastAsia="en-ZA"/>
              </w:rPr>
              <w:t>479,358</w:t>
            </w:r>
          </w:p>
        </w:tc>
      </w:tr>
    </w:tbl>
    <w:p w:rsidR="00465EE6" w:rsidRDefault="00465EE6" w:rsidP="00BB5D1A">
      <w:pPr>
        <w:spacing w:after="0"/>
        <w:rPr>
          <w:rFonts w:ascii="Calibri" w:hAnsi="Calibri" w:cs="Calibri"/>
          <w:sz w:val="24"/>
          <w:szCs w:val="24"/>
        </w:rPr>
      </w:pPr>
    </w:p>
    <w:p w:rsidR="00465EE6" w:rsidRPr="00465EE6" w:rsidRDefault="00465EE6" w:rsidP="00BB5D1A">
      <w:pPr>
        <w:spacing w:after="0"/>
        <w:rPr>
          <w:rFonts w:ascii="Calibri" w:hAnsi="Calibri" w:cs="Calibri"/>
          <w:b/>
          <w:sz w:val="24"/>
          <w:szCs w:val="24"/>
        </w:rPr>
      </w:pPr>
      <w:r>
        <w:rPr>
          <w:rFonts w:ascii="Calibri" w:hAnsi="Calibri" w:cs="Calibri"/>
          <w:b/>
          <w:sz w:val="24"/>
          <w:szCs w:val="24"/>
        </w:rPr>
        <w:t>Programme 5</w:t>
      </w:r>
      <w:r w:rsidRPr="00465EE6">
        <w:rPr>
          <w:rFonts w:ascii="Calibri" w:hAnsi="Calibri" w:cs="Calibri"/>
          <w:b/>
          <w:sz w:val="24"/>
          <w:szCs w:val="24"/>
        </w:rPr>
        <w:t>: Associated Services</w:t>
      </w:r>
    </w:p>
    <w:p w:rsidR="006758E9" w:rsidRDefault="006758E9" w:rsidP="00BB5D1A">
      <w:pPr>
        <w:spacing w:after="0"/>
        <w:rPr>
          <w:rFonts w:ascii="Calibri" w:hAnsi="Calibri" w:cs="Calibri"/>
          <w:sz w:val="24"/>
          <w:szCs w:val="24"/>
        </w:rPr>
      </w:pPr>
    </w:p>
    <w:p w:rsidR="00465EE6" w:rsidRPr="00386AB9" w:rsidRDefault="00465EE6" w:rsidP="00465EE6">
      <w:pPr>
        <w:spacing w:after="0"/>
        <w:jc w:val="both"/>
        <w:rPr>
          <w:rFonts w:ascii="Calibri" w:hAnsi="Calibri" w:cs="Calibri"/>
        </w:rPr>
      </w:pPr>
      <w:r w:rsidRPr="00386AB9">
        <w:rPr>
          <w:rFonts w:ascii="Calibri" w:hAnsi="Calibri" w:cs="Calibri"/>
        </w:rPr>
        <w:t>Associated Services has spent R311,753m or 43 percent of the annual budget of R720,302m for the first half of the financial year and spending for the second quarter against the annual budget is 22 percent. Spending on Members’ Facilities which relates to Members’ entitlements in terms of the Members Handbook and medical aid contributions for former Members of Parliament and Provincial legislatures is at 30 and 18% year to date and second quarter respectively of the annual budget. The total transfers to political parties represented in Parliament (Constituency, Party Administrative and Party Leadership Allowances) is R245,040m or 49 percent year to date of the annual budget of R500,302m. Indications are that there will be an underspending of R27,443m (R22,333m and R5,110m on Members facilities and transfers respectively) at the end of the financial year.</w:t>
      </w:r>
    </w:p>
    <w:p w:rsidR="005E539F" w:rsidRDefault="005E539F">
      <w:pPr>
        <w:rPr>
          <w:rFonts w:ascii="Calibri" w:hAnsi="Calibri" w:cs="Calibri"/>
          <w:sz w:val="24"/>
          <w:szCs w:val="24"/>
        </w:rPr>
      </w:pPr>
      <w:r>
        <w:rPr>
          <w:rFonts w:ascii="Calibri" w:hAnsi="Calibri" w:cs="Calibri"/>
          <w:sz w:val="24"/>
          <w:szCs w:val="24"/>
        </w:rPr>
        <w:br w:type="page"/>
      </w:r>
    </w:p>
    <w:p w:rsidR="006758E9" w:rsidRDefault="006758E9" w:rsidP="00BB5D1A">
      <w:pPr>
        <w:spacing w:after="0"/>
        <w:rPr>
          <w:rFonts w:ascii="Calibri" w:hAnsi="Calibri" w:cs="Calibri"/>
          <w:sz w:val="24"/>
          <w:szCs w:val="24"/>
        </w:rPr>
      </w:pPr>
    </w:p>
    <w:tbl>
      <w:tblPr>
        <w:tblStyle w:val="GridTable4Accent4"/>
        <w:tblW w:w="9757" w:type="dxa"/>
        <w:tblLook w:val="0420"/>
      </w:tblPr>
      <w:tblGrid>
        <w:gridCol w:w="3745"/>
        <w:gridCol w:w="1049"/>
        <w:gridCol w:w="758"/>
        <w:gridCol w:w="999"/>
        <w:gridCol w:w="682"/>
        <w:gridCol w:w="969"/>
        <w:gridCol w:w="604"/>
        <w:gridCol w:w="951"/>
      </w:tblGrid>
      <w:tr w:rsidR="00465EE6" w:rsidRPr="00465EE6" w:rsidTr="00465EE6">
        <w:trPr>
          <w:cnfStyle w:val="100000000000"/>
          <w:trHeight w:val="439"/>
        </w:trPr>
        <w:tc>
          <w:tcPr>
            <w:tcW w:w="3745" w:type="dxa"/>
            <w:hideMark/>
          </w:tcPr>
          <w:p w:rsidR="00465EE6" w:rsidRPr="00465EE6" w:rsidRDefault="00465EE6" w:rsidP="00465EE6">
            <w:pPr>
              <w:rPr>
                <w:rFonts w:eastAsia="Times New Roman" w:cstheme="minorHAnsi"/>
                <w:lang w:eastAsia="en-ZA"/>
              </w:rPr>
            </w:pPr>
            <w:r w:rsidRPr="00465EE6">
              <w:rPr>
                <w:rFonts w:eastAsia="Times New Roman" w:cstheme="minorHAnsi"/>
                <w:color w:val="000000"/>
                <w:kern w:val="24"/>
                <w:lang w:eastAsia="en-ZA"/>
              </w:rPr>
              <w:t>Divisions</w:t>
            </w:r>
          </w:p>
        </w:tc>
        <w:tc>
          <w:tcPr>
            <w:tcW w:w="5061" w:type="dxa"/>
            <w:gridSpan w:val="6"/>
            <w:hideMark/>
          </w:tcPr>
          <w:p w:rsidR="00465EE6" w:rsidRPr="00465EE6" w:rsidRDefault="00465EE6" w:rsidP="00465EE6">
            <w:pPr>
              <w:jc w:val="center"/>
              <w:rPr>
                <w:rFonts w:eastAsia="Times New Roman" w:cstheme="minorHAnsi"/>
                <w:lang w:eastAsia="en-ZA"/>
              </w:rPr>
            </w:pPr>
            <w:r w:rsidRPr="00465EE6">
              <w:rPr>
                <w:rFonts w:eastAsia="Times New Roman" w:cstheme="minorHAnsi"/>
                <w:color w:val="000000"/>
                <w:kern w:val="24"/>
                <w:lang w:eastAsia="en-ZA"/>
              </w:rPr>
              <w:t>Total spending</w:t>
            </w:r>
          </w:p>
        </w:tc>
        <w:tc>
          <w:tcPr>
            <w:tcW w:w="951" w:type="dxa"/>
            <w:vMerge w:val="restart"/>
            <w:hideMark/>
          </w:tcPr>
          <w:p w:rsidR="00465EE6" w:rsidRPr="00465EE6" w:rsidRDefault="00465EE6" w:rsidP="00465EE6">
            <w:pPr>
              <w:rPr>
                <w:rFonts w:eastAsia="Times New Roman" w:cstheme="minorHAnsi"/>
                <w:lang w:eastAsia="en-ZA"/>
              </w:rPr>
            </w:pPr>
            <w:r w:rsidRPr="00465EE6">
              <w:rPr>
                <w:rFonts w:eastAsia="Times New Roman" w:cstheme="minorHAnsi"/>
                <w:color w:val="000000"/>
                <w:kern w:val="24"/>
                <w:lang w:eastAsia="en-ZA"/>
              </w:rPr>
              <w:t>Annual Budget</w:t>
            </w:r>
          </w:p>
          <w:p w:rsidR="00465EE6" w:rsidRPr="00465EE6" w:rsidRDefault="00465EE6" w:rsidP="00465EE6">
            <w:pPr>
              <w:rPr>
                <w:rFonts w:eastAsia="Times New Roman" w:cstheme="minorHAnsi"/>
                <w:lang w:eastAsia="en-ZA"/>
              </w:rPr>
            </w:pPr>
            <w:r w:rsidRPr="00465EE6">
              <w:rPr>
                <w:rFonts w:eastAsia="Times New Roman" w:cstheme="minorHAnsi"/>
                <w:color w:val="000000"/>
                <w:kern w:val="24"/>
                <w:lang w:eastAsia="en-ZA"/>
              </w:rPr>
              <w:t>R’000</w:t>
            </w:r>
          </w:p>
        </w:tc>
      </w:tr>
      <w:tr w:rsidR="00465EE6" w:rsidRPr="00465EE6" w:rsidTr="00465EE6">
        <w:trPr>
          <w:cnfStyle w:val="000000100000"/>
          <w:trHeight w:val="439"/>
        </w:trPr>
        <w:tc>
          <w:tcPr>
            <w:tcW w:w="3745" w:type="dxa"/>
            <w:hideMark/>
          </w:tcPr>
          <w:p w:rsidR="00465EE6" w:rsidRPr="00465EE6" w:rsidRDefault="00465EE6" w:rsidP="00465EE6">
            <w:pPr>
              <w:rPr>
                <w:rFonts w:eastAsia="Times New Roman" w:cstheme="minorHAnsi"/>
                <w:lang w:eastAsia="en-ZA"/>
              </w:rPr>
            </w:pPr>
          </w:p>
        </w:tc>
        <w:tc>
          <w:tcPr>
            <w:tcW w:w="1807" w:type="dxa"/>
            <w:gridSpan w:val="2"/>
            <w:hideMark/>
          </w:tcPr>
          <w:p w:rsidR="00465EE6" w:rsidRPr="00465EE6" w:rsidRDefault="00465EE6" w:rsidP="00465EE6">
            <w:pPr>
              <w:jc w:val="center"/>
              <w:rPr>
                <w:rFonts w:eastAsia="Times New Roman" w:cstheme="minorHAnsi"/>
                <w:lang w:eastAsia="en-ZA"/>
              </w:rPr>
            </w:pPr>
            <w:r w:rsidRPr="00465EE6">
              <w:rPr>
                <w:rFonts w:eastAsia="Times New Roman" w:cstheme="minorHAnsi"/>
                <w:b/>
                <w:bCs/>
                <w:color w:val="000000"/>
                <w:kern w:val="24"/>
                <w:lang w:eastAsia="en-ZA"/>
              </w:rPr>
              <w:t>Quarter 1</w:t>
            </w:r>
          </w:p>
        </w:tc>
        <w:tc>
          <w:tcPr>
            <w:tcW w:w="1681" w:type="dxa"/>
            <w:gridSpan w:val="2"/>
            <w:hideMark/>
          </w:tcPr>
          <w:p w:rsidR="00465EE6" w:rsidRPr="00465EE6" w:rsidRDefault="00465EE6" w:rsidP="00465EE6">
            <w:pPr>
              <w:jc w:val="center"/>
              <w:rPr>
                <w:rFonts w:eastAsia="Times New Roman" w:cstheme="minorHAnsi"/>
                <w:lang w:eastAsia="en-ZA"/>
              </w:rPr>
            </w:pPr>
            <w:r w:rsidRPr="00465EE6">
              <w:rPr>
                <w:rFonts w:eastAsia="Times New Roman" w:cstheme="minorHAnsi"/>
                <w:b/>
                <w:bCs/>
                <w:color w:val="000000"/>
                <w:kern w:val="24"/>
                <w:lang w:eastAsia="en-ZA"/>
              </w:rPr>
              <w:t>Quarter 2</w:t>
            </w:r>
          </w:p>
        </w:tc>
        <w:tc>
          <w:tcPr>
            <w:tcW w:w="1572" w:type="dxa"/>
            <w:gridSpan w:val="2"/>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Year to Date</w:t>
            </w:r>
          </w:p>
        </w:tc>
        <w:tc>
          <w:tcPr>
            <w:tcW w:w="0" w:type="auto"/>
            <w:vMerge/>
            <w:hideMark/>
          </w:tcPr>
          <w:p w:rsidR="00465EE6" w:rsidRPr="00465EE6" w:rsidRDefault="00465EE6" w:rsidP="00465EE6">
            <w:pPr>
              <w:rPr>
                <w:rFonts w:eastAsia="Times New Roman" w:cstheme="minorHAnsi"/>
                <w:lang w:eastAsia="en-ZA"/>
              </w:rPr>
            </w:pPr>
          </w:p>
        </w:tc>
      </w:tr>
      <w:tr w:rsidR="00465EE6" w:rsidRPr="00465EE6" w:rsidTr="00465EE6">
        <w:trPr>
          <w:trHeight w:val="439"/>
        </w:trPr>
        <w:tc>
          <w:tcPr>
            <w:tcW w:w="3745" w:type="dxa"/>
            <w:hideMark/>
          </w:tcPr>
          <w:p w:rsidR="00465EE6" w:rsidRPr="00465EE6" w:rsidRDefault="00465EE6" w:rsidP="00465EE6">
            <w:pPr>
              <w:rPr>
                <w:rFonts w:eastAsia="Times New Roman" w:cstheme="minorHAnsi"/>
                <w:lang w:eastAsia="en-ZA"/>
              </w:rPr>
            </w:pPr>
          </w:p>
        </w:tc>
        <w:tc>
          <w:tcPr>
            <w:tcW w:w="1049"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Amount</w:t>
            </w:r>
          </w:p>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R’000</w:t>
            </w:r>
          </w:p>
        </w:tc>
        <w:tc>
          <w:tcPr>
            <w:tcW w:w="757"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w:t>
            </w:r>
          </w:p>
        </w:tc>
        <w:tc>
          <w:tcPr>
            <w:tcW w:w="999"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Amount</w:t>
            </w:r>
          </w:p>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R’000</w:t>
            </w:r>
          </w:p>
        </w:tc>
        <w:tc>
          <w:tcPr>
            <w:tcW w:w="682"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w:t>
            </w:r>
          </w:p>
        </w:tc>
        <w:tc>
          <w:tcPr>
            <w:tcW w:w="969"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Amount</w:t>
            </w:r>
          </w:p>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R’000</w:t>
            </w:r>
          </w:p>
        </w:tc>
        <w:tc>
          <w:tcPr>
            <w:tcW w:w="603" w:type="dxa"/>
            <w:hideMark/>
          </w:tcPr>
          <w:p w:rsidR="00465EE6" w:rsidRPr="00465EE6" w:rsidRDefault="00465EE6" w:rsidP="00465EE6">
            <w:pPr>
              <w:rPr>
                <w:rFonts w:eastAsia="Times New Roman" w:cstheme="minorHAnsi"/>
                <w:lang w:eastAsia="en-ZA"/>
              </w:rPr>
            </w:pPr>
            <w:r w:rsidRPr="00465EE6">
              <w:rPr>
                <w:rFonts w:eastAsia="Times New Roman" w:cstheme="minorHAnsi"/>
                <w:b/>
                <w:bCs/>
                <w:color w:val="000000"/>
                <w:kern w:val="24"/>
                <w:lang w:eastAsia="en-ZA"/>
              </w:rPr>
              <w:t>%</w:t>
            </w:r>
          </w:p>
        </w:tc>
        <w:tc>
          <w:tcPr>
            <w:tcW w:w="0" w:type="auto"/>
            <w:vMerge/>
            <w:hideMark/>
          </w:tcPr>
          <w:p w:rsidR="00465EE6" w:rsidRPr="00465EE6" w:rsidRDefault="00465EE6" w:rsidP="00465EE6">
            <w:pPr>
              <w:rPr>
                <w:rFonts w:eastAsia="Times New Roman" w:cstheme="minorHAnsi"/>
                <w:lang w:eastAsia="en-ZA"/>
              </w:rPr>
            </w:pPr>
          </w:p>
        </w:tc>
      </w:tr>
      <w:tr w:rsidR="00465EE6" w:rsidRPr="00465EE6" w:rsidTr="00465EE6">
        <w:trPr>
          <w:cnfStyle w:val="000000100000"/>
          <w:trHeight w:val="440"/>
        </w:trPr>
        <w:tc>
          <w:tcPr>
            <w:tcW w:w="3745" w:type="dxa"/>
            <w:hideMark/>
          </w:tcPr>
          <w:p w:rsidR="00465EE6" w:rsidRPr="00465EE6" w:rsidRDefault="00465EE6" w:rsidP="00465EE6">
            <w:pPr>
              <w:textAlignment w:val="bottom"/>
              <w:rPr>
                <w:rFonts w:eastAsia="Times New Roman" w:cstheme="minorHAnsi"/>
                <w:lang w:eastAsia="en-ZA"/>
              </w:rPr>
            </w:pPr>
            <w:r w:rsidRPr="00465EE6">
              <w:rPr>
                <w:rFonts w:eastAsia="Times New Roman" w:cstheme="minorHAnsi"/>
                <w:color w:val="000000"/>
                <w:kern w:val="24"/>
                <w:lang w:val="en-US" w:eastAsia="en-ZA"/>
              </w:rPr>
              <w:t>Members Facilities</w:t>
            </w:r>
          </w:p>
        </w:tc>
        <w:tc>
          <w:tcPr>
            <w:tcW w:w="1049"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b/>
                <w:bCs/>
                <w:color w:val="FFFFFF"/>
                <w:kern w:val="24"/>
                <w:lang w:val="en-US" w:eastAsia="en-ZA"/>
              </w:rPr>
              <w:t>27,766</w:t>
            </w:r>
          </w:p>
        </w:tc>
        <w:tc>
          <w:tcPr>
            <w:tcW w:w="757"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13%</w:t>
            </w:r>
          </w:p>
        </w:tc>
        <w:tc>
          <w:tcPr>
            <w:tcW w:w="999"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b/>
                <w:bCs/>
                <w:color w:val="000000"/>
                <w:kern w:val="24"/>
                <w:lang w:val="en-US" w:eastAsia="en-ZA"/>
              </w:rPr>
              <w:t>38,947</w:t>
            </w:r>
          </w:p>
        </w:tc>
        <w:tc>
          <w:tcPr>
            <w:tcW w:w="682"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18%</w:t>
            </w:r>
          </w:p>
        </w:tc>
        <w:tc>
          <w:tcPr>
            <w:tcW w:w="969"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66,713</w:t>
            </w:r>
          </w:p>
        </w:tc>
        <w:tc>
          <w:tcPr>
            <w:tcW w:w="603"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30%</w:t>
            </w:r>
          </w:p>
        </w:tc>
        <w:tc>
          <w:tcPr>
            <w:tcW w:w="951"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b/>
                <w:bCs/>
                <w:color w:val="FFFFFF"/>
                <w:kern w:val="24"/>
                <w:lang w:val="en-US" w:eastAsia="en-ZA"/>
              </w:rPr>
              <w:t>220,000</w:t>
            </w:r>
          </w:p>
        </w:tc>
      </w:tr>
      <w:tr w:rsidR="00465EE6" w:rsidRPr="00465EE6" w:rsidTr="00465EE6">
        <w:trPr>
          <w:trHeight w:val="439"/>
        </w:trPr>
        <w:tc>
          <w:tcPr>
            <w:tcW w:w="3745" w:type="dxa"/>
            <w:hideMark/>
          </w:tcPr>
          <w:p w:rsidR="00465EE6" w:rsidRPr="00465EE6" w:rsidRDefault="00465EE6" w:rsidP="00465EE6">
            <w:pPr>
              <w:textAlignment w:val="bottom"/>
              <w:rPr>
                <w:rFonts w:eastAsia="Times New Roman" w:cstheme="minorHAnsi"/>
                <w:lang w:eastAsia="en-ZA"/>
              </w:rPr>
            </w:pPr>
            <w:r w:rsidRPr="00465EE6">
              <w:rPr>
                <w:rFonts w:eastAsia="Times New Roman" w:cstheme="minorHAnsi"/>
                <w:color w:val="000000"/>
                <w:kern w:val="24"/>
                <w:lang w:val="en-US" w:eastAsia="en-ZA"/>
              </w:rPr>
              <w:t xml:space="preserve">Transfers </w:t>
            </w:r>
          </w:p>
        </w:tc>
        <w:tc>
          <w:tcPr>
            <w:tcW w:w="1049"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124,184</w:t>
            </w:r>
          </w:p>
        </w:tc>
        <w:tc>
          <w:tcPr>
            <w:tcW w:w="757"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25%</w:t>
            </w:r>
          </w:p>
        </w:tc>
        <w:tc>
          <w:tcPr>
            <w:tcW w:w="999"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120,856</w:t>
            </w:r>
          </w:p>
        </w:tc>
        <w:tc>
          <w:tcPr>
            <w:tcW w:w="682"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24%</w:t>
            </w:r>
          </w:p>
        </w:tc>
        <w:tc>
          <w:tcPr>
            <w:tcW w:w="969"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245,040</w:t>
            </w:r>
          </w:p>
        </w:tc>
        <w:tc>
          <w:tcPr>
            <w:tcW w:w="603"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49%</w:t>
            </w:r>
          </w:p>
        </w:tc>
        <w:tc>
          <w:tcPr>
            <w:tcW w:w="951"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color w:val="000000"/>
                <w:kern w:val="24"/>
                <w:lang w:val="en-US" w:eastAsia="en-ZA"/>
              </w:rPr>
              <w:t>500,302</w:t>
            </w:r>
          </w:p>
        </w:tc>
      </w:tr>
      <w:tr w:rsidR="00465EE6" w:rsidRPr="00465EE6" w:rsidTr="00465EE6">
        <w:trPr>
          <w:cnfStyle w:val="000000100000"/>
          <w:trHeight w:val="439"/>
        </w:trPr>
        <w:tc>
          <w:tcPr>
            <w:tcW w:w="3745" w:type="dxa"/>
            <w:hideMark/>
          </w:tcPr>
          <w:p w:rsidR="00465EE6" w:rsidRPr="00465EE6" w:rsidRDefault="00465EE6" w:rsidP="00465EE6">
            <w:pPr>
              <w:textAlignment w:val="bottom"/>
              <w:rPr>
                <w:rFonts w:eastAsia="Times New Roman" w:cstheme="minorHAnsi"/>
                <w:lang w:eastAsia="en-ZA"/>
              </w:rPr>
            </w:pPr>
            <w:r w:rsidRPr="00465EE6">
              <w:rPr>
                <w:rFonts w:eastAsia="Times New Roman" w:cstheme="minorHAnsi"/>
                <w:b/>
                <w:bCs/>
                <w:color w:val="000000"/>
                <w:kern w:val="24"/>
                <w:lang w:val="en-US" w:eastAsia="en-ZA"/>
              </w:rPr>
              <w:t>TOTAL</w:t>
            </w:r>
          </w:p>
        </w:tc>
        <w:tc>
          <w:tcPr>
            <w:tcW w:w="1049"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b/>
                <w:bCs/>
                <w:color w:val="000000"/>
                <w:kern w:val="24"/>
                <w:lang w:val="en-US" w:eastAsia="en-ZA"/>
              </w:rPr>
              <w:t>151,950</w:t>
            </w:r>
          </w:p>
        </w:tc>
        <w:tc>
          <w:tcPr>
            <w:tcW w:w="757"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b/>
                <w:bCs/>
                <w:color w:val="000000"/>
                <w:kern w:val="24"/>
                <w:lang w:val="en-US" w:eastAsia="en-ZA"/>
              </w:rPr>
              <w:t>21%</w:t>
            </w:r>
          </w:p>
        </w:tc>
        <w:tc>
          <w:tcPr>
            <w:tcW w:w="999"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b/>
                <w:bCs/>
                <w:color w:val="000000"/>
                <w:kern w:val="24"/>
                <w:lang w:val="en-US" w:eastAsia="en-ZA"/>
              </w:rPr>
              <w:t>159,803</w:t>
            </w:r>
          </w:p>
        </w:tc>
        <w:tc>
          <w:tcPr>
            <w:tcW w:w="682"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b/>
                <w:bCs/>
                <w:color w:val="000000"/>
                <w:kern w:val="24"/>
                <w:lang w:val="en-US" w:eastAsia="en-ZA"/>
              </w:rPr>
              <w:t>22%</w:t>
            </w:r>
          </w:p>
        </w:tc>
        <w:tc>
          <w:tcPr>
            <w:tcW w:w="969"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b/>
                <w:bCs/>
                <w:color w:val="000000"/>
                <w:kern w:val="24"/>
                <w:lang w:val="en-US" w:eastAsia="en-ZA"/>
              </w:rPr>
              <w:t>311,753</w:t>
            </w:r>
          </w:p>
        </w:tc>
        <w:tc>
          <w:tcPr>
            <w:tcW w:w="603" w:type="dxa"/>
            <w:hideMark/>
          </w:tcPr>
          <w:p w:rsidR="00465EE6" w:rsidRPr="00465EE6" w:rsidRDefault="00465EE6" w:rsidP="00465EE6">
            <w:pPr>
              <w:jc w:val="right"/>
              <w:textAlignment w:val="bottom"/>
              <w:rPr>
                <w:rFonts w:eastAsia="Times New Roman" w:cstheme="minorHAnsi"/>
                <w:lang w:eastAsia="en-ZA"/>
              </w:rPr>
            </w:pPr>
            <w:r w:rsidRPr="00465EE6">
              <w:rPr>
                <w:rFonts w:eastAsia="Times New Roman" w:cstheme="minorHAnsi"/>
                <w:color w:val="000000"/>
                <w:kern w:val="24"/>
                <w:lang w:val="en-US" w:eastAsia="en-ZA"/>
              </w:rPr>
              <w:t>43%</w:t>
            </w:r>
          </w:p>
        </w:tc>
        <w:tc>
          <w:tcPr>
            <w:tcW w:w="951" w:type="dxa"/>
            <w:hideMark/>
          </w:tcPr>
          <w:p w:rsidR="00465EE6" w:rsidRPr="00465EE6" w:rsidRDefault="00465EE6" w:rsidP="00465EE6">
            <w:pPr>
              <w:jc w:val="right"/>
              <w:textAlignment w:val="center"/>
              <w:rPr>
                <w:rFonts w:eastAsia="Times New Roman" w:cstheme="minorHAnsi"/>
                <w:lang w:eastAsia="en-ZA"/>
              </w:rPr>
            </w:pPr>
            <w:r w:rsidRPr="00465EE6">
              <w:rPr>
                <w:rFonts w:eastAsia="Times New Roman" w:cstheme="minorHAnsi"/>
                <w:b/>
                <w:bCs/>
                <w:color w:val="000000"/>
                <w:kern w:val="24"/>
                <w:lang w:val="en-US" w:eastAsia="en-ZA"/>
              </w:rPr>
              <w:t>720,302</w:t>
            </w:r>
          </w:p>
        </w:tc>
      </w:tr>
    </w:tbl>
    <w:p w:rsidR="00465EE6" w:rsidRDefault="00465EE6" w:rsidP="00BB5D1A">
      <w:pPr>
        <w:spacing w:after="0"/>
        <w:rPr>
          <w:rFonts w:ascii="Calibri" w:hAnsi="Calibri" w:cs="Calibri"/>
          <w:sz w:val="24"/>
          <w:szCs w:val="24"/>
        </w:rPr>
      </w:pPr>
    </w:p>
    <w:p w:rsidR="006758E9" w:rsidRPr="00533CF4" w:rsidRDefault="00533CF4" w:rsidP="00BB5D1A">
      <w:pPr>
        <w:spacing w:after="0"/>
        <w:rPr>
          <w:rFonts w:ascii="Calibri" w:hAnsi="Calibri" w:cs="Calibri"/>
          <w:b/>
          <w:sz w:val="24"/>
          <w:szCs w:val="24"/>
        </w:rPr>
      </w:pPr>
      <w:r w:rsidRPr="00533CF4">
        <w:rPr>
          <w:rFonts w:ascii="Calibri" w:hAnsi="Calibri" w:cs="Calibri"/>
          <w:b/>
          <w:sz w:val="24"/>
          <w:szCs w:val="24"/>
        </w:rPr>
        <w:t>Direct charges</w:t>
      </w:r>
    </w:p>
    <w:p w:rsidR="006758E9" w:rsidRPr="00386AB9" w:rsidRDefault="006758E9" w:rsidP="00BB5D1A">
      <w:pPr>
        <w:spacing w:after="0"/>
        <w:rPr>
          <w:rFonts w:ascii="Calibri" w:hAnsi="Calibri" w:cs="Calibri"/>
        </w:rPr>
      </w:pPr>
    </w:p>
    <w:p w:rsidR="00533CF4" w:rsidRPr="00386AB9" w:rsidRDefault="00533CF4" w:rsidP="00533CF4">
      <w:pPr>
        <w:spacing w:after="0"/>
        <w:jc w:val="both"/>
        <w:rPr>
          <w:rFonts w:ascii="Calibri" w:hAnsi="Calibri" w:cs="Calibri"/>
        </w:rPr>
      </w:pPr>
      <w:r w:rsidRPr="00386AB9">
        <w:rPr>
          <w:rFonts w:ascii="Calibri" w:hAnsi="Calibri" w:cs="Calibri"/>
        </w:rPr>
        <w:t>Spending for Members’ remuneration is R242,099m or 48 percent of the annual budget of R507,157m year to date and 24 percent for the second quarter against the annual budget, and indications are that there will be a minimal variance of R3,509m or 1 percent, which will be surrendered to the National Revenue Fund in line with section 23(4) of the FMPPLA.</w:t>
      </w:r>
    </w:p>
    <w:p w:rsidR="006758E9" w:rsidRDefault="006758E9" w:rsidP="00BB5D1A">
      <w:pPr>
        <w:spacing w:after="0"/>
        <w:rPr>
          <w:rFonts w:ascii="Calibri" w:hAnsi="Calibri" w:cs="Calibri"/>
          <w:sz w:val="24"/>
          <w:szCs w:val="24"/>
        </w:rPr>
      </w:pPr>
    </w:p>
    <w:tbl>
      <w:tblPr>
        <w:tblStyle w:val="GridTable4Accent4"/>
        <w:tblW w:w="9567" w:type="dxa"/>
        <w:tblLook w:val="0420"/>
      </w:tblPr>
      <w:tblGrid>
        <w:gridCol w:w="3631"/>
        <w:gridCol w:w="1034"/>
        <w:gridCol w:w="745"/>
        <w:gridCol w:w="985"/>
        <w:gridCol w:w="671"/>
        <w:gridCol w:w="959"/>
        <w:gridCol w:w="600"/>
        <w:gridCol w:w="942"/>
      </w:tblGrid>
      <w:tr w:rsidR="00533CF4" w:rsidRPr="00533CF4" w:rsidTr="00533CF4">
        <w:trPr>
          <w:cnfStyle w:val="100000000000"/>
          <w:trHeight w:val="255"/>
        </w:trPr>
        <w:tc>
          <w:tcPr>
            <w:tcW w:w="3631" w:type="dxa"/>
            <w:hideMark/>
          </w:tcPr>
          <w:p w:rsidR="00533CF4" w:rsidRPr="00533CF4" w:rsidRDefault="00533CF4" w:rsidP="00533CF4">
            <w:pPr>
              <w:rPr>
                <w:rFonts w:eastAsia="Times New Roman" w:cstheme="minorHAnsi"/>
                <w:lang w:eastAsia="en-ZA"/>
              </w:rPr>
            </w:pPr>
            <w:r w:rsidRPr="00533CF4">
              <w:rPr>
                <w:rFonts w:eastAsia="Times New Roman" w:cstheme="minorHAnsi"/>
                <w:color w:val="000000"/>
                <w:kern w:val="24"/>
                <w:lang w:eastAsia="en-ZA"/>
              </w:rPr>
              <w:t>Details</w:t>
            </w:r>
          </w:p>
        </w:tc>
        <w:tc>
          <w:tcPr>
            <w:tcW w:w="4994" w:type="dxa"/>
            <w:gridSpan w:val="6"/>
            <w:hideMark/>
          </w:tcPr>
          <w:p w:rsidR="00533CF4" w:rsidRPr="00533CF4" w:rsidRDefault="00533CF4" w:rsidP="00533CF4">
            <w:pPr>
              <w:jc w:val="center"/>
              <w:rPr>
                <w:rFonts w:eastAsia="Times New Roman" w:cstheme="minorHAnsi"/>
                <w:lang w:eastAsia="en-ZA"/>
              </w:rPr>
            </w:pPr>
            <w:r w:rsidRPr="00533CF4">
              <w:rPr>
                <w:rFonts w:eastAsia="Times New Roman" w:cstheme="minorHAnsi"/>
                <w:color w:val="000000"/>
                <w:kern w:val="24"/>
                <w:lang w:eastAsia="en-ZA"/>
              </w:rPr>
              <w:t>Total spending</w:t>
            </w:r>
          </w:p>
        </w:tc>
        <w:tc>
          <w:tcPr>
            <w:tcW w:w="942" w:type="dxa"/>
            <w:vMerge w:val="restart"/>
            <w:hideMark/>
          </w:tcPr>
          <w:p w:rsidR="00533CF4" w:rsidRPr="00533CF4" w:rsidRDefault="00533CF4" w:rsidP="00533CF4">
            <w:pPr>
              <w:rPr>
                <w:rFonts w:eastAsia="Times New Roman" w:cstheme="minorHAnsi"/>
                <w:lang w:eastAsia="en-ZA"/>
              </w:rPr>
            </w:pPr>
            <w:r w:rsidRPr="00533CF4">
              <w:rPr>
                <w:rFonts w:eastAsia="Times New Roman" w:cstheme="minorHAnsi"/>
                <w:color w:val="000000"/>
                <w:kern w:val="24"/>
                <w:lang w:eastAsia="en-ZA"/>
              </w:rPr>
              <w:t>Annual Budget</w:t>
            </w:r>
          </w:p>
          <w:p w:rsidR="00533CF4" w:rsidRPr="00533CF4" w:rsidRDefault="00533CF4" w:rsidP="00533CF4">
            <w:pPr>
              <w:rPr>
                <w:rFonts w:eastAsia="Times New Roman" w:cstheme="minorHAnsi"/>
                <w:lang w:eastAsia="en-ZA"/>
              </w:rPr>
            </w:pPr>
            <w:r w:rsidRPr="00533CF4">
              <w:rPr>
                <w:rFonts w:eastAsia="Times New Roman" w:cstheme="minorHAnsi"/>
                <w:color w:val="000000"/>
                <w:kern w:val="24"/>
                <w:lang w:eastAsia="en-ZA"/>
              </w:rPr>
              <w:t>R’000</w:t>
            </w:r>
          </w:p>
        </w:tc>
      </w:tr>
      <w:tr w:rsidR="00533CF4" w:rsidRPr="00533CF4" w:rsidTr="00533CF4">
        <w:trPr>
          <w:cnfStyle w:val="000000100000"/>
          <w:trHeight w:val="255"/>
        </w:trPr>
        <w:tc>
          <w:tcPr>
            <w:tcW w:w="3631" w:type="dxa"/>
            <w:hideMark/>
          </w:tcPr>
          <w:p w:rsidR="00533CF4" w:rsidRPr="00533CF4" w:rsidRDefault="00533CF4" w:rsidP="00533CF4">
            <w:pPr>
              <w:rPr>
                <w:rFonts w:eastAsia="Times New Roman" w:cstheme="minorHAnsi"/>
                <w:lang w:eastAsia="en-ZA"/>
              </w:rPr>
            </w:pPr>
          </w:p>
        </w:tc>
        <w:tc>
          <w:tcPr>
            <w:tcW w:w="1779" w:type="dxa"/>
            <w:gridSpan w:val="2"/>
            <w:hideMark/>
          </w:tcPr>
          <w:p w:rsidR="00533CF4" w:rsidRPr="00533CF4" w:rsidRDefault="00533CF4" w:rsidP="00533CF4">
            <w:pPr>
              <w:jc w:val="center"/>
              <w:rPr>
                <w:rFonts w:eastAsia="Times New Roman" w:cstheme="minorHAnsi"/>
                <w:lang w:eastAsia="en-ZA"/>
              </w:rPr>
            </w:pPr>
            <w:r w:rsidRPr="00533CF4">
              <w:rPr>
                <w:rFonts w:eastAsia="Times New Roman" w:cstheme="minorHAnsi"/>
                <w:b/>
                <w:bCs/>
                <w:color w:val="000000"/>
                <w:kern w:val="24"/>
                <w:lang w:eastAsia="en-ZA"/>
              </w:rPr>
              <w:t>Quarter 1</w:t>
            </w:r>
          </w:p>
        </w:tc>
        <w:tc>
          <w:tcPr>
            <w:tcW w:w="1656" w:type="dxa"/>
            <w:gridSpan w:val="2"/>
            <w:hideMark/>
          </w:tcPr>
          <w:p w:rsidR="00533CF4" w:rsidRPr="00533CF4" w:rsidRDefault="00533CF4" w:rsidP="00533CF4">
            <w:pPr>
              <w:jc w:val="center"/>
              <w:rPr>
                <w:rFonts w:eastAsia="Times New Roman" w:cstheme="minorHAnsi"/>
                <w:lang w:eastAsia="en-ZA"/>
              </w:rPr>
            </w:pPr>
            <w:r w:rsidRPr="00533CF4">
              <w:rPr>
                <w:rFonts w:eastAsia="Times New Roman" w:cstheme="minorHAnsi"/>
                <w:b/>
                <w:bCs/>
                <w:color w:val="000000"/>
                <w:kern w:val="24"/>
                <w:lang w:eastAsia="en-ZA"/>
              </w:rPr>
              <w:t>Quarter 2</w:t>
            </w:r>
          </w:p>
        </w:tc>
        <w:tc>
          <w:tcPr>
            <w:tcW w:w="1559" w:type="dxa"/>
            <w:gridSpan w:val="2"/>
            <w:hideMark/>
          </w:tcPr>
          <w:p w:rsidR="00533CF4" w:rsidRPr="00533CF4" w:rsidRDefault="00533CF4" w:rsidP="00533CF4">
            <w:pPr>
              <w:rPr>
                <w:rFonts w:eastAsia="Times New Roman" w:cstheme="minorHAnsi"/>
                <w:lang w:eastAsia="en-ZA"/>
              </w:rPr>
            </w:pPr>
            <w:r w:rsidRPr="00533CF4">
              <w:rPr>
                <w:rFonts w:eastAsia="Times New Roman" w:cstheme="minorHAnsi"/>
                <w:b/>
                <w:bCs/>
                <w:color w:val="000000"/>
                <w:kern w:val="24"/>
                <w:lang w:eastAsia="en-ZA"/>
              </w:rPr>
              <w:t>Year to Date</w:t>
            </w:r>
          </w:p>
        </w:tc>
        <w:tc>
          <w:tcPr>
            <w:tcW w:w="0" w:type="auto"/>
            <w:vMerge/>
            <w:hideMark/>
          </w:tcPr>
          <w:p w:rsidR="00533CF4" w:rsidRPr="00533CF4" w:rsidRDefault="00533CF4" w:rsidP="00533CF4">
            <w:pPr>
              <w:rPr>
                <w:rFonts w:eastAsia="Times New Roman" w:cstheme="minorHAnsi"/>
                <w:lang w:eastAsia="en-ZA"/>
              </w:rPr>
            </w:pPr>
          </w:p>
        </w:tc>
      </w:tr>
      <w:tr w:rsidR="00533CF4" w:rsidRPr="00533CF4" w:rsidTr="00533CF4">
        <w:trPr>
          <w:trHeight w:val="460"/>
        </w:trPr>
        <w:tc>
          <w:tcPr>
            <w:tcW w:w="3631" w:type="dxa"/>
            <w:hideMark/>
          </w:tcPr>
          <w:p w:rsidR="00533CF4" w:rsidRPr="00533CF4" w:rsidRDefault="00533CF4" w:rsidP="00533CF4">
            <w:pPr>
              <w:rPr>
                <w:rFonts w:eastAsia="Times New Roman" w:cstheme="minorHAnsi"/>
                <w:lang w:eastAsia="en-ZA"/>
              </w:rPr>
            </w:pPr>
          </w:p>
        </w:tc>
        <w:tc>
          <w:tcPr>
            <w:tcW w:w="1034" w:type="dxa"/>
            <w:hideMark/>
          </w:tcPr>
          <w:p w:rsidR="00533CF4" w:rsidRPr="00533CF4" w:rsidRDefault="00533CF4" w:rsidP="00533CF4">
            <w:pPr>
              <w:rPr>
                <w:rFonts w:eastAsia="Times New Roman" w:cstheme="minorHAnsi"/>
                <w:lang w:eastAsia="en-ZA"/>
              </w:rPr>
            </w:pPr>
            <w:r w:rsidRPr="00533CF4">
              <w:rPr>
                <w:rFonts w:eastAsia="Times New Roman" w:cstheme="minorHAnsi"/>
                <w:b/>
                <w:bCs/>
                <w:color w:val="000000"/>
                <w:kern w:val="24"/>
                <w:lang w:eastAsia="en-ZA"/>
              </w:rPr>
              <w:t>Amount</w:t>
            </w:r>
          </w:p>
          <w:p w:rsidR="00533CF4" w:rsidRPr="00533CF4" w:rsidRDefault="00533CF4" w:rsidP="00533CF4">
            <w:pPr>
              <w:rPr>
                <w:rFonts w:eastAsia="Times New Roman" w:cstheme="minorHAnsi"/>
                <w:lang w:eastAsia="en-ZA"/>
              </w:rPr>
            </w:pPr>
            <w:r w:rsidRPr="00533CF4">
              <w:rPr>
                <w:rFonts w:eastAsia="Times New Roman" w:cstheme="minorHAnsi"/>
                <w:b/>
                <w:bCs/>
                <w:color w:val="000000"/>
                <w:kern w:val="24"/>
                <w:lang w:eastAsia="en-ZA"/>
              </w:rPr>
              <w:t>R’000</w:t>
            </w:r>
          </w:p>
        </w:tc>
        <w:tc>
          <w:tcPr>
            <w:tcW w:w="745" w:type="dxa"/>
            <w:hideMark/>
          </w:tcPr>
          <w:p w:rsidR="00533CF4" w:rsidRPr="00533CF4" w:rsidRDefault="00533CF4" w:rsidP="00533CF4">
            <w:pPr>
              <w:rPr>
                <w:rFonts w:eastAsia="Times New Roman" w:cstheme="minorHAnsi"/>
                <w:lang w:eastAsia="en-ZA"/>
              </w:rPr>
            </w:pPr>
            <w:r w:rsidRPr="00533CF4">
              <w:rPr>
                <w:rFonts w:eastAsia="Times New Roman" w:cstheme="minorHAnsi"/>
                <w:b/>
                <w:bCs/>
                <w:color w:val="000000"/>
                <w:kern w:val="24"/>
                <w:lang w:eastAsia="en-ZA"/>
              </w:rPr>
              <w:t>%</w:t>
            </w:r>
          </w:p>
        </w:tc>
        <w:tc>
          <w:tcPr>
            <w:tcW w:w="985" w:type="dxa"/>
            <w:hideMark/>
          </w:tcPr>
          <w:p w:rsidR="00533CF4" w:rsidRPr="00533CF4" w:rsidRDefault="00533CF4" w:rsidP="00533CF4">
            <w:pPr>
              <w:rPr>
                <w:rFonts w:eastAsia="Times New Roman" w:cstheme="minorHAnsi"/>
                <w:lang w:eastAsia="en-ZA"/>
              </w:rPr>
            </w:pPr>
            <w:r w:rsidRPr="00533CF4">
              <w:rPr>
                <w:rFonts w:eastAsia="Times New Roman" w:cstheme="minorHAnsi"/>
                <w:b/>
                <w:bCs/>
                <w:color w:val="000000"/>
                <w:kern w:val="24"/>
                <w:lang w:eastAsia="en-ZA"/>
              </w:rPr>
              <w:t>Amount</w:t>
            </w:r>
          </w:p>
          <w:p w:rsidR="00533CF4" w:rsidRPr="00533CF4" w:rsidRDefault="00533CF4" w:rsidP="00533CF4">
            <w:pPr>
              <w:rPr>
                <w:rFonts w:eastAsia="Times New Roman" w:cstheme="minorHAnsi"/>
                <w:lang w:eastAsia="en-ZA"/>
              </w:rPr>
            </w:pPr>
            <w:r w:rsidRPr="00533CF4">
              <w:rPr>
                <w:rFonts w:eastAsia="Times New Roman" w:cstheme="minorHAnsi"/>
                <w:b/>
                <w:bCs/>
                <w:color w:val="000000"/>
                <w:kern w:val="24"/>
                <w:lang w:eastAsia="en-ZA"/>
              </w:rPr>
              <w:t>R’000</w:t>
            </w:r>
          </w:p>
        </w:tc>
        <w:tc>
          <w:tcPr>
            <w:tcW w:w="671" w:type="dxa"/>
            <w:hideMark/>
          </w:tcPr>
          <w:p w:rsidR="00533CF4" w:rsidRPr="00533CF4" w:rsidRDefault="00533CF4" w:rsidP="00533CF4">
            <w:pPr>
              <w:rPr>
                <w:rFonts w:eastAsia="Times New Roman" w:cstheme="minorHAnsi"/>
                <w:lang w:eastAsia="en-ZA"/>
              </w:rPr>
            </w:pPr>
            <w:r w:rsidRPr="00533CF4">
              <w:rPr>
                <w:rFonts w:eastAsia="Times New Roman" w:cstheme="minorHAnsi"/>
                <w:b/>
                <w:bCs/>
                <w:color w:val="000000"/>
                <w:kern w:val="24"/>
                <w:lang w:eastAsia="en-ZA"/>
              </w:rPr>
              <w:t>%</w:t>
            </w:r>
          </w:p>
        </w:tc>
        <w:tc>
          <w:tcPr>
            <w:tcW w:w="959" w:type="dxa"/>
            <w:hideMark/>
          </w:tcPr>
          <w:p w:rsidR="00533CF4" w:rsidRPr="00533CF4" w:rsidRDefault="00533CF4" w:rsidP="00533CF4">
            <w:pPr>
              <w:rPr>
                <w:rFonts w:eastAsia="Times New Roman" w:cstheme="minorHAnsi"/>
                <w:lang w:eastAsia="en-ZA"/>
              </w:rPr>
            </w:pPr>
            <w:r w:rsidRPr="00533CF4">
              <w:rPr>
                <w:rFonts w:eastAsia="Times New Roman" w:cstheme="minorHAnsi"/>
                <w:b/>
                <w:bCs/>
                <w:color w:val="000000"/>
                <w:kern w:val="24"/>
                <w:lang w:eastAsia="en-ZA"/>
              </w:rPr>
              <w:t>Amount</w:t>
            </w:r>
          </w:p>
          <w:p w:rsidR="00533CF4" w:rsidRPr="00533CF4" w:rsidRDefault="00533CF4" w:rsidP="00533CF4">
            <w:pPr>
              <w:rPr>
                <w:rFonts w:eastAsia="Times New Roman" w:cstheme="minorHAnsi"/>
                <w:lang w:eastAsia="en-ZA"/>
              </w:rPr>
            </w:pPr>
            <w:r w:rsidRPr="00533CF4">
              <w:rPr>
                <w:rFonts w:eastAsia="Times New Roman" w:cstheme="minorHAnsi"/>
                <w:b/>
                <w:bCs/>
                <w:color w:val="000000"/>
                <w:kern w:val="24"/>
                <w:lang w:eastAsia="en-ZA"/>
              </w:rPr>
              <w:t>R’000</w:t>
            </w:r>
          </w:p>
        </w:tc>
        <w:tc>
          <w:tcPr>
            <w:tcW w:w="600" w:type="dxa"/>
            <w:hideMark/>
          </w:tcPr>
          <w:p w:rsidR="00533CF4" w:rsidRPr="00533CF4" w:rsidRDefault="00533CF4" w:rsidP="00533CF4">
            <w:pPr>
              <w:rPr>
                <w:rFonts w:eastAsia="Times New Roman" w:cstheme="minorHAnsi"/>
                <w:lang w:eastAsia="en-ZA"/>
              </w:rPr>
            </w:pPr>
            <w:r w:rsidRPr="00533CF4">
              <w:rPr>
                <w:rFonts w:eastAsia="Times New Roman" w:cstheme="minorHAnsi"/>
                <w:b/>
                <w:bCs/>
                <w:color w:val="000000"/>
                <w:kern w:val="24"/>
                <w:lang w:eastAsia="en-ZA"/>
              </w:rPr>
              <w:t>%</w:t>
            </w:r>
          </w:p>
        </w:tc>
        <w:tc>
          <w:tcPr>
            <w:tcW w:w="0" w:type="auto"/>
            <w:vMerge/>
            <w:hideMark/>
          </w:tcPr>
          <w:p w:rsidR="00533CF4" w:rsidRPr="00533CF4" w:rsidRDefault="00533CF4" w:rsidP="00533CF4">
            <w:pPr>
              <w:rPr>
                <w:rFonts w:eastAsia="Times New Roman" w:cstheme="minorHAnsi"/>
                <w:lang w:eastAsia="en-ZA"/>
              </w:rPr>
            </w:pPr>
          </w:p>
        </w:tc>
      </w:tr>
      <w:tr w:rsidR="00533CF4" w:rsidRPr="00533CF4" w:rsidTr="00533CF4">
        <w:trPr>
          <w:cnfStyle w:val="000000100000"/>
          <w:trHeight w:val="560"/>
        </w:trPr>
        <w:tc>
          <w:tcPr>
            <w:tcW w:w="3631" w:type="dxa"/>
            <w:hideMark/>
          </w:tcPr>
          <w:p w:rsidR="00533CF4" w:rsidRPr="00533CF4" w:rsidRDefault="00533CF4" w:rsidP="00533CF4">
            <w:pPr>
              <w:textAlignment w:val="bottom"/>
              <w:rPr>
                <w:rFonts w:eastAsia="Times New Roman" w:cstheme="minorHAnsi"/>
                <w:lang w:eastAsia="en-ZA"/>
              </w:rPr>
            </w:pPr>
            <w:r w:rsidRPr="00533CF4">
              <w:rPr>
                <w:rFonts w:eastAsia="Times New Roman" w:cstheme="minorHAnsi"/>
                <w:color w:val="000000"/>
                <w:kern w:val="24"/>
                <w:lang w:val="en-US" w:eastAsia="en-ZA"/>
              </w:rPr>
              <w:t>Member Remunerations</w:t>
            </w:r>
          </w:p>
        </w:tc>
        <w:tc>
          <w:tcPr>
            <w:tcW w:w="1034" w:type="dxa"/>
            <w:hideMark/>
          </w:tcPr>
          <w:p w:rsidR="00533CF4" w:rsidRPr="00533CF4" w:rsidRDefault="00533CF4" w:rsidP="00533CF4">
            <w:pPr>
              <w:spacing w:after="120" w:line="256" w:lineRule="auto"/>
              <w:jc w:val="right"/>
              <w:rPr>
                <w:rFonts w:eastAsia="Times New Roman" w:cstheme="minorHAnsi"/>
                <w:lang w:eastAsia="en-ZA"/>
              </w:rPr>
            </w:pPr>
            <w:r w:rsidRPr="00533CF4">
              <w:rPr>
                <w:rFonts w:eastAsia="Calibri" w:cstheme="minorHAnsi"/>
                <w:color w:val="000000"/>
                <w:kern w:val="24"/>
                <w:lang w:eastAsia="en-ZA"/>
              </w:rPr>
              <w:t>120,966</w:t>
            </w:r>
          </w:p>
        </w:tc>
        <w:tc>
          <w:tcPr>
            <w:tcW w:w="745" w:type="dxa"/>
            <w:hideMark/>
          </w:tcPr>
          <w:p w:rsidR="00533CF4" w:rsidRPr="00533CF4" w:rsidRDefault="00533CF4" w:rsidP="00533CF4">
            <w:pPr>
              <w:jc w:val="right"/>
              <w:textAlignment w:val="bottom"/>
              <w:rPr>
                <w:rFonts w:eastAsia="Times New Roman" w:cstheme="minorHAnsi"/>
                <w:lang w:eastAsia="en-ZA"/>
              </w:rPr>
            </w:pPr>
            <w:r w:rsidRPr="00533CF4">
              <w:rPr>
                <w:rFonts w:eastAsia="Times New Roman" w:cstheme="minorHAnsi"/>
                <w:color w:val="000000"/>
                <w:kern w:val="24"/>
                <w:lang w:val="en-US" w:eastAsia="en-ZA"/>
              </w:rPr>
              <w:t>24%</w:t>
            </w:r>
          </w:p>
        </w:tc>
        <w:tc>
          <w:tcPr>
            <w:tcW w:w="985" w:type="dxa"/>
            <w:hideMark/>
          </w:tcPr>
          <w:p w:rsidR="00533CF4" w:rsidRPr="00533CF4" w:rsidRDefault="00533CF4" w:rsidP="00533CF4">
            <w:pPr>
              <w:spacing w:line="256" w:lineRule="auto"/>
              <w:jc w:val="right"/>
              <w:rPr>
                <w:rFonts w:eastAsia="Times New Roman" w:cstheme="minorHAnsi"/>
                <w:lang w:eastAsia="en-ZA"/>
              </w:rPr>
            </w:pPr>
            <w:r w:rsidRPr="00533CF4">
              <w:rPr>
                <w:rFonts w:eastAsia="Calibri" w:cstheme="minorHAnsi"/>
                <w:color w:val="000000"/>
                <w:kern w:val="24"/>
                <w:lang w:eastAsia="en-ZA"/>
              </w:rPr>
              <w:t xml:space="preserve">121,133 </w:t>
            </w:r>
          </w:p>
        </w:tc>
        <w:tc>
          <w:tcPr>
            <w:tcW w:w="671" w:type="dxa"/>
            <w:hideMark/>
          </w:tcPr>
          <w:p w:rsidR="00533CF4" w:rsidRPr="00533CF4" w:rsidRDefault="00533CF4" w:rsidP="00533CF4">
            <w:pPr>
              <w:jc w:val="right"/>
              <w:textAlignment w:val="bottom"/>
              <w:rPr>
                <w:rFonts w:eastAsia="Times New Roman" w:cstheme="minorHAnsi"/>
                <w:lang w:eastAsia="en-ZA"/>
              </w:rPr>
            </w:pPr>
            <w:r w:rsidRPr="00533CF4">
              <w:rPr>
                <w:rFonts w:eastAsia="Times New Roman" w:cstheme="minorHAnsi"/>
                <w:color w:val="000000"/>
                <w:kern w:val="24"/>
                <w:lang w:val="en-US" w:eastAsia="en-ZA"/>
              </w:rPr>
              <w:t>24%</w:t>
            </w:r>
          </w:p>
        </w:tc>
        <w:tc>
          <w:tcPr>
            <w:tcW w:w="959" w:type="dxa"/>
            <w:hideMark/>
          </w:tcPr>
          <w:p w:rsidR="00533CF4" w:rsidRPr="00533CF4" w:rsidRDefault="00533CF4" w:rsidP="00533CF4">
            <w:pPr>
              <w:jc w:val="right"/>
              <w:textAlignment w:val="bottom"/>
              <w:rPr>
                <w:rFonts w:eastAsia="Times New Roman" w:cstheme="minorHAnsi"/>
                <w:lang w:eastAsia="en-ZA"/>
              </w:rPr>
            </w:pPr>
            <w:r w:rsidRPr="00533CF4">
              <w:rPr>
                <w:rFonts w:eastAsia="Times New Roman" w:cstheme="minorHAnsi"/>
                <w:color w:val="000000"/>
                <w:kern w:val="24"/>
                <w:lang w:val="en-US" w:eastAsia="en-ZA"/>
              </w:rPr>
              <w:t xml:space="preserve">242,099 </w:t>
            </w:r>
          </w:p>
        </w:tc>
        <w:tc>
          <w:tcPr>
            <w:tcW w:w="600" w:type="dxa"/>
            <w:hideMark/>
          </w:tcPr>
          <w:p w:rsidR="00533CF4" w:rsidRPr="00533CF4" w:rsidRDefault="00533CF4" w:rsidP="00533CF4">
            <w:pPr>
              <w:jc w:val="right"/>
              <w:textAlignment w:val="bottom"/>
              <w:rPr>
                <w:rFonts w:eastAsia="Times New Roman" w:cstheme="minorHAnsi"/>
                <w:lang w:eastAsia="en-ZA"/>
              </w:rPr>
            </w:pPr>
            <w:r w:rsidRPr="00533CF4">
              <w:rPr>
                <w:rFonts w:eastAsia="Times New Roman" w:cstheme="minorHAnsi"/>
                <w:b/>
                <w:bCs/>
                <w:color w:val="000000"/>
                <w:kern w:val="24"/>
                <w:lang w:val="en-US" w:eastAsia="en-ZA"/>
              </w:rPr>
              <w:t>48%</w:t>
            </w:r>
          </w:p>
        </w:tc>
        <w:tc>
          <w:tcPr>
            <w:tcW w:w="942" w:type="dxa"/>
            <w:hideMark/>
          </w:tcPr>
          <w:p w:rsidR="00533CF4" w:rsidRPr="00533CF4" w:rsidRDefault="00533CF4" w:rsidP="00533CF4">
            <w:pPr>
              <w:spacing w:line="256" w:lineRule="auto"/>
              <w:jc w:val="right"/>
              <w:rPr>
                <w:rFonts w:eastAsia="Times New Roman" w:cstheme="minorHAnsi"/>
                <w:lang w:eastAsia="en-ZA"/>
              </w:rPr>
            </w:pPr>
            <w:r w:rsidRPr="00533CF4">
              <w:rPr>
                <w:rFonts w:eastAsia="Calibri" w:cstheme="minorHAnsi"/>
                <w:color w:val="000000"/>
                <w:kern w:val="24"/>
                <w:lang w:eastAsia="en-ZA"/>
              </w:rPr>
              <w:t xml:space="preserve">507,157 </w:t>
            </w:r>
          </w:p>
        </w:tc>
      </w:tr>
      <w:tr w:rsidR="00533CF4" w:rsidRPr="00533CF4" w:rsidTr="00533CF4">
        <w:trPr>
          <w:trHeight w:val="560"/>
        </w:trPr>
        <w:tc>
          <w:tcPr>
            <w:tcW w:w="3631" w:type="dxa"/>
            <w:hideMark/>
          </w:tcPr>
          <w:p w:rsidR="00533CF4" w:rsidRPr="00533CF4" w:rsidRDefault="00533CF4" w:rsidP="00533CF4">
            <w:pPr>
              <w:textAlignment w:val="bottom"/>
              <w:rPr>
                <w:rFonts w:eastAsia="Times New Roman" w:cstheme="minorHAnsi"/>
                <w:lang w:eastAsia="en-ZA"/>
              </w:rPr>
            </w:pPr>
            <w:r w:rsidRPr="00533CF4">
              <w:rPr>
                <w:rFonts w:eastAsia="Times New Roman" w:cstheme="minorHAnsi"/>
                <w:b/>
                <w:bCs/>
                <w:color w:val="000000"/>
                <w:kern w:val="24"/>
                <w:lang w:val="en-US" w:eastAsia="en-ZA"/>
              </w:rPr>
              <w:t>TOTAL</w:t>
            </w:r>
          </w:p>
        </w:tc>
        <w:tc>
          <w:tcPr>
            <w:tcW w:w="1034" w:type="dxa"/>
            <w:hideMark/>
          </w:tcPr>
          <w:p w:rsidR="00533CF4" w:rsidRPr="00533CF4" w:rsidRDefault="00533CF4" w:rsidP="00533CF4">
            <w:pPr>
              <w:spacing w:after="120" w:line="256" w:lineRule="auto"/>
              <w:jc w:val="right"/>
              <w:rPr>
                <w:rFonts w:eastAsia="Times New Roman" w:cstheme="minorHAnsi"/>
                <w:lang w:eastAsia="en-ZA"/>
              </w:rPr>
            </w:pPr>
            <w:r w:rsidRPr="00533CF4">
              <w:rPr>
                <w:rFonts w:eastAsia="Calibri" w:cstheme="minorHAnsi"/>
                <w:b/>
                <w:bCs/>
                <w:color w:val="000000"/>
                <w:kern w:val="24"/>
                <w:lang w:eastAsia="en-ZA"/>
              </w:rPr>
              <w:t>120,966</w:t>
            </w:r>
          </w:p>
        </w:tc>
        <w:tc>
          <w:tcPr>
            <w:tcW w:w="745" w:type="dxa"/>
            <w:hideMark/>
          </w:tcPr>
          <w:p w:rsidR="00533CF4" w:rsidRPr="00533CF4" w:rsidRDefault="00533CF4" w:rsidP="00533CF4">
            <w:pPr>
              <w:jc w:val="right"/>
              <w:textAlignment w:val="bottom"/>
              <w:rPr>
                <w:rFonts w:eastAsia="Times New Roman" w:cstheme="minorHAnsi"/>
                <w:lang w:eastAsia="en-ZA"/>
              </w:rPr>
            </w:pPr>
            <w:r w:rsidRPr="00533CF4">
              <w:rPr>
                <w:rFonts w:eastAsia="Times New Roman" w:cstheme="minorHAnsi"/>
                <w:b/>
                <w:bCs/>
                <w:color w:val="000000"/>
                <w:kern w:val="24"/>
                <w:lang w:val="en-US" w:eastAsia="en-ZA"/>
              </w:rPr>
              <w:t>24%</w:t>
            </w:r>
          </w:p>
        </w:tc>
        <w:tc>
          <w:tcPr>
            <w:tcW w:w="985" w:type="dxa"/>
            <w:hideMark/>
          </w:tcPr>
          <w:p w:rsidR="00533CF4" w:rsidRPr="00533CF4" w:rsidRDefault="00533CF4" w:rsidP="00533CF4">
            <w:pPr>
              <w:spacing w:line="256" w:lineRule="auto"/>
              <w:jc w:val="right"/>
              <w:rPr>
                <w:rFonts w:eastAsia="Times New Roman" w:cstheme="minorHAnsi"/>
                <w:lang w:eastAsia="en-ZA"/>
              </w:rPr>
            </w:pPr>
            <w:r w:rsidRPr="00533CF4">
              <w:rPr>
                <w:rFonts w:eastAsia="Calibri" w:cstheme="minorHAnsi"/>
                <w:b/>
                <w:bCs/>
                <w:color w:val="000000"/>
                <w:kern w:val="24"/>
                <w:lang w:eastAsia="en-ZA"/>
              </w:rPr>
              <w:t xml:space="preserve">121,133 </w:t>
            </w:r>
          </w:p>
        </w:tc>
        <w:tc>
          <w:tcPr>
            <w:tcW w:w="671" w:type="dxa"/>
            <w:hideMark/>
          </w:tcPr>
          <w:p w:rsidR="00533CF4" w:rsidRPr="00533CF4" w:rsidRDefault="00533CF4" w:rsidP="00533CF4">
            <w:pPr>
              <w:jc w:val="right"/>
              <w:textAlignment w:val="bottom"/>
              <w:rPr>
                <w:rFonts w:eastAsia="Times New Roman" w:cstheme="minorHAnsi"/>
                <w:lang w:eastAsia="en-ZA"/>
              </w:rPr>
            </w:pPr>
            <w:r w:rsidRPr="00533CF4">
              <w:rPr>
                <w:rFonts w:eastAsia="Times New Roman" w:cstheme="minorHAnsi"/>
                <w:b/>
                <w:bCs/>
                <w:color w:val="000000"/>
                <w:kern w:val="24"/>
                <w:lang w:val="en-US" w:eastAsia="en-ZA"/>
              </w:rPr>
              <w:t>24%</w:t>
            </w:r>
          </w:p>
        </w:tc>
        <w:tc>
          <w:tcPr>
            <w:tcW w:w="959" w:type="dxa"/>
            <w:hideMark/>
          </w:tcPr>
          <w:p w:rsidR="00533CF4" w:rsidRPr="00533CF4" w:rsidRDefault="00533CF4" w:rsidP="00533CF4">
            <w:pPr>
              <w:jc w:val="right"/>
              <w:textAlignment w:val="bottom"/>
              <w:rPr>
                <w:rFonts w:eastAsia="Times New Roman" w:cstheme="minorHAnsi"/>
                <w:lang w:eastAsia="en-ZA"/>
              </w:rPr>
            </w:pPr>
            <w:r w:rsidRPr="00533CF4">
              <w:rPr>
                <w:rFonts w:eastAsia="Times New Roman" w:cstheme="minorHAnsi"/>
                <w:b/>
                <w:bCs/>
                <w:color w:val="000000"/>
                <w:kern w:val="24"/>
                <w:lang w:val="en-US" w:eastAsia="en-ZA"/>
              </w:rPr>
              <w:t xml:space="preserve">242,099 </w:t>
            </w:r>
          </w:p>
        </w:tc>
        <w:tc>
          <w:tcPr>
            <w:tcW w:w="600" w:type="dxa"/>
            <w:hideMark/>
          </w:tcPr>
          <w:p w:rsidR="00533CF4" w:rsidRPr="00533CF4" w:rsidRDefault="00533CF4" w:rsidP="00533CF4">
            <w:pPr>
              <w:jc w:val="right"/>
              <w:textAlignment w:val="bottom"/>
              <w:rPr>
                <w:rFonts w:eastAsia="Times New Roman" w:cstheme="minorHAnsi"/>
                <w:lang w:eastAsia="en-ZA"/>
              </w:rPr>
            </w:pPr>
            <w:r w:rsidRPr="00533CF4">
              <w:rPr>
                <w:rFonts w:eastAsia="Times New Roman" w:cstheme="minorHAnsi"/>
                <w:b/>
                <w:bCs/>
                <w:color w:val="000000"/>
                <w:kern w:val="24"/>
                <w:lang w:val="en-US" w:eastAsia="en-ZA"/>
              </w:rPr>
              <w:t>48%</w:t>
            </w:r>
          </w:p>
        </w:tc>
        <w:tc>
          <w:tcPr>
            <w:tcW w:w="942" w:type="dxa"/>
            <w:hideMark/>
          </w:tcPr>
          <w:p w:rsidR="00533CF4" w:rsidRPr="00533CF4" w:rsidRDefault="00533CF4" w:rsidP="00533CF4">
            <w:pPr>
              <w:spacing w:line="256" w:lineRule="auto"/>
              <w:jc w:val="right"/>
              <w:rPr>
                <w:rFonts w:eastAsia="Times New Roman" w:cstheme="minorHAnsi"/>
                <w:lang w:eastAsia="en-ZA"/>
              </w:rPr>
            </w:pPr>
            <w:r w:rsidRPr="00533CF4">
              <w:rPr>
                <w:rFonts w:eastAsia="Calibri" w:cstheme="minorHAnsi"/>
                <w:b/>
                <w:bCs/>
                <w:color w:val="000000"/>
                <w:kern w:val="24"/>
                <w:lang w:eastAsia="en-ZA"/>
              </w:rPr>
              <w:t xml:space="preserve">507,157 </w:t>
            </w:r>
          </w:p>
        </w:tc>
      </w:tr>
    </w:tbl>
    <w:p w:rsidR="006758E9" w:rsidRDefault="006758E9" w:rsidP="00BB5D1A">
      <w:pPr>
        <w:spacing w:after="0"/>
        <w:rPr>
          <w:rFonts w:ascii="Calibri" w:hAnsi="Calibri" w:cs="Calibri"/>
          <w:sz w:val="24"/>
          <w:szCs w:val="24"/>
        </w:rPr>
      </w:pPr>
    </w:p>
    <w:p w:rsidR="006758E9" w:rsidRDefault="006758E9" w:rsidP="00BB5D1A">
      <w:pPr>
        <w:spacing w:after="0"/>
        <w:rPr>
          <w:rFonts w:ascii="Calibri" w:hAnsi="Calibri" w:cs="Calibri"/>
          <w:sz w:val="24"/>
          <w:szCs w:val="24"/>
        </w:rPr>
      </w:pPr>
    </w:p>
    <w:p w:rsidR="006758E9" w:rsidRDefault="006758E9" w:rsidP="00BB5D1A">
      <w:pPr>
        <w:spacing w:after="0"/>
        <w:rPr>
          <w:rFonts w:ascii="Calibri" w:hAnsi="Calibri" w:cs="Calibri"/>
          <w:sz w:val="24"/>
          <w:szCs w:val="24"/>
        </w:rPr>
      </w:pPr>
    </w:p>
    <w:p w:rsidR="006758E9" w:rsidRDefault="006758E9" w:rsidP="00BB5D1A">
      <w:pPr>
        <w:spacing w:after="0"/>
        <w:rPr>
          <w:rFonts w:ascii="Calibri" w:hAnsi="Calibri" w:cs="Calibri"/>
          <w:sz w:val="24"/>
          <w:szCs w:val="24"/>
        </w:rPr>
      </w:pPr>
    </w:p>
    <w:p w:rsidR="00533CF4" w:rsidRDefault="00533CF4" w:rsidP="00BB5D1A">
      <w:pPr>
        <w:spacing w:after="0"/>
        <w:rPr>
          <w:rFonts w:ascii="Calibri" w:hAnsi="Calibri" w:cs="Calibri"/>
          <w:sz w:val="24"/>
          <w:szCs w:val="24"/>
        </w:rPr>
      </w:pPr>
    </w:p>
    <w:p w:rsidR="00533CF4" w:rsidRDefault="00533CF4" w:rsidP="00BB5D1A">
      <w:pPr>
        <w:spacing w:after="0"/>
        <w:rPr>
          <w:rFonts w:ascii="Calibri" w:hAnsi="Calibri" w:cs="Calibri"/>
          <w:sz w:val="24"/>
          <w:szCs w:val="24"/>
        </w:rPr>
      </w:pPr>
    </w:p>
    <w:p w:rsidR="00533CF4" w:rsidRDefault="00533CF4" w:rsidP="00BB5D1A">
      <w:pPr>
        <w:spacing w:after="0"/>
        <w:rPr>
          <w:rFonts w:ascii="Calibri" w:hAnsi="Calibri" w:cs="Calibri"/>
          <w:sz w:val="24"/>
          <w:szCs w:val="24"/>
        </w:rPr>
      </w:pPr>
    </w:p>
    <w:p w:rsidR="00533CF4" w:rsidRDefault="00533CF4" w:rsidP="00BB5D1A">
      <w:pPr>
        <w:spacing w:after="0"/>
        <w:rPr>
          <w:rFonts w:ascii="Calibri" w:hAnsi="Calibri" w:cs="Calibri"/>
          <w:sz w:val="24"/>
          <w:szCs w:val="24"/>
        </w:rPr>
      </w:pPr>
    </w:p>
    <w:p w:rsidR="00533CF4" w:rsidRDefault="00533CF4" w:rsidP="00BB5D1A">
      <w:pPr>
        <w:spacing w:after="0"/>
        <w:rPr>
          <w:rFonts w:ascii="Calibri" w:hAnsi="Calibri" w:cs="Calibri"/>
          <w:sz w:val="24"/>
          <w:szCs w:val="24"/>
        </w:rPr>
      </w:pPr>
    </w:p>
    <w:p w:rsidR="00533CF4" w:rsidRDefault="00533CF4" w:rsidP="00BB5D1A">
      <w:pPr>
        <w:spacing w:after="0"/>
        <w:rPr>
          <w:rFonts w:ascii="Calibri" w:hAnsi="Calibri" w:cs="Calibri"/>
          <w:sz w:val="24"/>
          <w:szCs w:val="24"/>
        </w:rPr>
      </w:pPr>
    </w:p>
    <w:p w:rsidR="00533CF4" w:rsidRDefault="00533CF4" w:rsidP="00BB5D1A">
      <w:pPr>
        <w:spacing w:after="0"/>
        <w:rPr>
          <w:rFonts w:ascii="Calibri" w:hAnsi="Calibri" w:cs="Calibri"/>
          <w:sz w:val="24"/>
          <w:szCs w:val="24"/>
        </w:rPr>
      </w:pPr>
    </w:p>
    <w:p w:rsidR="00533CF4" w:rsidRDefault="00533CF4" w:rsidP="00BB5D1A">
      <w:pPr>
        <w:spacing w:after="0"/>
        <w:rPr>
          <w:rFonts w:ascii="Calibri" w:hAnsi="Calibri" w:cs="Calibri"/>
          <w:sz w:val="24"/>
          <w:szCs w:val="24"/>
        </w:rPr>
      </w:pPr>
    </w:p>
    <w:p w:rsidR="00533CF4" w:rsidRDefault="00533CF4" w:rsidP="00BB5D1A">
      <w:pPr>
        <w:spacing w:after="0"/>
        <w:rPr>
          <w:rFonts w:ascii="Calibri" w:hAnsi="Calibri" w:cs="Calibri"/>
          <w:sz w:val="24"/>
          <w:szCs w:val="24"/>
        </w:rPr>
      </w:pPr>
    </w:p>
    <w:p w:rsidR="00533CF4" w:rsidRDefault="00533CF4" w:rsidP="00BB5D1A">
      <w:pPr>
        <w:spacing w:after="0"/>
        <w:rPr>
          <w:rFonts w:ascii="Calibri" w:hAnsi="Calibri" w:cs="Calibri"/>
          <w:sz w:val="24"/>
          <w:szCs w:val="24"/>
        </w:rPr>
      </w:pPr>
    </w:p>
    <w:p w:rsidR="00533CF4" w:rsidRDefault="00533CF4" w:rsidP="00BB5D1A">
      <w:pPr>
        <w:spacing w:after="0"/>
        <w:rPr>
          <w:rFonts w:ascii="Calibri" w:hAnsi="Calibri" w:cs="Calibri"/>
          <w:sz w:val="24"/>
          <w:szCs w:val="24"/>
        </w:rPr>
      </w:pPr>
    </w:p>
    <w:p w:rsidR="00533CF4" w:rsidRDefault="00533CF4" w:rsidP="00BB5D1A">
      <w:pPr>
        <w:spacing w:after="0"/>
        <w:rPr>
          <w:rFonts w:ascii="Calibri" w:hAnsi="Calibri" w:cs="Calibri"/>
          <w:sz w:val="24"/>
          <w:szCs w:val="24"/>
        </w:rPr>
      </w:pPr>
    </w:p>
    <w:p w:rsidR="00533CF4" w:rsidRDefault="00533CF4" w:rsidP="00BB5D1A">
      <w:pPr>
        <w:spacing w:after="0"/>
        <w:rPr>
          <w:rFonts w:ascii="Calibri" w:hAnsi="Calibri" w:cs="Calibri"/>
          <w:sz w:val="24"/>
          <w:szCs w:val="24"/>
        </w:rPr>
      </w:pPr>
    </w:p>
    <w:p w:rsidR="00533CF4" w:rsidRDefault="00533CF4" w:rsidP="00BB5D1A">
      <w:pPr>
        <w:spacing w:after="0"/>
        <w:rPr>
          <w:rFonts w:ascii="Calibri" w:hAnsi="Calibri" w:cs="Calibri"/>
          <w:sz w:val="24"/>
          <w:szCs w:val="24"/>
        </w:rPr>
      </w:pPr>
    </w:p>
    <w:p w:rsidR="00533CF4" w:rsidRDefault="00533CF4" w:rsidP="00BB5D1A">
      <w:pPr>
        <w:spacing w:after="0"/>
        <w:rPr>
          <w:rFonts w:ascii="Calibri" w:hAnsi="Calibri" w:cs="Calibri"/>
          <w:sz w:val="24"/>
          <w:szCs w:val="24"/>
        </w:rPr>
      </w:pPr>
    </w:p>
    <w:p w:rsidR="00533CF4" w:rsidRDefault="00533CF4" w:rsidP="00BB5D1A">
      <w:pPr>
        <w:spacing w:after="0"/>
        <w:rPr>
          <w:rFonts w:ascii="Calibri" w:hAnsi="Calibri" w:cs="Calibri"/>
          <w:sz w:val="24"/>
          <w:szCs w:val="24"/>
        </w:rPr>
      </w:pPr>
    </w:p>
    <w:p w:rsidR="00533CF4" w:rsidRDefault="00533CF4" w:rsidP="00BB5D1A">
      <w:pPr>
        <w:spacing w:after="0"/>
        <w:rPr>
          <w:rFonts w:ascii="Calibri" w:hAnsi="Calibri" w:cs="Calibri"/>
          <w:sz w:val="24"/>
          <w:szCs w:val="24"/>
        </w:rPr>
      </w:pPr>
    </w:p>
    <w:p w:rsidR="00533CF4" w:rsidRDefault="00533CF4" w:rsidP="00BB5D1A">
      <w:pPr>
        <w:spacing w:after="0"/>
        <w:rPr>
          <w:rFonts w:ascii="Calibri" w:hAnsi="Calibri" w:cs="Calibri"/>
          <w:sz w:val="24"/>
          <w:szCs w:val="24"/>
        </w:rPr>
      </w:pPr>
    </w:p>
    <w:p w:rsidR="00533CF4" w:rsidRDefault="00533CF4" w:rsidP="00BB5D1A">
      <w:pPr>
        <w:spacing w:after="0"/>
        <w:rPr>
          <w:rFonts w:ascii="Calibri" w:hAnsi="Calibri" w:cs="Calibri"/>
          <w:sz w:val="24"/>
          <w:szCs w:val="24"/>
        </w:rPr>
      </w:pPr>
    </w:p>
    <w:p w:rsidR="00533CF4" w:rsidRDefault="00533CF4" w:rsidP="00BB5D1A">
      <w:pPr>
        <w:spacing w:after="0"/>
        <w:rPr>
          <w:rFonts w:ascii="Calibri" w:hAnsi="Calibri" w:cs="Calibri"/>
          <w:sz w:val="24"/>
          <w:szCs w:val="24"/>
        </w:rPr>
      </w:pPr>
    </w:p>
    <w:p w:rsidR="00533CF4" w:rsidRDefault="00533CF4" w:rsidP="00BB5D1A">
      <w:pPr>
        <w:spacing w:after="0"/>
        <w:rPr>
          <w:rFonts w:ascii="Calibri" w:hAnsi="Calibri" w:cs="Calibri"/>
          <w:sz w:val="24"/>
          <w:szCs w:val="24"/>
        </w:rPr>
      </w:pPr>
    </w:p>
    <w:p w:rsidR="00533CF4" w:rsidRDefault="00533CF4" w:rsidP="00BB5D1A">
      <w:pPr>
        <w:spacing w:after="0"/>
        <w:rPr>
          <w:rFonts w:ascii="Calibri" w:hAnsi="Calibri" w:cs="Calibri"/>
          <w:sz w:val="24"/>
          <w:szCs w:val="24"/>
        </w:rPr>
      </w:pPr>
    </w:p>
    <w:p w:rsidR="006758E9" w:rsidRDefault="006758E9" w:rsidP="00BB5D1A">
      <w:pPr>
        <w:spacing w:after="0"/>
        <w:rPr>
          <w:rFonts w:ascii="Calibri" w:hAnsi="Calibri" w:cs="Calibri"/>
          <w:sz w:val="24"/>
          <w:szCs w:val="24"/>
        </w:rPr>
      </w:pPr>
    </w:p>
    <w:p w:rsidR="006758E9" w:rsidRPr="009C5DA4" w:rsidRDefault="006758E9" w:rsidP="006758E9">
      <w:pPr>
        <w:jc w:val="right"/>
        <w:rPr>
          <w:rFonts w:ascii="Arial" w:hAnsi="Arial" w:cs="Arial"/>
        </w:rPr>
      </w:pPr>
      <w:r>
        <w:rPr>
          <w:rFonts w:ascii="Arial" w:hAnsi="Arial" w:cs="Arial"/>
          <w:noProof/>
          <w:lang w:eastAsia="en-ZA"/>
        </w:rPr>
        <w:drawing>
          <wp:inline distT="0" distB="0" distL="0" distR="0">
            <wp:extent cx="3562350" cy="1200150"/>
            <wp:effectExtent l="38100" t="0" r="1905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6758E9" w:rsidRPr="006758E9" w:rsidRDefault="006758E9" w:rsidP="006758E9">
      <w:pPr>
        <w:pStyle w:val="Heading1"/>
        <w:numPr>
          <w:ilvl w:val="0"/>
          <w:numId w:val="0"/>
        </w:numPr>
        <w:rPr>
          <w:rFonts w:ascii="Calibri" w:hAnsi="Calibri" w:cs="Calibri"/>
          <w:color w:val="FFFFFF" w:themeColor="background1"/>
          <w:sz w:val="24"/>
          <w:szCs w:val="24"/>
        </w:rPr>
      </w:pPr>
      <w:bookmarkStart w:id="31" w:name="_Toc54361054"/>
      <w:r w:rsidRPr="006758E9">
        <w:rPr>
          <w:rFonts w:ascii="Calibri" w:hAnsi="Calibri" w:cs="Calibri"/>
          <w:color w:val="FFFFFF" w:themeColor="background1"/>
          <w:sz w:val="24"/>
          <w:szCs w:val="24"/>
        </w:rPr>
        <w:t>PART E: Governance Report</w:t>
      </w:r>
      <w:bookmarkEnd w:id="31"/>
    </w:p>
    <w:p w:rsidR="006758E9" w:rsidRDefault="006758E9" w:rsidP="006758E9">
      <w:pPr>
        <w:spacing w:after="0"/>
        <w:rPr>
          <w:rFonts w:ascii="Calibri" w:hAnsi="Calibri" w:cs="Calibri"/>
          <w:sz w:val="24"/>
          <w:szCs w:val="24"/>
        </w:rPr>
      </w:pPr>
    </w:p>
    <w:p w:rsidR="006758E9" w:rsidRDefault="006758E9" w:rsidP="006758E9">
      <w:pPr>
        <w:spacing w:after="0"/>
        <w:rPr>
          <w:rFonts w:ascii="Calibri" w:hAnsi="Calibri" w:cs="Calibri"/>
          <w:sz w:val="24"/>
          <w:szCs w:val="24"/>
        </w:rPr>
      </w:pPr>
    </w:p>
    <w:p w:rsidR="006758E9" w:rsidRDefault="006758E9" w:rsidP="006758E9">
      <w:pPr>
        <w:spacing w:after="0"/>
        <w:rPr>
          <w:rFonts w:ascii="Calibri" w:hAnsi="Calibri" w:cs="Calibri"/>
          <w:sz w:val="24"/>
          <w:szCs w:val="24"/>
        </w:rPr>
      </w:pPr>
    </w:p>
    <w:p w:rsidR="006758E9" w:rsidRDefault="006758E9" w:rsidP="00BB5D1A">
      <w:pPr>
        <w:spacing w:after="0"/>
        <w:rPr>
          <w:rFonts w:ascii="Calibri" w:hAnsi="Calibri" w:cs="Calibri"/>
          <w:sz w:val="24"/>
          <w:szCs w:val="24"/>
        </w:rPr>
      </w:pPr>
    </w:p>
    <w:p w:rsidR="006758E9" w:rsidRDefault="006758E9" w:rsidP="00BB5D1A">
      <w:pPr>
        <w:spacing w:after="0"/>
        <w:rPr>
          <w:rFonts w:ascii="Calibri" w:hAnsi="Calibri" w:cs="Calibri"/>
          <w:sz w:val="24"/>
          <w:szCs w:val="24"/>
        </w:rPr>
      </w:pPr>
    </w:p>
    <w:p w:rsidR="006758E9" w:rsidRDefault="006758E9" w:rsidP="00BB5D1A">
      <w:pPr>
        <w:spacing w:after="0"/>
        <w:rPr>
          <w:rFonts w:ascii="Calibri" w:hAnsi="Calibri" w:cs="Calibri"/>
          <w:sz w:val="24"/>
          <w:szCs w:val="24"/>
        </w:rPr>
      </w:pPr>
    </w:p>
    <w:p w:rsidR="006758E9" w:rsidRDefault="006758E9"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4A1C2E" w:rsidRDefault="004A1C2E" w:rsidP="00BB5D1A">
      <w:pPr>
        <w:spacing w:after="0"/>
        <w:rPr>
          <w:rFonts w:ascii="Calibri" w:hAnsi="Calibri" w:cs="Calibri"/>
          <w:sz w:val="24"/>
          <w:szCs w:val="24"/>
        </w:rPr>
      </w:pPr>
    </w:p>
    <w:p w:rsidR="004A1C2E" w:rsidRDefault="004A1C2E" w:rsidP="00BB5D1A">
      <w:pPr>
        <w:spacing w:after="0"/>
        <w:rPr>
          <w:rFonts w:ascii="Calibri" w:hAnsi="Calibri" w:cs="Calibri"/>
          <w:sz w:val="24"/>
          <w:szCs w:val="24"/>
        </w:rPr>
      </w:pPr>
    </w:p>
    <w:p w:rsidR="004A1C2E" w:rsidRDefault="004A1C2E" w:rsidP="00BB5D1A">
      <w:pPr>
        <w:spacing w:after="0"/>
        <w:rPr>
          <w:rFonts w:ascii="Calibri" w:hAnsi="Calibri" w:cs="Calibri"/>
          <w:sz w:val="24"/>
          <w:szCs w:val="24"/>
        </w:rPr>
      </w:pPr>
    </w:p>
    <w:p w:rsidR="004A1C2E" w:rsidRDefault="004A1C2E" w:rsidP="00BB5D1A">
      <w:pPr>
        <w:spacing w:after="0"/>
        <w:rPr>
          <w:rFonts w:ascii="Calibri" w:hAnsi="Calibri" w:cs="Calibri"/>
          <w:sz w:val="24"/>
          <w:szCs w:val="24"/>
        </w:rPr>
      </w:pPr>
    </w:p>
    <w:p w:rsidR="004A1C2E" w:rsidRDefault="004A1C2E" w:rsidP="00BB5D1A">
      <w:pPr>
        <w:spacing w:after="0"/>
        <w:rPr>
          <w:rFonts w:ascii="Calibri" w:hAnsi="Calibri" w:cs="Calibri"/>
          <w:sz w:val="24"/>
          <w:szCs w:val="24"/>
        </w:rPr>
      </w:pPr>
    </w:p>
    <w:p w:rsidR="004A1C2E" w:rsidRDefault="004A1C2E" w:rsidP="00BB5D1A">
      <w:pPr>
        <w:spacing w:after="0"/>
        <w:rPr>
          <w:rFonts w:ascii="Calibri" w:hAnsi="Calibri" w:cs="Calibri"/>
          <w:sz w:val="24"/>
          <w:szCs w:val="24"/>
        </w:rPr>
      </w:pPr>
    </w:p>
    <w:p w:rsidR="004A1C2E" w:rsidRDefault="004A1C2E" w:rsidP="00BB5D1A">
      <w:pPr>
        <w:spacing w:after="0"/>
        <w:rPr>
          <w:rFonts w:ascii="Calibri" w:hAnsi="Calibri" w:cs="Calibri"/>
          <w:sz w:val="24"/>
          <w:szCs w:val="24"/>
        </w:rPr>
      </w:pPr>
    </w:p>
    <w:p w:rsidR="004A1C2E" w:rsidRDefault="004A1C2E" w:rsidP="00BB5D1A">
      <w:pPr>
        <w:spacing w:after="0"/>
        <w:rPr>
          <w:rFonts w:ascii="Calibri" w:hAnsi="Calibri" w:cs="Calibri"/>
          <w:sz w:val="24"/>
          <w:szCs w:val="24"/>
        </w:rPr>
      </w:pPr>
    </w:p>
    <w:p w:rsidR="004A1C2E" w:rsidRDefault="004A1C2E" w:rsidP="00BB5D1A">
      <w:pPr>
        <w:spacing w:after="0"/>
        <w:rPr>
          <w:rFonts w:ascii="Calibri" w:hAnsi="Calibri" w:cs="Calibri"/>
          <w:sz w:val="24"/>
          <w:szCs w:val="24"/>
        </w:rPr>
      </w:pPr>
    </w:p>
    <w:p w:rsidR="004A1C2E" w:rsidRDefault="004A1C2E" w:rsidP="00BB5D1A">
      <w:pPr>
        <w:spacing w:after="0"/>
        <w:rPr>
          <w:rFonts w:ascii="Calibri" w:hAnsi="Calibri" w:cs="Calibri"/>
          <w:sz w:val="24"/>
          <w:szCs w:val="24"/>
        </w:rPr>
      </w:pPr>
    </w:p>
    <w:p w:rsidR="004A1C2E" w:rsidRDefault="004A1C2E" w:rsidP="00BB5D1A">
      <w:pPr>
        <w:spacing w:after="0"/>
        <w:rPr>
          <w:rFonts w:ascii="Calibri" w:hAnsi="Calibri" w:cs="Calibri"/>
          <w:sz w:val="24"/>
          <w:szCs w:val="24"/>
        </w:rPr>
      </w:pPr>
    </w:p>
    <w:p w:rsidR="004A1C2E" w:rsidRDefault="004A1C2E" w:rsidP="00BB5D1A">
      <w:pPr>
        <w:spacing w:after="0"/>
        <w:rPr>
          <w:rFonts w:ascii="Calibri" w:hAnsi="Calibri" w:cs="Calibri"/>
          <w:sz w:val="24"/>
          <w:szCs w:val="24"/>
        </w:rPr>
      </w:pPr>
    </w:p>
    <w:p w:rsidR="004A1C2E" w:rsidRDefault="004A1C2E" w:rsidP="00BB5D1A">
      <w:pPr>
        <w:spacing w:after="0"/>
        <w:rPr>
          <w:rFonts w:ascii="Calibri" w:hAnsi="Calibri" w:cs="Calibri"/>
          <w:sz w:val="24"/>
          <w:szCs w:val="24"/>
        </w:rPr>
      </w:pPr>
    </w:p>
    <w:p w:rsidR="004A1C2E" w:rsidRDefault="004A1C2E" w:rsidP="00BB5D1A">
      <w:pPr>
        <w:spacing w:after="0"/>
        <w:rPr>
          <w:rFonts w:ascii="Calibri" w:hAnsi="Calibri" w:cs="Calibri"/>
          <w:sz w:val="24"/>
          <w:szCs w:val="24"/>
        </w:rPr>
      </w:pPr>
    </w:p>
    <w:p w:rsidR="004A1C2E" w:rsidRDefault="004A1C2E" w:rsidP="00BB5D1A">
      <w:pPr>
        <w:spacing w:after="0"/>
        <w:rPr>
          <w:rFonts w:ascii="Calibri" w:hAnsi="Calibri" w:cs="Calibri"/>
          <w:sz w:val="24"/>
          <w:szCs w:val="24"/>
        </w:rPr>
      </w:pPr>
    </w:p>
    <w:p w:rsidR="004A1C2E" w:rsidRDefault="004A1C2E" w:rsidP="00BB5D1A">
      <w:pPr>
        <w:spacing w:after="0"/>
        <w:rPr>
          <w:rFonts w:ascii="Calibri" w:hAnsi="Calibri" w:cs="Calibri"/>
          <w:sz w:val="24"/>
          <w:szCs w:val="24"/>
        </w:rPr>
      </w:pPr>
    </w:p>
    <w:p w:rsidR="004A1C2E" w:rsidRDefault="004A1C2E" w:rsidP="00BB5D1A">
      <w:pPr>
        <w:spacing w:after="0"/>
        <w:rPr>
          <w:rFonts w:ascii="Calibri" w:hAnsi="Calibri" w:cs="Calibri"/>
          <w:sz w:val="24"/>
          <w:szCs w:val="24"/>
        </w:rPr>
      </w:pPr>
    </w:p>
    <w:p w:rsidR="004A1C2E" w:rsidRDefault="004A1C2E" w:rsidP="00BB5D1A">
      <w:pPr>
        <w:spacing w:after="0"/>
        <w:rPr>
          <w:rFonts w:ascii="Calibri" w:hAnsi="Calibri" w:cs="Calibri"/>
          <w:sz w:val="24"/>
          <w:szCs w:val="24"/>
        </w:rPr>
      </w:pPr>
    </w:p>
    <w:p w:rsidR="004A1C2E" w:rsidRDefault="004A1C2E" w:rsidP="00BB5D1A">
      <w:pPr>
        <w:spacing w:after="0"/>
        <w:rPr>
          <w:rFonts w:ascii="Calibri" w:hAnsi="Calibri" w:cs="Calibri"/>
          <w:sz w:val="24"/>
          <w:szCs w:val="24"/>
        </w:rPr>
      </w:pPr>
    </w:p>
    <w:p w:rsidR="004A1C2E" w:rsidRDefault="004A1C2E" w:rsidP="00BB5D1A">
      <w:pPr>
        <w:spacing w:after="0"/>
        <w:rPr>
          <w:rFonts w:ascii="Calibri" w:hAnsi="Calibri" w:cs="Calibri"/>
          <w:sz w:val="24"/>
          <w:szCs w:val="24"/>
        </w:rPr>
      </w:pPr>
    </w:p>
    <w:p w:rsidR="004A1C2E" w:rsidRDefault="004A1C2E" w:rsidP="00BB5D1A">
      <w:pPr>
        <w:spacing w:after="0"/>
        <w:rPr>
          <w:rFonts w:ascii="Calibri" w:hAnsi="Calibri" w:cs="Calibri"/>
          <w:sz w:val="24"/>
          <w:szCs w:val="24"/>
        </w:rPr>
      </w:pPr>
    </w:p>
    <w:p w:rsidR="004A1C2E" w:rsidRDefault="004A1C2E" w:rsidP="00BB5D1A">
      <w:pPr>
        <w:spacing w:after="0"/>
        <w:rPr>
          <w:rFonts w:ascii="Calibri" w:hAnsi="Calibri" w:cs="Calibri"/>
          <w:sz w:val="24"/>
          <w:szCs w:val="24"/>
        </w:rPr>
      </w:pPr>
    </w:p>
    <w:p w:rsidR="00F675F6" w:rsidRPr="00EA79A4" w:rsidRDefault="00F675F6" w:rsidP="003B5E3A">
      <w:pPr>
        <w:pStyle w:val="Heading2"/>
        <w:numPr>
          <w:ilvl w:val="1"/>
          <w:numId w:val="5"/>
        </w:numPr>
        <w:rPr>
          <w:rFonts w:ascii="Calibri" w:hAnsi="Calibri" w:cs="Calibri"/>
          <w:sz w:val="36"/>
          <w:szCs w:val="36"/>
        </w:rPr>
      </w:pPr>
      <w:bookmarkStart w:id="32" w:name="_Toc54361055"/>
      <w:r w:rsidRPr="00EA79A4">
        <w:rPr>
          <w:rFonts w:ascii="Calibri" w:hAnsi="Calibri" w:cs="Calibri"/>
          <w:sz w:val="36"/>
          <w:szCs w:val="36"/>
        </w:rPr>
        <w:lastRenderedPageBreak/>
        <w:t>AUDIT REGISTER</w:t>
      </w:r>
      <w:bookmarkEnd w:id="32"/>
    </w:p>
    <w:p w:rsidR="00F675F6" w:rsidRDefault="00F675F6" w:rsidP="00BB5D1A">
      <w:pPr>
        <w:spacing w:after="0"/>
        <w:rPr>
          <w:rFonts w:ascii="Calibri" w:hAnsi="Calibri" w:cs="Calibri"/>
          <w:sz w:val="24"/>
          <w:szCs w:val="24"/>
        </w:rPr>
      </w:pPr>
    </w:p>
    <w:p w:rsidR="00F675F6" w:rsidRPr="00902AD5" w:rsidRDefault="008C4318" w:rsidP="00AC1C9D">
      <w:pPr>
        <w:spacing w:after="0"/>
        <w:jc w:val="both"/>
        <w:rPr>
          <w:rFonts w:ascii="Calibri" w:hAnsi="Calibri" w:cs="Calibri"/>
        </w:rPr>
      </w:pPr>
      <w:r w:rsidRPr="00902AD5">
        <w:rPr>
          <w:rFonts w:ascii="Calibri" w:hAnsi="Calibri" w:cs="Calibri"/>
        </w:rPr>
        <w:t>Whi</w:t>
      </w:r>
      <w:r w:rsidR="00851AC9" w:rsidRPr="00902AD5">
        <w:rPr>
          <w:rFonts w:ascii="Calibri" w:hAnsi="Calibri" w:cs="Calibri"/>
        </w:rPr>
        <w:t>lst</w:t>
      </w:r>
      <w:r w:rsidRPr="00902AD5">
        <w:rPr>
          <w:rFonts w:ascii="Calibri" w:hAnsi="Calibri" w:cs="Calibri"/>
        </w:rPr>
        <w:t xml:space="preserve"> Parliament achieved </w:t>
      </w:r>
      <w:r w:rsidR="00851AC9" w:rsidRPr="00902AD5">
        <w:rPr>
          <w:rFonts w:ascii="Calibri" w:hAnsi="Calibri" w:cs="Calibri"/>
        </w:rPr>
        <w:t>its 6th</w:t>
      </w:r>
      <w:r w:rsidRPr="00902AD5">
        <w:rPr>
          <w:rFonts w:ascii="Calibri" w:hAnsi="Calibri" w:cs="Calibri"/>
        </w:rPr>
        <w:t>clean audit, there are a few audit matters that still need to be dealt with, to improve governance and overall management of the institution.</w:t>
      </w:r>
      <w:r w:rsidR="00AC1C9D" w:rsidRPr="00902AD5">
        <w:rPr>
          <w:rFonts w:ascii="Calibri" w:hAnsi="Calibri" w:cs="Calibri"/>
        </w:rPr>
        <w:t xml:space="preserve">Given that the 2019/20 external audit </w:t>
      </w:r>
      <w:r w:rsidRPr="00902AD5">
        <w:rPr>
          <w:rFonts w:ascii="Calibri" w:hAnsi="Calibri" w:cs="Calibri"/>
        </w:rPr>
        <w:t>was concluded late</w:t>
      </w:r>
      <w:r w:rsidR="00AC1C9D" w:rsidRPr="00902AD5">
        <w:rPr>
          <w:rFonts w:ascii="Calibri" w:hAnsi="Calibri" w:cs="Calibri"/>
        </w:rPr>
        <w:t>r than usual (</w:t>
      </w:r>
      <w:r w:rsidR="00851AC9" w:rsidRPr="00902AD5">
        <w:rPr>
          <w:rFonts w:ascii="Calibri" w:hAnsi="Calibri" w:cs="Calibri"/>
        </w:rPr>
        <w:t xml:space="preserve">end </w:t>
      </w:r>
      <w:r w:rsidRPr="00902AD5">
        <w:rPr>
          <w:rFonts w:ascii="Calibri" w:hAnsi="Calibri" w:cs="Calibri"/>
        </w:rPr>
        <w:t>September 2020</w:t>
      </w:r>
      <w:r w:rsidR="00AC1C9D" w:rsidRPr="00902AD5">
        <w:rPr>
          <w:rFonts w:ascii="Calibri" w:hAnsi="Calibri" w:cs="Calibri"/>
        </w:rPr>
        <w:t>)</w:t>
      </w:r>
      <w:r w:rsidRPr="00902AD5">
        <w:rPr>
          <w:rFonts w:ascii="Calibri" w:hAnsi="Calibri" w:cs="Calibri"/>
        </w:rPr>
        <w:t xml:space="preserve">, </w:t>
      </w:r>
      <w:r w:rsidR="00AC1C9D" w:rsidRPr="00902AD5">
        <w:rPr>
          <w:rFonts w:ascii="Calibri" w:hAnsi="Calibri" w:cs="Calibri"/>
        </w:rPr>
        <w:t xml:space="preserve">the </w:t>
      </w:r>
      <w:r w:rsidR="00CF4C2D" w:rsidRPr="00902AD5">
        <w:rPr>
          <w:rFonts w:ascii="Calibri" w:hAnsi="Calibri" w:cs="Calibri"/>
        </w:rPr>
        <w:t xml:space="preserve">AGSA Management Action Plan is under review and must still undergo a root cause analysis </w:t>
      </w:r>
      <w:r w:rsidR="009711B9" w:rsidRPr="00902AD5">
        <w:rPr>
          <w:rFonts w:ascii="Calibri" w:hAnsi="Calibri" w:cs="Calibri"/>
        </w:rPr>
        <w:t xml:space="preserve">by </w:t>
      </w:r>
      <w:r w:rsidR="00AD2477" w:rsidRPr="00902AD5">
        <w:rPr>
          <w:rFonts w:ascii="Calibri" w:hAnsi="Calibri" w:cs="Calibri"/>
        </w:rPr>
        <w:t>I</w:t>
      </w:r>
      <w:r w:rsidR="009711B9" w:rsidRPr="00902AD5">
        <w:rPr>
          <w:rFonts w:ascii="Calibri" w:hAnsi="Calibri" w:cs="Calibri"/>
        </w:rPr>
        <w:t xml:space="preserve">nternal </w:t>
      </w:r>
      <w:r w:rsidR="00AD2477" w:rsidRPr="00902AD5">
        <w:rPr>
          <w:rFonts w:ascii="Calibri" w:hAnsi="Calibri" w:cs="Calibri"/>
        </w:rPr>
        <w:t>A</w:t>
      </w:r>
      <w:r w:rsidR="009711B9" w:rsidRPr="00902AD5">
        <w:rPr>
          <w:rFonts w:ascii="Calibri" w:hAnsi="Calibri" w:cs="Calibri"/>
        </w:rPr>
        <w:t>udit for</w:t>
      </w:r>
      <w:r w:rsidR="00CF4C2D" w:rsidRPr="00902AD5">
        <w:rPr>
          <w:rFonts w:ascii="Calibri" w:hAnsi="Calibri" w:cs="Calibri"/>
        </w:rPr>
        <w:t xml:space="preserve"> approval. </w:t>
      </w:r>
      <w:r w:rsidR="00AD2477" w:rsidRPr="00902AD5">
        <w:rPr>
          <w:rFonts w:ascii="Calibri" w:hAnsi="Calibri" w:cs="Calibri"/>
        </w:rPr>
        <w:t xml:space="preserve">This root </w:t>
      </w:r>
      <w:r w:rsidR="009711B9" w:rsidRPr="00902AD5">
        <w:rPr>
          <w:rFonts w:ascii="Calibri" w:hAnsi="Calibri" w:cs="Calibri"/>
        </w:rPr>
        <w:t xml:space="preserve">cause analysis gives assurance that the actions management </w:t>
      </w:r>
      <w:r w:rsidR="00AD2477" w:rsidRPr="00902AD5">
        <w:rPr>
          <w:rFonts w:ascii="Calibri" w:hAnsi="Calibri" w:cs="Calibri"/>
        </w:rPr>
        <w:t>undertake</w:t>
      </w:r>
      <w:r w:rsidR="009711B9" w:rsidRPr="00902AD5">
        <w:rPr>
          <w:rFonts w:ascii="Calibri" w:hAnsi="Calibri" w:cs="Calibri"/>
        </w:rPr>
        <w:t xml:space="preserve"> will resolve the issues effectively. This exercise willbe concluded in November 2020.</w:t>
      </w: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F675F6" w:rsidRDefault="00F675F6" w:rsidP="00BB5D1A">
      <w:pPr>
        <w:spacing w:after="0"/>
        <w:rPr>
          <w:rFonts w:ascii="Calibri" w:hAnsi="Calibri" w:cs="Calibri"/>
          <w:sz w:val="24"/>
          <w:szCs w:val="24"/>
        </w:rPr>
      </w:pPr>
    </w:p>
    <w:p w:rsidR="00EA79A4" w:rsidRDefault="00EA79A4" w:rsidP="00BB5D1A">
      <w:pPr>
        <w:spacing w:after="0"/>
        <w:rPr>
          <w:rFonts w:ascii="Calibri" w:hAnsi="Calibri" w:cs="Calibri"/>
          <w:sz w:val="24"/>
          <w:szCs w:val="24"/>
        </w:rPr>
        <w:sectPr w:rsidR="00EA79A4" w:rsidSect="00F34380">
          <w:footerReference w:type="default" r:id="rId51"/>
          <w:pgSz w:w="11906" w:h="16838"/>
          <w:pgMar w:top="864" w:right="864" w:bottom="864" w:left="1152" w:header="706" w:footer="706" w:gutter="0"/>
          <w:pgNumType w:start="0"/>
          <w:cols w:space="708"/>
          <w:titlePg/>
          <w:docGrid w:linePitch="360"/>
        </w:sectPr>
      </w:pPr>
    </w:p>
    <w:p w:rsidR="009F6F91" w:rsidRDefault="009F6F91" w:rsidP="00BB5D1A">
      <w:pPr>
        <w:spacing w:after="0"/>
        <w:rPr>
          <w:rFonts w:ascii="Calibri" w:hAnsi="Calibri" w:cs="Calibri"/>
          <w:sz w:val="24"/>
          <w:szCs w:val="24"/>
        </w:rPr>
      </w:pPr>
    </w:p>
    <w:p w:rsidR="009F6F91" w:rsidRPr="009F6F91" w:rsidRDefault="009F6F91" w:rsidP="009F6F91">
      <w:pPr>
        <w:rPr>
          <w:rFonts w:ascii="Calibri" w:hAnsi="Calibri" w:cs="Calibri"/>
          <w:sz w:val="24"/>
          <w:szCs w:val="24"/>
        </w:rPr>
      </w:pPr>
    </w:p>
    <w:p w:rsidR="009F6F91" w:rsidRPr="009F6F91" w:rsidRDefault="009F6F91" w:rsidP="009F6F91">
      <w:pPr>
        <w:rPr>
          <w:rFonts w:ascii="Calibri" w:hAnsi="Calibri" w:cs="Calibri"/>
          <w:sz w:val="24"/>
          <w:szCs w:val="24"/>
        </w:rPr>
      </w:pPr>
    </w:p>
    <w:p w:rsidR="009F6F91" w:rsidRPr="009F6F91" w:rsidRDefault="009F6F91" w:rsidP="009F6F91">
      <w:pPr>
        <w:rPr>
          <w:rFonts w:ascii="Calibri" w:hAnsi="Calibri" w:cs="Calibri"/>
          <w:sz w:val="24"/>
          <w:szCs w:val="24"/>
        </w:rPr>
      </w:pPr>
    </w:p>
    <w:p w:rsidR="009F6F91" w:rsidRDefault="009F6F91" w:rsidP="009F6F91">
      <w:pPr>
        <w:rPr>
          <w:rFonts w:ascii="Calibri" w:hAnsi="Calibri" w:cs="Calibri"/>
          <w:sz w:val="24"/>
          <w:szCs w:val="24"/>
        </w:rPr>
      </w:pPr>
    </w:p>
    <w:p w:rsidR="00F675F6" w:rsidRDefault="00F675F6" w:rsidP="00F675F6">
      <w:pPr>
        <w:pStyle w:val="ListParagraph"/>
        <w:jc w:val="right"/>
        <w:rPr>
          <w:b/>
          <w:sz w:val="96"/>
          <w:szCs w:val="96"/>
        </w:rPr>
      </w:pPr>
      <w:r>
        <w:rPr>
          <w:rFonts w:cs="Arial"/>
          <w:noProof/>
          <w:lang w:val="en-ZA" w:eastAsia="en-ZA"/>
        </w:rPr>
        <w:drawing>
          <wp:inline distT="0" distB="0" distL="0" distR="0">
            <wp:extent cx="3486150" cy="1200150"/>
            <wp:effectExtent l="3810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A708ED" w:rsidRPr="004A1C2E" w:rsidRDefault="004A1C2E" w:rsidP="00F675F6">
      <w:pPr>
        <w:pStyle w:val="Heading1"/>
        <w:numPr>
          <w:ilvl w:val="0"/>
          <w:numId w:val="0"/>
        </w:numPr>
        <w:rPr>
          <w:rFonts w:ascii="Calibri" w:hAnsi="Calibri" w:cs="Calibri"/>
          <w:color w:val="FFFFFF" w:themeColor="background1"/>
          <w:sz w:val="24"/>
          <w:szCs w:val="24"/>
        </w:rPr>
      </w:pPr>
      <w:bookmarkStart w:id="33" w:name="_Toc54361056"/>
      <w:r w:rsidRPr="004A1C2E">
        <w:rPr>
          <w:rFonts w:ascii="Calibri" w:hAnsi="Calibri" w:cs="Calibri"/>
          <w:color w:val="FFFFFF" w:themeColor="background1"/>
          <w:sz w:val="24"/>
          <w:szCs w:val="24"/>
        </w:rPr>
        <w:t>PART F</w:t>
      </w:r>
      <w:r w:rsidR="009C3971" w:rsidRPr="004A1C2E">
        <w:rPr>
          <w:rFonts w:ascii="Calibri" w:hAnsi="Calibri" w:cs="Calibri"/>
          <w:color w:val="FFFFFF" w:themeColor="background1"/>
          <w:sz w:val="24"/>
          <w:szCs w:val="24"/>
        </w:rPr>
        <w:t>: Conclusion</w:t>
      </w:r>
      <w:bookmarkEnd w:id="33"/>
    </w:p>
    <w:p w:rsidR="009F6F91" w:rsidRDefault="009F6F91">
      <w:pPr>
        <w:rPr>
          <w:rFonts w:ascii="Calibri" w:eastAsiaTheme="majorEastAsia" w:hAnsi="Calibri" w:cs="Calibri"/>
          <w:b/>
          <w:bCs/>
          <w:smallCaps/>
          <w:color w:val="000000" w:themeColor="text1"/>
          <w:sz w:val="36"/>
          <w:szCs w:val="36"/>
          <w:lang w:val="en-US"/>
        </w:rPr>
      </w:pPr>
      <w:r>
        <w:rPr>
          <w:rFonts w:ascii="Calibri" w:hAnsi="Calibri" w:cs="Calibri"/>
          <w:sz w:val="36"/>
          <w:szCs w:val="36"/>
        </w:rPr>
        <w:br w:type="page"/>
      </w:r>
    </w:p>
    <w:p w:rsidR="00F675F6" w:rsidRPr="009F6F91" w:rsidRDefault="009F6F91" w:rsidP="003B5E3A">
      <w:pPr>
        <w:pStyle w:val="Heading2"/>
        <w:numPr>
          <w:ilvl w:val="1"/>
          <w:numId w:val="5"/>
        </w:numPr>
        <w:rPr>
          <w:rFonts w:ascii="Calibri" w:hAnsi="Calibri" w:cs="Calibri"/>
          <w:sz w:val="36"/>
          <w:szCs w:val="36"/>
        </w:rPr>
      </w:pPr>
      <w:r w:rsidRPr="009F6F91">
        <w:rPr>
          <w:rFonts w:ascii="Calibri" w:hAnsi="Calibri" w:cs="Calibri"/>
          <w:sz w:val="36"/>
          <w:szCs w:val="36"/>
        </w:rPr>
        <w:lastRenderedPageBreak/>
        <w:t>CONCLUSION</w:t>
      </w:r>
    </w:p>
    <w:p w:rsidR="00F675F6" w:rsidRDefault="00F675F6" w:rsidP="00BB5D1A">
      <w:pPr>
        <w:spacing w:after="0"/>
        <w:rPr>
          <w:rFonts w:ascii="Calibri" w:hAnsi="Calibri" w:cs="Calibri"/>
          <w:sz w:val="24"/>
          <w:szCs w:val="24"/>
        </w:rPr>
      </w:pPr>
    </w:p>
    <w:p w:rsidR="00DC624A" w:rsidRPr="00F55009" w:rsidRDefault="00143472" w:rsidP="00F55009">
      <w:pPr>
        <w:spacing w:after="0"/>
        <w:jc w:val="both"/>
        <w:rPr>
          <w:rFonts w:ascii="Calibri" w:hAnsi="Calibri" w:cs="Calibri"/>
        </w:rPr>
      </w:pPr>
      <w:r w:rsidRPr="00F55009">
        <w:rPr>
          <w:rFonts w:ascii="Calibri" w:hAnsi="Calibri" w:cs="Calibri"/>
        </w:rPr>
        <w:t>Whilst the6</w:t>
      </w:r>
      <w:r w:rsidRPr="00F55009">
        <w:rPr>
          <w:rFonts w:ascii="Calibri" w:hAnsi="Calibri" w:cs="Calibri"/>
          <w:vertAlign w:val="superscript"/>
        </w:rPr>
        <w:t>th</w:t>
      </w:r>
      <w:r w:rsidRPr="00F55009">
        <w:rPr>
          <w:rFonts w:ascii="Calibri" w:hAnsi="Calibri" w:cs="Calibri"/>
        </w:rPr>
        <w:t xml:space="preserve"> clean audit outcome and high level of institutional performance (71,4%) reflect that Parliament is on the right track, there remains much work to be done to achieve the goals, objectives and ambitions outlined in the Strategic plan of Parliament. As always the success of the plan hinges upon the symbiotic relation</w:t>
      </w:r>
      <w:r w:rsidR="00DC624A" w:rsidRPr="00F55009">
        <w:rPr>
          <w:rFonts w:ascii="Calibri" w:hAnsi="Calibri" w:cs="Calibri"/>
        </w:rPr>
        <w:t>ship</w:t>
      </w:r>
      <w:r w:rsidRPr="00F55009">
        <w:rPr>
          <w:rFonts w:ascii="Calibri" w:hAnsi="Calibri" w:cs="Calibri"/>
        </w:rPr>
        <w:t xml:space="preserve"> between Members of Parliament</w:t>
      </w:r>
      <w:r w:rsidR="00DC624A" w:rsidRPr="00F55009">
        <w:rPr>
          <w:rFonts w:ascii="Calibri" w:hAnsi="Calibri" w:cs="Calibri"/>
        </w:rPr>
        <w:t xml:space="preserve"> and the Parliamentary Administration.</w:t>
      </w:r>
    </w:p>
    <w:p w:rsidR="00DC624A" w:rsidRPr="00F55009" w:rsidRDefault="00DC624A" w:rsidP="00F55009">
      <w:pPr>
        <w:spacing w:after="0"/>
        <w:jc w:val="both"/>
        <w:rPr>
          <w:rFonts w:ascii="Calibri" w:hAnsi="Calibri" w:cs="Calibri"/>
        </w:rPr>
      </w:pPr>
    </w:p>
    <w:p w:rsidR="00153B50" w:rsidRDefault="00DC624A" w:rsidP="00F55009">
      <w:pPr>
        <w:spacing w:after="0"/>
        <w:jc w:val="both"/>
        <w:rPr>
          <w:rFonts w:ascii="Calibri" w:hAnsi="Calibri" w:cs="Calibri"/>
        </w:rPr>
      </w:pPr>
      <w:r w:rsidRPr="00F55009">
        <w:rPr>
          <w:rFonts w:ascii="Calibri" w:hAnsi="Calibri" w:cs="Calibri"/>
        </w:rPr>
        <w:t xml:space="preserve"> For Parliament for be successful, a modern, capable, fit for future Parliamentary Administration is required. This necessitates that the Administration is able to attract, retain and build the key skills required, transform its operating model an</w:t>
      </w:r>
      <w:r w:rsidR="00B57823" w:rsidRPr="00F55009">
        <w:rPr>
          <w:rFonts w:ascii="Calibri" w:hAnsi="Calibri" w:cs="Calibri"/>
        </w:rPr>
        <w:t>d processes using technology as</w:t>
      </w:r>
      <w:r w:rsidRPr="00F55009">
        <w:rPr>
          <w:rFonts w:ascii="Calibri" w:hAnsi="Calibri" w:cs="Calibri"/>
        </w:rPr>
        <w:t xml:space="preserve"> an enabl</w:t>
      </w:r>
      <w:r w:rsidR="00B57823" w:rsidRPr="00F55009">
        <w:rPr>
          <w:rFonts w:ascii="Calibri" w:hAnsi="Calibri" w:cs="Calibri"/>
        </w:rPr>
        <w:t>er, enhance its approach to knowledge management, optimise and maximise the use of limited resources and review its Governance Model to promote optimal decision making.</w:t>
      </w:r>
    </w:p>
    <w:p w:rsidR="009F6F91" w:rsidRDefault="009F6F91" w:rsidP="00F55009">
      <w:pPr>
        <w:spacing w:after="0"/>
        <w:jc w:val="both"/>
        <w:rPr>
          <w:rFonts w:ascii="Calibri" w:hAnsi="Calibri" w:cs="Calibri"/>
        </w:rPr>
      </w:pPr>
    </w:p>
    <w:p w:rsidR="009F6F91" w:rsidRDefault="009F6F91">
      <w:pPr>
        <w:rPr>
          <w:rFonts w:ascii="Calibri" w:eastAsiaTheme="majorEastAsia" w:hAnsi="Calibri" w:cs="Calibri"/>
          <w:b/>
          <w:bCs/>
          <w:smallCaps/>
          <w:color w:val="000000" w:themeColor="text1"/>
          <w:sz w:val="36"/>
          <w:szCs w:val="36"/>
          <w:lang w:val="en-US"/>
        </w:rPr>
      </w:pPr>
      <w:bookmarkStart w:id="34" w:name="_Toc22556403"/>
      <w:bookmarkStart w:id="35" w:name="_Toc54361057"/>
      <w:r>
        <w:rPr>
          <w:rFonts w:ascii="Calibri" w:hAnsi="Calibri" w:cs="Calibri"/>
          <w:sz w:val="36"/>
          <w:szCs w:val="36"/>
        </w:rPr>
        <w:br w:type="page"/>
      </w:r>
    </w:p>
    <w:p w:rsidR="00A708ED" w:rsidRPr="00F55009" w:rsidRDefault="00A708ED" w:rsidP="00F55009">
      <w:pPr>
        <w:pStyle w:val="Heading2"/>
        <w:numPr>
          <w:ilvl w:val="0"/>
          <w:numId w:val="0"/>
        </w:numPr>
        <w:ind w:left="576" w:hanging="576"/>
        <w:rPr>
          <w:rFonts w:ascii="Calibri" w:hAnsi="Calibri" w:cs="Calibri"/>
          <w:sz w:val="36"/>
          <w:szCs w:val="36"/>
        </w:rPr>
      </w:pPr>
      <w:r w:rsidRPr="00F55009">
        <w:rPr>
          <w:rFonts w:ascii="Calibri" w:hAnsi="Calibri" w:cs="Calibri"/>
          <w:sz w:val="36"/>
          <w:szCs w:val="36"/>
        </w:rPr>
        <w:lastRenderedPageBreak/>
        <w:t>ANNEXURE A: Performance Status 2020/21 (Summary)</w:t>
      </w:r>
      <w:bookmarkEnd w:id="34"/>
      <w:bookmarkEnd w:id="35"/>
    </w:p>
    <w:p w:rsidR="00A708ED" w:rsidRDefault="00A708ED" w:rsidP="00BB5D1A">
      <w:pPr>
        <w:spacing w:after="0"/>
        <w:rPr>
          <w:rFonts w:ascii="Calibri" w:hAnsi="Calibri" w:cs="Calibri"/>
          <w:sz w:val="24"/>
          <w:szCs w:val="24"/>
        </w:rPr>
      </w:pPr>
    </w:p>
    <w:p w:rsidR="00A708ED" w:rsidRPr="003932C2" w:rsidRDefault="00A708ED" w:rsidP="00A708ED">
      <w:r>
        <w:t>The table below tracks the status of indicators, and possible performance by the end of the financial year:</w:t>
      </w:r>
    </w:p>
    <w:tbl>
      <w:tblPr>
        <w:tblStyle w:val="GridTable1LightAccent2"/>
        <w:tblW w:w="9464" w:type="dxa"/>
        <w:jc w:val="center"/>
        <w:tblLayout w:type="fixed"/>
        <w:tblLook w:val="04A0"/>
      </w:tblPr>
      <w:tblGrid>
        <w:gridCol w:w="1696"/>
        <w:gridCol w:w="3546"/>
        <w:gridCol w:w="2368"/>
        <w:gridCol w:w="323"/>
        <w:gridCol w:w="1531"/>
      </w:tblGrid>
      <w:tr w:rsidR="00A708ED" w:rsidRPr="002D5269" w:rsidTr="00A708ED">
        <w:trPr>
          <w:cnfStyle w:val="100000000000"/>
          <w:trHeight w:val="444"/>
          <w:jc w:val="center"/>
        </w:trPr>
        <w:tc>
          <w:tcPr>
            <w:cnfStyle w:val="001000000000"/>
            <w:tcW w:w="1696" w:type="dxa"/>
            <w:tcBorders>
              <w:top w:val="single" w:sz="4" w:space="0" w:color="000000"/>
              <w:left w:val="single" w:sz="4" w:space="0" w:color="000000"/>
              <w:bottom w:val="single" w:sz="4" w:space="0" w:color="000000"/>
              <w:right w:val="single" w:sz="4" w:space="0" w:color="000000"/>
            </w:tcBorders>
          </w:tcPr>
          <w:p w:rsidR="00A708ED" w:rsidRPr="002D5269" w:rsidRDefault="00A708ED" w:rsidP="00A708ED">
            <w:pPr>
              <w:jc w:val="center"/>
              <w:rPr>
                <w:rFonts w:cstheme="minorHAnsi"/>
              </w:rPr>
            </w:pPr>
            <w:r>
              <w:rPr>
                <w:rFonts w:cstheme="minorHAnsi"/>
              </w:rPr>
              <w:t>PROGRAMME</w:t>
            </w:r>
          </w:p>
        </w:tc>
        <w:tc>
          <w:tcPr>
            <w:tcW w:w="6237" w:type="dxa"/>
            <w:gridSpan w:val="3"/>
            <w:tcBorders>
              <w:top w:val="single" w:sz="4" w:space="0" w:color="000000"/>
              <w:left w:val="single" w:sz="4" w:space="0" w:color="000000"/>
              <w:bottom w:val="single" w:sz="4" w:space="0" w:color="000000"/>
              <w:right w:val="single" w:sz="4" w:space="0" w:color="000000"/>
            </w:tcBorders>
            <w:noWrap/>
          </w:tcPr>
          <w:p w:rsidR="00A708ED" w:rsidRPr="002D5269" w:rsidRDefault="00A708ED" w:rsidP="00A708ED">
            <w:pPr>
              <w:jc w:val="center"/>
              <w:cnfStyle w:val="100000000000"/>
              <w:rPr>
                <w:rFonts w:cstheme="minorHAnsi"/>
              </w:rPr>
            </w:pPr>
            <w:r w:rsidRPr="002D5269">
              <w:rPr>
                <w:rFonts w:cstheme="minorHAnsi"/>
              </w:rPr>
              <w:t>PERFORMANC</w:t>
            </w:r>
            <w:r>
              <w:rPr>
                <w:rFonts w:cstheme="minorHAnsi"/>
              </w:rPr>
              <w:t>E</w:t>
            </w:r>
            <w:r w:rsidRPr="002D5269">
              <w:rPr>
                <w:rFonts w:cstheme="minorHAnsi"/>
              </w:rPr>
              <w:t xml:space="preserve"> BY INDICATOR</w:t>
            </w:r>
          </w:p>
        </w:tc>
        <w:tc>
          <w:tcPr>
            <w:tcW w:w="1531" w:type="dxa"/>
            <w:tcBorders>
              <w:top w:val="single" w:sz="4" w:space="0" w:color="000000"/>
              <w:left w:val="single" w:sz="4" w:space="0" w:color="000000"/>
              <w:bottom w:val="single" w:sz="4" w:space="0" w:color="000000"/>
              <w:right w:val="single" w:sz="4" w:space="0" w:color="000000"/>
            </w:tcBorders>
          </w:tcPr>
          <w:p w:rsidR="00A708ED" w:rsidRPr="002D5269" w:rsidRDefault="00A708ED" w:rsidP="00A708ED">
            <w:pPr>
              <w:jc w:val="center"/>
              <w:cnfStyle w:val="100000000000"/>
              <w:rPr>
                <w:rFonts w:cstheme="minorHAnsi"/>
              </w:rPr>
            </w:pPr>
            <w:r>
              <w:rPr>
                <w:rFonts w:cstheme="minorHAnsi"/>
              </w:rPr>
              <w:t>STATUS</w:t>
            </w:r>
          </w:p>
        </w:tc>
      </w:tr>
      <w:tr w:rsidR="00A708ED" w:rsidRPr="002D5269" w:rsidTr="00A708ED">
        <w:trPr>
          <w:trHeight w:val="384"/>
          <w:jc w:val="center"/>
        </w:trPr>
        <w:tc>
          <w:tcPr>
            <w:cnfStyle w:val="001000000000"/>
            <w:tcW w:w="1696" w:type="dxa"/>
            <w:vMerge w:val="restart"/>
            <w:tcBorders>
              <w:top w:val="single" w:sz="4" w:space="0" w:color="000000"/>
              <w:left w:val="single" w:sz="4" w:space="0" w:color="000000"/>
              <w:right w:val="single" w:sz="4" w:space="0" w:color="000000"/>
            </w:tcBorders>
          </w:tcPr>
          <w:p w:rsidR="00A708ED" w:rsidRPr="002D5269" w:rsidRDefault="00A708ED" w:rsidP="00A708ED">
            <w:pPr>
              <w:jc w:val="center"/>
              <w:rPr>
                <w:rFonts w:cstheme="minorHAnsi"/>
              </w:rPr>
            </w:pPr>
            <w:r>
              <w:rPr>
                <w:rFonts w:cstheme="minorHAnsi"/>
              </w:rPr>
              <w:t>Programme 1</w:t>
            </w:r>
          </w:p>
        </w:tc>
        <w:tc>
          <w:tcPr>
            <w:tcW w:w="6237" w:type="dxa"/>
            <w:gridSpan w:val="3"/>
            <w:tcBorders>
              <w:top w:val="single" w:sz="4" w:space="0" w:color="000000"/>
              <w:left w:val="single" w:sz="4" w:space="0" w:color="000000"/>
              <w:bottom w:val="single" w:sz="4" w:space="0" w:color="000000"/>
              <w:right w:val="single" w:sz="4" w:space="0" w:color="000000"/>
            </w:tcBorders>
            <w:noWrap/>
          </w:tcPr>
          <w:p w:rsidR="00A708ED" w:rsidRPr="002D5269" w:rsidRDefault="00A708ED" w:rsidP="00A708ED">
            <w:pPr>
              <w:cnfStyle w:val="000000000000"/>
              <w:rPr>
                <w:rFonts w:cstheme="minorHAnsi"/>
              </w:rPr>
            </w:pPr>
            <w:r w:rsidRPr="002D5269">
              <w:rPr>
                <w:rFonts w:cstheme="minorHAnsi"/>
              </w:rPr>
              <w:t>% of legal and procedural provided within 7 days</w:t>
            </w:r>
          </w:p>
        </w:tc>
        <w:tc>
          <w:tcPr>
            <w:tcW w:w="1531" w:type="dxa"/>
            <w:tcBorders>
              <w:top w:val="single" w:sz="4" w:space="0" w:color="000000"/>
              <w:left w:val="single" w:sz="4" w:space="0" w:color="000000"/>
              <w:bottom w:val="single" w:sz="4" w:space="0" w:color="000000"/>
              <w:right w:val="single" w:sz="4" w:space="0" w:color="000000"/>
            </w:tcBorders>
            <w:shd w:val="clear" w:color="auto" w:fill="E48312" w:themeFill="accent1"/>
            <w:noWrap/>
          </w:tcPr>
          <w:p w:rsidR="00A708ED" w:rsidRPr="00EE32BB" w:rsidRDefault="00EE32BB" w:rsidP="00EE32BB">
            <w:pPr>
              <w:jc w:val="center"/>
              <w:cnfStyle w:val="000000000000"/>
              <w:rPr>
                <w:rFonts w:cstheme="minorHAnsi"/>
                <w:b/>
              </w:rPr>
            </w:pPr>
            <w:r w:rsidRPr="00EE32BB">
              <w:rPr>
                <w:rFonts w:cstheme="minorHAnsi"/>
                <w:b/>
              </w:rPr>
              <w:t>Off Track</w:t>
            </w:r>
          </w:p>
        </w:tc>
      </w:tr>
      <w:tr w:rsidR="00A708ED" w:rsidRPr="002D5269" w:rsidTr="00A708ED">
        <w:trPr>
          <w:trHeight w:val="361"/>
          <w:jc w:val="center"/>
        </w:trPr>
        <w:tc>
          <w:tcPr>
            <w:cnfStyle w:val="001000000000"/>
            <w:tcW w:w="1696" w:type="dxa"/>
            <w:vMerge/>
            <w:tcBorders>
              <w:left w:val="single" w:sz="4" w:space="0" w:color="000000"/>
              <w:bottom w:val="single" w:sz="4" w:space="0" w:color="000000"/>
              <w:right w:val="single" w:sz="4" w:space="0" w:color="000000"/>
            </w:tcBorders>
          </w:tcPr>
          <w:p w:rsidR="00A708ED" w:rsidRPr="002D5269" w:rsidRDefault="00A708ED" w:rsidP="00A708ED">
            <w:pPr>
              <w:jc w:val="center"/>
              <w:rPr>
                <w:rFonts w:cstheme="minorHAnsi"/>
              </w:rPr>
            </w:pPr>
          </w:p>
        </w:tc>
        <w:tc>
          <w:tcPr>
            <w:tcW w:w="6237" w:type="dxa"/>
            <w:gridSpan w:val="3"/>
            <w:tcBorders>
              <w:top w:val="single" w:sz="4" w:space="0" w:color="000000"/>
              <w:left w:val="single" w:sz="4" w:space="0" w:color="000000"/>
              <w:bottom w:val="single" w:sz="4" w:space="0" w:color="000000"/>
              <w:right w:val="single" w:sz="4" w:space="0" w:color="000000"/>
            </w:tcBorders>
            <w:noWrap/>
          </w:tcPr>
          <w:p w:rsidR="00A708ED" w:rsidRPr="002D5269" w:rsidRDefault="00A708ED" w:rsidP="00A708ED">
            <w:pPr>
              <w:cnfStyle w:val="000000000000"/>
              <w:rPr>
                <w:rFonts w:cstheme="minorHAnsi"/>
              </w:rPr>
            </w:pPr>
            <w:r w:rsidRPr="002D5269">
              <w:rPr>
                <w:rFonts w:cstheme="minorHAnsi"/>
              </w:rPr>
              <w:t>% of analysis reports provided within agreed timeframes</w:t>
            </w:r>
          </w:p>
        </w:tc>
        <w:tc>
          <w:tcPr>
            <w:tcW w:w="1531" w:type="dxa"/>
            <w:tcBorders>
              <w:top w:val="single" w:sz="4" w:space="0" w:color="000000"/>
              <w:left w:val="single" w:sz="4" w:space="0" w:color="000000"/>
              <w:bottom w:val="single" w:sz="4" w:space="0" w:color="000000"/>
              <w:right w:val="single" w:sz="4" w:space="0" w:color="000000"/>
            </w:tcBorders>
            <w:shd w:val="clear" w:color="auto" w:fill="00B050"/>
            <w:noWrap/>
          </w:tcPr>
          <w:p w:rsidR="00A708ED" w:rsidRPr="00EE32BB" w:rsidRDefault="00EE32BB" w:rsidP="00EE32BB">
            <w:pPr>
              <w:jc w:val="center"/>
              <w:cnfStyle w:val="000000000000"/>
              <w:rPr>
                <w:rFonts w:cstheme="minorHAnsi"/>
                <w:b/>
              </w:rPr>
            </w:pPr>
            <w:r>
              <w:rPr>
                <w:rFonts w:cstheme="minorHAnsi"/>
                <w:b/>
              </w:rPr>
              <w:t>On Track</w:t>
            </w:r>
          </w:p>
        </w:tc>
      </w:tr>
      <w:tr w:rsidR="00A708ED" w:rsidRPr="002D5269" w:rsidTr="00A708ED">
        <w:trPr>
          <w:trHeight w:val="378"/>
          <w:jc w:val="center"/>
        </w:trPr>
        <w:tc>
          <w:tcPr>
            <w:cnfStyle w:val="001000000000"/>
            <w:tcW w:w="1696" w:type="dxa"/>
            <w:vMerge w:val="restart"/>
            <w:tcBorders>
              <w:top w:val="single" w:sz="4" w:space="0" w:color="000000"/>
              <w:left w:val="single" w:sz="4" w:space="0" w:color="000000"/>
              <w:right w:val="single" w:sz="4" w:space="0" w:color="000000"/>
            </w:tcBorders>
          </w:tcPr>
          <w:p w:rsidR="00A708ED" w:rsidRPr="002D5269" w:rsidRDefault="00A708ED" w:rsidP="00A708ED">
            <w:pPr>
              <w:jc w:val="center"/>
              <w:rPr>
                <w:rFonts w:cstheme="minorHAnsi"/>
              </w:rPr>
            </w:pPr>
            <w:r>
              <w:rPr>
                <w:rFonts w:cstheme="minorHAnsi"/>
              </w:rPr>
              <w:t>Programme 2</w:t>
            </w:r>
          </w:p>
        </w:tc>
        <w:tc>
          <w:tcPr>
            <w:tcW w:w="6237" w:type="dxa"/>
            <w:gridSpan w:val="3"/>
            <w:tcBorders>
              <w:top w:val="single" w:sz="4" w:space="0" w:color="000000"/>
              <w:left w:val="single" w:sz="4" w:space="0" w:color="000000"/>
              <w:bottom w:val="single" w:sz="4" w:space="0" w:color="000000"/>
              <w:right w:val="single" w:sz="4" w:space="0" w:color="000000"/>
            </w:tcBorders>
            <w:noWrap/>
            <w:hideMark/>
          </w:tcPr>
          <w:p w:rsidR="00A708ED" w:rsidRPr="002D5269" w:rsidRDefault="00A708ED" w:rsidP="00A708ED">
            <w:pPr>
              <w:cnfStyle w:val="000000000000"/>
              <w:rPr>
                <w:rFonts w:cstheme="minorHAnsi"/>
              </w:rPr>
            </w:pPr>
            <w:r w:rsidRPr="002D5269">
              <w:rPr>
                <w:rFonts w:cstheme="minorHAnsi"/>
              </w:rPr>
              <w:t>Number of programmes implemented</w:t>
            </w:r>
          </w:p>
        </w:tc>
        <w:tc>
          <w:tcPr>
            <w:tcW w:w="1531" w:type="dxa"/>
            <w:tcBorders>
              <w:top w:val="single" w:sz="4" w:space="0" w:color="000000"/>
              <w:left w:val="single" w:sz="4" w:space="0" w:color="000000"/>
              <w:bottom w:val="single" w:sz="4" w:space="0" w:color="000000"/>
              <w:right w:val="single" w:sz="4" w:space="0" w:color="000000"/>
            </w:tcBorders>
            <w:shd w:val="clear" w:color="auto" w:fill="00B050"/>
            <w:noWrap/>
            <w:hideMark/>
          </w:tcPr>
          <w:p w:rsidR="00A708ED" w:rsidRPr="00EE32BB" w:rsidRDefault="00EE32BB" w:rsidP="00EE32BB">
            <w:pPr>
              <w:jc w:val="center"/>
              <w:cnfStyle w:val="000000000000"/>
              <w:rPr>
                <w:rFonts w:cstheme="minorHAnsi"/>
                <w:b/>
              </w:rPr>
            </w:pPr>
            <w:r>
              <w:rPr>
                <w:rFonts w:cstheme="minorHAnsi"/>
                <w:b/>
              </w:rPr>
              <w:t>On Track</w:t>
            </w:r>
          </w:p>
        </w:tc>
      </w:tr>
      <w:tr w:rsidR="00A708ED" w:rsidRPr="002D5269" w:rsidTr="00A708ED">
        <w:trPr>
          <w:trHeight w:val="384"/>
          <w:jc w:val="center"/>
        </w:trPr>
        <w:tc>
          <w:tcPr>
            <w:cnfStyle w:val="001000000000"/>
            <w:tcW w:w="1696" w:type="dxa"/>
            <w:vMerge/>
            <w:tcBorders>
              <w:left w:val="single" w:sz="4" w:space="0" w:color="000000"/>
              <w:bottom w:val="single" w:sz="4" w:space="0" w:color="000000"/>
              <w:right w:val="single" w:sz="4" w:space="0" w:color="000000"/>
            </w:tcBorders>
          </w:tcPr>
          <w:p w:rsidR="00A708ED" w:rsidRPr="002D5269" w:rsidRDefault="00A708ED" w:rsidP="00A708ED">
            <w:pPr>
              <w:jc w:val="center"/>
              <w:rPr>
                <w:rFonts w:cstheme="minorHAnsi"/>
              </w:rPr>
            </w:pPr>
          </w:p>
        </w:tc>
        <w:tc>
          <w:tcPr>
            <w:tcW w:w="6237" w:type="dxa"/>
            <w:gridSpan w:val="3"/>
            <w:tcBorders>
              <w:top w:val="single" w:sz="4" w:space="0" w:color="000000"/>
              <w:left w:val="single" w:sz="4" w:space="0" w:color="000000"/>
              <w:bottom w:val="single" w:sz="4" w:space="0" w:color="000000"/>
              <w:right w:val="single" w:sz="4" w:space="0" w:color="000000"/>
            </w:tcBorders>
            <w:noWrap/>
            <w:hideMark/>
          </w:tcPr>
          <w:p w:rsidR="00A708ED" w:rsidRPr="002D5269" w:rsidRDefault="00A708ED" w:rsidP="00A708ED">
            <w:pPr>
              <w:cnfStyle w:val="000000000000"/>
              <w:rPr>
                <w:rFonts w:cstheme="minorHAnsi"/>
                <w:b/>
              </w:rPr>
            </w:pPr>
            <w:r w:rsidRPr="002D5269">
              <w:rPr>
                <w:rFonts w:cstheme="minorHAnsi"/>
              </w:rPr>
              <w:t>Number of reports prepared on implementation of Sector Strategy</w:t>
            </w:r>
          </w:p>
        </w:tc>
        <w:tc>
          <w:tcPr>
            <w:tcW w:w="1531" w:type="dxa"/>
            <w:tcBorders>
              <w:top w:val="single" w:sz="4" w:space="0" w:color="000000"/>
              <w:left w:val="single" w:sz="4" w:space="0" w:color="000000"/>
              <w:bottom w:val="single" w:sz="4" w:space="0" w:color="000000"/>
              <w:right w:val="single" w:sz="4" w:space="0" w:color="000000"/>
            </w:tcBorders>
            <w:shd w:val="clear" w:color="auto" w:fill="00B050"/>
            <w:noWrap/>
            <w:hideMark/>
          </w:tcPr>
          <w:p w:rsidR="00A708ED" w:rsidRPr="00EE32BB" w:rsidRDefault="00EE32BB" w:rsidP="00EE32BB">
            <w:pPr>
              <w:jc w:val="center"/>
              <w:cnfStyle w:val="000000000000"/>
              <w:rPr>
                <w:rFonts w:cstheme="minorHAnsi"/>
                <w:b/>
              </w:rPr>
            </w:pPr>
            <w:r>
              <w:rPr>
                <w:rFonts w:cstheme="minorHAnsi"/>
                <w:b/>
              </w:rPr>
              <w:t>On Track</w:t>
            </w:r>
          </w:p>
        </w:tc>
      </w:tr>
      <w:tr w:rsidR="00A708ED" w:rsidRPr="002D5269" w:rsidTr="00A708ED">
        <w:trPr>
          <w:trHeight w:val="384"/>
          <w:jc w:val="center"/>
        </w:trPr>
        <w:tc>
          <w:tcPr>
            <w:cnfStyle w:val="001000000000"/>
            <w:tcW w:w="1696" w:type="dxa"/>
            <w:vMerge w:val="restart"/>
            <w:tcBorders>
              <w:top w:val="single" w:sz="4" w:space="0" w:color="000000"/>
              <w:left w:val="single" w:sz="4" w:space="0" w:color="000000"/>
              <w:right w:val="single" w:sz="4" w:space="0" w:color="000000"/>
            </w:tcBorders>
          </w:tcPr>
          <w:p w:rsidR="00A708ED" w:rsidRPr="003C079E" w:rsidRDefault="00A708ED" w:rsidP="00A708ED">
            <w:pPr>
              <w:pStyle w:val="Default"/>
              <w:jc w:val="center"/>
              <w:rPr>
                <w:rFonts w:ascii="Calibri" w:hAnsi="Calibri" w:cs="Calibri"/>
                <w:sz w:val="22"/>
                <w:szCs w:val="22"/>
              </w:rPr>
            </w:pPr>
            <w:r>
              <w:rPr>
                <w:rFonts w:ascii="Calibri" w:hAnsi="Calibri" w:cs="Calibri"/>
                <w:sz w:val="22"/>
                <w:szCs w:val="22"/>
              </w:rPr>
              <w:t>Programme 3</w:t>
            </w:r>
          </w:p>
        </w:tc>
        <w:tc>
          <w:tcPr>
            <w:tcW w:w="6237" w:type="dxa"/>
            <w:gridSpan w:val="3"/>
            <w:tcBorders>
              <w:top w:val="single" w:sz="4" w:space="0" w:color="000000"/>
              <w:left w:val="single" w:sz="4" w:space="0" w:color="000000"/>
              <w:bottom w:val="single" w:sz="4" w:space="0" w:color="000000"/>
              <w:right w:val="single" w:sz="4" w:space="0" w:color="000000"/>
            </w:tcBorders>
            <w:noWrap/>
          </w:tcPr>
          <w:p w:rsidR="00A708ED" w:rsidRPr="00027CA6" w:rsidRDefault="00A708ED" w:rsidP="00A708ED">
            <w:pPr>
              <w:pStyle w:val="Default"/>
              <w:cnfStyle w:val="000000000000"/>
              <w:rPr>
                <w:rFonts w:ascii="Calibri" w:hAnsi="Calibri" w:cs="Calibri"/>
                <w:sz w:val="22"/>
                <w:szCs w:val="22"/>
              </w:rPr>
            </w:pPr>
            <w:r w:rsidRPr="003C079E">
              <w:rPr>
                <w:rFonts w:ascii="Calibri" w:hAnsi="Calibri" w:cs="Calibri"/>
                <w:sz w:val="22"/>
                <w:szCs w:val="22"/>
              </w:rPr>
              <w:t>Number of annual parliamentary frameworks adopted</w:t>
            </w:r>
          </w:p>
        </w:tc>
        <w:tc>
          <w:tcPr>
            <w:tcW w:w="153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tcPr>
          <w:p w:rsidR="00A708ED" w:rsidRPr="00EE32BB" w:rsidRDefault="00EE32BB" w:rsidP="00EE32BB">
            <w:pPr>
              <w:jc w:val="center"/>
              <w:cnfStyle w:val="000000000000"/>
              <w:rPr>
                <w:rFonts w:cstheme="minorHAnsi"/>
                <w:b/>
              </w:rPr>
            </w:pPr>
            <w:r>
              <w:rPr>
                <w:rFonts w:cstheme="minorHAnsi"/>
                <w:b/>
              </w:rPr>
              <w:t>N/A</w:t>
            </w:r>
          </w:p>
        </w:tc>
      </w:tr>
      <w:tr w:rsidR="00A708ED" w:rsidRPr="002D5269" w:rsidTr="00A708ED">
        <w:trPr>
          <w:trHeight w:val="384"/>
          <w:jc w:val="center"/>
        </w:trPr>
        <w:tc>
          <w:tcPr>
            <w:cnfStyle w:val="001000000000"/>
            <w:tcW w:w="1696" w:type="dxa"/>
            <w:vMerge/>
            <w:tcBorders>
              <w:left w:val="single" w:sz="4" w:space="0" w:color="000000"/>
              <w:right w:val="single" w:sz="4" w:space="0" w:color="000000"/>
            </w:tcBorders>
          </w:tcPr>
          <w:p w:rsidR="00A708ED" w:rsidRPr="003C079E" w:rsidRDefault="00A708ED" w:rsidP="00A708ED">
            <w:pPr>
              <w:pStyle w:val="Default"/>
              <w:jc w:val="center"/>
              <w:rPr>
                <w:rFonts w:ascii="Calibri" w:hAnsi="Calibri" w:cs="Calibri"/>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noWrap/>
          </w:tcPr>
          <w:p w:rsidR="00A708ED" w:rsidRPr="00027CA6" w:rsidRDefault="00A708ED" w:rsidP="00A708ED">
            <w:pPr>
              <w:pStyle w:val="Default"/>
              <w:cnfStyle w:val="000000000000"/>
              <w:rPr>
                <w:rFonts w:ascii="Calibri" w:hAnsi="Calibri" w:cs="Calibri"/>
                <w:sz w:val="22"/>
                <w:szCs w:val="22"/>
              </w:rPr>
            </w:pPr>
            <w:r w:rsidRPr="003C079E">
              <w:rPr>
                <w:rFonts w:ascii="Calibri" w:hAnsi="Calibri" w:cs="Calibri"/>
                <w:sz w:val="22"/>
                <w:szCs w:val="22"/>
              </w:rPr>
              <w:t>Number of NA programmes adopted</w:t>
            </w:r>
          </w:p>
        </w:tc>
        <w:tc>
          <w:tcPr>
            <w:tcW w:w="1531" w:type="dxa"/>
            <w:tcBorders>
              <w:top w:val="single" w:sz="4" w:space="0" w:color="000000"/>
              <w:left w:val="single" w:sz="4" w:space="0" w:color="000000"/>
              <w:bottom w:val="single" w:sz="4" w:space="0" w:color="000000"/>
              <w:right w:val="single" w:sz="4" w:space="0" w:color="000000"/>
            </w:tcBorders>
            <w:shd w:val="clear" w:color="auto" w:fill="00B050"/>
            <w:noWrap/>
          </w:tcPr>
          <w:p w:rsidR="00A708ED" w:rsidRPr="00EE32BB" w:rsidRDefault="00EE32BB" w:rsidP="00EE32BB">
            <w:pPr>
              <w:jc w:val="center"/>
              <w:cnfStyle w:val="000000000000"/>
              <w:rPr>
                <w:rFonts w:cstheme="minorHAnsi"/>
                <w:b/>
              </w:rPr>
            </w:pPr>
            <w:r>
              <w:rPr>
                <w:rFonts w:cstheme="minorHAnsi"/>
                <w:b/>
              </w:rPr>
              <w:t>On Track</w:t>
            </w:r>
          </w:p>
        </w:tc>
      </w:tr>
      <w:tr w:rsidR="00A708ED" w:rsidRPr="002D5269" w:rsidTr="00A708ED">
        <w:trPr>
          <w:trHeight w:val="384"/>
          <w:jc w:val="center"/>
        </w:trPr>
        <w:tc>
          <w:tcPr>
            <w:cnfStyle w:val="001000000000"/>
            <w:tcW w:w="1696" w:type="dxa"/>
            <w:vMerge/>
            <w:tcBorders>
              <w:left w:val="single" w:sz="4" w:space="0" w:color="000000"/>
              <w:right w:val="single" w:sz="4" w:space="0" w:color="000000"/>
            </w:tcBorders>
          </w:tcPr>
          <w:p w:rsidR="00A708ED" w:rsidRPr="003C079E" w:rsidRDefault="00A708ED" w:rsidP="00A708ED">
            <w:pPr>
              <w:pStyle w:val="Default"/>
              <w:jc w:val="center"/>
              <w:rPr>
                <w:rFonts w:ascii="Calibri" w:hAnsi="Calibri" w:cs="Calibri"/>
                <w:sz w:val="22"/>
                <w:szCs w:val="22"/>
              </w:rPr>
            </w:pPr>
          </w:p>
        </w:tc>
        <w:tc>
          <w:tcPr>
            <w:tcW w:w="6237" w:type="dxa"/>
            <w:gridSpan w:val="3"/>
            <w:tcBorders>
              <w:top w:val="single" w:sz="4" w:space="0" w:color="000000"/>
              <w:left w:val="single" w:sz="4" w:space="0" w:color="000000"/>
              <w:bottom w:val="single" w:sz="4" w:space="0" w:color="000000"/>
              <w:right w:val="single" w:sz="4" w:space="0" w:color="000000"/>
            </w:tcBorders>
            <w:noWrap/>
          </w:tcPr>
          <w:p w:rsidR="00A708ED" w:rsidRPr="001F537C" w:rsidRDefault="00A708ED" w:rsidP="00A708ED">
            <w:pPr>
              <w:pStyle w:val="Default"/>
              <w:cnfStyle w:val="000000000000"/>
              <w:rPr>
                <w:rFonts w:ascii="Calibri" w:hAnsi="Calibri" w:cs="Calibri"/>
                <w:sz w:val="22"/>
                <w:szCs w:val="22"/>
              </w:rPr>
            </w:pPr>
            <w:r w:rsidRPr="003C079E">
              <w:rPr>
                <w:rFonts w:ascii="Calibri" w:hAnsi="Calibri" w:cs="Calibri"/>
                <w:sz w:val="22"/>
                <w:szCs w:val="22"/>
              </w:rPr>
              <w:t>Number of NCOP programmes adopted</w:t>
            </w:r>
          </w:p>
        </w:tc>
        <w:tc>
          <w:tcPr>
            <w:tcW w:w="1531" w:type="dxa"/>
            <w:tcBorders>
              <w:top w:val="single" w:sz="4" w:space="0" w:color="000000"/>
              <w:left w:val="single" w:sz="4" w:space="0" w:color="000000"/>
              <w:bottom w:val="single" w:sz="4" w:space="0" w:color="000000"/>
              <w:right w:val="single" w:sz="4" w:space="0" w:color="000000"/>
            </w:tcBorders>
            <w:shd w:val="clear" w:color="auto" w:fill="00B050"/>
            <w:noWrap/>
          </w:tcPr>
          <w:p w:rsidR="00A708ED" w:rsidRPr="00EE32BB" w:rsidRDefault="00EE32BB" w:rsidP="00EE32BB">
            <w:pPr>
              <w:jc w:val="center"/>
              <w:cnfStyle w:val="000000000000"/>
              <w:rPr>
                <w:rFonts w:cstheme="minorHAnsi"/>
                <w:b/>
              </w:rPr>
            </w:pPr>
            <w:r>
              <w:rPr>
                <w:rFonts w:cstheme="minorHAnsi"/>
                <w:b/>
              </w:rPr>
              <w:t>On Track</w:t>
            </w:r>
          </w:p>
        </w:tc>
      </w:tr>
      <w:tr w:rsidR="00A708ED" w:rsidRPr="002D5269" w:rsidTr="00EE32BB">
        <w:trPr>
          <w:trHeight w:val="390"/>
          <w:jc w:val="center"/>
        </w:trPr>
        <w:tc>
          <w:tcPr>
            <w:cnfStyle w:val="001000000000"/>
            <w:tcW w:w="1696" w:type="dxa"/>
            <w:vMerge/>
            <w:tcBorders>
              <w:left w:val="single" w:sz="4" w:space="0" w:color="000000"/>
              <w:right w:val="single" w:sz="4" w:space="0" w:color="000000"/>
            </w:tcBorders>
          </w:tcPr>
          <w:p w:rsidR="00A708ED" w:rsidRPr="003C079E" w:rsidRDefault="00A708ED" w:rsidP="00A708ED">
            <w:pPr>
              <w:jc w:val="center"/>
              <w:rPr>
                <w:rFonts w:ascii="Calibri" w:hAnsi="Calibri" w:cs="Calibri"/>
              </w:rPr>
            </w:pPr>
          </w:p>
        </w:tc>
        <w:tc>
          <w:tcPr>
            <w:tcW w:w="6237" w:type="dxa"/>
            <w:gridSpan w:val="3"/>
            <w:tcBorders>
              <w:top w:val="single" w:sz="4" w:space="0" w:color="000000"/>
              <w:left w:val="single" w:sz="4" w:space="0" w:color="000000"/>
              <w:bottom w:val="single" w:sz="4" w:space="0" w:color="000000"/>
              <w:right w:val="single" w:sz="4" w:space="0" w:color="000000"/>
            </w:tcBorders>
            <w:noWrap/>
            <w:hideMark/>
          </w:tcPr>
          <w:p w:rsidR="00A708ED" w:rsidRPr="002D5269" w:rsidRDefault="00A708ED" w:rsidP="00A708ED">
            <w:pPr>
              <w:cnfStyle w:val="000000000000"/>
              <w:rPr>
                <w:rFonts w:cstheme="minorHAnsi"/>
              </w:rPr>
            </w:pPr>
            <w:r w:rsidRPr="003C079E">
              <w:rPr>
                <w:rFonts w:ascii="Calibri" w:hAnsi="Calibri" w:cs="Calibri"/>
              </w:rPr>
              <w:t>% of information available as per Service Charter levels</w:t>
            </w:r>
          </w:p>
        </w:tc>
        <w:tc>
          <w:tcPr>
            <w:tcW w:w="1531" w:type="dxa"/>
            <w:tcBorders>
              <w:top w:val="single" w:sz="4" w:space="0" w:color="000000"/>
              <w:left w:val="single" w:sz="4" w:space="0" w:color="000000"/>
              <w:bottom w:val="single" w:sz="4" w:space="0" w:color="000000"/>
              <w:right w:val="single" w:sz="4" w:space="0" w:color="000000"/>
            </w:tcBorders>
            <w:shd w:val="clear" w:color="auto" w:fill="E48312" w:themeFill="accent1"/>
            <w:noWrap/>
            <w:hideMark/>
          </w:tcPr>
          <w:p w:rsidR="00A708ED" w:rsidRPr="00EE32BB" w:rsidRDefault="00EE32BB" w:rsidP="00EE32BB">
            <w:pPr>
              <w:jc w:val="center"/>
              <w:cnfStyle w:val="000000000000"/>
              <w:rPr>
                <w:rFonts w:cstheme="minorHAnsi"/>
                <w:b/>
              </w:rPr>
            </w:pPr>
            <w:r>
              <w:rPr>
                <w:rFonts w:cstheme="minorHAnsi"/>
                <w:b/>
              </w:rPr>
              <w:t>Off Track</w:t>
            </w:r>
          </w:p>
        </w:tc>
      </w:tr>
      <w:tr w:rsidR="00A708ED" w:rsidRPr="002D5269" w:rsidTr="00A708ED">
        <w:trPr>
          <w:trHeight w:val="395"/>
          <w:jc w:val="center"/>
        </w:trPr>
        <w:tc>
          <w:tcPr>
            <w:cnfStyle w:val="001000000000"/>
            <w:tcW w:w="1696" w:type="dxa"/>
            <w:vMerge/>
            <w:tcBorders>
              <w:left w:val="single" w:sz="4" w:space="0" w:color="000000"/>
              <w:right w:val="single" w:sz="4" w:space="0" w:color="000000"/>
            </w:tcBorders>
          </w:tcPr>
          <w:p w:rsidR="00A708ED" w:rsidRPr="002D5269" w:rsidRDefault="00A708ED" w:rsidP="00A708ED">
            <w:pPr>
              <w:jc w:val="center"/>
              <w:rPr>
                <w:rFonts w:cstheme="minorHAnsi"/>
              </w:rPr>
            </w:pPr>
          </w:p>
        </w:tc>
        <w:tc>
          <w:tcPr>
            <w:tcW w:w="6237" w:type="dxa"/>
            <w:gridSpan w:val="3"/>
            <w:tcBorders>
              <w:top w:val="single" w:sz="4" w:space="0" w:color="000000"/>
              <w:left w:val="single" w:sz="4" w:space="0" w:color="000000"/>
              <w:bottom w:val="single" w:sz="4" w:space="0" w:color="000000"/>
              <w:right w:val="single" w:sz="4" w:space="0" w:color="000000"/>
            </w:tcBorders>
            <w:noWrap/>
            <w:hideMark/>
          </w:tcPr>
          <w:p w:rsidR="00A708ED" w:rsidRPr="002D5269" w:rsidRDefault="00A708ED" w:rsidP="00A708ED">
            <w:pPr>
              <w:cnfStyle w:val="000000000000"/>
              <w:rPr>
                <w:rFonts w:cstheme="minorHAnsi"/>
              </w:rPr>
            </w:pPr>
            <w:r w:rsidRPr="002D5269">
              <w:rPr>
                <w:rFonts w:cstheme="minorHAnsi"/>
              </w:rPr>
              <w:t>% Population having access to participate in parliamentary processes</w:t>
            </w:r>
          </w:p>
        </w:tc>
        <w:tc>
          <w:tcPr>
            <w:tcW w:w="153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hideMark/>
          </w:tcPr>
          <w:p w:rsidR="00A708ED" w:rsidRPr="00EE32BB" w:rsidRDefault="00EE32BB" w:rsidP="00EE32BB">
            <w:pPr>
              <w:jc w:val="center"/>
              <w:cnfStyle w:val="000000000000"/>
              <w:rPr>
                <w:rFonts w:cstheme="minorHAnsi"/>
                <w:b/>
              </w:rPr>
            </w:pPr>
            <w:r>
              <w:rPr>
                <w:rFonts w:cstheme="minorHAnsi"/>
                <w:b/>
              </w:rPr>
              <w:t>N/A</w:t>
            </w:r>
          </w:p>
        </w:tc>
      </w:tr>
      <w:tr w:rsidR="00A708ED" w:rsidRPr="002D5269" w:rsidTr="00A708ED">
        <w:trPr>
          <w:trHeight w:val="381"/>
          <w:jc w:val="center"/>
        </w:trPr>
        <w:tc>
          <w:tcPr>
            <w:cnfStyle w:val="001000000000"/>
            <w:tcW w:w="1696" w:type="dxa"/>
            <w:vMerge/>
            <w:tcBorders>
              <w:left w:val="single" w:sz="4" w:space="0" w:color="000000"/>
              <w:bottom w:val="single" w:sz="4" w:space="0" w:color="000000"/>
              <w:right w:val="single" w:sz="4" w:space="0" w:color="000000"/>
            </w:tcBorders>
          </w:tcPr>
          <w:p w:rsidR="00A708ED" w:rsidRPr="002D5269" w:rsidRDefault="00A708ED" w:rsidP="00A708ED">
            <w:pPr>
              <w:jc w:val="center"/>
              <w:rPr>
                <w:rFonts w:cstheme="minorHAnsi"/>
              </w:rPr>
            </w:pPr>
          </w:p>
        </w:tc>
        <w:tc>
          <w:tcPr>
            <w:tcW w:w="6237" w:type="dxa"/>
            <w:gridSpan w:val="3"/>
            <w:tcBorders>
              <w:top w:val="single" w:sz="4" w:space="0" w:color="000000"/>
              <w:left w:val="single" w:sz="4" w:space="0" w:color="000000"/>
              <w:bottom w:val="single" w:sz="4" w:space="0" w:color="000000"/>
              <w:right w:val="single" w:sz="4" w:space="0" w:color="000000"/>
            </w:tcBorders>
            <w:noWrap/>
          </w:tcPr>
          <w:p w:rsidR="00A708ED" w:rsidRPr="002D5269" w:rsidRDefault="00A708ED" w:rsidP="00A708ED">
            <w:pPr>
              <w:cnfStyle w:val="000000000000"/>
              <w:rPr>
                <w:rFonts w:cstheme="minorHAnsi"/>
              </w:rPr>
            </w:pPr>
            <w:r w:rsidRPr="002D5269">
              <w:rPr>
                <w:rFonts w:cstheme="minorHAnsi"/>
              </w:rPr>
              <w:t>% Population participating in parliamentary processes</w:t>
            </w:r>
          </w:p>
        </w:tc>
        <w:tc>
          <w:tcPr>
            <w:tcW w:w="153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tcPr>
          <w:p w:rsidR="00A708ED" w:rsidRPr="00EE32BB" w:rsidRDefault="00EE32BB" w:rsidP="00EE32BB">
            <w:pPr>
              <w:jc w:val="center"/>
              <w:cnfStyle w:val="000000000000"/>
              <w:rPr>
                <w:rFonts w:cstheme="minorHAnsi"/>
                <w:b/>
              </w:rPr>
            </w:pPr>
            <w:r>
              <w:rPr>
                <w:rFonts w:cstheme="minorHAnsi"/>
                <w:b/>
              </w:rPr>
              <w:t>N/A</w:t>
            </w:r>
          </w:p>
        </w:tc>
      </w:tr>
      <w:tr w:rsidR="00A708ED" w:rsidRPr="002D5269" w:rsidTr="00A708ED">
        <w:trPr>
          <w:trHeight w:val="393"/>
          <w:jc w:val="center"/>
        </w:trPr>
        <w:tc>
          <w:tcPr>
            <w:cnfStyle w:val="001000000000"/>
            <w:tcW w:w="1696" w:type="dxa"/>
            <w:vMerge w:val="restart"/>
            <w:tcBorders>
              <w:top w:val="single" w:sz="4" w:space="0" w:color="000000"/>
              <w:left w:val="single" w:sz="4" w:space="0" w:color="000000"/>
              <w:right w:val="single" w:sz="4" w:space="0" w:color="000000"/>
            </w:tcBorders>
          </w:tcPr>
          <w:p w:rsidR="00A708ED" w:rsidRPr="002D5269" w:rsidRDefault="00A708ED" w:rsidP="00A708ED">
            <w:pPr>
              <w:jc w:val="center"/>
              <w:rPr>
                <w:rFonts w:cstheme="minorHAnsi"/>
              </w:rPr>
            </w:pPr>
            <w:r>
              <w:rPr>
                <w:rFonts w:cstheme="minorHAnsi"/>
              </w:rPr>
              <w:t>Programme 4</w:t>
            </w:r>
          </w:p>
        </w:tc>
        <w:tc>
          <w:tcPr>
            <w:tcW w:w="6237" w:type="dxa"/>
            <w:gridSpan w:val="3"/>
            <w:tcBorders>
              <w:top w:val="single" w:sz="4" w:space="0" w:color="000000"/>
              <w:left w:val="single" w:sz="4" w:space="0" w:color="000000"/>
              <w:bottom w:val="single" w:sz="4" w:space="0" w:color="000000"/>
              <w:right w:val="single" w:sz="4" w:space="0" w:color="000000"/>
            </w:tcBorders>
            <w:noWrap/>
            <w:hideMark/>
          </w:tcPr>
          <w:p w:rsidR="00A708ED" w:rsidRPr="002D5269" w:rsidRDefault="00A708ED" w:rsidP="00A708ED">
            <w:pPr>
              <w:cnfStyle w:val="000000000000"/>
              <w:rPr>
                <w:rFonts w:cstheme="minorHAnsi"/>
              </w:rPr>
            </w:pPr>
            <w:r w:rsidRPr="002D5269">
              <w:rPr>
                <w:rFonts w:cstheme="minorHAnsi"/>
              </w:rPr>
              <w:t>% of population who are aware of the business of Parliament</w:t>
            </w:r>
          </w:p>
        </w:tc>
        <w:tc>
          <w:tcPr>
            <w:tcW w:w="153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hideMark/>
          </w:tcPr>
          <w:p w:rsidR="00A708ED" w:rsidRPr="00EE32BB" w:rsidRDefault="00EE32BB" w:rsidP="00EE32BB">
            <w:pPr>
              <w:jc w:val="center"/>
              <w:cnfStyle w:val="000000000000"/>
              <w:rPr>
                <w:rFonts w:cstheme="minorHAnsi"/>
                <w:b/>
                <w:color w:val="FF0000"/>
              </w:rPr>
            </w:pPr>
            <w:r>
              <w:rPr>
                <w:rFonts w:cstheme="minorHAnsi"/>
                <w:b/>
              </w:rPr>
              <w:t>N/A</w:t>
            </w:r>
          </w:p>
        </w:tc>
      </w:tr>
      <w:tr w:rsidR="00A708ED" w:rsidRPr="002D5269" w:rsidTr="00A708ED">
        <w:trPr>
          <w:trHeight w:val="398"/>
          <w:jc w:val="center"/>
        </w:trPr>
        <w:tc>
          <w:tcPr>
            <w:cnfStyle w:val="001000000000"/>
            <w:tcW w:w="1696" w:type="dxa"/>
            <w:vMerge/>
            <w:tcBorders>
              <w:left w:val="single" w:sz="4" w:space="0" w:color="000000"/>
              <w:right w:val="single" w:sz="4" w:space="0" w:color="000000"/>
            </w:tcBorders>
          </w:tcPr>
          <w:p w:rsidR="00A708ED" w:rsidRPr="002D5269" w:rsidRDefault="00A708ED" w:rsidP="00A708ED">
            <w:pPr>
              <w:jc w:val="center"/>
              <w:rPr>
                <w:rFonts w:cstheme="minorHAnsi"/>
              </w:rPr>
            </w:pPr>
          </w:p>
        </w:tc>
        <w:tc>
          <w:tcPr>
            <w:tcW w:w="6237" w:type="dxa"/>
            <w:gridSpan w:val="3"/>
            <w:tcBorders>
              <w:top w:val="single" w:sz="4" w:space="0" w:color="000000"/>
              <w:left w:val="single" w:sz="4" w:space="0" w:color="000000"/>
              <w:bottom w:val="single" w:sz="4" w:space="0" w:color="000000"/>
              <w:right w:val="single" w:sz="4" w:space="0" w:color="000000"/>
            </w:tcBorders>
            <w:hideMark/>
          </w:tcPr>
          <w:p w:rsidR="00A708ED" w:rsidRPr="002D5269" w:rsidRDefault="00A708ED" w:rsidP="00A708ED">
            <w:pPr>
              <w:cnfStyle w:val="000000000000"/>
              <w:rPr>
                <w:rFonts w:cstheme="minorHAnsi"/>
              </w:rPr>
            </w:pPr>
            <w:r w:rsidRPr="002D5269">
              <w:rPr>
                <w:rFonts w:cstheme="minorHAnsi"/>
              </w:rPr>
              <w:t>% of universal access</w:t>
            </w:r>
          </w:p>
        </w:tc>
        <w:tc>
          <w:tcPr>
            <w:tcW w:w="153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hideMark/>
          </w:tcPr>
          <w:p w:rsidR="00A708ED" w:rsidRPr="00EE32BB" w:rsidRDefault="00EE32BB" w:rsidP="00EE32BB">
            <w:pPr>
              <w:jc w:val="center"/>
              <w:cnfStyle w:val="000000000000"/>
              <w:rPr>
                <w:rFonts w:cstheme="minorHAnsi"/>
                <w:b/>
              </w:rPr>
            </w:pPr>
            <w:r>
              <w:rPr>
                <w:rFonts w:cstheme="minorHAnsi"/>
                <w:b/>
              </w:rPr>
              <w:t>N/A</w:t>
            </w:r>
          </w:p>
        </w:tc>
      </w:tr>
      <w:tr w:rsidR="00A708ED" w:rsidRPr="002D5269" w:rsidTr="00A708ED">
        <w:trPr>
          <w:trHeight w:val="403"/>
          <w:jc w:val="center"/>
        </w:trPr>
        <w:tc>
          <w:tcPr>
            <w:cnfStyle w:val="001000000000"/>
            <w:tcW w:w="1696" w:type="dxa"/>
            <w:vMerge/>
            <w:tcBorders>
              <w:left w:val="single" w:sz="4" w:space="0" w:color="000000"/>
              <w:right w:val="single" w:sz="4" w:space="0" w:color="000000"/>
            </w:tcBorders>
          </w:tcPr>
          <w:p w:rsidR="00A708ED" w:rsidRPr="002D5269" w:rsidRDefault="00A708ED" w:rsidP="00A708ED">
            <w:pPr>
              <w:jc w:val="center"/>
              <w:rPr>
                <w:rFonts w:cstheme="minorHAnsi"/>
              </w:rPr>
            </w:pPr>
          </w:p>
        </w:tc>
        <w:tc>
          <w:tcPr>
            <w:tcW w:w="6237" w:type="dxa"/>
            <w:gridSpan w:val="3"/>
            <w:tcBorders>
              <w:top w:val="single" w:sz="4" w:space="0" w:color="000000"/>
              <w:left w:val="single" w:sz="4" w:space="0" w:color="000000"/>
              <w:bottom w:val="single" w:sz="4" w:space="0" w:color="000000"/>
              <w:right w:val="single" w:sz="4" w:space="0" w:color="000000"/>
            </w:tcBorders>
            <w:noWrap/>
            <w:hideMark/>
          </w:tcPr>
          <w:p w:rsidR="00A708ED" w:rsidRPr="002D5269" w:rsidRDefault="00A708ED" w:rsidP="00A708ED">
            <w:pPr>
              <w:cnfStyle w:val="000000000000"/>
              <w:rPr>
                <w:rFonts w:cstheme="minorHAnsi"/>
              </w:rPr>
            </w:pPr>
            <w:r w:rsidRPr="002D5269">
              <w:rPr>
                <w:rFonts w:cstheme="minorHAnsi"/>
              </w:rPr>
              <w:t>Client satisfaction level (% clients satisfied with service levels)</w:t>
            </w:r>
          </w:p>
        </w:tc>
        <w:tc>
          <w:tcPr>
            <w:tcW w:w="153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hideMark/>
          </w:tcPr>
          <w:p w:rsidR="00A708ED" w:rsidRPr="00EE32BB" w:rsidRDefault="00EE32BB" w:rsidP="00EE32BB">
            <w:pPr>
              <w:jc w:val="center"/>
              <w:cnfStyle w:val="000000000000"/>
              <w:rPr>
                <w:rFonts w:cstheme="minorHAnsi"/>
                <w:b/>
              </w:rPr>
            </w:pPr>
            <w:r>
              <w:rPr>
                <w:rFonts w:cstheme="minorHAnsi"/>
                <w:b/>
              </w:rPr>
              <w:t>N/A</w:t>
            </w:r>
          </w:p>
        </w:tc>
      </w:tr>
      <w:tr w:rsidR="00A708ED" w:rsidRPr="002D5269" w:rsidTr="00A708ED">
        <w:trPr>
          <w:trHeight w:val="369"/>
          <w:jc w:val="center"/>
        </w:trPr>
        <w:tc>
          <w:tcPr>
            <w:cnfStyle w:val="001000000000"/>
            <w:tcW w:w="1696" w:type="dxa"/>
            <w:vMerge/>
            <w:tcBorders>
              <w:left w:val="single" w:sz="4" w:space="0" w:color="000000"/>
              <w:bottom w:val="single" w:sz="4" w:space="0" w:color="000000"/>
              <w:right w:val="single" w:sz="4" w:space="0" w:color="000000"/>
            </w:tcBorders>
          </w:tcPr>
          <w:p w:rsidR="00A708ED" w:rsidRPr="002D5269" w:rsidRDefault="00A708ED" w:rsidP="00A708ED">
            <w:pPr>
              <w:jc w:val="center"/>
              <w:rPr>
                <w:rFonts w:cstheme="minorHAnsi"/>
              </w:rPr>
            </w:pPr>
          </w:p>
        </w:tc>
        <w:tc>
          <w:tcPr>
            <w:tcW w:w="6237" w:type="dxa"/>
            <w:gridSpan w:val="3"/>
            <w:tcBorders>
              <w:top w:val="single" w:sz="4" w:space="0" w:color="000000"/>
              <w:left w:val="single" w:sz="4" w:space="0" w:color="000000"/>
              <w:bottom w:val="single" w:sz="4" w:space="0" w:color="000000"/>
              <w:right w:val="single" w:sz="4" w:space="0" w:color="000000"/>
            </w:tcBorders>
            <w:noWrap/>
            <w:hideMark/>
          </w:tcPr>
          <w:p w:rsidR="00A708ED" w:rsidRPr="002D5269" w:rsidRDefault="00A708ED" w:rsidP="00A708ED">
            <w:pPr>
              <w:cnfStyle w:val="000000000000"/>
              <w:rPr>
                <w:rFonts w:cstheme="minorHAnsi"/>
              </w:rPr>
            </w:pPr>
            <w:r w:rsidRPr="002D5269">
              <w:rPr>
                <w:rFonts w:cstheme="minorHAnsi"/>
              </w:rPr>
              <w:t>% increase in talent management index</w:t>
            </w:r>
          </w:p>
        </w:tc>
        <w:tc>
          <w:tcPr>
            <w:tcW w:w="153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hideMark/>
          </w:tcPr>
          <w:p w:rsidR="00A708ED" w:rsidRPr="00EE32BB" w:rsidRDefault="00EE32BB" w:rsidP="00EE32BB">
            <w:pPr>
              <w:jc w:val="center"/>
              <w:cnfStyle w:val="000000000000"/>
              <w:rPr>
                <w:rFonts w:cstheme="minorHAnsi"/>
                <w:b/>
              </w:rPr>
            </w:pPr>
            <w:r>
              <w:rPr>
                <w:rFonts w:cstheme="minorHAnsi"/>
                <w:b/>
              </w:rPr>
              <w:t>N/A</w:t>
            </w:r>
          </w:p>
        </w:tc>
      </w:tr>
      <w:tr w:rsidR="00A708ED" w:rsidRPr="002D5269" w:rsidTr="00A708ED">
        <w:trPr>
          <w:trHeight w:val="361"/>
          <w:jc w:val="center"/>
        </w:trPr>
        <w:tc>
          <w:tcPr>
            <w:cnfStyle w:val="001000000000"/>
            <w:tcW w:w="1696" w:type="dxa"/>
            <w:tcBorders>
              <w:top w:val="single" w:sz="4" w:space="0" w:color="000000"/>
              <w:left w:val="single" w:sz="4" w:space="0" w:color="000000"/>
              <w:bottom w:val="single" w:sz="4" w:space="0" w:color="000000"/>
              <w:right w:val="single" w:sz="4" w:space="0" w:color="000000"/>
            </w:tcBorders>
            <w:shd w:val="clear" w:color="auto" w:fill="00B050"/>
          </w:tcPr>
          <w:p w:rsidR="00A708ED" w:rsidRPr="002D5269" w:rsidRDefault="00A708ED" w:rsidP="00A708ED">
            <w:pPr>
              <w:jc w:val="center"/>
              <w:rPr>
                <w:rFonts w:cstheme="minorHAnsi"/>
                <w:color w:val="FFFFFF" w:themeColor="background1"/>
              </w:rPr>
            </w:pPr>
          </w:p>
        </w:tc>
        <w:tc>
          <w:tcPr>
            <w:tcW w:w="3546" w:type="dxa"/>
            <w:tcBorders>
              <w:top w:val="single" w:sz="4" w:space="0" w:color="000000"/>
              <w:left w:val="single" w:sz="4" w:space="0" w:color="000000"/>
              <w:bottom w:val="single" w:sz="4" w:space="0" w:color="000000"/>
              <w:right w:val="single" w:sz="4" w:space="0" w:color="000000"/>
            </w:tcBorders>
            <w:shd w:val="clear" w:color="auto" w:fill="00B050"/>
            <w:noWrap/>
          </w:tcPr>
          <w:p w:rsidR="00A708ED" w:rsidRPr="002D5269" w:rsidRDefault="00A708ED" w:rsidP="00A708ED">
            <w:pPr>
              <w:jc w:val="center"/>
              <w:cnfStyle w:val="000000000000"/>
              <w:rPr>
                <w:rFonts w:cstheme="minorHAnsi"/>
                <w:bCs/>
                <w:color w:val="FFFFFF" w:themeColor="background1"/>
              </w:rPr>
            </w:pPr>
            <w:r w:rsidRPr="002D5269">
              <w:rPr>
                <w:rFonts w:cstheme="minorHAnsi"/>
                <w:color w:val="FFFFFF" w:themeColor="background1"/>
              </w:rPr>
              <w:t>Target Met</w:t>
            </w:r>
          </w:p>
        </w:tc>
        <w:tc>
          <w:tcPr>
            <w:tcW w:w="2368" w:type="dxa"/>
            <w:tcBorders>
              <w:top w:val="single" w:sz="4" w:space="0" w:color="000000"/>
              <w:left w:val="single" w:sz="4" w:space="0" w:color="000000"/>
              <w:bottom w:val="single" w:sz="4" w:space="0" w:color="000000"/>
              <w:right w:val="single" w:sz="4" w:space="0" w:color="000000"/>
            </w:tcBorders>
            <w:shd w:val="clear" w:color="auto" w:fill="FF0000"/>
          </w:tcPr>
          <w:p w:rsidR="00A708ED" w:rsidRPr="002D5269" w:rsidRDefault="00A708ED" w:rsidP="00A708ED">
            <w:pPr>
              <w:jc w:val="center"/>
              <w:cnfStyle w:val="000000000000"/>
              <w:rPr>
                <w:rFonts w:cstheme="minorHAnsi"/>
                <w:b/>
                <w:bCs/>
                <w:color w:val="FFFFFF" w:themeColor="background1"/>
              </w:rPr>
            </w:pPr>
            <w:r w:rsidRPr="002D5269">
              <w:rPr>
                <w:rFonts w:cstheme="minorHAnsi"/>
                <w:b/>
                <w:bCs/>
                <w:color w:val="FFFFFF" w:themeColor="background1"/>
              </w:rPr>
              <w:t>Target Not Met/ Not Reported</w:t>
            </w:r>
          </w:p>
        </w:tc>
        <w:tc>
          <w:tcPr>
            <w:tcW w:w="185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708ED" w:rsidRPr="002D5269" w:rsidRDefault="00A708ED" w:rsidP="00A708ED">
            <w:pPr>
              <w:jc w:val="center"/>
              <w:cnfStyle w:val="000000000000"/>
              <w:rPr>
                <w:rFonts w:cstheme="minorHAnsi"/>
                <w:b/>
                <w:color w:val="FFFFFF" w:themeColor="background1"/>
              </w:rPr>
            </w:pPr>
            <w:r w:rsidRPr="002D5269">
              <w:rPr>
                <w:rFonts w:cstheme="minorHAnsi"/>
                <w:b/>
                <w:bCs/>
                <w:color w:val="FFFFFF" w:themeColor="background1"/>
              </w:rPr>
              <w:t>Annual/No Quarterly Target</w:t>
            </w:r>
          </w:p>
        </w:tc>
      </w:tr>
    </w:tbl>
    <w:p w:rsidR="00A708ED" w:rsidRDefault="00A708ED" w:rsidP="00BB5D1A">
      <w:pPr>
        <w:spacing w:after="0"/>
        <w:rPr>
          <w:rFonts w:ascii="Calibri" w:hAnsi="Calibri" w:cs="Calibri"/>
          <w:sz w:val="24"/>
          <w:szCs w:val="24"/>
        </w:rPr>
      </w:pPr>
    </w:p>
    <w:p w:rsidR="00A708ED" w:rsidRDefault="00A708ED" w:rsidP="00BB5D1A">
      <w:pPr>
        <w:spacing w:after="0"/>
        <w:rPr>
          <w:rFonts w:ascii="Calibri" w:hAnsi="Calibri" w:cs="Calibri"/>
          <w:sz w:val="24"/>
          <w:szCs w:val="24"/>
        </w:rPr>
      </w:pPr>
    </w:p>
    <w:p w:rsidR="00A708ED" w:rsidRDefault="00A708ED" w:rsidP="00BB5D1A">
      <w:pPr>
        <w:spacing w:after="0"/>
        <w:rPr>
          <w:rFonts w:ascii="Calibri" w:hAnsi="Calibri" w:cs="Calibri"/>
          <w:sz w:val="24"/>
          <w:szCs w:val="24"/>
        </w:rPr>
      </w:pPr>
    </w:p>
    <w:p w:rsidR="00A708ED" w:rsidRDefault="00A708ED" w:rsidP="00BB5D1A">
      <w:pPr>
        <w:spacing w:after="0"/>
        <w:rPr>
          <w:rFonts w:ascii="Calibri" w:hAnsi="Calibri" w:cs="Calibri"/>
          <w:sz w:val="24"/>
          <w:szCs w:val="24"/>
        </w:rPr>
      </w:pPr>
    </w:p>
    <w:p w:rsidR="00A708ED" w:rsidRPr="003F1F84" w:rsidRDefault="00A708ED" w:rsidP="00BB5D1A">
      <w:pPr>
        <w:spacing w:after="0"/>
        <w:rPr>
          <w:rFonts w:ascii="Calibri" w:hAnsi="Calibri" w:cs="Calibri"/>
          <w:sz w:val="24"/>
          <w:szCs w:val="24"/>
        </w:rPr>
      </w:pPr>
    </w:p>
    <w:sectPr w:rsidR="00A708ED" w:rsidRPr="003F1F84" w:rsidSect="00401DC8">
      <w:pgSz w:w="11906" w:h="16838"/>
      <w:pgMar w:top="426" w:right="1440" w:bottom="709" w:left="993"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639" w:rsidRDefault="008F7639" w:rsidP="0084778E">
      <w:pPr>
        <w:spacing w:after="0" w:line="240" w:lineRule="auto"/>
      </w:pPr>
      <w:r>
        <w:separator/>
      </w:r>
    </w:p>
  </w:endnote>
  <w:endnote w:type="continuationSeparator" w:id="1">
    <w:p w:rsidR="008F7639" w:rsidRDefault="008F7639" w:rsidP="00847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30631"/>
      <w:docPartObj>
        <w:docPartGallery w:val="Page Numbers (Bottom of Page)"/>
        <w:docPartUnique/>
      </w:docPartObj>
    </w:sdtPr>
    <w:sdtEndPr>
      <w:rPr>
        <w:noProof/>
      </w:rPr>
    </w:sdtEndPr>
    <w:sdtContent>
      <w:p w:rsidR="008B2C35" w:rsidRDefault="00F45733">
        <w:pPr>
          <w:pStyle w:val="Footer"/>
          <w:jc w:val="right"/>
        </w:pPr>
        <w:r>
          <w:fldChar w:fldCharType="begin"/>
        </w:r>
        <w:r w:rsidR="008B2C35">
          <w:instrText xml:space="preserve"> PAGE   \* MERGEFORMAT </w:instrText>
        </w:r>
        <w:r>
          <w:fldChar w:fldCharType="separate"/>
        </w:r>
        <w:r w:rsidR="00515514">
          <w:rPr>
            <w:noProof/>
          </w:rPr>
          <w:t>2</w:t>
        </w:r>
        <w:r>
          <w:rPr>
            <w:noProof/>
          </w:rPr>
          <w:fldChar w:fldCharType="end"/>
        </w:r>
      </w:p>
    </w:sdtContent>
  </w:sdt>
  <w:p w:rsidR="008B2C35" w:rsidRDefault="008B2C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639" w:rsidRDefault="008F7639" w:rsidP="0084778E">
      <w:pPr>
        <w:spacing w:after="0" w:line="240" w:lineRule="auto"/>
      </w:pPr>
      <w:r>
        <w:separator/>
      </w:r>
    </w:p>
  </w:footnote>
  <w:footnote w:type="continuationSeparator" w:id="1">
    <w:p w:rsidR="008F7639" w:rsidRDefault="008F7639" w:rsidP="008477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249CE2"/>
    <w:lvl w:ilvl="0">
      <w:start w:val="1"/>
      <w:numFmt w:val="bullet"/>
      <w:pStyle w:val="ListBullet"/>
      <w:lvlText w:val=""/>
      <w:lvlJc w:val="left"/>
      <w:pPr>
        <w:ind w:left="360" w:hanging="360"/>
      </w:pPr>
      <w:rPr>
        <w:rFonts w:ascii="Symbol" w:hAnsi="Symbol" w:hint="default"/>
        <w:color w:val="AA610D" w:themeColor="accent1" w:themeShade="BF"/>
      </w:rPr>
    </w:lvl>
  </w:abstractNum>
  <w:abstractNum w:abstractNumId="1">
    <w:nsid w:val="05A0097E"/>
    <w:multiLevelType w:val="hybridMultilevel"/>
    <w:tmpl w:val="AFAC0E14"/>
    <w:lvl w:ilvl="0" w:tplc="A07AFDB2">
      <w:start w:val="1"/>
      <w:numFmt w:val="bullet"/>
      <w:lvlText w:val=""/>
      <w:lvlJc w:val="left"/>
      <w:pPr>
        <w:ind w:left="360" w:hanging="360"/>
      </w:pPr>
      <w:rPr>
        <w:rFonts w:ascii="Symbol" w:hAnsi="Symbol" w:hint="default"/>
        <w:color w:val="auto"/>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2A34FC"/>
    <w:multiLevelType w:val="hybridMultilevel"/>
    <w:tmpl w:val="F828D95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221D09"/>
    <w:multiLevelType w:val="hybridMultilevel"/>
    <w:tmpl w:val="3D2AF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BB71B8"/>
    <w:multiLevelType w:val="hybridMultilevel"/>
    <w:tmpl w:val="F20C62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482775B"/>
    <w:multiLevelType w:val="multilevel"/>
    <w:tmpl w:val="509E2E1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52264BC"/>
    <w:multiLevelType w:val="multilevel"/>
    <w:tmpl w:val="8F229324"/>
    <w:lvl w:ilvl="0">
      <w:start w:val="1"/>
      <w:numFmt w:val="decimal"/>
      <w:lvlText w:val="%1"/>
      <w:lvlJc w:val="left"/>
      <w:pPr>
        <w:ind w:left="432" w:hanging="432"/>
      </w:pPr>
    </w:lvl>
    <w:lvl w:ilvl="1">
      <w:start w:val="1"/>
      <w:numFmt w:val="decimal"/>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16FB4833"/>
    <w:multiLevelType w:val="hybridMultilevel"/>
    <w:tmpl w:val="C130EFEC"/>
    <w:lvl w:ilvl="0" w:tplc="A07AFDB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C042AA"/>
    <w:multiLevelType w:val="hybridMultilevel"/>
    <w:tmpl w:val="85B63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0B3ED4"/>
    <w:multiLevelType w:val="hybridMultilevel"/>
    <w:tmpl w:val="360481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26526B5"/>
    <w:multiLevelType w:val="hybridMultilevel"/>
    <w:tmpl w:val="498A94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228C0917"/>
    <w:multiLevelType w:val="hybridMultilevel"/>
    <w:tmpl w:val="D4AE9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A81753"/>
    <w:multiLevelType w:val="hybridMultilevel"/>
    <w:tmpl w:val="E88CC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187328"/>
    <w:multiLevelType w:val="hybridMultilevel"/>
    <w:tmpl w:val="2072F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631B4A"/>
    <w:multiLevelType w:val="hybridMultilevel"/>
    <w:tmpl w:val="497EEB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09207CA"/>
    <w:multiLevelType w:val="hybridMultilevel"/>
    <w:tmpl w:val="25687B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26D2EC3"/>
    <w:multiLevelType w:val="hybridMultilevel"/>
    <w:tmpl w:val="F0FA3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90413"/>
    <w:multiLevelType w:val="hybridMultilevel"/>
    <w:tmpl w:val="06765C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4EA2120"/>
    <w:multiLevelType w:val="hybridMultilevel"/>
    <w:tmpl w:val="F45065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38BF2C0B"/>
    <w:multiLevelType w:val="hybridMultilevel"/>
    <w:tmpl w:val="1BB45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D141DF"/>
    <w:multiLevelType w:val="hybridMultilevel"/>
    <w:tmpl w:val="82CEC1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4286633D"/>
    <w:multiLevelType w:val="hybridMultilevel"/>
    <w:tmpl w:val="31D878A4"/>
    <w:lvl w:ilvl="0" w:tplc="B6C88CC0">
      <w:start w:val="1"/>
      <w:numFmt w:val="lowerLetter"/>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6A3B05"/>
    <w:multiLevelType w:val="hybridMultilevel"/>
    <w:tmpl w:val="F4EC9378"/>
    <w:lvl w:ilvl="0" w:tplc="050C1E62">
      <w:start w:val="5"/>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B9D7DEE"/>
    <w:multiLevelType w:val="hybridMultilevel"/>
    <w:tmpl w:val="B4BA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512B64"/>
    <w:multiLevelType w:val="hybridMultilevel"/>
    <w:tmpl w:val="8CE249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522F2D58"/>
    <w:multiLevelType w:val="hybridMultilevel"/>
    <w:tmpl w:val="AC42DDC8"/>
    <w:lvl w:ilvl="0" w:tplc="E59ACE08">
      <w:start w:val="1"/>
      <w:numFmt w:val="bullet"/>
      <w:lvlText w:val="•"/>
      <w:lvlJc w:val="left"/>
      <w:pPr>
        <w:tabs>
          <w:tab w:val="num" w:pos="720"/>
        </w:tabs>
        <w:ind w:left="720" w:hanging="360"/>
      </w:pPr>
      <w:rPr>
        <w:rFonts w:ascii="Arial" w:hAnsi="Arial" w:hint="default"/>
      </w:rPr>
    </w:lvl>
    <w:lvl w:ilvl="1" w:tplc="B23E8A68" w:tentative="1">
      <w:start w:val="1"/>
      <w:numFmt w:val="bullet"/>
      <w:lvlText w:val="•"/>
      <w:lvlJc w:val="left"/>
      <w:pPr>
        <w:tabs>
          <w:tab w:val="num" w:pos="1440"/>
        </w:tabs>
        <w:ind w:left="1440" w:hanging="360"/>
      </w:pPr>
      <w:rPr>
        <w:rFonts w:ascii="Arial" w:hAnsi="Arial" w:hint="default"/>
      </w:rPr>
    </w:lvl>
    <w:lvl w:ilvl="2" w:tplc="4FDE5A52" w:tentative="1">
      <w:start w:val="1"/>
      <w:numFmt w:val="bullet"/>
      <w:lvlText w:val="•"/>
      <w:lvlJc w:val="left"/>
      <w:pPr>
        <w:tabs>
          <w:tab w:val="num" w:pos="2160"/>
        </w:tabs>
        <w:ind w:left="2160" w:hanging="360"/>
      </w:pPr>
      <w:rPr>
        <w:rFonts w:ascii="Arial" w:hAnsi="Arial" w:hint="default"/>
      </w:rPr>
    </w:lvl>
    <w:lvl w:ilvl="3" w:tplc="8C2C15C4" w:tentative="1">
      <w:start w:val="1"/>
      <w:numFmt w:val="bullet"/>
      <w:lvlText w:val="•"/>
      <w:lvlJc w:val="left"/>
      <w:pPr>
        <w:tabs>
          <w:tab w:val="num" w:pos="2880"/>
        </w:tabs>
        <w:ind w:left="2880" w:hanging="360"/>
      </w:pPr>
      <w:rPr>
        <w:rFonts w:ascii="Arial" w:hAnsi="Arial" w:hint="default"/>
      </w:rPr>
    </w:lvl>
    <w:lvl w:ilvl="4" w:tplc="50485DBE" w:tentative="1">
      <w:start w:val="1"/>
      <w:numFmt w:val="bullet"/>
      <w:lvlText w:val="•"/>
      <w:lvlJc w:val="left"/>
      <w:pPr>
        <w:tabs>
          <w:tab w:val="num" w:pos="3600"/>
        </w:tabs>
        <w:ind w:left="3600" w:hanging="360"/>
      </w:pPr>
      <w:rPr>
        <w:rFonts w:ascii="Arial" w:hAnsi="Arial" w:hint="default"/>
      </w:rPr>
    </w:lvl>
    <w:lvl w:ilvl="5" w:tplc="99840B20" w:tentative="1">
      <w:start w:val="1"/>
      <w:numFmt w:val="bullet"/>
      <w:lvlText w:val="•"/>
      <w:lvlJc w:val="left"/>
      <w:pPr>
        <w:tabs>
          <w:tab w:val="num" w:pos="4320"/>
        </w:tabs>
        <w:ind w:left="4320" w:hanging="360"/>
      </w:pPr>
      <w:rPr>
        <w:rFonts w:ascii="Arial" w:hAnsi="Arial" w:hint="default"/>
      </w:rPr>
    </w:lvl>
    <w:lvl w:ilvl="6" w:tplc="14820644" w:tentative="1">
      <w:start w:val="1"/>
      <w:numFmt w:val="bullet"/>
      <w:lvlText w:val="•"/>
      <w:lvlJc w:val="left"/>
      <w:pPr>
        <w:tabs>
          <w:tab w:val="num" w:pos="5040"/>
        </w:tabs>
        <w:ind w:left="5040" w:hanging="360"/>
      </w:pPr>
      <w:rPr>
        <w:rFonts w:ascii="Arial" w:hAnsi="Arial" w:hint="default"/>
      </w:rPr>
    </w:lvl>
    <w:lvl w:ilvl="7" w:tplc="E2685B96" w:tentative="1">
      <w:start w:val="1"/>
      <w:numFmt w:val="bullet"/>
      <w:lvlText w:val="•"/>
      <w:lvlJc w:val="left"/>
      <w:pPr>
        <w:tabs>
          <w:tab w:val="num" w:pos="5760"/>
        </w:tabs>
        <w:ind w:left="5760" w:hanging="360"/>
      </w:pPr>
      <w:rPr>
        <w:rFonts w:ascii="Arial" w:hAnsi="Arial" w:hint="default"/>
      </w:rPr>
    </w:lvl>
    <w:lvl w:ilvl="8" w:tplc="DE8C4CD0" w:tentative="1">
      <w:start w:val="1"/>
      <w:numFmt w:val="bullet"/>
      <w:lvlText w:val="•"/>
      <w:lvlJc w:val="left"/>
      <w:pPr>
        <w:tabs>
          <w:tab w:val="num" w:pos="6480"/>
        </w:tabs>
        <w:ind w:left="6480" w:hanging="360"/>
      </w:pPr>
      <w:rPr>
        <w:rFonts w:ascii="Arial" w:hAnsi="Arial" w:hint="default"/>
      </w:rPr>
    </w:lvl>
  </w:abstractNum>
  <w:abstractNum w:abstractNumId="26">
    <w:nsid w:val="53A05AD9"/>
    <w:multiLevelType w:val="hybridMultilevel"/>
    <w:tmpl w:val="1536F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2B175F"/>
    <w:multiLevelType w:val="hybridMultilevel"/>
    <w:tmpl w:val="C02E5D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FF531B"/>
    <w:multiLevelType w:val="multilevel"/>
    <w:tmpl w:val="DBF83C7A"/>
    <w:lvl w:ilvl="0">
      <w:start w:val="4"/>
      <w:numFmt w:val="decimal"/>
      <w:lvlText w:val="%1."/>
      <w:lvlJc w:val="left"/>
      <w:pPr>
        <w:ind w:left="448" w:hanging="4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6F71251"/>
    <w:multiLevelType w:val="hybridMultilevel"/>
    <w:tmpl w:val="CEE012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57F404E1"/>
    <w:multiLevelType w:val="hybridMultilevel"/>
    <w:tmpl w:val="BCF0E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D8032FB"/>
    <w:multiLevelType w:val="hybridMultilevel"/>
    <w:tmpl w:val="040EDD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65A5F0D"/>
    <w:multiLevelType w:val="hybridMultilevel"/>
    <w:tmpl w:val="6D585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A31195"/>
    <w:multiLevelType w:val="hybridMultilevel"/>
    <w:tmpl w:val="68BA49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70B93189"/>
    <w:multiLevelType w:val="hybridMultilevel"/>
    <w:tmpl w:val="5382314E"/>
    <w:lvl w:ilvl="0" w:tplc="4C5A7D5A">
      <w:start w:val="26"/>
      <w:numFmt w:val="bullet"/>
      <w:lvlText w:val=""/>
      <w:lvlJc w:val="left"/>
      <w:pPr>
        <w:ind w:left="720" w:hanging="360"/>
      </w:pPr>
      <w:rPr>
        <w:rFonts w:ascii="Symbol" w:eastAsia="Calibri" w:hAnsi="Symbo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6BE2637"/>
    <w:multiLevelType w:val="hybridMultilevel"/>
    <w:tmpl w:val="72CC97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31"/>
  </w:num>
  <w:num w:numId="5">
    <w:abstractNumId w:val="6"/>
  </w:num>
  <w:num w:numId="6">
    <w:abstractNumId w:val="2"/>
  </w:num>
  <w:num w:numId="7">
    <w:abstractNumId w:val="21"/>
  </w:num>
  <w:num w:numId="8">
    <w:abstractNumId w:val="22"/>
  </w:num>
  <w:num w:numId="9">
    <w:abstractNumId w:val="4"/>
  </w:num>
  <w:num w:numId="10">
    <w:abstractNumId w:val="35"/>
  </w:num>
  <w:num w:numId="11">
    <w:abstractNumId w:val="12"/>
  </w:num>
  <w:num w:numId="12">
    <w:abstractNumId w:val="16"/>
  </w:num>
  <w:num w:numId="13">
    <w:abstractNumId w:val="19"/>
  </w:num>
  <w:num w:numId="14">
    <w:abstractNumId w:val="7"/>
  </w:num>
  <w:num w:numId="15">
    <w:abstractNumId w:val="34"/>
  </w:num>
  <w:num w:numId="16">
    <w:abstractNumId w:val="25"/>
  </w:num>
  <w:num w:numId="17">
    <w:abstractNumId w:val="27"/>
  </w:num>
  <w:num w:numId="18">
    <w:abstractNumId w:val="8"/>
  </w:num>
  <w:num w:numId="19">
    <w:abstractNumId w:val="11"/>
  </w:num>
  <w:num w:numId="20">
    <w:abstractNumId w:val="3"/>
  </w:num>
  <w:num w:numId="21">
    <w:abstractNumId w:val="13"/>
  </w:num>
  <w:num w:numId="22">
    <w:abstractNumId w:val="1"/>
  </w:num>
  <w:num w:numId="23">
    <w:abstractNumId w:val="18"/>
  </w:num>
  <w:num w:numId="24">
    <w:abstractNumId w:val="32"/>
  </w:num>
  <w:num w:numId="25">
    <w:abstractNumId w:val="26"/>
  </w:num>
  <w:num w:numId="26">
    <w:abstractNumId w:val="23"/>
  </w:num>
  <w:num w:numId="27">
    <w:abstractNumId w:val="17"/>
  </w:num>
  <w:num w:numId="28">
    <w:abstractNumId w:val="30"/>
  </w:num>
  <w:num w:numId="29">
    <w:abstractNumId w:val="9"/>
  </w:num>
  <w:num w:numId="30">
    <w:abstractNumId w:val="20"/>
  </w:num>
  <w:num w:numId="31">
    <w:abstractNumId w:val="29"/>
  </w:num>
  <w:num w:numId="32">
    <w:abstractNumId w:val="33"/>
  </w:num>
  <w:num w:numId="33">
    <w:abstractNumId w:val="14"/>
  </w:num>
  <w:num w:numId="34">
    <w:abstractNumId w:val="24"/>
  </w:num>
  <w:num w:numId="35">
    <w:abstractNumId w:val="15"/>
  </w:num>
  <w:num w:numId="36">
    <w:abstractNumId w:val="2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84778E"/>
    <w:rsid w:val="00001C9E"/>
    <w:rsid w:val="00005518"/>
    <w:rsid w:val="00024FB7"/>
    <w:rsid w:val="00027CA6"/>
    <w:rsid w:val="000300D9"/>
    <w:rsid w:val="0004348E"/>
    <w:rsid w:val="00045DA6"/>
    <w:rsid w:val="00051DFD"/>
    <w:rsid w:val="00055B83"/>
    <w:rsid w:val="000577BC"/>
    <w:rsid w:val="00062BE2"/>
    <w:rsid w:val="00065BA7"/>
    <w:rsid w:val="00071873"/>
    <w:rsid w:val="0007338F"/>
    <w:rsid w:val="0007685C"/>
    <w:rsid w:val="000825ED"/>
    <w:rsid w:val="00082916"/>
    <w:rsid w:val="00083531"/>
    <w:rsid w:val="00086BBF"/>
    <w:rsid w:val="00086E13"/>
    <w:rsid w:val="00086EFF"/>
    <w:rsid w:val="00087C3B"/>
    <w:rsid w:val="000908EF"/>
    <w:rsid w:val="00090A65"/>
    <w:rsid w:val="0009735F"/>
    <w:rsid w:val="000A0C6C"/>
    <w:rsid w:val="000A13B7"/>
    <w:rsid w:val="000A4592"/>
    <w:rsid w:val="000A583E"/>
    <w:rsid w:val="000B0953"/>
    <w:rsid w:val="000B3E10"/>
    <w:rsid w:val="000C018D"/>
    <w:rsid w:val="000C1528"/>
    <w:rsid w:val="000C7E2E"/>
    <w:rsid w:val="000D27A8"/>
    <w:rsid w:val="000D38B7"/>
    <w:rsid w:val="000D3CB5"/>
    <w:rsid w:val="000E0F7A"/>
    <w:rsid w:val="000E297E"/>
    <w:rsid w:val="000E4CB9"/>
    <w:rsid w:val="000E5E77"/>
    <w:rsid w:val="000F304F"/>
    <w:rsid w:val="001164B6"/>
    <w:rsid w:val="00117174"/>
    <w:rsid w:val="001240ED"/>
    <w:rsid w:val="00126F46"/>
    <w:rsid w:val="00130CB9"/>
    <w:rsid w:val="00143472"/>
    <w:rsid w:val="00151B02"/>
    <w:rsid w:val="001534E5"/>
    <w:rsid w:val="00153B50"/>
    <w:rsid w:val="001609F4"/>
    <w:rsid w:val="0017008F"/>
    <w:rsid w:val="0017009A"/>
    <w:rsid w:val="00171238"/>
    <w:rsid w:val="00171DC7"/>
    <w:rsid w:val="00171FD0"/>
    <w:rsid w:val="0017483A"/>
    <w:rsid w:val="00176D84"/>
    <w:rsid w:val="00180887"/>
    <w:rsid w:val="001821F0"/>
    <w:rsid w:val="00182B54"/>
    <w:rsid w:val="00183D6C"/>
    <w:rsid w:val="0018573D"/>
    <w:rsid w:val="001922AB"/>
    <w:rsid w:val="00194CF7"/>
    <w:rsid w:val="00195048"/>
    <w:rsid w:val="0019574F"/>
    <w:rsid w:val="001A0C73"/>
    <w:rsid w:val="001A2B86"/>
    <w:rsid w:val="001A6E28"/>
    <w:rsid w:val="001B15F6"/>
    <w:rsid w:val="001B2CA0"/>
    <w:rsid w:val="001B312A"/>
    <w:rsid w:val="001C16DA"/>
    <w:rsid w:val="001C31CB"/>
    <w:rsid w:val="001D4D58"/>
    <w:rsid w:val="001D59D3"/>
    <w:rsid w:val="001D6148"/>
    <w:rsid w:val="001D778C"/>
    <w:rsid w:val="001E0DAD"/>
    <w:rsid w:val="001E4867"/>
    <w:rsid w:val="001E4B90"/>
    <w:rsid w:val="001E6C2B"/>
    <w:rsid w:val="001F0043"/>
    <w:rsid w:val="001F2FDC"/>
    <w:rsid w:val="001F4C66"/>
    <w:rsid w:val="001F537C"/>
    <w:rsid w:val="002008C7"/>
    <w:rsid w:val="00206FFF"/>
    <w:rsid w:val="002074E4"/>
    <w:rsid w:val="00216A0E"/>
    <w:rsid w:val="00224CB0"/>
    <w:rsid w:val="002269CF"/>
    <w:rsid w:val="00227B32"/>
    <w:rsid w:val="00235BF8"/>
    <w:rsid w:val="00237109"/>
    <w:rsid w:val="0023759E"/>
    <w:rsid w:val="002404CC"/>
    <w:rsid w:val="0024383C"/>
    <w:rsid w:val="00244677"/>
    <w:rsid w:val="002522C3"/>
    <w:rsid w:val="00253E54"/>
    <w:rsid w:val="0026011F"/>
    <w:rsid w:val="002614BF"/>
    <w:rsid w:val="00261727"/>
    <w:rsid w:val="00262239"/>
    <w:rsid w:val="002626D4"/>
    <w:rsid w:val="002648FC"/>
    <w:rsid w:val="00265655"/>
    <w:rsid w:val="00266F70"/>
    <w:rsid w:val="00271E6B"/>
    <w:rsid w:val="0027417E"/>
    <w:rsid w:val="00276B0A"/>
    <w:rsid w:val="00276CE5"/>
    <w:rsid w:val="00283254"/>
    <w:rsid w:val="0028776C"/>
    <w:rsid w:val="00291271"/>
    <w:rsid w:val="0029226E"/>
    <w:rsid w:val="00292E0B"/>
    <w:rsid w:val="002A08BC"/>
    <w:rsid w:val="002A7A46"/>
    <w:rsid w:val="002A7D2A"/>
    <w:rsid w:val="002B0A4B"/>
    <w:rsid w:val="002B1F4E"/>
    <w:rsid w:val="002B54CE"/>
    <w:rsid w:val="002C1895"/>
    <w:rsid w:val="002C2367"/>
    <w:rsid w:val="002C2A0B"/>
    <w:rsid w:val="002C2CBB"/>
    <w:rsid w:val="002C4C57"/>
    <w:rsid w:val="002C61ED"/>
    <w:rsid w:val="002D3C55"/>
    <w:rsid w:val="002D5269"/>
    <w:rsid w:val="002E1D3A"/>
    <w:rsid w:val="002E2287"/>
    <w:rsid w:val="002F5AB7"/>
    <w:rsid w:val="002F6218"/>
    <w:rsid w:val="00301D95"/>
    <w:rsid w:val="00302D03"/>
    <w:rsid w:val="00305B01"/>
    <w:rsid w:val="003068D2"/>
    <w:rsid w:val="00315F7F"/>
    <w:rsid w:val="00316F86"/>
    <w:rsid w:val="00320DFC"/>
    <w:rsid w:val="00321512"/>
    <w:rsid w:val="00322EB2"/>
    <w:rsid w:val="00325C1E"/>
    <w:rsid w:val="0032731F"/>
    <w:rsid w:val="003309F1"/>
    <w:rsid w:val="00337707"/>
    <w:rsid w:val="00340392"/>
    <w:rsid w:val="0035549B"/>
    <w:rsid w:val="00355F5F"/>
    <w:rsid w:val="003610DC"/>
    <w:rsid w:val="00361B27"/>
    <w:rsid w:val="003676A9"/>
    <w:rsid w:val="00367C48"/>
    <w:rsid w:val="00370C08"/>
    <w:rsid w:val="00380670"/>
    <w:rsid w:val="0038162D"/>
    <w:rsid w:val="00383B8D"/>
    <w:rsid w:val="003849D4"/>
    <w:rsid w:val="00386AB9"/>
    <w:rsid w:val="00390441"/>
    <w:rsid w:val="003911D6"/>
    <w:rsid w:val="00394AE9"/>
    <w:rsid w:val="00396B24"/>
    <w:rsid w:val="003A1E7D"/>
    <w:rsid w:val="003A5153"/>
    <w:rsid w:val="003B096C"/>
    <w:rsid w:val="003B490C"/>
    <w:rsid w:val="003B5E3A"/>
    <w:rsid w:val="003C079E"/>
    <w:rsid w:val="003C42B6"/>
    <w:rsid w:val="003C635A"/>
    <w:rsid w:val="003D28E5"/>
    <w:rsid w:val="003D6AF8"/>
    <w:rsid w:val="003D7025"/>
    <w:rsid w:val="003E03FB"/>
    <w:rsid w:val="003E5610"/>
    <w:rsid w:val="003E6301"/>
    <w:rsid w:val="003F0C5D"/>
    <w:rsid w:val="003F1F84"/>
    <w:rsid w:val="003F2E48"/>
    <w:rsid w:val="003F4E5F"/>
    <w:rsid w:val="003F61E7"/>
    <w:rsid w:val="003F6AAD"/>
    <w:rsid w:val="00401DC8"/>
    <w:rsid w:val="004042FD"/>
    <w:rsid w:val="004070D4"/>
    <w:rsid w:val="004101C7"/>
    <w:rsid w:val="0041231C"/>
    <w:rsid w:val="00412868"/>
    <w:rsid w:val="00412D4B"/>
    <w:rsid w:val="00417BE3"/>
    <w:rsid w:val="00421FBF"/>
    <w:rsid w:val="0042254F"/>
    <w:rsid w:val="00433DA1"/>
    <w:rsid w:val="00433EB7"/>
    <w:rsid w:val="004362F2"/>
    <w:rsid w:val="0044141B"/>
    <w:rsid w:val="0044478B"/>
    <w:rsid w:val="00444BB8"/>
    <w:rsid w:val="004461C2"/>
    <w:rsid w:val="00446F5E"/>
    <w:rsid w:val="00454050"/>
    <w:rsid w:val="00465EE6"/>
    <w:rsid w:val="00467F54"/>
    <w:rsid w:val="0047118E"/>
    <w:rsid w:val="004736CC"/>
    <w:rsid w:val="00476972"/>
    <w:rsid w:val="00482824"/>
    <w:rsid w:val="00486472"/>
    <w:rsid w:val="004937AF"/>
    <w:rsid w:val="004939CC"/>
    <w:rsid w:val="00494407"/>
    <w:rsid w:val="0049502A"/>
    <w:rsid w:val="00496970"/>
    <w:rsid w:val="004969F5"/>
    <w:rsid w:val="004A1C2E"/>
    <w:rsid w:val="004A3280"/>
    <w:rsid w:val="004A3B99"/>
    <w:rsid w:val="004A73B6"/>
    <w:rsid w:val="004A74FC"/>
    <w:rsid w:val="004B125B"/>
    <w:rsid w:val="004B186D"/>
    <w:rsid w:val="004D21B1"/>
    <w:rsid w:val="004D282D"/>
    <w:rsid w:val="004D3167"/>
    <w:rsid w:val="004D5027"/>
    <w:rsid w:val="004F0A9F"/>
    <w:rsid w:val="004F3574"/>
    <w:rsid w:val="0050653A"/>
    <w:rsid w:val="005113B5"/>
    <w:rsid w:val="00515514"/>
    <w:rsid w:val="0051554F"/>
    <w:rsid w:val="00517DCA"/>
    <w:rsid w:val="00526D69"/>
    <w:rsid w:val="0053188C"/>
    <w:rsid w:val="00533AC5"/>
    <w:rsid w:val="00533CF4"/>
    <w:rsid w:val="00540EE6"/>
    <w:rsid w:val="00541390"/>
    <w:rsid w:val="005413CA"/>
    <w:rsid w:val="00542916"/>
    <w:rsid w:val="00542C84"/>
    <w:rsid w:val="005439EA"/>
    <w:rsid w:val="00544CD9"/>
    <w:rsid w:val="0054602D"/>
    <w:rsid w:val="0054732B"/>
    <w:rsid w:val="00547C26"/>
    <w:rsid w:val="00547E63"/>
    <w:rsid w:val="00550CA8"/>
    <w:rsid w:val="005526AC"/>
    <w:rsid w:val="005543F7"/>
    <w:rsid w:val="005611C8"/>
    <w:rsid w:val="005702B8"/>
    <w:rsid w:val="00574C00"/>
    <w:rsid w:val="005763AA"/>
    <w:rsid w:val="0058577B"/>
    <w:rsid w:val="005930DF"/>
    <w:rsid w:val="00593181"/>
    <w:rsid w:val="005A12E8"/>
    <w:rsid w:val="005A1D34"/>
    <w:rsid w:val="005B130E"/>
    <w:rsid w:val="005B1DF7"/>
    <w:rsid w:val="005B1E6E"/>
    <w:rsid w:val="005B6A20"/>
    <w:rsid w:val="005B6F67"/>
    <w:rsid w:val="005C1EEB"/>
    <w:rsid w:val="005C30AD"/>
    <w:rsid w:val="005C3921"/>
    <w:rsid w:val="005C4F06"/>
    <w:rsid w:val="005C572F"/>
    <w:rsid w:val="005C6E90"/>
    <w:rsid w:val="005D09B3"/>
    <w:rsid w:val="005D122C"/>
    <w:rsid w:val="005E122B"/>
    <w:rsid w:val="005E4246"/>
    <w:rsid w:val="005E539F"/>
    <w:rsid w:val="005F0B8B"/>
    <w:rsid w:val="005F57EC"/>
    <w:rsid w:val="00603902"/>
    <w:rsid w:val="00605509"/>
    <w:rsid w:val="00606560"/>
    <w:rsid w:val="00607E0F"/>
    <w:rsid w:val="00610759"/>
    <w:rsid w:val="0061397C"/>
    <w:rsid w:val="006152D3"/>
    <w:rsid w:val="0062259A"/>
    <w:rsid w:val="0062492F"/>
    <w:rsid w:val="00627A6B"/>
    <w:rsid w:val="00631CD6"/>
    <w:rsid w:val="006349E6"/>
    <w:rsid w:val="006367BF"/>
    <w:rsid w:val="006401BF"/>
    <w:rsid w:val="00644340"/>
    <w:rsid w:val="00644501"/>
    <w:rsid w:val="006452D2"/>
    <w:rsid w:val="006474A7"/>
    <w:rsid w:val="00654997"/>
    <w:rsid w:val="0066094C"/>
    <w:rsid w:val="00662E8A"/>
    <w:rsid w:val="00663848"/>
    <w:rsid w:val="00664A95"/>
    <w:rsid w:val="00665265"/>
    <w:rsid w:val="00673D47"/>
    <w:rsid w:val="00674912"/>
    <w:rsid w:val="006758E9"/>
    <w:rsid w:val="00680D25"/>
    <w:rsid w:val="00681C5B"/>
    <w:rsid w:val="006850DA"/>
    <w:rsid w:val="0068525B"/>
    <w:rsid w:val="006A42EC"/>
    <w:rsid w:val="006A6DC7"/>
    <w:rsid w:val="006B1C5F"/>
    <w:rsid w:val="006B45AD"/>
    <w:rsid w:val="006C0AEE"/>
    <w:rsid w:val="006C6AA5"/>
    <w:rsid w:val="006C7B30"/>
    <w:rsid w:val="006D435E"/>
    <w:rsid w:val="006D4F2D"/>
    <w:rsid w:val="006D65D9"/>
    <w:rsid w:val="006E075C"/>
    <w:rsid w:val="006E4B70"/>
    <w:rsid w:val="006E7D8E"/>
    <w:rsid w:val="006F1D63"/>
    <w:rsid w:val="006F4FE4"/>
    <w:rsid w:val="00712AA1"/>
    <w:rsid w:val="00717DDB"/>
    <w:rsid w:val="00722844"/>
    <w:rsid w:val="007254B5"/>
    <w:rsid w:val="00732B03"/>
    <w:rsid w:val="00733C6F"/>
    <w:rsid w:val="00733EFC"/>
    <w:rsid w:val="007367D8"/>
    <w:rsid w:val="007372DD"/>
    <w:rsid w:val="0074136E"/>
    <w:rsid w:val="00747925"/>
    <w:rsid w:val="0075107C"/>
    <w:rsid w:val="00752843"/>
    <w:rsid w:val="00755825"/>
    <w:rsid w:val="00756248"/>
    <w:rsid w:val="00757409"/>
    <w:rsid w:val="00764178"/>
    <w:rsid w:val="00765BD8"/>
    <w:rsid w:val="00767D6F"/>
    <w:rsid w:val="007752E5"/>
    <w:rsid w:val="007760CB"/>
    <w:rsid w:val="00781D3D"/>
    <w:rsid w:val="00792DE4"/>
    <w:rsid w:val="00796069"/>
    <w:rsid w:val="007A0F0C"/>
    <w:rsid w:val="007B2042"/>
    <w:rsid w:val="007B7C83"/>
    <w:rsid w:val="007D2CCA"/>
    <w:rsid w:val="007D79B1"/>
    <w:rsid w:val="007D7C0C"/>
    <w:rsid w:val="007E08A5"/>
    <w:rsid w:val="007E1A86"/>
    <w:rsid w:val="007E26A8"/>
    <w:rsid w:val="007E3337"/>
    <w:rsid w:val="007E7654"/>
    <w:rsid w:val="007E7E98"/>
    <w:rsid w:val="007F13D8"/>
    <w:rsid w:val="007F5D47"/>
    <w:rsid w:val="00805338"/>
    <w:rsid w:val="008100AA"/>
    <w:rsid w:val="00812630"/>
    <w:rsid w:val="0081294C"/>
    <w:rsid w:val="00816864"/>
    <w:rsid w:val="00821736"/>
    <w:rsid w:val="00825527"/>
    <w:rsid w:val="008340AC"/>
    <w:rsid w:val="00834595"/>
    <w:rsid w:val="0083772F"/>
    <w:rsid w:val="00840D68"/>
    <w:rsid w:val="0084374C"/>
    <w:rsid w:val="00847026"/>
    <w:rsid w:val="0084778E"/>
    <w:rsid w:val="00851AC9"/>
    <w:rsid w:val="00854619"/>
    <w:rsid w:val="008628E7"/>
    <w:rsid w:val="00867572"/>
    <w:rsid w:val="008707BF"/>
    <w:rsid w:val="008830DD"/>
    <w:rsid w:val="00891E16"/>
    <w:rsid w:val="00892605"/>
    <w:rsid w:val="008A24BE"/>
    <w:rsid w:val="008A421D"/>
    <w:rsid w:val="008A51D5"/>
    <w:rsid w:val="008B0813"/>
    <w:rsid w:val="008B2C35"/>
    <w:rsid w:val="008B34E2"/>
    <w:rsid w:val="008B5B85"/>
    <w:rsid w:val="008B71C7"/>
    <w:rsid w:val="008C1626"/>
    <w:rsid w:val="008C2F73"/>
    <w:rsid w:val="008C3FA0"/>
    <w:rsid w:val="008C4318"/>
    <w:rsid w:val="008E16DD"/>
    <w:rsid w:val="008E222A"/>
    <w:rsid w:val="008E4410"/>
    <w:rsid w:val="008F7639"/>
    <w:rsid w:val="008F796B"/>
    <w:rsid w:val="009027F1"/>
    <w:rsid w:val="00902AD5"/>
    <w:rsid w:val="00904D72"/>
    <w:rsid w:val="00907E91"/>
    <w:rsid w:val="00910DC7"/>
    <w:rsid w:val="00914538"/>
    <w:rsid w:val="00921C12"/>
    <w:rsid w:val="00926029"/>
    <w:rsid w:val="00926C0D"/>
    <w:rsid w:val="00931C8A"/>
    <w:rsid w:val="00932A70"/>
    <w:rsid w:val="00935E3E"/>
    <w:rsid w:val="00937801"/>
    <w:rsid w:val="0094266D"/>
    <w:rsid w:val="009476F0"/>
    <w:rsid w:val="00950CC6"/>
    <w:rsid w:val="00950EA6"/>
    <w:rsid w:val="00956ED5"/>
    <w:rsid w:val="00960D68"/>
    <w:rsid w:val="00964425"/>
    <w:rsid w:val="009711B9"/>
    <w:rsid w:val="00977502"/>
    <w:rsid w:val="0098257A"/>
    <w:rsid w:val="009842E4"/>
    <w:rsid w:val="00985447"/>
    <w:rsid w:val="00985461"/>
    <w:rsid w:val="00985DAF"/>
    <w:rsid w:val="00986682"/>
    <w:rsid w:val="00990A34"/>
    <w:rsid w:val="009A1E9D"/>
    <w:rsid w:val="009A388B"/>
    <w:rsid w:val="009A5F43"/>
    <w:rsid w:val="009A638E"/>
    <w:rsid w:val="009A7638"/>
    <w:rsid w:val="009C11F4"/>
    <w:rsid w:val="009C1F75"/>
    <w:rsid w:val="009C3971"/>
    <w:rsid w:val="009C41C7"/>
    <w:rsid w:val="009C4CA4"/>
    <w:rsid w:val="009C5317"/>
    <w:rsid w:val="009C76AD"/>
    <w:rsid w:val="009C7CAC"/>
    <w:rsid w:val="009C7EE8"/>
    <w:rsid w:val="009D0835"/>
    <w:rsid w:val="009D15ED"/>
    <w:rsid w:val="009D202D"/>
    <w:rsid w:val="009D40D1"/>
    <w:rsid w:val="009D55A3"/>
    <w:rsid w:val="009D5836"/>
    <w:rsid w:val="009E58D2"/>
    <w:rsid w:val="009E5AD2"/>
    <w:rsid w:val="009E635B"/>
    <w:rsid w:val="009E6AEC"/>
    <w:rsid w:val="009F3B5D"/>
    <w:rsid w:val="009F63A4"/>
    <w:rsid w:val="009F6F91"/>
    <w:rsid w:val="009F71AF"/>
    <w:rsid w:val="009F7FD5"/>
    <w:rsid w:val="00A00758"/>
    <w:rsid w:val="00A015B6"/>
    <w:rsid w:val="00A01726"/>
    <w:rsid w:val="00A0493B"/>
    <w:rsid w:val="00A0505F"/>
    <w:rsid w:val="00A11BB5"/>
    <w:rsid w:val="00A13837"/>
    <w:rsid w:val="00A15DBF"/>
    <w:rsid w:val="00A16DA0"/>
    <w:rsid w:val="00A17638"/>
    <w:rsid w:val="00A21229"/>
    <w:rsid w:val="00A229CE"/>
    <w:rsid w:val="00A317C6"/>
    <w:rsid w:val="00A33CF7"/>
    <w:rsid w:val="00A36168"/>
    <w:rsid w:val="00A40F16"/>
    <w:rsid w:val="00A41125"/>
    <w:rsid w:val="00A4300D"/>
    <w:rsid w:val="00A449EA"/>
    <w:rsid w:val="00A55517"/>
    <w:rsid w:val="00A6273D"/>
    <w:rsid w:val="00A62D10"/>
    <w:rsid w:val="00A63D83"/>
    <w:rsid w:val="00A6464F"/>
    <w:rsid w:val="00A6571E"/>
    <w:rsid w:val="00A65D96"/>
    <w:rsid w:val="00A67052"/>
    <w:rsid w:val="00A67AA8"/>
    <w:rsid w:val="00A7079A"/>
    <w:rsid w:val="00A708ED"/>
    <w:rsid w:val="00A77467"/>
    <w:rsid w:val="00A83538"/>
    <w:rsid w:val="00A83717"/>
    <w:rsid w:val="00A8629F"/>
    <w:rsid w:val="00A865B8"/>
    <w:rsid w:val="00A86AFA"/>
    <w:rsid w:val="00A9078E"/>
    <w:rsid w:val="00A90AE0"/>
    <w:rsid w:val="00A90EEF"/>
    <w:rsid w:val="00A93C73"/>
    <w:rsid w:val="00A93DB4"/>
    <w:rsid w:val="00A96006"/>
    <w:rsid w:val="00AB0D16"/>
    <w:rsid w:val="00AB1194"/>
    <w:rsid w:val="00AB2751"/>
    <w:rsid w:val="00AB5CE3"/>
    <w:rsid w:val="00AB78A0"/>
    <w:rsid w:val="00AB7E89"/>
    <w:rsid w:val="00AC0E01"/>
    <w:rsid w:val="00AC1C9D"/>
    <w:rsid w:val="00AC5DE9"/>
    <w:rsid w:val="00AD1C93"/>
    <w:rsid w:val="00AD2477"/>
    <w:rsid w:val="00AD6BC4"/>
    <w:rsid w:val="00AE0136"/>
    <w:rsid w:val="00AE0DC8"/>
    <w:rsid w:val="00AE49CB"/>
    <w:rsid w:val="00AF153D"/>
    <w:rsid w:val="00AF4211"/>
    <w:rsid w:val="00AF73E4"/>
    <w:rsid w:val="00B028C2"/>
    <w:rsid w:val="00B03D6C"/>
    <w:rsid w:val="00B06439"/>
    <w:rsid w:val="00B11153"/>
    <w:rsid w:val="00B15C05"/>
    <w:rsid w:val="00B169F7"/>
    <w:rsid w:val="00B21FFF"/>
    <w:rsid w:val="00B23938"/>
    <w:rsid w:val="00B260E8"/>
    <w:rsid w:val="00B31110"/>
    <w:rsid w:val="00B34DCE"/>
    <w:rsid w:val="00B37CE9"/>
    <w:rsid w:val="00B415EB"/>
    <w:rsid w:val="00B45EC7"/>
    <w:rsid w:val="00B47E36"/>
    <w:rsid w:val="00B50D68"/>
    <w:rsid w:val="00B55731"/>
    <w:rsid w:val="00B5616B"/>
    <w:rsid w:val="00B57823"/>
    <w:rsid w:val="00B600C7"/>
    <w:rsid w:val="00B64577"/>
    <w:rsid w:val="00B67E2C"/>
    <w:rsid w:val="00B72788"/>
    <w:rsid w:val="00B81133"/>
    <w:rsid w:val="00B81C9F"/>
    <w:rsid w:val="00B845DC"/>
    <w:rsid w:val="00B86DA5"/>
    <w:rsid w:val="00B8769E"/>
    <w:rsid w:val="00B93B8F"/>
    <w:rsid w:val="00B95078"/>
    <w:rsid w:val="00B97987"/>
    <w:rsid w:val="00BA2CD0"/>
    <w:rsid w:val="00BA5B94"/>
    <w:rsid w:val="00BA6F69"/>
    <w:rsid w:val="00BA76A8"/>
    <w:rsid w:val="00BA7FBD"/>
    <w:rsid w:val="00BB1B51"/>
    <w:rsid w:val="00BB5D1A"/>
    <w:rsid w:val="00BB7A32"/>
    <w:rsid w:val="00BB7AC6"/>
    <w:rsid w:val="00BC4131"/>
    <w:rsid w:val="00BC5515"/>
    <w:rsid w:val="00BC617A"/>
    <w:rsid w:val="00BC6785"/>
    <w:rsid w:val="00BC7E21"/>
    <w:rsid w:val="00BD32F6"/>
    <w:rsid w:val="00BD4773"/>
    <w:rsid w:val="00BD4E6F"/>
    <w:rsid w:val="00BD665B"/>
    <w:rsid w:val="00BE1DD1"/>
    <w:rsid w:val="00BE4D41"/>
    <w:rsid w:val="00BE71AE"/>
    <w:rsid w:val="00BF069E"/>
    <w:rsid w:val="00BF1606"/>
    <w:rsid w:val="00BF1712"/>
    <w:rsid w:val="00BF7423"/>
    <w:rsid w:val="00C005C9"/>
    <w:rsid w:val="00C00EDB"/>
    <w:rsid w:val="00C0238C"/>
    <w:rsid w:val="00C03A83"/>
    <w:rsid w:val="00C04D18"/>
    <w:rsid w:val="00C05719"/>
    <w:rsid w:val="00C11BA9"/>
    <w:rsid w:val="00C167E6"/>
    <w:rsid w:val="00C2157E"/>
    <w:rsid w:val="00C24092"/>
    <w:rsid w:val="00C32FAB"/>
    <w:rsid w:val="00C337A2"/>
    <w:rsid w:val="00C33F2F"/>
    <w:rsid w:val="00C3587F"/>
    <w:rsid w:val="00C374A3"/>
    <w:rsid w:val="00C44244"/>
    <w:rsid w:val="00C44618"/>
    <w:rsid w:val="00C451CB"/>
    <w:rsid w:val="00C452B3"/>
    <w:rsid w:val="00C56ED6"/>
    <w:rsid w:val="00C57382"/>
    <w:rsid w:val="00C612D1"/>
    <w:rsid w:val="00C65840"/>
    <w:rsid w:val="00C659AD"/>
    <w:rsid w:val="00C67A70"/>
    <w:rsid w:val="00C67D08"/>
    <w:rsid w:val="00C74D44"/>
    <w:rsid w:val="00C818AF"/>
    <w:rsid w:val="00C84026"/>
    <w:rsid w:val="00C84388"/>
    <w:rsid w:val="00C8505C"/>
    <w:rsid w:val="00C93A34"/>
    <w:rsid w:val="00C93C23"/>
    <w:rsid w:val="00CA5B8F"/>
    <w:rsid w:val="00CB0849"/>
    <w:rsid w:val="00CB0CDD"/>
    <w:rsid w:val="00CB2543"/>
    <w:rsid w:val="00CB3436"/>
    <w:rsid w:val="00CB3FDF"/>
    <w:rsid w:val="00CB531A"/>
    <w:rsid w:val="00CC3815"/>
    <w:rsid w:val="00CC3B01"/>
    <w:rsid w:val="00CC4971"/>
    <w:rsid w:val="00CC56D2"/>
    <w:rsid w:val="00CC72D0"/>
    <w:rsid w:val="00CD2AB1"/>
    <w:rsid w:val="00CD7E09"/>
    <w:rsid w:val="00CE089F"/>
    <w:rsid w:val="00CE546A"/>
    <w:rsid w:val="00CE5F5D"/>
    <w:rsid w:val="00CE7B2D"/>
    <w:rsid w:val="00CF0B56"/>
    <w:rsid w:val="00CF2193"/>
    <w:rsid w:val="00CF4C2D"/>
    <w:rsid w:val="00CF4DA0"/>
    <w:rsid w:val="00CF6D41"/>
    <w:rsid w:val="00D0249A"/>
    <w:rsid w:val="00D052A3"/>
    <w:rsid w:val="00D05326"/>
    <w:rsid w:val="00D05C55"/>
    <w:rsid w:val="00D0682A"/>
    <w:rsid w:val="00D07268"/>
    <w:rsid w:val="00D16FF5"/>
    <w:rsid w:val="00D20792"/>
    <w:rsid w:val="00D27ACD"/>
    <w:rsid w:val="00D36E6D"/>
    <w:rsid w:val="00D40947"/>
    <w:rsid w:val="00D4135F"/>
    <w:rsid w:val="00D4545D"/>
    <w:rsid w:val="00D458D7"/>
    <w:rsid w:val="00D45CD8"/>
    <w:rsid w:val="00D540E2"/>
    <w:rsid w:val="00D64E5C"/>
    <w:rsid w:val="00D662EC"/>
    <w:rsid w:val="00D66678"/>
    <w:rsid w:val="00D72658"/>
    <w:rsid w:val="00D73FE3"/>
    <w:rsid w:val="00D77171"/>
    <w:rsid w:val="00D93C53"/>
    <w:rsid w:val="00D94FAB"/>
    <w:rsid w:val="00D97974"/>
    <w:rsid w:val="00DA2165"/>
    <w:rsid w:val="00DA29DB"/>
    <w:rsid w:val="00DA41B1"/>
    <w:rsid w:val="00DB5522"/>
    <w:rsid w:val="00DB664A"/>
    <w:rsid w:val="00DC17D2"/>
    <w:rsid w:val="00DC3210"/>
    <w:rsid w:val="00DC624A"/>
    <w:rsid w:val="00DC7E94"/>
    <w:rsid w:val="00DD1B89"/>
    <w:rsid w:val="00DD2B25"/>
    <w:rsid w:val="00DD3CE0"/>
    <w:rsid w:val="00DD602D"/>
    <w:rsid w:val="00DF45DD"/>
    <w:rsid w:val="00DF6F0A"/>
    <w:rsid w:val="00DF7DBB"/>
    <w:rsid w:val="00E0156D"/>
    <w:rsid w:val="00E06B22"/>
    <w:rsid w:val="00E07AAE"/>
    <w:rsid w:val="00E07DB8"/>
    <w:rsid w:val="00E10BD4"/>
    <w:rsid w:val="00E20966"/>
    <w:rsid w:val="00E21AC7"/>
    <w:rsid w:val="00E21DD1"/>
    <w:rsid w:val="00E277BC"/>
    <w:rsid w:val="00E33A8A"/>
    <w:rsid w:val="00E4496C"/>
    <w:rsid w:val="00E460C0"/>
    <w:rsid w:val="00E5064E"/>
    <w:rsid w:val="00E55742"/>
    <w:rsid w:val="00E55859"/>
    <w:rsid w:val="00E57434"/>
    <w:rsid w:val="00E61A55"/>
    <w:rsid w:val="00E631D0"/>
    <w:rsid w:val="00E70467"/>
    <w:rsid w:val="00E748A8"/>
    <w:rsid w:val="00E751F7"/>
    <w:rsid w:val="00E77490"/>
    <w:rsid w:val="00E7790D"/>
    <w:rsid w:val="00E85C68"/>
    <w:rsid w:val="00E928EC"/>
    <w:rsid w:val="00E92BD6"/>
    <w:rsid w:val="00E938BC"/>
    <w:rsid w:val="00EA0968"/>
    <w:rsid w:val="00EA0988"/>
    <w:rsid w:val="00EA1742"/>
    <w:rsid w:val="00EA306F"/>
    <w:rsid w:val="00EA3C6E"/>
    <w:rsid w:val="00EA79A4"/>
    <w:rsid w:val="00EB21E5"/>
    <w:rsid w:val="00EB28F0"/>
    <w:rsid w:val="00EB2B74"/>
    <w:rsid w:val="00EC1320"/>
    <w:rsid w:val="00EC347D"/>
    <w:rsid w:val="00EC4885"/>
    <w:rsid w:val="00ED1FE2"/>
    <w:rsid w:val="00ED2CEE"/>
    <w:rsid w:val="00EE02E4"/>
    <w:rsid w:val="00EE05F7"/>
    <w:rsid w:val="00EE32BB"/>
    <w:rsid w:val="00EE760C"/>
    <w:rsid w:val="00EF0340"/>
    <w:rsid w:val="00EF25EC"/>
    <w:rsid w:val="00EF5107"/>
    <w:rsid w:val="00EF598F"/>
    <w:rsid w:val="00F00E9B"/>
    <w:rsid w:val="00F0343C"/>
    <w:rsid w:val="00F049F2"/>
    <w:rsid w:val="00F05FE2"/>
    <w:rsid w:val="00F13049"/>
    <w:rsid w:val="00F20CB1"/>
    <w:rsid w:val="00F222A5"/>
    <w:rsid w:val="00F2337D"/>
    <w:rsid w:val="00F24870"/>
    <w:rsid w:val="00F251F3"/>
    <w:rsid w:val="00F256CF"/>
    <w:rsid w:val="00F26139"/>
    <w:rsid w:val="00F27DC8"/>
    <w:rsid w:val="00F34380"/>
    <w:rsid w:val="00F36363"/>
    <w:rsid w:val="00F36475"/>
    <w:rsid w:val="00F4343D"/>
    <w:rsid w:val="00F45733"/>
    <w:rsid w:val="00F52213"/>
    <w:rsid w:val="00F55009"/>
    <w:rsid w:val="00F675F6"/>
    <w:rsid w:val="00F70BCB"/>
    <w:rsid w:val="00F7133F"/>
    <w:rsid w:val="00F74242"/>
    <w:rsid w:val="00F8301F"/>
    <w:rsid w:val="00F8520C"/>
    <w:rsid w:val="00F93795"/>
    <w:rsid w:val="00FA6475"/>
    <w:rsid w:val="00FA6CA0"/>
    <w:rsid w:val="00FA7A2C"/>
    <w:rsid w:val="00FB2B2D"/>
    <w:rsid w:val="00FB30E8"/>
    <w:rsid w:val="00FB31F5"/>
    <w:rsid w:val="00FB4AA5"/>
    <w:rsid w:val="00FC0582"/>
    <w:rsid w:val="00FC1EF9"/>
    <w:rsid w:val="00FC6451"/>
    <w:rsid w:val="00FD0463"/>
    <w:rsid w:val="00FD38E9"/>
    <w:rsid w:val="00FD3D1A"/>
    <w:rsid w:val="00FD5722"/>
    <w:rsid w:val="00FD5EBE"/>
    <w:rsid w:val="00FD7403"/>
    <w:rsid w:val="00FE39A6"/>
    <w:rsid w:val="00FE3A01"/>
    <w:rsid w:val="00FE62D7"/>
    <w:rsid w:val="00FF0D6B"/>
    <w:rsid w:val="00FF32D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36"/>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33"/>
  </w:style>
  <w:style w:type="paragraph" w:styleId="Heading1">
    <w:name w:val="heading 1"/>
    <w:basedOn w:val="Normal"/>
    <w:next w:val="Normal"/>
    <w:link w:val="Heading1Char"/>
    <w:uiPriority w:val="9"/>
    <w:qFormat/>
    <w:rsid w:val="00EE760C"/>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rPr>
  </w:style>
  <w:style w:type="paragraph" w:styleId="Heading2">
    <w:name w:val="heading 2"/>
    <w:basedOn w:val="Normal"/>
    <w:next w:val="Normal"/>
    <w:link w:val="Heading2Char"/>
    <w:uiPriority w:val="9"/>
    <w:unhideWhenUsed/>
    <w:qFormat/>
    <w:rsid w:val="00EE760C"/>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EE760C"/>
    <w:pPr>
      <w:keepNext/>
      <w:keepLines/>
      <w:numPr>
        <w:ilvl w:val="2"/>
        <w:numId w:val="1"/>
      </w:numPr>
      <w:spacing w:before="200" w:after="0"/>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EE760C"/>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EE760C"/>
    <w:pPr>
      <w:keepNext/>
      <w:keepLines/>
      <w:numPr>
        <w:ilvl w:val="4"/>
        <w:numId w:val="1"/>
      </w:numPr>
      <w:spacing w:before="200" w:after="0"/>
      <w:outlineLvl w:val="4"/>
    </w:pPr>
    <w:rPr>
      <w:rFonts w:asciiTheme="majorHAnsi" w:eastAsiaTheme="majorEastAsia" w:hAnsiTheme="majorHAnsi" w:cstheme="majorBidi"/>
      <w:color w:val="49533D" w:themeColor="text2" w:themeShade="BF"/>
      <w:lang w:val="en-US"/>
    </w:rPr>
  </w:style>
  <w:style w:type="paragraph" w:styleId="Heading6">
    <w:name w:val="heading 6"/>
    <w:basedOn w:val="Normal"/>
    <w:next w:val="Normal"/>
    <w:link w:val="Heading6Char"/>
    <w:uiPriority w:val="9"/>
    <w:unhideWhenUsed/>
    <w:qFormat/>
    <w:rsid w:val="00EE760C"/>
    <w:pPr>
      <w:keepNext/>
      <w:keepLines/>
      <w:numPr>
        <w:ilvl w:val="5"/>
        <w:numId w:val="1"/>
      </w:numPr>
      <w:spacing w:before="200" w:after="0"/>
      <w:outlineLvl w:val="5"/>
    </w:pPr>
    <w:rPr>
      <w:rFonts w:asciiTheme="majorHAnsi" w:eastAsiaTheme="majorEastAsia" w:hAnsiTheme="majorHAnsi" w:cstheme="majorBidi"/>
      <w:i/>
      <w:iCs/>
      <w:color w:val="49533D" w:themeColor="text2" w:themeShade="BF"/>
      <w:lang w:val="en-US"/>
    </w:rPr>
  </w:style>
  <w:style w:type="paragraph" w:styleId="Heading7">
    <w:name w:val="heading 7"/>
    <w:basedOn w:val="Normal"/>
    <w:next w:val="Normal"/>
    <w:link w:val="Heading7Char"/>
    <w:uiPriority w:val="9"/>
    <w:unhideWhenUsed/>
    <w:qFormat/>
    <w:rsid w:val="00EE760C"/>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EE760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EE760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778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4778E"/>
    <w:rPr>
      <w:rFonts w:eastAsiaTheme="minorEastAsia"/>
      <w:lang w:val="en-US"/>
    </w:rPr>
  </w:style>
  <w:style w:type="paragraph" w:styleId="Header">
    <w:name w:val="header"/>
    <w:basedOn w:val="Normal"/>
    <w:link w:val="HeaderChar"/>
    <w:unhideWhenUsed/>
    <w:rsid w:val="0084778E"/>
    <w:pPr>
      <w:tabs>
        <w:tab w:val="center" w:pos="4513"/>
        <w:tab w:val="right" w:pos="9026"/>
      </w:tabs>
      <w:spacing w:after="0" w:line="240" w:lineRule="auto"/>
    </w:pPr>
  </w:style>
  <w:style w:type="character" w:customStyle="1" w:styleId="HeaderChar">
    <w:name w:val="Header Char"/>
    <w:basedOn w:val="DefaultParagraphFont"/>
    <w:link w:val="Header"/>
    <w:rsid w:val="0084778E"/>
  </w:style>
  <w:style w:type="paragraph" w:styleId="Footer">
    <w:name w:val="footer"/>
    <w:basedOn w:val="Normal"/>
    <w:link w:val="FooterChar"/>
    <w:uiPriority w:val="99"/>
    <w:unhideWhenUsed/>
    <w:rsid w:val="00847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78E"/>
  </w:style>
  <w:style w:type="character" w:customStyle="1" w:styleId="Heading1Char">
    <w:name w:val="Heading 1 Char"/>
    <w:basedOn w:val="DefaultParagraphFont"/>
    <w:link w:val="Heading1"/>
    <w:uiPriority w:val="9"/>
    <w:rsid w:val="00EE760C"/>
    <w:rPr>
      <w:rFonts w:asciiTheme="majorHAnsi" w:eastAsiaTheme="majorEastAsia" w:hAnsiTheme="majorHAnsi" w:cstheme="majorBidi"/>
      <w:b/>
      <w:bCs/>
      <w:smallCaps/>
      <w:color w:val="000000" w:themeColor="text1"/>
      <w:sz w:val="36"/>
      <w:szCs w:val="36"/>
      <w:lang w:val="en-US"/>
    </w:rPr>
  </w:style>
  <w:style w:type="character" w:customStyle="1" w:styleId="Heading2Char">
    <w:name w:val="Heading 2 Char"/>
    <w:basedOn w:val="DefaultParagraphFont"/>
    <w:link w:val="Heading2"/>
    <w:uiPriority w:val="9"/>
    <w:rsid w:val="00EE760C"/>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EE760C"/>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EE760C"/>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EE760C"/>
    <w:rPr>
      <w:rFonts w:asciiTheme="majorHAnsi" w:eastAsiaTheme="majorEastAsia" w:hAnsiTheme="majorHAnsi" w:cstheme="majorBidi"/>
      <w:color w:val="49533D" w:themeColor="text2" w:themeShade="BF"/>
      <w:lang w:val="en-US"/>
    </w:rPr>
  </w:style>
  <w:style w:type="character" w:customStyle="1" w:styleId="Heading6Char">
    <w:name w:val="Heading 6 Char"/>
    <w:basedOn w:val="DefaultParagraphFont"/>
    <w:link w:val="Heading6"/>
    <w:uiPriority w:val="9"/>
    <w:rsid w:val="00EE760C"/>
    <w:rPr>
      <w:rFonts w:asciiTheme="majorHAnsi" w:eastAsiaTheme="majorEastAsia" w:hAnsiTheme="majorHAnsi" w:cstheme="majorBidi"/>
      <w:i/>
      <w:iCs/>
      <w:color w:val="49533D" w:themeColor="text2" w:themeShade="BF"/>
      <w:lang w:val="en-US"/>
    </w:rPr>
  </w:style>
  <w:style w:type="character" w:customStyle="1" w:styleId="Heading7Char">
    <w:name w:val="Heading 7 Char"/>
    <w:basedOn w:val="DefaultParagraphFont"/>
    <w:link w:val="Heading7"/>
    <w:uiPriority w:val="9"/>
    <w:rsid w:val="00EE760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EE760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EE760C"/>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aliases w:val="List Paragraph 1,Dot pt,F5 List Paragraph,List Paragraph1,List Paragraph Char Char Char,Indicator Text,Numbered Para 1,Bullet 1,Bullet Points,List Paragraph2,MAIN CONTENT,Normal numbered,Issue Action POC,3,Bullets"/>
    <w:basedOn w:val="Normal"/>
    <w:link w:val="ListParagraphChar"/>
    <w:uiPriority w:val="34"/>
    <w:qFormat/>
    <w:rsid w:val="00EE760C"/>
    <w:pPr>
      <w:spacing w:after="60" w:line="240" w:lineRule="auto"/>
      <w:ind w:left="720"/>
    </w:pPr>
    <w:rPr>
      <w:rFonts w:ascii="Arial" w:eastAsia="Times New Roman" w:hAnsi="Arial" w:cs="Times New Roman"/>
      <w:color w:val="000000"/>
      <w:spacing w:val="6"/>
      <w:sz w:val="18"/>
      <w:szCs w:val="18"/>
      <w:lang w:val="en-GB" w:eastAsia="en-GB"/>
    </w:rPr>
  </w:style>
  <w:style w:type="character" w:customStyle="1" w:styleId="ListParagraphChar">
    <w:name w:val="List Paragraph Char"/>
    <w:aliases w:val="List Paragraph 1 Char,Dot pt Char,F5 List Paragraph Char,List Paragraph1 Char,List Paragraph Char Char Char Char,Indicator Text Char,Numbered Para 1 Char,Bullet 1 Char,Bullet Points Char,List Paragraph2 Char,MAIN CONTENT Char,3 Char"/>
    <w:link w:val="ListParagraph"/>
    <w:uiPriority w:val="34"/>
    <w:locked/>
    <w:rsid w:val="00EE760C"/>
    <w:rPr>
      <w:rFonts w:ascii="Arial" w:eastAsia="Times New Roman" w:hAnsi="Arial" w:cs="Times New Roman"/>
      <w:color w:val="000000"/>
      <w:spacing w:val="6"/>
      <w:sz w:val="18"/>
      <w:szCs w:val="18"/>
      <w:lang w:val="en-GB" w:eastAsia="en-GB"/>
    </w:rPr>
  </w:style>
  <w:style w:type="table" w:customStyle="1" w:styleId="GridTable1LightAccent2">
    <w:name w:val="Grid Table 1 Light Accent 2"/>
    <w:basedOn w:val="TableNormal"/>
    <w:uiPriority w:val="46"/>
    <w:rsid w:val="00EE760C"/>
    <w:pPr>
      <w:spacing w:after="0" w:line="240" w:lineRule="auto"/>
    </w:pPr>
    <w:tblPr>
      <w:tblStyleRowBandSize w:val="1"/>
      <w:tblStyleColBandSize w:val="1"/>
      <w:tblInd w:w="0" w:type="dxa"/>
      <w:tblBorders>
        <w:top w:val="single" w:sz="4" w:space="0" w:color="EAB9A4" w:themeColor="accent2" w:themeTint="66"/>
        <w:left w:val="single" w:sz="4" w:space="0" w:color="EAB9A4" w:themeColor="accent2" w:themeTint="66"/>
        <w:bottom w:val="single" w:sz="4" w:space="0" w:color="EAB9A4" w:themeColor="accent2" w:themeTint="66"/>
        <w:right w:val="single" w:sz="4" w:space="0" w:color="EAB9A4" w:themeColor="accent2" w:themeTint="66"/>
        <w:insideH w:val="single" w:sz="4" w:space="0" w:color="EAB9A4" w:themeColor="accent2" w:themeTint="66"/>
        <w:insideV w:val="single" w:sz="4" w:space="0" w:color="EAB9A4" w:themeColor="accent2" w:themeTint="66"/>
      </w:tblBorders>
      <w:tblCellMar>
        <w:top w:w="0" w:type="dxa"/>
        <w:left w:w="108" w:type="dxa"/>
        <w:bottom w:w="0" w:type="dxa"/>
        <w:right w:w="108" w:type="dxa"/>
      </w:tblCellMar>
    </w:tblPr>
    <w:tblStylePr w:type="firstRow">
      <w:rPr>
        <w:b/>
        <w:bCs/>
      </w:rPr>
      <w:tblPr/>
      <w:tcPr>
        <w:tcBorders>
          <w:bottom w:val="single" w:sz="12" w:space="0" w:color="DF9778" w:themeColor="accent2" w:themeTint="99"/>
        </w:tcBorders>
      </w:tcPr>
    </w:tblStylePr>
    <w:tblStylePr w:type="lastRow">
      <w:rPr>
        <w:b/>
        <w:bCs/>
      </w:rPr>
      <w:tblPr/>
      <w:tcPr>
        <w:tcBorders>
          <w:top w:val="double" w:sz="2" w:space="0" w:color="DF9778" w:themeColor="accent2" w:themeTint="99"/>
        </w:tcBorders>
      </w:tcPr>
    </w:tblStylePr>
    <w:tblStylePr w:type="firstCol">
      <w:rPr>
        <w:b/>
        <w:bCs/>
      </w:rPr>
    </w:tblStylePr>
    <w:tblStylePr w:type="lastCol">
      <w:rPr>
        <w:b/>
        <w:bCs/>
      </w:rPr>
    </w:tblStylePr>
  </w:style>
  <w:style w:type="paragraph" w:customStyle="1" w:styleId="ColorfulList-Accent11">
    <w:name w:val="Colorful List - Accent 11"/>
    <w:basedOn w:val="Normal"/>
    <w:uiPriority w:val="34"/>
    <w:qFormat/>
    <w:rsid w:val="003C42B6"/>
    <w:pPr>
      <w:ind w:left="720"/>
      <w:contextualSpacing/>
    </w:pPr>
    <w:rPr>
      <w:rFonts w:ascii="Calibri" w:eastAsia="Calibri" w:hAnsi="Calibri" w:cs="Times New Roman"/>
    </w:rPr>
  </w:style>
  <w:style w:type="paragraph" w:customStyle="1" w:styleId="Default">
    <w:name w:val="Default"/>
    <w:rsid w:val="003C42B6"/>
    <w:pPr>
      <w:autoSpaceDE w:val="0"/>
      <w:autoSpaceDN w:val="0"/>
      <w:adjustRightInd w:val="0"/>
      <w:spacing w:after="0" w:line="240" w:lineRule="auto"/>
    </w:pPr>
    <w:rPr>
      <w:rFonts w:ascii="Arial" w:eastAsia="Times New Roman" w:hAnsi="Arial" w:cs="Arial"/>
      <w:color w:val="000000"/>
      <w:sz w:val="24"/>
      <w:szCs w:val="24"/>
      <w:lang w:eastAsia="en-ZA"/>
    </w:rPr>
  </w:style>
  <w:style w:type="table" w:customStyle="1" w:styleId="GridTable3Accent2">
    <w:name w:val="Grid Table 3 Accent 2"/>
    <w:basedOn w:val="TableNormal"/>
    <w:uiPriority w:val="48"/>
    <w:rsid w:val="003C42B6"/>
    <w:pPr>
      <w:spacing w:after="0" w:line="240" w:lineRule="auto"/>
    </w:pPr>
    <w:rPr>
      <w:rFonts w:eastAsiaTheme="minorEastAsia"/>
      <w:lang w:val="en-US"/>
    </w:rPr>
    <w:tblPr>
      <w:tblStyleRowBandSize w:val="1"/>
      <w:tblStyleColBandSize w:val="1"/>
      <w:tblInd w:w="0" w:type="dxa"/>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CD1" w:themeFill="accent2" w:themeFillTint="33"/>
      </w:tcPr>
    </w:tblStylePr>
    <w:tblStylePr w:type="band1Horz">
      <w:tblPr/>
      <w:tcPr>
        <w:shd w:val="clear" w:color="auto" w:fill="F4DCD1" w:themeFill="accent2" w:themeFillTint="33"/>
      </w:tcPr>
    </w:tblStylePr>
    <w:tblStylePr w:type="neCell">
      <w:tblPr/>
      <w:tcPr>
        <w:tcBorders>
          <w:bottom w:val="single" w:sz="4" w:space="0" w:color="DF9778" w:themeColor="accent2" w:themeTint="99"/>
        </w:tcBorders>
      </w:tcPr>
    </w:tblStylePr>
    <w:tblStylePr w:type="nwCell">
      <w:tblPr/>
      <w:tcPr>
        <w:tcBorders>
          <w:bottom w:val="single" w:sz="4" w:space="0" w:color="DF9778" w:themeColor="accent2" w:themeTint="99"/>
        </w:tcBorders>
      </w:tcPr>
    </w:tblStylePr>
    <w:tblStylePr w:type="seCell">
      <w:tblPr/>
      <w:tcPr>
        <w:tcBorders>
          <w:top w:val="single" w:sz="4" w:space="0" w:color="DF9778" w:themeColor="accent2" w:themeTint="99"/>
        </w:tcBorders>
      </w:tcPr>
    </w:tblStylePr>
    <w:tblStylePr w:type="swCell">
      <w:tblPr/>
      <w:tcPr>
        <w:tcBorders>
          <w:top w:val="single" w:sz="4" w:space="0" w:color="DF9778" w:themeColor="accent2" w:themeTint="99"/>
        </w:tcBorders>
      </w:tcPr>
    </w:tblStylePr>
  </w:style>
  <w:style w:type="table" w:customStyle="1" w:styleId="GridTable3Accent5">
    <w:name w:val="Grid Table 3 Accent 5"/>
    <w:basedOn w:val="TableNormal"/>
    <w:uiPriority w:val="48"/>
    <w:rsid w:val="003C42B6"/>
    <w:pPr>
      <w:spacing w:after="0" w:line="240" w:lineRule="auto"/>
    </w:pPr>
    <w:tblPr>
      <w:tblStyleRowBandSize w:val="1"/>
      <w:tblStyleColBandSize w:val="1"/>
      <w:tblInd w:w="0" w:type="dxa"/>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5" w:themeFill="accent5" w:themeFillTint="33"/>
      </w:tcPr>
    </w:tblStylePr>
    <w:tblStylePr w:type="band1Horz">
      <w:tblPr/>
      <w:tcPr>
        <w:shd w:val="clear" w:color="auto" w:fill="F2F1E5" w:themeFill="accent5" w:themeFillTint="33"/>
      </w:tcPr>
    </w:tblStylePr>
    <w:tblStylePr w:type="neCell">
      <w:tblPr/>
      <w:tcPr>
        <w:tcBorders>
          <w:bottom w:val="single" w:sz="4" w:space="0" w:color="DAD6B2" w:themeColor="accent5" w:themeTint="99"/>
        </w:tcBorders>
      </w:tcPr>
    </w:tblStylePr>
    <w:tblStylePr w:type="nwCell">
      <w:tblPr/>
      <w:tcPr>
        <w:tcBorders>
          <w:bottom w:val="single" w:sz="4" w:space="0" w:color="DAD6B2" w:themeColor="accent5" w:themeTint="99"/>
        </w:tcBorders>
      </w:tcPr>
    </w:tblStylePr>
    <w:tblStylePr w:type="seCell">
      <w:tblPr/>
      <w:tcPr>
        <w:tcBorders>
          <w:top w:val="single" w:sz="4" w:space="0" w:color="DAD6B2" w:themeColor="accent5" w:themeTint="99"/>
        </w:tcBorders>
      </w:tcPr>
    </w:tblStylePr>
    <w:tblStylePr w:type="swCell">
      <w:tblPr/>
      <w:tcPr>
        <w:tcBorders>
          <w:top w:val="single" w:sz="4" w:space="0" w:color="DAD6B2" w:themeColor="accent5" w:themeTint="99"/>
        </w:tcBorders>
      </w:tcPr>
    </w:tblStylePr>
  </w:style>
  <w:style w:type="paragraph" w:styleId="ListBullet">
    <w:name w:val="List Bullet"/>
    <w:basedOn w:val="Normal"/>
    <w:uiPriority w:val="36"/>
    <w:unhideWhenUsed/>
    <w:rsid w:val="003C42B6"/>
    <w:pPr>
      <w:numPr>
        <w:numId w:val="2"/>
      </w:numPr>
      <w:spacing w:after="0"/>
      <w:contextualSpacing/>
    </w:pPr>
    <w:rPr>
      <w:rFonts w:eastAsiaTheme="minorEastAsia"/>
      <w:lang w:val="en-US"/>
    </w:rPr>
  </w:style>
  <w:style w:type="table" w:customStyle="1" w:styleId="GridTable4Accent2">
    <w:name w:val="Grid Table 4 Accent 2"/>
    <w:basedOn w:val="TableNormal"/>
    <w:uiPriority w:val="49"/>
    <w:rsid w:val="00DB664A"/>
    <w:pPr>
      <w:spacing w:after="0" w:line="240" w:lineRule="auto"/>
    </w:pPr>
    <w:rPr>
      <w:rFonts w:eastAsiaTheme="minorEastAsia"/>
      <w:lang w:val="en-US"/>
    </w:rPr>
    <w:tblPr>
      <w:tblStyleRowBandSize w:val="1"/>
      <w:tblStyleColBandSize w:val="1"/>
      <w:tblInd w:w="0" w:type="dxa"/>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D582C" w:themeColor="accent2"/>
          <w:left w:val="single" w:sz="4" w:space="0" w:color="BD582C" w:themeColor="accent2"/>
          <w:bottom w:val="single" w:sz="4" w:space="0" w:color="BD582C" w:themeColor="accent2"/>
          <w:right w:val="single" w:sz="4" w:space="0" w:color="BD582C" w:themeColor="accent2"/>
          <w:insideH w:val="nil"/>
          <w:insideV w:val="nil"/>
        </w:tcBorders>
        <w:shd w:val="clear" w:color="auto" w:fill="BD582C" w:themeFill="accent2"/>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customStyle="1" w:styleId="GridTable4Accent4">
    <w:name w:val="Grid Table 4 Accent 4"/>
    <w:basedOn w:val="TableNormal"/>
    <w:uiPriority w:val="49"/>
    <w:rsid w:val="00DB664A"/>
    <w:pPr>
      <w:spacing w:after="0" w:line="240" w:lineRule="auto"/>
    </w:pPr>
    <w:tblPr>
      <w:tblStyleRowBandSize w:val="1"/>
      <w:tblStyleColBandSize w:val="1"/>
      <w:tblInd w:w="0" w:type="dxa"/>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8357" w:themeColor="accent4"/>
          <w:left w:val="single" w:sz="4" w:space="0" w:color="9B8357" w:themeColor="accent4"/>
          <w:bottom w:val="single" w:sz="4" w:space="0" w:color="9B8357" w:themeColor="accent4"/>
          <w:right w:val="single" w:sz="4" w:space="0" w:color="9B8357" w:themeColor="accent4"/>
          <w:insideH w:val="nil"/>
          <w:insideV w:val="nil"/>
        </w:tcBorders>
        <w:shd w:val="clear" w:color="auto" w:fill="9B8357" w:themeFill="accent4"/>
      </w:tcPr>
    </w:tblStylePr>
    <w:tblStylePr w:type="lastRow">
      <w:rPr>
        <w:b/>
        <w:bCs/>
      </w:rPr>
      <w:tblPr/>
      <w:tcPr>
        <w:tcBorders>
          <w:top w:val="double" w:sz="4" w:space="0" w:color="9B8357" w:themeColor="accent4"/>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customStyle="1" w:styleId="GridTable4Accent5">
    <w:name w:val="Grid Table 4 Accent 5"/>
    <w:basedOn w:val="TableNormal"/>
    <w:uiPriority w:val="49"/>
    <w:rsid w:val="00DB664A"/>
    <w:pPr>
      <w:spacing w:after="0" w:line="240" w:lineRule="auto"/>
    </w:pPr>
    <w:tblPr>
      <w:tblStyleRowBandSize w:val="1"/>
      <w:tblStyleColBandSize w:val="1"/>
      <w:tblInd w:w="0" w:type="dxa"/>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table" w:customStyle="1" w:styleId="GridTable1Light-Accent21">
    <w:name w:val="Grid Table 1 Light - Accent 21"/>
    <w:basedOn w:val="TableNormal"/>
    <w:next w:val="GridTable1LightAccent2"/>
    <w:uiPriority w:val="46"/>
    <w:rsid w:val="00A62D10"/>
    <w:pPr>
      <w:spacing w:after="0" w:line="240" w:lineRule="auto"/>
    </w:pPr>
    <w:tblPr>
      <w:tblStyleRowBandSize w:val="1"/>
      <w:tblStyleColBandSize w:val="1"/>
      <w:tblInd w:w="0" w:type="dxa"/>
      <w:tblBorders>
        <w:top w:val="single" w:sz="4" w:space="0" w:color="BFE2A8"/>
        <w:left w:val="single" w:sz="4" w:space="0" w:color="BFE2A8"/>
        <w:bottom w:val="single" w:sz="4" w:space="0" w:color="BFE2A8"/>
        <w:right w:val="single" w:sz="4" w:space="0" w:color="BFE2A8"/>
        <w:insideH w:val="single" w:sz="4" w:space="0" w:color="BFE2A8"/>
        <w:insideV w:val="single" w:sz="4" w:space="0" w:color="BFE2A8"/>
      </w:tblBorders>
      <w:tblCellMar>
        <w:top w:w="0" w:type="dxa"/>
        <w:left w:w="108" w:type="dxa"/>
        <w:bottom w:w="0" w:type="dxa"/>
        <w:right w:w="108" w:type="dxa"/>
      </w:tblCellMar>
    </w:tblPr>
    <w:tblStylePr w:type="firstRow">
      <w:rPr>
        <w:b/>
        <w:bCs/>
      </w:rPr>
      <w:tblPr/>
      <w:tcPr>
        <w:tcBorders>
          <w:bottom w:val="single" w:sz="12" w:space="0" w:color="9FD37C"/>
        </w:tcBorders>
      </w:tcPr>
    </w:tblStylePr>
    <w:tblStylePr w:type="lastRow">
      <w:rPr>
        <w:b/>
        <w:bCs/>
      </w:rPr>
      <w:tblPr/>
      <w:tcPr>
        <w:tcBorders>
          <w:top w:val="double" w:sz="2" w:space="0" w:color="9FD37C"/>
        </w:tcBorders>
      </w:tcPr>
    </w:tblStylePr>
    <w:tblStylePr w:type="firstCol">
      <w:rPr>
        <w:b/>
        <w:bCs/>
      </w:rPr>
    </w:tblStylePr>
    <w:tblStylePr w:type="lastCol">
      <w:rPr>
        <w:b/>
        <w:bCs/>
      </w:rPr>
    </w:tblStylePr>
  </w:style>
  <w:style w:type="table" w:customStyle="1" w:styleId="GridTable5DarkAccent5">
    <w:name w:val="Grid Table 5 Dark Accent 5"/>
    <w:basedOn w:val="TableNormal"/>
    <w:uiPriority w:val="50"/>
    <w:rsid w:val="0067491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1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BC8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BC8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BC8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BC80" w:themeFill="accent5"/>
      </w:tcPr>
    </w:tblStylePr>
    <w:tblStylePr w:type="band1Vert">
      <w:tblPr/>
      <w:tcPr>
        <w:shd w:val="clear" w:color="auto" w:fill="E6E4CC" w:themeFill="accent5" w:themeFillTint="66"/>
      </w:tcPr>
    </w:tblStylePr>
    <w:tblStylePr w:type="band1Horz">
      <w:tblPr/>
      <w:tcPr>
        <w:shd w:val="clear" w:color="auto" w:fill="E6E4CC" w:themeFill="accent5" w:themeFillTint="66"/>
      </w:tcPr>
    </w:tblStylePr>
  </w:style>
  <w:style w:type="paragraph" w:styleId="TOCHeading">
    <w:name w:val="TOC Heading"/>
    <w:basedOn w:val="Heading1"/>
    <w:next w:val="Normal"/>
    <w:uiPriority w:val="39"/>
    <w:unhideWhenUsed/>
    <w:qFormat/>
    <w:rsid w:val="00F256CF"/>
    <w:pPr>
      <w:numPr>
        <w:numId w:val="0"/>
      </w:numPr>
      <w:pBdr>
        <w:bottom w:val="none" w:sz="0" w:space="0" w:color="auto"/>
      </w:pBdr>
      <w:spacing w:before="240" w:after="0"/>
      <w:outlineLvl w:val="9"/>
    </w:pPr>
    <w:rPr>
      <w:b w:val="0"/>
      <w:bCs w:val="0"/>
      <w:smallCaps w:val="0"/>
      <w:color w:val="AA610D" w:themeColor="accent1" w:themeShade="BF"/>
      <w:sz w:val="32"/>
      <w:szCs w:val="32"/>
    </w:rPr>
  </w:style>
  <w:style w:type="paragraph" w:styleId="TOC1">
    <w:name w:val="toc 1"/>
    <w:basedOn w:val="Normal"/>
    <w:next w:val="Normal"/>
    <w:autoRedefine/>
    <w:uiPriority w:val="39"/>
    <w:unhideWhenUsed/>
    <w:rsid w:val="00F256CF"/>
    <w:pPr>
      <w:spacing w:after="100"/>
    </w:pPr>
  </w:style>
  <w:style w:type="paragraph" w:styleId="TOC2">
    <w:name w:val="toc 2"/>
    <w:basedOn w:val="Normal"/>
    <w:next w:val="Normal"/>
    <w:autoRedefine/>
    <w:uiPriority w:val="39"/>
    <w:unhideWhenUsed/>
    <w:rsid w:val="002A08BC"/>
    <w:pPr>
      <w:tabs>
        <w:tab w:val="left" w:pos="660"/>
        <w:tab w:val="right" w:leader="dot" w:pos="9463"/>
      </w:tabs>
      <w:spacing w:after="100"/>
      <w:ind w:left="220"/>
    </w:pPr>
    <w:rPr>
      <w:b/>
      <w:noProof/>
      <w:lang w:eastAsia="en-ZA"/>
    </w:rPr>
  </w:style>
  <w:style w:type="paragraph" w:styleId="TOC3">
    <w:name w:val="toc 3"/>
    <w:basedOn w:val="Normal"/>
    <w:next w:val="Normal"/>
    <w:autoRedefine/>
    <w:uiPriority w:val="39"/>
    <w:unhideWhenUsed/>
    <w:rsid w:val="00F256CF"/>
    <w:pPr>
      <w:spacing w:after="100"/>
      <w:ind w:left="440"/>
    </w:pPr>
  </w:style>
  <w:style w:type="character" w:styleId="Hyperlink">
    <w:name w:val="Hyperlink"/>
    <w:basedOn w:val="DefaultParagraphFont"/>
    <w:uiPriority w:val="99"/>
    <w:unhideWhenUsed/>
    <w:rsid w:val="00F256CF"/>
    <w:rPr>
      <w:color w:val="2998E3" w:themeColor="hyperlink"/>
      <w:u w:val="single"/>
    </w:rPr>
  </w:style>
  <w:style w:type="table" w:styleId="TableGrid">
    <w:name w:val="Table Grid"/>
    <w:basedOn w:val="TableNormal"/>
    <w:uiPriority w:val="39"/>
    <w:rsid w:val="00926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
    <w:name w:val="Grid Table 4 Accent 6"/>
    <w:basedOn w:val="TableNormal"/>
    <w:uiPriority w:val="49"/>
    <w:rsid w:val="00A67AA8"/>
    <w:pPr>
      <w:spacing w:after="0" w:line="240" w:lineRule="auto"/>
    </w:pPr>
    <w:tblPr>
      <w:tblStyleRowBandSize w:val="1"/>
      <w:tblStyleColBandSize w:val="1"/>
      <w:tblInd w:w="0" w:type="dxa"/>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customStyle="1" w:styleId="GridTable6ColorfulAccent6">
    <w:name w:val="Grid Table 6 Colorful Accent 6"/>
    <w:basedOn w:val="TableNormal"/>
    <w:uiPriority w:val="51"/>
    <w:rsid w:val="00A67AA8"/>
    <w:pPr>
      <w:spacing w:after="0" w:line="240" w:lineRule="auto"/>
    </w:pPr>
    <w:rPr>
      <w:color w:val="6E7B62" w:themeColor="accent6" w:themeShade="BF"/>
    </w:rPr>
    <w:tblPr>
      <w:tblStyleRowBandSize w:val="1"/>
      <w:tblStyleColBandSize w:val="1"/>
      <w:tblInd w:w="0" w:type="dxa"/>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CellMar>
        <w:top w:w="0" w:type="dxa"/>
        <w:left w:w="108" w:type="dxa"/>
        <w:bottom w:w="0" w:type="dxa"/>
        <w:right w:w="108" w:type="dxa"/>
      </w:tblCellMar>
    </w:tblPr>
    <w:tblStylePr w:type="firstRow">
      <w:rPr>
        <w:b/>
        <w:bCs/>
      </w:rPr>
      <w:tblPr/>
      <w:tcPr>
        <w:tcBorders>
          <w:bottom w:val="single" w:sz="12" w:space="0" w:color="BEC6B7" w:themeColor="accent6" w:themeTint="99"/>
        </w:tcBorders>
      </w:tcPr>
    </w:tblStylePr>
    <w:tblStylePr w:type="lastRow">
      <w:rPr>
        <w:b/>
        <w:bCs/>
      </w:rPr>
      <w:tblPr/>
      <w:tcPr>
        <w:tcBorders>
          <w:top w:val="doub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customStyle="1" w:styleId="GridTable6ColorfulAccent5">
    <w:name w:val="Grid Table 6 Colorful Accent 5"/>
    <w:basedOn w:val="TableNormal"/>
    <w:uiPriority w:val="51"/>
    <w:rsid w:val="00A67AA8"/>
    <w:pPr>
      <w:spacing w:after="0" w:line="240" w:lineRule="auto"/>
    </w:pPr>
    <w:rPr>
      <w:color w:val="A29A4E" w:themeColor="accent5" w:themeShade="BF"/>
    </w:rPr>
    <w:tblPr>
      <w:tblStyleRowBandSize w:val="1"/>
      <w:tblStyleColBandSize w:val="1"/>
      <w:tblInd w:w="0" w:type="dxa"/>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CellMar>
        <w:top w:w="0" w:type="dxa"/>
        <w:left w:w="108" w:type="dxa"/>
        <w:bottom w:w="0" w:type="dxa"/>
        <w:right w:w="108" w:type="dxa"/>
      </w:tblCellMar>
    </w:tblPr>
    <w:tblStylePr w:type="firstRow">
      <w:rPr>
        <w:b/>
        <w:bCs/>
      </w:rPr>
      <w:tblPr/>
      <w:tcPr>
        <w:tcBorders>
          <w:bottom w:val="single" w:sz="12" w:space="0" w:color="DAD6B2" w:themeColor="accent5" w:themeTint="99"/>
        </w:tcBorders>
      </w:tcPr>
    </w:tblStylePr>
    <w:tblStylePr w:type="lastRow">
      <w:rPr>
        <w:b/>
        <w:bCs/>
      </w:rPr>
      <w:tblPr/>
      <w:tcPr>
        <w:tcBorders>
          <w:top w:val="double" w:sz="4" w:space="0" w:color="DAD6B2" w:themeColor="accent5" w:themeTint="99"/>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paragraph" w:styleId="BalloonText">
    <w:name w:val="Balloon Text"/>
    <w:basedOn w:val="Normal"/>
    <w:link w:val="BalloonTextChar"/>
    <w:uiPriority w:val="99"/>
    <w:semiHidden/>
    <w:unhideWhenUsed/>
    <w:rsid w:val="009D0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835"/>
    <w:rPr>
      <w:rFonts w:ascii="Segoe UI" w:hAnsi="Segoe UI" w:cs="Segoe UI"/>
      <w:sz w:val="18"/>
      <w:szCs w:val="18"/>
    </w:rPr>
  </w:style>
  <w:style w:type="paragraph" w:styleId="NormalWeb">
    <w:name w:val="Normal (Web)"/>
    <w:basedOn w:val="Normal"/>
    <w:uiPriority w:val="99"/>
    <w:semiHidden/>
    <w:unhideWhenUsed/>
    <w:rsid w:val="004B125B"/>
    <w:pPr>
      <w:spacing w:before="100" w:beforeAutospacing="1" w:after="100" w:afterAutospacing="1" w:line="240" w:lineRule="auto"/>
    </w:pPr>
    <w:rPr>
      <w:rFonts w:ascii="Times New Roman" w:eastAsiaTheme="minorEastAsia" w:hAnsi="Times New Roman" w:cs="Times New Roman"/>
      <w:sz w:val="24"/>
      <w:szCs w:val="24"/>
      <w:lang w:eastAsia="en-ZA"/>
    </w:rPr>
  </w:style>
  <w:style w:type="character" w:styleId="CommentReference">
    <w:name w:val="annotation reference"/>
    <w:basedOn w:val="DefaultParagraphFont"/>
    <w:uiPriority w:val="99"/>
    <w:semiHidden/>
    <w:unhideWhenUsed/>
    <w:rsid w:val="00F13049"/>
    <w:rPr>
      <w:sz w:val="16"/>
      <w:szCs w:val="16"/>
    </w:rPr>
  </w:style>
  <w:style w:type="paragraph" w:styleId="CommentText">
    <w:name w:val="annotation text"/>
    <w:basedOn w:val="Normal"/>
    <w:link w:val="CommentTextChar"/>
    <w:uiPriority w:val="99"/>
    <w:semiHidden/>
    <w:unhideWhenUsed/>
    <w:rsid w:val="00F13049"/>
    <w:pPr>
      <w:spacing w:line="240" w:lineRule="auto"/>
    </w:pPr>
    <w:rPr>
      <w:sz w:val="20"/>
      <w:szCs w:val="20"/>
    </w:rPr>
  </w:style>
  <w:style w:type="character" w:customStyle="1" w:styleId="CommentTextChar">
    <w:name w:val="Comment Text Char"/>
    <w:basedOn w:val="DefaultParagraphFont"/>
    <w:link w:val="CommentText"/>
    <w:uiPriority w:val="99"/>
    <w:semiHidden/>
    <w:rsid w:val="00F13049"/>
    <w:rPr>
      <w:sz w:val="20"/>
      <w:szCs w:val="20"/>
    </w:rPr>
  </w:style>
  <w:style w:type="paragraph" w:styleId="CommentSubject">
    <w:name w:val="annotation subject"/>
    <w:basedOn w:val="CommentText"/>
    <w:next w:val="CommentText"/>
    <w:link w:val="CommentSubjectChar"/>
    <w:uiPriority w:val="99"/>
    <w:semiHidden/>
    <w:unhideWhenUsed/>
    <w:rsid w:val="00F13049"/>
    <w:rPr>
      <w:b/>
      <w:bCs/>
    </w:rPr>
  </w:style>
  <w:style w:type="character" w:customStyle="1" w:styleId="CommentSubjectChar">
    <w:name w:val="Comment Subject Char"/>
    <w:basedOn w:val="CommentTextChar"/>
    <w:link w:val="CommentSubject"/>
    <w:uiPriority w:val="99"/>
    <w:semiHidden/>
    <w:rsid w:val="00F13049"/>
    <w:rPr>
      <w:b/>
      <w:bCs/>
      <w:sz w:val="20"/>
      <w:szCs w:val="20"/>
    </w:rPr>
  </w:style>
  <w:style w:type="table" w:customStyle="1" w:styleId="GridTable5DarkAccent6">
    <w:name w:val="Grid Table 5 Dark Accent 6"/>
    <w:basedOn w:val="TableNormal"/>
    <w:uiPriority w:val="50"/>
    <w:rsid w:val="00D4094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EC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 w:type="table" w:customStyle="1" w:styleId="GridTable1LightAccent4">
    <w:name w:val="Grid Table 1 Light Accent 4"/>
    <w:basedOn w:val="TableNormal"/>
    <w:uiPriority w:val="46"/>
    <w:rsid w:val="008C4318"/>
    <w:pPr>
      <w:spacing w:after="0" w:line="240" w:lineRule="auto"/>
    </w:pPr>
    <w:tblPr>
      <w:tblStyleRowBandSize w:val="1"/>
      <w:tblStyleColBandSize w:val="1"/>
      <w:tblInd w:w="0" w:type="dxa"/>
      <w:tblBorders>
        <w:top w:val="single" w:sz="4" w:space="0" w:color="D8CDBA" w:themeColor="accent4" w:themeTint="66"/>
        <w:left w:val="single" w:sz="4" w:space="0" w:color="D8CDBA" w:themeColor="accent4" w:themeTint="66"/>
        <w:bottom w:val="single" w:sz="4" w:space="0" w:color="D8CDBA" w:themeColor="accent4" w:themeTint="66"/>
        <w:right w:val="single" w:sz="4" w:space="0" w:color="D8CDBA" w:themeColor="accent4" w:themeTint="66"/>
        <w:insideH w:val="single" w:sz="4" w:space="0" w:color="D8CDBA" w:themeColor="accent4" w:themeTint="66"/>
        <w:insideV w:val="single" w:sz="4" w:space="0" w:color="D8CDBA" w:themeColor="accent4" w:themeTint="66"/>
      </w:tblBorders>
      <w:tblCellMar>
        <w:top w:w="0" w:type="dxa"/>
        <w:left w:w="108" w:type="dxa"/>
        <w:bottom w:w="0" w:type="dxa"/>
        <w:right w:w="108" w:type="dxa"/>
      </w:tblCellMar>
    </w:tblPr>
    <w:tblStylePr w:type="firstRow">
      <w:rPr>
        <w:b/>
        <w:bCs/>
      </w:rPr>
      <w:tblPr/>
      <w:tcPr>
        <w:tcBorders>
          <w:bottom w:val="single" w:sz="12" w:space="0" w:color="C5B597" w:themeColor="accent4" w:themeTint="99"/>
        </w:tcBorders>
      </w:tcPr>
    </w:tblStylePr>
    <w:tblStylePr w:type="lastRow">
      <w:rPr>
        <w:b/>
        <w:bCs/>
      </w:rPr>
      <w:tblPr/>
      <w:tcPr>
        <w:tcBorders>
          <w:top w:val="double" w:sz="2" w:space="0" w:color="C5B59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01C9E"/>
    <w:pPr>
      <w:spacing w:after="0" w:line="240" w:lineRule="auto"/>
    </w:pPr>
    <w:tblPr>
      <w:tblStyleRowBandSize w:val="1"/>
      <w:tblStyleColBandSize w:val="1"/>
      <w:tblInd w:w="0" w:type="dxa"/>
      <w:tblBorders>
        <w:top w:val="single" w:sz="4" w:space="0" w:color="E6E4CC" w:themeColor="accent5" w:themeTint="66"/>
        <w:left w:val="single" w:sz="4" w:space="0" w:color="E6E4CC" w:themeColor="accent5" w:themeTint="66"/>
        <w:bottom w:val="single" w:sz="4" w:space="0" w:color="E6E4CC" w:themeColor="accent5" w:themeTint="66"/>
        <w:right w:val="single" w:sz="4" w:space="0" w:color="E6E4CC" w:themeColor="accent5" w:themeTint="66"/>
        <w:insideH w:val="single" w:sz="4" w:space="0" w:color="E6E4CC" w:themeColor="accent5" w:themeTint="66"/>
        <w:insideV w:val="single" w:sz="4" w:space="0" w:color="E6E4CC" w:themeColor="accent5" w:themeTint="66"/>
      </w:tblBorders>
      <w:tblCellMar>
        <w:top w:w="0" w:type="dxa"/>
        <w:left w:w="108" w:type="dxa"/>
        <w:bottom w:w="0" w:type="dxa"/>
        <w:right w:w="108" w:type="dxa"/>
      </w:tblCellMar>
    </w:tblPr>
    <w:tblStylePr w:type="firstRow">
      <w:rPr>
        <w:b/>
        <w:bCs/>
      </w:rPr>
      <w:tblPr/>
      <w:tcPr>
        <w:tcBorders>
          <w:bottom w:val="single" w:sz="12" w:space="0" w:color="DAD6B2" w:themeColor="accent5" w:themeTint="99"/>
        </w:tcBorders>
      </w:tcPr>
    </w:tblStylePr>
    <w:tblStylePr w:type="lastRow">
      <w:rPr>
        <w:b/>
        <w:bCs/>
      </w:rPr>
      <w:tblPr/>
      <w:tcPr>
        <w:tcBorders>
          <w:top w:val="double" w:sz="2" w:space="0" w:color="DAD6B2"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54050"/>
    <w:pPr>
      <w:spacing w:after="0" w:line="240" w:lineRule="auto"/>
    </w:pPr>
    <w:rPr>
      <w:rFonts w:eastAsiaTheme="minorEastAsia"/>
      <w:sz w:val="20"/>
      <w:szCs w:val="20"/>
    </w:rPr>
    <w:tblPr>
      <w:tblStyleRowBandSize w:val="1"/>
      <w:tblStyleColBandSize w:val="1"/>
      <w:tblInd w:w="0" w:type="dxa"/>
      <w:tblBorders>
        <w:top w:val="single" w:sz="4" w:space="0" w:color="D4D9CF" w:themeColor="accent6" w:themeTint="66"/>
        <w:left w:val="single" w:sz="4" w:space="0" w:color="D4D9CF" w:themeColor="accent6" w:themeTint="66"/>
        <w:bottom w:val="single" w:sz="4" w:space="0" w:color="D4D9CF" w:themeColor="accent6" w:themeTint="66"/>
        <w:right w:val="single" w:sz="4" w:space="0" w:color="D4D9CF" w:themeColor="accent6" w:themeTint="66"/>
        <w:insideH w:val="single" w:sz="4" w:space="0" w:color="D4D9CF" w:themeColor="accent6" w:themeTint="66"/>
        <w:insideV w:val="single" w:sz="4" w:space="0" w:color="D4D9CF" w:themeColor="accent6" w:themeTint="66"/>
      </w:tblBorders>
      <w:tblCellMar>
        <w:top w:w="0" w:type="dxa"/>
        <w:left w:w="108" w:type="dxa"/>
        <w:bottom w:w="0" w:type="dxa"/>
        <w:right w:w="108" w:type="dxa"/>
      </w:tblCellMar>
    </w:tblPr>
    <w:tblStylePr w:type="firstRow">
      <w:rPr>
        <w:b/>
        <w:bCs/>
      </w:rPr>
      <w:tblPr/>
      <w:tcPr>
        <w:tcBorders>
          <w:bottom w:val="single" w:sz="12" w:space="0" w:color="BEC6B7" w:themeColor="accent6" w:themeTint="99"/>
        </w:tcBorders>
      </w:tcPr>
    </w:tblStylePr>
    <w:tblStylePr w:type="lastRow">
      <w:rPr>
        <w:b/>
        <w:bCs/>
      </w:rPr>
      <w:tblPr/>
      <w:tcPr>
        <w:tcBorders>
          <w:top w:val="double" w:sz="2" w:space="0" w:color="BEC6B7" w:themeColor="accent6"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37902899">
      <w:bodyDiv w:val="1"/>
      <w:marLeft w:val="0"/>
      <w:marRight w:val="0"/>
      <w:marTop w:val="0"/>
      <w:marBottom w:val="0"/>
      <w:divBdr>
        <w:top w:val="none" w:sz="0" w:space="0" w:color="auto"/>
        <w:left w:val="none" w:sz="0" w:space="0" w:color="auto"/>
        <w:bottom w:val="none" w:sz="0" w:space="0" w:color="auto"/>
        <w:right w:val="none" w:sz="0" w:space="0" w:color="auto"/>
      </w:divBdr>
    </w:div>
    <w:div w:id="138109571">
      <w:bodyDiv w:val="1"/>
      <w:marLeft w:val="0"/>
      <w:marRight w:val="0"/>
      <w:marTop w:val="0"/>
      <w:marBottom w:val="0"/>
      <w:divBdr>
        <w:top w:val="none" w:sz="0" w:space="0" w:color="auto"/>
        <w:left w:val="none" w:sz="0" w:space="0" w:color="auto"/>
        <w:bottom w:val="none" w:sz="0" w:space="0" w:color="auto"/>
        <w:right w:val="none" w:sz="0" w:space="0" w:color="auto"/>
      </w:divBdr>
      <w:divsChild>
        <w:div w:id="582687409">
          <w:marLeft w:val="547"/>
          <w:marRight w:val="0"/>
          <w:marTop w:val="0"/>
          <w:marBottom w:val="0"/>
          <w:divBdr>
            <w:top w:val="none" w:sz="0" w:space="0" w:color="auto"/>
            <w:left w:val="none" w:sz="0" w:space="0" w:color="auto"/>
            <w:bottom w:val="none" w:sz="0" w:space="0" w:color="auto"/>
            <w:right w:val="none" w:sz="0" w:space="0" w:color="auto"/>
          </w:divBdr>
        </w:div>
      </w:divsChild>
    </w:div>
    <w:div w:id="176962909">
      <w:bodyDiv w:val="1"/>
      <w:marLeft w:val="0"/>
      <w:marRight w:val="0"/>
      <w:marTop w:val="0"/>
      <w:marBottom w:val="0"/>
      <w:divBdr>
        <w:top w:val="none" w:sz="0" w:space="0" w:color="auto"/>
        <w:left w:val="none" w:sz="0" w:space="0" w:color="auto"/>
        <w:bottom w:val="none" w:sz="0" w:space="0" w:color="auto"/>
        <w:right w:val="none" w:sz="0" w:space="0" w:color="auto"/>
      </w:divBdr>
    </w:div>
    <w:div w:id="228348937">
      <w:bodyDiv w:val="1"/>
      <w:marLeft w:val="0"/>
      <w:marRight w:val="0"/>
      <w:marTop w:val="0"/>
      <w:marBottom w:val="0"/>
      <w:divBdr>
        <w:top w:val="none" w:sz="0" w:space="0" w:color="auto"/>
        <w:left w:val="none" w:sz="0" w:space="0" w:color="auto"/>
        <w:bottom w:val="none" w:sz="0" w:space="0" w:color="auto"/>
        <w:right w:val="none" w:sz="0" w:space="0" w:color="auto"/>
      </w:divBdr>
    </w:div>
    <w:div w:id="232785758">
      <w:bodyDiv w:val="1"/>
      <w:marLeft w:val="0"/>
      <w:marRight w:val="0"/>
      <w:marTop w:val="0"/>
      <w:marBottom w:val="0"/>
      <w:divBdr>
        <w:top w:val="none" w:sz="0" w:space="0" w:color="auto"/>
        <w:left w:val="none" w:sz="0" w:space="0" w:color="auto"/>
        <w:bottom w:val="none" w:sz="0" w:space="0" w:color="auto"/>
        <w:right w:val="none" w:sz="0" w:space="0" w:color="auto"/>
      </w:divBdr>
      <w:divsChild>
        <w:div w:id="1057363728">
          <w:marLeft w:val="446"/>
          <w:marRight w:val="0"/>
          <w:marTop w:val="120"/>
          <w:marBottom w:val="120"/>
          <w:divBdr>
            <w:top w:val="none" w:sz="0" w:space="0" w:color="auto"/>
            <w:left w:val="none" w:sz="0" w:space="0" w:color="auto"/>
            <w:bottom w:val="none" w:sz="0" w:space="0" w:color="auto"/>
            <w:right w:val="none" w:sz="0" w:space="0" w:color="auto"/>
          </w:divBdr>
        </w:div>
        <w:div w:id="887182354">
          <w:marLeft w:val="446"/>
          <w:marRight w:val="0"/>
          <w:marTop w:val="120"/>
          <w:marBottom w:val="120"/>
          <w:divBdr>
            <w:top w:val="none" w:sz="0" w:space="0" w:color="auto"/>
            <w:left w:val="none" w:sz="0" w:space="0" w:color="auto"/>
            <w:bottom w:val="none" w:sz="0" w:space="0" w:color="auto"/>
            <w:right w:val="none" w:sz="0" w:space="0" w:color="auto"/>
          </w:divBdr>
        </w:div>
        <w:div w:id="2114590004">
          <w:marLeft w:val="446"/>
          <w:marRight w:val="0"/>
          <w:marTop w:val="120"/>
          <w:marBottom w:val="120"/>
          <w:divBdr>
            <w:top w:val="none" w:sz="0" w:space="0" w:color="auto"/>
            <w:left w:val="none" w:sz="0" w:space="0" w:color="auto"/>
            <w:bottom w:val="none" w:sz="0" w:space="0" w:color="auto"/>
            <w:right w:val="none" w:sz="0" w:space="0" w:color="auto"/>
          </w:divBdr>
        </w:div>
        <w:div w:id="21981078">
          <w:marLeft w:val="446"/>
          <w:marRight w:val="0"/>
          <w:marTop w:val="120"/>
          <w:marBottom w:val="120"/>
          <w:divBdr>
            <w:top w:val="none" w:sz="0" w:space="0" w:color="auto"/>
            <w:left w:val="none" w:sz="0" w:space="0" w:color="auto"/>
            <w:bottom w:val="none" w:sz="0" w:space="0" w:color="auto"/>
            <w:right w:val="none" w:sz="0" w:space="0" w:color="auto"/>
          </w:divBdr>
        </w:div>
      </w:divsChild>
    </w:div>
    <w:div w:id="234704071">
      <w:bodyDiv w:val="1"/>
      <w:marLeft w:val="0"/>
      <w:marRight w:val="0"/>
      <w:marTop w:val="0"/>
      <w:marBottom w:val="0"/>
      <w:divBdr>
        <w:top w:val="none" w:sz="0" w:space="0" w:color="auto"/>
        <w:left w:val="none" w:sz="0" w:space="0" w:color="auto"/>
        <w:bottom w:val="none" w:sz="0" w:space="0" w:color="auto"/>
        <w:right w:val="none" w:sz="0" w:space="0" w:color="auto"/>
      </w:divBdr>
      <w:divsChild>
        <w:div w:id="1407875666">
          <w:marLeft w:val="446"/>
          <w:marRight w:val="0"/>
          <w:marTop w:val="120"/>
          <w:marBottom w:val="120"/>
          <w:divBdr>
            <w:top w:val="none" w:sz="0" w:space="0" w:color="auto"/>
            <w:left w:val="none" w:sz="0" w:space="0" w:color="auto"/>
            <w:bottom w:val="none" w:sz="0" w:space="0" w:color="auto"/>
            <w:right w:val="none" w:sz="0" w:space="0" w:color="auto"/>
          </w:divBdr>
        </w:div>
        <w:div w:id="241452754">
          <w:marLeft w:val="446"/>
          <w:marRight w:val="0"/>
          <w:marTop w:val="120"/>
          <w:marBottom w:val="120"/>
          <w:divBdr>
            <w:top w:val="none" w:sz="0" w:space="0" w:color="auto"/>
            <w:left w:val="none" w:sz="0" w:space="0" w:color="auto"/>
            <w:bottom w:val="none" w:sz="0" w:space="0" w:color="auto"/>
            <w:right w:val="none" w:sz="0" w:space="0" w:color="auto"/>
          </w:divBdr>
        </w:div>
      </w:divsChild>
    </w:div>
    <w:div w:id="246308673">
      <w:bodyDiv w:val="1"/>
      <w:marLeft w:val="0"/>
      <w:marRight w:val="0"/>
      <w:marTop w:val="0"/>
      <w:marBottom w:val="0"/>
      <w:divBdr>
        <w:top w:val="none" w:sz="0" w:space="0" w:color="auto"/>
        <w:left w:val="none" w:sz="0" w:space="0" w:color="auto"/>
        <w:bottom w:val="none" w:sz="0" w:space="0" w:color="auto"/>
        <w:right w:val="none" w:sz="0" w:space="0" w:color="auto"/>
      </w:divBdr>
    </w:div>
    <w:div w:id="277880954">
      <w:bodyDiv w:val="1"/>
      <w:marLeft w:val="0"/>
      <w:marRight w:val="0"/>
      <w:marTop w:val="0"/>
      <w:marBottom w:val="0"/>
      <w:divBdr>
        <w:top w:val="none" w:sz="0" w:space="0" w:color="auto"/>
        <w:left w:val="none" w:sz="0" w:space="0" w:color="auto"/>
        <w:bottom w:val="none" w:sz="0" w:space="0" w:color="auto"/>
        <w:right w:val="none" w:sz="0" w:space="0" w:color="auto"/>
      </w:divBdr>
      <w:divsChild>
        <w:div w:id="1381442181">
          <w:marLeft w:val="360"/>
          <w:marRight w:val="0"/>
          <w:marTop w:val="200"/>
          <w:marBottom w:val="0"/>
          <w:divBdr>
            <w:top w:val="none" w:sz="0" w:space="0" w:color="auto"/>
            <w:left w:val="none" w:sz="0" w:space="0" w:color="auto"/>
            <w:bottom w:val="none" w:sz="0" w:space="0" w:color="auto"/>
            <w:right w:val="none" w:sz="0" w:space="0" w:color="auto"/>
          </w:divBdr>
        </w:div>
        <w:div w:id="773477265">
          <w:marLeft w:val="360"/>
          <w:marRight w:val="0"/>
          <w:marTop w:val="200"/>
          <w:marBottom w:val="0"/>
          <w:divBdr>
            <w:top w:val="none" w:sz="0" w:space="0" w:color="auto"/>
            <w:left w:val="none" w:sz="0" w:space="0" w:color="auto"/>
            <w:bottom w:val="none" w:sz="0" w:space="0" w:color="auto"/>
            <w:right w:val="none" w:sz="0" w:space="0" w:color="auto"/>
          </w:divBdr>
        </w:div>
      </w:divsChild>
    </w:div>
    <w:div w:id="281233596">
      <w:bodyDiv w:val="1"/>
      <w:marLeft w:val="0"/>
      <w:marRight w:val="0"/>
      <w:marTop w:val="0"/>
      <w:marBottom w:val="0"/>
      <w:divBdr>
        <w:top w:val="none" w:sz="0" w:space="0" w:color="auto"/>
        <w:left w:val="none" w:sz="0" w:space="0" w:color="auto"/>
        <w:bottom w:val="none" w:sz="0" w:space="0" w:color="auto"/>
        <w:right w:val="none" w:sz="0" w:space="0" w:color="auto"/>
      </w:divBdr>
      <w:divsChild>
        <w:div w:id="660893157">
          <w:marLeft w:val="446"/>
          <w:marRight w:val="0"/>
          <w:marTop w:val="120"/>
          <w:marBottom w:val="120"/>
          <w:divBdr>
            <w:top w:val="none" w:sz="0" w:space="0" w:color="auto"/>
            <w:left w:val="none" w:sz="0" w:space="0" w:color="auto"/>
            <w:bottom w:val="none" w:sz="0" w:space="0" w:color="auto"/>
            <w:right w:val="none" w:sz="0" w:space="0" w:color="auto"/>
          </w:divBdr>
        </w:div>
        <w:div w:id="303436465">
          <w:marLeft w:val="446"/>
          <w:marRight w:val="0"/>
          <w:marTop w:val="120"/>
          <w:marBottom w:val="120"/>
          <w:divBdr>
            <w:top w:val="none" w:sz="0" w:space="0" w:color="auto"/>
            <w:left w:val="none" w:sz="0" w:space="0" w:color="auto"/>
            <w:bottom w:val="none" w:sz="0" w:space="0" w:color="auto"/>
            <w:right w:val="none" w:sz="0" w:space="0" w:color="auto"/>
          </w:divBdr>
        </w:div>
      </w:divsChild>
    </w:div>
    <w:div w:id="377900053">
      <w:bodyDiv w:val="1"/>
      <w:marLeft w:val="0"/>
      <w:marRight w:val="0"/>
      <w:marTop w:val="0"/>
      <w:marBottom w:val="0"/>
      <w:divBdr>
        <w:top w:val="none" w:sz="0" w:space="0" w:color="auto"/>
        <w:left w:val="none" w:sz="0" w:space="0" w:color="auto"/>
        <w:bottom w:val="none" w:sz="0" w:space="0" w:color="auto"/>
        <w:right w:val="none" w:sz="0" w:space="0" w:color="auto"/>
      </w:divBdr>
      <w:divsChild>
        <w:div w:id="1805386436">
          <w:marLeft w:val="446"/>
          <w:marRight w:val="0"/>
          <w:marTop w:val="120"/>
          <w:marBottom w:val="120"/>
          <w:divBdr>
            <w:top w:val="none" w:sz="0" w:space="0" w:color="auto"/>
            <w:left w:val="none" w:sz="0" w:space="0" w:color="auto"/>
            <w:bottom w:val="none" w:sz="0" w:space="0" w:color="auto"/>
            <w:right w:val="none" w:sz="0" w:space="0" w:color="auto"/>
          </w:divBdr>
        </w:div>
        <w:div w:id="1027564103">
          <w:marLeft w:val="446"/>
          <w:marRight w:val="0"/>
          <w:marTop w:val="120"/>
          <w:marBottom w:val="120"/>
          <w:divBdr>
            <w:top w:val="none" w:sz="0" w:space="0" w:color="auto"/>
            <w:left w:val="none" w:sz="0" w:space="0" w:color="auto"/>
            <w:bottom w:val="none" w:sz="0" w:space="0" w:color="auto"/>
            <w:right w:val="none" w:sz="0" w:space="0" w:color="auto"/>
          </w:divBdr>
        </w:div>
        <w:div w:id="200826819">
          <w:marLeft w:val="446"/>
          <w:marRight w:val="0"/>
          <w:marTop w:val="120"/>
          <w:marBottom w:val="120"/>
          <w:divBdr>
            <w:top w:val="none" w:sz="0" w:space="0" w:color="auto"/>
            <w:left w:val="none" w:sz="0" w:space="0" w:color="auto"/>
            <w:bottom w:val="none" w:sz="0" w:space="0" w:color="auto"/>
            <w:right w:val="none" w:sz="0" w:space="0" w:color="auto"/>
          </w:divBdr>
        </w:div>
        <w:div w:id="945120787">
          <w:marLeft w:val="446"/>
          <w:marRight w:val="0"/>
          <w:marTop w:val="120"/>
          <w:marBottom w:val="120"/>
          <w:divBdr>
            <w:top w:val="none" w:sz="0" w:space="0" w:color="auto"/>
            <w:left w:val="none" w:sz="0" w:space="0" w:color="auto"/>
            <w:bottom w:val="none" w:sz="0" w:space="0" w:color="auto"/>
            <w:right w:val="none" w:sz="0" w:space="0" w:color="auto"/>
          </w:divBdr>
        </w:div>
      </w:divsChild>
    </w:div>
    <w:div w:id="409811747">
      <w:bodyDiv w:val="1"/>
      <w:marLeft w:val="0"/>
      <w:marRight w:val="0"/>
      <w:marTop w:val="0"/>
      <w:marBottom w:val="0"/>
      <w:divBdr>
        <w:top w:val="none" w:sz="0" w:space="0" w:color="auto"/>
        <w:left w:val="none" w:sz="0" w:space="0" w:color="auto"/>
        <w:bottom w:val="none" w:sz="0" w:space="0" w:color="auto"/>
        <w:right w:val="none" w:sz="0" w:space="0" w:color="auto"/>
      </w:divBdr>
      <w:divsChild>
        <w:div w:id="314377591">
          <w:marLeft w:val="360"/>
          <w:marRight w:val="0"/>
          <w:marTop w:val="200"/>
          <w:marBottom w:val="0"/>
          <w:divBdr>
            <w:top w:val="none" w:sz="0" w:space="0" w:color="auto"/>
            <w:left w:val="none" w:sz="0" w:space="0" w:color="auto"/>
            <w:bottom w:val="none" w:sz="0" w:space="0" w:color="auto"/>
            <w:right w:val="none" w:sz="0" w:space="0" w:color="auto"/>
          </w:divBdr>
        </w:div>
        <w:div w:id="1333723395">
          <w:marLeft w:val="360"/>
          <w:marRight w:val="0"/>
          <w:marTop w:val="200"/>
          <w:marBottom w:val="0"/>
          <w:divBdr>
            <w:top w:val="none" w:sz="0" w:space="0" w:color="auto"/>
            <w:left w:val="none" w:sz="0" w:space="0" w:color="auto"/>
            <w:bottom w:val="none" w:sz="0" w:space="0" w:color="auto"/>
            <w:right w:val="none" w:sz="0" w:space="0" w:color="auto"/>
          </w:divBdr>
        </w:div>
        <w:div w:id="1281036487">
          <w:marLeft w:val="360"/>
          <w:marRight w:val="0"/>
          <w:marTop w:val="200"/>
          <w:marBottom w:val="0"/>
          <w:divBdr>
            <w:top w:val="none" w:sz="0" w:space="0" w:color="auto"/>
            <w:left w:val="none" w:sz="0" w:space="0" w:color="auto"/>
            <w:bottom w:val="none" w:sz="0" w:space="0" w:color="auto"/>
            <w:right w:val="none" w:sz="0" w:space="0" w:color="auto"/>
          </w:divBdr>
        </w:div>
        <w:div w:id="1272588200">
          <w:marLeft w:val="360"/>
          <w:marRight w:val="0"/>
          <w:marTop w:val="200"/>
          <w:marBottom w:val="0"/>
          <w:divBdr>
            <w:top w:val="none" w:sz="0" w:space="0" w:color="auto"/>
            <w:left w:val="none" w:sz="0" w:space="0" w:color="auto"/>
            <w:bottom w:val="none" w:sz="0" w:space="0" w:color="auto"/>
            <w:right w:val="none" w:sz="0" w:space="0" w:color="auto"/>
          </w:divBdr>
        </w:div>
        <w:div w:id="1242300529">
          <w:marLeft w:val="360"/>
          <w:marRight w:val="0"/>
          <w:marTop w:val="200"/>
          <w:marBottom w:val="0"/>
          <w:divBdr>
            <w:top w:val="none" w:sz="0" w:space="0" w:color="auto"/>
            <w:left w:val="none" w:sz="0" w:space="0" w:color="auto"/>
            <w:bottom w:val="none" w:sz="0" w:space="0" w:color="auto"/>
            <w:right w:val="none" w:sz="0" w:space="0" w:color="auto"/>
          </w:divBdr>
        </w:div>
        <w:div w:id="1618369343">
          <w:marLeft w:val="360"/>
          <w:marRight w:val="0"/>
          <w:marTop w:val="200"/>
          <w:marBottom w:val="0"/>
          <w:divBdr>
            <w:top w:val="none" w:sz="0" w:space="0" w:color="auto"/>
            <w:left w:val="none" w:sz="0" w:space="0" w:color="auto"/>
            <w:bottom w:val="none" w:sz="0" w:space="0" w:color="auto"/>
            <w:right w:val="none" w:sz="0" w:space="0" w:color="auto"/>
          </w:divBdr>
        </w:div>
      </w:divsChild>
    </w:div>
    <w:div w:id="413816544">
      <w:bodyDiv w:val="1"/>
      <w:marLeft w:val="0"/>
      <w:marRight w:val="0"/>
      <w:marTop w:val="0"/>
      <w:marBottom w:val="0"/>
      <w:divBdr>
        <w:top w:val="none" w:sz="0" w:space="0" w:color="auto"/>
        <w:left w:val="none" w:sz="0" w:space="0" w:color="auto"/>
        <w:bottom w:val="none" w:sz="0" w:space="0" w:color="auto"/>
        <w:right w:val="none" w:sz="0" w:space="0" w:color="auto"/>
      </w:divBdr>
    </w:div>
    <w:div w:id="450366902">
      <w:bodyDiv w:val="1"/>
      <w:marLeft w:val="0"/>
      <w:marRight w:val="0"/>
      <w:marTop w:val="0"/>
      <w:marBottom w:val="0"/>
      <w:divBdr>
        <w:top w:val="none" w:sz="0" w:space="0" w:color="auto"/>
        <w:left w:val="none" w:sz="0" w:space="0" w:color="auto"/>
        <w:bottom w:val="none" w:sz="0" w:space="0" w:color="auto"/>
        <w:right w:val="none" w:sz="0" w:space="0" w:color="auto"/>
      </w:divBdr>
    </w:div>
    <w:div w:id="467476959">
      <w:bodyDiv w:val="1"/>
      <w:marLeft w:val="0"/>
      <w:marRight w:val="0"/>
      <w:marTop w:val="0"/>
      <w:marBottom w:val="0"/>
      <w:divBdr>
        <w:top w:val="none" w:sz="0" w:space="0" w:color="auto"/>
        <w:left w:val="none" w:sz="0" w:space="0" w:color="auto"/>
        <w:bottom w:val="none" w:sz="0" w:space="0" w:color="auto"/>
        <w:right w:val="none" w:sz="0" w:space="0" w:color="auto"/>
      </w:divBdr>
      <w:divsChild>
        <w:div w:id="619924084">
          <w:marLeft w:val="446"/>
          <w:marRight w:val="0"/>
          <w:marTop w:val="120"/>
          <w:marBottom w:val="120"/>
          <w:divBdr>
            <w:top w:val="none" w:sz="0" w:space="0" w:color="auto"/>
            <w:left w:val="none" w:sz="0" w:space="0" w:color="auto"/>
            <w:bottom w:val="none" w:sz="0" w:space="0" w:color="auto"/>
            <w:right w:val="none" w:sz="0" w:space="0" w:color="auto"/>
          </w:divBdr>
        </w:div>
        <w:div w:id="1315181509">
          <w:marLeft w:val="446"/>
          <w:marRight w:val="0"/>
          <w:marTop w:val="120"/>
          <w:marBottom w:val="120"/>
          <w:divBdr>
            <w:top w:val="none" w:sz="0" w:space="0" w:color="auto"/>
            <w:left w:val="none" w:sz="0" w:space="0" w:color="auto"/>
            <w:bottom w:val="none" w:sz="0" w:space="0" w:color="auto"/>
            <w:right w:val="none" w:sz="0" w:space="0" w:color="auto"/>
          </w:divBdr>
        </w:div>
        <w:div w:id="1278414242">
          <w:marLeft w:val="446"/>
          <w:marRight w:val="0"/>
          <w:marTop w:val="120"/>
          <w:marBottom w:val="120"/>
          <w:divBdr>
            <w:top w:val="none" w:sz="0" w:space="0" w:color="auto"/>
            <w:left w:val="none" w:sz="0" w:space="0" w:color="auto"/>
            <w:bottom w:val="none" w:sz="0" w:space="0" w:color="auto"/>
            <w:right w:val="none" w:sz="0" w:space="0" w:color="auto"/>
          </w:divBdr>
        </w:div>
      </w:divsChild>
    </w:div>
    <w:div w:id="475420181">
      <w:bodyDiv w:val="1"/>
      <w:marLeft w:val="0"/>
      <w:marRight w:val="0"/>
      <w:marTop w:val="0"/>
      <w:marBottom w:val="0"/>
      <w:divBdr>
        <w:top w:val="none" w:sz="0" w:space="0" w:color="auto"/>
        <w:left w:val="none" w:sz="0" w:space="0" w:color="auto"/>
        <w:bottom w:val="none" w:sz="0" w:space="0" w:color="auto"/>
        <w:right w:val="none" w:sz="0" w:space="0" w:color="auto"/>
      </w:divBdr>
    </w:div>
    <w:div w:id="529339115">
      <w:bodyDiv w:val="1"/>
      <w:marLeft w:val="0"/>
      <w:marRight w:val="0"/>
      <w:marTop w:val="0"/>
      <w:marBottom w:val="0"/>
      <w:divBdr>
        <w:top w:val="none" w:sz="0" w:space="0" w:color="auto"/>
        <w:left w:val="none" w:sz="0" w:space="0" w:color="auto"/>
        <w:bottom w:val="none" w:sz="0" w:space="0" w:color="auto"/>
        <w:right w:val="none" w:sz="0" w:space="0" w:color="auto"/>
      </w:divBdr>
    </w:div>
    <w:div w:id="537090626">
      <w:bodyDiv w:val="1"/>
      <w:marLeft w:val="0"/>
      <w:marRight w:val="0"/>
      <w:marTop w:val="0"/>
      <w:marBottom w:val="0"/>
      <w:divBdr>
        <w:top w:val="none" w:sz="0" w:space="0" w:color="auto"/>
        <w:left w:val="none" w:sz="0" w:space="0" w:color="auto"/>
        <w:bottom w:val="none" w:sz="0" w:space="0" w:color="auto"/>
        <w:right w:val="none" w:sz="0" w:space="0" w:color="auto"/>
      </w:divBdr>
    </w:div>
    <w:div w:id="585501709">
      <w:bodyDiv w:val="1"/>
      <w:marLeft w:val="0"/>
      <w:marRight w:val="0"/>
      <w:marTop w:val="0"/>
      <w:marBottom w:val="0"/>
      <w:divBdr>
        <w:top w:val="none" w:sz="0" w:space="0" w:color="auto"/>
        <w:left w:val="none" w:sz="0" w:space="0" w:color="auto"/>
        <w:bottom w:val="none" w:sz="0" w:space="0" w:color="auto"/>
        <w:right w:val="none" w:sz="0" w:space="0" w:color="auto"/>
      </w:divBdr>
      <w:divsChild>
        <w:div w:id="106511251">
          <w:marLeft w:val="446"/>
          <w:marRight w:val="0"/>
          <w:marTop w:val="0"/>
          <w:marBottom w:val="160"/>
          <w:divBdr>
            <w:top w:val="none" w:sz="0" w:space="0" w:color="auto"/>
            <w:left w:val="none" w:sz="0" w:space="0" w:color="auto"/>
            <w:bottom w:val="none" w:sz="0" w:space="0" w:color="auto"/>
            <w:right w:val="none" w:sz="0" w:space="0" w:color="auto"/>
          </w:divBdr>
        </w:div>
      </w:divsChild>
    </w:div>
    <w:div w:id="600455182">
      <w:bodyDiv w:val="1"/>
      <w:marLeft w:val="0"/>
      <w:marRight w:val="0"/>
      <w:marTop w:val="0"/>
      <w:marBottom w:val="0"/>
      <w:divBdr>
        <w:top w:val="none" w:sz="0" w:space="0" w:color="auto"/>
        <w:left w:val="none" w:sz="0" w:space="0" w:color="auto"/>
        <w:bottom w:val="none" w:sz="0" w:space="0" w:color="auto"/>
        <w:right w:val="none" w:sz="0" w:space="0" w:color="auto"/>
      </w:divBdr>
      <w:divsChild>
        <w:div w:id="1861703333">
          <w:marLeft w:val="446"/>
          <w:marRight w:val="0"/>
          <w:marTop w:val="0"/>
          <w:marBottom w:val="160"/>
          <w:divBdr>
            <w:top w:val="none" w:sz="0" w:space="0" w:color="auto"/>
            <w:left w:val="none" w:sz="0" w:space="0" w:color="auto"/>
            <w:bottom w:val="none" w:sz="0" w:space="0" w:color="auto"/>
            <w:right w:val="none" w:sz="0" w:space="0" w:color="auto"/>
          </w:divBdr>
        </w:div>
      </w:divsChild>
    </w:div>
    <w:div w:id="606473075">
      <w:bodyDiv w:val="1"/>
      <w:marLeft w:val="0"/>
      <w:marRight w:val="0"/>
      <w:marTop w:val="0"/>
      <w:marBottom w:val="0"/>
      <w:divBdr>
        <w:top w:val="none" w:sz="0" w:space="0" w:color="auto"/>
        <w:left w:val="none" w:sz="0" w:space="0" w:color="auto"/>
        <w:bottom w:val="none" w:sz="0" w:space="0" w:color="auto"/>
        <w:right w:val="none" w:sz="0" w:space="0" w:color="auto"/>
      </w:divBdr>
      <w:divsChild>
        <w:div w:id="744960459">
          <w:marLeft w:val="446"/>
          <w:marRight w:val="0"/>
          <w:marTop w:val="120"/>
          <w:marBottom w:val="120"/>
          <w:divBdr>
            <w:top w:val="none" w:sz="0" w:space="0" w:color="auto"/>
            <w:left w:val="none" w:sz="0" w:space="0" w:color="auto"/>
            <w:bottom w:val="none" w:sz="0" w:space="0" w:color="auto"/>
            <w:right w:val="none" w:sz="0" w:space="0" w:color="auto"/>
          </w:divBdr>
        </w:div>
        <w:div w:id="1533105639">
          <w:marLeft w:val="446"/>
          <w:marRight w:val="0"/>
          <w:marTop w:val="120"/>
          <w:marBottom w:val="120"/>
          <w:divBdr>
            <w:top w:val="none" w:sz="0" w:space="0" w:color="auto"/>
            <w:left w:val="none" w:sz="0" w:space="0" w:color="auto"/>
            <w:bottom w:val="none" w:sz="0" w:space="0" w:color="auto"/>
            <w:right w:val="none" w:sz="0" w:space="0" w:color="auto"/>
          </w:divBdr>
        </w:div>
      </w:divsChild>
    </w:div>
    <w:div w:id="606735710">
      <w:bodyDiv w:val="1"/>
      <w:marLeft w:val="0"/>
      <w:marRight w:val="0"/>
      <w:marTop w:val="0"/>
      <w:marBottom w:val="0"/>
      <w:divBdr>
        <w:top w:val="none" w:sz="0" w:space="0" w:color="auto"/>
        <w:left w:val="none" w:sz="0" w:space="0" w:color="auto"/>
        <w:bottom w:val="none" w:sz="0" w:space="0" w:color="auto"/>
        <w:right w:val="none" w:sz="0" w:space="0" w:color="auto"/>
      </w:divBdr>
      <w:divsChild>
        <w:div w:id="1124734783">
          <w:marLeft w:val="360"/>
          <w:marRight w:val="0"/>
          <w:marTop w:val="200"/>
          <w:marBottom w:val="0"/>
          <w:divBdr>
            <w:top w:val="none" w:sz="0" w:space="0" w:color="auto"/>
            <w:left w:val="none" w:sz="0" w:space="0" w:color="auto"/>
            <w:bottom w:val="none" w:sz="0" w:space="0" w:color="auto"/>
            <w:right w:val="none" w:sz="0" w:space="0" w:color="auto"/>
          </w:divBdr>
        </w:div>
        <w:div w:id="1142580534">
          <w:marLeft w:val="1080"/>
          <w:marRight w:val="0"/>
          <w:marTop w:val="100"/>
          <w:marBottom w:val="0"/>
          <w:divBdr>
            <w:top w:val="none" w:sz="0" w:space="0" w:color="auto"/>
            <w:left w:val="none" w:sz="0" w:space="0" w:color="auto"/>
            <w:bottom w:val="none" w:sz="0" w:space="0" w:color="auto"/>
            <w:right w:val="none" w:sz="0" w:space="0" w:color="auto"/>
          </w:divBdr>
        </w:div>
        <w:div w:id="1027487473">
          <w:marLeft w:val="1080"/>
          <w:marRight w:val="0"/>
          <w:marTop w:val="100"/>
          <w:marBottom w:val="0"/>
          <w:divBdr>
            <w:top w:val="none" w:sz="0" w:space="0" w:color="auto"/>
            <w:left w:val="none" w:sz="0" w:space="0" w:color="auto"/>
            <w:bottom w:val="none" w:sz="0" w:space="0" w:color="auto"/>
            <w:right w:val="none" w:sz="0" w:space="0" w:color="auto"/>
          </w:divBdr>
        </w:div>
        <w:div w:id="685323775">
          <w:marLeft w:val="1080"/>
          <w:marRight w:val="0"/>
          <w:marTop w:val="100"/>
          <w:marBottom w:val="0"/>
          <w:divBdr>
            <w:top w:val="none" w:sz="0" w:space="0" w:color="auto"/>
            <w:left w:val="none" w:sz="0" w:space="0" w:color="auto"/>
            <w:bottom w:val="none" w:sz="0" w:space="0" w:color="auto"/>
            <w:right w:val="none" w:sz="0" w:space="0" w:color="auto"/>
          </w:divBdr>
        </w:div>
        <w:div w:id="1274943559">
          <w:marLeft w:val="360"/>
          <w:marRight w:val="0"/>
          <w:marTop w:val="200"/>
          <w:marBottom w:val="0"/>
          <w:divBdr>
            <w:top w:val="none" w:sz="0" w:space="0" w:color="auto"/>
            <w:left w:val="none" w:sz="0" w:space="0" w:color="auto"/>
            <w:bottom w:val="none" w:sz="0" w:space="0" w:color="auto"/>
            <w:right w:val="none" w:sz="0" w:space="0" w:color="auto"/>
          </w:divBdr>
        </w:div>
        <w:div w:id="423460740">
          <w:marLeft w:val="360"/>
          <w:marRight w:val="0"/>
          <w:marTop w:val="200"/>
          <w:marBottom w:val="0"/>
          <w:divBdr>
            <w:top w:val="none" w:sz="0" w:space="0" w:color="auto"/>
            <w:left w:val="none" w:sz="0" w:space="0" w:color="auto"/>
            <w:bottom w:val="none" w:sz="0" w:space="0" w:color="auto"/>
            <w:right w:val="none" w:sz="0" w:space="0" w:color="auto"/>
          </w:divBdr>
        </w:div>
      </w:divsChild>
    </w:div>
    <w:div w:id="639772734">
      <w:bodyDiv w:val="1"/>
      <w:marLeft w:val="0"/>
      <w:marRight w:val="0"/>
      <w:marTop w:val="0"/>
      <w:marBottom w:val="0"/>
      <w:divBdr>
        <w:top w:val="none" w:sz="0" w:space="0" w:color="auto"/>
        <w:left w:val="none" w:sz="0" w:space="0" w:color="auto"/>
        <w:bottom w:val="none" w:sz="0" w:space="0" w:color="auto"/>
        <w:right w:val="none" w:sz="0" w:space="0" w:color="auto"/>
      </w:divBdr>
      <w:divsChild>
        <w:div w:id="50006493">
          <w:marLeft w:val="360"/>
          <w:marRight w:val="0"/>
          <w:marTop w:val="200"/>
          <w:marBottom w:val="0"/>
          <w:divBdr>
            <w:top w:val="none" w:sz="0" w:space="0" w:color="auto"/>
            <w:left w:val="none" w:sz="0" w:space="0" w:color="auto"/>
            <w:bottom w:val="none" w:sz="0" w:space="0" w:color="auto"/>
            <w:right w:val="none" w:sz="0" w:space="0" w:color="auto"/>
          </w:divBdr>
        </w:div>
        <w:div w:id="1781879696">
          <w:marLeft w:val="360"/>
          <w:marRight w:val="0"/>
          <w:marTop w:val="200"/>
          <w:marBottom w:val="0"/>
          <w:divBdr>
            <w:top w:val="none" w:sz="0" w:space="0" w:color="auto"/>
            <w:left w:val="none" w:sz="0" w:space="0" w:color="auto"/>
            <w:bottom w:val="none" w:sz="0" w:space="0" w:color="auto"/>
            <w:right w:val="none" w:sz="0" w:space="0" w:color="auto"/>
          </w:divBdr>
        </w:div>
        <w:div w:id="154348110">
          <w:marLeft w:val="360"/>
          <w:marRight w:val="0"/>
          <w:marTop w:val="200"/>
          <w:marBottom w:val="0"/>
          <w:divBdr>
            <w:top w:val="none" w:sz="0" w:space="0" w:color="auto"/>
            <w:left w:val="none" w:sz="0" w:space="0" w:color="auto"/>
            <w:bottom w:val="none" w:sz="0" w:space="0" w:color="auto"/>
            <w:right w:val="none" w:sz="0" w:space="0" w:color="auto"/>
          </w:divBdr>
        </w:div>
        <w:div w:id="1571498885">
          <w:marLeft w:val="360"/>
          <w:marRight w:val="0"/>
          <w:marTop w:val="200"/>
          <w:marBottom w:val="0"/>
          <w:divBdr>
            <w:top w:val="none" w:sz="0" w:space="0" w:color="auto"/>
            <w:left w:val="none" w:sz="0" w:space="0" w:color="auto"/>
            <w:bottom w:val="none" w:sz="0" w:space="0" w:color="auto"/>
            <w:right w:val="none" w:sz="0" w:space="0" w:color="auto"/>
          </w:divBdr>
        </w:div>
      </w:divsChild>
    </w:div>
    <w:div w:id="784082521">
      <w:bodyDiv w:val="1"/>
      <w:marLeft w:val="0"/>
      <w:marRight w:val="0"/>
      <w:marTop w:val="0"/>
      <w:marBottom w:val="0"/>
      <w:divBdr>
        <w:top w:val="none" w:sz="0" w:space="0" w:color="auto"/>
        <w:left w:val="none" w:sz="0" w:space="0" w:color="auto"/>
        <w:bottom w:val="none" w:sz="0" w:space="0" w:color="auto"/>
        <w:right w:val="none" w:sz="0" w:space="0" w:color="auto"/>
      </w:divBdr>
    </w:div>
    <w:div w:id="808327274">
      <w:bodyDiv w:val="1"/>
      <w:marLeft w:val="0"/>
      <w:marRight w:val="0"/>
      <w:marTop w:val="0"/>
      <w:marBottom w:val="0"/>
      <w:divBdr>
        <w:top w:val="none" w:sz="0" w:space="0" w:color="auto"/>
        <w:left w:val="none" w:sz="0" w:space="0" w:color="auto"/>
        <w:bottom w:val="none" w:sz="0" w:space="0" w:color="auto"/>
        <w:right w:val="none" w:sz="0" w:space="0" w:color="auto"/>
      </w:divBdr>
      <w:divsChild>
        <w:div w:id="347562180">
          <w:marLeft w:val="893"/>
          <w:marRight w:val="0"/>
          <w:marTop w:val="120"/>
          <w:marBottom w:val="120"/>
          <w:divBdr>
            <w:top w:val="none" w:sz="0" w:space="0" w:color="auto"/>
            <w:left w:val="none" w:sz="0" w:space="0" w:color="auto"/>
            <w:bottom w:val="none" w:sz="0" w:space="0" w:color="auto"/>
            <w:right w:val="none" w:sz="0" w:space="0" w:color="auto"/>
          </w:divBdr>
        </w:div>
        <w:div w:id="414283941">
          <w:marLeft w:val="734"/>
          <w:marRight w:val="0"/>
          <w:marTop w:val="0"/>
          <w:marBottom w:val="0"/>
          <w:divBdr>
            <w:top w:val="none" w:sz="0" w:space="0" w:color="auto"/>
            <w:left w:val="none" w:sz="0" w:space="0" w:color="auto"/>
            <w:bottom w:val="none" w:sz="0" w:space="0" w:color="auto"/>
            <w:right w:val="none" w:sz="0" w:space="0" w:color="auto"/>
          </w:divBdr>
        </w:div>
        <w:div w:id="121651272">
          <w:marLeft w:val="734"/>
          <w:marRight w:val="0"/>
          <w:marTop w:val="0"/>
          <w:marBottom w:val="0"/>
          <w:divBdr>
            <w:top w:val="none" w:sz="0" w:space="0" w:color="auto"/>
            <w:left w:val="none" w:sz="0" w:space="0" w:color="auto"/>
            <w:bottom w:val="none" w:sz="0" w:space="0" w:color="auto"/>
            <w:right w:val="none" w:sz="0" w:space="0" w:color="auto"/>
          </w:divBdr>
        </w:div>
      </w:divsChild>
    </w:div>
    <w:div w:id="824201410">
      <w:bodyDiv w:val="1"/>
      <w:marLeft w:val="0"/>
      <w:marRight w:val="0"/>
      <w:marTop w:val="0"/>
      <w:marBottom w:val="0"/>
      <w:divBdr>
        <w:top w:val="none" w:sz="0" w:space="0" w:color="auto"/>
        <w:left w:val="none" w:sz="0" w:space="0" w:color="auto"/>
        <w:bottom w:val="none" w:sz="0" w:space="0" w:color="auto"/>
        <w:right w:val="none" w:sz="0" w:space="0" w:color="auto"/>
      </w:divBdr>
      <w:divsChild>
        <w:div w:id="953943125">
          <w:marLeft w:val="446"/>
          <w:marRight w:val="0"/>
          <w:marTop w:val="120"/>
          <w:marBottom w:val="120"/>
          <w:divBdr>
            <w:top w:val="none" w:sz="0" w:space="0" w:color="auto"/>
            <w:left w:val="none" w:sz="0" w:space="0" w:color="auto"/>
            <w:bottom w:val="none" w:sz="0" w:space="0" w:color="auto"/>
            <w:right w:val="none" w:sz="0" w:space="0" w:color="auto"/>
          </w:divBdr>
        </w:div>
        <w:div w:id="1856842252">
          <w:marLeft w:val="446"/>
          <w:marRight w:val="0"/>
          <w:marTop w:val="120"/>
          <w:marBottom w:val="120"/>
          <w:divBdr>
            <w:top w:val="none" w:sz="0" w:space="0" w:color="auto"/>
            <w:left w:val="none" w:sz="0" w:space="0" w:color="auto"/>
            <w:bottom w:val="none" w:sz="0" w:space="0" w:color="auto"/>
            <w:right w:val="none" w:sz="0" w:space="0" w:color="auto"/>
          </w:divBdr>
        </w:div>
        <w:div w:id="1852064714">
          <w:marLeft w:val="446"/>
          <w:marRight w:val="0"/>
          <w:marTop w:val="120"/>
          <w:marBottom w:val="120"/>
          <w:divBdr>
            <w:top w:val="none" w:sz="0" w:space="0" w:color="auto"/>
            <w:left w:val="none" w:sz="0" w:space="0" w:color="auto"/>
            <w:bottom w:val="none" w:sz="0" w:space="0" w:color="auto"/>
            <w:right w:val="none" w:sz="0" w:space="0" w:color="auto"/>
          </w:divBdr>
        </w:div>
      </w:divsChild>
    </w:div>
    <w:div w:id="824785354">
      <w:bodyDiv w:val="1"/>
      <w:marLeft w:val="0"/>
      <w:marRight w:val="0"/>
      <w:marTop w:val="0"/>
      <w:marBottom w:val="0"/>
      <w:divBdr>
        <w:top w:val="none" w:sz="0" w:space="0" w:color="auto"/>
        <w:left w:val="none" w:sz="0" w:space="0" w:color="auto"/>
        <w:bottom w:val="none" w:sz="0" w:space="0" w:color="auto"/>
        <w:right w:val="none" w:sz="0" w:space="0" w:color="auto"/>
      </w:divBdr>
      <w:divsChild>
        <w:div w:id="293799271">
          <w:marLeft w:val="446"/>
          <w:marRight w:val="0"/>
          <w:marTop w:val="120"/>
          <w:marBottom w:val="120"/>
          <w:divBdr>
            <w:top w:val="none" w:sz="0" w:space="0" w:color="auto"/>
            <w:left w:val="none" w:sz="0" w:space="0" w:color="auto"/>
            <w:bottom w:val="none" w:sz="0" w:space="0" w:color="auto"/>
            <w:right w:val="none" w:sz="0" w:space="0" w:color="auto"/>
          </w:divBdr>
        </w:div>
        <w:div w:id="445393230">
          <w:marLeft w:val="446"/>
          <w:marRight w:val="0"/>
          <w:marTop w:val="120"/>
          <w:marBottom w:val="120"/>
          <w:divBdr>
            <w:top w:val="none" w:sz="0" w:space="0" w:color="auto"/>
            <w:left w:val="none" w:sz="0" w:space="0" w:color="auto"/>
            <w:bottom w:val="none" w:sz="0" w:space="0" w:color="auto"/>
            <w:right w:val="none" w:sz="0" w:space="0" w:color="auto"/>
          </w:divBdr>
        </w:div>
      </w:divsChild>
    </w:div>
    <w:div w:id="841625525">
      <w:bodyDiv w:val="1"/>
      <w:marLeft w:val="0"/>
      <w:marRight w:val="0"/>
      <w:marTop w:val="0"/>
      <w:marBottom w:val="0"/>
      <w:divBdr>
        <w:top w:val="none" w:sz="0" w:space="0" w:color="auto"/>
        <w:left w:val="none" w:sz="0" w:space="0" w:color="auto"/>
        <w:bottom w:val="none" w:sz="0" w:space="0" w:color="auto"/>
        <w:right w:val="none" w:sz="0" w:space="0" w:color="auto"/>
      </w:divBdr>
      <w:divsChild>
        <w:div w:id="1304578898">
          <w:marLeft w:val="547"/>
          <w:marRight w:val="0"/>
          <w:marTop w:val="0"/>
          <w:marBottom w:val="0"/>
          <w:divBdr>
            <w:top w:val="none" w:sz="0" w:space="0" w:color="auto"/>
            <w:left w:val="none" w:sz="0" w:space="0" w:color="auto"/>
            <w:bottom w:val="none" w:sz="0" w:space="0" w:color="auto"/>
            <w:right w:val="none" w:sz="0" w:space="0" w:color="auto"/>
          </w:divBdr>
        </w:div>
      </w:divsChild>
    </w:div>
    <w:div w:id="861016533">
      <w:bodyDiv w:val="1"/>
      <w:marLeft w:val="0"/>
      <w:marRight w:val="0"/>
      <w:marTop w:val="0"/>
      <w:marBottom w:val="0"/>
      <w:divBdr>
        <w:top w:val="none" w:sz="0" w:space="0" w:color="auto"/>
        <w:left w:val="none" w:sz="0" w:space="0" w:color="auto"/>
        <w:bottom w:val="none" w:sz="0" w:space="0" w:color="auto"/>
        <w:right w:val="none" w:sz="0" w:space="0" w:color="auto"/>
      </w:divBdr>
    </w:div>
    <w:div w:id="871454645">
      <w:bodyDiv w:val="1"/>
      <w:marLeft w:val="0"/>
      <w:marRight w:val="0"/>
      <w:marTop w:val="0"/>
      <w:marBottom w:val="0"/>
      <w:divBdr>
        <w:top w:val="none" w:sz="0" w:space="0" w:color="auto"/>
        <w:left w:val="none" w:sz="0" w:space="0" w:color="auto"/>
        <w:bottom w:val="none" w:sz="0" w:space="0" w:color="auto"/>
        <w:right w:val="none" w:sz="0" w:space="0" w:color="auto"/>
      </w:divBdr>
      <w:divsChild>
        <w:div w:id="1197813779">
          <w:marLeft w:val="446"/>
          <w:marRight w:val="0"/>
          <w:marTop w:val="120"/>
          <w:marBottom w:val="120"/>
          <w:divBdr>
            <w:top w:val="none" w:sz="0" w:space="0" w:color="auto"/>
            <w:left w:val="none" w:sz="0" w:space="0" w:color="auto"/>
            <w:bottom w:val="none" w:sz="0" w:space="0" w:color="auto"/>
            <w:right w:val="none" w:sz="0" w:space="0" w:color="auto"/>
          </w:divBdr>
        </w:div>
        <w:div w:id="1246384158">
          <w:marLeft w:val="446"/>
          <w:marRight w:val="0"/>
          <w:marTop w:val="120"/>
          <w:marBottom w:val="120"/>
          <w:divBdr>
            <w:top w:val="none" w:sz="0" w:space="0" w:color="auto"/>
            <w:left w:val="none" w:sz="0" w:space="0" w:color="auto"/>
            <w:bottom w:val="none" w:sz="0" w:space="0" w:color="auto"/>
            <w:right w:val="none" w:sz="0" w:space="0" w:color="auto"/>
          </w:divBdr>
        </w:div>
      </w:divsChild>
    </w:div>
    <w:div w:id="909005474">
      <w:bodyDiv w:val="1"/>
      <w:marLeft w:val="0"/>
      <w:marRight w:val="0"/>
      <w:marTop w:val="0"/>
      <w:marBottom w:val="0"/>
      <w:divBdr>
        <w:top w:val="none" w:sz="0" w:space="0" w:color="auto"/>
        <w:left w:val="none" w:sz="0" w:space="0" w:color="auto"/>
        <w:bottom w:val="none" w:sz="0" w:space="0" w:color="auto"/>
        <w:right w:val="none" w:sz="0" w:space="0" w:color="auto"/>
      </w:divBdr>
    </w:div>
    <w:div w:id="941958168">
      <w:bodyDiv w:val="1"/>
      <w:marLeft w:val="0"/>
      <w:marRight w:val="0"/>
      <w:marTop w:val="0"/>
      <w:marBottom w:val="0"/>
      <w:divBdr>
        <w:top w:val="none" w:sz="0" w:space="0" w:color="auto"/>
        <w:left w:val="none" w:sz="0" w:space="0" w:color="auto"/>
        <w:bottom w:val="none" w:sz="0" w:space="0" w:color="auto"/>
        <w:right w:val="none" w:sz="0" w:space="0" w:color="auto"/>
      </w:divBdr>
      <w:divsChild>
        <w:div w:id="2002074717">
          <w:marLeft w:val="446"/>
          <w:marRight w:val="0"/>
          <w:marTop w:val="120"/>
          <w:marBottom w:val="120"/>
          <w:divBdr>
            <w:top w:val="none" w:sz="0" w:space="0" w:color="auto"/>
            <w:left w:val="none" w:sz="0" w:space="0" w:color="auto"/>
            <w:bottom w:val="none" w:sz="0" w:space="0" w:color="auto"/>
            <w:right w:val="none" w:sz="0" w:space="0" w:color="auto"/>
          </w:divBdr>
        </w:div>
        <w:div w:id="1012877393">
          <w:marLeft w:val="446"/>
          <w:marRight w:val="0"/>
          <w:marTop w:val="120"/>
          <w:marBottom w:val="120"/>
          <w:divBdr>
            <w:top w:val="none" w:sz="0" w:space="0" w:color="auto"/>
            <w:left w:val="none" w:sz="0" w:space="0" w:color="auto"/>
            <w:bottom w:val="none" w:sz="0" w:space="0" w:color="auto"/>
            <w:right w:val="none" w:sz="0" w:space="0" w:color="auto"/>
          </w:divBdr>
        </w:div>
        <w:div w:id="1981767605">
          <w:marLeft w:val="446"/>
          <w:marRight w:val="0"/>
          <w:marTop w:val="120"/>
          <w:marBottom w:val="120"/>
          <w:divBdr>
            <w:top w:val="none" w:sz="0" w:space="0" w:color="auto"/>
            <w:left w:val="none" w:sz="0" w:space="0" w:color="auto"/>
            <w:bottom w:val="none" w:sz="0" w:space="0" w:color="auto"/>
            <w:right w:val="none" w:sz="0" w:space="0" w:color="auto"/>
          </w:divBdr>
        </w:div>
      </w:divsChild>
    </w:div>
    <w:div w:id="956376183">
      <w:bodyDiv w:val="1"/>
      <w:marLeft w:val="0"/>
      <w:marRight w:val="0"/>
      <w:marTop w:val="0"/>
      <w:marBottom w:val="0"/>
      <w:divBdr>
        <w:top w:val="none" w:sz="0" w:space="0" w:color="auto"/>
        <w:left w:val="none" w:sz="0" w:space="0" w:color="auto"/>
        <w:bottom w:val="none" w:sz="0" w:space="0" w:color="auto"/>
        <w:right w:val="none" w:sz="0" w:space="0" w:color="auto"/>
      </w:divBdr>
    </w:div>
    <w:div w:id="964770677">
      <w:bodyDiv w:val="1"/>
      <w:marLeft w:val="0"/>
      <w:marRight w:val="0"/>
      <w:marTop w:val="0"/>
      <w:marBottom w:val="0"/>
      <w:divBdr>
        <w:top w:val="none" w:sz="0" w:space="0" w:color="auto"/>
        <w:left w:val="none" w:sz="0" w:space="0" w:color="auto"/>
        <w:bottom w:val="none" w:sz="0" w:space="0" w:color="auto"/>
        <w:right w:val="none" w:sz="0" w:space="0" w:color="auto"/>
      </w:divBdr>
    </w:div>
    <w:div w:id="975528707">
      <w:bodyDiv w:val="1"/>
      <w:marLeft w:val="0"/>
      <w:marRight w:val="0"/>
      <w:marTop w:val="0"/>
      <w:marBottom w:val="0"/>
      <w:divBdr>
        <w:top w:val="none" w:sz="0" w:space="0" w:color="auto"/>
        <w:left w:val="none" w:sz="0" w:space="0" w:color="auto"/>
        <w:bottom w:val="none" w:sz="0" w:space="0" w:color="auto"/>
        <w:right w:val="none" w:sz="0" w:space="0" w:color="auto"/>
      </w:divBdr>
      <w:divsChild>
        <w:div w:id="1652176850">
          <w:marLeft w:val="446"/>
          <w:marRight w:val="0"/>
          <w:marTop w:val="0"/>
          <w:marBottom w:val="0"/>
          <w:divBdr>
            <w:top w:val="none" w:sz="0" w:space="0" w:color="auto"/>
            <w:left w:val="none" w:sz="0" w:space="0" w:color="auto"/>
            <w:bottom w:val="none" w:sz="0" w:space="0" w:color="auto"/>
            <w:right w:val="none" w:sz="0" w:space="0" w:color="auto"/>
          </w:divBdr>
        </w:div>
        <w:div w:id="764304038">
          <w:marLeft w:val="446"/>
          <w:marRight w:val="0"/>
          <w:marTop w:val="0"/>
          <w:marBottom w:val="0"/>
          <w:divBdr>
            <w:top w:val="none" w:sz="0" w:space="0" w:color="auto"/>
            <w:left w:val="none" w:sz="0" w:space="0" w:color="auto"/>
            <w:bottom w:val="none" w:sz="0" w:space="0" w:color="auto"/>
            <w:right w:val="none" w:sz="0" w:space="0" w:color="auto"/>
          </w:divBdr>
        </w:div>
        <w:div w:id="1886092136">
          <w:marLeft w:val="446"/>
          <w:marRight w:val="0"/>
          <w:marTop w:val="0"/>
          <w:marBottom w:val="0"/>
          <w:divBdr>
            <w:top w:val="none" w:sz="0" w:space="0" w:color="auto"/>
            <w:left w:val="none" w:sz="0" w:space="0" w:color="auto"/>
            <w:bottom w:val="none" w:sz="0" w:space="0" w:color="auto"/>
            <w:right w:val="none" w:sz="0" w:space="0" w:color="auto"/>
          </w:divBdr>
        </w:div>
        <w:div w:id="1362827123">
          <w:marLeft w:val="446"/>
          <w:marRight w:val="0"/>
          <w:marTop w:val="0"/>
          <w:marBottom w:val="0"/>
          <w:divBdr>
            <w:top w:val="none" w:sz="0" w:space="0" w:color="auto"/>
            <w:left w:val="none" w:sz="0" w:space="0" w:color="auto"/>
            <w:bottom w:val="none" w:sz="0" w:space="0" w:color="auto"/>
            <w:right w:val="none" w:sz="0" w:space="0" w:color="auto"/>
          </w:divBdr>
        </w:div>
        <w:div w:id="2110613773">
          <w:marLeft w:val="446"/>
          <w:marRight w:val="0"/>
          <w:marTop w:val="0"/>
          <w:marBottom w:val="0"/>
          <w:divBdr>
            <w:top w:val="none" w:sz="0" w:space="0" w:color="auto"/>
            <w:left w:val="none" w:sz="0" w:space="0" w:color="auto"/>
            <w:bottom w:val="none" w:sz="0" w:space="0" w:color="auto"/>
            <w:right w:val="none" w:sz="0" w:space="0" w:color="auto"/>
          </w:divBdr>
        </w:div>
        <w:div w:id="881215207">
          <w:marLeft w:val="446"/>
          <w:marRight w:val="0"/>
          <w:marTop w:val="0"/>
          <w:marBottom w:val="0"/>
          <w:divBdr>
            <w:top w:val="none" w:sz="0" w:space="0" w:color="auto"/>
            <w:left w:val="none" w:sz="0" w:space="0" w:color="auto"/>
            <w:bottom w:val="none" w:sz="0" w:space="0" w:color="auto"/>
            <w:right w:val="none" w:sz="0" w:space="0" w:color="auto"/>
          </w:divBdr>
        </w:div>
        <w:div w:id="511724711">
          <w:marLeft w:val="446"/>
          <w:marRight w:val="0"/>
          <w:marTop w:val="0"/>
          <w:marBottom w:val="0"/>
          <w:divBdr>
            <w:top w:val="none" w:sz="0" w:space="0" w:color="auto"/>
            <w:left w:val="none" w:sz="0" w:space="0" w:color="auto"/>
            <w:bottom w:val="none" w:sz="0" w:space="0" w:color="auto"/>
            <w:right w:val="none" w:sz="0" w:space="0" w:color="auto"/>
          </w:divBdr>
        </w:div>
      </w:divsChild>
    </w:div>
    <w:div w:id="976495866">
      <w:bodyDiv w:val="1"/>
      <w:marLeft w:val="0"/>
      <w:marRight w:val="0"/>
      <w:marTop w:val="0"/>
      <w:marBottom w:val="0"/>
      <w:divBdr>
        <w:top w:val="none" w:sz="0" w:space="0" w:color="auto"/>
        <w:left w:val="none" w:sz="0" w:space="0" w:color="auto"/>
        <w:bottom w:val="none" w:sz="0" w:space="0" w:color="auto"/>
        <w:right w:val="none" w:sz="0" w:space="0" w:color="auto"/>
      </w:divBdr>
      <w:divsChild>
        <w:div w:id="430010783">
          <w:marLeft w:val="1440"/>
          <w:marRight w:val="0"/>
          <w:marTop w:val="80"/>
          <w:marBottom w:val="80"/>
          <w:divBdr>
            <w:top w:val="none" w:sz="0" w:space="0" w:color="auto"/>
            <w:left w:val="none" w:sz="0" w:space="0" w:color="auto"/>
            <w:bottom w:val="none" w:sz="0" w:space="0" w:color="auto"/>
            <w:right w:val="none" w:sz="0" w:space="0" w:color="auto"/>
          </w:divBdr>
        </w:div>
        <w:div w:id="984286204">
          <w:marLeft w:val="1440"/>
          <w:marRight w:val="0"/>
          <w:marTop w:val="80"/>
          <w:marBottom w:val="80"/>
          <w:divBdr>
            <w:top w:val="none" w:sz="0" w:space="0" w:color="auto"/>
            <w:left w:val="none" w:sz="0" w:space="0" w:color="auto"/>
            <w:bottom w:val="none" w:sz="0" w:space="0" w:color="auto"/>
            <w:right w:val="none" w:sz="0" w:space="0" w:color="auto"/>
          </w:divBdr>
        </w:div>
        <w:div w:id="1574000802">
          <w:marLeft w:val="1440"/>
          <w:marRight w:val="0"/>
          <w:marTop w:val="80"/>
          <w:marBottom w:val="80"/>
          <w:divBdr>
            <w:top w:val="none" w:sz="0" w:space="0" w:color="auto"/>
            <w:left w:val="none" w:sz="0" w:space="0" w:color="auto"/>
            <w:bottom w:val="none" w:sz="0" w:space="0" w:color="auto"/>
            <w:right w:val="none" w:sz="0" w:space="0" w:color="auto"/>
          </w:divBdr>
        </w:div>
        <w:div w:id="60375091">
          <w:marLeft w:val="1440"/>
          <w:marRight w:val="0"/>
          <w:marTop w:val="80"/>
          <w:marBottom w:val="80"/>
          <w:divBdr>
            <w:top w:val="none" w:sz="0" w:space="0" w:color="auto"/>
            <w:left w:val="none" w:sz="0" w:space="0" w:color="auto"/>
            <w:bottom w:val="none" w:sz="0" w:space="0" w:color="auto"/>
            <w:right w:val="none" w:sz="0" w:space="0" w:color="auto"/>
          </w:divBdr>
        </w:div>
        <w:div w:id="784274104">
          <w:marLeft w:val="1440"/>
          <w:marRight w:val="0"/>
          <w:marTop w:val="80"/>
          <w:marBottom w:val="80"/>
          <w:divBdr>
            <w:top w:val="none" w:sz="0" w:space="0" w:color="auto"/>
            <w:left w:val="none" w:sz="0" w:space="0" w:color="auto"/>
            <w:bottom w:val="none" w:sz="0" w:space="0" w:color="auto"/>
            <w:right w:val="none" w:sz="0" w:space="0" w:color="auto"/>
          </w:divBdr>
        </w:div>
      </w:divsChild>
    </w:div>
    <w:div w:id="988901851">
      <w:bodyDiv w:val="1"/>
      <w:marLeft w:val="0"/>
      <w:marRight w:val="0"/>
      <w:marTop w:val="0"/>
      <w:marBottom w:val="0"/>
      <w:divBdr>
        <w:top w:val="none" w:sz="0" w:space="0" w:color="auto"/>
        <w:left w:val="none" w:sz="0" w:space="0" w:color="auto"/>
        <w:bottom w:val="none" w:sz="0" w:space="0" w:color="auto"/>
        <w:right w:val="none" w:sz="0" w:space="0" w:color="auto"/>
      </w:divBdr>
    </w:div>
    <w:div w:id="1016342391">
      <w:bodyDiv w:val="1"/>
      <w:marLeft w:val="0"/>
      <w:marRight w:val="0"/>
      <w:marTop w:val="0"/>
      <w:marBottom w:val="0"/>
      <w:divBdr>
        <w:top w:val="none" w:sz="0" w:space="0" w:color="auto"/>
        <w:left w:val="none" w:sz="0" w:space="0" w:color="auto"/>
        <w:bottom w:val="none" w:sz="0" w:space="0" w:color="auto"/>
        <w:right w:val="none" w:sz="0" w:space="0" w:color="auto"/>
      </w:divBdr>
      <w:divsChild>
        <w:div w:id="65957068">
          <w:marLeft w:val="446"/>
          <w:marRight w:val="0"/>
          <w:marTop w:val="120"/>
          <w:marBottom w:val="120"/>
          <w:divBdr>
            <w:top w:val="none" w:sz="0" w:space="0" w:color="auto"/>
            <w:left w:val="none" w:sz="0" w:space="0" w:color="auto"/>
            <w:bottom w:val="none" w:sz="0" w:space="0" w:color="auto"/>
            <w:right w:val="none" w:sz="0" w:space="0" w:color="auto"/>
          </w:divBdr>
        </w:div>
        <w:div w:id="1917398916">
          <w:marLeft w:val="446"/>
          <w:marRight w:val="0"/>
          <w:marTop w:val="120"/>
          <w:marBottom w:val="120"/>
          <w:divBdr>
            <w:top w:val="none" w:sz="0" w:space="0" w:color="auto"/>
            <w:left w:val="none" w:sz="0" w:space="0" w:color="auto"/>
            <w:bottom w:val="none" w:sz="0" w:space="0" w:color="auto"/>
            <w:right w:val="none" w:sz="0" w:space="0" w:color="auto"/>
          </w:divBdr>
        </w:div>
        <w:div w:id="53049484">
          <w:marLeft w:val="446"/>
          <w:marRight w:val="0"/>
          <w:marTop w:val="120"/>
          <w:marBottom w:val="120"/>
          <w:divBdr>
            <w:top w:val="none" w:sz="0" w:space="0" w:color="auto"/>
            <w:left w:val="none" w:sz="0" w:space="0" w:color="auto"/>
            <w:bottom w:val="none" w:sz="0" w:space="0" w:color="auto"/>
            <w:right w:val="none" w:sz="0" w:space="0" w:color="auto"/>
          </w:divBdr>
        </w:div>
      </w:divsChild>
    </w:div>
    <w:div w:id="1018502806">
      <w:bodyDiv w:val="1"/>
      <w:marLeft w:val="0"/>
      <w:marRight w:val="0"/>
      <w:marTop w:val="0"/>
      <w:marBottom w:val="0"/>
      <w:divBdr>
        <w:top w:val="none" w:sz="0" w:space="0" w:color="auto"/>
        <w:left w:val="none" w:sz="0" w:space="0" w:color="auto"/>
        <w:bottom w:val="none" w:sz="0" w:space="0" w:color="auto"/>
        <w:right w:val="none" w:sz="0" w:space="0" w:color="auto"/>
      </w:divBdr>
    </w:div>
    <w:div w:id="1051735335">
      <w:bodyDiv w:val="1"/>
      <w:marLeft w:val="0"/>
      <w:marRight w:val="0"/>
      <w:marTop w:val="0"/>
      <w:marBottom w:val="0"/>
      <w:divBdr>
        <w:top w:val="none" w:sz="0" w:space="0" w:color="auto"/>
        <w:left w:val="none" w:sz="0" w:space="0" w:color="auto"/>
        <w:bottom w:val="none" w:sz="0" w:space="0" w:color="auto"/>
        <w:right w:val="none" w:sz="0" w:space="0" w:color="auto"/>
      </w:divBdr>
    </w:div>
    <w:div w:id="1184828739">
      <w:bodyDiv w:val="1"/>
      <w:marLeft w:val="0"/>
      <w:marRight w:val="0"/>
      <w:marTop w:val="0"/>
      <w:marBottom w:val="0"/>
      <w:divBdr>
        <w:top w:val="none" w:sz="0" w:space="0" w:color="auto"/>
        <w:left w:val="none" w:sz="0" w:space="0" w:color="auto"/>
        <w:bottom w:val="none" w:sz="0" w:space="0" w:color="auto"/>
        <w:right w:val="none" w:sz="0" w:space="0" w:color="auto"/>
      </w:divBdr>
    </w:div>
    <w:div w:id="1220172299">
      <w:bodyDiv w:val="1"/>
      <w:marLeft w:val="0"/>
      <w:marRight w:val="0"/>
      <w:marTop w:val="0"/>
      <w:marBottom w:val="0"/>
      <w:divBdr>
        <w:top w:val="none" w:sz="0" w:space="0" w:color="auto"/>
        <w:left w:val="none" w:sz="0" w:space="0" w:color="auto"/>
        <w:bottom w:val="none" w:sz="0" w:space="0" w:color="auto"/>
        <w:right w:val="none" w:sz="0" w:space="0" w:color="auto"/>
      </w:divBdr>
      <w:divsChild>
        <w:div w:id="651905716">
          <w:marLeft w:val="446"/>
          <w:marRight w:val="0"/>
          <w:marTop w:val="120"/>
          <w:marBottom w:val="120"/>
          <w:divBdr>
            <w:top w:val="none" w:sz="0" w:space="0" w:color="auto"/>
            <w:left w:val="none" w:sz="0" w:space="0" w:color="auto"/>
            <w:bottom w:val="none" w:sz="0" w:space="0" w:color="auto"/>
            <w:right w:val="none" w:sz="0" w:space="0" w:color="auto"/>
          </w:divBdr>
        </w:div>
        <w:div w:id="1537162546">
          <w:marLeft w:val="446"/>
          <w:marRight w:val="0"/>
          <w:marTop w:val="120"/>
          <w:marBottom w:val="120"/>
          <w:divBdr>
            <w:top w:val="none" w:sz="0" w:space="0" w:color="auto"/>
            <w:left w:val="none" w:sz="0" w:space="0" w:color="auto"/>
            <w:bottom w:val="none" w:sz="0" w:space="0" w:color="auto"/>
            <w:right w:val="none" w:sz="0" w:space="0" w:color="auto"/>
          </w:divBdr>
        </w:div>
      </w:divsChild>
    </w:div>
    <w:div w:id="1227490610">
      <w:bodyDiv w:val="1"/>
      <w:marLeft w:val="0"/>
      <w:marRight w:val="0"/>
      <w:marTop w:val="0"/>
      <w:marBottom w:val="0"/>
      <w:divBdr>
        <w:top w:val="none" w:sz="0" w:space="0" w:color="auto"/>
        <w:left w:val="none" w:sz="0" w:space="0" w:color="auto"/>
        <w:bottom w:val="none" w:sz="0" w:space="0" w:color="auto"/>
        <w:right w:val="none" w:sz="0" w:space="0" w:color="auto"/>
      </w:divBdr>
    </w:div>
    <w:div w:id="1257056870">
      <w:bodyDiv w:val="1"/>
      <w:marLeft w:val="0"/>
      <w:marRight w:val="0"/>
      <w:marTop w:val="0"/>
      <w:marBottom w:val="0"/>
      <w:divBdr>
        <w:top w:val="none" w:sz="0" w:space="0" w:color="auto"/>
        <w:left w:val="none" w:sz="0" w:space="0" w:color="auto"/>
        <w:bottom w:val="none" w:sz="0" w:space="0" w:color="auto"/>
        <w:right w:val="none" w:sz="0" w:space="0" w:color="auto"/>
      </w:divBdr>
    </w:div>
    <w:div w:id="1291857543">
      <w:bodyDiv w:val="1"/>
      <w:marLeft w:val="0"/>
      <w:marRight w:val="0"/>
      <w:marTop w:val="0"/>
      <w:marBottom w:val="0"/>
      <w:divBdr>
        <w:top w:val="none" w:sz="0" w:space="0" w:color="auto"/>
        <w:left w:val="none" w:sz="0" w:space="0" w:color="auto"/>
        <w:bottom w:val="none" w:sz="0" w:space="0" w:color="auto"/>
        <w:right w:val="none" w:sz="0" w:space="0" w:color="auto"/>
      </w:divBdr>
      <w:divsChild>
        <w:div w:id="1115519652">
          <w:marLeft w:val="446"/>
          <w:marRight w:val="0"/>
          <w:marTop w:val="120"/>
          <w:marBottom w:val="120"/>
          <w:divBdr>
            <w:top w:val="none" w:sz="0" w:space="0" w:color="auto"/>
            <w:left w:val="none" w:sz="0" w:space="0" w:color="auto"/>
            <w:bottom w:val="none" w:sz="0" w:space="0" w:color="auto"/>
            <w:right w:val="none" w:sz="0" w:space="0" w:color="auto"/>
          </w:divBdr>
        </w:div>
        <w:div w:id="1985548089">
          <w:marLeft w:val="446"/>
          <w:marRight w:val="0"/>
          <w:marTop w:val="120"/>
          <w:marBottom w:val="120"/>
          <w:divBdr>
            <w:top w:val="none" w:sz="0" w:space="0" w:color="auto"/>
            <w:left w:val="none" w:sz="0" w:space="0" w:color="auto"/>
            <w:bottom w:val="none" w:sz="0" w:space="0" w:color="auto"/>
            <w:right w:val="none" w:sz="0" w:space="0" w:color="auto"/>
          </w:divBdr>
        </w:div>
        <w:div w:id="1951162294">
          <w:marLeft w:val="446"/>
          <w:marRight w:val="0"/>
          <w:marTop w:val="120"/>
          <w:marBottom w:val="120"/>
          <w:divBdr>
            <w:top w:val="none" w:sz="0" w:space="0" w:color="auto"/>
            <w:left w:val="none" w:sz="0" w:space="0" w:color="auto"/>
            <w:bottom w:val="none" w:sz="0" w:space="0" w:color="auto"/>
            <w:right w:val="none" w:sz="0" w:space="0" w:color="auto"/>
          </w:divBdr>
        </w:div>
        <w:div w:id="1086461941">
          <w:marLeft w:val="1166"/>
          <w:marRight w:val="0"/>
          <w:marTop w:val="120"/>
          <w:marBottom w:val="120"/>
          <w:divBdr>
            <w:top w:val="none" w:sz="0" w:space="0" w:color="auto"/>
            <w:left w:val="none" w:sz="0" w:space="0" w:color="auto"/>
            <w:bottom w:val="none" w:sz="0" w:space="0" w:color="auto"/>
            <w:right w:val="none" w:sz="0" w:space="0" w:color="auto"/>
          </w:divBdr>
        </w:div>
        <w:div w:id="812647743">
          <w:marLeft w:val="1166"/>
          <w:marRight w:val="0"/>
          <w:marTop w:val="120"/>
          <w:marBottom w:val="120"/>
          <w:divBdr>
            <w:top w:val="none" w:sz="0" w:space="0" w:color="auto"/>
            <w:left w:val="none" w:sz="0" w:space="0" w:color="auto"/>
            <w:bottom w:val="none" w:sz="0" w:space="0" w:color="auto"/>
            <w:right w:val="none" w:sz="0" w:space="0" w:color="auto"/>
          </w:divBdr>
        </w:div>
      </w:divsChild>
    </w:div>
    <w:div w:id="1298488048">
      <w:bodyDiv w:val="1"/>
      <w:marLeft w:val="0"/>
      <w:marRight w:val="0"/>
      <w:marTop w:val="0"/>
      <w:marBottom w:val="0"/>
      <w:divBdr>
        <w:top w:val="none" w:sz="0" w:space="0" w:color="auto"/>
        <w:left w:val="none" w:sz="0" w:space="0" w:color="auto"/>
        <w:bottom w:val="none" w:sz="0" w:space="0" w:color="auto"/>
        <w:right w:val="none" w:sz="0" w:space="0" w:color="auto"/>
      </w:divBdr>
      <w:divsChild>
        <w:div w:id="1656104082">
          <w:marLeft w:val="1166"/>
          <w:marRight w:val="0"/>
          <w:marTop w:val="0"/>
          <w:marBottom w:val="0"/>
          <w:divBdr>
            <w:top w:val="none" w:sz="0" w:space="0" w:color="auto"/>
            <w:left w:val="none" w:sz="0" w:space="0" w:color="auto"/>
            <w:bottom w:val="none" w:sz="0" w:space="0" w:color="auto"/>
            <w:right w:val="none" w:sz="0" w:space="0" w:color="auto"/>
          </w:divBdr>
        </w:div>
        <w:div w:id="1184782137">
          <w:marLeft w:val="1066"/>
          <w:marRight w:val="0"/>
          <w:marTop w:val="0"/>
          <w:marBottom w:val="0"/>
          <w:divBdr>
            <w:top w:val="none" w:sz="0" w:space="0" w:color="auto"/>
            <w:left w:val="none" w:sz="0" w:space="0" w:color="auto"/>
            <w:bottom w:val="none" w:sz="0" w:space="0" w:color="auto"/>
            <w:right w:val="none" w:sz="0" w:space="0" w:color="auto"/>
          </w:divBdr>
        </w:div>
      </w:divsChild>
    </w:div>
    <w:div w:id="1303533854">
      <w:bodyDiv w:val="1"/>
      <w:marLeft w:val="0"/>
      <w:marRight w:val="0"/>
      <w:marTop w:val="0"/>
      <w:marBottom w:val="0"/>
      <w:divBdr>
        <w:top w:val="none" w:sz="0" w:space="0" w:color="auto"/>
        <w:left w:val="none" w:sz="0" w:space="0" w:color="auto"/>
        <w:bottom w:val="none" w:sz="0" w:space="0" w:color="auto"/>
        <w:right w:val="none" w:sz="0" w:space="0" w:color="auto"/>
      </w:divBdr>
    </w:div>
    <w:div w:id="1307584466">
      <w:bodyDiv w:val="1"/>
      <w:marLeft w:val="0"/>
      <w:marRight w:val="0"/>
      <w:marTop w:val="0"/>
      <w:marBottom w:val="0"/>
      <w:divBdr>
        <w:top w:val="none" w:sz="0" w:space="0" w:color="auto"/>
        <w:left w:val="none" w:sz="0" w:space="0" w:color="auto"/>
        <w:bottom w:val="none" w:sz="0" w:space="0" w:color="auto"/>
        <w:right w:val="none" w:sz="0" w:space="0" w:color="auto"/>
      </w:divBdr>
    </w:div>
    <w:div w:id="1317804020">
      <w:bodyDiv w:val="1"/>
      <w:marLeft w:val="0"/>
      <w:marRight w:val="0"/>
      <w:marTop w:val="0"/>
      <w:marBottom w:val="0"/>
      <w:divBdr>
        <w:top w:val="none" w:sz="0" w:space="0" w:color="auto"/>
        <w:left w:val="none" w:sz="0" w:space="0" w:color="auto"/>
        <w:bottom w:val="none" w:sz="0" w:space="0" w:color="auto"/>
        <w:right w:val="none" w:sz="0" w:space="0" w:color="auto"/>
      </w:divBdr>
    </w:div>
    <w:div w:id="1343780314">
      <w:bodyDiv w:val="1"/>
      <w:marLeft w:val="0"/>
      <w:marRight w:val="0"/>
      <w:marTop w:val="0"/>
      <w:marBottom w:val="0"/>
      <w:divBdr>
        <w:top w:val="none" w:sz="0" w:space="0" w:color="auto"/>
        <w:left w:val="none" w:sz="0" w:space="0" w:color="auto"/>
        <w:bottom w:val="none" w:sz="0" w:space="0" w:color="auto"/>
        <w:right w:val="none" w:sz="0" w:space="0" w:color="auto"/>
      </w:divBdr>
    </w:div>
    <w:div w:id="1364329862">
      <w:bodyDiv w:val="1"/>
      <w:marLeft w:val="0"/>
      <w:marRight w:val="0"/>
      <w:marTop w:val="0"/>
      <w:marBottom w:val="0"/>
      <w:divBdr>
        <w:top w:val="none" w:sz="0" w:space="0" w:color="auto"/>
        <w:left w:val="none" w:sz="0" w:space="0" w:color="auto"/>
        <w:bottom w:val="none" w:sz="0" w:space="0" w:color="auto"/>
        <w:right w:val="none" w:sz="0" w:space="0" w:color="auto"/>
      </w:divBdr>
    </w:div>
    <w:div w:id="1365520451">
      <w:bodyDiv w:val="1"/>
      <w:marLeft w:val="0"/>
      <w:marRight w:val="0"/>
      <w:marTop w:val="0"/>
      <w:marBottom w:val="0"/>
      <w:divBdr>
        <w:top w:val="none" w:sz="0" w:space="0" w:color="auto"/>
        <w:left w:val="none" w:sz="0" w:space="0" w:color="auto"/>
        <w:bottom w:val="none" w:sz="0" w:space="0" w:color="auto"/>
        <w:right w:val="none" w:sz="0" w:space="0" w:color="auto"/>
      </w:divBdr>
    </w:div>
    <w:div w:id="1396470272">
      <w:bodyDiv w:val="1"/>
      <w:marLeft w:val="0"/>
      <w:marRight w:val="0"/>
      <w:marTop w:val="0"/>
      <w:marBottom w:val="0"/>
      <w:divBdr>
        <w:top w:val="none" w:sz="0" w:space="0" w:color="auto"/>
        <w:left w:val="none" w:sz="0" w:space="0" w:color="auto"/>
        <w:bottom w:val="none" w:sz="0" w:space="0" w:color="auto"/>
        <w:right w:val="none" w:sz="0" w:space="0" w:color="auto"/>
      </w:divBdr>
      <w:divsChild>
        <w:div w:id="1319265533">
          <w:marLeft w:val="547"/>
          <w:marRight w:val="0"/>
          <w:marTop w:val="0"/>
          <w:marBottom w:val="0"/>
          <w:divBdr>
            <w:top w:val="none" w:sz="0" w:space="0" w:color="auto"/>
            <w:left w:val="none" w:sz="0" w:space="0" w:color="auto"/>
            <w:bottom w:val="none" w:sz="0" w:space="0" w:color="auto"/>
            <w:right w:val="none" w:sz="0" w:space="0" w:color="auto"/>
          </w:divBdr>
        </w:div>
      </w:divsChild>
    </w:div>
    <w:div w:id="1401901077">
      <w:bodyDiv w:val="1"/>
      <w:marLeft w:val="0"/>
      <w:marRight w:val="0"/>
      <w:marTop w:val="0"/>
      <w:marBottom w:val="0"/>
      <w:divBdr>
        <w:top w:val="none" w:sz="0" w:space="0" w:color="auto"/>
        <w:left w:val="none" w:sz="0" w:space="0" w:color="auto"/>
        <w:bottom w:val="none" w:sz="0" w:space="0" w:color="auto"/>
        <w:right w:val="none" w:sz="0" w:space="0" w:color="auto"/>
      </w:divBdr>
    </w:div>
    <w:div w:id="1412506709">
      <w:bodyDiv w:val="1"/>
      <w:marLeft w:val="0"/>
      <w:marRight w:val="0"/>
      <w:marTop w:val="0"/>
      <w:marBottom w:val="0"/>
      <w:divBdr>
        <w:top w:val="none" w:sz="0" w:space="0" w:color="auto"/>
        <w:left w:val="none" w:sz="0" w:space="0" w:color="auto"/>
        <w:bottom w:val="none" w:sz="0" w:space="0" w:color="auto"/>
        <w:right w:val="none" w:sz="0" w:space="0" w:color="auto"/>
      </w:divBdr>
      <w:divsChild>
        <w:div w:id="108015299">
          <w:marLeft w:val="360"/>
          <w:marRight w:val="0"/>
          <w:marTop w:val="200"/>
          <w:marBottom w:val="0"/>
          <w:divBdr>
            <w:top w:val="none" w:sz="0" w:space="0" w:color="auto"/>
            <w:left w:val="none" w:sz="0" w:space="0" w:color="auto"/>
            <w:bottom w:val="none" w:sz="0" w:space="0" w:color="auto"/>
            <w:right w:val="none" w:sz="0" w:space="0" w:color="auto"/>
          </w:divBdr>
        </w:div>
        <w:div w:id="1552423761">
          <w:marLeft w:val="360"/>
          <w:marRight w:val="0"/>
          <w:marTop w:val="200"/>
          <w:marBottom w:val="0"/>
          <w:divBdr>
            <w:top w:val="none" w:sz="0" w:space="0" w:color="auto"/>
            <w:left w:val="none" w:sz="0" w:space="0" w:color="auto"/>
            <w:bottom w:val="none" w:sz="0" w:space="0" w:color="auto"/>
            <w:right w:val="none" w:sz="0" w:space="0" w:color="auto"/>
          </w:divBdr>
        </w:div>
        <w:div w:id="680930229">
          <w:marLeft w:val="360"/>
          <w:marRight w:val="0"/>
          <w:marTop w:val="200"/>
          <w:marBottom w:val="0"/>
          <w:divBdr>
            <w:top w:val="none" w:sz="0" w:space="0" w:color="auto"/>
            <w:left w:val="none" w:sz="0" w:space="0" w:color="auto"/>
            <w:bottom w:val="none" w:sz="0" w:space="0" w:color="auto"/>
            <w:right w:val="none" w:sz="0" w:space="0" w:color="auto"/>
          </w:divBdr>
        </w:div>
        <w:div w:id="17708918">
          <w:marLeft w:val="360"/>
          <w:marRight w:val="0"/>
          <w:marTop w:val="200"/>
          <w:marBottom w:val="0"/>
          <w:divBdr>
            <w:top w:val="none" w:sz="0" w:space="0" w:color="auto"/>
            <w:left w:val="none" w:sz="0" w:space="0" w:color="auto"/>
            <w:bottom w:val="none" w:sz="0" w:space="0" w:color="auto"/>
            <w:right w:val="none" w:sz="0" w:space="0" w:color="auto"/>
          </w:divBdr>
        </w:div>
      </w:divsChild>
    </w:div>
    <w:div w:id="1415712319">
      <w:bodyDiv w:val="1"/>
      <w:marLeft w:val="0"/>
      <w:marRight w:val="0"/>
      <w:marTop w:val="0"/>
      <w:marBottom w:val="0"/>
      <w:divBdr>
        <w:top w:val="none" w:sz="0" w:space="0" w:color="auto"/>
        <w:left w:val="none" w:sz="0" w:space="0" w:color="auto"/>
        <w:bottom w:val="none" w:sz="0" w:space="0" w:color="auto"/>
        <w:right w:val="none" w:sz="0" w:space="0" w:color="auto"/>
      </w:divBdr>
    </w:div>
    <w:div w:id="1416786921">
      <w:bodyDiv w:val="1"/>
      <w:marLeft w:val="0"/>
      <w:marRight w:val="0"/>
      <w:marTop w:val="0"/>
      <w:marBottom w:val="0"/>
      <w:divBdr>
        <w:top w:val="none" w:sz="0" w:space="0" w:color="auto"/>
        <w:left w:val="none" w:sz="0" w:space="0" w:color="auto"/>
        <w:bottom w:val="none" w:sz="0" w:space="0" w:color="auto"/>
        <w:right w:val="none" w:sz="0" w:space="0" w:color="auto"/>
      </w:divBdr>
    </w:div>
    <w:div w:id="1434664674">
      <w:bodyDiv w:val="1"/>
      <w:marLeft w:val="0"/>
      <w:marRight w:val="0"/>
      <w:marTop w:val="0"/>
      <w:marBottom w:val="0"/>
      <w:divBdr>
        <w:top w:val="none" w:sz="0" w:space="0" w:color="auto"/>
        <w:left w:val="none" w:sz="0" w:space="0" w:color="auto"/>
        <w:bottom w:val="none" w:sz="0" w:space="0" w:color="auto"/>
        <w:right w:val="none" w:sz="0" w:space="0" w:color="auto"/>
      </w:divBdr>
    </w:div>
    <w:div w:id="1438525518">
      <w:bodyDiv w:val="1"/>
      <w:marLeft w:val="0"/>
      <w:marRight w:val="0"/>
      <w:marTop w:val="0"/>
      <w:marBottom w:val="0"/>
      <w:divBdr>
        <w:top w:val="none" w:sz="0" w:space="0" w:color="auto"/>
        <w:left w:val="none" w:sz="0" w:space="0" w:color="auto"/>
        <w:bottom w:val="none" w:sz="0" w:space="0" w:color="auto"/>
        <w:right w:val="none" w:sz="0" w:space="0" w:color="auto"/>
      </w:divBdr>
      <w:divsChild>
        <w:div w:id="854223558">
          <w:marLeft w:val="547"/>
          <w:marRight w:val="0"/>
          <w:marTop w:val="0"/>
          <w:marBottom w:val="0"/>
          <w:divBdr>
            <w:top w:val="none" w:sz="0" w:space="0" w:color="auto"/>
            <w:left w:val="none" w:sz="0" w:space="0" w:color="auto"/>
            <w:bottom w:val="none" w:sz="0" w:space="0" w:color="auto"/>
            <w:right w:val="none" w:sz="0" w:space="0" w:color="auto"/>
          </w:divBdr>
        </w:div>
      </w:divsChild>
    </w:div>
    <w:div w:id="1470434219">
      <w:bodyDiv w:val="1"/>
      <w:marLeft w:val="0"/>
      <w:marRight w:val="0"/>
      <w:marTop w:val="0"/>
      <w:marBottom w:val="0"/>
      <w:divBdr>
        <w:top w:val="none" w:sz="0" w:space="0" w:color="auto"/>
        <w:left w:val="none" w:sz="0" w:space="0" w:color="auto"/>
        <w:bottom w:val="none" w:sz="0" w:space="0" w:color="auto"/>
        <w:right w:val="none" w:sz="0" w:space="0" w:color="auto"/>
      </w:divBdr>
    </w:div>
    <w:div w:id="1483159871">
      <w:bodyDiv w:val="1"/>
      <w:marLeft w:val="0"/>
      <w:marRight w:val="0"/>
      <w:marTop w:val="0"/>
      <w:marBottom w:val="0"/>
      <w:divBdr>
        <w:top w:val="none" w:sz="0" w:space="0" w:color="auto"/>
        <w:left w:val="none" w:sz="0" w:space="0" w:color="auto"/>
        <w:bottom w:val="none" w:sz="0" w:space="0" w:color="auto"/>
        <w:right w:val="none" w:sz="0" w:space="0" w:color="auto"/>
      </w:divBdr>
    </w:div>
    <w:div w:id="1525553834">
      <w:bodyDiv w:val="1"/>
      <w:marLeft w:val="0"/>
      <w:marRight w:val="0"/>
      <w:marTop w:val="0"/>
      <w:marBottom w:val="0"/>
      <w:divBdr>
        <w:top w:val="none" w:sz="0" w:space="0" w:color="auto"/>
        <w:left w:val="none" w:sz="0" w:space="0" w:color="auto"/>
        <w:bottom w:val="none" w:sz="0" w:space="0" w:color="auto"/>
        <w:right w:val="none" w:sz="0" w:space="0" w:color="auto"/>
      </w:divBdr>
    </w:div>
    <w:div w:id="1559970719">
      <w:bodyDiv w:val="1"/>
      <w:marLeft w:val="0"/>
      <w:marRight w:val="0"/>
      <w:marTop w:val="0"/>
      <w:marBottom w:val="0"/>
      <w:divBdr>
        <w:top w:val="none" w:sz="0" w:space="0" w:color="auto"/>
        <w:left w:val="none" w:sz="0" w:space="0" w:color="auto"/>
        <w:bottom w:val="none" w:sz="0" w:space="0" w:color="auto"/>
        <w:right w:val="none" w:sz="0" w:space="0" w:color="auto"/>
      </w:divBdr>
      <w:divsChild>
        <w:div w:id="223182625">
          <w:marLeft w:val="446"/>
          <w:marRight w:val="0"/>
          <w:marTop w:val="120"/>
          <w:marBottom w:val="120"/>
          <w:divBdr>
            <w:top w:val="none" w:sz="0" w:space="0" w:color="auto"/>
            <w:left w:val="none" w:sz="0" w:space="0" w:color="auto"/>
            <w:bottom w:val="none" w:sz="0" w:space="0" w:color="auto"/>
            <w:right w:val="none" w:sz="0" w:space="0" w:color="auto"/>
          </w:divBdr>
        </w:div>
        <w:div w:id="1053697035">
          <w:marLeft w:val="446"/>
          <w:marRight w:val="0"/>
          <w:marTop w:val="120"/>
          <w:marBottom w:val="120"/>
          <w:divBdr>
            <w:top w:val="none" w:sz="0" w:space="0" w:color="auto"/>
            <w:left w:val="none" w:sz="0" w:space="0" w:color="auto"/>
            <w:bottom w:val="none" w:sz="0" w:space="0" w:color="auto"/>
            <w:right w:val="none" w:sz="0" w:space="0" w:color="auto"/>
          </w:divBdr>
        </w:div>
      </w:divsChild>
    </w:div>
    <w:div w:id="1576477468">
      <w:bodyDiv w:val="1"/>
      <w:marLeft w:val="0"/>
      <w:marRight w:val="0"/>
      <w:marTop w:val="0"/>
      <w:marBottom w:val="0"/>
      <w:divBdr>
        <w:top w:val="none" w:sz="0" w:space="0" w:color="auto"/>
        <w:left w:val="none" w:sz="0" w:space="0" w:color="auto"/>
        <w:bottom w:val="none" w:sz="0" w:space="0" w:color="auto"/>
        <w:right w:val="none" w:sz="0" w:space="0" w:color="auto"/>
      </w:divBdr>
    </w:div>
    <w:div w:id="1615015446">
      <w:bodyDiv w:val="1"/>
      <w:marLeft w:val="0"/>
      <w:marRight w:val="0"/>
      <w:marTop w:val="0"/>
      <w:marBottom w:val="0"/>
      <w:divBdr>
        <w:top w:val="none" w:sz="0" w:space="0" w:color="auto"/>
        <w:left w:val="none" w:sz="0" w:space="0" w:color="auto"/>
        <w:bottom w:val="none" w:sz="0" w:space="0" w:color="auto"/>
        <w:right w:val="none" w:sz="0" w:space="0" w:color="auto"/>
      </w:divBdr>
    </w:div>
    <w:div w:id="1627538308">
      <w:bodyDiv w:val="1"/>
      <w:marLeft w:val="0"/>
      <w:marRight w:val="0"/>
      <w:marTop w:val="0"/>
      <w:marBottom w:val="0"/>
      <w:divBdr>
        <w:top w:val="none" w:sz="0" w:space="0" w:color="auto"/>
        <w:left w:val="none" w:sz="0" w:space="0" w:color="auto"/>
        <w:bottom w:val="none" w:sz="0" w:space="0" w:color="auto"/>
        <w:right w:val="none" w:sz="0" w:space="0" w:color="auto"/>
      </w:divBdr>
    </w:div>
    <w:div w:id="1695961449">
      <w:bodyDiv w:val="1"/>
      <w:marLeft w:val="0"/>
      <w:marRight w:val="0"/>
      <w:marTop w:val="0"/>
      <w:marBottom w:val="0"/>
      <w:divBdr>
        <w:top w:val="none" w:sz="0" w:space="0" w:color="auto"/>
        <w:left w:val="none" w:sz="0" w:space="0" w:color="auto"/>
        <w:bottom w:val="none" w:sz="0" w:space="0" w:color="auto"/>
        <w:right w:val="none" w:sz="0" w:space="0" w:color="auto"/>
      </w:divBdr>
      <w:divsChild>
        <w:div w:id="924146093">
          <w:marLeft w:val="446"/>
          <w:marRight w:val="0"/>
          <w:marTop w:val="120"/>
          <w:marBottom w:val="120"/>
          <w:divBdr>
            <w:top w:val="none" w:sz="0" w:space="0" w:color="auto"/>
            <w:left w:val="none" w:sz="0" w:space="0" w:color="auto"/>
            <w:bottom w:val="none" w:sz="0" w:space="0" w:color="auto"/>
            <w:right w:val="none" w:sz="0" w:space="0" w:color="auto"/>
          </w:divBdr>
        </w:div>
        <w:div w:id="1476944653">
          <w:marLeft w:val="446"/>
          <w:marRight w:val="0"/>
          <w:marTop w:val="120"/>
          <w:marBottom w:val="120"/>
          <w:divBdr>
            <w:top w:val="none" w:sz="0" w:space="0" w:color="auto"/>
            <w:left w:val="none" w:sz="0" w:space="0" w:color="auto"/>
            <w:bottom w:val="none" w:sz="0" w:space="0" w:color="auto"/>
            <w:right w:val="none" w:sz="0" w:space="0" w:color="auto"/>
          </w:divBdr>
        </w:div>
        <w:div w:id="1957328109">
          <w:marLeft w:val="446"/>
          <w:marRight w:val="0"/>
          <w:marTop w:val="120"/>
          <w:marBottom w:val="120"/>
          <w:divBdr>
            <w:top w:val="none" w:sz="0" w:space="0" w:color="auto"/>
            <w:left w:val="none" w:sz="0" w:space="0" w:color="auto"/>
            <w:bottom w:val="none" w:sz="0" w:space="0" w:color="auto"/>
            <w:right w:val="none" w:sz="0" w:space="0" w:color="auto"/>
          </w:divBdr>
        </w:div>
        <w:div w:id="251397137">
          <w:marLeft w:val="446"/>
          <w:marRight w:val="0"/>
          <w:marTop w:val="120"/>
          <w:marBottom w:val="120"/>
          <w:divBdr>
            <w:top w:val="none" w:sz="0" w:space="0" w:color="auto"/>
            <w:left w:val="none" w:sz="0" w:space="0" w:color="auto"/>
            <w:bottom w:val="none" w:sz="0" w:space="0" w:color="auto"/>
            <w:right w:val="none" w:sz="0" w:space="0" w:color="auto"/>
          </w:divBdr>
        </w:div>
        <w:div w:id="112596215">
          <w:marLeft w:val="446"/>
          <w:marRight w:val="0"/>
          <w:marTop w:val="120"/>
          <w:marBottom w:val="120"/>
          <w:divBdr>
            <w:top w:val="none" w:sz="0" w:space="0" w:color="auto"/>
            <w:left w:val="none" w:sz="0" w:space="0" w:color="auto"/>
            <w:bottom w:val="none" w:sz="0" w:space="0" w:color="auto"/>
            <w:right w:val="none" w:sz="0" w:space="0" w:color="auto"/>
          </w:divBdr>
        </w:div>
        <w:div w:id="1381058156">
          <w:marLeft w:val="446"/>
          <w:marRight w:val="0"/>
          <w:marTop w:val="120"/>
          <w:marBottom w:val="120"/>
          <w:divBdr>
            <w:top w:val="none" w:sz="0" w:space="0" w:color="auto"/>
            <w:left w:val="none" w:sz="0" w:space="0" w:color="auto"/>
            <w:bottom w:val="none" w:sz="0" w:space="0" w:color="auto"/>
            <w:right w:val="none" w:sz="0" w:space="0" w:color="auto"/>
          </w:divBdr>
        </w:div>
        <w:div w:id="682241689">
          <w:marLeft w:val="446"/>
          <w:marRight w:val="0"/>
          <w:marTop w:val="120"/>
          <w:marBottom w:val="120"/>
          <w:divBdr>
            <w:top w:val="none" w:sz="0" w:space="0" w:color="auto"/>
            <w:left w:val="none" w:sz="0" w:space="0" w:color="auto"/>
            <w:bottom w:val="none" w:sz="0" w:space="0" w:color="auto"/>
            <w:right w:val="none" w:sz="0" w:space="0" w:color="auto"/>
          </w:divBdr>
        </w:div>
        <w:div w:id="132060878">
          <w:marLeft w:val="446"/>
          <w:marRight w:val="0"/>
          <w:marTop w:val="120"/>
          <w:marBottom w:val="120"/>
          <w:divBdr>
            <w:top w:val="none" w:sz="0" w:space="0" w:color="auto"/>
            <w:left w:val="none" w:sz="0" w:space="0" w:color="auto"/>
            <w:bottom w:val="none" w:sz="0" w:space="0" w:color="auto"/>
            <w:right w:val="none" w:sz="0" w:space="0" w:color="auto"/>
          </w:divBdr>
        </w:div>
      </w:divsChild>
    </w:div>
    <w:div w:id="1701203938">
      <w:bodyDiv w:val="1"/>
      <w:marLeft w:val="0"/>
      <w:marRight w:val="0"/>
      <w:marTop w:val="0"/>
      <w:marBottom w:val="0"/>
      <w:divBdr>
        <w:top w:val="none" w:sz="0" w:space="0" w:color="auto"/>
        <w:left w:val="none" w:sz="0" w:space="0" w:color="auto"/>
        <w:bottom w:val="none" w:sz="0" w:space="0" w:color="auto"/>
        <w:right w:val="none" w:sz="0" w:space="0" w:color="auto"/>
      </w:divBdr>
      <w:divsChild>
        <w:div w:id="1411582879">
          <w:marLeft w:val="446"/>
          <w:marRight w:val="0"/>
          <w:marTop w:val="0"/>
          <w:marBottom w:val="160"/>
          <w:divBdr>
            <w:top w:val="none" w:sz="0" w:space="0" w:color="auto"/>
            <w:left w:val="none" w:sz="0" w:space="0" w:color="auto"/>
            <w:bottom w:val="none" w:sz="0" w:space="0" w:color="auto"/>
            <w:right w:val="none" w:sz="0" w:space="0" w:color="auto"/>
          </w:divBdr>
        </w:div>
      </w:divsChild>
    </w:div>
    <w:div w:id="1765959330">
      <w:bodyDiv w:val="1"/>
      <w:marLeft w:val="0"/>
      <w:marRight w:val="0"/>
      <w:marTop w:val="0"/>
      <w:marBottom w:val="0"/>
      <w:divBdr>
        <w:top w:val="none" w:sz="0" w:space="0" w:color="auto"/>
        <w:left w:val="none" w:sz="0" w:space="0" w:color="auto"/>
        <w:bottom w:val="none" w:sz="0" w:space="0" w:color="auto"/>
        <w:right w:val="none" w:sz="0" w:space="0" w:color="auto"/>
      </w:divBdr>
      <w:divsChild>
        <w:div w:id="2094086374">
          <w:marLeft w:val="547"/>
          <w:marRight w:val="0"/>
          <w:marTop w:val="0"/>
          <w:marBottom w:val="0"/>
          <w:divBdr>
            <w:top w:val="none" w:sz="0" w:space="0" w:color="auto"/>
            <w:left w:val="none" w:sz="0" w:space="0" w:color="auto"/>
            <w:bottom w:val="none" w:sz="0" w:space="0" w:color="auto"/>
            <w:right w:val="none" w:sz="0" w:space="0" w:color="auto"/>
          </w:divBdr>
        </w:div>
      </w:divsChild>
    </w:div>
    <w:div w:id="1799495783">
      <w:bodyDiv w:val="1"/>
      <w:marLeft w:val="0"/>
      <w:marRight w:val="0"/>
      <w:marTop w:val="0"/>
      <w:marBottom w:val="0"/>
      <w:divBdr>
        <w:top w:val="none" w:sz="0" w:space="0" w:color="auto"/>
        <w:left w:val="none" w:sz="0" w:space="0" w:color="auto"/>
        <w:bottom w:val="none" w:sz="0" w:space="0" w:color="auto"/>
        <w:right w:val="none" w:sz="0" w:space="0" w:color="auto"/>
      </w:divBdr>
    </w:div>
    <w:div w:id="1807426545">
      <w:bodyDiv w:val="1"/>
      <w:marLeft w:val="0"/>
      <w:marRight w:val="0"/>
      <w:marTop w:val="0"/>
      <w:marBottom w:val="0"/>
      <w:divBdr>
        <w:top w:val="none" w:sz="0" w:space="0" w:color="auto"/>
        <w:left w:val="none" w:sz="0" w:space="0" w:color="auto"/>
        <w:bottom w:val="none" w:sz="0" w:space="0" w:color="auto"/>
        <w:right w:val="none" w:sz="0" w:space="0" w:color="auto"/>
      </w:divBdr>
      <w:divsChild>
        <w:div w:id="2003391722">
          <w:marLeft w:val="360"/>
          <w:marRight w:val="0"/>
          <w:marTop w:val="200"/>
          <w:marBottom w:val="0"/>
          <w:divBdr>
            <w:top w:val="none" w:sz="0" w:space="0" w:color="auto"/>
            <w:left w:val="none" w:sz="0" w:space="0" w:color="auto"/>
            <w:bottom w:val="none" w:sz="0" w:space="0" w:color="auto"/>
            <w:right w:val="none" w:sz="0" w:space="0" w:color="auto"/>
          </w:divBdr>
        </w:div>
        <w:div w:id="1528369538">
          <w:marLeft w:val="360"/>
          <w:marRight w:val="0"/>
          <w:marTop w:val="200"/>
          <w:marBottom w:val="0"/>
          <w:divBdr>
            <w:top w:val="none" w:sz="0" w:space="0" w:color="auto"/>
            <w:left w:val="none" w:sz="0" w:space="0" w:color="auto"/>
            <w:bottom w:val="none" w:sz="0" w:space="0" w:color="auto"/>
            <w:right w:val="none" w:sz="0" w:space="0" w:color="auto"/>
          </w:divBdr>
        </w:div>
        <w:div w:id="698118947">
          <w:marLeft w:val="360"/>
          <w:marRight w:val="0"/>
          <w:marTop w:val="200"/>
          <w:marBottom w:val="0"/>
          <w:divBdr>
            <w:top w:val="none" w:sz="0" w:space="0" w:color="auto"/>
            <w:left w:val="none" w:sz="0" w:space="0" w:color="auto"/>
            <w:bottom w:val="none" w:sz="0" w:space="0" w:color="auto"/>
            <w:right w:val="none" w:sz="0" w:space="0" w:color="auto"/>
          </w:divBdr>
        </w:div>
        <w:div w:id="1260258575">
          <w:marLeft w:val="360"/>
          <w:marRight w:val="0"/>
          <w:marTop w:val="200"/>
          <w:marBottom w:val="0"/>
          <w:divBdr>
            <w:top w:val="none" w:sz="0" w:space="0" w:color="auto"/>
            <w:left w:val="none" w:sz="0" w:space="0" w:color="auto"/>
            <w:bottom w:val="none" w:sz="0" w:space="0" w:color="auto"/>
            <w:right w:val="none" w:sz="0" w:space="0" w:color="auto"/>
          </w:divBdr>
        </w:div>
        <w:div w:id="484202814">
          <w:marLeft w:val="360"/>
          <w:marRight w:val="0"/>
          <w:marTop w:val="200"/>
          <w:marBottom w:val="0"/>
          <w:divBdr>
            <w:top w:val="none" w:sz="0" w:space="0" w:color="auto"/>
            <w:left w:val="none" w:sz="0" w:space="0" w:color="auto"/>
            <w:bottom w:val="none" w:sz="0" w:space="0" w:color="auto"/>
            <w:right w:val="none" w:sz="0" w:space="0" w:color="auto"/>
          </w:divBdr>
        </w:div>
        <w:div w:id="630327573">
          <w:marLeft w:val="360"/>
          <w:marRight w:val="0"/>
          <w:marTop w:val="200"/>
          <w:marBottom w:val="0"/>
          <w:divBdr>
            <w:top w:val="none" w:sz="0" w:space="0" w:color="auto"/>
            <w:left w:val="none" w:sz="0" w:space="0" w:color="auto"/>
            <w:bottom w:val="none" w:sz="0" w:space="0" w:color="auto"/>
            <w:right w:val="none" w:sz="0" w:space="0" w:color="auto"/>
          </w:divBdr>
        </w:div>
        <w:div w:id="672951790">
          <w:marLeft w:val="360"/>
          <w:marRight w:val="0"/>
          <w:marTop w:val="200"/>
          <w:marBottom w:val="0"/>
          <w:divBdr>
            <w:top w:val="none" w:sz="0" w:space="0" w:color="auto"/>
            <w:left w:val="none" w:sz="0" w:space="0" w:color="auto"/>
            <w:bottom w:val="none" w:sz="0" w:space="0" w:color="auto"/>
            <w:right w:val="none" w:sz="0" w:space="0" w:color="auto"/>
          </w:divBdr>
        </w:div>
        <w:div w:id="632295214">
          <w:marLeft w:val="360"/>
          <w:marRight w:val="0"/>
          <w:marTop w:val="200"/>
          <w:marBottom w:val="0"/>
          <w:divBdr>
            <w:top w:val="none" w:sz="0" w:space="0" w:color="auto"/>
            <w:left w:val="none" w:sz="0" w:space="0" w:color="auto"/>
            <w:bottom w:val="none" w:sz="0" w:space="0" w:color="auto"/>
            <w:right w:val="none" w:sz="0" w:space="0" w:color="auto"/>
          </w:divBdr>
        </w:div>
      </w:divsChild>
    </w:div>
    <w:div w:id="1811705473">
      <w:bodyDiv w:val="1"/>
      <w:marLeft w:val="0"/>
      <w:marRight w:val="0"/>
      <w:marTop w:val="0"/>
      <w:marBottom w:val="0"/>
      <w:divBdr>
        <w:top w:val="none" w:sz="0" w:space="0" w:color="auto"/>
        <w:left w:val="none" w:sz="0" w:space="0" w:color="auto"/>
        <w:bottom w:val="none" w:sz="0" w:space="0" w:color="auto"/>
        <w:right w:val="none" w:sz="0" w:space="0" w:color="auto"/>
      </w:divBdr>
      <w:divsChild>
        <w:div w:id="1633175310">
          <w:marLeft w:val="1440"/>
          <w:marRight w:val="0"/>
          <w:marTop w:val="80"/>
          <w:marBottom w:val="80"/>
          <w:divBdr>
            <w:top w:val="none" w:sz="0" w:space="0" w:color="auto"/>
            <w:left w:val="none" w:sz="0" w:space="0" w:color="auto"/>
            <w:bottom w:val="none" w:sz="0" w:space="0" w:color="auto"/>
            <w:right w:val="none" w:sz="0" w:space="0" w:color="auto"/>
          </w:divBdr>
        </w:div>
        <w:div w:id="1191795139">
          <w:marLeft w:val="1440"/>
          <w:marRight w:val="0"/>
          <w:marTop w:val="80"/>
          <w:marBottom w:val="80"/>
          <w:divBdr>
            <w:top w:val="none" w:sz="0" w:space="0" w:color="auto"/>
            <w:left w:val="none" w:sz="0" w:space="0" w:color="auto"/>
            <w:bottom w:val="none" w:sz="0" w:space="0" w:color="auto"/>
            <w:right w:val="none" w:sz="0" w:space="0" w:color="auto"/>
          </w:divBdr>
        </w:div>
        <w:div w:id="1720012114">
          <w:marLeft w:val="1987"/>
          <w:marRight w:val="0"/>
          <w:marTop w:val="80"/>
          <w:marBottom w:val="80"/>
          <w:divBdr>
            <w:top w:val="none" w:sz="0" w:space="0" w:color="auto"/>
            <w:left w:val="none" w:sz="0" w:space="0" w:color="auto"/>
            <w:bottom w:val="none" w:sz="0" w:space="0" w:color="auto"/>
            <w:right w:val="none" w:sz="0" w:space="0" w:color="auto"/>
          </w:divBdr>
        </w:div>
        <w:div w:id="1374580067">
          <w:marLeft w:val="1987"/>
          <w:marRight w:val="0"/>
          <w:marTop w:val="80"/>
          <w:marBottom w:val="80"/>
          <w:divBdr>
            <w:top w:val="none" w:sz="0" w:space="0" w:color="auto"/>
            <w:left w:val="none" w:sz="0" w:space="0" w:color="auto"/>
            <w:bottom w:val="none" w:sz="0" w:space="0" w:color="auto"/>
            <w:right w:val="none" w:sz="0" w:space="0" w:color="auto"/>
          </w:divBdr>
        </w:div>
        <w:div w:id="1212228843">
          <w:marLeft w:val="1987"/>
          <w:marRight w:val="0"/>
          <w:marTop w:val="80"/>
          <w:marBottom w:val="80"/>
          <w:divBdr>
            <w:top w:val="none" w:sz="0" w:space="0" w:color="auto"/>
            <w:left w:val="none" w:sz="0" w:space="0" w:color="auto"/>
            <w:bottom w:val="none" w:sz="0" w:space="0" w:color="auto"/>
            <w:right w:val="none" w:sz="0" w:space="0" w:color="auto"/>
          </w:divBdr>
        </w:div>
      </w:divsChild>
    </w:div>
    <w:div w:id="1977639686">
      <w:bodyDiv w:val="1"/>
      <w:marLeft w:val="0"/>
      <w:marRight w:val="0"/>
      <w:marTop w:val="0"/>
      <w:marBottom w:val="0"/>
      <w:divBdr>
        <w:top w:val="none" w:sz="0" w:space="0" w:color="auto"/>
        <w:left w:val="none" w:sz="0" w:space="0" w:color="auto"/>
        <w:bottom w:val="none" w:sz="0" w:space="0" w:color="auto"/>
        <w:right w:val="none" w:sz="0" w:space="0" w:color="auto"/>
      </w:divBdr>
    </w:div>
    <w:div w:id="1984508451">
      <w:bodyDiv w:val="1"/>
      <w:marLeft w:val="0"/>
      <w:marRight w:val="0"/>
      <w:marTop w:val="0"/>
      <w:marBottom w:val="0"/>
      <w:divBdr>
        <w:top w:val="none" w:sz="0" w:space="0" w:color="auto"/>
        <w:left w:val="none" w:sz="0" w:space="0" w:color="auto"/>
        <w:bottom w:val="none" w:sz="0" w:space="0" w:color="auto"/>
        <w:right w:val="none" w:sz="0" w:space="0" w:color="auto"/>
      </w:divBdr>
    </w:div>
    <w:div w:id="1996638002">
      <w:bodyDiv w:val="1"/>
      <w:marLeft w:val="0"/>
      <w:marRight w:val="0"/>
      <w:marTop w:val="0"/>
      <w:marBottom w:val="0"/>
      <w:divBdr>
        <w:top w:val="none" w:sz="0" w:space="0" w:color="auto"/>
        <w:left w:val="none" w:sz="0" w:space="0" w:color="auto"/>
        <w:bottom w:val="none" w:sz="0" w:space="0" w:color="auto"/>
        <w:right w:val="none" w:sz="0" w:space="0" w:color="auto"/>
      </w:divBdr>
    </w:div>
    <w:div w:id="2070375039">
      <w:bodyDiv w:val="1"/>
      <w:marLeft w:val="0"/>
      <w:marRight w:val="0"/>
      <w:marTop w:val="0"/>
      <w:marBottom w:val="0"/>
      <w:divBdr>
        <w:top w:val="none" w:sz="0" w:space="0" w:color="auto"/>
        <w:left w:val="none" w:sz="0" w:space="0" w:color="auto"/>
        <w:bottom w:val="none" w:sz="0" w:space="0" w:color="auto"/>
        <w:right w:val="none" w:sz="0" w:space="0" w:color="auto"/>
      </w:divBdr>
      <w:divsChild>
        <w:div w:id="1782873697">
          <w:marLeft w:val="547"/>
          <w:marRight w:val="0"/>
          <w:marTop w:val="0"/>
          <w:marBottom w:val="0"/>
          <w:divBdr>
            <w:top w:val="none" w:sz="0" w:space="0" w:color="auto"/>
            <w:left w:val="none" w:sz="0" w:space="0" w:color="auto"/>
            <w:bottom w:val="none" w:sz="0" w:space="0" w:color="auto"/>
            <w:right w:val="none" w:sz="0" w:space="0" w:color="auto"/>
          </w:divBdr>
        </w:div>
      </w:divsChild>
    </w:div>
    <w:div w:id="2086032149">
      <w:bodyDiv w:val="1"/>
      <w:marLeft w:val="0"/>
      <w:marRight w:val="0"/>
      <w:marTop w:val="0"/>
      <w:marBottom w:val="0"/>
      <w:divBdr>
        <w:top w:val="none" w:sz="0" w:space="0" w:color="auto"/>
        <w:left w:val="none" w:sz="0" w:space="0" w:color="auto"/>
        <w:bottom w:val="none" w:sz="0" w:space="0" w:color="auto"/>
        <w:right w:val="none" w:sz="0" w:space="0" w:color="auto"/>
      </w:divBdr>
      <w:divsChild>
        <w:div w:id="1318920588">
          <w:marLeft w:val="446"/>
          <w:marRight w:val="0"/>
          <w:marTop w:val="120"/>
          <w:marBottom w:val="120"/>
          <w:divBdr>
            <w:top w:val="none" w:sz="0" w:space="0" w:color="auto"/>
            <w:left w:val="none" w:sz="0" w:space="0" w:color="auto"/>
            <w:bottom w:val="none" w:sz="0" w:space="0" w:color="auto"/>
            <w:right w:val="none" w:sz="0" w:space="0" w:color="auto"/>
          </w:divBdr>
        </w:div>
        <w:div w:id="1064067544">
          <w:marLeft w:val="446"/>
          <w:marRight w:val="0"/>
          <w:marTop w:val="120"/>
          <w:marBottom w:val="120"/>
          <w:divBdr>
            <w:top w:val="none" w:sz="0" w:space="0" w:color="auto"/>
            <w:left w:val="none" w:sz="0" w:space="0" w:color="auto"/>
            <w:bottom w:val="none" w:sz="0" w:space="0" w:color="auto"/>
            <w:right w:val="none" w:sz="0" w:space="0" w:color="auto"/>
          </w:divBdr>
        </w:div>
        <w:div w:id="504516854">
          <w:marLeft w:val="446"/>
          <w:marRight w:val="0"/>
          <w:marTop w:val="120"/>
          <w:marBottom w:val="120"/>
          <w:divBdr>
            <w:top w:val="none" w:sz="0" w:space="0" w:color="auto"/>
            <w:left w:val="none" w:sz="0" w:space="0" w:color="auto"/>
            <w:bottom w:val="none" w:sz="0" w:space="0" w:color="auto"/>
            <w:right w:val="none" w:sz="0" w:space="0" w:color="auto"/>
          </w:divBdr>
        </w:div>
      </w:divsChild>
    </w:div>
    <w:div w:id="2094930009">
      <w:bodyDiv w:val="1"/>
      <w:marLeft w:val="0"/>
      <w:marRight w:val="0"/>
      <w:marTop w:val="0"/>
      <w:marBottom w:val="0"/>
      <w:divBdr>
        <w:top w:val="none" w:sz="0" w:space="0" w:color="auto"/>
        <w:left w:val="none" w:sz="0" w:space="0" w:color="auto"/>
        <w:bottom w:val="none" w:sz="0" w:space="0" w:color="auto"/>
        <w:right w:val="none" w:sz="0" w:space="0" w:color="auto"/>
      </w:divBdr>
      <w:divsChild>
        <w:div w:id="496651602">
          <w:marLeft w:val="446"/>
          <w:marRight w:val="0"/>
          <w:marTop w:val="120"/>
          <w:marBottom w:val="120"/>
          <w:divBdr>
            <w:top w:val="none" w:sz="0" w:space="0" w:color="auto"/>
            <w:left w:val="none" w:sz="0" w:space="0" w:color="auto"/>
            <w:bottom w:val="none" w:sz="0" w:space="0" w:color="auto"/>
            <w:right w:val="none" w:sz="0" w:space="0" w:color="auto"/>
          </w:divBdr>
        </w:div>
        <w:div w:id="99766062">
          <w:marLeft w:val="446"/>
          <w:marRight w:val="0"/>
          <w:marTop w:val="120"/>
          <w:marBottom w:val="120"/>
          <w:divBdr>
            <w:top w:val="none" w:sz="0" w:space="0" w:color="auto"/>
            <w:left w:val="none" w:sz="0" w:space="0" w:color="auto"/>
            <w:bottom w:val="none" w:sz="0" w:space="0" w:color="auto"/>
            <w:right w:val="none" w:sz="0" w:space="0" w:color="auto"/>
          </w:divBdr>
        </w:div>
        <w:div w:id="1739202916">
          <w:marLeft w:val="446"/>
          <w:marRight w:val="0"/>
          <w:marTop w:val="120"/>
          <w:marBottom w:val="120"/>
          <w:divBdr>
            <w:top w:val="none" w:sz="0" w:space="0" w:color="auto"/>
            <w:left w:val="none" w:sz="0" w:space="0" w:color="auto"/>
            <w:bottom w:val="none" w:sz="0" w:space="0" w:color="auto"/>
            <w:right w:val="none" w:sz="0" w:space="0" w:color="auto"/>
          </w:divBdr>
        </w:div>
      </w:divsChild>
    </w:div>
    <w:div w:id="2110157203">
      <w:bodyDiv w:val="1"/>
      <w:marLeft w:val="0"/>
      <w:marRight w:val="0"/>
      <w:marTop w:val="0"/>
      <w:marBottom w:val="0"/>
      <w:divBdr>
        <w:top w:val="none" w:sz="0" w:space="0" w:color="auto"/>
        <w:left w:val="none" w:sz="0" w:space="0" w:color="auto"/>
        <w:bottom w:val="none" w:sz="0" w:space="0" w:color="auto"/>
        <w:right w:val="none" w:sz="0" w:space="0" w:color="auto"/>
      </w:divBdr>
    </w:div>
    <w:div w:id="2120300054">
      <w:bodyDiv w:val="1"/>
      <w:marLeft w:val="0"/>
      <w:marRight w:val="0"/>
      <w:marTop w:val="0"/>
      <w:marBottom w:val="0"/>
      <w:divBdr>
        <w:top w:val="none" w:sz="0" w:space="0" w:color="auto"/>
        <w:left w:val="none" w:sz="0" w:space="0" w:color="auto"/>
        <w:bottom w:val="none" w:sz="0" w:space="0" w:color="auto"/>
        <w:right w:val="none" w:sz="0" w:space="0" w:color="auto"/>
      </w:divBdr>
    </w:div>
    <w:div w:id="2134322818">
      <w:bodyDiv w:val="1"/>
      <w:marLeft w:val="0"/>
      <w:marRight w:val="0"/>
      <w:marTop w:val="0"/>
      <w:marBottom w:val="0"/>
      <w:divBdr>
        <w:top w:val="none" w:sz="0" w:space="0" w:color="auto"/>
        <w:left w:val="none" w:sz="0" w:space="0" w:color="auto"/>
        <w:bottom w:val="none" w:sz="0" w:space="0" w:color="auto"/>
        <w:right w:val="none" w:sz="0" w:space="0" w:color="auto"/>
      </w:divBdr>
      <w:divsChild>
        <w:div w:id="3220098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Layout" Target="diagrams/layout3.xml"/><Relationship Id="rId26" Type="http://schemas.openxmlformats.org/officeDocument/2006/relationships/diagramData" Target="diagrams/data5.xml"/><Relationship Id="rId39" Type="http://schemas.openxmlformats.org/officeDocument/2006/relationships/chart" Target="charts/chart7.xml"/><Relationship Id="rId21" Type="http://schemas.openxmlformats.org/officeDocument/2006/relationships/chart" Target="charts/chart2.xml"/><Relationship Id="rId34" Type="http://schemas.openxmlformats.org/officeDocument/2006/relationships/chart" Target="charts/chart3.xml"/><Relationship Id="rId42" Type="http://schemas.openxmlformats.org/officeDocument/2006/relationships/chart" Target="charts/chart10.xml"/><Relationship Id="rId47" Type="http://schemas.openxmlformats.org/officeDocument/2006/relationships/diagramData" Target="diagrams/data8.xml"/><Relationship Id="rId50" Type="http://schemas.openxmlformats.org/officeDocument/2006/relationships/diagramColors" Target="diagrams/colors8.xml"/><Relationship Id="rId55" Type="http://schemas.openxmlformats.org/officeDocument/2006/relationships/diagramColors" Target="diagrams/colors9.xml"/><Relationship Id="rId63" Type="http://schemas.microsoft.com/office/2007/relationships/diagramDrawing" Target="diagrams/drawing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Colors" Target="diagrams/colors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QuickStyle" Target="diagrams/quickStyle4.xml"/><Relationship Id="rId32" Type="http://schemas.openxmlformats.org/officeDocument/2006/relationships/diagramQuickStyle" Target="diagrams/quickStyle6.xml"/><Relationship Id="rId37" Type="http://schemas.openxmlformats.org/officeDocument/2006/relationships/image" Target="media/image1.emf"/><Relationship Id="rId40" Type="http://schemas.openxmlformats.org/officeDocument/2006/relationships/chart" Target="charts/chart8.xml"/><Relationship Id="rId45" Type="http://schemas.openxmlformats.org/officeDocument/2006/relationships/diagramQuickStyle" Target="diagrams/quickStyle7.xml"/><Relationship Id="rId53" Type="http://schemas.openxmlformats.org/officeDocument/2006/relationships/diagramLayout" Target="diagrams/layout9.xml"/><Relationship Id="rId58" Type="http://schemas.openxmlformats.org/officeDocument/2006/relationships/theme" Target="theme/theme1.xml"/><Relationship Id="rId66" Type="http://schemas.microsoft.com/office/2007/relationships/diagramDrawing" Target="diagrams/drawing9.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Layout" Target="diagrams/layout4.xml"/><Relationship Id="rId28" Type="http://schemas.openxmlformats.org/officeDocument/2006/relationships/diagramQuickStyle" Target="diagrams/quickStyle5.xml"/><Relationship Id="rId36" Type="http://schemas.openxmlformats.org/officeDocument/2006/relationships/chart" Target="charts/chart5.xml"/><Relationship Id="rId49" Type="http://schemas.openxmlformats.org/officeDocument/2006/relationships/diagramQuickStyle" Target="diagrams/quickStyle8.xml"/><Relationship Id="rId57" Type="http://schemas.openxmlformats.org/officeDocument/2006/relationships/glossaryDocument" Target="glossary/document.xml"/><Relationship Id="rId61" Type="http://schemas.microsoft.com/office/2007/relationships/diagramDrawing" Target="diagrams/drawing5.xml"/><Relationship Id="rId10" Type="http://schemas.openxmlformats.org/officeDocument/2006/relationships/diagramQuickStyle" Target="diagrams/quickStyle1.xml"/><Relationship Id="rId19" Type="http://schemas.openxmlformats.org/officeDocument/2006/relationships/diagramQuickStyle" Target="diagrams/quickStyle3.xml"/><Relationship Id="rId31" Type="http://schemas.openxmlformats.org/officeDocument/2006/relationships/diagramLayout" Target="diagrams/layout6.xml"/><Relationship Id="rId44" Type="http://schemas.openxmlformats.org/officeDocument/2006/relationships/diagramLayout" Target="diagrams/layout7.xml"/><Relationship Id="rId52" Type="http://schemas.openxmlformats.org/officeDocument/2006/relationships/diagramData" Target="diagrams/data9.xml"/><Relationship Id="rId60" Type="http://schemas.microsoft.com/office/2007/relationships/diagramDrawing" Target="diagrams/drawing6.xml"/><Relationship Id="rId65"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Data" Target="diagrams/data4.xml"/><Relationship Id="rId27" Type="http://schemas.openxmlformats.org/officeDocument/2006/relationships/diagramLayout" Target="diagrams/layout5.xml"/><Relationship Id="rId30" Type="http://schemas.openxmlformats.org/officeDocument/2006/relationships/diagramData" Target="diagrams/data6.xml"/><Relationship Id="rId35" Type="http://schemas.openxmlformats.org/officeDocument/2006/relationships/chart" Target="charts/chart4.xml"/><Relationship Id="rId43" Type="http://schemas.openxmlformats.org/officeDocument/2006/relationships/diagramData" Target="diagrams/data7.xml"/><Relationship Id="rId48" Type="http://schemas.openxmlformats.org/officeDocument/2006/relationships/diagramLayout" Target="diagrams/layout8.xml"/><Relationship Id="rId56" Type="http://schemas.openxmlformats.org/officeDocument/2006/relationships/fontTable" Target="fontTable.xml"/><Relationship Id="rId64" Type="http://schemas.microsoft.com/office/2007/relationships/diagramDrawing" Target="diagrams/drawing8.xml"/><Relationship Id="rId8" Type="http://schemas.openxmlformats.org/officeDocument/2006/relationships/diagramData" Target="diagrams/data1.xm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Colors" Target="diagrams/colors6.xml"/><Relationship Id="rId38" Type="http://schemas.openxmlformats.org/officeDocument/2006/relationships/chart" Target="charts/chart6.xml"/><Relationship Id="rId46" Type="http://schemas.openxmlformats.org/officeDocument/2006/relationships/diagramColors" Target="diagrams/colors7.xml"/><Relationship Id="rId59" Type="http://schemas.microsoft.com/office/2007/relationships/diagramDrawing" Target="diagrams/drawing2.xml"/><Relationship Id="rId67" Type="http://schemas.microsoft.com/office/2007/relationships/diagramDrawing" Target="diagrams/drawing1.xml"/><Relationship Id="rId20" Type="http://schemas.openxmlformats.org/officeDocument/2006/relationships/diagramColors" Target="diagrams/colors3.xml"/><Relationship Id="rId41" Type="http://schemas.openxmlformats.org/officeDocument/2006/relationships/chart" Target="charts/chart9.xml"/><Relationship Id="rId54" Type="http://schemas.openxmlformats.org/officeDocument/2006/relationships/diagramQuickStyle" Target="diagrams/quickStyle9.xml"/><Relationship Id="rId62" Type="http://schemas.microsoft.com/office/2007/relationships/diagramDrawing" Target="diagrams/drawing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mogorosi\AppData\Roaming\Microsoft\Excel\Graphs%20(version%201).xlsb"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Jaco%20Pienaar\Desktop\Analysis\Analysis%20Clients\2020\Analysis%20September%202020\ParliamentSENT\Quarterly\Parliament%20Q3%202020%20DONE.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tmogorosi\Documents\PMU\Reporting\2020_21\Quarter%202\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tmogorosi\Documents\PMU\Reporting\2020_21\Quarter%202\Graph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tmogorosi\Documents\PMU\Reporting\2020_21\Quarter%202\Graphs.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tmogorosi\Documents\PMU\Reporting\2020_21\Quarter%202\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aco%20Pienaar\Desktop\Analysis%20October%202020\Parliament\Parliament%20April%20to%20Septembe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Jaco%20Pienaar\Desktop\Analysis\Analysis%20Clients\2020\Analysis%20June%202020\ParliamentSENT\Parliament%20Apr%20-%20Jun%202020%20DON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Jaco%20Pienaar\Desktop\Analysis\Analysis%20Clients\2020\Analysis%20September%202020\ParliamentSENT\Quarterly\Parliament%20Q3%202020%20DO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ZA"/>
  <c:chart>
    <c:title>
      <c:tx>
        <c:rich>
          <a:bodyPr rot="0" spcFirstLastPara="1" vertOverflow="ellipsis" vert="horz" wrap="square" anchor="ctr" anchorCtr="1"/>
          <a:lstStyle/>
          <a:p>
            <a:pPr>
              <a:defRPr lang="en-US" sz="1400" b="1" i="0" u="none" strike="noStrike" kern="1200" spc="0" baseline="0">
                <a:solidFill>
                  <a:sysClr val="windowText" lastClr="000000"/>
                </a:solidFill>
                <a:latin typeface="+mn-lt"/>
                <a:ea typeface="+mn-ea"/>
                <a:cs typeface="+mn-cs"/>
              </a:defRPr>
            </a:pPr>
            <a:r>
              <a:rPr lang="en-ZA" sz="1400" b="1" i="0" baseline="0">
                <a:solidFill>
                  <a:sysClr val="windowText" lastClr="000000"/>
                </a:solidFill>
                <a:effectLst/>
              </a:rPr>
              <a:t>Overall Institutional Performance </a:t>
            </a:r>
            <a:endParaRPr lang="en-ZA" sz="1400" b="1">
              <a:solidFill>
                <a:sysClr val="windowText" lastClr="000000"/>
              </a:solidFill>
              <a:effectLst/>
            </a:endParaRPr>
          </a:p>
          <a:p>
            <a:pPr>
              <a:defRPr lang="en-US" sz="1400" b="1" i="0" u="none" strike="noStrike" kern="1200" spc="0" baseline="0">
                <a:solidFill>
                  <a:sysClr val="windowText" lastClr="000000"/>
                </a:solidFill>
                <a:latin typeface="+mn-lt"/>
                <a:ea typeface="+mn-ea"/>
                <a:cs typeface="+mn-cs"/>
              </a:defRPr>
            </a:pPr>
            <a:r>
              <a:rPr lang="en-ZA" sz="1400" b="1" i="0" baseline="0">
                <a:solidFill>
                  <a:sysClr val="windowText" lastClr="000000"/>
                </a:solidFill>
                <a:effectLst/>
              </a:rPr>
              <a:t>Mid-Year 2020/21</a:t>
            </a:r>
            <a:endParaRPr lang="en-ZA" sz="1400" b="1">
              <a:solidFill>
                <a:sysClr val="windowText" lastClr="000000"/>
              </a:solidFill>
              <a:effectLst/>
            </a:endParaRPr>
          </a:p>
        </c:rich>
      </c:tx>
      <c:spPr>
        <a:noFill/>
        <a:ln>
          <a:noFill/>
        </a:ln>
        <a:effectLst/>
      </c:spPr>
    </c:title>
    <c:plotArea>
      <c:layout/>
      <c:doughnutChart>
        <c:varyColors val="1"/>
        <c:ser>
          <c:idx val="0"/>
          <c:order val="0"/>
          <c:dPt>
            <c:idx val="0"/>
            <c:spPr>
              <a:solidFill>
                <a:srgbClr val="00B050"/>
              </a:solidFill>
              <a:ln w="19050">
                <a:solidFill>
                  <a:srgbClr val="00B050"/>
                </a:solidFill>
              </a:ln>
              <a:effectLst/>
            </c:spPr>
            <c:extLst xmlns:c16r2="http://schemas.microsoft.com/office/drawing/2015/06/chart">
              <c:ext xmlns:c16="http://schemas.microsoft.com/office/drawing/2014/chart" uri="{C3380CC4-5D6E-409C-BE32-E72D297353CC}">
                <c16:uniqueId val="{00000001-C008-4BE3-AE1B-18B24E90C04B}"/>
              </c:ext>
            </c:extLst>
          </c:dPt>
          <c:dPt>
            <c:idx val="1"/>
            <c:spPr>
              <a:solidFill>
                <a:srgbClr val="FF0000"/>
              </a:solidFill>
              <a:ln w="19050">
                <a:solidFill>
                  <a:srgbClr val="FF0000"/>
                </a:solidFill>
              </a:ln>
              <a:effectLst/>
            </c:spPr>
            <c:extLst xmlns:c16r2="http://schemas.microsoft.com/office/drawing/2015/06/chart">
              <c:ext xmlns:c16="http://schemas.microsoft.com/office/drawing/2014/chart" uri="{C3380CC4-5D6E-409C-BE32-E72D297353CC}">
                <c16:uniqueId val="{00000003-C008-4BE3-AE1B-18B24E90C04B}"/>
              </c:ext>
            </c:extLst>
          </c:dPt>
          <c:val>
            <c:numRef>
              <c:f>Programmes!$B$13:$C$13</c:f>
              <c:numCache>
                <c:formatCode>0%</c:formatCode>
                <c:ptCount val="2"/>
                <c:pt idx="0" formatCode="0.00%">
                  <c:v>0.71428571428571452</c:v>
                </c:pt>
                <c:pt idx="1">
                  <c:v>0.28571428571428586</c:v>
                </c:pt>
              </c:numCache>
            </c:numRef>
          </c:val>
          <c:extLst xmlns:c16r2="http://schemas.microsoft.com/office/drawing/2015/06/chart">
            <c:ext xmlns:c16="http://schemas.microsoft.com/office/drawing/2014/chart" uri="{C3380CC4-5D6E-409C-BE32-E72D297353CC}">
              <c16:uniqueId val="{00000004-C008-4BE3-AE1B-18B24E90C04B}"/>
            </c:ext>
          </c:extLst>
        </c:ser>
        <c:firstSliceAng val="0"/>
        <c:holeSize val="65"/>
      </c:doughnut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en-US"/>
    </a:p>
  </c:tx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ZA"/>
  <c:chart>
    <c:title>
      <c:tx>
        <c:rich>
          <a:bodyPr rot="0" spcFirstLastPara="1" vertOverflow="ellipsis" vert="horz" wrap="square" anchor="ctr" anchorCtr="1"/>
          <a:lstStyle/>
          <a:p>
            <a:pPr>
              <a:defRPr lang="en-US" sz="1400" b="1" i="0" u="none" strike="noStrike" kern="1200" spc="0" baseline="0">
                <a:solidFill>
                  <a:schemeClr val="tx1"/>
                </a:solidFill>
                <a:latin typeface="+mn-lt"/>
                <a:ea typeface="+mn-ea"/>
                <a:cs typeface="+mn-cs"/>
              </a:defRPr>
            </a:pPr>
            <a:r>
              <a:rPr lang="en-US" sz="1400" b="1"/>
              <a:t>Committee</a:t>
            </a:r>
            <a:r>
              <a:rPr lang="en-US" sz="1400" b="1" baseline="0"/>
              <a:t> Chairperson Mentions</a:t>
            </a:r>
            <a:endParaRPr lang="en-US" sz="1400" b="1"/>
          </a:p>
        </c:rich>
      </c:tx>
      <c:spPr>
        <a:noFill/>
        <a:ln>
          <a:noFill/>
        </a:ln>
        <a:effectLst/>
      </c:spPr>
    </c:title>
    <c:plotArea>
      <c:layout/>
      <c:barChart>
        <c:barDir val="col"/>
        <c:grouping val="clustered"/>
        <c:ser>
          <c:idx val="0"/>
          <c:order val="0"/>
          <c:tx>
            <c:strRef>
              <c:f>Chairs!$R$84</c:f>
              <c:strCache>
                <c:ptCount val="1"/>
                <c:pt idx="0">
                  <c:v>Print</c:v>
                </c:pt>
              </c:strCache>
            </c:strRef>
          </c:tx>
          <c:spPr>
            <a:solidFill>
              <a:schemeClr val="accent1"/>
            </a:solidFill>
            <a:ln>
              <a:solidFill>
                <a:schemeClr val="accent1"/>
              </a:solidFill>
            </a:ln>
            <a:effectLst/>
          </c:spPr>
          <c:cat>
            <c:strRef>
              <c:f>Chairs!$Q$85:$Q$115</c:f>
              <c:strCache>
                <c:ptCount val="31"/>
                <c:pt idx="0">
                  <c:v>Beauty Dlulane</c:v>
                </c:pt>
                <c:pt idx="1">
                  <c:v>Bongani Bongo</c:v>
                </c:pt>
                <c:pt idx="2">
                  <c:v>Bongiwe Mbingo</c:v>
                </c:pt>
                <c:pt idx="3">
                  <c:v>Bongiwe Mbingogigaba</c:v>
                </c:pt>
                <c:pt idx="4">
                  <c:v>Cyril Xaba</c:v>
                </c:pt>
                <c:pt idx="5">
                  <c:v>Dikeledi Mahlangu</c:v>
                </c:pt>
                <c:pt idx="6">
                  <c:v>Duma Nkosi</c:v>
                </c:pt>
                <c:pt idx="7">
                  <c:v>Faith Muthambi</c:v>
                </c:pt>
                <c:pt idx="8">
                  <c:v>Fikile Xasa</c:v>
                </c:pt>
                <c:pt idx="9">
                  <c:v>Hope Papo</c:v>
                </c:pt>
                <c:pt idx="10">
                  <c:v>Joe Maswanganyi</c:v>
                </c:pt>
                <c:pt idx="11">
                  <c:v>Kenneth Mmoiemang</c:v>
                </c:pt>
                <c:pt idx="12">
                  <c:v>Lindelwa Dunjwa</c:v>
                </c:pt>
                <c:pt idx="13">
                  <c:v>Mamagase Nchabeleng</c:v>
                </c:pt>
                <c:pt idx="14">
                  <c:v>Mandla Mandela</c:v>
                </c:pt>
                <c:pt idx="15">
                  <c:v>Mandla Rayi</c:v>
                </c:pt>
                <c:pt idx="16">
                  <c:v>Maurencia Gillion</c:v>
                </c:pt>
                <c:pt idx="17">
                  <c:v>Mondli Gungubele</c:v>
                </c:pt>
                <c:pt idx="18">
                  <c:v>Mosebenzi Zwane</c:v>
                </c:pt>
                <c:pt idx="19">
                  <c:v>Philemon Mapulane</c:v>
                </c:pt>
                <c:pt idx="20">
                  <c:v>Rosina Semenya</c:v>
                </c:pt>
                <c:pt idx="21">
                  <c:v>Sakhumzi Somyo</c:v>
                </c:pt>
                <c:pt idx="22">
                  <c:v>Sibongiseni Dhlomo</c:v>
                </c:pt>
                <c:pt idx="23">
                  <c:v>Sifiso Buthelezi</c:v>
                </c:pt>
                <c:pt idx="24">
                  <c:v>Supra Mahumapelo</c:v>
                </c:pt>
                <c:pt idx="25">
                  <c:v>Tebogo Modise</c:v>
                </c:pt>
                <c:pt idx="26">
                  <c:v>Thandi Mahambehlala</c:v>
                </c:pt>
                <c:pt idx="27">
                  <c:v>Tina Joemat Petersen</c:v>
                </c:pt>
                <c:pt idx="28">
                  <c:v>Violet Siwela</c:v>
                </c:pt>
                <c:pt idx="29">
                  <c:v>Yunus Carrim</c:v>
                </c:pt>
                <c:pt idx="30">
                  <c:v>Zukiswa Ncitha</c:v>
                </c:pt>
              </c:strCache>
            </c:strRef>
          </c:cat>
          <c:val>
            <c:numRef>
              <c:f>Chairs!$R$85:$R$115</c:f>
              <c:numCache>
                <c:formatCode>General</c:formatCode>
                <c:ptCount val="31"/>
                <c:pt idx="0">
                  <c:v>29</c:v>
                </c:pt>
                <c:pt idx="1">
                  <c:v>92</c:v>
                </c:pt>
                <c:pt idx="2">
                  <c:v>9</c:v>
                </c:pt>
                <c:pt idx="3">
                  <c:v>1</c:v>
                </c:pt>
                <c:pt idx="4">
                  <c:v>33</c:v>
                </c:pt>
                <c:pt idx="5">
                  <c:v>3</c:v>
                </c:pt>
                <c:pt idx="6">
                  <c:v>16</c:v>
                </c:pt>
                <c:pt idx="7">
                  <c:v>31</c:v>
                </c:pt>
                <c:pt idx="8">
                  <c:v>0</c:v>
                </c:pt>
                <c:pt idx="9">
                  <c:v>6</c:v>
                </c:pt>
                <c:pt idx="10">
                  <c:v>8</c:v>
                </c:pt>
                <c:pt idx="11">
                  <c:v>0</c:v>
                </c:pt>
                <c:pt idx="12">
                  <c:v>11</c:v>
                </c:pt>
                <c:pt idx="13">
                  <c:v>2</c:v>
                </c:pt>
                <c:pt idx="14">
                  <c:v>5</c:v>
                </c:pt>
                <c:pt idx="15">
                  <c:v>4</c:v>
                </c:pt>
                <c:pt idx="16">
                  <c:v>2</c:v>
                </c:pt>
                <c:pt idx="17">
                  <c:v>12</c:v>
                </c:pt>
                <c:pt idx="18">
                  <c:v>73</c:v>
                </c:pt>
                <c:pt idx="19">
                  <c:v>0</c:v>
                </c:pt>
                <c:pt idx="20">
                  <c:v>0</c:v>
                </c:pt>
                <c:pt idx="21">
                  <c:v>8</c:v>
                </c:pt>
                <c:pt idx="22">
                  <c:v>41</c:v>
                </c:pt>
                <c:pt idx="23">
                  <c:v>3</c:v>
                </c:pt>
                <c:pt idx="24">
                  <c:v>37</c:v>
                </c:pt>
                <c:pt idx="25">
                  <c:v>4</c:v>
                </c:pt>
                <c:pt idx="26">
                  <c:v>0</c:v>
                </c:pt>
                <c:pt idx="27">
                  <c:v>0</c:v>
                </c:pt>
                <c:pt idx="28">
                  <c:v>3</c:v>
                </c:pt>
                <c:pt idx="29">
                  <c:v>10</c:v>
                </c:pt>
                <c:pt idx="30">
                  <c:v>2</c:v>
                </c:pt>
              </c:numCache>
            </c:numRef>
          </c:val>
          <c:extLst xmlns:c16r2="http://schemas.microsoft.com/office/drawing/2015/06/chart">
            <c:ext xmlns:c16="http://schemas.microsoft.com/office/drawing/2014/chart" uri="{C3380CC4-5D6E-409C-BE32-E72D297353CC}">
              <c16:uniqueId val="{00000000-4440-4AEA-A1A0-F835F464BB13}"/>
            </c:ext>
          </c:extLst>
        </c:ser>
        <c:ser>
          <c:idx val="1"/>
          <c:order val="1"/>
          <c:tx>
            <c:strRef>
              <c:f>Chairs!$S$84</c:f>
              <c:strCache>
                <c:ptCount val="1"/>
                <c:pt idx="0">
                  <c:v>Broadcast</c:v>
                </c:pt>
              </c:strCache>
            </c:strRef>
          </c:tx>
          <c:spPr>
            <a:solidFill>
              <a:schemeClr val="accent3"/>
            </a:solidFill>
            <a:ln>
              <a:solidFill>
                <a:schemeClr val="accent3"/>
              </a:solidFill>
            </a:ln>
            <a:effectLst/>
          </c:spPr>
          <c:cat>
            <c:strRef>
              <c:f>Chairs!$Q$85:$Q$115</c:f>
              <c:strCache>
                <c:ptCount val="31"/>
                <c:pt idx="0">
                  <c:v>Beauty Dlulane</c:v>
                </c:pt>
                <c:pt idx="1">
                  <c:v>Bongani Bongo</c:v>
                </c:pt>
                <c:pt idx="2">
                  <c:v>Bongiwe Mbingo</c:v>
                </c:pt>
                <c:pt idx="3">
                  <c:v>Bongiwe Mbingogigaba</c:v>
                </c:pt>
                <c:pt idx="4">
                  <c:v>Cyril Xaba</c:v>
                </c:pt>
                <c:pt idx="5">
                  <c:v>Dikeledi Mahlangu</c:v>
                </c:pt>
                <c:pt idx="6">
                  <c:v>Duma Nkosi</c:v>
                </c:pt>
                <c:pt idx="7">
                  <c:v>Faith Muthambi</c:v>
                </c:pt>
                <c:pt idx="8">
                  <c:v>Fikile Xasa</c:v>
                </c:pt>
                <c:pt idx="9">
                  <c:v>Hope Papo</c:v>
                </c:pt>
                <c:pt idx="10">
                  <c:v>Joe Maswanganyi</c:v>
                </c:pt>
                <c:pt idx="11">
                  <c:v>Kenneth Mmoiemang</c:v>
                </c:pt>
                <c:pt idx="12">
                  <c:v>Lindelwa Dunjwa</c:v>
                </c:pt>
                <c:pt idx="13">
                  <c:v>Mamagase Nchabeleng</c:v>
                </c:pt>
                <c:pt idx="14">
                  <c:v>Mandla Mandela</c:v>
                </c:pt>
                <c:pt idx="15">
                  <c:v>Mandla Rayi</c:v>
                </c:pt>
                <c:pt idx="16">
                  <c:v>Maurencia Gillion</c:v>
                </c:pt>
                <c:pt idx="17">
                  <c:v>Mondli Gungubele</c:v>
                </c:pt>
                <c:pt idx="18">
                  <c:v>Mosebenzi Zwane</c:v>
                </c:pt>
                <c:pt idx="19">
                  <c:v>Philemon Mapulane</c:v>
                </c:pt>
                <c:pt idx="20">
                  <c:v>Rosina Semenya</c:v>
                </c:pt>
                <c:pt idx="21">
                  <c:v>Sakhumzi Somyo</c:v>
                </c:pt>
                <c:pt idx="22">
                  <c:v>Sibongiseni Dhlomo</c:v>
                </c:pt>
                <c:pt idx="23">
                  <c:v>Sifiso Buthelezi</c:v>
                </c:pt>
                <c:pt idx="24">
                  <c:v>Supra Mahumapelo</c:v>
                </c:pt>
                <c:pt idx="25">
                  <c:v>Tebogo Modise</c:v>
                </c:pt>
                <c:pt idx="26">
                  <c:v>Thandi Mahambehlala</c:v>
                </c:pt>
                <c:pt idx="27">
                  <c:v>Tina Joemat Petersen</c:v>
                </c:pt>
                <c:pt idx="28">
                  <c:v>Violet Siwela</c:v>
                </c:pt>
                <c:pt idx="29">
                  <c:v>Yunus Carrim</c:v>
                </c:pt>
                <c:pt idx="30">
                  <c:v>Zukiswa Ncitha</c:v>
                </c:pt>
              </c:strCache>
            </c:strRef>
          </c:cat>
          <c:val>
            <c:numRef>
              <c:f>Chairs!$S$85:$S$115</c:f>
              <c:numCache>
                <c:formatCode>General</c:formatCode>
                <c:ptCount val="31"/>
                <c:pt idx="0">
                  <c:v>1</c:v>
                </c:pt>
                <c:pt idx="1">
                  <c:v>55</c:v>
                </c:pt>
                <c:pt idx="2">
                  <c:v>1</c:v>
                </c:pt>
                <c:pt idx="3">
                  <c:v>0</c:v>
                </c:pt>
                <c:pt idx="4">
                  <c:v>65</c:v>
                </c:pt>
                <c:pt idx="5">
                  <c:v>2</c:v>
                </c:pt>
                <c:pt idx="6">
                  <c:v>8</c:v>
                </c:pt>
                <c:pt idx="7">
                  <c:v>55</c:v>
                </c:pt>
                <c:pt idx="8">
                  <c:v>0</c:v>
                </c:pt>
                <c:pt idx="9">
                  <c:v>1</c:v>
                </c:pt>
                <c:pt idx="10">
                  <c:v>19</c:v>
                </c:pt>
                <c:pt idx="11">
                  <c:v>0</c:v>
                </c:pt>
                <c:pt idx="12">
                  <c:v>2</c:v>
                </c:pt>
                <c:pt idx="13">
                  <c:v>0</c:v>
                </c:pt>
                <c:pt idx="14">
                  <c:v>0</c:v>
                </c:pt>
                <c:pt idx="15">
                  <c:v>0</c:v>
                </c:pt>
                <c:pt idx="16">
                  <c:v>0</c:v>
                </c:pt>
                <c:pt idx="17">
                  <c:v>27</c:v>
                </c:pt>
                <c:pt idx="18">
                  <c:v>25</c:v>
                </c:pt>
                <c:pt idx="19">
                  <c:v>2</c:v>
                </c:pt>
                <c:pt idx="20">
                  <c:v>2</c:v>
                </c:pt>
                <c:pt idx="21">
                  <c:v>1</c:v>
                </c:pt>
                <c:pt idx="22">
                  <c:v>83</c:v>
                </c:pt>
                <c:pt idx="23">
                  <c:v>13</c:v>
                </c:pt>
                <c:pt idx="24">
                  <c:v>12</c:v>
                </c:pt>
                <c:pt idx="25">
                  <c:v>0</c:v>
                </c:pt>
                <c:pt idx="26">
                  <c:v>7</c:v>
                </c:pt>
                <c:pt idx="27">
                  <c:v>0</c:v>
                </c:pt>
                <c:pt idx="28">
                  <c:v>0</c:v>
                </c:pt>
                <c:pt idx="29">
                  <c:v>3</c:v>
                </c:pt>
                <c:pt idx="30">
                  <c:v>0</c:v>
                </c:pt>
              </c:numCache>
            </c:numRef>
          </c:val>
          <c:extLst xmlns:c16r2="http://schemas.microsoft.com/office/drawing/2015/06/chart">
            <c:ext xmlns:c16="http://schemas.microsoft.com/office/drawing/2014/chart" uri="{C3380CC4-5D6E-409C-BE32-E72D297353CC}">
              <c16:uniqueId val="{00000001-4440-4AEA-A1A0-F835F464BB13}"/>
            </c:ext>
          </c:extLst>
        </c:ser>
        <c:ser>
          <c:idx val="2"/>
          <c:order val="2"/>
          <c:tx>
            <c:strRef>
              <c:f>Chairs!$T$84</c:f>
              <c:strCache>
                <c:ptCount val="1"/>
                <c:pt idx="0">
                  <c:v>Online</c:v>
                </c:pt>
              </c:strCache>
            </c:strRef>
          </c:tx>
          <c:spPr>
            <a:solidFill>
              <a:schemeClr val="accent5"/>
            </a:solidFill>
            <a:ln>
              <a:solidFill>
                <a:schemeClr val="accent5"/>
              </a:solidFill>
            </a:ln>
            <a:effectLst/>
          </c:spPr>
          <c:cat>
            <c:strRef>
              <c:f>Chairs!$Q$85:$Q$115</c:f>
              <c:strCache>
                <c:ptCount val="31"/>
                <c:pt idx="0">
                  <c:v>Beauty Dlulane</c:v>
                </c:pt>
                <c:pt idx="1">
                  <c:v>Bongani Bongo</c:v>
                </c:pt>
                <c:pt idx="2">
                  <c:v>Bongiwe Mbingo</c:v>
                </c:pt>
                <c:pt idx="3">
                  <c:v>Bongiwe Mbingogigaba</c:v>
                </c:pt>
                <c:pt idx="4">
                  <c:v>Cyril Xaba</c:v>
                </c:pt>
                <c:pt idx="5">
                  <c:v>Dikeledi Mahlangu</c:v>
                </c:pt>
                <c:pt idx="6">
                  <c:v>Duma Nkosi</c:v>
                </c:pt>
                <c:pt idx="7">
                  <c:v>Faith Muthambi</c:v>
                </c:pt>
                <c:pt idx="8">
                  <c:v>Fikile Xasa</c:v>
                </c:pt>
                <c:pt idx="9">
                  <c:v>Hope Papo</c:v>
                </c:pt>
                <c:pt idx="10">
                  <c:v>Joe Maswanganyi</c:v>
                </c:pt>
                <c:pt idx="11">
                  <c:v>Kenneth Mmoiemang</c:v>
                </c:pt>
                <c:pt idx="12">
                  <c:v>Lindelwa Dunjwa</c:v>
                </c:pt>
                <c:pt idx="13">
                  <c:v>Mamagase Nchabeleng</c:v>
                </c:pt>
                <c:pt idx="14">
                  <c:v>Mandla Mandela</c:v>
                </c:pt>
                <c:pt idx="15">
                  <c:v>Mandla Rayi</c:v>
                </c:pt>
                <c:pt idx="16">
                  <c:v>Maurencia Gillion</c:v>
                </c:pt>
                <c:pt idx="17">
                  <c:v>Mondli Gungubele</c:v>
                </c:pt>
                <c:pt idx="18">
                  <c:v>Mosebenzi Zwane</c:v>
                </c:pt>
                <c:pt idx="19">
                  <c:v>Philemon Mapulane</c:v>
                </c:pt>
                <c:pt idx="20">
                  <c:v>Rosina Semenya</c:v>
                </c:pt>
                <c:pt idx="21">
                  <c:v>Sakhumzi Somyo</c:v>
                </c:pt>
                <c:pt idx="22">
                  <c:v>Sibongiseni Dhlomo</c:v>
                </c:pt>
                <c:pt idx="23">
                  <c:v>Sifiso Buthelezi</c:v>
                </c:pt>
                <c:pt idx="24">
                  <c:v>Supra Mahumapelo</c:v>
                </c:pt>
                <c:pt idx="25">
                  <c:v>Tebogo Modise</c:v>
                </c:pt>
                <c:pt idx="26">
                  <c:v>Thandi Mahambehlala</c:v>
                </c:pt>
                <c:pt idx="27">
                  <c:v>Tina Joemat Petersen</c:v>
                </c:pt>
                <c:pt idx="28">
                  <c:v>Violet Siwela</c:v>
                </c:pt>
                <c:pt idx="29">
                  <c:v>Yunus Carrim</c:v>
                </c:pt>
                <c:pt idx="30">
                  <c:v>Zukiswa Ncitha</c:v>
                </c:pt>
              </c:strCache>
            </c:strRef>
          </c:cat>
          <c:val>
            <c:numRef>
              <c:f>Chairs!$T$85:$T$115</c:f>
              <c:numCache>
                <c:formatCode>General</c:formatCode>
                <c:ptCount val="31"/>
                <c:pt idx="0">
                  <c:v>28</c:v>
                </c:pt>
                <c:pt idx="1">
                  <c:v>186</c:v>
                </c:pt>
                <c:pt idx="2">
                  <c:v>1</c:v>
                </c:pt>
                <c:pt idx="3">
                  <c:v>0</c:v>
                </c:pt>
                <c:pt idx="4">
                  <c:v>147</c:v>
                </c:pt>
                <c:pt idx="5">
                  <c:v>8</c:v>
                </c:pt>
                <c:pt idx="6">
                  <c:v>51</c:v>
                </c:pt>
                <c:pt idx="7">
                  <c:v>168</c:v>
                </c:pt>
                <c:pt idx="8">
                  <c:v>6</c:v>
                </c:pt>
                <c:pt idx="9">
                  <c:v>14</c:v>
                </c:pt>
                <c:pt idx="10">
                  <c:v>52</c:v>
                </c:pt>
                <c:pt idx="11">
                  <c:v>5</c:v>
                </c:pt>
                <c:pt idx="12">
                  <c:v>4</c:v>
                </c:pt>
                <c:pt idx="13">
                  <c:v>3</c:v>
                </c:pt>
                <c:pt idx="14">
                  <c:v>7</c:v>
                </c:pt>
                <c:pt idx="15">
                  <c:v>4</c:v>
                </c:pt>
                <c:pt idx="16">
                  <c:v>7</c:v>
                </c:pt>
                <c:pt idx="17">
                  <c:v>25</c:v>
                </c:pt>
                <c:pt idx="18">
                  <c:v>67</c:v>
                </c:pt>
                <c:pt idx="19">
                  <c:v>1</c:v>
                </c:pt>
                <c:pt idx="20">
                  <c:v>0</c:v>
                </c:pt>
                <c:pt idx="21">
                  <c:v>11</c:v>
                </c:pt>
                <c:pt idx="22">
                  <c:v>183</c:v>
                </c:pt>
                <c:pt idx="23">
                  <c:v>10</c:v>
                </c:pt>
                <c:pt idx="24">
                  <c:v>67</c:v>
                </c:pt>
                <c:pt idx="25">
                  <c:v>19</c:v>
                </c:pt>
                <c:pt idx="26">
                  <c:v>2</c:v>
                </c:pt>
                <c:pt idx="27">
                  <c:v>1</c:v>
                </c:pt>
                <c:pt idx="28">
                  <c:v>15</c:v>
                </c:pt>
                <c:pt idx="29">
                  <c:v>22</c:v>
                </c:pt>
                <c:pt idx="30">
                  <c:v>6</c:v>
                </c:pt>
              </c:numCache>
            </c:numRef>
          </c:val>
          <c:extLst xmlns:c16r2="http://schemas.microsoft.com/office/drawing/2015/06/chart">
            <c:ext xmlns:c16="http://schemas.microsoft.com/office/drawing/2014/chart" uri="{C3380CC4-5D6E-409C-BE32-E72D297353CC}">
              <c16:uniqueId val="{00000002-4440-4AEA-A1A0-F835F464BB13}"/>
            </c:ext>
          </c:extLst>
        </c:ser>
        <c:gapWidth val="227"/>
        <c:overlap val="-27"/>
        <c:axId val="120766464"/>
        <c:axId val="120768000"/>
      </c:barChart>
      <c:catAx>
        <c:axId val="1207664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50" b="1" i="0" u="none" strike="noStrike" kern="1200" baseline="0">
                <a:solidFill>
                  <a:schemeClr val="tx1"/>
                </a:solidFill>
                <a:latin typeface="+mn-lt"/>
                <a:ea typeface="+mn-ea"/>
                <a:cs typeface="+mn-cs"/>
              </a:defRPr>
            </a:pPr>
            <a:endParaRPr lang="en-US"/>
          </a:p>
        </c:txPr>
        <c:crossAx val="120768000"/>
        <c:crosses val="autoZero"/>
        <c:auto val="1"/>
        <c:lblAlgn val="ctr"/>
        <c:lblOffset val="100"/>
      </c:catAx>
      <c:valAx>
        <c:axId val="120768000"/>
        <c:scaling>
          <c:orientation val="minMax"/>
        </c:scaling>
        <c:axPos val="l"/>
        <c:majorGridlines>
          <c:spPr>
            <a:ln w="19050" cap="flat" cmpd="sng" algn="ctr">
              <a:solidFill>
                <a:schemeClr val="tx1">
                  <a:lumMod val="65000"/>
                  <a:lumOff val="3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en-US"/>
          </a:p>
        </c:txPr>
        <c:crossAx val="1207664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1200" b="1" i="0" u="none" strike="noStrike" kern="1200" baseline="0">
              <a:solidFill>
                <a:schemeClr val="tx1"/>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solidFill>
            <a:schemeClr val="tx1"/>
          </a:solidFil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ZA"/>
  <c:chart>
    <c:title>
      <c:tx>
        <c:rich>
          <a:bodyPr rot="0" spcFirstLastPara="1" vertOverflow="ellipsis" vert="horz" wrap="square" anchor="ctr" anchorCtr="1"/>
          <a:lstStyle/>
          <a:p>
            <a:pPr>
              <a:defRPr lang="en-US" sz="1400" b="0" i="0" u="none" strike="noStrike" kern="1200" spc="0" baseline="0">
                <a:solidFill>
                  <a:sysClr val="windowText" lastClr="000000"/>
                </a:solidFill>
                <a:latin typeface="+mn-lt"/>
                <a:ea typeface="+mn-ea"/>
                <a:cs typeface="+mn-cs"/>
              </a:defRPr>
            </a:pPr>
            <a:r>
              <a:rPr lang="en-ZA" sz="1400" b="1" i="0" cap="all" baseline="0">
                <a:solidFill>
                  <a:sysClr val="windowText" lastClr="000000"/>
                </a:solidFill>
                <a:effectLst/>
              </a:rPr>
              <a:t>Programme 1 Performance</a:t>
            </a:r>
            <a:endParaRPr lang="en-ZA" sz="1400">
              <a:solidFill>
                <a:sysClr val="windowText" lastClr="000000"/>
              </a:solidFill>
              <a:effectLst/>
            </a:endParaRPr>
          </a:p>
          <a:p>
            <a:pPr>
              <a:defRPr lang="en-US" sz="1400" b="0" i="0" u="none" strike="noStrike" kern="1200" spc="0" baseline="0">
                <a:solidFill>
                  <a:sysClr val="windowText" lastClr="000000"/>
                </a:solidFill>
                <a:latin typeface="+mn-lt"/>
                <a:ea typeface="+mn-ea"/>
                <a:cs typeface="+mn-cs"/>
              </a:defRPr>
            </a:pPr>
            <a:r>
              <a:rPr lang="en-ZA" sz="1400" b="1" i="0" cap="all" baseline="0">
                <a:solidFill>
                  <a:sysClr val="windowText" lastClr="000000"/>
                </a:solidFill>
                <a:effectLst/>
              </a:rPr>
              <a:t>Mid-Year 2020/21</a:t>
            </a:r>
            <a:endParaRPr lang="en-ZA" sz="1400">
              <a:solidFill>
                <a:sysClr val="windowText" lastClr="000000"/>
              </a:solidFill>
              <a:effectLst/>
            </a:endParaRPr>
          </a:p>
        </c:rich>
      </c:tx>
      <c:spPr>
        <a:noFill/>
        <a:ln>
          <a:noFill/>
        </a:ln>
        <a:effectLst/>
      </c:spPr>
    </c:title>
    <c:plotArea>
      <c:layout/>
      <c:doughnutChart>
        <c:varyColors val="1"/>
        <c:ser>
          <c:idx val="0"/>
          <c:order val="0"/>
          <c:dPt>
            <c:idx val="0"/>
            <c:spPr>
              <a:solidFill>
                <a:srgbClr val="00B050"/>
              </a:solidFill>
              <a:ln w="19050">
                <a:noFill/>
              </a:ln>
              <a:effectLst/>
            </c:spPr>
            <c:extLst xmlns:c16r2="http://schemas.microsoft.com/office/drawing/2015/06/chart">
              <c:ext xmlns:c16="http://schemas.microsoft.com/office/drawing/2014/chart" uri="{C3380CC4-5D6E-409C-BE32-E72D297353CC}">
                <c16:uniqueId val="{00000001-6816-432D-8040-DF8A61BD007C}"/>
              </c:ext>
            </c:extLst>
          </c:dPt>
          <c:dPt>
            <c:idx val="1"/>
            <c:spPr>
              <a:solidFill>
                <a:srgbClr val="FF0000"/>
              </a:solidFill>
              <a:ln w="19050">
                <a:solidFill>
                  <a:srgbClr val="FF0000"/>
                </a:solidFill>
              </a:ln>
              <a:effectLst/>
            </c:spPr>
            <c:extLst xmlns:c16r2="http://schemas.microsoft.com/office/drawing/2015/06/chart">
              <c:ext xmlns:c16="http://schemas.microsoft.com/office/drawing/2014/chart" uri="{C3380CC4-5D6E-409C-BE32-E72D297353CC}">
                <c16:uniqueId val="{00000003-6816-432D-8040-DF8A61BD007C}"/>
              </c:ext>
            </c:extLst>
          </c:dPt>
          <c:val>
            <c:numRef>
              <c:f>Programmes!$B$3:$C$3</c:f>
              <c:numCache>
                <c:formatCode>0%</c:formatCode>
                <c:ptCount val="2"/>
                <c:pt idx="0">
                  <c:v>0.5</c:v>
                </c:pt>
                <c:pt idx="1">
                  <c:v>0.5</c:v>
                </c:pt>
              </c:numCache>
            </c:numRef>
          </c:val>
          <c:extLst xmlns:c16r2="http://schemas.microsoft.com/office/drawing/2015/06/chart">
            <c:ext xmlns:c16="http://schemas.microsoft.com/office/drawing/2014/chart" uri="{C3380CC4-5D6E-409C-BE32-E72D297353CC}">
              <c16:uniqueId val="{00000004-6816-432D-8040-DF8A61BD007C}"/>
            </c:ext>
          </c:extLst>
        </c:ser>
        <c:firstSliceAng val="0"/>
        <c:holeSize val="65"/>
      </c:doughnut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ZA"/>
  <c:style val="6"/>
  <c:chart>
    <c:title>
      <c:tx>
        <c:rich>
          <a:bodyPr rot="0" spcFirstLastPara="1" vertOverflow="ellipsis" vert="horz" wrap="square" anchor="ctr" anchorCtr="1"/>
          <a:lstStyle/>
          <a:p>
            <a:pPr>
              <a:defRPr lang="en-US" sz="1400" b="1" i="0" u="none" strike="noStrike" kern="1200" cap="none" spc="50" baseline="0">
                <a:solidFill>
                  <a:schemeClr val="tx1">
                    <a:lumMod val="65000"/>
                    <a:lumOff val="35000"/>
                  </a:schemeClr>
                </a:solidFill>
                <a:latin typeface="+mn-lt"/>
                <a:ea typeface="+mn-ea"/>
                <a:cs typeface="+mn-cs"/>
              </a:defRPr>
            </a:pPr>
            <a:r>
              <a:rPr lang="en-US" sz="1400" b="1"/>
              <a:t>Substantive Reports tabled by ISDs</a:t>
            </a:r>
          </a:p>
          <a:p>
            <a:pPr>
              <a:defRPr lang="en-US" sz="1400" b="1" i="0" u="none" strike="noStrike" kern="1200" cap="none" spc="50" baseline="0">
                <a:solidFill>
                  <a:schemeClr val="tx1">
                    <a:lumMod val="65000"/>
                    <a:lumOff val="35000"/>
                  </a:schemeClr>
                </a:solidFill>
                <a:latin typeface="+mn-lt"/>
                <a:ea typeface="+mn-ea"/>
                <a:cs typeface="+mn-cs"/>
              </a:defRPr>
            </a:pPr>
            <a:r>
              <a:rPr lang="en-US" sz="1400" b="1"/>
              <a:t>Mid-Year 2020/21</a:t>
            </a:r>
          </a:p>
        </c:rich>
      </c:tx>
      <c:spPr>
        <a:noFill/>
        <a:ln>
          <a:noFill/>
        </a:ln>
        <a:effectLst/>
      </c:spPr>
    </c:title>
    <c:plotArea>
      <c:layout/>
      <c:barChart>
        <c:barDir val="bar"/>
        <c:grouping val="clustered"/>
        <c:ser>
          <c:idx val="0"/>
          <c:order val="0"/>
          <c:tx>
            <c:strRef>
              <c:f>Sheet1!$B$1</c:f>
              <c:strCache>
                <c:ptCount val="1"/>
                <c:pt idx="0">
                  <c:v>Sales</c:v>
                </c:pt>
              </c:strCache>
            </c:strRef>
          </c:tx>
          <c:spPr>
            <a:noFill/>
            <a:ln w="25400" cap="flat" cmpd="sng" algn="ctr">
              <a:solidFill>
                <a:schemeClr val="accent4"/>
              </a:solidFill>
              <a:miter lim="800000"/>
            </a:ln>
            <a:effectLst/>
          </c:spPr>
          <c:dLbls>
            <c:spPr>
              <a:noFill/>
              <a:ln>
                <a:noFill/>
              </a:ln>
              <a:effectLst/>
            </c:spPr>
            <c:txPr>
              <a:bodyPr rot="0" spcFirstLastPara="1" vertOverflow="ellipsis" vert="horz" wrap="square" lIns="38100" tIns="19050" rIns="38100" bIns="19050" anchor="ctr" anchorCtr="1">
                <a:spAutoFit/>
              </a:bodyPr>
              <a:lstStyle/>
              <a:p>
                <a:pPr>
                  <a:defRPr lang="en-US" sz="1050" b="1" i="0" u="none" strike="noStrike" kern="1200" baseline="0">
                    <a:solidFill>
                      <a:schemeClr val="tx1">
                        <a:lumMod val="65000"/>
                        <a:lumOff val="3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Total number of reports tabled</c:v>
                </c:pt>
                <c:pt idx="1">
                  <c:v>AG</c:v>
                </c:pt>
                <c:pt idx="2">
                  <c:v>CGE</c:v>
                </c:pt>
                <c:pt idx="3">
                  <c:v>FFC</c:v>
                </c:pt>
                <c:pt idx="4">
                  <c:v>Public Protector</c:v>
                </c:pt>
                <c:pt idx="5">
                  <c:v>SAHRC</c:v>
                </c:pt>
              </c:strCache>
            </c:strRef>
          </c:cat>
          <c:val>
            <c:numRef>
              <c:f>Sheet1!$B$2:$B$7</c:f>
              <c:numCache>
                <c:formatCode>General</c:formatCode>
                <c:ptCount val="6"/>
                <c:pt idx="0">
                  <c:v>21</c:v>
                </c:pt>
                <c:pt idx="1">
                  <c:v>5</c:v>
                </c:pt>
                <c:pt idx="2">
                  <c:v>8</c:v>
                </c:pt>
                <c:pt idx="3">
                  <c:v>2</c:v>
                </c:pt>
                <c:pt idx="4">
                  <c:v>2</c:v>
                </c:pt>
                <c:pt idx="5">
                  <c:v>4</c:v>
                </c:pt>
              </c:numCache>
            </c:numRef>
          </c:val>
          <c:extLst xmlns:c16r2="http://schemas.microsoft.com/office/drawing/2015/06/chart">
            <c:ext xmlns:c16="http://schemas.microsoft.com/office/drawing/2014/chart" uri="{C3380CC4-5D6E-409C-BE32-E72D297353CC}">
              <c16:uniqueId val="{00000006-A2F0-4EB4-9DDA-33DD59BFA209}"/>
            </c:ext>
          </c:extLst>
        </c:ser>
        <c:overlap val="-48"/>
        <c:axId val="115026176"/>
        <c:axId val="115024640"/>
      </c:barChart>
      <c:valAx>
        <c:axId val="115024640"/>
        <c:scaling>
          <c:orientation val="minMax"/>
        </c:scaling>
        <c:delete val="1"/>
        <c:axPos val="b"/>
        <c:numFmt formatCode="General" sourceLinked="1"/>
        <c:majorTickMark val="none"/>
        <c:tickLblPos val="nextTo"/>
        <c:crossAx val="115026176"/>
        <c:crosses val="autoZero"/>
        <c:crossBetween val="between"/>
      </c:valAx>
      <c:catAx>
        <c:axId val="115026176"/>
        <c:scaling>
          <c:orientation val="minMax"/>
        </c:scaling>
        <c:axPos val="l"/>
        <c:numFmt formatCode="General" sourceLinked="1"/>
        <c:tickLblPos val="nextTo"/>
        <c:spPr>
          <a:noFill/>
          <a:ln>
            <a:noFill/>
          </a:ln>
          <a:effectLst/>
        </c:spPr>
        <c:txPr>
          <a:bodyPr rot="-60000000" spcFirstLastPara="1" vertOverflow="ellipsis" vert="horz" wrap="square" anchor="ctr" anchorCtr="1"/>
          <a:lstStyle/>
          <a:p>
            <a:pPr>
              <a:defRPr lang="en-US" sz="1100" b="1" i="0" u="none" strike="noStrike" kern="1200" baseline="0">
                <a:solidFill>
                  <a:schemeClr val="accent4">
                    <a:lumMod val="50000"/>
                  </a:schemeClr>
                </a:solidFill>
                <a:latin typeface="+mn-lt"/>
                <a:ea typeface="+mn-ea"/>
                <a:cs typeface="+mn-cs"/>
              </a:defRPr>
            </a:pPr>
            <a:endParaRPr lang="en-US"/>
          </a:p>
        </c:txPr>
        <c:crossAx val="115024640"/>
        <c:crosses val="autoZero"/>
        <c:auto val="1"/>
        <c:lblAlgn val="ctr"/>
        <c:lblOffset val="100"/>
      </c:cat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ZA"/>
  <c:chart>
    <c:title>
      <c:tx>
        <c:rich>
          <a:bodyPr rot="0" spcFirstLastPara="1" vertOverflow="ellipsis" vert="horz" wrap="square" anchor="ctr" anchorCtr="1"/>
          <a:lstStyle/>
          <a:p>
            <a:pPr>
              <a:defRPr lang="en-US" sz="1400" b="0" i="0" u="none" strike="noStrike" kern="1200" spc="0" baseline="0">
                <a:solidFill>
                  <a:sysClr val="windowText" lastClr="000000"/>
                </a:solidFill>
                <a:latin typeface="+mn-lt"/>
                <a:ea typeface="+mn-ea"/>
                <a:cs typeface="+mn-cs"/>
              </a:defRPr>
            </a:pPr>
            <a:r>
              <a:rPr lang="en-ZA" sz="1400" b="1" i="0" cap="all" baseline="0">
                <a:solidFill>
                  <a:sysClr val="windowText" lastClr="000000"/>
                </a:solidFill>
                <a:effectLst/>
              </a:rPr>
              <a:t>Programme 2 Performance</a:t>
            </a:r>
            <a:endParaRPr lang="en-ZA" sz="1400">
              <a:solidFill>
                <a:sysClr val="windowText" lastClr="000000"/>
              </a:solidFill>
              <a:effectLst/>
            </a:endParaRPr>
          </a:p>
          <a:p>
            <a:pPr>
              <a:defRPr lang="en-US" sz="1400" b="0" i="0" u="none" strike="noStrike" kern="1200" spc="0" baseline="0">
                <a:solidFill>
                  <a:sysClr val="windowText" lastClr="000000"/>
                </a:solidFill>
                <a:latin typeface="+mn-lt"/>
                <a:ea typeface="+mn-ea"/>
                <a:cs typeface="+mn-cs"/>
              </a:defRPr>
            </a:pPr>
            <a:r>
              <a:rPr lang="en-ZA" sz="1400" b="1" i="0" cap="all" baseline="0">
                <a:solidFill>
                  <a:sysClr val="windowText" lastClr="000000"/>
                </a:solidFill>
                <a:effectLst/>
              </a:rPr>
              <a:t>Mid-year 2020/21</a:t>
            </a:r>
            <a:endParaRPr lang="en-ZA" sz="1400">
              <a:solidFill>
                <a:sysClr val="windowText" lastClr="000000"/>
              </a:solidFill>
              <a:effectLst/>
            </a:endParaRPr>
          </a:p>
        </c:rich>
      </c:tx>
      <c:spPr>
        <a:noFill/>
        <a:ln>
          <a:noFill/>
        </a:ln>
        <a:effectLst/>
      </c:spPr>
    </c:title>
    <c:plotArea>
      <c:layout/>
      <c:doughnutChart>
        <c:varyColors val="1"/>
        <c:ser>
          <c:idx val="0"/>
          <c:order val="0"/>
          <c:spPr>
            <a:solidFill>
              <a:srgbClr val="00B050"/>
            </a:solidFill>
            <a:ln>
              <a:noFill/>
            </a:ln>
          </c:spPr>
          <c:dPt>
            <c:idx val="0"/>
            <c:spPr>
              <a:solidFill>
                <a:srgbClr val="00B050"/>
              </a:solidFill>
              <a:ln w="19050">
                <a:noFill/>
              </a:ln>
              <a:effectLst/>
            </c:spPr>
            <c:extLst xmlns:c16r2="http://schemas.microsoft.com/office/drawing/2015/06/chart">
              <c:ext xmlns:c16="http://schemas.microsoft.com/office/drawing/2014/chart" uri="{C3380CC4-5D6E-409C-BE32-E72D297353CC}">
                <c16:uniqueId val="{00000001-9C89-47B5-9122-AAA5AFA03D9A}"/>
              </c:ext>
            </c:extLst>
          </c:dPt>
          <c:dPt>
            <c:idx val="1"/>
            <c:spPr>
              <a:solidFill>
                <a:srgbClr val="00B050"/>
              </a:solidFill>
              <a:ln w="19050">
                <a:noFill/>
              </a:ln>
              <a:effectLst/>
            </c:spPr>
            <c:extLst xmlns:c16r2="http://schemas.microsoft.com/office/drawing/2015/06/chart">
              <c:ext xmlns:c16="http://schemas.microsoft.com/office/drawing/2014/chart" uri="{C3380CC4-5D6E-409C-BE32-E72D297353CC}">
                <c16:uniqueId val="{00000003-9C89-47B5-9122-AAA5AFA03D9A}"/>
              </c:ext>
            </c:extLst>
          </c:dPt>
          <c:val>
            <c:numRef>
              <c:f>Programmes!$B$5:$C$5</c:f>
              <c:numCache>
                <c:formatCode>General</c:formatCode>
                <c:ptCount val="2"/>
                <c:pt idx="0" formatCode="0%">
                  <c:v>1</c:v>
                </c:pt>
              </c:numCache>
            </c:numRef>
          </c:val>
          <c:extLst xmlns:c16r2="http://schemas.microsoft.com/office/drawing/2015/06/chart">
            <c:ext xmlns:c16="http://schemas.microsoft.com/office/drawing/2014/chart" uri="{C3380CC4-5D6E-409C-BE32-E72D297353CC}">
              <c16:uniqueId val="{00000004-9C89-47B5-9122-AAA5AFA03D9A}"/>
            </c:ext>
          </c:extLst>
        </c:ser>
        <c:firstSliceAng val="0"/>
        <c:holeSize val="65"/>
      </c:doughnut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ZA"/>
  <c:chart>
    <c:title>
      <c:tx>
        <c:rich>
          <a:bodyPr rot="0" spcFirstLastPara="1" vertOverflow="ellipsis" vert="horz" wrap="square" anchor="ctr" anchorCtr="1"/>
          <a:lstStyle/>
          <a:p>
            <a:pPr>
              <a:defRPr lang="en-US" sz="1400" b="0" i="0" u="none" strike="noStrike" kern="1200" spc="0" baseline="0">
                <a:solidFill>
                  <a:sysClr val="windowText" lastClr="000000"/>
                </a:solidFill>
                <a:latin typeface="+mn-lt"/>
                <a:ea typeface="+mn-ea"/>
                <a:cs typeface="+mn-cs"/>
              </a:defRPr>
            </a:pPr>
            <a:r>
              <a:rPr lang="en-ZA" sz="1400" b="1" i="0" cap="all" baseline="0">
                <a:solidFill>
                  <a:sysClr val="windowText" lastClr="000000"/>
                </a:solidFill>
                <a:effectLst/>
              </a:rPr>
              <a:t>Programme 3 Performance</a:t>
            </a:r>
            <a:endParaRPr lang="en-ZA" sz="1400">
              <a:solidFill>
                <a:sysClr val="windowText" lastClr="000000"/>
              </a:solidFill>
              <a:effectLst/>
            </a:endParaRPr>
          </a:p>
          <a:p>
            <a:pPr>
              <a:defRPr lang="en-US" sz="1400" b="0" i="0" u="none" strike="noStrike" kern="1200" spc="0" baseline="0">
                <a:solidFill>
                  <a:sysClr val="windowText" lastClr="000000"/>
                </a:solidFill>
                <a:latin typeface="+mn-lt"/>
                <a:ea typeface="+mn-ea"/>
                <a:cs typeface="+mn-cs"/>
              </a:defRPr>
            </a:pPr>
            <a:r>
              <a:rPr lang="en-ZA" sz="1400" b="1" i="0" cap="all" baseline="0">
                <a:solidFill>
                  <a:sysClr val="windowText" lastClr="000000"/>
                </a:solidFill>
                <a:effectLst/>
              </a:rPr>
              <a:t>mid-year 2020/21</a:t>
            </a:r>
            <a:endParaRPr lang="en-ZA" sz="1400">
              <a:solidFill>
                <a:sysClr val="windowText" lastClr="000000"/>
              </a:solidFill>
              <a:effectLst/>
            </a:endParaRPr>
          </a:p>
        </c:rich>
      </c:tx>
      <c:spPr>
        <a:noFill/>
        <a:ln>
          <a:noFill/>
        </a:ln>
        <a:effectLst/>
      </c:spPr>
    </c:title>
    <c:plotArea>
      <c:layout/>
      <c:doughnutChart>
        <c:varyColors val="1"/>
        <c:ser>
          <c:idx val="0"/>
          <c:order val="0"/>
          <c:dPt>
            <c:idx val="0"/>
            <c:spPr>
              <a:solidFill>
                <a:srgbClr val="00B050"/>
              </a:solidFill>
              <a:ln w="19050">
                <a:noFill/>
              </a:ln>
              <a:effectLst/>
            </c:spPr>
            <c:extLst xmlns:c16r2="http://schemas.microsoft.com/office/drawing/2015/06/chart">
              <c:ext xmlns:c16="http://schemas.microsoft.com/office/drawing/2014/chart" uri="{C3380CC4-5D6E-409C-BE32-E72D297353CC}">
                <c16:uniqueId val="{00000001-8290-4035-854A-E6F9C1BB6998}"/>
              </c:ext>
            </c:extLst>
          </c:dPt>
          <c:dPt>
            <c:idx val="1"/>
            <c:spPr>
              <a:solidFill>
                <a:srgbClr val="FF0000"/>
              </a:solidFill>
              <a:ln w="19050">
                <a:solidFill>
                  <a:srgbClr val="FF0000"/>
                </a:solidFill>
              </a:ln>
              <a:effectLst/>
            </c:spPr>
            <c:extLst xmlns:c16r2="http://schemas.microsoft.com/office/drawing/2015/06/chart">
              <c:ext xmlns:c16="http://schemas.microsoft.com/office/drawing/2014/chart" uri="{C3380CC4-5D6E-409C-BE32-E72D297353CC}">
                <c16:uniqueId val="{00000003-8290-4035-854A-E6F9C1BB6998}"/>
              </c:ext>
            </c:extLst>
          </c:dPt>
          <c:val>
            <c:numRef>
              <c:f>Programmes!$B$7:$C$7</c:f>
              <c:numCache>
                <c:formatCode>0%</c:formatCode>
                <c:ptCount val="2"/>
                <c:pt idx="0">
                  <c:v>0.66666666666666663</c:v>
                </c:pt>
                <c:pt idx="1">
                  <c:v>0.33333333333333331</c:v>
                </c:pt>
              </c:numCache>
            </c:numRef>
          </c:val>
          <c:extLst xmlns:c16r2="http://schemas.microsoft.com/office/drawing/2015/06/chart">
            <c:ext xmlns:c16="http://schemas.microsoft.com/office/drawing/2014/chart" uri="{C3380CC4-5D6E-409C-BE32-E72D297353CC}">
              <c16:uniqueId val="{00000004-8290-4035-854A-E6F9C1BB6998}"/>
            </c:ext>
          </c:extLst>
        </c:ser>
        <c:firstSliceAng val="0"/>
        <c:holeSize val="65"/>
      </c:doughnut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ZA"/>
  <c:chart>
    <c:title>
      <c:tx>
        <c:rich>
          <a:bodyPr rot="0" spcFirstLastPara="1" vertOverflow="ellipsis" vert="horz" wrap="square" anchor="ctr" anchorCtr="1"/>
          <a:lstStyle/>
          <a:p>
            <a:pPr>
              <a:defRPr lang="en-US" sz="1400" b="0" i="0" u="none" strike="noStrike" kern="1200" spc="0" baseline="0">
                <a:solidFill>
                  <a:sysClr val="windowText" lastClr="000000"/>
                </a:solidFill>
                <a:latin typeface="+mn-lt"/>
                <a:ea typeface="+mn-ea"/>
                <a:cs typeface="+mn-cs"/>
              </a:defRPr>
            </a:pPr>
            <a:r>
              <a:rPr lang="en-ZA" sz="1400" b="1" i="0" cap="all" baseline="0">
                <a:solidFill>
                  <a:sysClr val="windowText" lastClr="000000"/>
                </a:solidFill>
                <a:effectLst/>
              </a:rPr>
              <a:t>Programme 4 Performance</a:t>
            </a:r>
            <a:endParaRPr lang="en-ZA" sz="1400">
              <a:solidFill>
                <a:sysClr val="windowText" lastClr="000000"/>
              </a:solidFill>
              <a:effectLst/>
            </a:endParaRPr>
          </a:p>
          <a:p>
            <a:pPr>
              <a:defRPr lang="en-US" sz="1400" b="0" i="0" u="none" strike="noStrike" kern="1200" spc="0" baseline="0">
                <a:solidFill>
                  <a:sysClr val="windowText" lastClr="000000"/>
                </a:solidFill>
                <a:latin typeface="+mn-lt"/>
                <a:ea typeface="+mn-ea"/>
                <a:cs typeface="+mn-cs"/>
              </a:defRPr>
            </a:pPr>
            <a:r>
              <a:rPr lang="en-ZA" sz="1400" b="1" i="0" cap="all" baseline="0">
                <a:solidFill>
                  <a:sysClr val="windowText" lastClr="000000"/>
                </a:solidFill>
                <a:effectLst/>
              </a:rPr>
              <a:t>mid-year 2020/21</a:t>
            </a:r>
            <a:endParaRPr lang="en-ZA" sz="1400">
              <a:solidFill>
                <a:sysClr val="windowText" lastClr="000000"/>
              </a:solidFill>
              <a:effectLst/>
            </a:endParaRPr>
          </a:p>
        </c:rich>
      </c:tx>
      <c:spPr>
        <a:noFill/>
        <a:ln>
          <a:noFill/>
        </a:ln>
        <a:effectLst/>
      </c:spPr>
    </c:title>
    <c:plotArea>
      <c:layout/>
      <c:doughnutChart>
        <c:varyColors val="1"/>
        <c:ser>
          <c:idx val="0"/>
          <c:order val="0"/>
          <c:spPr>
            <a:solidFill>
              <a:schemeClr val="bg1">
                <a:lumMod val="95000"/>
              </a:schemeClr>
            </a:solidFill>
            <a:ln>
              <a:solidFill>
                <a:schemeClr val="bg1">
                  <a:lumMod val="95000"/>
                </a:schemeClr>
              </a:solidFill>
            </a:ln>
          </c:spPr>
          <c:dPt>
            <c:idx val="0"/>
            <c:spPr>
              <a:solidFill>
                <a:schemeClr val="bg1">
                  <a:lumMod val="95000"/>
                </a:schemeClr>
              </a:solidFill>
              <a:ln w="19050">
                <a:solidFill>
                  <a:schemeClr val="bg1">
                    <a:lumMod val="95000"/>
                  </a:schemeClr>
                </a:solidFill>
              </a:ln>
              <a:effectLst/>
            </c:spPr>
            <c:extLst xmlns:c16r2="http://schemas.microsoft.com/office/drawing/2015/06/chart">
              <c:ext xmlns:c16="http://schemas.microsoft.com/office/drawing/2014/chart" uri="{C3380CC4-5D6E-409C-BE32-E72D297353CC}">
                <c16:uniqueId val="{00000001-058E-4B9A-B617-5C4595F0875F}"/>
              </c:ext>
            </c:extLst>
          </c:dPt>
          <c:dPt>
            <c:idx val="1"/>
            <c:spPr>
              <a:solidFill>
                <a:schemeClr val="bg1">
                  <a:lumMod val="95000"/>
                </a:schemeClr>
              </a:solidFill>
              <a:ln w="19050">
                <a:solidFill>
                  <a:schemeClr val="bg1">
                    <a:lumMod val="95000"/>
                  </a:schemeClr>
                </a:solidFill>
              </a:ln>
              <a:effectLst/>
            </c:spPr>
            <c:extLst xmlns:c16r2="http://schemas.microsoft.com/office/drawing/2015/06/chart">
              <c:ext xmlns:c16="http://schemas.microsoft.com/office/drawing/2014/chart" uri="{C3380CC4-5D6E-409C-BE32-E72D297353CC}">
                <c16:uniqueId val="{00000003-058E-4B9A-B617-5C4595F0875F}"/>
              </c:ext>
            </c:extLst>
          </c:dPt>
          <c:val>
            <c:numRef>
              <c:f>Programmes!$E$9:$F$9</c:f>
              <c:numCache>
                <c:formatCode>0%</c:formatCode>
                <c:ptCount val="2"/>
                <c:pt idx="0">
                  <c:v>1</c:v>
                </c:pt>
                <c:pt idx="1">
                  <c:v>0</c:v>
                </c:pt>
              </c:numCache>
            </c:numRef>
          </c:val>
          <c:extLst xmlns:c16r2="http://schemas.microsoft.com/office/drawing/2015/06/chart">
            <c:ext xmlns:c16="http://schemas.microsoft.com/office/drawing/2014/chart" uri="{C3380CC4-5D6E-409C-BE32-E72D297353CC}">
              <c16:uniqueId val="{00000004-058E-4B9A-B617-5C4595F0875F}"/>
            </c:ext>
          </c:extLst>
        </c:ser>
        <c:firstSliceAng val="0"/>
        <c:holeSize val="65"/>
      </c:doughnut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en-US"/>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ZA"/>
  <c:chart>
    <c:title>
      <c:tx>
        <c:rich>
          <a:bodyPr rot="0" spcFirstLastPara="1" vertOverflow="ellipsis" vert="horz" wrap="square" anchor="ctr" anchorCtr="1"/>
          <a:lstStyle/>
          <a:p>
            <a:pPr>
              <a:defRPr lang="en-US" sz="960" b="1" i="0" u="none" strike="noStrike" kern="1200" spc="0" baseline="0">
                <a:solidFill>
                  <a:sysClr val="windowText" lastClr="000000"/>
                </a:solidFill>
                <a:latin typeface="+mn-lt"/>
                <a:ea typeface="+mn-ea"/>
                <a:cs typeface="Arial" panose="020B0604020202020204" pitchFamily="34" charset="0"/>
              </a:defRPr>
            </a:pPr>
            <a:r>
              <a:rPr lang="en-US" sz="1400" b="1" dirty="0"/>
              <a:t>Overall Reach</a:t>
            </a:r>
          </a:p>
          <a:p>
            <a:pPr>
              <a:defRPr lang="en-US" sz="960" b="1" i="0" u="none" strike="noStrike" kern="1200" spc="0" baseline="0">
                <a:solidFill>
                  <a:sysClr val="windowText" lastClr="000000"/>
                </a:solidFill>
                <a:latin typeface="+mn-lt"/>
                <a:ea typeface="+mn-ea"/>
                <a:cs typeface="Arial" panose="020B0604020202020204" pitchFamily="34" charset="0"/>
              </a:defRPr>
            </a:pPr>
            <a:r>
              <a:rPr lang="en-US" sz="1400" b="1" dirty="0"/>
              <a:t>Mid-Year 2020/21</a:t>
            </a:r>
          </a:p>
        </c:rich>
      </c:tx>
      <c:spPr>
        <a:noFill/>
        <a:ln>
          <a:noFill/>
        </a:ln>
        <a:effectLst/>
      </c:spPr>
    </c:title>
    <c:plotArea>
      <c:layout>
        <c:manualLayout>
          <c:layoutTarget val="inner"/>
          <c:xMode val="edge"/>
          <c:yMode val="edge"/>
          <c:x val="0.23844564646810462"/>
          <c:y val="0.20553677113890176"/>
          <c:w val="0.55776989615428563"/>
          <c:h val="0.78607277031547562"/>
        </c:manualLayout>
      </c:layout>
      <c:pieChart>
        <c:varyColors val="1"/>
        <c:ser>
          <c:idx val="0"/>
          <c:order val="0"/>
          <c:dPt>
            <c:idx val="0"/>
            <c:spPr>
              <a:solidFill>
                <a:srgbClr val="C00000"/>
              </a:solidFill>
              <a:ln w="19050">
                <a:solidFill>
                  <a:srgbClr val="C00000"/>
                </a:solidFill>
              </a:ln>
              <a:effectLst/>
            </c:spPr>
            <c:extLst xmlns:c16r2="http://schemas.microsoft.com/office/drawing/2015/06/chart">
              <c:ext xmlns:c16="http://schemas.microsoft.com/office/drawing/2014/chart" uri="{C3380CC4-5D6E-409C-BE32-E72D297353CC}">
                <c16:uniqueId val="{00000001-9C8E-418E-A89E-E4BCD693D2AC}"/>
              </c:ext>
            </c:extLst>
          </c:dPt>
          <c:dPt>
            <c:idx val="1"/>
            <c:spPr>
              <a:solidFill>
                <a:schemeClr val="accent3"/>
              </a:solidFill>
              <a:ln w="19050">
                <a:solidFill>
                  <a:schemeClr val="accent3"/>
                </a:solidFill>
              </a:ln>
              <a:effectLst/>
            </c:spPr>
            <c:extLst xmlns:c16r2="http://schemas.microsoft.com/office/drawing/2015/06/chart">
              <c:ext xmlns:c16="http://schemas.microsoft.com/office/drawing/2014/chart" uri="{C3380CC4-5D6E-409C-BE32-E72D297353CC}">
                <c16:uniqueId val="{00000003-9C8E-418E-A89E-E4BCD693D2AC}"/>
              </c:ext>
            </c:extLst>
          </c:dPt>
          <c:dPt>
            <c:idx val="2"/>
            <c:spPr>
              <a:solidFill>
                <a:schemeClr val="accent5"/>
              </a:solidFill>
              <a:ln w="19050">
                <a:solidFill>
                  <a:schemeClr val="accent5"/>
                </a:solidFill>
              </a:ln>
              <a:effectLst/>
            </c:spPr>
            <c:extLst xmlns:c16r2="http://schemas.microsoft.com/office/drawing/2015/06/chart">
              <c:ext xmlns:c16="http://schemas.microsoft.com/office/drawing/2014/chart" uri="{C3380CC4-5D6E-409C-BE32-E72D297353CC}">
                <c16:uniqueId val="{00000005-9C8E-418E-A89E-E4BCD693D2AC}"/>
              </c:ext>
            </c:extLst>
          </c:dPt>
          <c:dLbls>
            <c:dLbl>
              <c:idx val="0"/>
              <c:layout>
                <c:manualLayout>
                  <c:x val="1.7163072007303445E-5"/>
                  <c:y val="0.13746230250630451"/>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C8E-418E-A89E-E4BCD693D2AC}"/>
                </c:ext>
              </c:extLst>
            </c:dLbl>
            <c:spPr>
              <a:noFill/>
              <a:ln>
                <a:noFill/>
              </a:ln>
              <a:effectLst/>
            </c:spPr>
            <c:txPr>
              <a:bodyPr rot="0" spcFirstLastPara="1" vertOverflow="ellipsis" vert="horz" wrap="square" anchor="ctr" anchorCtr="1"/>
              <a:lstStyle/>
              <a:p>
                <a:pPr>
                  <a:defRPr lang="en-US" sz="1600" b="1" i="0" u="none" strike="noStrike" kern="1200" baseline="0">
                    <a:solidFill>
                      <a:sysClr val="windowText" lastClr="000000"/>
                    </a:solidFill>
                    <a:latin typeface="+mn-lt"/>
                    <a:ea typeface="+mn-ea"/>
                    <a:cs typeface="Arial" panose="020B0604020202020204" pitchFamily="34" charset="0"/>
                  </a:defRPr>
                </a:pPr>
                <a:endParaRPr lang="en-US"/>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'Traditional Media'!$A$30:$A$32</c:f>
              <c:strCache>
                <c:ptCount val="3"/>
                <c:pt idx="0">
                  <c:v>Print</c:v>
                </c:pt>
                <c:pt idx="1">
                  <c:v>Broadcast</c:v>
                </c:pt>
                <c:pt idx="2">
                  <c:v>Online</c:v>
                </c:pt>
              </c:strCache>
            </c:strRef>
          </c:cat>
          <c:val>
            <c:numRef>
              <c:f>'Traditional Media'!$F$30:$F$32</c:f>
              <c:numCache>
                <c:formatCode>_-* #,##0_-;\-* #,##0_-;_-* "-"??_-;_-@_-</c:formatCode>
                <c:ptCount val="3"/>
                <c:pt idx="0">
                  <c:v>256058174</c:v>
                </c:pt>
                <c:pt idx="1">
                  <c:v>10193568717</c:v>
                </c:pt>
                <c:pt idx="2">
                  <c:v>3330564101</c:v>
                </c:pt>
              </c:numCache>
            </c:numRef>
          </c:val>
          <c:extLst xmlns:c16r2="http://schemas.microsoft.com/office/drawing/2015/06/chart">
            <c:ext xmlns:c16="http://schemas.microsoft.com/office/drawing/2014/chart" uri="{C3380CC4-5D6E-409C-BE32-E72D297353CC}">
              <c16:uniqueId val="{0000000C-9C8E-418E-A89E-E4BCD693D2AC}"/>
            </c:ext>
          </c:extLst>
        </c:ser>
        <c:dLbls>
          <c:showCatName val="1"/>
          <c:showPercent val="1"/>
        </c:dLbls>
        <c:firstSliceAng val="0"/>
      </c:pieChart>
      <c:spPr>
        <a:noFill/>
        <a:ln>
          <a:noFill/>
        </a:ln>
        <a:effectLst/>
      </c:spPr>
    </c:plotArea>
    <c:plotVisOnly val="1"/>
    <c:dispBlanksAs val="zero"/>
    <c:extLst xmlns:c16r2="http://schemas.microsoft.com/office/drawing/2015/06/chart"/>
  </c:chart>
  <c:spPr>
    <a:solidFill>
      <a:schemeClr val="bg1"/>
    </a:solidFill>
    <a:ln w="9525" cap="flat" cmpd="sng" algn="ctr">
      <a:noFill/>
      <a:round/>
    </a:ln>
    <a:effectLst/>
  </c:spPr>
  <c:txPr>
    <a:bodyPr/>
    <a:lstStyle/>
    <a:p>
      <a:pPr>
        <a:defRPr sz="800">
          <a:solidFill>
            <a:sysClr val="windowText" lastClr="000000"/>
          </a:solidFill>
          <a:latin typeface="+mn-lt"/>
          <a:cs typeface="Arial" panose="020B0604020202020204" pitchFamily="34"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ZA"/>
  <c:chart>
    <c:title>
      <c:tx>
        <c:rich>
          <a:bodyPr rot="0" spcFirstLastPara="1" vertOverflow="ellipsis" vert="horz" wrap="square" anchor="ctr" anchorCtr="1"/>
          <a:lstStyle/>
          <a:p>
            <a:pPr>
              <a:defRPr lang="en-US" sz="1100" b="1" i="0" u="none" strike="noStrike" kern="1200" spc="0" baseline="0">
                <a:solidFill>
                  <a:sysClr val="windowText" lastClr="000000"/>
                </a:solidFill>
                <a:latin typeface="+mn-lt"/>
                <a:ea typeface="+mn-ea"/>
                <a:cs typeface="Arial" panose="020B0604020202020204" pitchFamily="34" charset="0"/>
              </a:defRPr>
            </a:pPr>
            <a:r>
              <a:rPr lang="en-US" sz="1100"/>
              <a:t>Overall SWOT by #</a:t>
            </a:r>
          </a:p>
        </c:rich>
      </c:tx>
      <c:spPr>
        <a:noFill/>
        <a:ln>
          <a:noFill/>
        </a:ln>
        <a:effectLst/>
      </c:spPr>
    </c:title>
    <c:plotArea>
      <c:layout>
        <c:manualLayout>
          <c:layoutTarget val="inner"/>
          <c:xMode val="edge"/>
          <c:yMode val="edge"/>
          <c:x val="5.574267658595828E-2"/>
          <c:y val="0.17049595480530583"/>
          <c:w val="0.84459344959636939"/>
          <c:h val="0.69239073329063194"/>
        </c:manualLayout>
      </c:layout>
      <c:pieChart>
        <c:varyColors val="1"/>
        <c:ser>
          <c:idx val="0"/>
          <c:order val="0"/>
          <c:dPt>
            <c:idx val="0"/>
            <c:spPr>
              <a:solidFill>
                <a:schemeClr val="accent1"/>
              </a:solidFill>
              <a:ln w="19050">
                <a:solidFill>
                  <a:schemeClr val="accent1"/>
                </a:solidFill>
              </a:ln>
              <a:effectLst/>
            </c:spPr>
            <c:extLst xmlns:c16r2="http://schemas.microsoft.com/office/drawing/2015/06/chart">
              <c:ext xmlns:c16="http://schemas.microsoft.com/office/drawing/2014/chart" uri="{C3380CC4-5D6E-409C-BE32-E72D297353CC}">
                <c16:uniqueId val="{00000001-2C3A-4E65-952E-58F4D7CE42FC}"/>
              </c:ext>
            </c:extLst>
          </c:dPt>
          <c:dPt>
            <c:idx val="1"/>
            <c:spPr>
              <a:solidFill>
                <a:srgbClr val="C00000"/>
              </a:solidFill>
              <a:ln w="19050">
                <a:solidFill>
                  <a:srgbClr val="C00000"/>
                </a:solidFill>
              </a:ln>
              <a:effectLst/>
            </c:spPr>
            <c:extLst xmlns:c16r2="http://schemas.microsoft.com/office/drawing/2015/06/chart">
              <c:ext xmlns:c16="http://schemas.microsoft.com/office/drawing/2014/chart" uri="{C3380CC4-5D6E-409C-BE32-E72D297353CC}">
                <c16:uniqueId val="{00000003-2C3A-4E65-952E-58F4D7CE42FC}"/>
              </c:ext>
            </c:extLst>
          </c:dPt>
          <c:dPt>
            <c:idx val="2"/>
            <c:spPr>
              <a:solidFill>
                <a:schemeClr val="accent5"/>
              </a:solidFill>
              <a:ln w="19050">
                <a:solidFill>
                  <a:schemeClr val="accent5"/>
                </a:solidFill>
              </a:ln>
              <a:effectLst/>
            </c:spPr>
            <c:extLst xmlns:c16r2="http://schemas.microsoft.com/office/drawing/2015/06/chart">
              <c:ext xmlns:c16="http://schemas.microsoft.com/office/drawing/2014/chart" uri="{C3380CC4-5D6E-409C-BE32-E72D297353CC}">
                <c16:uniqueId val="{00000005-2C3A-4E65-952E-58F4D7CE42FC}"/>
              </c:ext>
            </c:extLst>
          </c:dPt>
          <c:dPt>
            <c:idx val="3"/>
            <c:spPr>
              <a:solidFill>
                <a:schemeClr val="accent3"/>
              </a:solidFill>
              <a:ln w="19050">
                <a:solidFill>
                  <a:schemeClr val="accent3"/>
                </a:solidFill>
              </a:ln>
              <a:effectLst/>
            </c:spPr>
            <c:extLst xmlns:c16r2="http://schemas.microsoft.com/office/drawing/2015/06/chart">
              <c:ext xmlns:c16="http://schemas.microsoft.com/office/drawing/2014/chart" uri="{C3380CC4-5D6E-409C-BE32-E72D297353CC}">
                <c16:uniqueId val="{00000007-2C3A-4E65-952E-58F4D7CE42FC}"/>
              </c:ext>
            </c:extLst>
          </c:dPt>
          <c:dLbls>
            <c:dLbl>
              <c:idx val="1"/>
              <c:layout>
                <c:manualLayout>
                  <c:x val="-0.12505845860176559"/>
                  <c:y val="8.7197117309488884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C3A-4E65-952E-58F4D7CE42FC}"/>
                </c:ext>
              </c:extLst>
            </c:dLbl>
            <c:spPr>
              <a:noFill/>
              <a:ln>
                <a:noFill/>
              </a:ln>
              <a:effectLst/>
            </c:spPr>
            <c:txPr>
              <a:bodyPr rot="0" spcFirstLastPara="1" vertOverflow="ellipsis" vert="horz" wrap="square" anchor="ctr" anchorCtr="1"/>
              <a:lstStyle/>
              <a:p>
                <a:pPr>
                  <a:defRPr lang="en-US" sz="1600" b="1" i="0" u="none" strike="noStrike" kern="1200" baseline="0">
                    <a:solidFill>
                      <a:sysClr val="windowText" lastClr="000000"/>
                    </a:solidFill>
                    <a:latin typeface="+mn-lt"/>
                    <a:ea typeface="+mn-ea"/>
                    <a:cs typeface="Arial" panose="020B0604020202020204" pitchFamily="34" charset="0"/>
                  </a:defRPr>
                </a:pPr>
                <a:endParaRPr lang="en-US"/>
              </a:p>
            </c:txPr>
            <c:dLblPos val="ct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'Traditional Media'!$A$118:$A$121</c:f>
              <c:strCache>
                <c:ptCount val="4"/>
                <c:pt idx="0">
                  <c:v>Strength</c:v>
                </c:pt>
                <c:pt idx="1">
                  <c:v>Weakness</c:v>
                </c:pt>
                <c:pt idx="2">
                  <c:v>Opportunity</c:v>
                </c:pt>
                <c:pt idx="3">
                  <c:v>Threat</c:v>
                </c:pt>
              </c:strCache>
            </c:strRef>
          </c:cat>
          <c:val>
            <c:numRef>
              <c:f>'Traditional Media'!$B$118:$B$121</c:f>
              <c:numCache>
                <c:formatCode>General</c:formatCode>
                <c:ptCount val="4"/>
                <c:pt idx="0">
                  <c:v>5307</c:v>
                </c:pt>
                <c:pt idx="1">
                  <c:v>267</c:v>
                </c:pt>
                <c:pt idx="2">
                  <c:v>26403</c:v>
                </c:pt>
                <c:pt idx="3">
                  <c:v>3401</c:v>
                </c:pt>
              </c:numCache>
            </c:numRef>
          </c:val>
          <c:extLst xmlns:c16r2="http://schemas.microsoft.com/office/drawing/2015/06/chart">
            <c:ext xmlns:c16="http://schemas.microsoft.com/office/drawing/2014/chart" uri="{C3380CC4-5D6E-409C-BE32-E72D297353CC}">
              <c16:uniqueId val="{0000000C-2C3A-4E65-952E-58F4D7CE42FC}"/>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1000" b="1" i="0" u="none" strike="noStrike" kern="1200" baseline="0">
              <a:solidFill>
                <a:sysClr val="windowText" lastClr="000000"/>
              </a:solidFill>
              <a:latin typeface="+mn-lt"/>
              <a:ea typeface="+mn-ea"/>
              <a:cs typeface="Arial" panose="020B0604020202020204" pitchFamily="34" charset="0"/>
            </a:defRPr>
          </a:pPr>
          <a:endParaRPr lang="en-US"/>
        </a:p>
      </c:txPr>
    </c:legend>
    <c:plotVisOnly val="1"/>
    <c:dispBlanksAs val="zero"/>
    <c:extLst xmlns:c16r2="http://schemas.microsoft.com/office/drawing/2015/06/chart"/>
  </c:chart>
  <c:spPr>
    <a:solidFill>
      <a:schemeClr val="bg1"/>
    </a:solidFill>
    <a:ln w="9525" cap="flat" cmpd="sng" algn="ctr">
      <a:noFill/>
      <a:round/>
    </a:ln>
    <a:effectLst/>
  </c:spPr>
  <c:txPr>
    <a:bodyPr/>
    <a:lstStyle/>
    <a:p>
      <a:pPr>
        <a:defRPr sz="800">
          <a:solidFill>
            <a:sysClr val="windowText" lastClr="000000"/>
          </a:solidFill>
          <a:latin typeface="+mn-lt"/>
          <a:cs typeface="Arial" panose="020B0604020202020204" pitchFamily="34"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ZA"/>
  <c:chart>
    <c:title>
      <c:tx>
        <c:rich>
          <a:bodyPr rot="0" spcFirstLastPara="1" vertOverflow="ellipsis" vert="horz" wrap="square" anchor="ctr" anchorCtr="1"/>
          <a:lstStyle/>
          <a:p>
            <a:pPr>
              <a:defRPr lang="en-US" sz="1100" b="1" i="0" u="none" strike="noStrike" kern="1200" spc="0" baseline="0">
                <a:solidFill>
                  <a:sysClr val="windowText" lastClr="000000"/>
                </a:solidFill>
                <a:latin typeface="+mn-lt"/>
                <a:ea typeface="+mn-ea"/>
                <a:cs typeface="Arial" panose="020B0604020202020204" pitchFamily="34" charset="0"/>
              </a:defRPr>
            </a:pPr>
            <a:r>
              <a:rPr lang="en-US" sz="1100"/>
              <a:t>Overall Behaviour by #</a:t>
            </a:r>
          </a:p>
        </c:rich>
      </c:tx>
      <c:spPr>
        <a:noFill/>
        <a:ln>
          <a:noFill/>
        </a:ln>
        <a:effectLst/>
      </c:spPr>
    </c:title>
    <c:plotArea>
      <c:layout>
        <c:manualLayout>
          <c:layoutTarget val="inner"/>
          <c:xMode val="edge"/>
          <c:yMode val="edge"/>
          <c:x val="9.8308319628598234E-2"/>
          <c:y val="0.16652020793736075"/>
          <c:w val="0.80338336074280325"/>
          <c:h val="0.68089992064073124"/>
        </c:manualLayout>
      </c:layout>
      <c:pieChart>
        <c:varyColors val="1"/>
        <c:ser>
          <c:idx val="0"/>
          <c:order val="0"/>
          <c:dPt>
            <c:idx val="0"/>
            <c:spPr>
              <a:solidFill>
                <a:schemeClr val="accent1"/>
              </a:solidFill>
              <a:ln w="19050">
                <a:solidFill>
                  <a:schemeClr val="accent1"/>
                </a:solidFill>
              </a:ln>
              <a:effectLst/>
            </c:spPr>
            <c:extLst xmlns:c16r2="http://schemas.microsoft.com/office/drawing/2015/06/chart">
              <c:ext xmlns:c16="http://schemas.microsoft.com/office/drawing/2014/chart" uri="{C3380CC4-5D6E-409C-BE32-E72D297353CC}">
                <c16:uniqueId val="{00000001-A1A9-4106-A3D8-C210AEEE0A91}"/>
              </c:ext>
            </c:extLst>
          </c:dPt>
          <c:dPt>
            <c:idx val="1"/>
            <c:spPr>
              <a:solidFill>
                <a:schemeClr val="accent3"/>
              </a:solidFill>
              <a:ln w="19050">
                <a:solidFill>
                  <a:schemeClr val="accent3"/>
                </a:solidFill>
              </a:ln>
              <a:effectLst/>
            </c:spPr>
            <c:extLst xmlns:c16r2="http://schemas.microsoft.com/office/drawing/2015/06/chart">
              <c:ext xmlns:c16="http://schemas.microsoft.com/office/drawing/2014/chart" uri="{C3380CC4-5D6E-409C-BE32-E72D297353CC}">
                <c16:uniqueId val="{00000003-A1A9-4106-A3D8-C210AEEE0A91}"/>
              </c:ext>
            </c:extLst>
          </c:dPt>
          <c:dPt>
            <c:idx val="2"/>
            <c:spPr>
              <a:solidFill>
                <a:schemeClr val="accent5"/>
              </a:solidFill>
              <a:ln w="19050">
                <a:solidFill>
                  <a:schemeClr val="accent5"/>
                </a:solidFill>
              </a:ln>
              <a:effectLst/>
            </c:spPr>
            <c:extLst xmlns:c16r2="http://schemas.microsoft.com/office/drawing/2015/06/chart">
              <c:ext xmlns:c16="http://schemas.microsoft.com/office/drawing/2014/chart" uri="{C3380CC4-5D6E-409C-BE32-E72D297353CC}">
                <c16:uniqueId val="{00000005-A1A9-4106-A3D8-C210AEEE0A91}"/>
              </c:ext>
            </c:extLst>
          </c:dPt>
          <c:dLbls>
            <c:dLbl>
              <c:idx val="0"/>
              <c:layout>
                <c:manualLayout>
                  <c:x val="-8.9861688637235038E-2"/>
                  <c:y val="0.12115557473124081"/>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1A9-4106-A3D8-C210AEEE0A91}"/>
                </c:ext>
              </c:extLst>
            </c:dLbl>
            <c:dLbl>
              <c:idx val="1"/>
              <c:layout>
                <c:manualLayout>
                  <c:x val="-0.15726798195169445"/>
                  <c:y val="0.1641207349081364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1A9-4106-A3D8-C210AEEE0A91}"/>
                </c:ext>
              </c:extLst>
            </c:dLbl>
            <c:spPr>
              <a:noFill/>
              <a:ln>
                <a:noFill/>
              </a:ln>
              <a:effectLst/>
            </c:spPr>
            <c:txPr>
              <a:bodyPr rot="0" spcFirstLastPara="1" vertOverflow="ellipsis" vert="horz" wrap="square" anchor="ctr" anchorCtr="1"/>
              <a:lstStyle/>
              <a:p>
                <a:pPr>
                  <a:defRPr lang="en-US" sz="1600" b="1" i="0" u="none" strike="noStrike" kern="1200" baseline="0">
                    <a:solidFill>
                      <a:sysClr val="windowText" lastClr="000000"/>
                    </a:solidFill>
                    <a:latin typeface="+mn-lt"/>
                    <a:ea typeface="+mn-ea"/>
                    <a:cs typeface="Arial" panose="020B0604020202020204" pitchFamily="34" charset="0"/>
                  </a:defRPr>
                </a:pPr>
                <a:endParaRPr lang="en-US"/>
              </a:p>
            </c:txPr>
            <c:dLblPos val="ct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'Traditional Media'!$A$102:$A$104</c:f>
              <c:strCache>
                <c:ptCount val="3"/>
                <c:pt idx="0">
                  <c:v>Pro_Active</c:v>
                </c:pt>
                <c:pt idx="1">
                  <c:v>Reactive</c:v>
                </c:pt>
                <c:pt idx="2">
                  <c:v>Statement</c:v>
                </c:pt>
              </c:strCache>
            </c:strRef>
          </c:cat>
          <c:val>
            <c:numRef>
              <c:f>'Traditional Media'!$B$102:$B$104</c:f>
              <c:numCache>
                <c:formatCode>General</c:formatCode>
                <c:ptCount val="3"/>
                <c:pt idx="0">
                  <c:v>2507</c:v>
                </c:pt>
                <c:pt idx="1">
                  <c:v>2477</c:v>
                </c:pt>
                <c:pt idx="2">
                  <c:v>30394</c:v>
                </c:pt>
              </c:numCache>
            </c:numRef>
          </c:val>
          <c:extLst xmlns:c16r2="http://schemas.microsoft.com/office/drawing/2015/06/chart">
            <c:ext xmlns:c16="http://schemas.microsoft.com/office/drawing/2014/chart" uri="{C3380CC4-5D6E-409C-BE32-E72D297353CC}">
              <c16:uniqueId val="{0000000C-A1A9-4106-A3D8-C210AEEE0A91}"/>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1000" b="1" i="0" u="none" strike="noStrike" kern="1200" baseline="0">
              <a:solidFill>
                <a:sysClr val="windowText" lastClr="000000"/>
              </a:solidFill>
              <a:latin typeface="+mn-lt"/>
              <a:ea typeface="+mn-ea"/>
              <a:cs typeface="Arial" panose="020B0604020202020204" pitchFamily="34" charset="0"/>
            </a:defRPr>
          </a:pPr>
          <a:endParaRPr lang="en-US"/>
        </a:p>
      </c:txPr>
    </c:legend>
    <c:plotVisOnly val="1"/>
    <c:dispBlanksAs val="zero"/>
    <c:extLst xmlns:c16r2="http://schemas.microsoft.com/office/drawing/2015/06/chart"/>
  </c:chart>
  <c:spPr>
    <a:solidFill>
      <a:schemeClr val="bg1"/>
    </a:solidFill>
    <a:ln w="9525" cap="flat" cmpd="sng" algn="ctr">
      <a:noFill/>
      <a:round/>
    </a:ln>
    <a:effectLst/>
  </c:spPr>
  <c:txPr>
    <a:bodyPr/>
    <a:lstStyle/>
    <a:p>
      <a:pPr>
        <a:defRPr sz="800">
          <a:solidFill>
            <a:sysClr val="windowText" lastClr="000000"/>
          </a:solidFill>
          <a:latin typeface="+mn-lt"/>
          <a:cs typeface="Arial" panose="020B0604020202020204" pitchFamily="34" charset="0"/>
        </a:defRPr>
      </a:pPr>
      <a:endParaRPr lang="en-US"/>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C99D3F-84AF-4E45-90F5-0C24A122BC4F}" type="doc">
      <dgm:prSet loTypeId="urn:microsoft.com/office/officeart/2005/8/layout/chevron1" loCatId="process" qsTypeId="urn:microsoft.com/office/officeart/2005/8/quickstyle/simple1" qsCatId="simple" csTypeId="urn:microsoft.com/office/officeart/2005/8/colors/accent6_1" csCatId="accent6" phldr="1"/>
      <dgm:spPr/>
    </dgm:pt>
    <dgm:pt modelId="{E1A99FC6-35D5-41F3-9B57-748FCBAAC32A}">
      <dgm:prSet phldrT="[Text]" custT="1"/>
      <dgm:spPr/>
      <dgm:t>
        <a:bodyPr/>
        <a:lstStyle/>
        <a:p>
          <a:pPr algn="r"/>
          <a:r>
            <a:rPr lang="en-ZA" sz="4000" b="1">
              <a:solidFill>
                <a:schemeClr val="tx2">
                  <a:lumMod val="75000"/>
                </a:schemeClr>
              </a:solidFill>
              <a:latin typeface="Arial" panose="020B0604020202020204" pitchFamily="34" charset="0"/>
              <a:cs typeface="Arial" panose="020B0604020202020204" pitchFamily="34" charset="0"/>
            </a:rPr>
            <a:t>PART A</a:t>
          </a:r>
          <a:r>
            <a:rPr lang="en-ZA" sz="3600" b="1">
              <a:solidFill>
                <a:schemeClr val="tx2">
                  <a:lumMod val="75000"/>
                </a:schemeClr>
              </a:solidFill>
              <a:latin typeface="Arial" panose="020B0604020202020204" pitchFamily="34" charset="0"/>
              <a:cs typeface="Arial" panose="020B0604020202020204" pitchFamily="34" charset="0"/>
            </a:rPr>
            <a:t>: </a:t>
          </a:r>
          <a:r>
            <a:rPr lang="en-ZA" sz="1800" b="1">
              <a:solidFill>
                <a:schemeClr val="tx2">
                  <a:lumMod val="75000"/>
                </a:schemeClr>
              </a:solidFill>
              <a:latin typeface="Arial" panose="020B0604020202020204" pitchFamily="34" charset="0"/>
              <a:cs typeface="Arial" panose="020B0604020202020204" pitchFamily="34" charset="0"/>
            </a:rPr>
            <a:t>Introduction</a:t>
          </a:r>
          <a:endParaRPr lang="en-US" sz="1800">
            <a:solidFill>
              <a:schemeClr val="tx2">
                <a:lumMod val="75000"/>
              </a:schemeClr>
            </a:solidFill>
            <a:latin typeface="Arial" panose="020B0604020202020204" pitchFamily="34" charset="0"/>
            <a:cs typeface="Arial" panose="020B0604020202020204" pitchFamily="34" charset="0"/>
          </a:endParaRPr>
        </a:p>
      </dgm:t>
    </dgm:pt>
    <dgm:pt modelId="{B99D630A-895B-4F55-AEB1-F626B24AB8E6}" type="sibTrans" cxnId="{00248DBF-6EA8-4DD1-A882-7147478E062F}">
      <dgm:prSet/>
      <dgm:spPr/>
      <dgm:t>
        <a:bodyPr/>
        <a:lstStyle/>
        <a:p>
          <a:endParaRPr lang="en-US">
            <a:latin typeface="Arial" panose="020B0604020202020204" pitchFamily="34" charset="0"/>
            <a:cs typeface="Arial" panose="020B0604020202020204" pitchFamily="34" charset="0"/>
          </a:endParaRPr>
        </a:p>
      </dgm:t>
    </dgm:pt>
    <dgm:pt modelId="{2B824CDA-205B-49DC-8C15-CB0CFB435F6B}" type="parTrans" cxnId="{00248DBF-6EA8-4DD1-A882-7147478E062F}">
      <dgm:prSet/>
      <dgm:spPr/>
      <dgm:t>
        <a:bodyPr/>
        <a:lstStyle/>
        <a:p>
          <a:endParaRPr lang="en-US">
            <a:latin typeface="Arial" panose="020B0604020202020204" pitchFamily="34" charset="0"/>
            <a:cs typeface="Arial" panose="020B0604020202020204" pitchFamily="34" charset="0"/>
          </a:endParaRPr>
        </a:p>
      </dgm:t>
    </dgm:pt>
    <dgm:pt modelId="{81370C73-9BAA-4537-B17F-B1C8FDAA7D7D}" type="pres">
      <dgm:prSet presAssocID="{E2C99D3F-84AF-4E45-90F5-0C24A122BC4F}" presName="Name0" presStyleCnt="0">
        <dgm:presLayoutVars>
          <dgm:dir/>
          <dgm:animLvl val="lvl"/>
          <dgm:resizeHandles val="exact"/>
        </dgm:presLayoutVars>
      </dgm:prSet>
      <dgm:spPr/>
    </dgm:pt>
    <dgm:pt modelId="{D2553EBF-9107-481D-A545-57902E98B654}" type="pres">
      <dgm:prSet presAssocID="{E1A99FC6-35D5-41F3-9B57-748FCBAAC32A}" presName="parTxOnly" presStyleLbl="node1" presStyleIdx="0" presStyleCnt="1">
        <dgm:presLayoutVars>
          <dgm:chMax val="0"/>
          <dgm:chPref val="0"/>
          <dgm:bulletEnabled val="1"/>
        </dgm:presLayoutVars>
      </dgm:prSet>
      <dgm:spPr/>
      <dgm:t>
        <a:bodyPr/>
        <a:lstStyle/>
        <a:p>
          <a:endParaRPr lang="en-US"/>
        </a:p>
      </dgm:t>
    </dgm:pt>
  </dgm:ptLst>
  <dgm:cxnLst>
    <dgm:cxn modelId="{00248DBF-6EA8-4DD1-A882-7147478E062F}" srcId="{E2C99D3F-84AF-4E45-90F5-0C24A122BC4F}" destId="{E1A99FC6-35D5-41F3-9B57-748FCBAAC32A}" srcOrd="0" destOrd="0" parTransId="{2B824CDA-205B-49DC-8C15-CB0CFB435F6B}" sibTransId="{B99D630A-895B-4F55-AEB1-F626B24AB8E6}"/>
    <dgm:cxn modelId="{99C7C2DE-1CED-4211-B206-A499E45F7E00}" type="presOf" srcId="{E1A99FC6-35D5-41F3-9B57-748FCBAAC32A}" destId="{D2553EBF-9107-481D-A545-57902E98B654}" srcOrd="0" destOrd="0" presId="urn:microsoft.com/office/officeart/2005/8/layout/chevron1"/>
    <dgm:cxn modelId="{0EF88BEA-C159-4329-A7CC-7DE5DF2A431D}" type="presOf" srcId="{E2C99D3F-84AF-4E45-90F5-0C24A122BC4F}" destId="{81370C73-9BAA-4537-B17F-B1C8FDAA7D7D}" srcOrd="0" destOrd="0" presId="urn:microsoft.com/office/officeart/2005/8/layout/chevron1"/>
    <dgm:cxn modelId="{956CFBBB-8513-4BC3-87F3-1D95FAF686AF}" type="presParOf" srcId="{81370C73-9BAA-4537-B17F-B1C8FDAA7D7D}" destId="{D2553EBF-9107-481D-A545-57902E98B654}" srcOrd="0" destOrd="0" presId="urn:microsoft.com/office/officeart/2005/8/layout/chevron1"/>
  </dgm:cxnLst>
  <dgm:bg/>
  <dgm:whole/>
</dgm:dataModel>
</file>

<file path=word/diagrams/data2.xml><?xml version="1.0" encoding="utf-8"?>
<dgm:dataModel xmlns:dgm="http://schemas.openxmlformats.org/drawingml/2006/diagram" xmlns:a="http://schemas.openxmlformats.org/drawingml/2006/main">
  <dgm:ptLst>
    <dgm:pt modelId="{E2C99D3F-84AF-4E45-90F5-0C24A122BC4F}" type="doc">
      <dgm:prSet loTypeId="urn:microsoft.com/office/officeart/2005/8/layout/chevron1" loCatId="process" qsTypeId="urn:microsoft.com/office/officeart/2005/8/quickstyle/simple1" qsCatId="simple" csTypeId="urn:microsoft.com/office/officeart/2005/8/colors/accent6_1" csCatId="accent6" phldr="1"/>
      <dgm:spPr/>
    </dgm:pt>
    <dgm:pt modelId="{E1A99FC6-35D5-41F3-9B57-748FCBAAC32A}">
      <dgm:prSet phldrT="[Text]" custT="1"/>
      <dgm:spPr/>
      <dgm:t>
        <a:bodyPr/>
        <a:lstStyle/>
        <a:p>
          <a:pPr algn="r"/>
          <a:r>
            <a:rPr lang="en-ZA" sz="4000" b="1">
              <a:solidFill>
                <a:schemeClr val="tx2">
                  <a:lumMod val="75000"/>
                </a:schemeClr>
              </a:solidFill>
              <a:latin typeface="Arial" panose="020B0604020202020204" pitchFamily="34" charset="0"/>
              <a:cs typeface="Arial" panose="020B0604020202020204" pitchFamily="34" charset="0"/>
            </a:rPr>
            <a:t>PART B</a:t>
          </a:r>
          <a:r>
            <a:rPr lang="en-ZA" sz="3600" b="1">
              <a:solidFill>
                <a:schemeClr val="tx2">
                  <a:lumMod val="75000"/>
                </a:schemeClr>
              </a:solidFill>
              <a:latin typeface="Arial" panose="020B0604020202020204" pitchFamily="34" charset="0"/>
              <a:cs typeface="Arial" panose="020B0604020202020204" pitchFamily="34" charset="0"/>
            </a:rPr>
            <a:t>: </a:t>
          </a:r>
          <a:r>
            <a:rPr lang="en-ZA" sz="1800" b="1">
              <a:solidFill>
                <a:schemeClr val="tx2">
                  <a:lumMod val="75000"/>
                </a:schemeClr>
              </a:solidFill>
              <a:latin typeface="Arial" panose="020B0604020202020204" pitchFamily="34" charset="0"/>
              <a:cs typeface="Arial" panose="020B0604020202020204" pitchFamily="34" charset="0"/>
            </a:rPr>
            <a:t>Parliamentary Business</a:t>
          </a:r>
          <a:endParaRPr lang="en-US" sz="1800">
            <a:solidFill>
              <a:schemeClr val="tx2">
                <a:lumMod val="75000"/>
              </a:schemeClr>
            </a:solidFill>
            <a:latin typeface="Arial" panose="020B0604020202020204" pitchFamily="34" charset="0"/>
            <a:cs typeface="Arial" panose="020B0604020202020204" pitchFamily="34" charset="0"/>
          </a:endParaRPr>
        </a:p>
      </dgm:t>
    </dgm:pt>
    <dgm:pt modelId="{B99D630A-895B-4F55-AEB1-F626B24AB8E6}" type="sibTrans" cxnId="{00248DBF-6EA8-4DD1-A882-7147478E062F}">
      <dgm:prSet/>
      <dgm:spPr/>
      <dgm:t>
        <a:bodyPr/>
        <a:lstStyle/>
        <a:p>
          <a:endParaRPr lang="en-US">
            <a:latin typeface="Arial" panose="020B0604020202020204" pitchFamily="34" charset="0"/>
            <a:cs typeface="Arial" panose="020B0604020202020204" pitchFamily="34" charset="0"/>
          </a:endParaRPr>
        </a:p>
      </dgm:t>
    </dgm:pt>
    <dgm:pt modelId="{2B824CDA-205B-49DC-8C15-CB0CFB435F6B}" type="parTrans" cxnId="{00248DBF-6EA8-4DD1-A882-7147478E062F}">
      <dgm:prSet/>
      <dgm:spPr/>
      <dgm:t>
        <a:bodyPr/>
        <a:lstStyle/>
        <a:p>
          <a:endParaRPr lang="en-US">
            <a:latin typeface="Arial" panose="020B0604020202020204" pitchFamily="34" charset="0"/>
            <a:cs typeface="Arial" panose="020B0604020202020204" pitchFamily="34" charset="0"/>
          </a:endParaRPr>
        </a:p>
      </dgm:t>
    </dgm:pt>
    <dgm:pt modelId="{81370C73-9BAA-4537-B17F-B1C8FDAA7D7D}" type="pres">
      <dgm:prSet presAssocID="{E2C99D3F-84AF-4E45-90F5-0C24A122BC4F}" presName="Name0" presStyleCnt="0">
        <dgm:presLayoutVars>
          <dgm:dir/>
          <dgm:animLvl val="lvl"/>
          <dgm:resizeHandles val="exact"/>
        </dgm:presLayoutVars>
      </dgm:prSet>
      <dgm:spPr/>
    </dgm:pt>
    <dgm:pt modelId="{D2553EBF-9107-481D-A545-57902E98B654}" type="pres">
      <dgm:prSet presAssocID="{E1A99FC6-35D5-41F3-9B57-748FCBAAC32A}" presName="parTxOnly" presStyleLbl="node1" presStyleIdx="0" presStyleCnt="1">
        <dgm:presLayoutVars>
          <dgm:chMax val="0"/>
          <dgm:chPref val="0"/>
          <dgm:bulletEnabled val="1"/>
        </dgm:presLayoutVars>
      </dgm:prSet>
      <dgm:spPr/>
      <dgm:t>
        <a:bodyPr/>
        <a:lstStyle/>
        <a:p>
          <a:endParaRPr lang="en-US"/>
        </a:p>
      </dgm:t>
    </dgm:pt>
  </dgm:ptLst>
  <dgm:cxnLst>
    <dgm:cxn modelId="{00248DBF-6EA8-4DD1-A882-7147478E062F}" srcId="{E2C99D3F-84AF-4E45-90F5-0C24A122BC4F}" destId="{E1A99FC6-35D5-41F3-9B57-748FCBAAC32A}" srcOrd="0" destOrd="0" parTransId="{2B824CDA-205B-49DC-8C15-CB0CFB435F6B}" sibTransId="{B99D630A-895B-4F55-AEB1-F626B24AB8E6}"/>
    <dgm:cxn modelId="{D6456479-17DB-4B6F-9EA5-95CE85BC3B6D}" type="presOf" srcId="{E1A99FC6-35D5-41F3-9B57-748FCBAAC32A}" destId="{D2553EBF-9107-481D-A545-57902E98B654}" srcOrd="0" destOrd="0" presId="urn:microsoft.com/office/officeart/2005/8/layout/chevron1"/>
    <dgm:cxn modelId="{DC137D81-1E42-407E-A115-51958BBAA7E4}" type="presOf" srcId="{E2C99D3F-84AF-4E45-90F5-0C24A122BC4F}" destId="{81370C73-9BAA-4537-B17F-B1C8FDAA7D7D}" srcOrd="0" destOrd="0" presId="urn:microsoft.com/office/officeart/2005/8/layout/chevron1"/>
    <dgm:cxn modelId="{A43DB4D6-8E43-4618-A959-93DCF795EC48}" type="presParOf" srcId="{81370C73-9BAA-4537-B17F-B1C8FDAA7D7D}" destId="{D2553EBF-9107-481D-A545-57902E98B654}" srcOrd="0" destOrd="0" presId="urn:microsoft.com/office/officeart/2005/8/layout/chevron1"/>
  </dgm:cxnLst>
  <dgm:bg/>
  <dgm:whole/>
</dgm:dataModel>
</file>

<file path=word/diagrams/data3.xml><?xml version="1.0" encoding="utf-8"?>
<dgm:dataModel xmlns:dgm="http://schemas.openxmlformats.org/drawingml/2006/diagram" xmlns:a="http://schemas.openxmlformats.org/drawingml/2006/main">
  <dgm:ptLst>
    <dgm:pt modelId="{E2C99D3F-84AF-4E45-90F5-0C24A122BC4F}" type="doc">
      <dgm:prSet loTypeId="urn:microsoft.com/office/officeart/2005/8/layout/chevron1" loCatId="process" qsTypeId="urn:microsoft.com/office/officeart/2005/8/quickstyle/simple1" qsCatId="simple" csTypeId="urn:microsoft.com/office/officeart/2005/8/colors/accent6_1" csCatId="accent6" phldr="1"/>
      <dgm:spPr/>
    </dgm:pt>
    <dgm:pt modelId="{E1A99FC6-35D5-41F3-9B57-748FCBAAC32A}">
      <dgm:prSet phldrT="[Text]" custT="1"/>
      <dgm:spPr/>
      <dgm:t>
        <a:bodyPr/>
        <a:lstStyle/>
        <a:p>
          <a:pPr algn="r"/>
          <a:r>
            <a:rPr lang="en-ZA" sz="4000" b="1">
              <a:solidFill>
                <a:schemeClr val="tx2">
                  <a:lumMod val="75000"/>
                </a:schemeClr>
              </a:solidFill>
              <a:latin typeface="Arial" panose="020B0604020202020204" pitchFamily="34" charset="0"/>
              <a:cs typeface="Arial" panose="020B0604020202020204" pitchFamily="34" charset="0"/>
            </a:rPr>
            <a:t>PART C</a:t>
          </a:r>
          <a:r>
            <a:rPr lang="en-ZA" sz="3600" b="1">
              <a:solidFill>
                <a:schemeClr val="tx2">
                  <a:lumMod val="75000"/>
                </a:schemeClr>
              </a:solidFill>
              <a:latin typeface="Arial" panose="020B0604020202020204" pitchFamily="34" charset="0"/>
              <a:cs typeface="Arial" panose="020B0604020202020204" pitchFamily="34" charset="0"/>
            </a:rPr>
            <a:t>: </a:t>
          </a:r>
          <a:r>
            <a:rPr lang="en-ZA" sz="1800" b="1">
              <a:solidFill>
                <a:schemeClr val="tx2">
                  <a:lumMod val="75000"/>
                </a:schemeClr>
              </a:solidFill>
              <a:latin typeface="Arial" panose="020B0604020202020204" pitchFamily="34" charset="0"/>
              <a:cs typeface="Arial" panose="020B0604020202020204" pitchFamily="34" charset="0"/>
            </a:rPr>
            <a:t>Performance Information</a:t>
          </a:r>
          <a:endParaRPr lang="en-US" sz="1800">
            <a:solidFill>
              <a:schemeClr val="tx2">
                <a:lumMod val="75000"/>
              </a:schemeClr>
            </a:solidFill>
            <a:latin typeface="Arial" panose="020B0604020202020204" pitchFamily="34" charset="0"/>
            <a:cs typeface="Arial" panose="020B0604020202020204" pitchFamily="34" charset="0"/>
          </a:endParaRPr>
        </a:p>
      </dgm:t>
    </dgm:pt>
    <dgm:pt modelId="{B99D630A-895B-4F55-AEB1-F626B24AB8E6}" type="sibTrans" cxnId="{00248DBF-6EA8-4DD1-A882-7147478E062F}">
      <dgm:prSet/>
      <dgm:spPr/>
      <dgm:t>
        <a:bodyPr/>
        <a:lstStyle/>
        <a:p>
          <a:endParaRPr lang="en-US">
            <a:latin typeface="Arial" panose="020B0604020202020204" pitchFamily="34" charset="0"/>
            <a:cs typeface="Arial" panose="020B0604020202020204" pitchFamily="34" charset="0"/>
          </a:endParaRPr>
        </a:p>
      </dgm:t>
    </dgm:pt>
    <dgm:pt modelId="{2B824CDA-205B-49DC-8C15-CB0CFB435F6B}" type="parTrans" cxnId="{00248DBF-6EA8-4DD1-A882-7147478E062F}">
      <dgm:prSet/>
      <dgm:spPr/>
      <dgm:t>
        <a:bodyPr/>
        <a:lstStyle/>
        <a:p>
          <a:endParaRPr lang="en-US">
            <a:latin typeface="Arial" panose="020B0604020202020204" pitchFamily="34" charset="0"/>
            <a:cs typeface="Arial" panose="020B0604020202020204" pitchFamily="34" charset="0"/>
          </a:endParaRPr>
        </a:p>
      </dgm:t>
    </dgm:pt>
    <dgm:pt modelId="{81370C73-9BAA-4537-B17F-B1C8FDAA7D7D}" type="pres">
      <dgm:prSet presAssocID="{E2C99D3F-84AF-4E45-90F5-0C24A122BC4F}" presName="Name0" presStyleCnt="0">
        <dgm:presLayoutVars>
          <dgm:dir/>
          <dgm:animLvl val="lvl"/>
          <dgm:resizeHandles val="exact"/>
        </dgm:presLayoutVars>
      </dgm:prSet>
      <dgm:spPr/>
    </dgm:pt>
    <dgm:pt modelId="{D2553EBF-9107-481D-A545-57902E98B654}" type="pres">
      <dgm:prSet presAssocID="{E1A99FC6-35D5-41F3-9B57-748FCBAAC32A}" presName="parTxOnly" presStyleLbl="node1" presStyleIdx="0" presStyleCnt="1">
        <dgm:presLayoutVars>
          <dgm:chMax val="0"/>
          <dgm:chPref val="0"/>
          <dgm:bulletEnabled val="1"/>
        </dgm:presLayoutVars>
      </dgm:prSet>
      <dgm:spPr/>
      <dgm:t>
        <a:bodyPr/>
        <a:lstStyle/>
        <a:p>
          <a:endParaRPr lang="en-US"/>
        </a:p>
      </dgm:t>
    </dgm:pt>
  </dgm:ptLst>
  <dgm:cxnLst>
    <dgm:cxn modelId="{00248DBF-6EA8-4DD1-A882-7147478E062F}" srcId="{E2C99D3F-84AF-4E45-90F5-0C24A122BC4F}" destId="{E1A99FC6-35D5-41F3-9B57-748FCBAAC32A}" srcOrd="0" destOrd="0" parTransId="{2B824CDA-205B-49DC-8C15-CB0CFB435F6B}" sibTransId="{B99D630A-895B-4F55-AEB1-F626B24AB8E6}"/>
    <dgm:cxn modelId="{439B473F-75A3-4450-89FD-900CFBC58417}" type="presOf" srcId="{E2C99D3F-84AF-4E45-90F5-0C24A122BC4F}" destId="{81370C73-9BAA-4537-B17F-B1C8FDAA7D7D}" srcOrd="0" destOrd="0" presId="urn:microsoft.com/office/officeart/2005/8/layout/chevron1"/>
    <dgm:cxn modelId="{8CA1A8F9-B505-41E9-A294-422F6D4C9D9D}" type="presOf" srcId="{E1A99FC6-35D5-41F3-9B57-748FCBAAC32A}" destId="{D2553EBF-9107-481D-A545-57902E98B654}" srcOrd="0" destOrd="0" presId="urn:microsoft.com/office/officeart/2005/8/layout/chevron1"/>
    <dgm:cxn modelId="{B0BA05CF-E487-4D0A-B13A-8E89AD3909EA}" type="presParOf" srcId="{81370C73-9BAA-4537-B17F-B1C8FDAA7D7D}" destId="{D2553EBF-9107-481D-A545-57902E98B654}" srcOrd="0" destOrd="0" presId="urn:microsoft.com/office/officeart/2005/8/layout/chevron1"/>
  </dgm:cxnLst>
  <dgm:bg/>
  <dgm:whole/>
</dgm:dataModel>
</file>

<file path=word/diagrams/data4.xml><?xml version="1.0" encoding="utf-8"?>
<dgm:dataModel xmlns:dgm="http://schemas.openxmlformats.org/drawingml/2006/diagram" xmlns:a="http://schemas.openxmlformats.org/drawingml/2006/main">
  <dgm:ptLst>
    <dgm:pt modelId="{BD6FA94C-3008-4A88-A1CF-2111F2DE5578}" type="doc">
      <dgm:prSet loTypeId="urn:microsoft.com/office/officeart/2005/8/layout/equation1" loCatId="process" qsTypeId="urn:microsoft.com/office/officeart/2005/8/quickstyle/simple1" qsCatId="simple" csTypeId="urn:microsoft.com/office/officeart/2005/8/colors/colorful3" csCatId="colorful" phldr="1"/>
      <dgm:spPr/>
    </dgm:pt>
    <dgm:pt modelId="{43252EFD-0961-4184-90CF-BF52A13E425B}">
      <dgm:prSet phldrT="[Text]" custT="1"/>
      <dgm:spPr/>
      <dgm:t>
        <a:bodyPr/>
        <a:lstStyle/>
        <a:p>
          <a:pPr algn="ctr"/>
          <a:r>
            <a:rPr lang="en-US" sz="1200" b="1"/>
            <a:t>Quarter 1</a:t>
          </a:r>
        </a:p>
        <a:p>
          <a:pPr algn="ctr"/>
          <a:r>
            <a:rPr lang="en-US" sz="1200" b="1"/>
            <a:t>13 Outputs</a:t>
          </a:r>
        </a:p>
      </dgm:t>
    </dgm:pt>
    <dgm:pt modelId="{CDE1193E-90BB-469E-81C5-7A22AA8B5858}" type="parTrans" cxnId="{4DE6FFF4-0C52-49A3-9A32-16CD88297CEF}">
      <dgm:prSet/>
      <dgm:spPr/>
      <dgm:t>
        <a:bodyPr/>
        <a:lstStyle/>
        <a:p>
          <a:pPr algn="ctr"/>
          <a:endParaRPr lang="en-US" sz="1200" b="1"/>
        </a:p>
      </dgm:t>
    </dgm:pt>
    <dgm:pt modelId="{6E198B9D-8DE8-4990-A289-D634C89C29B3}" type="sibTrans" cxnId="{4DE6FFF4-0C52-49A3-9A32-16CD88297CEF}">
      <dgm:prSet custT="1"/>
      <dgm:spPr/>
      <dgm:t>
        <a:bodyPr/>
        <a:lstStyle/>
        <a:p>
          <a:pPr algn="ctr"/>
          <a:endParaRPr lang="en-US" sz="1200" b="1"/>
        </a:p>
      </dgm:t>
    </dgm:pt>
    <dgm:pt modelId="{4835CC50-9618-4ADD-B5FE-5FA2090E23BC}">
      <dgm:prSet phldrT="[Text]" custT="1"/>
      <dgm:spPr/>
      <dgm:t>
        <a:bodyPr/>
        <a:lstStyle/>
        <a:p>
          <a:pPr algn="ctr"/>
          <a:r>
            <a:rPr lang="en-US" sz="1200" b="1"/>
            <a:t>Quarter 2</a:t>
          </a:r>
        </a:p>
        <a:p>
          <a:pPr algn="ctr"/>
          <a:r>
            <a:rPr lang="en-US" sz="1200" b="1"/>
            <a:t>10 Outputs</a:t>
          </a:r>
        </a:p>
      </dgm:t>
    </dgm:pt>
    <dgm:pt modelId="{282C1819-14FC-4398-8446-AE2E8E33487A}" type="parTrans" cxnId="{EC47BA37-F6D2-48E4-B21E-B86FF520623A}">
      <dgm:prSet/>
      <dgm:spPr/>
      <dgm:t>
        <a:bodyPr/>
        <a:lstStyle/>
        <a:p>
          <a:pPr algn="ctr"/>
          <a:endParaRPr lang="en-US" sz="1200" b="1"/>
        </a:p>
      </dgm:t>
    </dgm:pt>
    <dgm:pt modelId="{2A1E2955-CA9D-420C-8968-48AF2E7FDF65}" type="sibTrans" cxnId="{EC47BA37-F6D2-48E4-B21E-B86FF520623A}">
      <dgm:prSet custT="1"/>
      <dgm:spPr/>
      <dgm:t>
        <a:bodyPr/>
        <a:lstStyle/>
        <a:p>
          <a:pPr algn="ctr"/>
          <a:endParaRPr lang="en-US" sz="1200" b="1"/>
        </a:p>
      </dgm:t>
    </dgm:pt>
    <dgm:pt modelId="{62CCE64F-B1E4-45E5-9BFC-4AB9D473E205}">
      <dgm:prSet phldrT="[Text]" custT="1"/>
      <dgm:spPr/>
      <dgm:t>
        <a:bodyPr/>
        <a:lstStyle/>
        <a:p>
          <a:pPr algn="ctr"/>
          <a:r>
            <a:rPr lang="en-US" sz="1200" b="1"/>
            <a:t>Mid-Year</a:t>
          </a:r>
        </a:p>
        <a:p>
          <a:pPr algn="ctr"/>
          <a:r>
            <a:rPr lang="en-US" sz="1200" b="1"/>
            <a:t>23 Outputs</a:t>
          </a:r>
        </a:p>
      </dgm:t>
    </dgm:pt>
    <dgm:pt modelId="{FE46D3D9-3880-4379-AB8C-639121FA690A}" type="parTrans" cxnId="{11E12045-F384-4812-BF6D-7F4CE1FA6DD0}">
      <dgm:prSet/>
      <dgm:spPr/>
      <dgm:t>
        <a:bodyPr/>
        <a:lstStyle/>
        <a:p>
          <a:pPr algn="ctr"/>
          <a:endParaRPr lang="en-US" sz="1200" b="1"/>
        </a:p>
      </dgm:t>
    </dgm:pt>
    <dgm:pt modelId="{9223759C-4F3D-44A0-9007-C11C749FDE70}" type="sibTrans" cxnId="{11E12045-F384-4812-BF6D-7F4CE1FA6DD0}">
      <dgm:prSet/>
      <dgm:spPr/>
      <dgm:t>
        <a:bodyPr/>
        <a:lstStyle/>
        <a:p>
          <a:pPr algn="ctr"/>
          <a:endParaRPr lang="en-US" sz="1200" b="1"/>
        </a:p>
      </dgm:t>
    </dgm:pt>
    <dgm:pt modelId="{F36885BA-E715-439A-87C8-4B444523870B}" type="pres">
      <dgm:prSet presAssocID="{BD6FA94C-3008-4A88-A1CF-2111F2DE5578}" presName="linearFlow" presStyleCnt="0">
        <dgm:presLayoutVars>
          <dgm:dir/>
          <dgm:resizeHandles val="exact"/>
        </dgm:presLayoutVars>
      </dgm:prSet>
      <dgm:spPr/>
    </dgm:pt>
    <dgm:pt modelId="{5AF83E51-5508-4E1C-A722-9FD929F0CECD}" type="pres">
      <dgm:prSet presAssocID="{43252EFD-0961-4184-90CF-BF52A13E425B}" presName="node" presStyleLbl="node1" presStyleIdx="0" presStyleCnt="3">
        <dgm:presLayoutVars>
          <dgm:bulletEnabled val="1"/>
        </dgm:presLayoutVars>
      </dgm:prSet>
      <dgm:spPr/>
      <dgm:t>
        <a:bodyPr/>
        <a:lstStyle/>
        <a:p>
          <a:endParaRPr lang="en-US"/>
        </a:p>
      </dgm:t>
    </dgm:pt>
    <dgm:pt modelId="{CBC7B3CD-2407-464B-A306-8EC3F8E8ABC6}" type="pres">
      <dgm:prSet presAssocID="{6E198B9D-8DE8-4990-A289-D634C89C29B3}" presName="spacerL" presStyleCnt="0"/>
      <dgm:spPr/>
    </dgm:pt>
    <dgm:pt modelId="{34385B30-9C5E-47AB-90A8-EC255A31E205}" type="pres">
      <dgm:prSet presAssocID="{6E198B9D-8DE8-4990-A289-D634C89C29B3}" presName="sibTrans" presStyleLbl="sibTrans2D1" presStyleIdx="0" presStyleCnt="2"/>
      <dgm:spPr/>
      <dgm:t>
        <a:bodyPr/>
        <a:lstStyle/>
        <a:p>
          <a:endParaRPr lang="en-US"/>
        </a:p>
      </dgm:t>
    </dgm:pt>
    <dgm:pt modelId="{9B24DADE-11C7-408A-96AF-87C00A88924B}" type="pres">
      <dgm:prSet presAssocID="{6E198B9D-8DE8-4990-A289-D634C89C29B3}" presName="spacerR" presStyleCnt="0"/>
      <dgm:spPr/>
    </dgm:pt>
    <dgm:pt modelId="{51D013A9-1493-484C-B933-79059CF5C115}" type="pres">
      <dgm:prSet presAssocID="{4835CC50-9618-4ADD-B5FE-5FA2090E23BC}" presName="node" presStyleLbl="node1" presStyleIdx="1" presStyleCnt="3">
        <dgm:presLayoutVars>
          <dgm:bulletEnabled val="1"/>
        </dgm:presLayoutVars>
      </dgm:prSet>
      <dgm:spPr/>
      <dgm:t>
        <a:bodyPr/>
        <a:lstStyle/>
        <a:p>
          <a:endParaRPr lang="en-US"/>
        </a:p>
      </dgm:t>
    </dgm:pt>
    <dgm:pt modelId="{9BCF1866-3B2C-4B0D-890C-85FB31E4197E}" type="pres">
      <dgm:prSet presAssocID="{2A1E2955-CA9D-420C-8968-48AF2E7FDF65}" presName="spacerL" presStyleCnt="0"/>
      <dgm:spPr/>
    </dgm:pt>
    <dgm:pt modelId="{6F54B99C-0AA2-41F6-8B6F-49A802C6CA50}" type="pres">
      <dgm:prSet presAssocID="{2A1E2955-CA9D-420C-8968-48AF2E7FDF65}" presName="sibTrans" presStyleLbl="sibTrans2D1" presStyleIdx="1" presStyleCnt="2"/>
      <dgm:spPr/>
      <dgm:t>
        <a:bodyPr/>
        <a:lstStyle/>
        <a:p>
          <a:endParaRPr lang="en-US"/>
        </a:p>
      </dgm:t>
    </dgm:pt>
    <dgm:pt modelId="{B14D21F0-645F-4014-9030-4868D4EC833E}" type="pres">
      <dgm:prSet presAssocID="{2A1E2955-CA9D-420C-8968-48AF2E7FDF65}" presName="spacerR" presStyleCnt="0"/>
      <dgm:spPr/>
    </dgm:pt>
    <dgm:pt modelId="{87F0333B-7CFC-4426-93C9-353FFB1B02BD}" type="pres">
      <dgm:prSet presAssocID="{62CCE64F-B1E4-45E5-9BFC-4AB9D473E205}" presName="node" presStyleLbl="node1" presStyleIdx="2" presStyleCnt="3">
        <dgm:presLayoutVars>
          <dgm:bulletEnabled val="1"/>
        </dgm:presLayoutVars>
      </dgm:prSet>
      <dgm:spPr/>
      <dgm:t>
        <a:bodyPr/>
        <a:lstStyle/>
        <a:p>
          <a:endParaRPr lang="en-US"/>
        </a:p>
      </dgm:t>
    </dgm:pt>
  </dgm:ptLst>
  <dgm:cxnLst>
    <dgm:cxn modelId="{6FDA6A3C-78B2-499F-AF68-821FED6D132A}" type="presOf" srcId="{6E198B9D-8DE8-4990-A289-D634C89C29B3}" destId="{34385B30-9C5E-47AB-90A8-EC255A31E205}" srcOrd="0" destOrd="0" presId="urn:microsoft.com/office/officeart/2005/8/layout/equation1"/>
    <dgm:cxn modelId="{662A3264-1BDF-4567-997B-93A0AA133270}" type="presOf" srcId="{43252EFD-0961-4184-90CF-BF52A13E425B}" destId="{5AF83E51-5508-4E1C-A722-9FD929F0CECD}" srcOrd="0" destOrd="0" presId="urn:microsoft.com/office/officeart/2005/8/layout/equation1"/>
    <dgm:cxn modelId="{CF578E7F-A4D2-4452-9302-EDA8BD4BC567}" type="presOf" srcId="{BD6FA94C-3008-4A88-A1CF-2111F2DE5578}" destId="{F36885BA-E715-439A-87C8-4B444523870B}" srcOrd="0" destOrd="0" presId="urn:microsoft.com/office/officeart/2005/8/layout/equation1"/>
    <dgm:cxn modelId="{C90D1D64-6D86-4500-A0D9-966036BB8894}" type="presOf" srcId="{62CCE64F-B1E4-45E5-9BFC-4AB9D473E205}" destId="{87F0333B-7CFC-4426-93C9-353FFB1B02BD}" srcOrd="0" destOrd="0" presId="urn:microsoft.com/office/officeart/2005/8/layout/equation1"/>
    <dgm:cxn modelId="{11E12045-F384-4812-BF6D-7F4CE1FA6DD0}" srcId="{BD6FA94C-3008-4A88-A1CF-2111F2DE5578}" destId="{62CCE64F-B1E4-45E5-9BFC-4AB9D473E205}" srcOrd="2" destOrd="0" parTransId="{FE46D3D9-3880-4379-AB8C-639121FA690A}" sibTransId="{9223759C-4F3D-44A0-9007-C11C749FDE70}"/>
    <dgm:cxn modelId="{4DE6FFF4-0C52-49A3-9A32-16CD88297CEF}" srcId="{BD6FA94C-3008-4A88-A1CF-2111F2DE5578}" destId="{43252EFD-0961-4184-90CF-BF52A13E425B}" srcOrd="0" destOrd="0" parTransId="{CDE1193E-90BB-469E-81C5-7A22AA8B5858}" sibTransId="{6E198B9D-8DE8-4990-A289-D634C89C29B3}"/>
    <dgm:cxn modelId="{8644F1D0-1A04-48AB-A91E-282435FA1E18}" type="presOf" srcId="{2A1E2955-CA9D-420C-8968-48AF2E7FDF65}" destId="{6F54B99C-0AA2-41F6-8B6F-49A802C6CA50}" srcOrd="0" destOrd="0" presId="urn:microsoft.com/office/officeart/2005/8/layout/equation1"/>
    <dgm:cxn modelId="{BEC10630-E91C-4939-93CF-CAED3144EADB}" type="presOf" srcId="{4835CC50-9618-4ADD-B5FE-5FA2090E23BC}" destId="{51D013A9-1493-484C-B933-79059CF5C115}" srcOrd="0" destOrd="0" presId="urn:microsoft.com/office/officeart/2005/8/layout/equation1"/>
    <dgm:cxn modelId="{EC47BA37-F6D2-48E4-B21E-B86FF520623A}" srcId="{BD6FA94C-3008-4A88-A1CF-2111F2DE5578}" destId="{4835CC50-9618-4ADD-B5FE-5FA2090E23BC}" srcOrd="1" destOrd="0" parTransId="{282C1819-14FC-4398-8446-AE2E8E33487A}" sibTransId="{2A1E2955-CA9D-420C-8968-48AF2E7FDF65}"/>
    <dgm:cxn modelId="{AFE2A3AB-07CE-4EFA-915B-AC78A84A71D2}" type="presParOf" srcId="{F36885BA-E715-439A-87C8-4B444523870B}" destId="{5AF83E51-5508-4E1C-A722-9FD929F0CECD}" srcOrd="0" destOrd="0" presId="urn:microsoft.com/office/officeart/2005/8/layout/equation1"/>
    <dgm:cxn modelId="{5C8886D3-1B5D-43B0-A0D4-90A31032BEF5}" type="presParOf" srcId="{F36885BA-E715-439A-87C8-4B444523870B}" destId="{CBC7B3CD-2407-464B-A306-8EC3F8E8ABC6}" srcOrd="1" destOrd="0" presId="urn:microsoft.com/office/officeart/2005/8/layout/equation1"/>
    <dgm:cxn modelId="{C4EA4032-6DC5-4479-A22D-520158B3AC9E}" type="presParOf" srcId="{F36885BA-E715-439A-87C8-4B444523870B}" destId="{34385B30-9C5E-47AB-90A8-EC255A31E205}" srcOrd="2" destOrd="0" presId="urn:microsoft.com/office/officeart/2005/8/layout/equation1"/>
    <dgm:cxn modelId="{0A4EC573-05AA-4055-B2AA-9A5E335CC8CE}" type="presParOf" srcId="{F36885BA-E715-439A-87C8-4B444523870B}" destId="{9B24DADE-11C7-408A-96AF-87C00A88924B}" srcOrd="3" destOrd="0" presId="urn:microsoft.com/office/officeart/2005/8/layout/equation1"/>
    <dgm:cxn modelId="{0467DD6B-F8AF-486C-A88F-6C1F216CC586}" type="presParOf" srcId="{F36885BA-E715-439A-87C8-4B444523870B}" destId="{51D013A9-1493-484C-B933-79059CF5C115}" srcOrd="4" destOrd="0" presId="urn:microsoft.com/office/officeart/2005/8/layout/equation1"/>
    <dgm:cxn modelId="{6E866546-39B0-40ED-9DD3-1C57F5A19B4D}" type="presParOf" srcId="{F36885BA-E715-439A-87C8-4B444523870B}" destId="{9BCF1866-3B2C-4B0D-890C-85FB31E4197E}" srcOrd="5" destOrd="0" presId="urn:microsoft.com/office/officeart/2005/8/layout/equation1"/>
    <dgm:cxn modelId="{8D80E456-3ABD-4D5A-874F-975EEBDB704E}" type="presParOf" srcId="{F36885BA-E715-439A-87C8-4B444523870B}" destId="{6F54B99C-0AA2-41F6-8B6F-49A802C6CA50}" srcOrd="6" destOrd="0" presId="urn:microsoft.com/office/officeart/2005/8/layout/equation1"/>
    <dgm:cxn modelId="{01FE63D3-C2D0-4026-BE94-6DF6A8F17C3A}" type="presParOf" srcId="{F36885BA-E715-439A-87C8-4B444523870B}" destId="{B14D21F0-645F-4014-9030-4868D4EC833E}" srcOrd="7" destOrd="0" presId="urn:microsoft.com/office/officeart/2005/8/layout/equation1"/>
    <dgm:cxn modelId="{E8B9AD13-7A82-459B-9A5E-2971B4335415}" type="presParOf" srcId="{F36885BA-E715-439A-87C8-4B444523870B}" destId="{87F0333B-7CFC-4426-93C9-353FFB1B02BD}" srcOrd="8" destOrd="0" presId="urn:microsoft.com/office/officeart/2005/8/layout/equation1"/>
  </dgm:cxnLst>
  <dgm:bg/>
  <dgm:whole/>
</dgm:dataModel>
</file>

<file path=word/diagrams/data5.xml><?xml version="1.0" encoding="utf-8"?>
<dgm:dataModel xmlns:dgm="http://schemas.openxmlformats.org/drawingml/2006/diagram" xmlns:a="http://schemas.openxmlformats.org/drawingml/2006/main">
  <dgm:ptLst>
    <dgm:pt modelId="{31534F43-8F0C-4DC7-B654-D2FA6F6F266C}"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56A5F992-9068-4E5E-9AA0-D9DD69FC0621}">
      <dgm:prSet phldrT="[Text]" custT="1"/>
      <dgm:spPr/>
      <dgm:t>
        <a:bodyPr/>
        <a:lstStyle/>
        <a:p>
          <a:r>
            <a:rPr lang="en-ZA" sz="1000" b="1"/>
            <a:t>Number of economic, policy and fiscal briefs produced and presented for keeping Members abreast of current affairs </a:t>
          </a:r>
          <a:endParaRPr lang="en-US" sz="1000" b="1"/>
        </a:p>
      </dgm:t>
    </dgm:pt>
    <dgm:pt modelId="{510200E0-7FB8-45D0-9895-5B2DC53D3CDB}" type="parTrans" cxnId="{51C0E8C2-0298-4014-AC20-5BD56353D268}">
      <dgm:prSet/>
      <dgm:spPr/>
      <dgm:t>
        <a:bodyPr/>
        <a:lstStyle/>
        <a:p>
          <a:endParaRPr lang="en-US" sz="1000"/>
        </a:p>
      </dgm:t>
    </dgm:pt>
    <dgm:pt modelId="{EB3ABD2B-E5F9-4851-8E73-A12DAF33D822}" type="sibTrans" cxnId="{51C0E8C2-0298-4014-AC20-5BD56353D268}">
      <dgm:prSet/>
      <dgm:spPr/>
      <dgm:t>
        <a:bodyPr/>
        <a:lstStyle/>
        <a:p>
          <a:endParaRPr lang="en-US" sz="1000"/>
        </a:p>
      </dgm:t>
    </dgm:pt>
    <dgm:pt modelId="{CA17D839-935D-450A-9829-7C50B1EE1F14}">
      <dgm:prSet phldrT="[Text]" custT="1"/>
      <dgm:spPr/>
      <dgm:t>
        <a:bodyPr/>
        <a:lstStyle/>
        <a:p>
          <a:r>
            <a:rPr lang="en-ZA" sz="1000"/>
            <a:t>Quarterly Economic Brief </a:t>
          </a:r>
          <a:endParaRPr lang="en-US" sz="1000"/>
        </a:p>
      </dgm:t>
    </dgm:pt>
    <dgm:pt modelId="{ADDC38EE-4B46-48C5-BA74-DD9982762DD7}" type="parTrans" cxnId="{FD22F189-17B7-4121-85EF-74A0907294F0}">
      <dgm:prSet/>
      <dgm:spPr/>
      <dgm:t>
        <a:bodyPr/>
        <a:lstStyle/>
        <a:p>
          <a:endParaRPr lang="en-US" sz="1000"/>
        </a:p>
      </dgm:t>
    </dgm:pt>
    <dgm:pt modelId="{4EBCDFEE-E425-4E1A-B197-57BCAD01743D}" type="sibTrans" cxnId="{FD22F189-17B7-4121-85EF-74A0907294F0}">
      <dgm:prSet/>
      <dgm:spPr/>
      <dgm:t>
        <a:bodyPr/>
        <a:lstStyle/>
        <a:p>
          <a:endParaRPr lang="en-US" sz="1000"/>
        </a:p>
      </dgm:t>
    </dgm:pt>
    <dgm:pt modelId="{4B963569-4022-43CA-A877-749112BC991C}">
      <dgm:prSet phldrT="[Text]" custT="1"/>
      <dgm:spPr/>
      <dgm:t>
        <a:bodyPr/>
        <a:lstStyle/>
        <a:p>
          <a:r>
            <a:rPr lang="en-ZA" sz="1000" b="1"/>
            <a:t>Number of Budget, MTBPS and Adjusted budget analysis reports produced and presented to Committees </a:t>
          </a:r>
          <a:endParaRPr lang="en-US" sz="1000" b="1"/>
        </a:p>
      </dgm:t>
    </dgm:pt>
    <dgm:pt modelId="{728DFA45-B0A9-4FB4-BDE9-E22E928DD111}" type="parTrans" cxnId="{1FEC3BD3-B429-4FBB-A23F-25676D8629E1}">
      <dgm:prSet/>
      <dgm:spPr/>
      <dgm:t>
        <a:bodyPr/>
        <a:lstStyle/>
        <a:p>
          <a:endParaRPr lang="en-US" sz="1000"/>
        </a:p>
      </dgm:t>
    </dgm:pt>
    <dgm:pt modelId="{A9D47E29-A76B-4318-AEB2-50D4515E0B29}" type="sibTrans" cxnId="{1FEC3BD3-B429-4FBB-A23F-25676D8629E1}">
      <dgm:prSet/>
      <dgm:spPr/>
      <dgm:t>
        <a:bodyPr/>
        <a:lstStyle/>
        <a:p>
          <a:endParaRPr lang="en-US" sz="1000"/>
        </a:p>
      </dgm:t>
    </dgm:pt>
    <dgm:pt modelId="{5887CE48-220C-4037-AD64-4BF332364C24}">
      <dgm:prSet phldrT="[Text]" custT="1"/>
      <dgm:spPr/>
      <dgm:t>
        <a:bodyPr/>
        <a:lstStyle/>
        <a:p>
          <a:r>
            <a:rPr lang="en-ZA" sz="1000"/>
            <a:t>Brief on DORA for Select Committee on Appropriations (Presentation) </a:t>
          </a:r>
          <a:endParaRPr lang="en-US" sz="1000"/>
        </a:p>
      </dgm:t>
    </dgm:pt>
    <dgm:pt modelId="{EB581FF0-BD2C-4A4D-AFDD-0E9015212E82}" type="parTrans" cxnId="{26718E3C-9E86-445A-956B-E928830E43B8}">
      <dgm:prSet/>
      <dgm:spPr/>
      <dgm:t>
        <a:bodyPr/>
        <a:lstStyle/>
        <a:p>
          <a:endParaRPr lang="en-US" sz="1000"/>
        </a:p>
      </dgm:t>
    </dgm:pt>
    <dgm:pt modelId="{EE1113FD-9005-49DB-9008-85158858C962}" type="sibTrans" cxnId="{26718E3C-9E86-445A-956B-E928830E43B8}">
      <dgm:prSet/>
      <dgm:spPr/>
      <dgm:t>
        <a:bodyPr/>
        <a:lstStyle/>
        <a:p>
          <a:endParaRPr lang="en-US" sz="1000"/>
        </a:p>
      </dgm:t>
    </dgm:pt>
    <dgm:pt modelId="{E431B9A7-61FF-4B59-B38B-1E897270B81F}">
      <dgm:prSet phldrT="[Text]" custT="1"/>
      <dgm:spPr/>
      <dgm:t>
        <a:bodyPr/>
        <a:lstStyle/>
        <a:p>
          <a:r>
            <a:rPr lang="en-ZA" sz="1000" b="1"/>
            <a:t>Number of special reports </a:t>
          </a:r>
          <a:endParaRPr lang="en-US" sz="1000" b="1"/>
        </a:p>
      </dgm:t>
    </dgm:pt>
    <dgm:pt modelId="{FF398752-0BCD-4DCA-A842-43D31975BF88}" type="parTrans" cxnId="{7AF75E59-559D-4F02-9E52-74DAFACC1A09}">
      <dgm:prSet/>
      <dgm:spPr/>
      <dgm:t>
        <a:bodyPr/>
        <a:lstStyle/>
        <a:p>
          <a:endParaRPr lang="en-US" sz="1000"/>
        </a:p>
      </dgm:t>
    </dgm:pt>
    <dgm:pt modelId="{DF30A85A-1A8F-4840-9A9D-97D9E792E13B}" type="sibTrans" cxnId="{7AF75E59-559D-4F02-9E52-74DAFACC1A09}">
      <dgm:prSet/>
      <dgm:spPr/>
      <dgm:t>
        <a:bodyPr/>
        <a:lstStyle/>
        <a:p>
          <a:endParaRPr lang="en-US" sz="1000"/>
        </a:p>
      </dgm:t>
    </dgm:pt>
    <dgm:pt modelId="{CF710482-F86B-4F1A-A680-589AFCDBFA44}">
      <dgm:prSet phldrT="[Text]" custT="1"/>
      <dgm:spPr/>
      <dgm:t>
        <a:bodyPr/>
        <a:lstStyle/>
        <a:p>
          <a:r>
            <a:rPr lang="en-ZA" sz="1000"/>
            <a:t>Information for Members of Parliament participating in the Webinar: Covid19 response - starting the global economy in a sustainable and inclusive manner </a:t>
          </a:r>
          <a:endParaRPr lang="en-US" sz="1000"/>
        </a:p>
      </dgm:t>
    </dgm:pt>
    <dgm:pt modelId="{1FCF0109-F590-4C2B-9688-E76DF4727C69}" type="parTrans" cxnId="{14D6E079-D8F0-4DE2-9497-709AD9863E05}">
      <dgm:prSet/>
      <dgm:spPr/>
      <dgm:t>
        <a:bodyPr/>
        <a:lstStyle/>
        <a:p>
          <a:endParaRPr lang="en-US" sz="1000"/>
        </a:p>
      </dgm:t>
    </dgm:pt>
    <dgm:pt modelId="{52711737-D31D-4A5D-BE1D-CCD36143DEDD}" type="sibTrans" cxnId="{14D6E079-D8F0-4DE2-9497-709AD9863E05}">
      <dgm:prSet/>
      <dgm:spPr/>
      <dgm:t>
        <a:bodyPr/>
        <a:lstStyle/>
        <a:p>
          <a:endParaRPr lang="en-US" sz="1000"/>
        </a:p>
      </dgm:t>
    </dgm:pt>
    <dgm:pt modelId="{D0EA996D-FA14-471C-BA6E-6382C8D74D61}">
      <dgm:prSet custT="1"/>
      <dgm:spPr/>
      <dgm:t>
        <a:bodyPr/>
        <a:lstStyle/>
        <a:p>
          <a:r>
            <a:rPr lang="en-ZA" sz="1000"/>
            <a:t>Brief on DORA for Select Committee on Appropriations (Report) </a:t>
          </a:r>
        </a:p>
      </dgm:t>
    </dgm:pt>
    <dgm:pt modelId="{7E121B27-44D6-4824-BB21-2F349C8BB512}" type="parTrans" cxnId="{EFB66709-7018-4BD1-9815-48D3CDB1883E}">
      <dgm:prSet/>
      <dgm:spPr/>
      <dgm:t>
        <a:bodyPr/>
        <a:lstStyle/>
        <a:p>
          <a:endParaRPr lang="en-US" sz="1000"/>
        </a:p>
      </dgm:t>
    </dgm:pt>
    <dgm:pt modelId="{F7FDF252-4411-4B33-A278-DD064D5461B7}" type="sibTrans" cxnId="{EFB66709-7018-4BD1-9815-48D3CDB1883E}">
      <dgm:prSet/>
      <dgm:spPr/>
      <dgm:t>
        <a:bodyPr/>
        <a:lstStyle/>
        <a:p>
          <a:endParaRPr lang="en-US" sz="1000"/>
        </a:p>
      </dgm:t>
    </dgm:pt>
    <dgm:pt modelId="{664702C4-8C22-4782-A21E-0D8F7559D2BA}">
      <dgm:prSet custT="1"/>
      <dgm:spPr/>
      <dgm:t>
        <a:bodyPr/>
        <a:lstStyle/>
        <a:p>
          <a:r>
            <a:rPr lang="en-ZA" sz="1000"/>
            <a:t>Brief on 2020 Appropriation Bill - Standing Committee on Appropriations </a:t>
          </a:r>
        </a:p>
      </dgm:t>
    </dgm:pt>
    <dgm:pt modelId="{B7ADBC8C-35C7-463C-85FB-34F5B776C1B2}" type="parTrans" cxnId="{7234BFA4-13DA-4E66-9329-91EC996C4DA9}">
      <dgm:prSet/>
      <dgm:spPr/>
      <dgm:t>
        <a:bodyPr/>
        <a:lstStyle/>
        <a:p>
          <a:endParaRPr lang="en-US" sz="1000"/>
        </a:p>
      </dgm:t>
    </dgm:pt>
    <dgm:pt modelId="{1617F00E-9635-47CB-8BF2-B2C7277C3835}" type="sibTrans" cxnId="{7234BFA4-13DA-4E66-9329-91EC996C4DA9}">
      <dgm:prSet/>
      <dgm:spPr/>
      <dgm:t>
        <a:bodyPr/>
        <a:lstStyle/>
        <a:p>
          <a:endParaRPr lang="en-US" sz="1000"/>
        </a:p>
      </dgm:t>
    </dgm:pt>
    <dgm:pt modelId="{6D43A4E1-3F09-400F-B8E2-41336DD1FD61}">
      <dgm:prSet custT="1"/>
      <dgm:spPr/>
      <dgm:t>
        <a:bodyPr/>
        <a:lstStyle/>
        <a:p>
          <a:r>
            <a:rPr lang="en-ZA" sz="1000"/>
            <a:t>Briefing on 2020 Appropriations Bill Select Committee on Appropriations </a:t>
          </a:r>
        </a:p>
      </dgm:t>
    </dgm:pt>
    <dgm:pt modelId="{9D0F54F1-21B8-496D-B5B7-16B4ACB920F1}" type="parTrans" cxnId="{3469B47D-F423-44AA-A84B-7E5F526434C3}">
      <dgm:prSet/>
      <dgm:spPr/>
      <dgm:t>
        <a:bodyPr/>
        <a:lstStyle/>
        <a:p>
          <a:endParaRPr lang="en-US" sz="1000"/>
        </a:p>
      </dgm:t>
    </dgm:pt>
    <dgm:pt modelId="{CDBDA4C0-7773-48C4-923E-45CCA73683A8}" type="sibTrans" cxnId="{3469B47D-F423-44AA-A84B-7E5F526434C3}">
      <dgm:prSet/>
      <dgm:spPr/>
      <dgm:t>
        <a:bodyPr/>
        <a:lstStyle/>
        <a:p>
          <a:endParaRPr lang="en-US" sz="1000"/>
        </a:p>
      </dgm:t>
    </dgm:pt>
    <dgm:pt modelId="{40CC2735-A4F7-41D0-8962-5C6F42B12CA2}">
      <dgm:prSet custT="1"/>
      <dgm:spPr/>
      <dgm:t>
        <a:bodyPr/>
        <a:lstStyle/>
        <a:p>
          <a:r>
            <a:rPr lang="en-ZA" sz="1000"/>
            <a:t>Briefing on 2020 Revised Fiscal Framework </a:t>
          </a:r>
        </a:p>
      </dgm:t>
    </dgm:pt>
    <dgm:pt modelId="{8B587452-6C5C-49B6-AFCB-22D89D87E662}" type="parTrans" cxnId="{07C06BAE-D012-4A23-87CB-2941F196C4B1}">
      <dgm:prSet/>
      <dgm:spPr/>
      <dgm:t>
        <a:bodyPr/>
        <a:lstStyle/>
        <a:p>
          <a:endParaRPr lang="en-US" sz="1000"/>
        </a:p>
      </dgm:t>
    </dgm:pt>
    <dgm:pt modelId="{6397CFBF-4361-4D3E-A6AA-B434691ED056}" type="sibTrans" cxnId="{07C06BAE-D012-4A23-87CB-2941F196C4B1}">
      <dgm:prSet/>
      <dgm:spPr/>
      <dgm:t>
        <a:bodyPr/>
        <a:lstStyle/>
        <a:p>
          <a:endParaRPr lang="en-US" sz="1000"/>
        </a:p>
      </dgm:t>
    </dgm:pt>
    <dgm:pt modelId="{D66B494A-8605-445E-8BCE-067CD77A634C}">
      <dgm:prSet custT="1"/>
      <dgm:spPr/>
      <dgm:t>
        <a:bodyPr/>
        <a:lstStyle/>
        <a:p>
          <a:r>
            <a:rPr lang="en-ZA" sz="1000"/>
            <a:t>PBO Briefing on 2020 Revised Division of Revenue </a:t>
          </a:r>
        </a:p>
      </dgm:t>
    </dgm:pt>
    <dgm:pt modelId="{26716A45-F733-4CCA-B812-C2CFFE7D4487}" type="parTrans" cxnId="{D958515E-0E8A-4466-B0D1-A82B0523AFEB}">
      <dgm:prSet/>
      <dgm:spPr/>
      <dgm:t>
        <a:bodyPr/>
        <a:lstStyle/>
        <a:p>
          <a:endParaRPr lang="en-US" sz="1000"/>
        </a:p>
      </dgm:t>
    </dgm:pt>
    <dgm:pt modelId="{9CCAA2FC-9EC9-4692-A2DC-20C241EF232B}" type="sibTrans" cxnId="{D958515E-0E8A-4466-B0D1-A82B0523AFEB}">
      <dgm:prSet/>
      <dgm:spPr/>
      <dgm:t>
        <a:bodyPr/>
        <a:lstStyle/>
        <a:p>
          <a:endParaRPr lang="en-US" sz="1000"/>
        </a:p>
      </dgm:t>
    </dgm:pt>
    <dgm:pt modelId="{26CC7F69-49C1-4271-96F3-AF16DA577E41}">
      <dgm:prSet custT="1"/>
      <dgm:spPr/>
      <dgm:t>
        <a:bodyPr/>
        <a:lstStyle/>
        <a:p>
          <a:r>
            <a:rPr lang="en-ZA" sz="1000"/>
            <a:t>Briefing on 2020 Adjustments Appropriations Bill</a:t>
          </a:r>
        </a:p>
      </dgm:t>
    </dgm:pt>
    <dgm:pt modelId="{B460C858-80C2-4665-AD1E-788312E34D2B}" type="parTrans" cxnId="{8784D0C4-9451-4603-8D92-24D0E64DBFDD}">
      <dgm:prSet/>
      <dgm:spPr/>
      <dgm:t>
        <a:bodyPr/>
        <a:lstStyle/>
        <a:p>
          <a:endParaRPr lang="en-US" sz="1000"/>
        </a:p>
      </dgm:t>
    </dgm:pt>
    <dgm:pt modelId="{DE7C13FF-A2DF-4712-9038-5051438B2E05}" type="sibTrans" cxnId="{8784D0C4-9451-4603-8D92-24D0E64DBFDD}">
      <dgm:prSet/>
      <dgm:spPr/>
      <dgm:t>
        <a:bodyPr/>
        <a:lstStyle/>
        <a:p>
          <a:endParaRPr lang="en-US" sz="1000"/>
        </a:p>
      </dgm:t>
    </dgm:pt>
    <dgm:pt modelId="{F7397D22-0BA3-4708-932D-371B0985D79F}">
      <dgm:prSet custT="1"/>
      <dgm:spPr/>
      <dgm:t>
        <a:bodyPr/>
        <a:lstStyle/>
        <a:p>
          <a:r>
            <a:rPr lang="en-ZA" sz="1000"/>
            <a:t>Policy Brief Health Conditional Grants </a:t>
          </a:r>
        </a:p>
      </dgm:t>
    </dgm:pt>
    <dgm:pt modelId="{7EA94820-B251-4F1E-8156-C0F73C782AAA}" type="parTrans" cxnId="{E5298838-327A-4720-B1EB-926B1AA5E87D}">
      <dgm:prSet/>
      <dgm:spPr/>
      <dgm:t>
        <a:bodyPr/>
        <a:lstStyle/>
        <a:p>
          <a:endParaRPr lang="en-US" sz="1000"/>
        </a:p>
      </dgm:t>
    </dgm:pt>
    <dgm:pt modelId="{B595A9B0-C386-4F3C-BC2E-F2377BB6CBD2}" type="sibTrans" cxnId="{E5298838-327A-4720-B1EB-926B1AA5E87D}">
      <dgm:prSet/>
      <dgm:spPr/>
      <dgm:t>
        <a:bodyPr/>
        <a:lstStyle/>
        <a:p>
          <a:endParaRPr lang="en-US" sz="1000"/>
        </a:p>
      </dgm:t>
    </dgm:pt>
    <dgm:pt modelId="{D1A1C5D2-62F6-4497-B115-C59EEF8CE5DB}">
      <dgm:prSet custT="1"/>
      <dgm:spPr/>
      <dgm:t>
        <a:bodyPr/>
        <a:lstStyle/>
        <a:p>
          <a:r>
            <a:rPr lang="en-ZA" sz="1000"/>
            <a:t>Policy Brief: Agriculture Conditional Grants </a:t>
          </a:r>
        </a:p>
      </dgm:t>
    </dgm:pt>
    <dgm:pt modelId="{89CB5DDD-A313-4FA7-9EC7-2E82F112E4F9}" type="parTrans" cxnId="{0D2C46A4-574B-4A4B-AC42-8462EE25CB9A}">
      <dgm:prSet/>
      <dgm:spPr/>
      <dgm:t>
        <a:bodyPr/>
        <a:lstStyle/>
        <a:p>
          <a:endParaRPr lang="en-US" sz="1000"/>
        </a:p>
      </dgm:t>
    </dgm:pt>
    <dgm:pt modelId="{912C6C40-1A4E-47A6-8D8C-6044106DE813}" type="sibTrans" cxnId="{0D2C46A4-574B-4A4B-AC42-8462EE25CB9A}">
      <dgm:prSet/>
      <dgm:spPr/>
      <dgm:t>
        <a:bodyPr/>
        <a:lstStyle/>
        <a:p>
          <a:endParaRPr lang="en-US" sz="1000"/>
        </a:p>
      </dgm:t>
    </dgm:pt>
    <dgm:pt modelId="{04C9F4ED-BB83-4A77-8315-175A93CBBAF7}">
      <dgm:prSet custT="1"/>
      <dgm:spPr/>
      <dgm:t>
        <a:bodyPr/>
        <a:lstStyle/>
        <a:p>
          <a:r>
            <a:rPr lang="en-ZA" sz="1000"/>
            <a:t>Policy Brief: Human Settlements Conditional Grants </a:t>
          </a:r>
        </a:p>
      </dgm:t>
    </dgm:pt>
    <dgm:pt modelId="{21ED9F44-4C38-4222-B635-42BA64AB8109}" type="parTrans" cxnId="{C4D2F578-A5F9-4E1D-9A75-6C70D8DA413A}">
      <dgm:prSet/>
      <dgm:spPr/>
      <dgm:t>
        <a:bodyPr/>
        <a:lstStyle/>
        <a:p>
          <a:endParaRPr lang="en-US" sz="1000"/>
        </a:p>
      </dgm:t>
    </dgm:pt>
    <dgm:pt modelId="{AB698FB5-EB9C-4F84-9075-4D6AF182BDF2}" type="sibTrans" cxnId="{C4D2F578-A5F9-4E1D-9A75-6C70D8DA413A}">
      <dgm:prSet/>
      <dgm:spPr/>
      <dgm:t>
        <a:bodyPr/>
        <a:lstStyle/>
        <a:p>
          <a:endParaRPr lang="en-US" sz="1000"/>
        </a:p>
      </dgm:t>
    </dgm:pt>
    <dgm:pt modelId="{9D1EAFFA-F47C-4AE0-95A4-7B50E312883F}">
      <dgm:prSet custT="1"/>
      <dgm:spPr/>
      <dgm:t>
        <a:bodyPr/>
        <a:lstStyle/>
        <a:p>
          <a:r>
            <a:rPr lang="en-ZA" sz="1000"/>
            <a:t>Policy Brief: Persistence of Gender Inequality in South Africa </a:t>
          </a:r>
        </a:p>
      </dgm:t>
    </dgm:pt>
    <dgm:pt modelId="{FD07A8CB-04C0-4201-8425-17A4B49F6A5F}" type="parTrans" cxnId="{84EF27B2-8B03-4DF4-81EC-C03CBA904C85}">
      <dgm:prSet/>
      <dgm:spPr/>
      <dgm:t>
        <a:bodyPr/>
        <a:lstStyle/>
        <a:p>
          <a:endParaRPr lang="en-US" sz="1000"/>
        </a:p>
      </dgm:t>
    </dgm:pt>
    <dgm:pt modelId="{FA360CF9-EECB-4856-BF37-03E59BD74BD9}" type="sibTrans" cxnId="{84EF27B2-8B03-4DF4-81EC-C03CBA904C85}">
      <dgm:prSet/>
      <dgm:spPr/>
      <dgm:t>
        <a:bodyPr/>
        <a:lstStyle/>
        <a:p>
          <a:endParaRPr lang="en-US" sz="1000"/>
        </a:p>
      </dgm:t>
    </dgm:pt>
    <dgm:pt modelId="{F6AC08F1-4C55-4F2D-B8C7-349AA17686C8}">
      <dgm:prSet custT="1"/>
      <dgm:spPr/>
      <dgm:t>
        <a:bodyPr/>
        <a:lstStyle/>
        <a:p>
          <a:r>
            <a:rPr lang="en-ZA" sz="1000"/>
            <a:t>Tax Brief: Digital Economy and Taxation Policy Considerations- June 2020 (report) </a:t>
          </a:r>
        </a:p>
      </dgm:t>
    </dgm:pt>
    <dgm:pt modelId="{DE417D79-DC7B-4360-AEF4-7C95874B859B}" type="parTrans" cxnId="{65727EBB-686E-4670-9185-4D7C01CF1C3A}">
      <dgm:prSet/>
      <dgm:spPr/>
      <dgm:t>
        <a:bodyPr/>
        <a:lstStyle/>
        <a:p>
          <a:endParaRPr lang="en-US" sz="1000"/>
        </a:p>
      </dgm:t>
    </dgm:pt>
    <dgm:pt modelId="{605CAB2D-E6D2-4247-83D7-97651BFD498A}" type="sibTrans" cxnId="{65727EBB-686E-4670-9185-4D7C01CF1C3A}">
      <dgm:prSet/>
      <dgm:spPr/>
      <dgm:t>
        <a:bodyPr/>
        <a:lstStyle/>
        <a:p>
          <a:endParaRPr lang="en-US" sz="1000"/>
        </a:p>
      </dgm:t>
    </dgm:pt>
    <dgm:pt modelId="{A2263915-9312-433D-8CC1-73539DA96E15}">
      <dgm:prSet custT="1"/>
      <dgm:spPr/>
      <dgm:t>
        <a:bodyPr/>
        <a:lstStyle/>
        <a:p>
          <a:r>
            <a:rPr lang="en-ZA" sz="1000"/>
            <a:t>Tax Brief: Digital Economy and Taxation Policy Considerations June 2020 (presentation) </a:t>
          </a:r>
        </a:p>
      </dgm:t>
    </dgm:pt>
    <dgm:pt modelId="{39EF2CFE-8055-4B39-8FA1-2F80439E2468}" type="parTrans" cxnId="{2B07C133-5E29-445F-972E-694B09320906}">
      <dgm:prSet/>
      <dgm:spPr/>
      <dgm:t>
        <a:bodyPr/>
        <a:lstStyle/>
        <a:p>
          <a:endParaRPr lang="en-US" sz="1000"/>
        </a:p>
      </dgm:t>
    </dgm:pt>
    <dgm:pt modelId="{B9848695-E809-47CF-B2FE-D2566286E610}" type="sibTrans" cxnId="{2B07C133-5E29-445F-972E-694B09320906}">
      <dgm:prSet/>
      <dgm:spPr/>
      <dgm:t>
        <a:bodyPr/>
        <a:lstStyle/>
        <a:p>
          <a:endParaRPr lang="en-US" sz="1000"/>
        </a:p>
      </dgm:t>
    </dgm:pt>
    <dgm:pt modelId="{E8BA7B5B-A577-4903-BA7B-2029D3642913}">
      <dgm:prSet custT="1"/>
      <dgm:spPr/>
      <dgm:t>
        <a:bodyPr/>
        <a:lstStyle/>
        <a:p>
          <a:r>
            <a:rPr lang="en-ZA" sz="1000"/>
            <a:t>Policy Brief: Cooperative Governance and National Treasury Conditional Grants </a:t>
          </a:r>
        </a:p>
      </dgm:t>
    </dgm:pt>
    <dgm:pt modelId="{40705C40-53EB-4F37-A734-A01590C62E1F}" type="parTrans" cxnId="{01DDC83C-A482-4860-A9A6-0F8B7EA33264}">
      <dgm:prSet/>
      <dgm:spPr/>
      <dgm:t>
        <a:bodyPr/>
        <a:lstStyle/>
        <a:p>
          <a:endParaRPr lang="en-US" sz="1000"/>
        </a:p>
      </dgm:t>
    </dgm:pt>
    <dgm:pt modelId="{494C208E-8298-4812-BF4F-798F503BB7F9}" type="sibTrans" cxnId="{01DDC83C-A482-4860-A9A6-0F8B7EA33264}">
      <dgm:prSet/>
      <dgm:spPr/>
      <dgm:t>
        <a:bodyPr/>
        <a:lstStyle/>
        <a:p>
          <a:endParaRPr lang="en-US" sz="1000"/>
        </a:p>
      </dgm:t>
    </dgm:pt>
    <dgm:pt modelId="{A22EB31B-BC39-41A7-8DFD-488740CAA2E7}">
      <dgm:prSet custT="1"/>
      <dgm:spPr/>
      <dgm:t>
        <a:bodyPr/>
        <a:lstStyle/>
        <a:p>
          <a:r>
            <a:rPr lang="en-ZA" sz="1000"/>
            <a:t>Quarterly Economic Brief no 22 July 2020 21/2/3 </a:t>
          </a:r>
        </a:p>
      </dgm:t>
    </dgm:pt>
    <dgm:pt modelId="{450F30D6-4F6B-493F-A5E9-228815887102}" type="parTrans" cxnId="{8598F258-7995-4DC2-BB35-0B534F4805A2}">
      <dgm:prSet/>
      <dgm:spPr/>
      <dgm:t>
        <a:bodyPr/>
        <a:lstStyle/>
        <a:p>
          <a:endParaRPr lang="en-US" sz="1000"/>
        </a:p>
      </dgm:t>
    </dgm:pt>
    <dgm:pt modelId="{440EA8A3-55CB-47A9-B843-18AD98504580}" type="sibTrans" cxnId="{8598F258-7995-4DC2-BB35-0B534F4805A2}">
      <dgm:prSet/>
      <dgm:spPr/>
      <dgm:t>
        <a:bodyPr/>
        <a:lstStyle/>
        <a:p>
          <a:endParaRPr lang="en-US" sz="1000"/>
        </a:p>
      </dgm:t>
    </dgm:pt>
    <dgm:pt modelId="{8F52BF88-4F9D-41CF-8643-8F37B0560230}">
      <dgm:prSet custT="1"/>
      <dgm:spPr/>
      <dgm:t>
        <a:bodyPr/>
        <a:lstStyle/>
        <a:p>
          <a:r>
            <a:rPr lang="en-ZA" sz="1000"/>
            <a:t>Policy Brief: Draft Procurement Bill 21/2/3 </a:t>
          </a:r>
        </a:p>
      </dgm:t>
    </dgm:pt>
    <dgm:pt modelId="{49AB8F28-2AD7-4F35-A6A6-3B4E14848542}" type="parTrans" cxnId="{076A70A8-035E-4E21-A8B4-A50F967C77AC}">
      <dgm:prSet/>
      <dgm:spPr/>
      <dgm:t>
        <a:bodyPr/>
        <a:lstStyle/>
        <a:p>
          <a:endParaRPr lang="en-US" sz="1000"/>
        </a:p>
      </dgm:t>
    </dgm:pt>
    <dgm:pt modelId="{FF492163-18A1-4A16-AA3D-030FE1F118AD}" type="sibTrans" cxnId="{076A70A8-035E-4E21-A8B4-A50F967C77AC}">
      <dgm:prSet/>
      <dgm:spPr/>
      <dgm:t>
        <a:bodyPr/>
        <a:lstStyle/>
        <a:p>
          <a:endParaRPr lang="en-US" sz="1000"/>
        </a:p>
      </dgm:t>
    </dgm:pt>
    <dgm:pt modelId="{4DE7B833-7FB3-4B0C-A365-3ABBA0E5828C}">
      <dgm:prSet custT="1"/>
      <dgm:spPr/>
      <dgm:t>
        <a:bodyPr/>
        <a:lstStyle/>
        <a:p>
          <a:r>
            <a:rPr lang="en-ZA" sz="1000"/>
            <a:t>Quarterly Economic Brief 21/2/3</a:t>
          </a:r>
        </a:p>
      </dgm:t>
    </dgm:pt>
    <dgm:pt modelId="{BF5DEF74-CCEB-4C21-ACBD-4E4D3B4BF061}" type="parTrans" cxnId="{E81476D6-3785-494C-B91A-395BB9B6AA8C}">
      <dgm:prSet/>
      <dgm:spPr/>
      <dgm:t>
        <a:bodyPr/>
        <a:lstStyle/>
        <a:p>
          <a:endParaRPr lang="en-US" sz="1000"/>
        </a:p>
      </dgm:t>
    </dgm:pt>
    <dgm:pt modelId="{1EB636B3-B878-47F8-A400-3A2A38FA827E}" type="sibTrans" cxnId="{E81476D6-3785-494C-B91A-395BB9B6AA8C}">
      <dgm:prSet/>
      <dgm:spPr/>
      <dgm:t>
        <a:bodyPr/>
        <a:lstStyle/>
        <a:p>
          <a:endParaRPr lang="en-US" sz="1000"/>
        </a:p>
      </dgm:t>
    </dgm:pt>
    <dgm:pt modelId="{089E9C72-EE3C-482A-A3C5-F0D48EA3A736}">
      <dgm:prSet custT="1"/>
      <dgm:spPr/>
      <dgm:t>
        <a:bodyPr/>
        <a:lstStyle/>
        <a:p>
          <a:r>
            <a:rPr lang="en-ZA" sz="1000"/>
            <a:t>Brief on Zero-Base Budgeting - Standing and Select Committees on Appropriations </a:t>
          </a:r>
        </a:p>
      </dgm:t>
    </dgm:pt>
    <dgm:pt modelId="{67C945C8-FF59-41AD-8278-E6F4815D498E}" type="parTrans" cxnId="{16CAA400-1881-4F87-9321-529100DDFFE6}">
      <dgm:prSet/>
      <dgm:spPr/>
      <dgm:t>
        <a:bodyPr/>
        <a:lstStyle/>
        <a:p>
          <a:endParaRPr lang="en-US" sz="1000"/>
        </a:p>
      </dgm:t>
    </dgm:pt>
    <dgm:pt modelId="{8B16D977-FC66-4BD2-8DE9-89C2C5FDC46A}" type="sibTrans" cxnId="{16CAA400-1881-4F87-9321-529100DDFFE6}">
      <dgm:prSet/>
      <dgm:spPr/>
      <dgm:t>
        <a:bodyPr/>
        <a:lstStyle/>
        <a:p>
          <a:endParaRPr lang="en-US" sz="1000"/>
        </a:p>
      </dgm:t>
    </dgm:pt>
    <dgm:pt modelId="{3F2D465F-E4F1-4938-9A91-B20AE22DB496}">
      <dgm:prSet custT="1"/>
      <dgm:spPr/>
      <dgm:t>
        <a:bodyPr/>
        <a:lstStyle/>
        <a:p>
          <a:r>
            <a:rPr lang="en-ZA" sz="1000"/>
            <a:t>Brief on African Speaker’s Debt Cancellation Campaign Initiative – Covid19 Pandemic 21/2/4 </a:t>
          </a:r>
        </a:p>
      </dgm:t>
    </dgm:pt>
    <dgm:pt modelId="{689F3AF0-0F4E-4971-A574-FC9DEC08E44A}" type="parTrans" cxnId="{2DEA8958-35B0-4D1A-B619-6810D9371DB1}">
      <dgm:prSet/>
      <dgm:spPr/>
      <dgm:t>
        <a:bodyPr/>
        <a:lstStyle/>
        <a:p>
          <a:endParaRPr lang="en-US" sz="1000"/>
        </a:p>
      </dgm:t>
    </dgm:pt>
    <dgm:pt modelId="{5D27EDDD-7F39-453B-AB3B-04A0E0816D86}" type="sibTrans" cxnId="{2DEA8958-35B0-4D1A-B619-6810D9371DB1}">
      <dgm:prSet/>
      <dgm:spPr/>
      <dgm:t>
        <a:bodyPr/>
        <a:lstStyle/>
        <a:p>
          <a:endParaRPr lang="en-US" sz="1000"/>
        </a:p>
      </dgm:t>
    </dgm:pt>
    <dgm:pt modelId="{C913FA06-9F1A-4B79-89D9-D54AA569D09E}">
      <dgm:prSet custT="1"/>
      <dgm:spPr/>
      <dgm:t>
        <a:bodyPr/>
        <a:lstStyle/>
        <a:p>
          <a:r>
            <a:rPr lang="en-ZA" sz="1000"/>
            <a:t>Role of Parliament in the Budget Process: Brief to the Chairperson of the NCOP </a:t>
          </a:r>
        </a:p>
      </dgm:t>
    </dgm:pt>
    <dgm:pt modelId="{07B909FE-7E64-4886-80E5-D62C354CF4DF}" type="parTrans" cxnId="{316B57E1-A3BD-44DC-B37C-F78FA8C6CF59}">
      <dgm:prSet/>
      <dgm:spPr/>
      <dgm:t>
        <a:bodyPr/>
        <a:lstStyle/>
        <a:p>
          <a:endParaRPr lang="en-US" sz="1000"/>
        </a:p>
      </dgm:t>
    </dgm:pt>
    <dgm:pt modelId="{8CA7A2DF-C4B0-4986-8275-B3E5B349ADEA}" type="sibTrans" cxnId="{316B57E1-A3BD-44DC-B37C-F78FA8C6CF59}">
      <dgm:prSet/>
      <dgm:spPr/>
      <dgm:t>
        <a:bodyPr/>
        <a:lstStyle/>
        <a:p>
          <a:endParaRPr lang="en-US" sz="1000"/>
        </a:p>
      </dgm:t>
    </dgm:pt>
    <dgm:pt modelId="{2B875B85-9EA0-4066-A29A-2D7F7AFC0E6B}">
      <dgm:prSet custT="1"/>
      <dgm:spPr/>
      <dgm:t>
        <a:bodyPr/>
        <a:lstStyle/>
        <a:p>
          <a:r>
            <a:rPr lang="en-ZA" sz="1000"/>
            <a:t>PBO Briefing on Zero-Based Budgeting: Presentation to Appropriations Committees: 25th August 2020 21/2/6</a:t>
          </a:r>
        </a:p>
      </dgm:t>
    </dgm:pt>
    <dgm:pt modelId="{60CDA029-4DF4-4D1B-B2E1-FD49676A0C80}" type="parTrans" cxnId="{09CD4E11-0897-4C7F-B1B1-363BD1A343A5}">
      <dgm:prSet/>
      <dgm:spPr/>
      <dgm:t>
        <a:bodyPr/>
        <a:lstStyle/>
        <a:p>
          <a:endParaRPr lang="en-US" sz="1000"/>
        </a:p>
      </dgm:t>
    </dgm:pt>
    <dgm:pt modelId="{5DEA45CF-3C8A-46CC-9830-9F6EA8131A2E}" type="sibTrans" cxnId="{09CD4E11-0897-4C7F-B1B1-363BD1A343A5}">
      <dgm:prSet/>
      <dgm:spPr/>
      <dgm:t>
        <a:bodyPr/>
        <a:lstStyle/>
        <a:p>
          <a:endParaRPr lang="en-US" sz="1000"/>
        </a:p>
      </dgm:t>
    </dgm:pt>
    <dgm:pt modelId="{3607E2BD-C2F6-45B3-84C8-736991DEC849}" type="pres">
      <dgm:prSet presAssocID="{31534F43-8F0C-4DC7-B654-D2FA6F6F266C}" presName="Name0" presStyleCnt="0">
        <dgm:presLayoutVars>
          <dgm:dir/>
          <dgm:animLvl val="lvl"/>
          <dgm:resizeHandles val="exact"/>
        </dgm:presLayoutVars>
      </dgm:prSet>
      <dgm:spPr/>
      <dgm:t>
        <a:bodyPr/>
        <a:lstStyle/>
        <a:p>
          <a:endParaRPr lang="en-US"/>
        </a:p>
      </dgm:t>
    </dgm:pt>
    <dgm:pt modelId="{1E566A01-8AE7-4B53-AAF1-181C51013E98}" type="pres">
      <dgm:prSet presAssocID="{56A5F992-9068-4E5E-9AA0-D9DD69FC0621}" presName="composite" presStyleCnt="0"/>
      <dgm:spPr/>
    </dgm:pt>
    <dgm:pt modelId="{58167EAC-DA54-4449-86B7-E5E2C6B1D064}" type="pres">
      <dgm:prSet presAssocID="{56A5F992-9068-4E5E-9AA0-D9DD69FC0621}" presName="parTx" presStyleLbl="alignNode1" presStyleIdx="0" presStyleCnt="3">
        <dgm:presLayoutVars>
          <dgm:chMax val="0"/>
          <dgm:chPref val="0"/>
          <dgm:bulletEnabled val="1"/>
        </dgm:presLayoutVars>
      </dgm:prSet>
      <dgm:spPr/>
      <dgm:t>
        <a:bodyPr/>
        <a:lstStyle/>
        <a:p>
          <a:endParaRPr lang="en-US"/>
        </a:p>
      </dgm:t>
    </dgm:pt>
    <dgm:pt modelId="{2FD82290-DB5E-4F57-870A-3C5533D275FF}" type="pres">
      <dgm:prSet presAssocID="{56A5F992-9068-4E5E-9AA0-D9DD69FC0621}" presName="desTx" presStyleLbl="alignAccFollowNode1" presStyleIdx="0" presStyleCnt="3">
        <dgm:presLayoutVars>
          <dgm:bulletEnabled val="1"/>
        </dgm:presLayoutVars>
      </dgm:prSet>
      <dgm:spPr/>
      <dgm:t>
        <a:bodyPr/>
        <a:lstStyle/>
        <a:p>
          <a:endParaRPr lang="en-US"/>
        </a:p>
      </dgm:t>
    </dgm:pt>
    <dgm:pt modelId="{BA522FE9-65B3-4FE3-A646-6489F33EF89F}" type="pres">
      <dgm:prSet presAssocID="{EB3ABD2B-E5F9-4851-8E73-A12DAF33D822}" presName="space" presStyleCnt="0"/>
      <dgm:spPr/>
    </dgm:pt>
    <dgm:pt modelId="{12646F90-2A3E-43A2-8F8C-162D65EFDC07}" type="pres">
      <dgm:prSet presAssocID="{4B963569-4022-43CA-A877-749112BC991C}" presName="composite" presStyleCnt="0"/>
      <dgm:spPr/>
    </dgm:pt>
    <dgm:pt modelId="{AAD3719A-10D3-46CE-9004-2915E22D27EE}" type="pres">
      <dgm:prSet presAssocID="{4B963569-4022-43CA-A877-749112BC991C}" presName="parTx" presStyleLbl="alignNode1" presStyleIdx="1" presStyleCnt="3">
        <dgm:presLayoutVars>
          <dgm:chMax val="0"/>
          <dgm:chPref val="0"/>
          <dgm:bulletEnabled val="1"/>
        </dgm:presLayoutVars>
      </dgm:prSet>
      <dgm:spPr/>
      <dgm:t>
        <a:bodyPr/>
        <a:lstStyle/>
        <a:p>
          <a:endParaRPr lang="en-US"/>
        </a:p>
      </dgm:t>
    </dgm:pt>
    <dgm:pt modelId="{DA5D97ED-7C9D-4D1E-A2ED-5EF0ADC4093D}" type="pres">
      <dgm:prSet presAssocID="{4B963569-4022-43CA-A877-749112BC991C}" presName="desTx" presStyleLbl="alignAccFollowNode1" presStyleIdx="1" presStyleCnt="3">
        <dgm:presLayoutVars>
          <dgm:bulletEnabled val="1"/>
        </dgm:presLayoutVars>
      </dgm:prSet>
      <dgm:spPr/>
      <dgm:t>
        <a:bodyPr/>
        <a:lstStyle/>
        <a:p>
          <a:endParaRPr lang="en-US"/>
        </a:p>
      </dgm:t>
    </dgm:pt>
    <dgm:pt modelId="{826322B8-8F8C-4741-8D44-98A30AD74D1E}" type="pres">
      <dgm:prSet presAssocID="{A9D47E29-A76B-4318-AEB2-50D4515E0B29}" presName="space" presStyleCnt="0"/>
      <dgm:spPr/>
    </dgm:pt>
    <dgm:pt modelId="{B80008AD-7078-4E45-B960-0B9BB978734D}" type="pres">
      <dgm:prSet presAssocID="{E431B9A7-61FF-4B59-B38B-1E897270B81F}" presName="composite" presStyleCnt="0"/>
      <dgm:spPr/>
    </dgm:pt>
    <dgm:pt modelId="{12460E4F-08C6-4963-B6F7-BDAA6B1CE00F}" type="pres">
      <dgm:prSet presAssocID="{E431B9A7-61FF-4B59-B38B-1E897270B81F}" presName="parTx" presStyleLbl="alignNode1" presStyleIdx="2" presStyleCnt="3">
        <dgm:presLayoutVars>
          <dgm:chMax val="0"/>
          <dgm:chPref val="0"/>
          <dgm:bulletEnabled val="1"/>
        </dgm:presLayoutVars>
      </dgm:prSet>
      <dgm:spPr/>
      <dgm:t>
        <a:bodyPr/>
        <a:lstStyle/>
        <a:p>
          <a:endParaRPr lang="en-US"/>
        </a:p>
      </dgm:t>
    </dgm:pt>
    <dgm:pt modelId="{91DFC505-2351-4656-AE79-9891D90EC5C1}" type="pres">
      <dgm:prSet presAssocID="{E431B9A7-61FF-4B59-B38B-1E897270B81F}" presName="desTx" presStyleLbl="alignAccFollowNode1" presStyleIdx="2" presStyleCnt="3">
        <dgm:presLayoutVars>
          <dgm:bulletEnabled val="1"/>
        </dgm:presLayoutVars>
      </dgm:prSet>
      <dgm:spPr/>
      <dgm:t>
        <a:bodyPr/>
        <a:lstStyle/>
        <a:p>
          <a:endParaRPr lang="en-US"/>
        </a:p>
      </dgm:t>
    </dgm:pt>
  </dgm:ptLst>
  <dgm:cxnLst>
    <dgm:cxn modelId="{B239ECEB-DD1B-4560-A1B7-8A4E3FD2F3AE}" type="presOf" srcId="{A22EB31B-BC39-41A7-8DFD-488740CAA2E7}" destId="{2FD82290-DB5E-4F57-870A-3C5533D275FF}" srcOrd="0" destOrd="8" presId="urn:microsoft.com/office/officeart/2005/8/layout/hList1"/>
    <dgm:cxn modelId="{0893AA04-3CC4-4964-A5B7-241F602B28D3}" type="presOf" srcId="{3F2D465F-E4F1-4938-9A91-B20AE22DB496}" destId="{91DFC505-2351-4656-AE79-9891D90EC5C1}" srcOrd="0" destOrd="2" presId="urn:microsoft.com/office/officeart/2005/8/layout/hList1"/>
    <dgm:cxn modelId="{07C06BAE-D012-4A23-87CB-2941F196C4B1}" srcId="{4B963569-4022-43CA-A877-749112BC991C}" destId="{40CC2735-A4F7-41D0-8962-5C6F42B12CA2}" srcOrd="4" destOrd="0" parTransId="{8B587452-6C5C-49B6-AFCB-22D89D87E662}" sibTransId="{6397CFBF-4361-4D3E-A6AA-B434691ED056}"/>
    <dgm:cxn modelId="{2DEA8958-35B0-4D1A-B619-6810D9371DB1}" srcId="{E431B9A7-61FF-4B59-B38B-1E897270B81F}" destId="{3F2D465F-E4F1-4938-9A91-B20AE22DB496}" srcOrd="2" destOrd="0" parTransId="{689F3AF0-0F4E-4971-A574-FC9DEC08E44A}" sibTransId="{5D27EDDD-7F39-453B-AB3B-04A0E0816D86}"/>
    <dgm:cxn modelId="{A597BCA1-373B-4283-8708-5F0D4C9F2752}" type="presOf" srcId="{04C9F4ED-BB83-4A77-8315-175A93CBBAF7}" destId="{2FD82290-DB5E-4F57-870A-3C5533D275FF}" srcOrd="0" destOrd="3" presId="urn:microsoft.com/office/officeart/2005/8/layout/hList1"/>
    <dgm:cxn modelId="{C4D2F578-A5F9-4E1D-9A75-6C70D8DA413A}" srcId="{56A5F992-9068-4E5E-9AA0-D9DD69FC0621}" destId="{04C9F4ED-BB83-4A77-8315-175A93CBBAF7}" srcOrd="3" destOrd="0" parTransId="{21ED9F44-4C38-4222-B635-42BA64AB8109}" sibTransId="{AB698FB5-EB9C-4F84-9075-4D6AF182BDF2}"/>
    <dgm:cxn modelId="{06DDCDDD-4705-4113-9B72-368570591250}" type="presOf" srcId="{8F52BF88-4F9D-41CF-8643-8F37B0560230}" destId="{2FD82290-DB5E-4F57-870A-3C5533D275FF}" srcOrd="0" destOrd="9" presId="urn:microsoft.com/office/officeart/2005/8/layout/hList1"/>
    <dgm:cxn modelId="{2D02B295-8A79-42DA-81A5-DAB3A3A4C3F4}" type="presOf" srcId="{F7397D22-0BA3-4708-932D-371B0985D79F}" destId="{2FD82290-DB5E-4F57-870A-3C5533D275FF}" srcOrd="0" destOrd="1" presId="urn:microsoft.com/office/officeart/2005/8/layout/hList1"/>
    <dgm:cxn modelId="{16CAA400-1881-4F87-9321-529100DDFFE6}" srcId="{E431B9A7-61FF-4B59-B38B-1E897270B81F}" destId="{089E9C72-EE3C-482A-A3C5-F0D48EA3A736}" srcOrd="1" destOrd="0" parTransId="{67C945C8-FF59-41AD-8278-E6F4815D498E}" sibTransId="{8B16D977-FC66-4BD2-8DE9-89C2C5FDC46A}"/>
    <dgm:cxn modelId="{60C88459-241C-4681-B2A1-F53DA46202A0}" type="presOf" srcId="{5887CE48-220C-4037-AD64-4BF332364C24}" destId="{DA5D97ED-7C9D-4D1E-A2ED-5EF0ADC4093D}" srcOrd="0" destOrd="0" presId="urn:microsoft.com/office/officeart/2005/8/layout/hList1"/>
    <dgm:cxn modelId="{D88DA71B-A1C0-442E-ADE7-3A468E30A78A}" type="presOf" srcId="{CA17D839-935D-450A-9829-7C50B1EE1F14}" destId="{2FD82290-DB5E-4F57-870A-3C5533D275FF}" srcOrd="0" destOrd="0" presId="urn:microsoft.com/office/officeart/2005/8/layout/hList1"/>
    <dgm:cxn modelId="{2B07C133-5E29-445F-972E-694B09320906}" srcId="{56A5F992-9068-4E5E-9AA0-D9DD69FC0621}" destId="{A2263915-9312-433D-8CC1-73539DA96E15}" srcOrd="6" destOrd="0" parTransId="{39EF2CFE-8055-4B39-8FA1-2F80439E2468}" sibTransId="{B9848695-E809-47CF-B2FE-D2566286E610}"/>
    <dgm:cxn modelId="{7AF75E59-559D-4F02-9E52-74DAFACC1A09}" srcId="{31534F43-8F0C-4DC7-B654-D2FA6F6F266C}" destId="{E431B9A7-61FF-4B59-B38B-1E897270B81F}" srcOrd="2" destOrd="0" parTransId="{FF398752-0BCD-4DCA-A842-43D31975BF88}" sibTransId="{DF30A85A-1A8F-4840-9A9D-97D9E792E13B}"/>
    <dgm:cxn modelId="{82A93E1B-7F2C-47E0-AEDD-FB9A50795FA9}" type="presOf" srcId="{4DE7B833-7FB3-4B0C-A365-3ABBA0E5828C}" destId="{2FD82290-DB5E-4F57-870A-3C5533D275FF}" srcOrd="0" destOrd="10" presId="urn:microsoft.com/office/officeart/2005/8/layout/hList1"/>
    <dgm:cxn modelId="{D958515E-0E8A-4466-B0D1-A82B0523AFEB}" srcId="{4B963569-4022-43CA-A877-749112BC991C}" destId="{D66B494A-8605-445E-8BCE-067CD77A634C}" srcOrd="5" destOrd="0" parTransId="{26716A45-F733-4CCA-B812-C2CFFE7D4487}" sibTransId="{9CCAA2FC-9EC9-4692-A2DC-20C241EF232B}"/>
    <dgm:cxn modelId="{0D2C46A4-574B-4A4B-AC42-8462EE25CB9A}" srcId="{56A5F992-9068-4E5E-9AA0-D9DD69FC0621}" destId="{D1A1C5D2-62F6-4497-B115-C59EEF8CE5DB}" srcOrd="2" destOrd="0" parTransId="{89CB5DDD-A313-4FA7-9EC7-2E82F112E4F9}" sibTransId="{912C6C40-1A4E-47A6-8D8C-6044106DE813}"/>
    <dgm:cxn modelId="{65A94890-D5F6-46D1-A9BF-4C33298DA43B}" type="presOf" srcId="{E8BA7B5B-A577-4903-BA7B-2029D3642913}" destId="{2FD82290-DB5E-4F57-870A-3C5533D275FF}" srcOrd="0" destOrd="7" presId="urn:microsoft.com/office/officeart/2005/8/layout/hList1"/>
    <dgm:cxn modelId="{CD1DC173-DBB8-44CD-A89C-26E4781B66BF}" type="presOf" srcId="{089E9C72-EE3C-482A-A3C5-F0D48EA3A736}" destId="{91DFC505-2351-4656-AE79-9891D90EC5C1}" srcOrd="0" destOrd="1" presId="urn:microsoft.com/office/officeart/2005/8/layout/hList1"/>
    <dgm:cxn modelId="{076A70A8-035E-4E21-A8B4-A50F967C77AC}" srcId="{56A5F992-9068-4E5E-9AA0-D9DD69FC0621}" destId="{8F52BF88-4F9D-41CF-8643-8F37B0560230}" srcOrd="9" destOrd="0" parTransId="{49AB8F28-2AD7-4F35-A6A6-3B4E14848542}" sibTransId="{FF492163-18A1-4A16-AA3D-030FE1F118AD}"/>
    <dgm:cxn modelId="{9A50AF21-7C5D-4FA1-96C0-522AA6486AAB}" type="presOf" srcId="{26CC7F69-49C1-4271-96F3-AF16DA577E41}" destId="{DA5D97ED-7C9D-4D1E-A2ED-5EF0ADC4093D}" srcOrd="0" destOrd="6" presId="urn:microsoft.com/office/officeart/2005/8/layout/hList1"/>
    <dgm:cxn modelId="{FD22F189-17B7-4121-85EF-74A0907294F0}" srcId="{56A5F992-9068-4E5E-9AA0-D9DD69FC0621}" destId="{CA17D839-935D-450A-9829-7C50B1EE1F14}" srcOrd="0" destOrd="0" parTransId="{ADDC38EE-4B46-48C5-BA74-DD9982762DD7}" sibTransId="{4EBCDFEE-E425-4E1A-B197-57BCAD01743D}"/>
    <dgm:cxn modelId="{93B27328-307D-49D5-A157-F4F9E1D6BBE7}" type="presOf" srcId="{9D1EAFFA-F47C-4AE0-95A4-7B50E312883F}" destId="{2FD82290-DB5E-4F57-870A-3C5533D275FF}" srcOrd="0" destOrd="4" presId="urn:microsoft.com/office/officeart/2005/8/layout/hList1"/>
    <dgm:cxn modelId="{0C68478C-8DF0-4575-8F9A-8213A49407A7}" type="presOf" srcId="{E431B9A7-61FF-4B59-B38B-1E897270B81F}" destId="{12460E4F-08C6-4963-B6F7-BDAA6B1CE00F}" srcOrd="0" destOrd="0" presId="urn:microsoft.com/office/officeart/2005/8/layout/hList1"/>
    <dgm:cxn modelId="{BDDEF0F2-1950-4248-8162-70BEF9908672}" type="presOf" srcId="{664702C4-8C22-4782-A21E-0D8F7559D2BA}" destId="{DA5D97ED-7C9D-4D1E-A2ED-5EF0ADC4093D}" srcOrd="0" destOrd="2" presId="urn:microsoft.com/office/officeart/2005/8/layout/hList1"/>
    <dgm:cxn modelId="{51C0E8C2-0298-4014-AC20-5BD56353D268}" srcId="{31534F43-8F0C-4DC7-B654-D2FA6F6F266C}" destId="{56A5F992-9068-4E5E-9AA0-D9DD69FC0621}" srcOrd="0" destOrd="0" parTransId="{510200E0-7FB8-45D0-9895-5B2DC53D3CDB}" sibTransId="{EB3ABD2B-E5F9-4851-8E73-A12DAF33D822}"/>
    <dgm:cxn modelId="{65727EBB-686E-4670-9185-4D7C01CF1C3A}" srcId="{56A5F992-9068-4E5E-9AA0-D9DD69FC0621}" destId="{F6AC08F1-4C55-4F2D-B8C7-349AA17686C8}" srcOrd="5" destOrd="0" parTransId="{DE417D79-DC7B-4360-AEF4-7C95874B859B}" sibTransId="{605CAB2D-E6D2-4247-83D7-97651BFD498A}"/>
    <dgm:cxn modelId="{14D6E079-D8F0-4DE2-9497-709AD9863E05}" srcId="{E431B9A7-61FF-4B59-B38B-1E897270B81F}" destId="{CF710482-F86B-4F1A-A680-589AFCDBFA44}" srcOrd="0" destOrd="0" parTransId="{1FCF0109-F590-4C2B-9688-E76DF4727C69}" sibTransId="{52711737-D31D-4A5D-BE1D-CCD36143DEDD}"/>
    <dgm:cxn modelId="{7234BFA4-13DA-4E66-9329-91EC996C4DA9}" srcId="{4B963569-4022-43CA-A877-749112BC991C}" destId="{664702C4-8C22-4782-A21E-0D8F7559D2BA}" srcOrd="2" destOrd="0" parTransId="{B7ADBC8C-35C7-463C-85FB-34F5B776C1B2}" sibTransId="{1617F00E-9635-47CB-8BF2-B2C7277C3835}"/>
    <dgm:cxn modelId="{5DED7EB3-BF32-41D6-A88B-7F7C6F8795FA}" type="presOf" srcId="{A2263915-9312-433D-8CC1-73539DA96E15}" destId="{2FD82290-DB5E-4F57-870A-3C5533D275FF}" srcOrd="0" destOrd="6" presId="urn:microsoft.com/office/officeart/2005/8/layout/hList1"/>
    <dgm:cxn modelId="{01DDC83C-A482-4860-A9A6-0F8B7EA33264}" srcId="{56A5F992-9068-4E5E-9AA0-D9DD69FC0621}" destId="{E8BA7B5B-A577-4903-BA7B-2029D3642913}" srcOrd="7" destOrd="0" parTransId="{40705C40-53EB-4F37-A734-A01590C62E1F}" sibTransId="{494C208E-8298-4812-BF4F-798F503BB7F9}"/>
    <dgm:cxn modelId="{ED4C1D3E-5735-4067-B82A-03742213508C}" type="presOf" srcId="{D66B494A-8605-445E-8BCE-067CD77A634C}" destId="{DA5D97ED-7C9D-4D1E-A2ED-5EF0ADC4093D}" srcOrd="0" destOrd="5" presId="urn:microsoft.com/office/officeart/2005/8/layout/hList1"/>
    <dgm:cxn modelId="{AFE6EDC0-1110-4B0E-9334-704B7950EA95}" type="presOf" srcId="{CF710482-F86B-4F1A-A680-589AFCDBFA44}" destId="{91DFC505-2351-4656-AE79-9891D90EC5C1}" srcOrd="0" destOrd="0" presId="urn:microsoft.com/office/officeart/2005/8/layout/hList1"/>
    <dgm:cxn modelId="{EFB66709-7018-4BD1-9815-48D3CDB1883E}" srcId="{4B963569-4022-43CA-A877-749112BC991C}" destId="{D0EA996D-FA14-471C-BA6E-6382C8D74D61}" srcOrd="1" destOrd="0" parTransId="{7E121B27-44D6-4824-BB21-2F349C8BB512}" sibTransId="{F7FDF252-4411-4B33-A278-DD064D5461B7}"/>
    <dgm:cxn modelId="{6A4A03F6-646C-4200-8125-E157D6FFAE29}" type="presOf" srcId="{F6AC08F1-4C55-4F2D-B8C7-349AA17686C8}" destId="{2FD82290-DB5E-4F57-870A-3C5533D275FF}" srcOrd="0" destOrd="5" presId="urn:microsoft.com/office/officeart/2005/8/layout/hList1"/>
    <dgm:cxn modelId="{3F9622E8-36AC-4FEA-9A8C-71689489D182}" type="presOf" srcId="{D0EA996D-FA14-471C-BA6E-6382C8D74D61}" destId="{DA5D97ED-7C9D-4D1E-A2ED-5EF0ADC4093D}" srcOrd="0" destOrd="1" presId="urn:microsoft.com/office/officeart/2005/8/layout/hList1"/>
    <dgm:cxn modelId="{26718E3C-9E86-445A-956B-E928830E43B8}" srcId="{4B963569-4022-43CA-A877-749112BC991C}" destId="{5887CE48-220C-4037-AD64-4BF332364C24}" srcOrd="0" destOrd="0" parTransId="{EB581FF0-BD2C-4A4D-AFDD-0E9015212E82}" sibTransId="{EE1113FD-9005-49DB-9008-85158858C962}"/>
    <dgm:cxn modelId="{316B57E1-A3BD-44DC-B37C-F78FA8C6CF59}" srcId="{E431B9A7-61FF-4B59-B38B-1E897270B81F}" destId="{C913FA06-9F1A-4B79-89D9-D54AA569D09E}" srcOrd="3" destOrd="0" parTransId="{07B909FE-7E64-4886-80E5-D62C354CF4DF}" sibTransId="{8CA7A2DF-C4B0-4986-8275-B3E5B349ADEA}"/>
    <dgm:cxn modelId="{43ED713A-1813-4ECA-A0AC-0C44AFEAE65C}" type="presOf" srcId="{6D43A4E1-3F09-400F-B8E2-41336DD1FD61}" destId="{DA5D97ED-7C9D-4D1E-A2ED-5EF0ADC4093D}" srcOrd="0" destOrd="3" presId="urn:microsoft.com/office/officeart/2005/8/layout/hList1"/>
    <dgm:cxn modelId="{8784D0C4-9451-4603-8D92-24D0E64DBFDD}" srcId="{4B963569-4022-43CA-A877-749112BC991C}" destId="{26CC7F69-49C1-4271-96F3-AF16DA577E41}" srcOrd="6" destOrd="0" parTransId="{B460C858-80C2-4665-AD1E-788312E34D2B}" sibTransId="{DE7C13FF-A2DF-4712-9038-5051438B2E05}"/>
    <dgm:cxn modelId="{0AD99FA6-540F-4535-88A6-9CED06E9DDA9}" type="presOf" srcId="{40CC2735-A4F7-41D0-8962-5C6F42B12CA2}" destId="{DA5D97ED-7C9D-4D1E-A2ED-5EF0ADC4093D}" srcOrd="0" destOrd="4" presId="urn:microsoft.com/office/officeart/2005/8/layout/hList1"/>
    <dgm:cxn modelId="{FC91277A-42CF-4C64-B67F-BE3E9A9C71EC}" type="presOf" srcId="{D1A1C5D2-62F6-4497-B115-C59EEF8CE5DB}" destId="{2FD82290-DB5E-4F57-870A-3C5533D275FF}" srcOrd="0" destOrd="2" presId="urn:microsoft.com/office/officeart/2005/8/layout/hList1"/>
    <dgm:cxn modelId="{E81476D6-3785-494C-B91A-395BB9B6AA8C}" srcId="{56A5F992-9068-4E5E-9AA0-D9DD69FC0621}" destId="{4DE7B833-7FB3-4B0C-A365-3ABBA0E5828C}" srcOrd="10" destOrd="0" parTransId="{BF5DEF74-CCEB-4C21-ACBD-4E4D3B4BF061}" sibTransId="{1EB636B3-B878-47F8-A400-3A2A38FA827E}"/>
    <dgm:cxn modelId="{3469B47D-F423-44AA-A84B-7E5F526434C3}" srcId="{4B963569-4022-43CA-A877-749112BC991C}" destId="{6D43A4E1-3F09-400F-B8E2-41336DD1FD61}" srcOrd="3" destOrd="0" parTransId="{9D0F54F1-21B8-496D-B5B7-16B4ACB920F1}" sibTransId="{CDBDA4C0-7773-48C4-923E-45CCA73683A8}"/>
    <dgm:cxn modelId="{E5298838-327A-4720-B1EB-926B1AA5E87D}" srcId="{56A5F992-9068-4E5E-9AA0-D9DD69FC0621}" destId="{F7397D22-0BA3-4708-932D-371B0985D79F}" srcOrd="1" destOrd="0" parTransId="{7EA94820-B251-4F1E-8156-C0F73C782AAA}" sibTransId="{B595A9B0-C386-4F3C-BC2E-F2377BB6CBD2}"/>
    <dgm:cxn modelId="{84EF27B2-8B03-4DF4-81EC-C03CBA904C85}" srcId="{56A5F992-9068-4E5E-9AA0-D9DD69FC0621}" destId="{9D1EAFFA-F47C-4AE0-95A4-7B50E312883F}" srcOrd="4" destOrd="0" parTransId="{FD07A8CB-04C0-4201-8425-17A4B49F6A5F}" sibTransId="{FA360CF9-EECB-4856-BF37-03E59BD74BD9}"/>
    <dgm:cxn modelId="{09CD4E11-0897-4C7F-B1B1-363BD1A343A5}" srcId="{E431B9A7-61FF-4B59-B38B-1E897270B81F}" destId="{2B875B85-9EA0-4066-A29A-2D7F7AFC0E6B}" srcOrd="4" destOrd="0" parTransId="{60CDA029-4DF4-4D1B-B2E1-FD49676A0C80}" sibTransId="{5DEA45CF-3C8A-46CC-9830-9F6EA8131A2E}"/>
    <dgm:cxn modelId="{32EA35E2-E91F-4BEA-9C02-839DF116C521}" type="presOf" srcId="{2B875B85-9EA0-4066-A29A-2D7F7AFC0E6B}" destId="{91DFC505-2351-4656-AE79-9891D90EC5C1}" srcOrd="0" destOrd="4" presId="urn:microsoft.com/office/officeart/2005/8/layout/hList1"/>
    <dgm:cxn modelId="{7D2E1919-FB80-49A6-8313-D87AC9150E41}" type="presOf" srcId="{56A5F992-9068-4E5E-9AA0-D9DD69FC0621}" destId="{58167EAC-DA54-4449-86B7-E5E2C6B1D064}" srcOrd="0" destOrd="0" presId="urn:microsoft.com/office/officeart/2005/8/layout/hList1"/>
    <dgm:cxn modelId="{8598F258-7995-4DC2-BB35-0B534F4805A2}" srcId="{56A5F992-9068-4E5E-9AA0-D9DD69FC0621}" destId="{A22EB31B-BC39-41A7-8DFD-488740CAA2E7}" srcOrd="8" destOrd="0" parTransId="{450F30D6-4F6B-493F-A5E9-228815887102}" sibTransId="{440EA8A3-55CB-47A9-B843-18AD98504580}"/>
    <dgm:cxn modelId="{192E9DED-55F7-4CA2-8802-48DE9F02A89D}" type="presOf" srcId="{31534F43-8F0C-4DC7-B654-D2FA6F6F266C}" destId="{3607E2BD-C2F6-45B3-84C8-736991DEC849}" srcOrd="0" destOrd="0" presId="urn:microsoft.com/office/officeart/2005/8/layout/hList1"/>
    <dgm:cxn modelId="{5CC4360E-C0B6-4982-9154-B2BCEEDE3865}" type="presOf" srcId="{C913FA06-9F1A-4B79-89D9-D54AA569D09E}" destId="{91DFC505-2351-4656-AE79-9891D90EC5C1}" srcOrd="0" destOrd="3" presId="urn:microsoft.com/office/officeart/2005/8/layout/hList1"/>
    <dgm:cxn modelId="{1FEC3BD3-B429-4FBB-A23F-25676D8629E1}" srcId="{31534F43-8F0C-4DC7-B654-D2FA6F6F266C}" destId="{4B963569-4022-43CA-A877-749112BC991C}" srcOrd="1" destOrd="0" parTransId="{728DFA45-B0A9-4FB4-BDE9-E22E928DD111}" sibTransId="{A9D47E29-A76B-4318-AEB2-50D4515E0B29}"/>
    <dgm:cxn modelId="{ADC74F53-7021-4381-897C-D852B3FA45AB}" type="presOf" srcId="{4B963569-4022-43CA-A877-749112BC991C}" destId="{AAD3719A-10D3-46CE-9004-2915E22D27EE}" srcOrd="0" destOrd="0" presId="urn:microsoft.com/office/officeart/2005/8/layout/hList1"/>
    <dgm:cxn modelId="{D1D22788-DC11-4E71-BB4A-724926CB9338}" type="presParOf" srcId="{3607E2BD-C2F6-45B3-84C8-736991DEC849}" destId="{1E566A01-8AE7-4B53-AAF1-181C51013E98}" srcOrd="0" destOrd="0" presId="urn:microsoft.com/office/officeart/2005/8/layout/hList1"/>
    <dgm:cxn modelId="{A17ABF94-F838-4E92-BBC7-8B9601C0F85A}" type="presParOf" srcId="{1E566A01-8AE7-4B53-AAF1-181C51013E98}" destId="{58167EAC-DA54-4449-86B7-E5E2C6B1D064}" srcOrd="0" destOrd="0" presId="urn:microsoft.com/office/officeart/2005/8/layout/hList1"/>
    <dgm:cxn modelId="{CB36D57A-212D-421C-9C48-EF433CD34A10}" type="presParOf" srcId="{1E566A01-8AE7-4B53-AAF1-181C51013E98}" destId="{2FD82290-DB5E-4F57-870A-3C5533D275FF}" srcOrd="1" destOrd="0" presId="urn:microsoft.com/office/officeart/2005/8/layout/hList1"/>
    <dgm:cxn modelId="{2B1E9DA7-0096-4BDC-88D0-8A44F1A7B87D}" type="presParOf" srcId="{3607E2BD-C2F6-45B3-84C8-736991DEC849}" destId="{BA522FE9-65B3-4FE3-A646-6489F33EF89F}" srcOrd="1" destOrd="0" presId="urn:microsoft.com/office/officeart/2005/8/layout/hList1"/>
    <dgm:cxn modelId="{4C69E232-8352-4783-A710-DD8F1AB31729}" type="presParOf" srcId="{3607E2BD-C2F6-45B3-84C8-736991DEC849}" destId="{12646F90-2A3E-43A2-8F8C-162D65EFDC07}" srcOrd="2" destOrd="0" presId="urn:microsoft.com/office/officeart/2005/8/layout/hList1"/>
    <dgm:cxn modelId="{047DA370-1531-4C32-904F-C532201BAE0D}" type="presParOf" srcId="{12646F90-2A3E-43A2-8F8C-162D65EFDC07}" destId="{AAD3719A-10D3-46CE-9004-2915E22D27EE}" srcOrd="0" destOrd="0" presId="urn:microsoft.com/office/officeart/2005/8/layout/hList1"/>
    <dgm:cxn modelId="{E31F902B-A6B8-404E-9E07-BAB457BAF63E}" type="presParOf" srcId="{12646F90-2A3E-43A2-8F8C-162D65EFDC07}" destId="{DA5D97ED-7C9D-4D1E-A2ED-5EF0ADC4093D}" srcOrd="1" destOrd="0" presId="urn:microsoft.com/office/officeart/2005/8/layout/hList1"/>
    <dgm:cxn modelId="{CAD36AB5-8CB7-48BC-88F6-12174A0DF68E}" type="presParOf" srcId="{3607E2BD-C2F6-45B3-84C8-736991DEC849}" destId="{826322B8-8F8C-4741-8D44-98A30AD74D1E}" srcOrd="3" destOrd="0" presId="urn:microsoft.com/office/officeart/2005/8/layout/hList1"/>
    <dgm:cxn modelId="{670FD3A4-1370-4F70-980E-8D59D1E9624A}" type="presParOf" srcId="{3607E2BD-C2F6-45B3-84C8-736991DEC849}" destId="{B80008AD-7078-4E45-B960-0B9BB978734D}" srcOrd="4" destOrd="0" presId="urn:microsoft.com/office/officeart/2005/8/layout/hList1"/>
    <dgm:cxn modelId="{390E3985-7335-43C6-9D7A-61BD03AEE019}" type="presParOf" srcId="{B80008AD-7078-4E45-B960-0B9BB978734D}" destId="{12460E4F-08C6-4963-B6F7-BDAA6B1CE00F}" srcOrd="0" destOrd="0" presId="urn:microsoft.com/office/officeart/2005/8/layout/hList1"/>
    <dgm:cxn modelId="{7CB97B59-211F-442E-8CA8-763F7E11CF11}" type="presParOf" srcId="{B80008AD-7078-4E45-B960-0B9BB978734D}" destId="{91DFC505-2351-4656-AE79-9891D90EC5C1}" srcOrd="1" destOrd="0" presId="urn:microsoft.com/office/officeart/2005/8/layout/hList1"/>
  </dgm:cxnLst>
  <dgm:bg/>
  <dgm:whole/>
</dgm:dataModel>
</file>

<file path=word/diagrams/data6.xml><?xml version="1.0" encoding="utf-8"?>
<dgm:dataModel xmlns:dgm="http://schemas.openxmlformats.org/drawingml/2006/diagram" xmlns:a="http://schemas.openxmlformats.org/drawingml/2006/main">
  <dgm:ptLst>
    <dgm:pt modelId="{E2357C50-C631-4FDA-96A1-8B50A25BAA5C}" type="doc">
      <dgm:prSet loTypeId="urn:microsoft.com/office/officeart/2009/3/layout/StepUpProcess" loCatId="process" qsTypeId="urn:microsoft.com/office/officeart/2005/8/quickstyle/simple1" qsCatId="simple" csTypeId="urn:microsoft.com/office/officeart/2005/8/colors/colorful4" csCatId="colorful" phldr="1"/>
      <dgm:spPr/>
      <dgm:t>
        <a:bodyPr/>
        <a:lstStyle/>
        <a:p>
          <a:endParaRPr lang="en-US"/>
        </a:p>
      </dgm:t>
    </dgm:pt>
    <dgm:pt modelId="{88EB40D3-C83C-4FF2-B118-143F0970FE80}">
      <dgm:prSet phldrT="[Text]" custT="1"/>
      <dgm:spPr/>
      <dgm:t>
        <a:bodyPr/>
        <a:lstStyle/>
        <a:p>
          <a:pPr>
            <a:spcAft>
              <a:spcPts val="0"/>
            </a:spcAft>
          </a:pPr>
          <a:r>
            <a:rPr lang="en-US" sz="1400">
              <a:latin typeface="+mn-lt"/>
              <a:cs typeface="Arial" panose="020B0604020202020204" pitchFamily="34" charset="0"/>
            </a:rPr>
            <a:t>31</a:t>
          </a:r>
        </a:p>
        <a:p>
          <a:pPr>
            <a:spcAft>
              <a:spcPts val="0"/>
            </a:spcAft>
          </a:pPr>
          <a:r>
            <a:rPr lang="en-US" sz="1100">
              <a:latin typeface="+mn-lt"/>
              <a:cs typeface="Arial" panose="020B0604020202020204" pitchFamily="34" charset="0"/>
            </a:rPr>
            <a:t>Memoranda on filing of ISDs related vacancies  </a:t>
          </a:r>
        </a:p>
      </dgm:t>
    </dgm:pt>
    <dgm:pt modelId="{1ABA25B4-C5FE-48F5-84D3-8FC285817DB4}" type="parTrans" cxnId="{11473451-F9D4-44FA-BBFF-EEC0D26EFECE}">
      <dgm:prSet/>
      <dgm:spPr/>
      <dgm:t>
        <a:bodyPr/>
        <a:lstStyle/>
        <a:p>
          <a:endParaRPr lang="en-US" sz="1100">
            <a:latin typeface="+mn-lt"/>
          </a:endParaRPr>
        </a:p>
      </dgm:t>
    </dgm:pt>
    <dgm:pt modelId="{2129C0E3-B1E8-43AC-AF59-84197AD82CB6}" type="sibTrans" cxnId="{11473451-F9D4-44FA-BBFF-EEC0D26EFECE}">
      <dgm:prSet/>
      <dgm:spPr/>
      <dgm:t>
        <a:bodyPr/>
        <a:lstStyle/>
        <a:p>
          <a:endParaRPr lang="en-US" sz="1100">
            <a:latin typeface="+mn-lt"/>
          </a:endParaRPr>
        </a:p>
      </dgm:t>
    </dgm:pt>
    <dgm:pt modelId="{30D7FFE7-EC55-4D11-93F6-24DF7B6B679E}">
      <dgm:prSet phldrT="[Text]" custT="1"/>
      <dgm:spPr/>
      <dgm:t>
        <a:bodyPr/>
        <a:lstStyle/>
        <a:p>
          <a:r>
            <a:rPr lang="en-US" sz="1400" b="0">
              <a:latin typeface="+mn-lt"/>
              <a:cs typeface="Arial" panose="020B0604020202020204" pitchFamily="34" charset="0"/>
            </a:rPr>
            <a:t>7</a:t>
          </a:r>
          <a:r>
            <a:rPr lang="en-US" sz="1400" b="1">
              <a:latin typeface="+mn-lt"/>
              <a:cs typeface="Arial" panose="020B0604020202020204" pitchFamily="34" charset="0"/>
            </a:rPr>
            <a:t> </a:t>
          </a:r>
        </a:p>
        <a:p>
          <a:r>
            <a:rPr lang="en-US" sz="1100">
              <a:latin typeface="+mn-lt"/>
              <a:cs typeface="Arial" panose="020B0604020202020204" pitchFamily="34" charset="0"/>
            </a:rPr>
            <a:t>Memoranda on governance matters  </a:t>
          </a:r>
        </a:p>
      </dgm:t>
    </dgm:pt>
    <dgm:pt modelId="{37605C3D-A55C-413A-9C21-4F44A25E8384}" type="parTrans" cxnId="{2115375B-2760-4C3A-A0EA-F376E994CFE5}">
      <dgm:prSet/>
      <dgm:spPr/>
      <dgm:t>
        <a:bodyPr/>
        <a:lstStyle/>
        <a:p>
          <a:endParaRPr lang="en-US" sz="1100">
            <a:latin typeface="+mn-lt"/>
          </a:endParaRPr>
        </a:p>
      </dgm:t>
    </dgm:pt>
    <dgm:pt modelId="{CB206A52-C8D9-4690-9CAC-A8AD4415D225}" type="sibTrans" cxnId="{2115375B-2760-4C3A-A0EA-F376E994CFE5}">
      <dgm:prSet/>
      <dgm:spPr/>
      <dgm:t>
        <a:bodyPr/>
        <a:lstStyle/>
        <a:p>
          <a:endParaRPr lang="en-US" sz="1100">
            <a:latin typeface="+mn-lt"/>
          </a:endParaRPr>
        </a:p>
      </dgm:t>
    </dgm:pt>
    <dgm:pt modelId="{D39583F5-5063-48C9-89B5-A8786EB8E728}">
      <dgm:prSet phldrT="[Text]" custT="1"/>
      <dgm:spPr/>
      <dgm:t>
        <a:bodyPr/>
        <a:lstStyle/>
        <a:p>
          <a:r>
            <a:rPr lang="en-US" sz="1400">
              <a:latin typeface="+mn-lt"/>
              <a:cs typeface="Arial" panose="020B0604020202020204" pitchFamily="34" charset="0"/>
            </a:rPr>
            <a:t>1 </a:t>
          </a:r>
        </a:p>
        <a:p>
          <a:r>
            <a:rPr lang="en-US" sz="1100">
              <a:latin typeface="+mn-lt"/>
              <a:cs typeface="Arial" panose="020B0604020202020204" pitchFamily="34" charset="0"/>
            </a:rPr>
            <a:t>Advice on substantive reports prepared </a:t>
          </a:r>
        </a:p>
      </dgm:t>
    </dgm:pt>
    <dgm:pt modelId="{33E676F4-3CEE-4EAB-8192-4BD5A60B014A}" type="parTrans" cxnId="{38093D69-BB5B-4459-87C5-05FCA59C4139}">
      <dgm:prSet/>
      <dgm:spPr/>
      <dgm:t>
        <a:bodyPr/>
        <a:lstStyle/>
        <a:p>
          <a:endParaRPr lang="en-US" sz="1100">
            <a:latin typeface="+mn-lt"/>
          </a:endParaRPr>
        </a:p>
      </dgm:t>
    </dgm:pt>
    <dgm:pt modelId="{7BD5F78C-48F3-4A2F-9B00-0AF4FFFB136A}" type="sibTrans" cxnId="{38093D69-BB5B-4459-87C5-05FCA59C4139}">
      <dgm:prSet/>
      <dgm:spPr/>
      <dgm:t>
        <a:bodyPr/>
        <a:lstStyle/>
        <a:p>
          <a:endParaRPr lang="en-US" sz="1100">
            <a:latin typeface="+mn-lt"/>
          </a:endParaRPr>
        </a:p>
      </dgm:t>
    </dgm:pt>
    <dgm:pt modelId="{D11FBF15-1E9E-4A9D-A055-85A7A08444DA}" type="pres">
      <dgm:prSet presAssocID="{E2357C50-C631-4FDA-96A1-8B50A25BAA5C}" presName="rootnode" presStyleCnt="0">
        <dgm:presLayoutVars>
          <dgm:chMax/>
          <dgm:chPref/>
          <dgm:dir/>
          <dgm:animLvl val="lvl"/>
        </dgm:presLayoutVars>
      </dgm:prSet>
      <dgm:spPr/>
      <dgm:t>
        <a:bodyPr/>
        <a:lstStyle/>
        <a:p>
          <a:endParaRPr lang="en-US"/>
        </a:p>
      </dgm:t>
    </dgm:pt>
    <dgm:pt modelId="{322C3CC3-9FE0-4434-8962-C99D87D6CCA5}" type="pres">
      <dgm:prSet presAssocID="{88EB40D3-C83C-4FF2-B118-143F0970FE80}" presName="composite" presStyleCnt="0"/>
      <dgm:spPr/>
      <dgm:t>
        <a:bodyPr/>
        <a:lstStyle/>
        <a:p>
          <a:endParaRPr lang="en-US"/>
        </a:p>
      </dgm:t>
    </dgm:pt>
    <dgm:pt modelId="{F71E04E2-158D-4EEC-9F84-BF40963F026D}" type="pres">
      <dgm:prSet presAssocID="{88EB40D3-C83C-4FF2-B118-143F0970FE80}" presName="LShape" presStyleLbl="alignNode1" presStyleIdx="0" presStyleCnt="5"/>
      <dgm:spPr/>
      <dgm:t>
        <a:bodyPr/>
        <a:lstStyle/>
        <a:p>
          <a:endParaRPr lang="en-US"/>
        </a:p>
      </dgm:t>
    </dgm:pt>
    <dgm:pt modelId="{A09F0A84-664E-450E-A855-0A03E9383FD5}" type="pres">
      <dgm:prSet presAssocID="{88EB40D3-C83C-4FF2-B118-143F0970FE80}" presName="ParentText" presStyleLbl="revTx" presStyleIdx="0" presStyleCnt="3">
        <dgm:presLayoutVars>
          <dgm:chMax val="0"/>
          <dgm:chPref val="0"/>
          <dgm:bulletEnabled val="1"/>
        </dgm:presLayoutVars>
      </dgm:prSet>
      <dgm:spPr/>
      <dgm:t>
        <a:bodyPr/>
        <a:lstStyle/>
        <a:p>
          <a:endParaRPr lang="en-US"/>
        </a:p>
      </dgm:t>
    </dgm:pt>
    <dgm:pt modelId="{4167F381-2706-470A-BCDB-AAAD96E28E60}" type="pres">
      <dgm:prSet presAssocID="{88EB40D3-C83C-4FF2-B118-143F0970FE80}" presName="Triangle" presStyleLbl="alignNode1" presStyleIdx="1" presStyleCnt="5"/>
      <dgm:spPr/>
      <dgm:t>
        <a:bodyPr/>
        <a:lstStyle/>
        <a:p>
          <a:endParaRPr lang="en-US"/>
        </a:p>
      </dgm:t>
    </dgm:pt>
    <dgm:pt modelId="{92591D2A-4984-43A2-B56B-4D590554BE97}" type="pres">
      <dgm:prSet presAssocID="{2129C0E3-B1E8-43AC-AF59-84197AD82CB6}" presName="sibTrans" presStyleCnt="0"/>
      <dgm:spPr/>
      <dgm:t>
        <a:bodyPr/>
        <a:lstStyle/>
        <a:p>
          <a:endParaRPr lang="en-US"/>
        </a:p>
      </dgm:t>
    </dgm:pt>
    <dgm:pt modelId="{F31D2AD1-1C79-4265-9FD1-CA487F559A65}" type="pres">
      <dgm:prSet presAssocID="{2129C0E3-B1E8-43AC-AF59-84197AD82CB6}" presName="space" presStyleCnt="0"/>
      <dgm:spPr/>
      <dgm:t>
        <a:bodyPr/>
        <a:lstStyle/>
        <a:p>
          <a:endParaRPr lang="en-US"/>
        </a:p>
      </dgm:t>
    </dgm:pt>
    <dgm:pt modelId="{81D4E505-96B6-474A-B92A-0476F2217A33}" type="pres">
      <dgm:prSet presAssocID="{30D7FFE7-EC55-4D11-93F6-24DF7B6B679E}" presName="composite" presStyleCnt="0"/>
      <dgm:spPr/>
      <dgm:t>
        <a:bodyPr/>
        <a:lstStyle/>
        <a:p>
          <a:endParaRPr lang="en-US"/>
        </a:p>
      </dgm:t>
    </dgm:pt>
    <dgm:pt modelId="{9563620E-5C59-4570-B517-5CB541B9220A}" type="pres">
      <dgm:prSet presAssocID="{30D7FFE7-EC55-4D11-93F6-24DF7B6B679E}" presName="LShape" presStyleLbl="alignNode1" presStyleIdx="2" presStyleCnt="5"/>
      <dgm:spPr/>
      <dgm:t>
        <a:bodyPr/>
        <a:lstStyle/>
        <a:p>
          <a:endParaRPr lang="en-US"/>
        </a:p>
      </dgm:t>
    </dgm:pt>
    <dgm:pt modelId="{FA3D9D12-8820-4649-BBBF-C4D93A8CB48B}" type="pres">
      <dgm:prSet presAssocID="{30D7FFE7-EC55-4D11-93F6-24DF7B6B679E}" presName="ParentText" presStyleLbl="revTx" presStyleIdx="1" presStyleCnt="3">
        <dgm:presLayoutVars>
          <dgm:chMax val="0"/>
          <dgm:chPref val="0"/>
          <dgm:bulletEnabled val="1"/>
        </dgm:presLayoutVars>
      </dgm:prSet>
      <dgm:spPr/>
      <dgm:t>
        <a:bodyPr/>
        <a:lstStyle/>
        <a:p>
          <a:endParaRPr lang="en-US"/>
        </a:p>
      </dgm:t>
    </dgm:pt>
    <dgm:pt modelId="{4CF840DD-82ED-4A2D-BDDA-0136556345CB}" type="pres">
      <dgm:prSet presAssocID="{30D7FFE7-EC55-4D11-93F6-24DF7B6B679E}" presName="Triangle" presStyleLbl="alignNode1" presStyleIdx="3" presStyleCnt="5"/>
      <dgm:spPr/>
      <dgm:t>
        <a:bodyPr/>
        <a:lstStyle/>
        <a:p>
          <a:endParaRPr lang="en-US"/>
        </a:p>
      </dgm:t>
    </dgm:pt>
    <dgm:pt modelId="{D661225C-82D1-49F2-9B9D-1B300EE88506}" type="pres">
      <dgm:prSet presAssocID="{CB206A52-C8D9-4690-9CAC-A8AD4415D225}" presName="sibTrans" presStyleCnt="0"/>
      <dgm:spPr/>
      <dgm:t>
        <a:bodyPr/>
        <a:lstStyle/>
        <a:p>
          <a:endParaRPr lang="en-US"/>
        </a:p>
      </dgm:t>
    </dgm:pt>
    <dgm:pt modelId="{45DDCE02-4FE8-444E-A0B4-56442C366F4B}" type="pres">
      <dgm:prSet presAssocID="{CB206A52-C8D9-4690-9CAC-A8AD4415D225}" presName="space" presStyleCnt="0"/>
      <dgm:spPr/>
      <dgm:t>
        <a:bodyPr/>
        <a:lstStyle/>
        <a:p>
          <a:endParaRPr lang="en-US"/>
        </a:p>
      </dgm:t>
    </dgm:pt>
    <dgm:pt modelId="{0BE64E12-30CD-4EAB-98DE-EE136A615125}" type="pres">
      <dgm:prSet presAssocID="{D39583F5-5063-48C9-89B5-A8786EB8E728}" presName="composite" presStyleCnt="0"/>
      <dgm:spPr/>
      <dgm:t>
        <a:bodyPr/>
        <a:lstStyle/>
        <a:p>
          <a:endParaRPr lang="en-US"/>
        </a:p>
      </dgm:t>
    </dgm:pt>
    <dgm:pt modelId="{C6B458E7-01BF-40ED-A53D-FC6DFC7A237E}" type="pres">
      <dgm:prSet presAssocID="{D39583F5-5063-48C9-89B5-A8786EB8E728}" presName="LShape" presStyleLbl="alignNode1" presStyleIdx="4" presStyleCnt="5"/>
      <dgm:spPr/>
      <dgm:t>
        <a:bodyPr/>
        <a:lstStyle/>
        <a:p>
          <a:endParaRPr lang="en-US"/>
        </a:p>
      </dgm:t>
    </dgm:pt>
    <dgm:pt modelId="{5F067583-152A-4A29-8391-46950A360EF0}" type="pres">
      <dgm:prSet presAssocID="{D39583F5-5063-48C9-89B5-A8786EB8E728}" presName="ParentText" presStyleLbl="revTx" presStyleIdx="2" presStyleCnt="3">
        <dgm:presLayoutVars>
          <dgm:chMax val="0"/>
          <dgm:chPref val="0"/>
          <dgm:bulletEnabled val="1"/>
        </dgm:presLayoutVars>
      </dgm:prSet>
      <dgm:spPr/>
      <dgm:t>
        <a:bodyPr/>
        <a:lstStyle/>
        <a:p>
          <a:endParaRPr lang="en-US"/>
        </a:p>
      </dgm:t>
    </dgm:pt>
  </dgm:ptLst>
  <dgm:cxnLst>
    <dgm:cxn modelId="{11473451-F9D4-44FA-BBFF-EEC0D26EFECE}" srcId="{E2357C50-C631-4FDA-96A1-8B50A25BAA5C}" destId="{88EB40D3-C83C-4FF2-B118-143F0970FE80}" srcOrd="0" destOrd="0" parTransId="{1ABA25B4-C5FE-48F5-84D3-8FC285817DB4}" sibTransId="{2129C0E3-B1E8-43AC-AF59-84197AD82CB6}"/>
    <dgm:cxn modelId="{2115375B-2760-4C3A-A0EA-F376E994CFE5}" srcId="{E2357C50-C631-4FDA-96A1-8B50A25BAA5C}" destId="{30D7FFE7-EC55-4D11-93F6-24DF7B6B679E}" srcOrd="1" destOrd="0" parTransId="{37605C3D-A55C-413A-9C21-4F44A25E8384}" sibTransId="{CB206A52-C8D9-4690-9CAC-A8AD4415D225}"/>
    <dgm:cxn modelId="{57065344-BE7D-4362-B9FB-FCF5EEDA393B}" type="presOf" srcId="{E2357C50-C631-4FDA-96A1-8B50A25BAA5C}" destId="{D11FBF15-1E9E-4A9D-A055-85A7A08444DA}" srcOrd="0" destOrd="0" presId="urn:microsoft.com/office/officeart/2009/3/layout/StepUpProcess"/>
    <dgm:cxn modelId="{486F191B-3649-4447-8EF2-44F4EE163DF6}" type="presOf" srcId="{88EB40D3-C83C-4FF2-B118-143F0970FE80}" destId="{A09F0A84-664E-450E-A855-0A03E9383FD5}" srcOrd="0" destOrd="0" presId="urn:microsoft.com/office/officeart/2009/3/layout/StepUpProcess"/>
    <dgm:cxn modelId="{F9EC0041-9880-49E7-B4B5-9E7F9D77AC12}" type="presOf" srcId="{30D7FFE7-EC55-4D11-93F6-24DF7B6B679E}" destId="{FA3D9D12-8820-4649-BBBF-C4D93A8CB48B}" srcOrd="0" destOrd="0" presId="urn:microsoft.com/office/officeart/2009/3/layout/StepUpProcess"/>
    <dgm:cxn modelId="{DFAA2C81-F482-41F1-A71D-3C6F6D303C14}" type="presOf" srcId="{D39583F5-5063-48C9-89B5-A8786EB8E728}" destId="{5F067583-152A-4A29-8391-46950A360EF0}" srcOrd="0" destOrd="0" presId="urn:microsoft.com/office/officeart/2009/3/layout/StepUpProcess"/>
    <dgm:cxn modelId="{38093D69-BB5B-4459-87C5-05FCA59C4139}" srcId="{E2357C50-C631-4FDA-96A1-8B50A25BAA5C}" destId="{D39583F5-5063-48C9-89B5-A8786EB8E728}" srcOrd="2" destOrd="0" parTransId="{33E676F4-3CEE-4EAB-8192-4BD5A60B014A}" sibTransId="{7BD5F78C-48F3-4A2F-9B00-0AF4FFFB136A}"/>
    <dgm:cxn modelId="{89C85070-6C28-4640-8D2E-02A8F4F01D2E}" type="presParOf" srcId="{D11FBF15-1E9E-4A9D-A055-85A7A08444DA}" destId="{322C3CC3-9FE0-4434-8962-C99D87D6CCA5}" srcOrd="0" destOrd="0" presId="urn:microsoft.com/office/officeart/2009/3/layout/StepUpProcess"/>
    <dgm:cxn modelId="{00108C98-77BD-4301-B8F3-85CEF743D879}" type="presParOf" srcId="{322C3CC3-9FE0-4434-8962-C99D87D6CCA5}" destId="{F71E04E2-158D-4EEC-9F84-BF40963F026D}" srcOrd="0" destOrd="0" presId="urn:microsoft.com/office/officeart/2009/3/layout/StepUpProcess"/>
    <dgm:cxn modelId="{FAE9066F-31E4-40A6-B8CF-201CF1F83E19}" type="presParOf" srcId="{322C3CC3-9FE0-4434-8962-C99D87D6CCA5}" destId="{A09F0A84-664E-450E-A855-0A03E9383FD5}" srcOrd="1" destOrd="0" presId="urn:microsoft.com/office/officeart/2009/3/layout/StepUpProcess"/>
    <dgm:cxn modelId="{6EE77FED-901B-482E-9C74-E9AACC05E76F}" type="presParOf" srcId="{322C3CC3-9FE0-4434-8962-C99D87D6CCA5}" destId="{4167F381-2706-470A-BCDB-AAAD96E28E60}" srcOrd="2" destOrd="0" presId="urn:microsoft.com/office/officeart/2009/3/layout/StepUpProcess"/>
    <dgm:cxn modelId="{7215C0A7-D3CF-4FAA-BEB0-A81C2024D719}" type="presParOf" srcId="{D11FBF15-1E9E-4A9D-A055-85A7A08444DA}" destId="{92591D2A-4984-43A2-B56B-4D590554BE97}" srcOrd="1" destOrd="0" presId="urn:microsoft.com/office/officeart/2009/3/layout/StepUpProcess"/>
    <dgm:cxn modelId="{4C0B4B0D-4CCB-4247-8ADA-3DC97A49BB99}" type="presParOf" srcId="{92591D2A-4984-43A2-B56B-4D590554BE97}" destId="{F31D2AD1-1C79-4265-9FD1-CA487F559A65}" srcOrd="0" destOrd="0" presId="urn:microsoft.com/office/officeart/2009/3/layout/StepUpProcess"/>
    <dgm:cxn modelId="{75D852C2-2E81-41FB-A413-F0510FAB18DD}" type="presParOf" srcId="{D11FBF15-1E9E-4A9D-A055-85A7A08444DA}" destId="{81D4E505-96B6-474A-B92A-0476F2217A33}" srcOrd="2" destOrd="0" presId="urn:microsoft.com/office/officeart/2009/3/layout/StepUpProcess"/>
    <dgm:cxn modelId="{A5403F98-33C0-4BA2-B508-8801998FD630}" type="presParOf" srcId="{81D4E505-96B6-474A-B92A-0476F2217A33}" destId="{9563620E-5C59-4570-B517-5CB541B9220A}" srcOrd="0" destOrd="0" presId="urn:microsoft.com/office/officeart/2009/3/layout/StepUpProcess"/>
    <dgm:cxn modelId="{2924E8DD-4E3B-4D2E-9183-1DFDE97C63E3}" type="presParOf" srcId="{81D4E505-96B6-474A-B92A-0476F2217A33}" destId="{FA3D9D12-8820-4649-BBBF-C4D93A8CB48B}" srcOrd="1" destOrd="0" presId="urn:microsoft.com/office/officeart/2009/3/layout/StepUpProcess"/>
    <dgm:cxn modelId="{E614DA07-73CC-4D8C-AD43-1298CF1605CA}" type="presParOf" srcId="{81D4E505-96B6-474A-B92A-0476F2217A33}" destId="{4CF840DD-82ED-4A2D-BDDA-0136556345CB}" srcOrd="2" destOrd="0" presId="urn:microsoft.com/office/officeart/2009/3/layout/StepUpProcess"/>
    <dgm:cxn modelId="{4F7DD450-FF76-41C7-B7AD-1D83DAA9F384}" type="presParOf" srcId="{D11FBF15-1E9E-4A9D-A055-85A7A08444DA}" destId="{D661225C-82D1-49F2-9B9D-1B300EE88506}" srcOrd="3" destOrd="0" presId="urn:microsoft.com/office/officeart/2009/3/layout/StepUpProcess"/>
    <dgm:cxn modelId="{B181AFA3-4018-43EA-8A61-B58B71CBBD3F}" type="presParOf" srcId="{D661225C-82D1-49F2-9B9D-1B300EE88506}" destId="{45DDCE02-4FE8-444E-A0B4-56442C366F4B}" srcOrd="0" destOrd="0" presId="urn:microsoft.com/office/officeart/2009/3/layout/StepUpProcess"/>
    <dgm:cxn modelId="{24A482CD-309E-4B7B-BDB2-D7A88D35ED7D}" type="presParOf" srcId="{D11FBF15-1E9E-4A9D-A055-85A7A08444DA}" destId="{0BE64E12-30CD-4EAB-98DE-EE136A615125}" srcOrd="4" destOrd="0" presId="urn:microsoft.com/office/officeart/2009/3/layout/StepUpProcess"/>
    <dgm:cxn modelId="{36350DD1-76F9-4497-A783-5959EDE161E9}" type="presParOf" srcId="{0BE64E12-30CD-4EAB-98DE-EE136A615125}" destId="{C6B458E7-01BF-40ED-A53D-FC6DFC7A237E}" srcOrd="0" destOrd="0" presId="urn:microsoft.com/office/officeart/2009/3/layout/StepUpProcess"/>
    <dgm:cxn modelId="{CC8F214D-E18C-42D7-A084-B5050A0C03B9}" type="presParOf" srcId="{0BE64E12-30CD-4EAB-98DE-EE136A615125}" destId="{5F067583-152A-4A29-8391-46950A360EF0}" srcOrd="1" destOrd="0" presId="urn:microsoft.com/office/officeart/2009/3/layout/StepUpProcess"/>
  </dgm:cxnLst>
  <dgm:bg/>
  <dgm:whole/>
</dgm:dataModel>
</file>

<file path=word/diagrams/data7.xml><?xml version="1.0" encoding="utf-8"?>
<dgm:dataModel xmlns:dgm="http://schemas.openxmlformats.org/drawingml/2006/diagram" xmlns:a="http://schemas.openxmlformats.org/drawingml/2006/main">
  <dgm:ptLst>
    <dgm:pt modelId="{E2C99D3F-84AF-4E45-90F5-0C24A122BC4F}" type="doc">
      <dgm:prSet loTypeId="urn:microsoft.com/office/officeart/2005/8/layout/chevron1" loCatId="process" qsTypeId="urn:microsoft.com/office/officeart/2005/8/quickstyle/simple1" qsCatId="simple" csTypeId="urn:microsoft.com/office/officeart/2005/8/colors/accent6_1" csCatId="accent6" phldr="1"/>
      <dgm:spPr/>
    </dgm:pt>
    <dgm:pt modelId="{E1A99FC6-35D5-41F3-9B57-748FCBAAC32A}">
      <dgm:prSet phldrT="[Text]" custT="1"/>
      <dgm:spPr/>
      <dgm:t>
        <a:bodyPr/>
        <a:lstStyle/>
        <a:p>
          <a:pPr algn="r"/>
          <a:r>
            <a:rPr lang="en-ZA" sz="4000" b="1">
              <a:solidFill>
                <a:schemeClr val="tx2">
                  <a:lumMod val="75000"/>
                </a:schemeClr>
              </a:solidFill>
              <a:latin typeface="Arial" panose="020B0604020202020204" pitchFamily="34" charset="0"/>
              <a:cs typeface="Arial" panose="020B0604020202020204" pitchFamily="34" charset="0"/>
            </a:rPr>
            <a:t>PART D</a:t>
          </a:r>
          <a:r>
            <a:rPr lang="en-ZA" sz="3600" b="1">
              <a:solidFill>
                <a:schemeClr val="tx2">
                  <a:lumMod val="75000"/>
                </a:schemeClr>
              </a:solidFill>
              <a:latin typeface="Arial" panose="020B0604020202020204" pitchFamily="34" charset="0"/>
              <a:cs typeface="Arial" panose="020B0604020202020204" pitchFamily="34" charset="0"/>
            </a:rPr>
            <a:t>: </a:t>
          </a:r>
          <a:r>
            <a:rPr lang="en-ZA" sz="1800" b="1">
              <a:solidFill>
                <a:schemeClr val="tx2">
                  <a:lumMod val="75000"/>
                </a:schemeClr>
              </a:solidFill>
              <a:latin typeface="Arial" panose="020B0604020202020204" pitchFamily="34" charset="0"/>
              <a:cs typeface="Arial" panose="020B0604020202020204" pitchFamily="34" charset="0"/>
            </a:rPr>
            <a:t>Financial Report</a:t>
          </a:r>
          <a:endParaRPr lang="en-US" sz="1800">
            <a:solidFill>
              <a:schemeClr val="tx2">
                <a:lumMod val="75000"/>
              </a:schemeClr>
            </a:solidFill>
            <a:latin typeface="Arial" panose="020B0604020202020204" pitchFamily="34" charset="0"/>
            <a:cs typeface="Arial" panose="020B0604020202020204" pitchFamily="34" charset="0"/>
          </a:endParaRPr>
        </a:p>
      </dgm:t>
    </dgm:pt>
    <dgm:pt modelId="{B99D630A-895B-4F55-AEB1-F626B24AB8E6}" type="sibTrans" cxnId="{00248DBF-6EA8-4DD1-A882-7147478E062F}">
      <dgm:prSet/>
      <dgm:spPr/>
      <dgm:t>
        <a:bodyPr/>
        <a:lstStyle/>
        <a:p>
          <a:endParaRPr lang="en-US">
            <a:latin typeface="Arial" panose="020B0604020202020204" pitchFamily="34" charset="0"/>
            <a:cs typeface="Arial" panose="020B0604020202020204" pitchFamily="34" charset="0"/>
          </a:endParaRPr>
        </a:p>
      </dgm:t>
    </dgm:pt>
    <dgm:pt modelId="{2B824CDA-205B-49DC-8C15-CB0CFB435F6B}" type="parTrans" cxnId="{00248DBF-6EA8-4DD1-A882-7147478E062F}">
      <dgm:prSet/>
      <dgm:spPr/>
      <dgm:t>
        <a:bodyPr/>
        <a:lstStyle/>
        <a:p>
          <a:endParaRPr lang="en-US">
            <a:latin typeface="Arial" panose="020B0604020202020204" pitchFamily="34" charset="0"/>
            <a:cs typeface="Arial" panose="020B0604020202020204" pitchFamily="34" charset="0"/>
          </a:endParaRPr>
        </a:p>
      </dgm:t>
    </dgm:pt>
    <dgm:pt modelId="{81370C73-9BAA-4537-B17F-B1C8FDAA7D7D}" type="pres">
      <dgm:prSet presAssocID="{E2C99D3F-84AF-4E45-90F5-0C24A122BC4F}" presName="Name0" presStyleCnt="0">
        <dgm:presLayoutVars>
          <dgm:dir/>
          <dgm:animLvl val="lvl"/>
          <dgm:resizeHandles val="exact"/>
        </dgm:presLayoutVars>
      </dgm:prSet>
      <dgm:spPr/>
    </dgm:pt>
    <dgm:pt modelId="{D2553EBF-9107-481D-A545-57902E98B654}" type="pres">
      <dgm:prSet presAssocID="{E1A99FC6-35D5-41F3-9B57-748FCBAAC32A}" presName="parTxOnly" presStyleLbl="node1" presStyleIdx="0" presStyleCnt="1">
        <dgm:presLayoutVars>
          <dgm:chMax val="0"/>
          <dgm:chPref val="0"/>
          <dgm:bulletEnabled val="1"/>
        </dgm:presLayoutVars>
      </dgm:prSet>
      <dgm:spPr/>
      <dgm:t>
        <a:bodyPr/>
        <a:lstStyle/>
        <a:p>
          <a:endParaRPr lang="en-US"/>
        </a:p>
      </dgm:t>
    </dgm:pt>
  </dgm:ptLst>
  <dgm:cxnLst>
    <dgm:cxn modelId="{00248DBF-6EA8-4DD1-A882-7147478E062F}" srcId="{E2C99D3F-84AF-4E45-90F5-0C24A122BC4F}" destId="{E1A99FC6-35D5-41F3-9B57-748FCBAAC32A}" srcOrd="0" destOrd="0" parTransId="{2B824CDA-205B-49DC-8C15-CB0CFB435F6B}" sibTransId="{B99D630A-895B-4F55-AEB1-F626B24AB8E6}"/>
    <dgm:cxn modelId="{1A05AC29-05A5-4B15-91CD-431175382CAC}" type="presOf" srcId="{E2C99D3F-84AF-4E45-90F5-0C24A122BC4F}" destId="{81370C73-9BAA-4537-B17F-B1C8FDAA7D7D}" srcOrd="0" destOrd="0" presId="urn:microsoft.com/office/officeart/2005/8/layout/chevron1"/>
    <dgm:cxn modelId="{B08C74C7-B0F1-4459-9A0A-9CBB59374CC8}" type="presOf" srcId="{E1A99FC6-35D5-41F3-9B57-748FCBAAC32A}" destId="{D2553EBF-9107-481D-A545-57902E98B654}" srcOrd="0" destOrd="0" presId="urn:microsoft.com/office/officeart/2005/8/layout/chevron1"/>
    <dgm:cxn modelId="{AB0AD745-139B-4460-B43B-FA8AD0353B83}" type="presParOf" srcId="{81370C73-9BAA-4537-B17F-B1C8FDAA7D7D}" destId="{D2553EBF-9107-481D-A545-57902E98B654}" srcOrd="0" destOrd="0" presId="urn:microsoft.com/office/officeart/2005/8/layout/chevron1"/>
  </dgm:cxnLst>
  <dgm:bg/>
  <dgm:whole/>
</dgm:dataModel>
</file>

<file path=word/diagrams/data8.xml><?xml version="1.0" encoding="utf-8"?>
<dgm:dataModel xmlns:dgm="http://schemas.openxmlformats.org/drawingml/2006/diagram" xmlns:a="http://schemas.openxmlformats.org/drawingml/2006/main">
  <dgm:ptLst>
    <dgm:pt modelId="{E2C99D3F-84AF-4E45-90F5-0C24A122BC4F}" type="doc">
      <dgm:prSet loTypeId="urn:microsoft.com/office/officeart/2005/8/layout/chevron1" loCatId="process" qsTypeId="urn:microsoft.com/office/officeart/2005/8/quickstyle/simple1" qsCatId="simple" csTypeId="urn:microsoft.com/office/officeart/2005/8/colors/accent6_1" csCatId="accent6" phldr="1"/>
      <dgm:spPr/>
    </dgm:pt>
    <dgm:pt modelId="{E1A99FC6-35D5-41F3-9B57-748FCBAAC32A}">
      <dgm:prSet phldrT="[Text]" custT="1"/>
      <dgm:spPr/>
      <dgm:t>
        <a:bodyPr/>
        <a:lstStyle/>
        <a:p>
          <a:pPr algn="r"/>
          <a:r>
            <a:rPr lang="en-ZA" sz="4000" b="1">
              <a:solidFill>
                <a:schemeClr val="tx2">
                  <a:lumMod val="75000"/>
                </a:schemeClr>
              </a:solidFill>
              <a:latin typeface="Arial" panose="020B0604020202020204" pitchFamily="34" charset="0"/>
              <a:cs typeface="Arial" panose="020B0604020202020204" pitchFamily="34" charset="0"/>
            </a:rPr>
            <a:t>PART E</a:t>
          </a:r>
          <a:r>
            <a:rPr lang="en-ZA" sz="3600" b="1">
              <a:solidFill>
                <a:schemeClr val="tx2">
                  <a:lumMod val="75000"/>
                </a:schemeClr>
              </a:solidFill>
              <a:latin typeface="Arial" panose="020B0604020202020204" pitchFamily="34" charset="0"/>
              <a:cs typeface="Arial" panose="020B0604020202020204" pitchFamily="34" charset="0"/>
            </a:rPr>
            <a:t>: </a:t>
          </a:r>
          <a:r>
            <a:rPr lang="en-ZA" sz="1800" b="1">
              <a:solidFill>
                <a:schemeClr val="tx2">
                  <a:lumMod val="75000"/>
                </a:schemeClr>
              </a:solidFill>
              <a:latin typeface="Arial" panose="020B0604020202020204" pitchFamily="34" charset="0"/>
              <a:cs typeface="Arial" panose="020B0604020202020204" pitchFamily="34" charset="0"/>
            </a:rPr>
            <a:t>Governance Report</a:t>
          </a:r>
          <a:endParaRPr lang="en-US" sz="1800">
            <a:solidFill>
              <a:schemeClr val="tx2">
                <a:lumMod val="75000"/>
              </a:schemeClr>
            </a:solidFill>
            <a:latin typeface="Arial" panose="020B0604020202020204" pitchFamily="34" charset="0"/>
            <a:cs typeface="Arial" panose="020B0604020202020204" pitchFamily="34" charset="0"/>
          </a:endParaRPr>
        </a:p>
      </dgm:t>
    </dgm:pt>
    <dgm:pt modelId="{B99D630A-895B-4F55-AEB1-F626B24AB8E6}" type="sibTrans" cxnId="{00248DBF-6EA8-4DD1-A882-7147478E062F}">
      <dgm:prSet/>
      <dgm:spPr/>
      <dgm:t>
        <a:bodyPr/>
        <a:lstStyle/>
        <a:p>
          <a:endParaRPr lang="en-US">
            <a:latin typeface="Arial" panose="020B0604020202020204" pitchFamily="34" charset="0"/>
            <a:cs typeface="Arial" panose="020B0604020202020204" pitchFamily="34" charset="0"/>
          </a:endParaRPr>
        </a:p>
      </dgm:t>
    </dgm:pt>
    <dgm:pt modelId="{2B824CDA-205B-49DC-8C15-CB0CFB435F6B}" type="parTrans" cxnId="{00248DBF-6EA8-4DD1-A882-7147478E062F}">
      <dgm:prSet/>
      <dgm:spPr/>
      <dgm:t>
        <a:bodyPr/>
        <a:lstStyle/>
        <a:p>
          <a:endParaRPr lang="en-US">
            <a:latin typeface="Arial" panose="020B0604020202020204" pitchFamily="34" charset="0"/>
            <a:cs typeface="Arial" panose="020B0604020202020204" pitchFamily="34" charset="0"/>
          </a:endParaRPr>
        </a:p>
      </dgm:t>
    </dgm:pt>
    <dgm:pt modelId="{81370C73-9BAA-4537-B17F-B1C8FDAA7D7D}" type="pres">
      <dgm:prSet presAssocID="{E2C99D3F-84AF-4E45-90F5-0C24A122BC4F}" presName="Name0" presStyleCnt="0">
        <dgm:presLayoutVars>
          <dgm:dir/>
          <dgm:animLvl val="lvl"/>
          <dgm:resizeHandles val="exact"/>
        </dgm:presLayoutVars>
      </dgm:prSet>
      <dgm:spPr/>
    </dgm:pt>
    <dgm:pt modelId="{D2553EBF-9107-481D-A545-57902E98B654}" type="pres">
      <dgm:prSet presAssocID="{E1A99FC6-35D5-41F3-9B57-748FCBAAC32A}" presName="parTxOnly" presStyleLbl="node1" presStyleIdx="0" presStyleCnt="1">
        <dgm:presLayoutVars>
          <dgm:chMax val="0"/>
          <dgm:chPref val="0"/>
          <dgm:bulletEnabled val="1"/>
        </dgm:presLayoutVars>
      </dgm:prSet>
      <dgm:spPr/>
      <dgm:t>
        <a:bodyPr/>
        <a:lstStyle/>
        <a:p>
          <a:endParaRPr lang="en-US"/>
        </a:p>
      </dgm:t>
    </dgm:pt>
  </dgm:ptLst>
  <dgm:cxnLst>
    <dgm:cxn modelId="{00248DBF-6EA8-4DD1-A882-7147478E062F}" srcId="{E2C99D3F-84AF-4E45-90F5-0C24A122BC4F}" destId="{E1A99FC6-35D5-41F3-9B57-748FCBAAC32A}" srcOrd="0" destOrd="0" parTransId="{2B824CDA-205B-49DC-8C15-CB0CFB435F6B}" sibTransId="{B99D630A-895B-4F55-AEB1-F626B24AB8E6}"/>
    <dgm:cxn modelId="{A756D75B-BA5E-4BF2-94DD-E7001411133B}" type="presOf" srcId="{E2C99D3F-84AF-4E45-90F5-0C24A122BC4F}" destId="{81370C73-9BAA-4537-B17F-B1C8FDAA7D7D}" srcOrd="0" destOrd="0" presId="urn:microsoft.com/office/officeart/2005/8/layout/chevron1"/>
    <dgm:cxn modelId="{F830AE95-8B48-4E46-A50C-8E72EB12078F}" type="presOf" srcId="{E1A99FC6-35D5-41F3-9B57-748FCBAAC32A}" destId="{D2553EBF-9107-481D-A545-57902E98B654}" srcOrd="0" destOrd="0" presId="urn:microsoft.com/office/officeart/2005/8/layout/chevron1"/>
    <dgm:cxn modelId="{254B2912-09A3-4FCA-93C7-41046E378B89}" type="presParOf" srcId="{81370C73-9BAA-4537-B17F-B1C8FDAA7D7D}" destId="{D2553EBF-9107-481D-A545-57902E98B654}" srcOrd="0" destOrd="0" presId="urn:microsoft.com/office/officeart/2005/8/layout/chevron1"/>
  </dgm:cxnLst>
  <dgm:bg/>
  <dgm:whole/>
</dgm:dataModel>
</file>

<file path=word/diagrams/data9.xml><?xml version="1.0" encoding="utf-8"?>
<dgm:dataModel xmlns:dgm="http://schemas.openxmlformats.org/drawingml/2006/diagram" xmlns:a="http://schemas.openxmlformats.org/drawingml/2006/main">
  <dgm:ptLst>
    <dgm:pt modelId="{E2C99D3F-84AF-4E45-90F5-0C24A122BC4F}" type="doc">
      <dgm:prSet loTypeId="urn:microsoft.com/office/officeart/2005/8/layout/chevron1" loCatId="process" qsTypeId="urn:microsoft.com/office/officeart/2005/8/quickstyle/simple1" qsCatId="simple" csTypeId="urn:microsoft.com/office/officeart/2005/8/colors/accent6_1" csCatId="accent6" phldr="1"/>
      <dgm:spPr/>
    </dgm:pt>
    <dgm:pt modelId="{E1A99FC6-35D5-41F3-9B57-748FCBAAC32A}">
      <dgm:prSet phldrT="[Text]" custT="1"/>
      <dgm:spPr/>
      <dgm:t>
        <a:bodyPr/>
        <a:lstStyle/>
        <a:p>
          <a:pPr algn="r"/>
          <a:r>
            <a:rPr lang="en-ZA" sz="4000" b="1">
              <a:solidFill>
                <a:schemeClr val="tx2">
                  <a:lumMod val="75000"/>
                </a:schemeClr>
              </a:solidFill>
              <a:latin typeface="Arial" panose="020B0604020202020204" pitchFamily="34" charset="0"/>
              <a:cs typeface="Arial" panose="020B0604020202020204" pitchFamily="34" charset="0"/>
            </a:rPr>
            <a:t>PART F</a:t>
          </a:r>
          <a:r>
            <a:rPr lang="en-ZA" sz="3600" b="1">
              <a:solidFill>
                <a:schemeClr val="tx2">
                  <a:lumMod val="75000"/>
                </a:schemeClr>
              </a:solidFill>
              <a:latin typeface="Arial" panose="020B0604020202020204" pitchFamily="34" charset="0"/>
              <a:cs typeface="Arial" panose="020B0604020202020204" pitchFamily="34" charset="0"/>
            </a:rPr>
            <a:t>: </a:t>
          </a:r>
          <a:r>
            <a:rPr lang="en-ZA" sz="1800" b="1">
              <a:solidFill>
                <a:schemeClr val="tx2">
                  <a:lumMod val="75000"/>
                </a:schemeClr>
              </a:solidFill>
              <a:latin typeface="Arial" panose="020B0604020202020204" pitchFamily="34" charset="0"/>
              <a:cs typeface="Arial" panose="020B0604020202020204" pitchFamily="34" charset="0"/>
            </a:rPr>
            <a:t>Conclusion</a:t>
          </a:r>
          <a:endParaRPr lang="en-US" sz="1800">
            <a:solidFill>
              <a:schemeClr val="tx2">
                <a:lumMod val="75000"/>
              </a:schemeClr>
            </a:solidFill>
            <a:latin typeface="Arial" panose="020B0604020202020204" pitchFamily="34" charset="0"/>
            <a:cs typeface="Arial" panose="020B0604020202020204" pitchFamily="34" charset="0"/>
          </a:endParaRPr>
        </a:p>
      </dgm:t>
    </dgm:pt>
    <dgm:pt modelId="{B99D630A-895B-4F55-AEB1-F626B24AB8E6}" type="sibTrans" cxnId="{00248DBF-6EA8-4DD1-A882-7147478E062F}">
      <dgm:prSet/>
      <dgm:spPr/>
      <dgm:t>
        <a:bodyPr/>
        <a:lstStyle/>
        <a:p>
          <a:endParaRPr lang="en-US">
            <a:latin typeface="Arial" panose="020B0604020202020204" pitchFamily="34" charset="0"/>
            <a:cs typeface="Arial" panose="020B0604020202020204" pitchFamily="34" charset="0"/>
          </a:endParaRPr>
        </a:p>
      </dgm:t>
    </dgm:pt>
    <dgm:pt modelId="{2B824CDA-205B-49DC-8C15-CB0CFB435F6B}" type="parTrans" cxnId="{00248DBF-6EA8-4DD1-A882-7147478E062F}">
      <dgm:prSet/>
      <dgm:spPr/>
      <dgm:t>
        <a:bodyPr/>
        <a:lstStyle/>
        <a:p>
          <a:endParaRPr lang="en-US">
            <a:latin typeface="Arial" panose="020B0604020202020204" pitchFamily="34" charset="0"/>
            <a:cs typeface="Arial" panose="020B0604020202020204" pitchFamily="34" charset="0"/>
          </a:endParaRPr>
        </a:p>
      </dgm:t>
    </dgm:pt>
    <dgm:pt modelId="{81370C73-9BAA-4537-B17F-B1C8FDAA7D7D}" type="pres">
      <dgm:prSet presAssocID="{E2C99D3F-84AF-4E45-90F5-0C24A122BC4F}" presName="Name0" presStyleCnt="0">
        <dgm:presLayoutVars>
          <dgm:dir/>
          <dgm:animLvl val="lvl"/>
          <dgm:resizeHandles val="exact"/>
        </dgm:presLayoutVars>
      </dgm:prSet>
      <dgm:spPr/>
    </dgm:pt>
    <dgm:pt modelId="{D2553EBF-9107-481D-A545-57902E98B654}" type="pres">
      <dgm:prSet presAssocID="{E1A99FC6-35D5-41F3-9B57-748FCBAAC32A}" presName="parTxOnly" presStyleLbl="node1" presStyleIdx="0" presStyleCnt="1">
        <dgm:presLayoutVars>
          <dgm:chMax val="0"/>
          <dgm:chPref val="0"/>
          <dgm:bulletEnabled val="1"/>
        </dgm:presLayoutVars>
      </dgm:prSet>
      <dgm:spPr/>
      <dgm:t>
        <a:bodyPr/>
        <a:lstStyle/>
        <a:p>
          <a:endParaRPr lang="en-US"/>
        </a:p>
      </dgm:t>
    </dgm:pt>
  </dgm:ptLst>
  <dgm:cxnLst>
    <dgm:cxn modelId="{00248DBF-6EA8-4DD1-A882-7147478E062F}" srcId="{E2C99D3F-84AF-4E45-90F5-0C24A122BC4F}" destId="{E1A99FC6-35D5-41F3-9B57-748FCBAAC32A}" srcOrd="0" destOrd="0" parTransId="{2B824CDA-205B-49DC-8C15-CB0CFB435F6B}" sibTransId="{B99D630A-895B-4F55-AEB1-F626B24AB8E6}"/>
    <dgm:cxn modelId="{965E994C-F160-4B01-A681-6951CD82AE01}" type="presOf" srcId="{E2C99D3F-84AF-4E45-90F5-0C24A122BC4F}" destId="{81370C73-9BAA-4537-B17F-B1C8FDAA7D7D}" srcOrd="0" destOrd="0" presId="urn:microsoft.com/office/officeart/2005/8/layout/chevron1"/>
    <dgm:cxn modelId="{B9A6E79A-9A1A-4E8A-A079-CE8FA78036FC}" type="presOf" srcId="{E1A99FC6-35D5-41F3-9B57-748FCBAAC32A}" destId="{D2553EBF-9107-481D-A545-57902E98B654}" srcOrd="0" destOrd="0" presId="urn:microsoft.com/office/officeart/2005/8/layout/chevron1"/>
    <dgm:cxn modelId="{D8D18E3C-E446-450D-9F45-CF1FC4491334}" type="presParOf" srcId="{81370C73-9BAA-4537-B17F-B1C8FDAA7D7D}" destId="{D2553EBF-9107-481D-A545-57902E98B654}" srcOrd="0" destOrd="0" presId="urn:microsoft.com/office/officeart/2005/8/layout/chevron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553EBF-9107-481D-A545-57902E98B654}">
      <dsp:nvSpPr>
        <dsp:cNvPr id="0" name=""/>
        <dsp:cNvSpPr/>
      </dsp:nvSpPr>
      <dsp:spPr>
        <a:xfrm>
          <a:off x="1702" y="0"/>
          <a:ext cx="3482745" cy="1200150"/>
        </a:xfrm>
        <a:prstGeom prst="chevron">
          <a:avLst/>
        </a:prstGeom>
        <a:solidFill>
          <a:schemeClr val="lt1">
            <a:hueOff val="0"/>
            <a:satOff val="0"/>
            <a:lumOff val="0"/>
            <a:alphaOff val="0"/>
          </a:schemeClr>
        </a:solidFill>
        <a:ln w="15875"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020" tIns="53340" rIns="53340" bIns="53340" numCol="1" spcCol="1270" anchor="ctr" anchorCtr="0">
          <a:noAutofit/>
        </a:bodyPr>
        <a:lstStyle/>
        <a:p>
          <a:pPr lvl="0" algn="r" defTabSz="1778000">
            <a:lnSpc>
              <a:spcPct val="90000"/>
            </a:lnSpc>
            <a:spcBef>
              <a:spcPct val="0"/>
            </a:spcBef>
            <a:spcAft>
              <a:spcPct val="35000"/>
            </a:spcAft>
          </a:pPr>
          <a:r>
            <a:rPr lang="en-ZA" sz="4000" b="1" kern="1200">
              <a:solidFill>
                <a:schemeClr val="tx2">
                  <a:lumMod val="75000"/>
                </a:schemeClr>
              </a:solidFill>
              <a:latin typeface="Arial" panose="020B0604020202020204" pitchFamily="34" charset="0"/>
              <a:cs typeface="Arial" panose="020B0604020202020204" pitchFamily="34" charset="0"/>
            </a:rPr>
            <a:t>PART A</a:t>
          </a:r>
          <a:r>
            <a:rPr lang="en-ZA" sz="3600" b="1" kern="1200">
              <a:solidFill>
                <a:schemeClr val="tx2">
                  <a:lumMod val="75000"/>
                </a:schemeClr>
              </a:solidFill>
              <a:latin typeface="Arial" panose="020B0604020202020204" pitchFamily="34" charset="0"/>
              <a:cs typeface="Arial" panose="020B0604020202020204" pitchFamily="34" charset="0"/>
            </a:rPr>
            <a:t>: </a:t>
          </a:r>
          <a:r>
            <a:rPr lang="en-ZA" sz="1800" b="1" kern="1200">
              <a:solidFill>
                <a:schemeClr val="tx2">
                  <a:lumMod val="75000"/>
                </a:schemeClr>
              </a:solidFill>
              <a:latin typeface="Arial" panose="020B0604020202020204" pitchFamily="34" charset="0"/>
              <a:cs typeface="Arial" panose="020B0604020202020204" pitchFamily="34" charset="0"/>
            </a:rPr>
            <a:t>Introduction</a:t>
          </a:r>
          <a:endParaRPr lang="en-US" sz="1800" kern="1200">
            <a:solidFill>
              <a:schemeClr val="tx2">
                <a:lumMod val="75000"/>
              </a:schemeClr>
            </a:solidFill>
            <a:latin typeface="Arial" panose="020B0604020202020204" pitchFamily="34" charset="0"/>
            <a:cs typeface="Arial" panose="020B0604020202020204" pitchFamily="34" charset="0"/>
          </a:endParaRPr>
        </a:p>
      </dsp:txBody>
      <dsp:txXfrm>
        <a:off x="601777" y="0"/>
        <a:ext cx="2282595" cy="12001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553EBF-9107-481D-A545-57902E98B654}">
      <dsp:nvSpPr>
        <dsp:cNvPr id="0" name=""/>
        <dsp:cNvSpPr/>
      </dsp:nvSpPr>
      <dsp:spPr>
        <a:xfrm>
          <a:off x="1702" y="0"/>
          <a:ext cx="3482745" cy="1200150"/>
        </a:xfrm>
        <a:prstGeom prst="chevron">
          <a:avLst/>
        </a:prstGeom>
        <a:solidFill>
          <a:schemeClr val="lt1">
            <a:hueOff val="0"/>
            <a:satOff val="0"/>
            <a:lumOff val="0"/>
            <a:alphaOff val="0"/>
          </a:schemeClr>
        </a:solidFill>
        <a:ln w="15875"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020" tIns="53340" rIns="53340" bIns="53340" numCol="1" spcCol="1270" anchor="ctr" anchorCtr="0">
          <a:noAutofit/>
        </a:bodyPr>
        <a:lstStyle/>
        <a:p>
          <a:pPr lvl="0" algn="r" defTabSz="1778000">
            <a:lnSpc>
              <a:spcPct val="90000"/>
            </a:lnSpc>
            <a:spcBef>
              <a:spcPct val="0"/>
            </a:spcBef>
            <a:spcAft>
              <a:spcPct val="35000"/>
            </a:spcAft>
          </a:pPr>
          <a:r>
            <a:rPr lang="en-ZA" sz="4000" b="1" kern="1200">
              <a:solidFill>
                <a:schemeClr val="tx2">
                  <a:lumMod val="75000"/>
                </a:schemeClr>
              </a:solidFill>
              <a:latin typeface="Arial" panose="020B0604020202020204" pitchFamily="34" charset="0"/>
              <a:cs typeface="Arial" panose="020B0604020202020204" pitchFamily="34" charset="0"/>
            </a:rPr>
            <a:t>PART B</a:t>
          </a:r>
          <a:r>
            <a:rPr lang="en-ZA" sz="3600" b="1" kern="1200">
              <a:solidFill>
                <a:schemeClr val="tx2">
                  <a:lumMod val="75000"/>
                </a:schemeClr>
              </a:solidFill>
              <a:latin typeface="Arial" panose="020B0604020202020204" pitchFamily="34" charset="0"/>
              <a:cs typeface="Arial" panose="020B0604020202020204" pitchFamily="34" charset="0"/>
            </a:rPr>
            <a:t>: </a:t>
          </a:r>
          <a:r>
            <a:rPr lang="en-ZA" sz="1800" b="1" kern="1200">
              <a:solidFill>
                <a:schemeClr val="tx2">
                  <a:lumMod val="75000"/>
                </a:schemeClr>
              </a:solidFill>
              <a:latin typeface="Arial" panose="020B0604020202020204" pitchFamily="34" charset="0"/>
              <a:cs typeface="Arial" panose="020B0604020202020204" pitchFamily="34" charset="0"/>
            </a:rPr>
            <a:t>Parliamentary Business</a:t>
          </a:r>
          <a:endParaRPr lang="en-US" sz="1800" kern="1200">
            <a:solidFill>
              <a:schemeClr val="tx2">
                <a:lumMod val="75000"/>
              </a:schemeClr>
            </a:solidFill>
            <a:latin typeface="Arial" panose="020B0604020202020204" pitchFamily="34" charset="0"/>
            <a:cs typeface="Arial" panose="020B0604020202020204" pitchFamily="34" charset="0"/>
          </a:endParaRPr>
        </a:p>
      </dsp:txBody>
      <dsp:txXfrm>
        <a:off x="601777" y="0"/>
        <a:ext cx="2282595" cy="12001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553EBF-9107-481D-A545-57902E98B654}">
      <dsp:nvSpPr>
        <dsp:cNvPr id="0" name=""/>
        <dsp:cNvSpPr/>
      </dsp:nvSpPr>
      <dsp:spPr>
        <a:xfrm>
          <a:off x="1702" y="0"/>
          <a:ext cx="3482745" cy="1200150"/>
        </a:xfrm>
        <a:prstGeom prst="chevron">
          <a:avLst/>
        </a:prstGeom>
        <a:solidFill>
          <a:schemeClr val="lt1">
            <a:hueOff val="0"/>
            <a:satOff val="0"/>
            <a:lumOff val="0"/>
            <a:alphaOff val="0"/>
          </a:schemeClr>
        </a:solidFill>
        <a:ln w="15875"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020" tIns="53340" rIns="53340" bIns="53340" numCol="1" spcCol="1270" anchor="ctr" anchorCtr="0">
          <a:noAutofit/>
        </a:bodyPr>
        <a:lstStyle/>
        <a:p>
          <a:pPr lvl="0" algn="r" defTabSz="1778000">
            <a:lnSpc>
              <a:spcPct val="90000"/>
            </a:lnSpc>
            <a:spcBef>
              <a:spcPct val="0"/>
            </a:spcBef>
            <a:spcAft>
              <a:spcPct val="35000"/>
            </a:spcAft>
          </a:pPr>
          <a:r>
            <a:rPr lang="en-ZA" sz="4000" b="1" kern="1200">
              <a:solidFill>
                <a:schemeClr val="tx2">
                  <a:lumMod val="75000"/>
                </a:schemeClr>
              </a:solidFill>
              <a:latin typeface="Arial" panose="020B0604020202020204" pitchFamily="34" charset="0"/>
              <a:cs typeface="Arial" panose="020B0604020202020204" pitchFamily="34" charset="0"/>
            </a:rPr>
            <a:t>PART C</a:t>
          </a:r>
          <a:r>
            <a:rPr lang="en-ZA" sz="3600" b="1" kern="1200">
              <a:solidFill>
                <a:schemeClr val="tx2">
                  <a:lumMod val="75000"/>
                </a:schemeClr>
              </a:solidFill>
              <a:latin typeface="Arial" panose="020B0604020202020204" pitchFamily="34" charset="0"/>
              <a:cs typeface="Arial" panose="020B0604020202020204" pitchFamily="34" charset="0"/>
            </a:rPr>
            <a:t>: </a:t>
          </a:r>
          <a:r>
            <a:rPr lang="en-ZA" sz="1800" b="1" kern="1200">
              <a:solidFill>
                <a:schemeClr val="tx2">
                  <a:lumMod val="75000"/>
                </a:schemeClr>
              </a:solidFill>
              <a:latin typeface="Arial" panose="020B0604020202020204" pitchFamily="34" charset="0"/>
              <a:cs typeface="Arial" panose="020B0604020202020204" pitchFamily="34" charset="0"/>
            </a:rPr>
            <a:t>Performance Information</a:t>
          </a:r>
          <a:endParaRPr lang="en-US" sz="1800" kern="1200">
            <a:solidFill>
              <a:schemeClr val="tx2">
                <a:lumMod val="75000"/>
              </a:schemeClr>
            </a:solidFill>
            <a:latin typeface="Arial" panose="020B0604020202020204" pitchFamily="34" charset="0"/>
            <a:cs typeface="Arial" panose="020B0604020202020204" pitchFamily="34" charset="0"/>
          </a:endParaRPr>
        </a:p>
      </dsp:txBody>
      <dsp:txXfrm>
        <a:off x="601777" y="0"/>
        <a:ext cx="2282595" cy="12001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F83E51-5508-4E1C-A722-9FD929F0CECD}">
      <dsp:nvSpPr>
        <dsp:cNvPr id="0" name=""/>
        <dsp:cNvSpPr/>
      </dsp:nvSpPr>
      <dsp:spPr>
        <a:xfrm>
          <a:off x="721120" y="335"/>
          <a:ext cx="1048902" cy="1048902"/>
        </a:xfrm>
        <a:prstGeom prst="ellipse">
          <a:avLst/>
        </a:prstGeom>
        <a:solidFill>
          <a:schemeClr val="accent3">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Quarter 1</a:t>
          </a:r>
        </a:p>
        <a:p>
          <a:pPr lvl="0" algn="ctr" defTabSz="533400">
            <a:lnSpc>
              <a:spcPct val="90000"/>
            </a:lnSpc>
            <a:spcBef>
              <a:spcPct val="0"/>
            </a:spcBef>
            <a:spcAft>
              <a:spcPct val="35000"/>
            </a:spcAft>
          </a:pPr>
          <a:r>
            <a:rPr lang="en-US" sz="1200" b="1" kern="1200"/>
            <a:t>13 Outputs</a:t>
          </a:r>
        </a:p>
      </dsp:txBody>
      <dsp:txXfrm>
        <a:off x="874728" y="153943"/>
        <a:ext cx="741686" cy="741686"/>
      </dsp:txXfrm>
    </dsp:sp>
    <dsp:sp modelId="{34385B30-9C5E-47AB-90A8-EC255A31E205}">
      <dsp:nvSpPr>
        <dsp:cNvPr id="0" name=""/>
        <dsp:cNvSpPr/>
      </dsp:nvSpPr>
      <dsp:spPr>
        <a:xfrm>
          <a:off x="1855193" y="220604"/>
          <a:ext cx="608363" cy="608363"/>
        </a:xfrm>
        <a:prstGeom prst="mathPlus">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p>
      </dsp:txBody>
      <dsp:txXfrm>
        <a:off x="1935832" y="453242"/>
        <a:ext cx="447085" cy="143087"/>
      </dsp:txXfrm>
    </dsp:sp>
    <dsp:sp modelId="{51D013A9-1493-484C-B933-79059CF5C115}">
      <dsp:nvSpPr>
        <dsp:cNvPr id="0" name=""/>
        <dsp:cNvSpPr/>
      </dsp:nvSpPr>
      <dsp:spPr>
        <a:xfrm>
          <a:off x="2548727" y="335"/>
          <a:ext cx="1048902" cy="1048902"/>
        </a:xfrm>
        <a:prstGeom prst="ellipse">
          <a:avLst/>
        </a:prstGeom>
        <a:solidFill>
          <a:schemeClr val="accent3">
            <a:hueOff val="599003"/>
            <a:satOff val="-3627"/>
            <a:lumOff val="4314"/>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Quarter 2</a:t>
          </a:r>
        </a:p>
        <a:p>
          <a:pPr lvl="0" algn="ctr" defTabSz="533400">
            <a:lnSpc>
              <a:spcPct val="90000"/>
            </a:lnSpc>
            <a:spcBef>
              <a:spcPct val="0"/>
            </a:spcBef>
            <a:spcAft>
              <a:spcPct val="35000"/>
            </a:spcAft>
          </a:pPr>
          <a:r>
            <a:rPr lang="en-US" sz="1200" b="1" kern="1200"/>
            <a:t>10 Outputs</a:t>
          </a:r>
        </a:p>
      </dsp:txBody>
      <dsp:txXfrm>
        <a:off x="2702335" y="153943"/>
        <a:ext cx="741686" cy="741686"/>
      </dsp:txXfrm>
    </dsp:sp>
    <dsp:sp modelId="{6F54B99C-0AA2-41F6-8B6F-49A802C6CA50}">
      <dsp:nvSpPr>
        <dsp:cNvPr id="0" name=""/>
        <dsp:cNvSpPr/>
      </dsp:nvSpPr>
      <dsp:spPr>
        <a:xfrm>
          <a:off x="3682801" y="220604"/>
          <a:ext cx="608363" cy="608363"/>
        </a:xfrm>
        <a:prstGeom prst="mathEqual">
          <a:avLst/>
        </a:prstGeom>
        <a:solidFill>
          <a:schemeClr val="accent3">
            <a:hueOff val="1198005"/>
            <a:satOff val="-7255"/>
            <a:lumOff val="862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p>
      </dsp:txBody>
      <dsp:txXfrm>
        <a:off x="3763440" y="345927"/>
        <a:ext cx="447085" cy="357717"/>
      </dsp:txXfrm>
    </dsp:sp>
    <dsp:sp modelId="{87F0333B-7CFC-4426-93C9-353FFB1B02BD}">
      <dsp:nvSpPr>
        <dsp:cNvPr id="0" name=""/>
        <dsp:cNvSpPr/>
      </dsp:nvSpPr>
      <dsp:spPr>
        <a:xfrm>
          <a:off x="4376335" y="335"/>
          <a:ext cx="1048902" cy="1048902"/>
        </a:xfrm>
        <a:prstGeom prst="ellipse">
          <a:avLst/>
        </a:prstGeom>
        <a:solidFill>
          <a:schemeClr val="accent3">
            <a:hueOff val="1198005"/>
            <a:satOff val="-7255"/>
            <a:lumOff val="8627"/>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Mid-Year</a:t>
          </a:r>
        </a:p>
        <a:p>
          <a:pPr lvl="0" algn="ctr" defTabSz="533400">
            <a:lnSpc>
              <a:spcPct val="90000"/>
            </a:lnSpc>
            <a:spcBef>
              <a:spcPct val="0"/>
            </a:spcBef>
            <a:spcAft>
              <a:spcPct val="35000"/>
            </a:spcAft>
          </a:pPr>
          <a:r>
            <a:rPr lang="en-US" sz="1200" b="1" kern="1200"/>
            <a:t>23 Outputs</a:t>
          </a:r>
        </a:p>
      </dsp:txBody>
      <dsp:txXfrm>
        <a:off x="4529943" y="153943"/>
        <a:ext cx="741686" cy="74168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167EAC-DA54-4449-86B7-E5E2C6B1D064}">
      <dsp:nvSpPr>
        <dsp:cNvPr id="0" name=""/>
        <dsp:cNvSpPr/>
      </dsp:nvSpPr>
      <dsp:spPr>
        <a:xfrm>
          <a:off x="1908" y="5849"/>
          <a:ext cx="1861051" cy="744420"/>
        </a:xfrm>
        <a:prstGeom prst="rect">
          <a:avLst/>
        </a:prstGeom>
        <a:solidFill>
          <a:schemeClr val="accent1">
            <a:hueOff val="0"/>
            <a:satOff val="0"/>
            <a:lumOff val="0"/>
            <a:alphaOff val="0"/>
          </a:schemeClr>
        </a:solidFill>
        <a:ln w="158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ZA" sz="1000" b="1" kern="1200"/>
            <a:t>Number of economic, policy and fiscal briefs produced and presented for keeping Members abreast of current affairs </a:t>
          </a:r>
          <a:endParaRPr lang="en-US" sz="1000" b="1" kern="1200"/>
        </a:p>
      </dsp:txBody>
      <dsp:txXfrm>
        <a:off x="1908" y="5849"/>
        <a:ext cx="1861051" cy="744420"/>
      </dsp:txXfrm>
    </dsp:sp>
    <dsp:sp modelId="{2FD82290-DB5E-4F57-870A-3C5533D275FF}">
      <dsp:nvSpPr>
        <dsp:cNvPr id="0" name=""/>
        <dsp:cNvSpPr/>
      </dsp:nvSpPr>
      <dsp:spPr>
        <a:xfrm>
          <a:off x="1908" y="750270"/>
          <a:ext cx="1861051" cy="3853980"/>
        </a:xfrm>
        <a:prstGeom prst="rect">
          <a:avLst/>
        </a:prstGeom>
        <a:solidFill>
          <a:schemeClr val="accent1">
            <a:alpha val="90000"/>
            <a:tint val="40000"/>
            <a:hueOff val="0"/>
            <a:satOff val="0"/>
            <a:lumOff val="0"/>
            <a:alphaOff val="0"/>
          </a:schemeClr>
        </a:solidFill>
        <a:ln w="15875"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ZA" sz="1000" kern="1200"/>
            <a:t>Quarterly Economic Brief </a:t>
          </a:r>
          <a:endParaRPr lang="en-US" sz="1000" kern="1200"/>
        </a:p>
        <a:p>
          <a:pPr marL="57150" lvl="1" indent="-57150" algn="l" defTabSz="444500">
            <a:lnSpc>
              <a:spcPct val="90000"/>
            </a:lnSpc>
            <a:spcBef>
              <a:spcPct val="0"/>
            </a:spcBef>
            <a:spcAft>
              <a:spcPct val="15000"/>
            </a:spcAft>
            <a:buChar char="••"/>
          </a:pPr>
          <a:r>
            <a:rPr lang="en-ZA" sz="1000" kern="1200"/>
            <a:t>Policy Brief Health Conditional Grants </a:t>
          </a:r>
        </a:p>
        <a:p>
          <a:pPr marL="57150" lvl="1" indent="-57150" algn="l" defTabSz="444500">
            <a:lnSpc>
              <a:spcPct val="90000"/>
            </a:lnSpc>
            <a:spcBef>
              <a:spcPct val="0"/>
            </a:spcBef>
            <a:spcAft>
              <a:spcPct val="15000"/>
            </a:spcAft>
            <a:buChar char="••"/>
          </a:pPr>
          <a:r>
            <a:rPr lang="en-ZA" sz="1000" kern="1200"/>
            <a:t>Policy Brief: Agriculture Conditional Grants </a:t>
          </a:r>
        </a:p>
        <a:p>
          <a:pPr marL="57150" lvl="1" indent="-57150" algn="l" defTabSz="444500">
            <a:lnSpc>
              <a:spcPct val="90000"/>
            </a:lnSpc>
            <a:spcBef>
              <a:spcPct val="0"/>
            </a:spcBef>
            <a:spcAft>
              <a:spcPct val="15000"/>
            </a:spcAft>
            <a:buChar char="••"/>
          </a:pPr>
          <a:r>
            <a:rPr lang="en-ZA" sz="1000" kern="1200"/>
            <a:t>Policy Brief: Human Settlements Conditional Grants </a:t>
          </a:r>
        </a:p>
        <a:p>
          <a:pPr marL="57150" lvl="1" indent="-57150" algn="l" defTabSz="444500">
            <a:lnSpc>
              <a:spcPct val="90000"/>
            </a:lnSpc>
            <a:spcBef>
              <a:spcPct val="0"/>
            </a:spcBef>
            <a:spcAft>
              <a:spcPct val="15000"/>
            </a:spcAft>
            <a:buChar char="••"/>
          </a:pPr>
          <a:r>
            <a:rPr lang="en-ZA" sz="1000" kern="1200"/>
            <a:t>Policy Brief: Persistence of Gender Inequality in South Africa </a:t>
          </a:r>
        </a:p>
        <a:p>
          <a:pPr marL="57150" lvl="1" indent="-57150" algn="l" defTabSz="444500">
            <a:lnSpc>
              <a:spcPct val="90000"/>
            </a:lnSpc>
            <a:spcBef>
              <a:spcPct val="0"/>
            </a:spcBef>
            <a:spcAft>
              <a:spcPct val="15000"/>
            </a:spcAft>
            <a:buChar char="••"/>
          </a:pPr>
          <a:r>
            <a:rPr lang="en-ZA" sz="1000" kern="1200"/>
            <a:t>Tax Brief: Digital Economy and Taxation Policy Considerations- June 2020 (report) </a:t>
          </a:r>
        </a:p>
        <a:p>
          <a:pPr marL="57150" lvl="1" indent="-57150" algn="l" defTabSz="444500">
            <a:lnSpc>
              <a:spcPct val="90000"/>
            </a:lnSpc>
            <a:spcBef>
              <a:spcPct val="0"/>
            </a:spcBef>
            <a:spcAft>
              <a:spcPct val="15000"/>
            </a:spcAft>
            <a:buChar char="••"/>
          </a:pPr>
          <a:r>
            <a:rPr lang="en-ZA" sz="1000" kern="1200"/>
            <a:t>Tax Brief: Digital Economy and Taxation Policy Considerations June 2020 (presentation) </a:t>
          </a:r>
        </a:p>
        <a:p>
          <a:pPr marL="57150" lvl="1" indent="-57150" algn="l" defTabSz="444500">
            <a:lnSpc>
              <a:spcPct val="90000"/>
            </a:lnSpc>
            <a:spcBef>
              <a:spcPct val="0"/>
            </a:spcBef>
            <a:spcAft>
              <a:spcPct val="15000"/>
            </a:spcAft>
            <a:buChar char="••"/>
          </a:pPr>
          <a:r>
            <a:rPr lang="en-ZA" sz="1000" kern="1200"/>
            <a:t>Policy Brief: Cooperative Governance and National Treasury Conditional Grants </a:t>
          </a:r>
        </a:p>
        <a:p>
          <a:pPr marL="57150" lvl="1" indent="-57150" algn="l" defTabSz="444500">
            <a:lnSpc>
              <a:spcPct val="90000"/>
            </a:lnSpc>
            <a:spcBef>
              <a:spcPct val="0"/>
            </a:spcBef>
            <a:spcAft>
              <a:spcPct val="15000"/>
            </a:spcAft>
            <a:buChar char="••"/>
          </a:pPr>
          <a:r>
            <a:rPr lang="en-ZA" sz="1000" kern="1200"/>
            <a:t>Quarterly Economic Brief no 22 July 2020 21/2/3 </a:t>
          </a:r>
        </a:p>
        <a:p>
          <a:pPr marL="57150" lvl="1" indent="-57150" algn="l" defTabSz="444500">
            <a:lnSpc>
              <a:spcPct val="90000"/>
            </a:lnSpc>
            <a:spcBef>
              <a:spcPct val="0"/>
            </a:spcBef>
            <a:spcAft>
              <a:spcPct val="15000"/>
            </a:spcAft>
            <a:buChar char="••"/>
          </a:pPr>
          <a:r>
            <a:rPr lang="en-ZA" sz="1000" kern="1200"/>
            <a:t>Policy Brief: Draft Procurement Bill 21/2/3 </a:t>
          </a:r>
        </a:p>
        <a:p>
          <a:pPr marL="57150" lvl="1" indent="-57150" algn="l" defTabSz="444500">
            <a:lnSpc>
              <a:spcPct val="90000"/>
            </a:lnSpc>
            <a:spcBef>
              <a:spcPct val="0"/>
            </a:spcBef>
            <a:spcAft>
              <a:spcPct val="15000"/>
            </a:spcAft>
            <a:buChar char="••"/>
          </a:pPr>
          <a:r>
            <a:rPr lang="en-ZA" sz="1000" kern="1200"/>
            <a:t>Quarterly Economic Brief 21/2/3</a:t>
          </a:r>
        </a:p>
      </dsp:txBody>
      <dsp:txXfrm>
        <a:off x="1908" y="750270"/>
        <a:ext cx="1861051" cy="3853980"/>
      </dsp:txXfrm>
    </dsp:sp>
    <dsp:sp modelId="{AAD3719A-10D3-46CE-9004-2915E22D27EE}">
      <dsp:nvSpPr>
        <dsp:cNvPr id="0" name=""/>
        <dsp:cNvSpPr/>
      </dsp:nvSpPr>
      <dsp:spPr>
        <a:xfrm>
          <a:off x="2123506" y="5849"/>
          <a:ext cx="1861051" cy="744420"/>
        </a:xfrm>
        <a:prstGeom prst="rect">
          <a:avLst/>
        </a:prstGeom>
        <a:solidFill>
          <a:schemeClr val="accent1">
            <a:hueOff val="0"/>
            <a:satOff val="0"/>
            <a:lumOff val="0"/>
            <a:alphaOff val="0"/>
          </a:schemeClr>
        </a:solidFill>
        <a:ln w="158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ZA" sz="1000" b="1" kern="1200"/>
            <a:t>Number of Budget, MTBPS and Adjusted budget analysis reports produced and presented to Committees </a:t>
          </a:r>
          <a:endParaRPr lang="en-US" sz="1000" b="1" kern="1200"/>
        </a:p>
      </dsp:txBody>
      <dsp:txXfrm>
        <a:off x="2123506" y="5849"/>
        <a:ext cx="1861051" cy="744420"/>
      </dsp:txXfrm>
    </dsp:sp>
    <dsp:sp modelId="{DA5D97ED-7C9D-4D1E-A2ED-5EF0ADC4093D}">
      <dsp:nvSpPr>
        <dsp:cNvPr id="0" name=""/>
        <dsp:cNvSpPr/>
      </dsp:nvSpPr>
      <dsp:spPr>
        <a:xfrm>
          <a:off x="2123506" y="750270"/>
          <a:ext cx="1861051" cy="3853980"/>
        </a:xfrm>
        <a:prstGeom prst="rect">
          <a:avLst/>
        </a:prstGeom>
        <a:solidFill>
          <a:schemeClr val="accent1">
            <a:alpha val="90000"/>
            <a:tint val="40000"/>
            <a:hueOff val="0"/>
            <a:satOff val="0"/>
            <a:lumOff val="0"/>
            <a:alphaOff val="0"/>
          </a:schemeClr>
        </a:solidFill>
        <a:ln w="15875"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ZA" sz="1000" kern="1200"/>
            <a:t>Brief on DORA for Select Committee on Appropriations (Presentation) </a:t>
          </a:r>
          <a:endParaRPr lang="en-US" sz="1000" kern="1200"/>
        </a:p>
        <a:p>
          <a:pPr marL="57150" lvl="1" indent="-57150" algn="l" defTabSz="444500">
            <a:lnSpc>
              <a:spcPct val="90000"/>
            </a:lnSpc>
            <a:spcBef>
              <a:spcPct val="0"/>
            </a:spcBef>
            <a:spcAft>
              <a:spcPct val="15000"/>
            </a:spcAft>
            <a:buChar char="••"/>
          </a:pPr>
          <a:r>
            <a:rPr lang="en-ZA" sz="1000" kern="1200"/>
            <a:t>Brief on DORA for Select Committee on Appropriations (Report) </a:t>
          </a:r>
        </a:p>
        <a:p>
          <a:pPr marL="57150" lvl="1" indent="-57150" algn="l" defTabSz="444500">
            <a:lnSpc>
              <a:spcPct val="90000"/>
            </a:lnSpc>
            <a:spcBef>
              <a:spcPct val="0"/>
            </a:spcBef>
            <a:spcAft>
              <a:spcPct val="15000"/>
            </a:spcAft>
            <a:buChar char="••"/>
          </a:pPr>
          <a:r>
            <a:rPr lang="en-ZA" sz="1000" kern="1200"/>
            <a:t>Brief on 2020 Appropriation Bill - Standing Committee on Appropriations </a:t>
          </a:r>
        </a:p>
        <a:p>
          <a:pPr marL="57150" lvl="1" indent="-57150" algn="l" defTabSz="444500">
            <a:lnSpc>
              <a:spcPct val="90000"/>
            </a:lnSpc>
            <a:spcBef>
              <a:spcPct val="0"/>
            </a:spcBef>
            <a:spcAft>
              <a:spcPct val="15000"/>
            </a:spcAft>
            <a:buChar char="••"/>
          </a:pPr>
          <a:r>
            <a:rPr lang="en-ZA" sz="1000" kern="1200"/>
            <a:t>Briefing on 2020 Appropriations Bill Select Committee on Appropriations </a:t>
          </a:r>
        </a:p>
        <a:p>
          <a:pPr marL="57150" lvl="1" indent="-57150" algn="l" defTabSz="444500">
            <a:lnSpc>
              <a:spcPct val="90000"/>
            </a:lnSpc>
            <a:spcBef>
              <a:spcPct val="0"/>
            </a:spcBef>
            <a:spcAft>
              <a:spcPct val="15000"/>
            </a:spcAft>
            <a:buChar char="••"/>
          </a:pPr>
          <a:r>
            <a:rPr lang="en-ZA" sz="1000" kern="1200"/>
            <a:t>Briefing on 2020 Revised Fiscal Framework </a:t>
          </a:r>
        </a:p>
        <a:p>
          <a:pPr marL="57150" lvl="1" indent="-57150" algn="l" defTabSz="444500">
            <a:lnSpc>
              <a:spcPct val="90000"/>
            </a:lnSpc>
            <a:spcBef>
              <a:spcPct val="0"/>
            </a:spcBef>
            <a:spcAft>
              <a:spcPct val="15000"/>
            </a:spcAft>
            <a:buChar char="••"/>
          </a:pPr>
          <a:r>
            <a:rPr lang="en-ZA" sz="1000" kern="1200"/>
            <a:t>PBO Briefing on 2020 Revised Division of Revenue </a:t>
          </a:r>
        </a:p>
        <a:p>
          <a:pPr marL="57150" lvl="1" indent="-57150" algn="l" defTabSz="444500">
            <a:lnSpc>
              <a:spcPct val="90000"/>
            </a:lnSpc>
            <a:spcBef>
              <a:spcPct val="0"/>
            </a:spcBef>
            <a:spcAft>
              <a:spcPct val="15000"/>
            </a:spcAft>
            <a:buChar char="••"/>
          </a:pPr>
          <a:r>
            <a:rPr lang="en-ZA" sz="1000" kern="1200"/>
            <a:t>Briefing on 2020 Adjustments Appropriations Bill</a:t>
          </a:r>
        </a:p>
      </dsp:txBody>
      <dsp:txXfrm>
        <a:off x="2123506" y="750270"/>
        <a:ext cx="1861051" cy="3853980"/>
      </dsp:txXfrm>
    </dsp:sp>
    <dsp:sp modelId="{12460E4F-08C6-4963-B6F7-BDAA6B1CE00F}">
      <dsp:nvSpPr>
        <dsp:cNvPr id="0" name=""/>
        <dsp:cNvSpPr/>
      </dsp:nvSpPr>
      <dsp:spPr>
        <a:xfrm>
          <a:off x="4245105" y="5849"/>
          <a:ext cx="1861051" cy="744420"/>
        </a:xfrm>
        <a:prstGeom prst="rect">
          <a:avLst/>
        </a:prstGeom>
        <a:solidFill>
          <a:schemeClr val="accent1">
            <a:hueOff val="0"/>
            <a:satOff val="0"/>
            <a:lumOff val="0"/>
            <a:alphaOff val="0"/>
          </a:schemeClr>
        </a:solidFill>
        <a:ln w="158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ZA" sz="1000" b="1" kern="1200"/>
            <a:t>Number of special reports </a:t>
          </a:r>
          <a:endParaRPr lang="en-US" sz="1000" b="1" kern="1200"/>
        </a:p>
      </dsp:txBody>
      <dsp:txXfrm>
        <a:off x="4245105" y="5849"/>
        <a:ext cx="1861051" cy="744420"/>
      </dsp:txXfrm>
    </dsp:sp>
    <dsp:sp modelId="{91DFC505-2351-4656-AE79-9891D90EC5C1}">
      <dsp:nvSpPr>
        <dsp:cNvPr id="0" name=""/>
        <dsp:cNvSpPr/>
      </dsp:nvSpPr>
      <dsp:spPr>
        <a:xfrm>
          <a:off x="4245105" y="750270"/>
          <a:ext cx="1861051" cy="3853980"/>
        </a:xfrm>
        <a:prstGeom prst="rect">
          <a:avLst/>
        </a:prstGeom>
        <a:solidFill>
          <a:schemeClr val="accent1">
            <a:alpha val="90000"/>
            <a:tint val="40000"/>
            <a:hueOff val="0"/>
            <a:satOff val="0"/>
            <a:lumOff val="0"/>
            <a:alphaOff val="0"/>
          </a:schemeClr>
        </a:solidFill>
        <a:ln w="15875"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ZA" sz="1000" kern="1200"/>
            <a:t>Information for Members of Parliament participating in the Webinar: Covid19 response - starting the global economy in a sustainable and inclusive manner </a:t>
          </a:r>
          <a:endParaRPr lang="en-US" sz="1000" kern="1200"/>
        </a:p>
        <a:p>
          <a:pPr marL="57150" lvl="1" indent="-57150" algn="l" defTabSz="444500">
            <a:lnSpc>
              <a:spcPct val="90000"/>
            </a:lnSpc>
            <a:spcBef>
              <a:spcPct val="0"/>
            </a:spcBef>
            <a:spcAft>
              <a:spcPct val="15000"/>
            </a:spcAft>
            <a:buChar char="••"/>
          </a:pPr>
          <a:r>
            <a:rPr lang="en-ZA" sz="1000" kern="1200"/>
            <a:t>Brief on Zero-Base Budgeting - Standing and Select Committees on Appropriations </a:t>
          </a:r>
        </a:p>
        <a:p>
          <a:pPr marL="57150" lvl="1" indent="-57150" algn="l" defTabSz="444500">
            <a:lnSpc>
              <a:spcPct val="90000"/>
            </a:lnSpc>
            <a:spcBef>
              <a:spcPct val="0"/>
            </a:spcBef>
            <a:spcAft>
              <a:spcPct val="15000"/>
            </a:spcAft>
            <a:buChar char="••"/>
          </a:pPr>
          <a:r>
            <a:rPr lang="en-ZA" sz="1000" kern="1200"/>
            <a:t>Brief on African Speaker’s Debt Cancellation Campaign Initiative – Covid19 Pandemic 21/2/4 </a:t>
          </a:r>
        </a:p>
        <a:p>
          <a:pPr marL="57150" lvl="1" indent="-57150" algn="l" defTabSz="444500">
            <a:lnSpc>
              <a:spcPct val="90000"/>
            </a:lnSpc>
            <a:spcBef>
              <a:spcPct val="0"/>
            </a:spcBef>
            <a:spcAft>
              <a:spcPct val="15000"/>
            </a:spcAft>
            <a:buChar char="••"/>
          </a:pPr>
          <a:r>
            <a:rPr lang="en-ZA" sz="1000" kern="1200"/>
            <a:t>Role of Parliament in the Budget Process: Brief to the Chairperson of the NCOP </a:t>
          </a:r>
        </a:p>
        <a:p>
          <a:pPr marL="57150" lvl="1" indent="-57150" algn="l" defTabSz="444500">
            <a:lnSpc>
              <a:spcPct val="90000"/>
            </a:lnSpc>
            <a:spcBef>
              <a:spcPct val="0"/>
            </a:spcBef>
            <a:spcAft>
              <a:spcPct val="15000"/>
            </a:spcAft>
            <a:buChar char="••"/>
          </a:pPr>
          <a:r>
            <a:rPr lang="en-ZA" sz="1000" kern="1200"/>
            <a:t>PBO Briefing on Zero-Based Budgeting: Presentation to Appropriations Committees: 25th August 2020 21/2/6</a:t>
          </a:r>
        </a:p>
      </dsp:txBody>
      <dsp:txXfrm>
        <a:off x="4245105" y="750270"/>
        <a:ext cx="1861051" cy="385398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1E04E2-158D-4EEC-9F84-BF40963F026D}">
      <dsp:nvSpPr>
        <dsp:cNvPr id="0" name=""/>
        <dsp:cNvSpPr/>
      </dsp:nvSpPr>
      <dsp:spPr>
        <a:xfrm rot="5400000">
          <a:off x="1480108" y="373397"/>
          <a:ext cx="644312" cy="1072121"/>
        </a:xfrm>
        <a:prstGeom prst="corner">
          <a:avLst>
            <a:gd name="adj1" fmla="val 16120"/>
            <a:gd name="adj2" fmla="val 16110"/>
          </a:avLst>
        </a:prstGeom>
        <a:solidFill>
          <a:schemeClr val="accent4">
            <a:hueOff val="0"/>
            <a:satOff val="0"/>
            <a:lumOff val="0"/>
            <a:alphaOff val="0"/>
          </a:schemeClr>
        </a:solidFill>
        <a:ln w="15875"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9F0A84-664E-450E-A855-0A03E9383FD5}">
      <dsp:nvSpPr>
        <dsp:cNvPr id="0" name=""/>
        <dsp:cNvSpPr/>
      </dsp:nvSpPr>
      <dsp:spPr>
        <a:xfrm>
          <a:off x="1372557" y="693730"/>
          <a:ext cx="967917" cy="8484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ts val="0"/>
            </a:spcAft>
          </a:pPr>
          <a:r>
            <a:rPr lang="en-US" sz="1400" kern="1200">
              <a:latin typeface="+mn-lt"/>
              <a:cs typeface="Arial" panose="020B0604020202020204" pitchFamily="34" charset="0"/>
            </a:rPr>
            <a:t>31</a:t>
          </a:r>
        </a:p>
        <a:p>
          <a:pPr lvl="0" algn="l" defTabSz="622300">
            <a:lnSpc>
              <a:spcPct val="90000"/>
            </a:lnSpc>
            <a:spcBef>
              <a:spcPct val="0"/>
            </a:spcBef>
            <a:spcAft>
              <a:spcPts val="0"/>
            </a:spcAft>
          </a:pPr>
          <a:r>
            <a:rPr lang="en-US" sz="1100" kern="1200">
              <a:latin typeface="+mn-lt"/>
              <a:cs typeface="Arial" panose="020B0604020202020204" pitchFamily="34" charset="0"/>
            </a:rPr>
            <a:t>Memoranda on filing of ISDs related vacancies  </a:t>
          </a:r>
        </a:p>
      </dsp:txBody>
      <dsp:txXfrm>
        <a:off x="1372557" y="693730"/>
        <a:ext cx="967917" cy="848436"/>
      </dsp:txXfrm>
    </dsp:sp>
    <dsp:sp modelId="{4167F381-2706-470A-BCDB-AAAD96E28E60}">
      <dsp:nvSpPr>
        <dsp:cNvPr id="0" name=""/>
        <dsp:cNvSpPr/>
      </dsp:nvSpPr>
      <dsp:spPr>
        <a:xfrm>
          <a:off x="2157848" y="294466"/>
          <a:ext cx="182625" cy="182625"/>
        </a:xfrm>
        <a:prstGeom prst="triangle">
          <a:avLst>
            <a:gd name="adj" fmla="val 100000"/>
          </a:avLst>
        </a:prstGeom>
        <a:solidFill>
          <a:schemeClr val="accent4">
            <a:hueOff val="235830"/>
            <a:satOff val="1752"/>
            <a:lumOff val="3921"/>
            <a:alphaOff val="0"/>
          </a:schemeClr>
        </a:solidFill>
        <a:ln w="15875" cap="flat" cmpd="sng" algn="ctr">
          <a:solidFill>
            <a:schemeClr val="accent4">
              <a:hueOff val="235830"/>
              <a:satOff val="1752"/>
              <a:lumOff val="3921"/>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63620E-5C59-4570-B517-5CB541B9220A}">
      <dsp:nvSpPr>
        <dsp:cNvPr id="0" name=""/>
        <dsp:cNvSpPr/>
      </dsp:nvSpPr>
      <dsp:spPr>
        <a:xfrm rot="5400000">
          <a:off x="2665028" y="80187"/>
          <a:ext cx="644312" cy="1072121"/>
        </a:xfrm>
        <a:prstGeom prst="corner">
          <a:avLst>
            <a:gd name="adj1" fmla="val 16120"/>
            <a:gd name="adj2" fmla="val 16110"/>
          </a:avLst>
        </a:prstGeom>
        <a:solidFill>
          <a:schemeClr val="accent4">
            <a:hueOff val="471660"/>
            <a:satOff val="3503"/>
            <a:lumOff val="7843"/>
            <a:alphaOff val="0"/>
          </a:schemeClr>
        </a:solidFill>
        <a:ln w="15875" cap="flat" cmpd="sng" algn="ctr">
          <a:solidFill>
            <a:schemeClr val="accent4">
              <a:hueOff val="471660"/>
              <a:satOff val="3503"/>
              <a:lumOff val="784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3D9D12-8820-4649-BBBF-C4D93A8CB48B}">
      <dsp:nvSpPr>
        <dsp:cNvPr id="0" name=""/>
        <dsp:cNvSpPr/>
      </dsp:nvSpPr>
      <dsp:spPr>
        <a:xfrm>
          <a:off x="2557477" y="400521"/>
          <a:ext cx="967917" cy="8484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0" kern="1200">
              <a:latin typeface="+mn-lt"/>
              <a:cs typeface="Arial" panose="020B0604020202020204" pitchFamily="34" charset="0"/>
            </a:rPr>
            <a:t>7</a:t>
          </a:r>
          <a:r>
            <a:rPr lang="en-US" sz="1400" b="1" kern="1200">
              <a:latin typeface="+mn-lt"/>
              <a:cs typeface="Arial" panose="020B0604020202020204" pitchFamily="34" charset="0"/>
            </a:rPr>
            <a:t> </a:t>
          </a:r>
        </a:p>
        <a:p>
          <a:pPr lvl="0" algn="l" defTabSz="622300">
            <a:lnSpc>
              <a:spcPct val="90000"/>
            </a:lnSpc>
            <a:spcBef>
              <a:spcPct val="0"/>
            </a:spcBef>
            <a:spcAft>
              <a:spcPct val="35000"/>
            </a:spcAft>
          </a:pPr>
          <a:r>
            <a:rPr lang="en-US" sz="1100" kern="1200">
              <a:latin typeface="+mn-lt"/>
              <a:cs typeface="Arial" panose="020B0604020202020204" pitchFamily="34" charset="0"/>
            </a:rPr>
            <a:t>Memoranda on governance matters  </a:t>
          </a:r>
        </a:p>
      </dsp:txBody>
      <dsp:txXfrm>
        <a:off x="2557477" y="400521"/>
        <a:ext cx="967917" cy="848436"/>
      </dsp:txXfrm>
    </dsp:sp>
    <dsp:sp modelId="{4CF840DD-82ED-4A2D-BDDA-0136556345CB}">
      <dsp:nvSpPr>
        <dsp:cNvPr id="0" name=""/>
        <dsp:cNvSpPr/>
      </dsp:nvSpPr>
      <dsp:spPr>
        <a:xfrm>
          <a:off x="3342768" y="1257"/>
          <a:ext cx="182625" cy="182625"/>
        </a:xfrm>
        <a:prstGeom prst="triangle">
          <a:avLst>
            <a:gd name="adj" fmla="val 100000"/>
          </a:avLst>
        </a:prstGeom>
        <a:solidFill>
          <a:schemeClr val="accent4">
            <a:hueOff val="707491"/>
            <a:satOff val="5255"/>
            <a:lumOff val="11764"/>
            <a:alphaOff val="0"/>
          </a:schemeClr>
        </a:solidFill>
        <a:ln w="15875" cap="flat" cmpd="sng" algn="ctr">
          <a:solidFill>
            <a:schemeClr val="accent4">
              <a:hueOff val="707491"/>
              <a:satOff val="5255"/>
              <a:lumOff val="11764"/>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B458E7-01BF-40ED-A53D-FC6DFC7A237E}">
      <dsp:nvSpPr>
        <dsp:cNvPr id="0" name=""/>
        <dsp:cNvSpPr/>
      </dsp:nvSpPr>
      <dsp:spPr>
        <a:xfrm rot="5400000">
          <a:off x="3849948" y="-213021"/>
          <a:ext cx="644312" cy="1072121"/>
        </a:xfrm>
        <a:prstGeom prst="corner">
          <a:avLst>
            <a:gd name="adj1" fmla="val 16120"/>
            <a:gd name="adj2" fmla="val 16110"/>
          </a:avLst>
        </a:prstGeom>
        <a:solidFill>
          <a:schemeClr val="accent4">
            <a:hueOff val="943321"/>
            <a:satOff val="7007"/>
            <a:lumOff val="15686"/>
            <a:alphaOff val="0"/>
          </a:schemeClr>
        </a:solidFill>
        <a:ln w="15875" cap="flat" cmpd="sng" algn="ctr">
          <a:solidFill>
            <a:schemeClr val="accent4">
              <a:hueOff val="943321"/>
              <a:satOff val="7007"/>
              <a:lumOff val="15686"/>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067583-152A-4A29-8391-46950A360EF0}">
      <dsp:nvSpPr>
        <dsp:cNvPr id="0" name=""/>
        <dsp:cNvSpPr/>
      </dsp:nvSpPr>
      <dsp:spPr>
        <a:xfrm>
          <a:off x="3742397" y="107311"/>
          <a:ext cx="967917" cy="8484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kern="1200">
              <a:latin typeface="+mn-lt"/>
              <a:cs typeface="Arial" panose="020B0604020202020204" pitchFamily="34" charset="0"/>
            </a:rPr>
            <a:t>1 </a:t>
          </a:r>
        </a:p>
        <a:p>
          <a:pPr lvl="0" algn="l" defTabSz="622300">
            <a:lnSpc>
              <a:spcPct val="90000"/>
            </a:lnSpc>
            <a:spcBef>
              <a:spcPct val="0"/>
            </a:spcBef>
            <a:spcAft>
              <a:spcPct val="35000"/>
            </a:spcAft>
          </a:pPr>
          <a:r>
            <a:rPr lang="en-US" sz="1100" kern="1200">
              <a:latin typeface="+mn-lt"/>
              <a:cs typeface="Arial" panose="020B0604020202020204" pitchFamily="34" charset="0"/>
            </a:rPr>
            <a:t>Advice on substantive reports prepared </a:t>
          </a:r>
        </a:p>
      </dsp:txBody>
      <dsp:txXfrm>
        <a:off x="3742397" y="107311"/>
        <a:ext cx="967917" cy="84843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553EBF-9107-481D-A545-57902E98B654}">
      <dsp:nvSpPr>
        <dsp:cNvPr id="0" name=""/>
        <dsp:cNvSpPr/>
      </dsp:nvSpPr>
      <dsp:spPr>
        <a:xfrm>
          <a:off x="1739" y="0"/>
          <a:ext cx="3558871" cy="1200150"/>
        </a:xfrm>
        <a:prstGeom prst="chevron">
          <a:avLst/>
        </a:prstGeom>
        <a:solidFill>
          <a:schemeClr val="lt1">
            <a:hueOff val="0"/>
            <a:satOff val="0"/>
            <a:lumOff val="0"/>
            <a:alphaOff val="0"/>
          </a:schemeClr>
        </a:solidFill>
        <a:ln w="15875"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020" tIns="53340" rIns="53340" bIns="53340" numCol="1" spcCol="1270" anchor="ctr" anchorCtr="0">
          <a:noAutofit/>
        </a:bodyPr>
        <a:lstStyle/>
        <a:p>
          <a:pPr lvl="0" algn="r" defTabSz="1778000">
            <a:lnSpc>
              <a:spcPct val="90000"/>
            </a:lnSpc>
            <a:spcBef>
              <a:spcPct val="0"/>
            </a:spcBef>
            <a:spcAft>
              <a:spcPct val="35000"/>
            </a:spcAft>
          </a:pPr>
          <a:r>
            <a:rPr lang="en-ZA" sz="4000" b="1" kern="1200">
              <a:solidFill>
                <a:schemeClr val="tx2">
                  <a:lumMod val="75000"/>
                </a:schemeClr>
              </a:solidFill>
              <a:latin typeface="Arial" panose="020B0604020202020204" pitchFamily="34" charset="0"/>
              <a:cs typeface="Arial" panose="020B0604020202020204" pitchFamily="34" charset="0"/>
            </a:rPr>
            <a:t>PART D</a:t>
          </a:r>
          <a:r>
            <a:rPr lang="en-ZA" sz="3600" b="1" kern="1200">
              <a:solidFill>
                <a:schemeClr val="tx2">
                  <a:lumMod val="75000"/>
                </a:schemeClr>
              </a:solidFill>
              <a:latin typeface="Arial" panose="020B0604020202020204" pitchFamily="34" charset="0"/>
              <a:cs typeface="Arial" panose="020B0604020202020204" pitchFamily="34" charset="0"/>
            </a:rPr>
            <a:t>: </a:t>
          </a:r>
          <a:r>
            <a:rPr lang="en-ZA" sz="1800" b="1" kern="1200">
              <a:solidFill>
                <a:schemeClr val="tx2">
                  <a:lumMod val="75000"/>
                </a:schemeClr>
              </a:solidFill>
              <a:latin typeface="Arial" panose="020B0604020202020204" pitchFamily="34" charset="0"/>
              <a:cs typeface="Arial" panose="020B0604020202020204" pitchFamily="34" charset="0"/>
            </a:rPr>
            <a:t>Financial Report</a:t>
          </a:r>
          <a:endParaRPr lang="en-US" sz="1800" kern="1200">
            <a:solidFill>
              <a:schemeClr val="tx2">
                <a:lumMod val="75000"/>
              </a:schemeClr>
            </a:solidFill>
            <a:latin typeface="Arial" panose="020B0604020202020204" pitchFamily="34" charset="0"/>
            <a:cs typeface="Arial" panose="020B0604020202020204" pitchFamily="34" charset="0"/>
          </a:endParaRPr>
        </a:p>
      </dsp:txBody>
      <dsp:txXfrm>
        <a:off x="601814" y="0"/>
        <a:ext cx="2358721" cy="120015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553EBF-9107-481D-A545-57902E98B654}">
      <dsp:nvSpPr>
        <dsp:cNvPr id="0" name=""/>
        <dsp:cNvSpPr/>
      </dsp:nvSpPr>
      <dsp:spPr>
        <a:xfrm>
          <a:off x="1739" y="0"/>
          <a:ext cx="3558871" cy="1200150"/>
        </a:xfrm>
        <a:prstGeom prst="chevron">
          <a:avLst/>
        </a:prstGeom>
        <a:solidFill>
          <a:schemeClr val="lt1">
            <a:hueOff val="0"/>
            <a:satOff val="0"/>
            <a:lumOff val="0"/>
            <a:alphaOff val="0"/>
          </a:schemeClr>
        </a:solidFill>
        <a:ln w="15875"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020" tIns="53340" rIns="53340" bIns="53340" numCol="1" spcCol="1270" anchor="ctr" anchorCtr="0">
          <a:noAutofit/>
        </a:bodyPr>
        <a:lstStyle/>
        <a:p>
          <a:pPr lvl="0" algn="r" defTabSz="1778000">
            <a:lnSpc>
              <a:spcPct val="90000"/>
            </a:lnSpc>
            <a:spcBef>
              <a:spcPct val="0"/>
            </a:spcBef>
            <a:spcAft>
              <a:spcPct val="35000"/>
            </a:spcAft>
          </a:pPr>
          <a:r>
            <a:rPr lang="en-ZA" sz="4000" b="1" kern="1200">
              <a:solidFill>
                <a:schemeClr val="tx2">
                  <a:lumMod val="75000"/>
                </a:schemeClr>
              </a:solidFill>
              <a:latin typeface="Arial" panose="020B0604020202020204" pitchFamily="34" charset="0"/>
              <a:cs typeface="Arial" panose="020B0604020202020204" pitchFamily="34" charset="0"/>
            </a:rPr>
            <a:t>PART E</a:t>
          </a:r>
          <a:r>
            <a:rPr lang="en-ZA" sz="3600" b="1" kern="1200">
              <a:solidFill>
                <a:schemeClr val="tx2">
                  <a:lumMod val="75000"/>
                </a:schemeClr>
              </a:solidFill>
              <a:latin typeface="Arial" panose="020B0604020202020204" pitchFamily="34" charset="0"/>
              <a:cs typeface="Arial" panose="020B0604020202020204" pitchFamily="34" charset="0"/>
            </a:rPr>
            <a:t>: </a:t>
          </a:r>
          <a:r>
            <a:rPr lang="en-ZA" sz="1800" b="1" kern="1200">
              <a:solidFill>
                <a:schemeClr val="tx2">
                  <a:lumMod val="75000"/>
                </a:schemeClr>
              </a:solidFill>
              <a:latin typeface="Arial" panose="020B0604020202020204" pitchFamily="34" charset="0"/>
              <a:cs typeface="Arial" panose="020B0604020202020204" pitchFamily="34" charset="0"/>
            </a:rPr>
            <a:t>Governance Report</a:t>
          </a:r>
          <a:endParaRPr lang="en-US" sz="1800" kern="1200">
            <a:solidFill>
              <a:schemeClr val="tx2">
                <a:lumMod val="75000"/>
              </a:schemeClr>
            </a:solidFill>
            <a:latin typeface="Arial" panose="020B0604020202020204" pitchFamily="34" charset="0"/>
            <a:cs typeface="Arial" panose="020B0604020202020204" pitchFamily="34" charset="0"/>
          </a:endParaRPr>
        </a:p>
      </dsp:txBody>
      <dsp:txXfrm>
        <a:off x="601814" y="0"/>
        <a:ext cx="2358721" cy="120015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553EBF-9107-481D-A545-57902E98B654}">
      <dsp:nvSpPr>
        <dsp:cNvPr id="0" name=""/>
        <dsp:cNvSpPr/>
      </dsp:nvSpPr>
      <dsp:spPr>
        <a:xfrm>
          <a:off x="1702" y="0"/>
          <a:ext cx="3482745" cy="1200150"/>
        </a:xfrm>
        <a:prstGeom prst="chevron">
          <a:avLst/>
        </a:prstGeom>
        <a:solidFill>
          <a:schemeClr val="lt1">
            <a:hueOff val="0"/>
            <a:satOff val="0"/>
            <a:lumOff val="0"/>
            <a:alphaOff val="0"/>
          </a:schemeClr>
        </a:solidFill>
        <a:ln w="15875"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020" tIns="53340" rIns="53340" bIns="53340" numCol="1" spcCol="1270" anchor="ctr" anchorCtr="0">
          <a:noAutofit/>
        </a:bodyPr>
        <a:lstStyle/>
        <a:p>
          <a:pPr lvl="0" algn="r" defTabSz="1778000">
            <a:lnSpc>
              <a:spcPct val="90000"/>
            </a:lnSpc>
            <a:spcBef>
              <a:spcPct val="0"/>
            </a:spcBef>
            <a:spcAft>
              <a:spcPct val="35000"/>
            </a:spcAft>
          </a:pPr>
          <a:r>
            <a:rPr lang="en-ZA" sz="4000" b="1" kern="1200">
              <a:solidFill>
                <a:schemeClr val="tx2">
                  <a:lumMod val="75000"/>
                </a:schemeClr>
              </a:solidFill>
              <a:latin typeface="Arial" panose="020B0604020202020204" pitchFamily="34" charset="0"/>
              <a:cs typeface="Arial" panose="020B0604020202020204" pitchFamily="34" charset="0"/>
            </a:rPr>
            <a:t>PART F</a:t>
          </a:r>
          <a:r>
            <a:rPr lang="en-ZA" sz="3600" b="1" kern="1200">
              <a:solidFill>
                <a:schemeClr val="tx2">
                  <a:lumMod val="75000"/>
                </a:schemeClr>
              </a:solidFill>
              <a:latin typeface="Arial" panose="020B0604020202020204" pitchFamily="34" charset="0"/>
              <a:cs typeface="Arial" panose="020B0604020202020204" pitchFamily="34" charset="0"/>
            </a:rPr>
            <a:t>: </a:t>
          </a:r>
          <a:r>
            <a:rPr lang="en-ZA" sz="1800" b="1" kern="1200">
              <a:solidFill>
                <a:schemeClr val="tx2">
                  <a:lumMod val="75000"/>
                </a:schemeClr>
              </a:solidFill>
              <a:latin typeface="Arial" panose="020B0604020202020204" pitchFamily="34" charset="0"/>
              <a:cs typeface="Arial" panose="020B0604020202020204" pitchFamily="34" charset="0"/>
            </a:rPr>
            <a:t>Conclusion</a:t>
          </a:r>
          <a:endParaRPr lang="en-US" sz="1800" kern="1200">
            <a:solidFill>
              <a:schemeClr val="tx2">
                <a:lumMod val="75000"/>
              </a:schemeClr>
            </a:solidFill>
            <a:latin typeface="Arial" panose="020B0604020202020204" pitchFamily="34" charset="0"/>
            <a:cs typeface="Arial" panose="020B0604020202020204" pitchFamily="34" charset="0"/>
          </a:endParaRPr>
        </a:p>
      </dsp:txBody>
      <dsp:txXfrm>
        <a:off x="601777" y="0"/>
        <a:ext cx="2282595" cy="120015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0.36165</cdr:x>
      <cdr:y>0.47881</cdr:y>
    </cdr:from>
    <cdr:to>
      <cdr:x>0.62182</cdr:x>
      <cdr:y>0.68306</cdr:y>
    </cdr:to>
    <cdr:sp macro="" textlink="">
      <cdr:nvSpPr>
        <cdr:cNvPr id="2" name="TextBox 1"/>
        <cdr:cNvSpPr txBox="1"/>
      </cdr:nvSpPr>
      <cdr:spPr>
        <a:xfrm xmlns:a="http://schemas.openxmlformats.org/drawingml/2006/main">
          <a:off x="1886552" y="1376413"/>
          <a:ext cx="1357162" cy="58714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fld id="{9777B38A-E661-45BD-A146-3B2486753132}" type="TxLink">
            <a:rPr lang="en-US" sz="3200" b="1" i="0" u="none" strike="noStrike">
              <a:solidFill>
                <a:srgbClr val="000000"/>
              </a:solidFill>
              <a:latin typeface="Calibri"/>
              <a:cs typeface="Calibri"/>
            </a:rPr>
            <a:pPr/>
            <a:t>71,43%</a:t>
          </a:fld>
          <a:endParaRPr lang="en-ZA" sz="3200" b="1"/>
        </a:p>
      </cdr:txBody>
    </cdr:sp>
  </cdr:relSizeAnchor>
  <cdr:relSizeAnchor xmlns:cdr="http://schemas.openxmlformats.org/drawingml/2006/chartDrawing">
    <cdr:from>
      <cdr:x>0.6712</cdr:x>
      <cdr:y>0.84014</cdr:y>
    </cdr:from>
    <cdr:to>
      <cdr:x>1</cdr:x>
      <cdr:y>1</cdr:y>
    </cdr:to>
    <cdr:sp macro="" textlink="">
      <cdr:nvSpPr>
        <cdr:cNvPr id="3" name="TextBox 1"/>
        <cdr:cNvSpPr txBox="1"/>
      </cdr:nvSpPr>
      <cdr:spPr>
        <a:xfrm xmlns:a="http://schemas.openxmlformats.org/drawingml/2006/main">
          <a:off x="3538848" y="2743200"/>
          <a:ext cx="1733557" cy="5219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n-ZA" sz="1200" b="1">
              <a:effectLst/>
              <a:latin typeface="Calibri" panose="020F0502020204030204" pitchFamily="34" charset="0"/>
              <a:ea typeface="Times New Roman" panose="02020603050405020304" pitchFamily="18" charset="0"/>
              <a:cs typeface="Times New Roman" panose="02020603050405020304" pitchFamily="18" charset="0"/>
            </a:rPr>
            <a:t>7 Indicators Measured</a:t>
          </a:r>
          <a:endParaRPr lang="en-ZA" sz="1200">
            <a:effectLst/>
            <a:latin typeface="Times New Roman" panose="02020603050405020304" pitchFamily="18" charset="0"/>
            <a:ea typeface="Times New Roman" panose="02020603050405020304" pitchFamily="18" charset="0"/>
          </a:endParaRPr>
        </a:p>
        <a:p xmlns:a="http://schemas.openxmlformats.org/drawingml/2006/main">
          <a:pPr>
            <a:spcAft>
              <a:spcPts val="0"/>
            </a:spcAft>
          </a:pPr>
          <a:r>
            <a:rPr lang="en-ZA" sz="1200" b="1">
              <a:effectLst/>
              <a:latin typeface="Calibri" panose="020F0502020204030204" pitchFamily="34" charset="0"/>
              <a:ea typeface="Times New Roman" panose="02020603050405020304" pitchFamily="18" charset="0"/>
              <a:cs typeface="Times New Roman" panose="02020603050405020304" pitchFamily="18" charset="0"/>
            </a:rPr>
            <a:t>Targets Met: 5 (71,43%)</a:t>
          </a:r>
          <a:endParaRPr lang="en-ZA" sz="1200">
            <a:effectLst/>
            <a:latin typeface="Times New Roman" panose="02020603050405020304" pitchFamily="18" charset="0"/>
            <a:ea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0.41009</cdr:x>
      <cdr:y>0.47258</cdr:y>
    </cdr:from>
    <cdr:to>
      <cdr:x>0.60325</cdr:x>
      <cdr:y>0.77542</cdr:y>
    </cdr:to>
    <cdr:sp macro="" textlink="">
      <cdr:nvSpPr>
        <cdr:cNvPr id="2" name="TextBox 1"/>
        <cdr:cNvSpPr txBox="1"/>
      </cdr:nvSpPr>
      <cdr:spPr>
        <a:xfrm xmlns:a="http://schemas.openxmlformats.org/drawingml/2006/main">
          <a:off x="2070239" y="1521443"/>
          <a:ext cx="975120" cy="9749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fld id="{4DCB5350-AC5E-4C5A-8FC7-66DC46B14BCC}" type="TxLink">
            <a:rPr lang="en-US" sz="4000" b="1" i="0" u="none" strike="noStrike">
              <a:solidFill>
                <a:srgbClr val="000000"/>
              </a:solidFill>
              <a:latin typeface="Calibri"/>
              <a:cs typeface="Calibri"/>
            </a:rPr>
            <a:pPr/>
            <a:t>50%</a:t>
          </a:fld>
          <a:endParaRPr lang="en-ZA" sz="4000" b="1"/>
        </a:p>
      </cdr:txBody>
    </cdr:sp>
  </cdr:relSizeAnchor>
  <cdr:relSizeAnchor xmlns:cdr="http://schemas.openxmlformats.org/drawingml/2006/chartDrawing">
    <cdr:from>
      <cdr:x>0.66604</cdr:x>
      <cdr:y>0.78572</cdr:y>
    </cdr:from>
    <cdr:to>
      <cdr:x>1</cdr:x>
      <cdr:y>1</cdr:y>
    </cdr:to>
    <cdr:sp macro="" textlink="">
      <cdr:nvSpPr>
        <cdr:cNvPr id="3" name="TextBox 1"/>
        <cdr:cNvSpPr txBox="1"/>
      </cdr:nvSpPr>
      <cdr:spPr>
        <a:xfrm xmlns:a="http://schemas.openxmlformats.org/drawingml/2006/main">
          <a:off x="3812745" y="3127377"/>
          <a:ext cx="1580943" cy="6469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050" b="1">
              <a:effectLst/>
              <a:latin typeface="+mn-lt"/>
              <a:ea typeface="+mn-ea"/>
              <a:cs typeface="+mn-cs"/>
            </a:rPr>
            <a:t>Indicators Measured: 2</a:t>
          </a:r>
          <a:endParaRPr lang="en-ZA" sz="1050">
            <a:effectLst/>
          </a:endParaRPr>
        </a:p>
        <a:p xmlns:a="http://schemas.openxmlformats.org/drawingml/2006/main">
          <a:r>
            <a:rPr lang="en-ZA" sz="1050" b="1">
              <a:effectLst/>
              <a:latin typeface="+mn-lt"/>
              <a:ea typeface="+mn-ea"/>
              <a:cs typeface="+mn-cs"/>
            </a:rPr>
            <a:t>Total Met: 1</a:t>
          </a:r>
          <a:endParaRPr lang="en-ZA" sz="1050" b="0">
            <a:effectLst/>
            <a:latin typeface="+mn-lt"/>
            <a:ea typeface="+mn-ea"/>
            <a:cs typeface="+mn-cs"/>
          </a:endParaRPr>
        </a:p>
        <a:p xmlns:a="http://schemas.openxmlformats.org/drawingml/2006/main">
          <a:r>
            <a:rPr lang="en-ZA" sz="1050" b="1">
              <a:effectLst/>
              <a:latin typeface="+mn-lt"/>
              <a:ea typeface="+mn-ea"/>
              <a:cs typeface="+mn-cs"/>
            </a:rPr>
            <a:t>Targets Not Met: 1</a:t>
          </a:r>
          <a:endParaRPr lang="en-ZA" sz="1050">
            <a:effectLst/>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0.3888</cdr:x>
      <cdr:y>0.46534</cdr:y>
    </cdr:from>
    <cdr:to>
      <cdr:x>0.5888</cdr:x>
      <cdr:y>0.79868</cdr:y>
    </cdr:to>
    <cdr:sp macro="" textlink="">
      <cdr:nvSpPr>
        <cdr:cNvPr id="2" name="TextBox 1"/>
        <cdr:cNvSpPr txBox="1"/>
      </cdr:nvSpPr>
      <cdr:spPr>
        <a:xfrm xmlns:a="http://schemas.openxmlformats.org/drawingml/2006/main">
          <a:off x="2055334" y="1484827"/>
          <a:ext cx="1057275" cy="106364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fld id="{1D377CEB-2867-4407-B7D8-ABBFEA89BBFF}" type="TxLink">
            <a:rPr lang="en-US" sz="4000" b="1" i="0" u="none" strike="noStrike">
              <a:solidFill>
                <a:srgbClr val="000000"/>
              </a:solidFill>
              <a:latin typeface="Calibri"/>
              <a:cs typeface="Calibri"/>
            </a:rPr>
            <a:pPr/>
            <a:t>100%</a:t>
          </a:fld>
          <a:endParaRPr lang="en-ZA" sz="4000" b="1"/>
        </a:p>
      </cdr:txBody>
    </cdr:sp>
  </cdr:relSizeAnchor>
  <cdr:relSizeAnchor xmlns:cdr="http://schemas.openxmlformats.org/drawingml/2006/chartDrawing">
    <cdr:from>
      <cdr:x>0.7009</cdr:x>
      <cdr:y>0.79104</cdr:y>
    </cdr:from>
    <cdr:to>
      <cdr:x>1</cdr:x>
      <cdr:y>1</cdr:y>
    </cdr:to>
    <cdr:sp macro="" textlink="">
      <cdr:nvSpPr>
        <cdr:cNvPr id="3" name="TextBox 1"/>
        <cdr:cNvSpPr txBox="1"/>
      </cdr:nvSpPr>
      <cdr:spPr>
        <a:xfrm xmlns:a="http://schemas.openxmlformats.org/drawingml/2006/main">
          <a:off x="3705225" y="2524125"/>
          <a:ext cx="1581149" cy="66674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050" b="1">
              <a:effectLst/>
              <a:latin typeface="+mn-lt"/>
              <a:ea typeface="+mn-ea"/>
              <a:cs typeface="+mn-cs"/>
            </a:rPr>
            <a:t>Indicators Measured: 2</a:t>
          </a:r>
          <a:endParaRPr lang="en-ZA" sz="1050">
            <a:effectLst/>
          </a:endParaRPr>
        </a:p>
        <a:p xmlns:a="http://schemas.openxmlformats.org/drawingml/2006/main">
          <a:r>
            <a:rPr lang="en-ZA" sz="1050" b="1">
              <a:effectLst/>
              <a:latin typeface="+mn-lt"/>
              <a:ea typeface="+mn-ea"/>
              <a:cs typeface="+mn-cs"/>
            </a:rPr>
            <a:t>Total Met: 2</a:t>
          </a:r>
          <a:endParaRPr lang="en-ZA" sz="1050" b="0">
            <a:effectLst/>
            <a:latin typeface="+mn-lt"/>
            <a:ea typeface="+mn-ea"/>
            <a:cs typeface="+mn-cs"/>
          </a:endParaRPr>
        </a:p>
        <a:p xmlns:a="http://schemas.openxmlformats.org/drawingml/2006/main">
          <a:r>
            <a:rPr lang="en-ZA" sz="1050" b="1">
              <a:effectLst/>
              <a:latin typeface="+mn-lt"/>
              <a:ea typeface="+mn-ea"/>
              <a:cs typeface="+mn-cs"/>
            </a:rPr>
            <a:t>Targets Not Met: 0</a:t>
          </a:r>
          <a:endParaRPr lang="en-ZA" sz="1050">
            <a:effectLst/>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0.40833</cdr:x>
      <cdr:y>0.49306</cdr:y>
    </cdr:from>
    <cdr:to>
      <cdr:x>0.60833</cdr:x>
      <cdr:y>0.82639</cdr:y>
    </cdr:to>
    <cdr:sp macro="" textlink="">
      <cdr:nvSpPr>
        <cdr:cNvPr id="2" name="TextBox 1"/>
        <cdr:cNvSpPr txBox="1"/>
      </cdr:nvSpPr>
      <cdr:spPr>
        <a:xfrm xmlns:a="http://schemas.openxmlformats.org/drawingml/2006/main">
          <a:off x="1866900" y="13525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fld id="{08AB313B-B073-46B1-BD5A-4C1C8AE4C5F0}" type="TxLink">
            <a:rPr lang="en-US" sz="4000" b="1" i="0" u="none" strike="noStrike">
              <a:solidFill>
                <a:srgbClr val="000000"/>
              </a:solidFill>
              <a:latin typeface="Calibri"/>
              <a:cs typeface="Calibri"/>
            </a:rPr>
            <a:pPr/>
            <a:t>67%</a:t>
          </a:fld>
          <a:endParaRPr lang="en-ZA" sz="4000" b="1"/>
        </a:p>
      </cdr:txBody>
    </cdr:sp>
  </cdr:relSizeAnchor>
  <cdr:relSizeAnchor xmlns:cdr="http://schemas.openxmlformats.org/drawingml/2006/chartDrawing">
    <cdr:from>
      <cdr:x>0.72122</cdr:x>
      <cdr:y>0.82769</cdr:y>
    </cdr:from>
    <cdr:to>
      <cdr:x>1</cdr:x>
      <cdr:y>1</cdr:y>
    </cdr:to>
    <cdr:sp macro="" textlink="">
      <cdr:nvSpPr>
        <cdr:cNvPr id="3" name="TextBox 1"/>
        <cdr:cNvSpPr txBox="1"/>
      </cdr:nvSpPr>
      <cdr:spPr>
        <a:xfrm xmlns:a="http://schemas.openxmlformats.org/drawingml/2006/main">
          <a:off x="4239491" y="3135085"/>
          <a:ext cx="1638704" cy="65269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100" b="1"/>
            <a:t>Indicators Measured: 3</a:t>
          </a:r>
        </a:p>
        <a:p xmlns:a="http://schemas.openxmlformats.org/drawingml/2006/main">
          <a:r>
            <a:rPr lang="en-ZA" sz="1100" b="1">
              <a:effectLst/>
              <a:latin typeface="+mn-lt"/>
              <a:ea typeface="+mn-ea"/>
              <a:cs typeface="+mn-cs"/>
            </a:rPr>
            <a:t>Total Met: 2</a:t>
          </a:r>
          <a:endParaRPr lang="en-ZA" sz="1100">
            <a:effectLst/>
          </a:endParaRPr>
        </a:p>
        <a:p xmlns:a="http://schemas.openxmlformats.org/drawingml/2006/main">
          <a:r>
            <a:rPr lang="en-ZA" sz="1100" b="1">
              <a:effectLst/>
              <a:latin typeface="+mn-lt"/>
              <a:ea typeface="+mn-ea"/>
              <a:cs typeface="+mn-cs"/>
            </a:rPr>
            <a:t>Annual Targets: 3</a:t>
          </a:r>
          <a:endParaRPr lang="en-ZA" sz="1100">
            <a:effectLst/>
          </a:endParaRPr>
        </a:p>
        <a:p xmlns:a="http://schemas.openxmlformats.org/drawingml/2006/main">
          <a:endParaRPr lang="en-ZA" sz="1200" b="1"/>
        </a:p>
      </cdr:txBody>
    </cdr:sp>
  </cdr:relSizeAnchor>
</c:userShapes>
</file>

<file path=word/drawings/drawing5.xml><?xml version="1.0" encoding="utf-8"?>
<c:userShapes xmlns:c="http://schemas.openxmlformats.org/drawingml/2006/chart">
  <cdr:relSizeAnchor xmlns:cdr="http://schemas.openxmlformats.org/drawingml/2006/chartDrawing">
    <cdr:from>
      <cdr:x>0.43206</cdr:x>
      <cdr:y>0.4669</cdr:y>
    </cdr:from>
    <cdr:to>
      <cdr:x>0.63123</cdr:x>
      <cdr:y>0.80023</cdr:y>
    </cdr:to>
    <cdr:sp macro="" textlink="">
      <cdr:nvSpPr>
        <cdr:cNvPr id="3" name="TextBox 2"/>
        <cdr:cNvSpPr txBox="1"/>
      </cdr:nvSpPr>
      <cdr:spPr>
        <a:xfrm xmlns:a="http://schemas.openxmlformats.org/drawingml/2006/main">
          <a:off x="2431889" y="1679853"/>
          <a:ext cx="1121056" cy="119929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fld id="{CE67454B-2102-4585-AB62-90DFCB6F74B6}" type="TxLink">
            <a:rPr lang="en-US" sz="4000" b="1" i="0" u="none" strike="noStrike">
              <a:solidFill>
                <a:srgbClr val="000000"/>
              </a:solidFill>
              <a:latin typeface="Calibri"/>
              <a:cs typeface="Calibri"/>
            </a:rPr>
            <a:pPr/>
            <a:t>0%</a:t>
          </a:fld>
          <a:endParaRPr lang="en-ZA" sz="4000" b="1"/>
        </a:p>
      </cdr:txBody>
    </cdr:sp>
  </cdr:relSizeAnchor>
  <cdr:relSizeAnchor xmlns:cdr="http://schemas.openxmlformats.org/drawingml/2006/chartDrawing">
    <cdr:from>
      <cdr:x>0.72155</cdr:x>
      <cdr:y>0.85156</cdr:y>
    </cdr:from>
    <cdr:to>
      <cdr:x>1</cdr:x>
      <cdr:y>1</cdr:y>
    </cdr:to>
    <cdr:sp macro="" textlink="">
      <cdr:nvSpPr>
        <cdr:cNvPr id="4" name="TextBox 1"/>
        <cdr:cNvSpPr txBox="1"/>
      </cdr:nvSpPr>
      <cdr:spPr>
        <a:xfrm xmlns:a="http://schemas.openxmlformats.org/drawingml/2006/main">
          <a:off x="4061345" y="3063834"/>
          <a:ext cx="1567295" cy="5340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ZA" sz="1100" b="1"/>
            <a:t>Indicator Measured: 0</a:t>
          </a:r>
        </a:p>
        <a:p xmlns:a="http://schemas.openxmlformats.org/drawingml/2006/main">
          <a:r>
            <a:rPr lang="en-ZA" sz="1100" b="1">
              <a:effectLst/>
              <a:latin typeface="+mn-lt"/>
              <a:ea typeface="+mn-ea"/>
              <a:cs typeface="+mn-cs"/>
            </a:rPr>
            <a:t>Annual Targets: 4</a:t>
          </a:r>
          <a:endParaRPr lang="en-ZA" sz="1100">
            <a:effectLst/>
          </a:endParaRPr>
        </a:p>
        <a:p xmlns:a="http://schemas.openxmlformats.org/drawingml/2006/main">
          <a:endParaRPr lang="en-ZA" sz="1200" b="1"/>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7595375BFD4B5F981C35355F511072"/>
        <w:category>
          <w:name w:val="General"/>
          <w:gallery w:val="placeholder"/>
        </w:category>
        <w:types>
          <w:type w:val="bbPlcHdr"/>
        </w:types>
        <w:behaviors>
          <w:behavior w:val="content"/>
        </w:behaviors>
        <w:guid w:val="{ACB19BE4-669F-408E-8300-2F40CE133D44}"/>
      </w:docPartPr>
      <w:docPartBody>
        <w:p w:rsidR="000B52C4" w:rsidRDefault="0003216F" w:rsidP="0003216F">
          <w:pPr>
            <w:pStyle w:val="D47595375BFD4B5F981C35355F511072"/>
          </w:pPr>
          <w:r>
            <w:rPr>
              <w:color w:val="365F91" w:themeColor="accent1" w:themeShade="BF"/>
              <w:sz w:val="24"/>
              <w:szCs w:val="24"/>
            </w:rPr>
            <w:t>[Company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03216F"/>
    <w:rsid w:val="0003216F"/>
    <w:rsid w:val="000360CF"/>
    <w:rsid w:val="000806FF"/>
    <w:rsid w:val="000B52C4"/>
    <w:rsid w:val="000D5B39"/>
    <w:rsid w:val="00143297"/>
    <w:rsid w:val="002201EB"/>
    <w:rsid w:val="002545D9"/>
    <w:rsid w:val="002A18CE"/>
    <w:rsid w:val="002A4AD9"/>
    <w:rsid w:val="004B6972"/>
    <w:rsid w:val="004D0CA3"/>
    <w:rsid w:val="004D57C9"/>
    <w:rsid w:val="00551D46"/>
    <w:rsid w:val="00646663"/>
    <w:rsid w:val="00773A07"/>
    <w:rsid w:val="007B1309"/>
    <w:rsid w:val="00B00CFD"/>
    <w:rsid w:val="00C13ACE"/>
    <w:rsid w:val="00C3288A"/>
    <w:rsid w:val="00C80363"/>
    <w:rsid w:val="00CE03EB"/>
    <w:rsid w:val="00CF67CF"/>
    <w:rsid w:val="00E95FA7"/>
    <w:rsid w:val="00EF1393"/>
    <w:rsid w:val="00F801F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7595375BFD4B5F981C35355F511072">
    <w:name w:val="D47595375BFD4B5F981C35355F511072"/>
    <w:rsid w:val="0003216F"/>
  </w:style>
  <w:style w:type="paragraph" w:customStyle="1" w:styleId="193C225D0FD54728BF4FCD98AD671121">
    <w:name w:val="193C225D0FD54728BF4FCD98AD671121"/>
    <w:rsid w:val="0003216F"/>
  </w:style>
  <w:style w:type="paragraph" w:customStyle="1" w:styleId="391BE0C1DCEF4C42894D5F82FDC5FD49">
    <w:name w:val="391BE0C1DCEF4C42894D5F82FDC5FD49"/>
    <w:rsid w:val="0003216F"/>
  </w:style>
  <w:style w:type="paragraph" w:customStyle="1" w:styleId="5E159B113F4342F6B42384BCB5150618">
    <w:name w:val="5E159B113F4342F6B42384BCB5150618"/>
    <w:rsid w:val="0003216F"/>
  </w:style>
  <w:style w:type="paragraph" w:customStyle="1" w:styleId="5015DB3F8BDB43DB8DFC2F4211EDA26D">
    <w:name w:val="5015DB3F8BDB43DB8DFC2F4211EDA26D"/>
    <w:rsid w:val="0003216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xmlns=""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1DD4C-852E-4F1E-8B15-13F4C62E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12022</Words>
  <Characters>68526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MIDYEAR PERFORMANCE REPORT 2020/21</vt:lpstr>
    </vt:vector>
  </TitlesOfParts>
  <Company>South African Parliament</Company>
  <LinksUpToDate>false</LinksUpToDate>
  <CharactersWithSpaces>80388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MIDYEAR PERFORMANCE REPORT 2020/21</dc:title>
  <dc:subject>October – December 2019</dc:subject>
  <dc:creator>Tumi Mogorosi</dc:creator>
  <cp:lastModifiedBy>USER</cp:lastModifiedBy>
  <cp:revision>3</cp:revision>
  <dcterms:created xsi:type="dcterms:W3CDTF">2020-11-20T12:41:00Z</dcterms:created>
  <dcterms:modified xsi:type="dcterms:W3CDTF">2020-11-20T12:41:00Z</dcterms:modified>
</cp:coreProperties>
</file>