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95" w:rsidRDefault="00B71348" w:rsidP="00B71348">
      <w:pPr>
        <w:spacing w:after="0"/>
        <w:rPr>
          <w:rFonts w:ascii="Arial" w:hAnsi="Arial" w:cs="Arial"/>
          <w:b/>
        </w:rPr>
      </w:pPr>
      <w:r w:rsidRPr="00B71348">
        <w:rPr>
          <w:rFonts w:ascii="Arial" w:hAnsi="Arial" w:cs="Arial"/>
          <w:b/>
        </w:rPr>
        <w:t xml:space="preserve">1. </w:t>
      </w:r>
      <w:r w:rsidR="002F7B18">
        <w:rPr>
          <w:rFonts w:ascii="Arial" w:hAnsi="Arial" w:cs="Arial"/>
          <w:b/>
        </w:rPr>
        <w:tab/>
      </w:r>
      <w:r w:rsidRPr="00B71348">
        <w:rPr>
          <w:rFonts w:ascii="Arial" w:hAnsi="Arial" w:cs="Arial"/>
          <w:b/>
        </w:rPr>
        <w:t>General comments</w:t>
      </w:r>
    </w:p>
    <w:p w:rsidR="00B71348" w:rsidRDefault="00B71348" w:rsidP="00B71348">
      <w:pPr>
        <w:spacing w:after="0"/>
        <w:rPr>
          <w:rFonts w:ascii="Arial" w:hAnsi="Arial" w:cs="Arial"/>
        </w:rPr>
      </w:pPr>
      <w:r>
        <w:rPr>
          <w:rFonts w:ascii="Arial" w:hAnsi="Arial" w:cs="Arial"/>
        </w:rPr>
        <w:t>1.1</w:t>
      </w:r>
      <w:r>
        <w:rPr>
          <w:rFonts w:ascii="Arial" w:hAnsi="Arial" w:cs="Arial"/>
        </w:rPr>
        <w:tab/>
      </w:r>
      <w:r w:rsidRPr="00B71348">
        <w:rPr>
          <w:rFonts w:ascii="Arial" w:hAnsi="Arial" w:cs="Arial"/>
        </w:rPr>
        <w:t>Various general comments were made in respect of the Bill</w:t>
      </w:r>
      <w:r>
        <w:rPr>
          <w:rFonts w:ascii="Arial" w:hAnsi="Arial" w:cs="Arial"/>
        </w:rPr>
        <w:t>. Some of these comments are directly applicable to the Bill and some can be considered ancillary to the Bill. Such comments are usually indicative of the following:</w:t>
      </w:r>
    </w:p>
    <w:p w:rsidR="00B71348" w:rsidRDefault="00B71348" w:rsidP="00B71348">
      <w:pPr>
        <w:spacing w:after="0"/>
        <w:rPr>
          <w:rFonts w:ascii="Arial" w:hAnsi="Arial" w:cs="Arial"/>
        </w:rPr>
      </w:pPr>
      <w:r>
        <w:rPr>
          <w:rFonts w:ascii="Arial" w:hAnsi="Arial" w:cs="Arial"/>
        </w:rPr>
        <w:t>(a)</w:t>
      </w:r>
      <w:r>
        <w:rPr>
          <w:rFonts w:ascii="Arial" w:hAnsi="Arial" w:cs="Arial"/>
        </w:rPr>
        <w:tab/>
      </w:r>
      <w:proofErr w:type="gramStart"/>
      <w:r>
        <w:rPr>
          <w:rFonts w:ascii="Arial" w:hAnsi="Arial" w:cs="Arial"/>
        </w:rPr>
        <w:t>public</w:t>
      </w:r>
      <w:proofErr w:type="gramEnd"/>
      <w:r>
        <w:rPr>
          <w:rFonts w:ascii="Arial" w:hAnsi="Arial" w:cs="Arial"/>
        </w:rPr>
        <w:t xml:space="preserve"> expectations in respect of proposed legislation;</w:t>
      </w:r>
    </w:p>
    <w:p w:rsidR="00B71348" w:rsidRDefault="00B71348" w:rsidP="00B71348">
      <w:pPr>
        <w:spacing w:after="0"/>
        <w:rPr>
          <w:rFonts w:ascii="Arial" w:hAnsi="Arial" w:cs="Arial"/>
        </w:rPr>
      </w:pPr>
      <w:r>
        <w:rPr>
          <w:rFonts w:ascii="Arial" w:hAnsi="Arial" w:cs="Arial"/>
        </w:rPr>
        <w:t>(b)</w:t>
      </w:r>
      <w:r>
        <w:rPr>
          <w:rFonts w:ascii="Arial" w:hAnsi="Arial" w:cs="Arial"/>
        </w:rPr>
        <w:tab/>
      </w:r>
      <w:proofErr w:type="gramStart"/>
      <w:r>
        <w:rPr>
          <w:rFonts w:ascii="Arial" w:hAnsi="Arial" w:cs="Arial"/>
        </w:rPr>
        <w:t>public</w:t>
      </w:r>
      <w:proofErr w:type="gramEnd"/>
      <w:r>
        <w:rPr>
          <w:rFonts w:ascii="Arial" w:hAnsi="Arial" w:cs="Arial"/>
        </w:rPr>
        <w:t xml:space="preserve"> concerns regarding legislation; and</w:t>
      </w:r>
    </w:p>
    <w:p w:rsidR="00B71348" w:rsidRDefault="00B71348" w:rsidP="00B71348">
      <w:pPr>
        <w:spacing w:after="0"/>
        <w:rPr>
          <w:rFonts w:ascii="Arial" w:hAnsi="Arial" w:cs="Arial"/>
        </w:rPr>
      </w:pPr>
      <w:r>
        <w:rPr>
          <w:rFonts w:ascii="Arial" w:hAnsi="Arial" w:cs="Arial"/>
        </w:rPr>
        <w:t>(c)</w:t>
      </w:r>
      <w:r>
        <w:rPr>
          <w:rFonts w:ascii="Arial" w:hAnsi="Arial" w:cs="Arial"/>
        </w:rPr>
        <w:tab/>
      </w:r>
      <w:proofErr w:type="gramStart"/>
      <w:r>
        <w:rPr>
          <w:rFonts w:ascii="Arial" w:hAnsi="Arial" w:cs="Arial"/>
        </w:rPr>
        <w:t>ancillary</w:t>
      </w:r>
      <w:proofErr w:type="gramEnd"/>
      <w:r>
        <w:rPr>
          <w:rFonts w:ascii="Arial" w:hAnsi="Arial" w:cs="Arial"/>
        </w:rPr>
        <w:t xml:space="preserve"> matters that should have been addressed in legislation.</w:t>
      </w:r>
    </w:p>
    <w:p w:rsidR="00B71348" w:rsidRDefault="00B71348" w:rsidP="00B71348">
      <w:pPr>
        <w:spacing w:after="0"/>
        <w:rPr>
          <w:rFonts w:ascii="Arial" w:hAnsi="Arial" w:cs="Arial"/>
        </w:rPr>
      </w:pPr>
    </w:p>
    <w:p w:rsidR="00495123" w:rsidRDefault="00B71348" w:rsidP="00B71348">
      <w:pPr>
        <w:spacing w:after="0"/>
        <w:rPr>
          <w:rFonts w:ascii="Arial" w:hAnsi="Arial" w:cs="Arial"/>
        </w:rPr>
      </w:pPr>
      <w:r>
        <w:rPr>
          <w:rFonts w:ascii="Arial" w:hAnsi="Arial" w:cs="Arial"/>
        </w:rPr>
        <w:t>1.2</w:t>
      </w:r>
      <w:r>
        <w:rPr>
          <w:rFonts w:ascii="Arial" w:hAnsi="Arial" w:cs="Arial"/>
        </w:rPr>
        <w:tab/>
        <w:t xml:space="preserve">Paragraph 1 of the summary of comments and responses (the summary) </w:t>
      </w:r>
      <w:r w:rsidR="00783EB9">
        <w:rPr>
          <w:rFonts w:ascii="Arial" w:hAnsi="Arial" w:cs="Arial"/>
        </w:rPr>
        <w:t xml:space="preserve">(pages 1 to 36) </w:t>
      </w:r>
      <w:r>
        <w:rPr>
          <w:rFonts w:ascii="Arial" w:hAnsi="Arial" w:cs="Arial"/>
        </w:rPr>
        <w:t xml:space="preserve">deals with these general comments. </w:t>
      </w:r>
      <w:r w:rsidR="00495123">
        <w:rPr>
          <w:rFonts w:ascii="Arial" w:hAnsi="Arial" w:cs="Arial"/>
        </w:rPr>
        <w:t xml:space="preserve">General </w:t>
      </w:r>
      <w:r w:rsidR="00267DDE">
        <w:rPr>
          <w:rFonts w:ascii="Arial" w:hAnsi="Arial" w:cs="Arial"/>
        </w:rPr>
        <w:t>comments indicate the following:</w:t>
      </w:r>
    </w:p>
    <w:p w:rsidR="00267DDE" w:rsidRDefault="00267DDE" w:rsidP="00B71348">
      <w:pPr>
        <w:spacing w:after="0"/>
        <w:rPr>
          <w:rFonts w:ascii="Arial" w:hAnsi="Arial" w:cs="Arial"/>
        </w:rPr>
      </w:pPr>
      <w:bookmarkStart w:id="0" w:name="_GoBack"/>
      <w:bookmarkEnd w:id="0"/>
    </w:p>
    <w:p w:rsidR="00495123" w:rsidRDefault="00495123" w:rsidP="00495123">
      <w:pPr>
        <w:ind w:left="709" w:hanging="709"/>
        <w:jc w:val="both"/>
        <w:rPr>
          <w:rFonts w:ascii="Arial" w:hAnsi="Arial" w:cs="Arial"/>
        </w:rPr>
      </w:pPr>
      <w:r>
        <w:rPr>
          <w:rFonts w:ascii="Arial" w:hAnsi="Arial" w:cs="Arial"/>
        </w:rPr>
        <w:t>1.2.1</w:t>
      </w:r>
      <w:r>
        <w:rPr>
          <w:rFonts w:ascii="Arial" w:hAnsi="Arial" w:cs="Arial"/>
        </w:rPr>
        <w:tab/>
        <w:t>Human trafficking and gender based violence (GBV) are interrelated</w:t>
      </w:r>
      <w:r w:rsidR="00CE6E51">
        <w:rPr>
          <w:rFonts w:ascii="Arial" w:hAnsi="Arial" w:cs="Arial"/>
        </w:rPr>
        <w:t xml:space="preserve"> and g</w:t>
      </w:r>
      <w:r>
        <w:rPr>
          <w:rFonts w:ascii="Arial" w:hAnsi="Arial" w:cs="Arial"/>
        </w:rPr>
        <w:t>overnment should have a broader plan, with accompanying legislation, to address GBV (</w:t>
      </w:r>
      <w:r w:rsidR="003F481A">
        <w:rPr>
          <w:rFonts w:ascii="Arial" w:hAnsi="Arial" w:cs="Arial"/>
        </w:rPr>
        <w:t>p</w:t>
      </w:r>
      <w:r>
        <w:rPr>
          <w:rFonts w:ascii="Arial" w:hAnsi="Arial" w:cs="Arial"/>
        </w:rPr>
        <w:t>ar 1.1)</w:t>
      </w:r>
      <w:r w:rsidR="00CE6E51">
        <w:rPr>
          <w:rFonts w:ascii="Arial" w:hAnsi="Arial" w:cs="Arial"/>
        </w:rPr>
        <w:t xml:space="preserve">; </w:t>
      </w:r>
      <w:r w:rsidR="003F481A">
        <w:rPr>
          <w:rFonts w:ascii="Arial" w:hAnsi="Arial" w:cs="Arial"/>
        </w:rPr>
        <w:t xml:space="preserve">further interventions to </w:t>
      </w:r>
      <w:r w:rsidR="003F481A" w:rsidRPr="003F481A">
        <w:rPr>
          <w:rFonts w:ascii="Arial" w:hAnsi="Arial" w:cs="Arial"/>
        </w:rPr>
        <w:t>ensur</w:t>
      </w:r>
      <w:r w:rsidR="003F481A">
        <w:rPr>
          <w:rFonts w:ascii="Arial" w:hAnsi="Arial" w:cs="Arial"/>
        </w:rPr>
        <w:t>e</w:t>
      </w:r>
      <w:r w:rsidR="003F481A" w:rsidRPr="003F481A">
        <w:rPr>
          <w:rFonts w:ascii="Arial" w:hAnsi="Arial" w:cs="Arial"/>
        </w:rPr>
        <w:t xml:space="preserve"> the effective prevention, detection, investigation and prosecution of</w:t>
      </w:r>
      <w:r w:rsidR="003F481A">
        <w:rPr>
          <w:rFonts w:ascii="Arial" w:hAnsi="Arial" w:cs="Arial"/>
        </w:rPr>
        <w:t xml:space="preserve"> GBV offences should be </w:t>
      </w:r>
      <w:r w:rsidR="003C732F">
        <w:rPr>
          <w:rFonts w:ascii="Arial" w:hAnsi="Arial" w:cs="Arial"/>
        </w:rPr>
        <w:t>explored</w:t>
      </w:r>
      <w:r w:rsidR="003F481A">
        <w:rPr>
          <w:rFonts w:ascii="Arial" w:hAnsi="Arial" w:cs="Arial"/>
        </w:rPr>
        <w:t xml:space="preserve"> (par 1.26(a)</w:t>
      </w:r>
    </w:p>
    <w:p w:rsidR="00495123" w:rsidRDefault="00495123" w:rsidP="00495123">
      <w:pPr>
        <w:ind w:left="709" w:hanging="709"/>
        <w:jc w:val="both"/>
        <w:rPr>
          <w:rFonts w:ascii="Arial" w:hAnsi="Arial" w:cs="Arial"/>
        </w:rPr>
      </w:pPr>
      <w:r>
        <w:rPr>
          <w:rFonts w:ascii="Arial" w:hAnsi="Arial" w:cs="Arial"/>
        </w:rPr>
        <w:t>1.2.2</w:t>
      </w:r>
      <w:r>
        <w:rPr>
          <w:rFonts w:ascii="Arial" w:hAnsi="Arial" w:cs="Arial"/>
        </w:rPr>
        <w:tab/>
      </w:r>
      <w:r w:rsidRPr="00495123">
        <w:rPr>
          <w:rFonts w:ascii="Arial" w:hAnsi="Arial" w:cs="Arial"/>
        </w:rPr>
        <w:t>Victim intimidation</w:t>
      </w:r>
      <w:r w:rsidR="00267DDE">
        <w:rPr>
          <w:rFonts w:ascii="Arial" w:hAnsi="Arial" w:cs="Arial"/>
        </w:rPr>
        <w:t xml:space="preserve"> (par 1.4); victim unfriendliness</w:t>
      </w:r>
      <w:r w:rsidR="00E72209">
        <w:rPr>
          <w:rFonts w:ascii="Arial" w:hAnsi="Arial" w:cs="Arial"/>
        </w:rPr>
        <w:t xml:space="preserve"> and general </w:t>
      </w:r>
      <w:r w:rsidR="00F309A2">
        <w:rPr>
          <w:rFonts w:ascii="Arial" w:hAnsi="Arial" w:cs="Arial"/>
        </w:rPr>
        <w:t xml:space="preserve">unacceptable </w:t>
      </w:r>
      <w:r w:rsidR="00E72209">
        <w:rPr>
          <w:rFonts w:ascii="Arial" w:hAnsi="Arial" w:cs="Arial"/>
        </w:rPr>
        <w:t xml:space="preserve">treatment of victims in the system </w:t>
      </w:r>
      <w:r w:rsidR="00267DDE">
        <w:rPr>
          <w:rFonts w:ascii="Arial" w:hAnsi="Arial" w:cs="Arial"/>
        </w:rPr>
        <w:t>(par 1.13(d))</w:t>
      </w:r>
      <w:r w:rsidR="00E72209">
        <w:rPr>
          <w:rFonts w:ascii="Arial" w:hAnsi="Arial" w:cs="Arial"/>
        </w:rPr>
        <w:t>; andthe inability of the SAPS to investigate and the NPA t</w:t>
      </w:r>
      <w:r w:rsidR="00742351">
        <w:rPr>
          <w:rFonts w:ascii="Arial" w:hAnsi="Arial" w:cs="Arial"/>
        </w:rPr>
        <w:t>o prosecute GBV offences (par 1.</w:t>
      </w:r>
      <w:r w:rsidR="00E72209">
        <w:rPr>
          <w:rFonts w:ascii="Arial" w:hAnsi="Arial" w:cs="Arial"/>
        </w:rPr>
        <w:t xml:space="preserve">27), deters victims from </w:t>
      </w:r>
      <w:r w:rsidRPr="00495123">
        <w:rPr>
          <w:rFonts w:ascii="Arial" w:hAnsi="Arial" w:cs="Arial"/>
        </w:rPr>
        <w:t>reporting of GBV</w:t>
      </w:r>
      <w:r w:rsidR="00C30D90">
        <w:rPr>
          <w:rFonts w:ascii="Arial" w:hAnsi="Arial" w:cs="Arial"/>
        </w:rPr>
        <w:t xml:space="preserve"> offences</w:t>
      </w:r>
      <w:r w:rsidR="00E72209">
        <w:rPr>
          <w:rFonts w:ascii="Arial" w:hAnsi="Arial" w:cs="Arial"/>
        </w:rPr>
        <w:t>.</w:t>
      </w:r>
    </w:p>
    <w:p w:rsidR="00495123" w:rsidRDefault="00495123" w:rsidP="00495123">
      <w:pPr>
        <w:ind w:left="709" w:hanging="709"/>
        <w:jc w:val="both"/>
        <w:rPr>
          <w:rFonts w:ascii="Arial" w:hAnsi="Arial" w:cs="Arial"/>
        </w:rPr>
      </w:pPr>
      <w:r>
        <w:rPr>
          <w:rFonts w:ascii="Arial" w:hAnsi="Arial" w:cs="Arial"/>
        </w:rPr>
        <w:t>1.2.3</w:t>
      </w:r>
      <w:r>
        <w:rPr>
          <w:rFonts w:ascii="Arial" w:hAnsi="Arial" w:cs="Arial"/>
        </w:rPr>
        <w:tab/>
        <w:t xml:space="preserve">Treatment of GBV-victims </w:t>
      </w:r>
      <w:r w:rsidR="00C30D90">
        <w:rPr>
          <w:rFonts w:ascii="Arial" w:hAnsi="Arial" w:cs="Arial"/>
        </w:rPr>
        <w:t xml:space="preserve">in the system </w:t>
      </w:r>
      <w:r w:rsidR="00ED0F71">
        <w:rPr>
          <w:rFonts w:ascii="Arial" w:hAnsi="Arial" w:cs="Arial"/>
        </w:rPr>
        <w:t>is not victim centric</w:t>
      </w:r>
      <w:r>
        <w:rPr>
          <w:rFonts w:ascii="Arial" w:hAnsi="Arial" w:cs="Arial"/>
        </w:rPr>
        <w:t xml:space="preserve"> (</w:t>
      </w:r>
      <w:r w:rsidR="00267DDE">
        <w:rPr>
          <w:rFonts w:ascii="Arial" w:hAnsi="Arial" w:cs="Arial"/>
        </w:rPr>
        <w:t>p</w:t>
      </w:r>
      <w:r>
        <w:rPr>
          <w:rFonts w:ascii="Arial" w:hAnsi="Arial" w:cs="Arial"/>
        </w:rPr>
        <w:t>ar 1.6</w:t>
      </w:r>
      <w:r w:rsidR="00267DDE">
        <w:rPr>
          <w:rFonts w:ascii="Arial" w:hAnsi="Arial" w:cs="Arial"/>
        </w:rPr>
        <w:t>; 1.13(d)</w:t>
      </w:r>
      <w:r w:rsidR="00AA4128">
        <w:rPr>
          <w:rFonts w:ascii="Arial" w:hAnsi="Arial" w:cs="Arial"/>
        </w:rPr>
        <w:t>; 1.24(a)</w:t>
      </w:r>
      <w:r>
        <w:rPr>
          <w:rFonts w:ascii="Arial" w:hAnsi="Arial" w:cs="Arial"/>
        </w:rPr>
        <w:t>)</w:t>
      </w:r>
      <w:r w:rsidR="00ED0F71">
        <w:rPr>
          <w:rFonts w:ascii="Arial" w:hAnsi="Arial" w:cs="Arial"/>
        </w:rPr>
        <w:t xml:space="preserve">; social worker assistance at police stations to assist victims with the reporting of GBV </w:t>
      </w:r>
      <w:r w:rsidR="00C30D90">
        <w:rPr>
          <w:rFonts w:ascii="Arial" w:hAnsi="Arial" w:cs="Arial"/>
        </w:rPr>
        <w:t xml:space="preserve">offences </w:t>
      </w:r>
      <w:r w:rsidR="00ED0F71">
        <w:rPr>
          <w:rFonts w:ascii="Arial" w:hAnsi="Arial" w:cs="Arial"/>
        </w:rPr>
        <w:t>to the SAPS may address secondary victimization (par 1.11(b)</w:t>
      </w:r>
      <w:r w:rsidR="004B4A47">
        <w:rPr>
          <w:rFonts w:ascii="Arial" w:hAnsi="Arial" w:cs="Arial"/>
        </w:rPr>
        <w:t>; 1.17</w:t>
      </w:r>
      <w:r w:rsidR="00267DDE">
        <w:rPr>
          <w:rFonts w:ascii="Arial" w:hAnsi="Arial" w:cs="Arial"/>
        </w:rPr>
        <w:t xml:space="preserve">); </w:t>
      </w:r>
      <w:r w:rsidR="00AA4128">
        <w:rPr>
          <w:rFonts w:ascii="Arial" w:hAnsi="Arial" w:cs="Arial"/>
        </w:rPr>
        <w:t>police stations are not always readily accessible to report GBV offences (par 1.24</w:t>
      </w:r>
      <w:r w:rsidR="003C732F">
        <w:rPr>
          <w:rFonts w:ascii="Arial" w:hAnsi="Arial" w:cs="Arial"/>
        </w:rPr>
        <w:t>).</w:t>
      </w:r>
    </w:p>
    <w:p w:rsidR="00662A8B" w:rsidRDefault="00495123" w:rsidP="00495123">
      <w:pPr>
        <w:ind w:left="709" w:hanging="709"/>
        <w:jc w:val="both"/>
        <w:rPr>
          <w:rFonts w:ascii="Arial" w:hAnsi="Arial" w:cs="Arial"/>
        </w:rPr>
      </w:pPr>
      <w:r>
        <w:rPr>
          <w:rFonts w:ascii="Arial" w:hAnsi="Arial" w:cs="Arial"/>
        </w:rPr>
        <w:t>1.2.4</w:t>
      </w:r>
      <w:r>
        <w:rPr>
          <w:rFonts w:ascii="Arial" w:hAnsi="Arial" w:cs="Arial"/>
        </w:rPr>
        <w:tab/>
      </w:r>
      <w:r w:rsidR="00ED0F71">
        <w:rPr>
          <w:rFonts w:ascii="Arial" w:hAnsi="Arial" w:cs="Arial"/>
        </w:rPr>
        <w:t>Public education to influence public perceptions in respect of GBV is suggested (</w:t>
      </w:r>
      <w:r w:rsidR="00662A8B">
        <w:rPr>
          <w:rFonts w:ascii="Arial" w:hAnsi="Arial" w:cs="Arial"/>
        </w:rPr>
        <w:t>p</w:t>
      </w:r>
      <w:r w:rsidR="00ED0F71">
        <w:rPr>
          <w:rFonts w:ascii="Arial" w:hAnsi="Arial" w:cs="Arial"/>
        </w:rPr>
        <w:t>ar 1.11</w:t>
      </w:r>
      <w:r w:rsidR="000D326E">
        <w:rPr>
          <w:rFonts w:ascii="Arial" w:hAnsi="Arial" w:cs="Arial"/>
        </w:rPr>
        <w:t>; 1.16</w:t>
      </w:r>
      <w:r w:rsidR="003C732F">
        <w:rPr>
          <w:rFonts w:ascii="Arial" w:hAnsi="Arial" w:cs="Arial"/>
        </w:rPr>
        <w:t>; 1.30</w:t>
      </w:r>
      <w:r w:rsidR="00267DDE">
        <w:rPr>
          <w:rFonts w:ascii="Arial" w:hAnsi="Arial" w:cs="Arial"/>
        </w:rPr>
        <w:t>)</w:t>
      </w:r>
      <w:r w:rsidR="00662A8B">
        <w:rPr>
          <w:rFonts w:ascii="Arial" w:hAnsi="Arial" w:cs="Arial"/>
        </w:rPr>
        <w:t xml:space="preserve">; public are desensitized and regards GBV as normal behaviour (par 1.12(a)); conduct that </w:t>
      </w:r>
      <w:r w:rsidR="00C30D90">
        <w:rPr>
          <w:rFonts w:ascii="Arial" w:hAnsi="Arial" w:cs="Arial"/>
        </w:rPr>
        <w:t>is antecedents to, or sti</w:t>
      </w:r>
      <w:r w:rsidR="00662A8B">
        <w:rPr>
          <w:rFonts w:ascii="Arial" w:hAnsi="Arial" w:cs="Arial"/>
        </w:rPr>
        <w:t xml:space="preserve">mulates GBV should be </w:t>
      </w:r>
      <w:r w:rsidR="00B20D21">
        <w:rPr>
          <w:rFonts w:ascii="Arial" w:hAnsi="Arial" w:cs="Arial"/>
        </w:rPr>
        <w:t xml:space="preserve">addressed </w:t>
      </w:r>
      <w:r w:rsidR="00662A8B">
        <w:rPr>
          <w:rFonts w:ascii="Arial" w:hAnsi="Arial" w:cs="Arial"/>
        </w:rPr>
        <w:t>(par 1.5; 1.13(a);</w:t>
      </w:r>
      <w:r w:rsidR="00B20D21">
        <w:rPr>
          <w:rFonts w:ascii="Arial" w:hAnsi="Arial" w:cs="Arial"/>
        </w:rPr>
        <w:t>1.16; 1.17</w:t>
      </w:r>
      <w:r w:rsidR="00F309A2">
        <w:rPr>
          <w:rFonts w:ascii="Arial" w:hAnsi="Arial" w:cs="Arial"/>
        </w:rPr>
        <w:t>; 1.29(d)</w:t>
      </w:r>
      <w:r w:rsidR="003C732F">
        <w:rPr>
          <w:rFonts w:ascii="Arial" w:hAnsi="Arial" w:cs="Arial"/>
        </w:rPr>
        <w:t>).</w:t>
      </w:r>
    </w:p>
    <w:p w:rsidR="00ED0F71" w:rsidRDefault="00ED0F71" w:rsidP="00495123">
      <w:pPr>
        <w:ind w:left="709" w:hanging="709"/>
        <w:jc w:val="both"/>
        <w:rPr>
          <w:rFonts w:ascii="Arial" w:hAnsi="Arial" w:cs="Arial"/>
        </w:rPr>
      </w:pPr>
      <w:r>
        <w:rPr>
          <w:rFonts w:ascii="Arial" w:hAnsi="Arial" w:cs="Arial"/>
        </w:rPr>
        <w:t>1.2.5</w:t>
      </w:r>
      <w:r>
        <w:rPr>
          <w:rFonts w:ascii="Arial" w:hAnsi="Arial" w:cs="Arial"/>
        </w:rPr>
        <w:tab/>
      </w:r>
      <w:r w:rsidR="00267DDE">
        <w:rPr>
          <w:rFonts w:ascii="Arial" w:hAnsi="Arial" w:cs="Arial"/>
        </w:rPr>
        <w:t xml:space="preserve">Adequate resources must be made available to ensure effective implementation of the legislative interventions </w:t>
      </w:r>
      <w:r w:rsidR="003C732F">
        <w:rPr>
          <w:rFonts w:ascii="Arial" w:hAnsi="Arial" w:cs="Arial"/>
        </w:rPr>
        <w:t>(par 1.13(c))</w:t>
      </w:r>
    </w:p>
    <w:p w:rsidR="003E4192" w:rsidRDefault="003E4192" w:rsidP="00495123">
      <w:pPr>
        <w:ind w:left="709" w:hanging="709"/>
        <w:jc w:val="both"/>
        <w:rPr>
          <w:rFonts w:ascii="Arial" w:hAnsi="Arial" w:cs="Arial"/>
        </w:rPr>
      </w:pPr>
      <w:r>
        <w:rPr>
          <w:rFonts w:ascii="Arial" w:hAnsi="Arial" w:cs="Arial"/>
        </w:rPr>
        <w:t>1.2.6</w:t>
      </w:r>
      <w:r>
        <w:rPr>
          <w:rFonts w:ascii="Arial" w:hAnsi="Arial" w:cs="Arial"/>
        </w:rPr>
        <w:tab/>
      </w:r>
      <w:r w:rsidR="00770FD7">
        <w:rPr>
          <w:rFonts w:ascii="Arial" w:hAnsi="Arial" w:cs="Arial"/>
        </w:rPr>
        <w:t>The p</w:t>
      </w:r>
      <w:r>
        <w:rPr>
          <w:rFonts w:ascii="Arial" w:hAnsi="Arial" w:cs="Arial"/>
        </w:rPr>
        <w:t>rosecution and conviction rate of GBV offences are low due to the inability of the SAPS to investigation and the NPA to prosecute, GBV offences</w:t>
      </w:r>
      <w:r w:rsidR="00E72209">
        <w:rPr>
          <w:rFonts w:ascii="Arial" w:hAnsi="Arial" w:cs="Arial"/>
        </w:rPr>
        <w:t>adequately</w:t>
      </w:r>
      <w:r>
        <w:rPr>
          <w:rFonts w:ascii="Arial" w:hAnsi="Arial" w:cs="Arial"/>
        </w:rPr>
        <w:t xml:space="preserve"> (par 1.14(b)</w:t>
      </w:r>
      <w:r w:rsidR="003C732F">
        <w:rPr>
          <w:rFonts w:ascii="Arial" w:hAnsi="Arial" w:cs="Arial"/>
        </w:rPr>
        <w:t>).</w:t>
      </w:r>
    </w:p>
    <w:p w:rsidR="003E4192" w:rsidRDefault="003E4192" w:rsidP="00495123">
      <w:pPr>
        <w:ind w:left="709" w:hanging="709"/>
        <w:jc w:val="both"/>
        <w:rPr>
          <w:rFonts w:ascii="Arial" w:hAnsi="Arial" w:cs="Arial"/>
        </w:rPr>
      </w:pPr>
      <w:r>
        <w:rPr>
          <w:rFonts w:ascii="Arial" w:hAnsi="Arial" w:cs="Arial"/>
        </w:rPr>
        <w:t>1.2.7</w:t>
      </w:r>
      <w:r>
        <w:rPr>
          <w:rFonts w:ascii="Arial" w:hAnsi="Arial" w:cs="Arial"/>
        </w:rPr>
        <w:tab/>
        <w:t xml:space="preserve">Oversight </w:t>
      </w:r>
      <w:r w:rsidR="00742351">
        <w:rPr>
          <w:rFonts w:ascii="Arial" w:hAnsi="Arial" w:cs="Arial"/>
        </w:rPr>
        <w:t xml:space="preserve">and </w:t>
      </w:r>
      <w:r>
        <w:rPr>
          <w:rFonts w:ascii="Arial" w:hAnsi="Arial" w:cs="Arial"/>
        </w:rPr>
        <w:t>monitor</w:t>
      </w:r>
      <w:r w:rsidR="00742351">
        <w:rPr>
          <w:rFonts w:ascii="Arial" w:hAnsi="Arial" w:cs="Arial"/>
        </w:rPr>
        <w:t>ing of the</w:t>
      </w:r>
      <w:r>
        <w:rPr>
          <w:rFonts w:ascii="Arial" w:hAnsi="Arial" w:cs="Arial"/>
        </w:rPr>
        <w:t xml:space="preserve"> implementation of </w:t>
      </w:r>
      <w:r w:rsidR="00742351">
        <w:rPr>
          <w:rFonts w:ascii="Arial" w:hAnsi="Arial" w:cs="Arial"/>
        </w:rPr>
        <w:t xml:space="preserve">the </w:t>
      </w:r>
      <w:r>
        <w:rPr>
          <w:rFonts w:ascii="Arial" w:hAnsi="Arial" w:cs="Arial"/>
        </w:rPr>
        <w:t>legislative interventions and</w:t>
      </w:r>
      <w:r w:rsidR="003C732F">
        <w:rPr>
          <w:rFonts w:ascii="Arial" w:hAnsi="Arial" w:cs="Arial"/>
        </w:rPr>
        <w:t xml:space="preserve"> accountability of the</w:t>
      </w:r>
      <w:r>
        <w:rPr>
          <w:rFonts w:ascii="Arial" w:hAnsi="Arial" w:cs="Arial"/>
        </w:rPr>
        <w:t xml:space="preserve"> executive</w:t>
      </w:r>
      <w:r w:rsidR="003B53D4">
        <w:rPr>
          <w:rFonts w:ascii="Arial" w:hAnsi="Arial" w:cs="Arial"/>
        </w:rPr>
        <w:t xml:space="preserve"> (and functionaries)</w:t>
      </w:r>
      <w:r w:rsidR="003C732F">
        <w:rPr>
          <w:rFonts w:ascii="Arial" w:hAnsi="Arial" w:cs="Arial"/>
        </w:rPr>
        <w:t xml:space="preserve">, </w:t>
      </w:r>
      <w:r w:rsidR="00F309A2">
        <w:rPr>
          <w:rFonts w:ascii="Arial" w:hAnsi="Arial" w:cs="Arial"/>
        </w:rPr>
        <w:t>are</w:t>
      </w:r>
      <w:r>
        <w:rPr>
          <w:rFonts w:ascii="Arial" w:hAnsi="Arial" w:cs="Arial"/>
        </w:rPr>
        <w:t xml:space="preserve"> essential </w:t>
      </w:r>
      <w:r w:rsidR="003B53D4">
        <w:rPr>
          <w:rFonts w:ascii="Arial" w:hAnsi="Arial" w:cs="Arial"/>
        </w:rPr>
        <w:t xml:space="preserve">for its success </w:t>
      </w:r>
      <w:r>
        <w:rPr>
          <w:rFonts w:ascii="Arial" w:hAnsi="Arial" w:cs="Arial"/>
        </w:rPr>
        <w:t>(</w:t>
      </w:r>
      <w:proofErr w:type="gramStart"/>
      <w:r>
        <w:rPr>
          <w:rFonts w:ascii="Arial" w:hAnsi="Arial" w:cs="Arial"/>
        </w:rPr>
        <w:t>par1.14(</w:t>
      </w:r>
      <w:proofErr w:type="gramEnd"/>
      <w:r>
        <w:rPr>
          <w:rFonts w:ascii="Arial" w:hAnsi="Arial" w:cs="Arial"/>
        </w:rPr>
        <w:t>d)</w:t>
      </w:r>
      <w:r w:rsidR="003B53D4">
        <w:rPr>
          <w:rFonts w:ascii="Arial" w:hAnsi="Arial" w:cs="Arial"/>
        </w:rPr>
        <w:t>)</w:t>
      </w:r>
      <w:r w:rsidR="003C732F">
        <w:rPr>
          <w:rFonts w:ascii="Arial" w:hAnsi="Arial" w:cs="Arial"/>
        </w:rPr>
        <w:t>.</w:t>
      </w:r>
    </w:p>
    <w:p w:rsidR="00C30D90" w:rsidRDefault="003B53D4" w:rsidP="00495123">
      <w:pPr>
        <w:ind w:left="709" w:hanging="709"/>
        <w:jc w:val="both"/>
        <w:rPr>
          <w:rFonts w:ascii="Arial" w:hAnsi="Arial" w:cs="Arial"/>
        </w:rPr>
      </w:pPr>
      <w:r>
        <w:rPr>
          <w:rFonts w:ascii="Arial" w:hAnsi="Arial" w:cs="Arial"/>
        </w:rPr>
        <w:t>1.2.8</w:t>
      </w:r>
      <w:r>
        <w:rPr>
          <w:rFonts w:ascii="Arial" w:hAnsi="Arial" w:cs="Arial"/>
        </w:rPr>
        <w:tab/>
        <w:t>Harsh sentences is of little deterrence (</w:t>
      </w:r>
      <w:r w:rsidRPr="003B53D4">
        <w:rPr>
          <w:rFonts w:ascii="Arial" w:hAnsi="Arial" w:cs="Arial"/>
        </w:rPr>
        <w:t xml:space="preserve">punishment certainty is far more </w:t>
      </w:r>
      <w:r w:rsidR="00C30D90">
        <w:rPr>
          <w:rFonts w:ascii="Arial" w:hAnsi="Arial" w:cs="Arial"/>
        </w:rPr>
        <w:t>likely</w:t>
      </w:r>
      <w:r w:rsidRPr="003B53D4">
        <w:rPr>
          <w:rFonts w:ascii="Arial" w:hAnsi="Arial" w:cs="Arial"/>
        </w:rPr>
        <w:t xml:space="preserve"> to deter crime than punishment severity</w:t>
      </w:r>
      <w:r w:rsidR="000D326E">
        <w:rPr>
          <w:rFonts w:ascii="Arial" w:hAnsi="Arial" w:cs="Arial"/>
        </w:rPr>
        <w:t>) (par 1.16(a))</w:t>
      </w:r>
      <w:r w:rsidR="002C3931">
        <w:rPr>
          <w:rFonts w:ascii="Arial" w:hAnsi="Arial" w:cs="Arial"/>
        </w:rPr>
        <w:t>; 1.18(a)</w:t>
      </w:r>
      <w:r w:rsidR="00C30D90">
        <w:rPr>
          <w:rFonts w:ascii="Arial" w:hAnsi="Arial" w:cs="Arial"/>
        </w:rPr>
        <w:t>; 1.20</w:t>
      </w:r>
      <w:r w:rsidR="00CE6E51">
        <w:rPr>
          <w:rFonts w:ascii="Arial" w:hAnsi="Arial" w:cs="Arial"/>
        </w:rPr>
        <w:t xml:space="preserve">; </w:t>
      </w:r>
      <w:r w:rsidR="00770FD7">
        <w:rPr>
          <w:rFonts w:ascii="Arial" w:hAnsi="Arial" w:cs="Arial"/>
        </w:rPr>
        <w:t>1.27</w:t>
      </w:r>
      <w:r w:rsidR="00742351">
        <w:rPr>
          <w:rFonts w:ascii="Arial" w:hAnsi="Arial" w:cs="Arial"/>
        </w:rPr>
        <w:t>; 1.28A</w:t>
      </w:r>
      <w:r w:rsidR="003C732F">
        <w:rPr>
          <w:rFonts w:ascii="Arial" w:hAnsi="Arial" w:cs="Arial"/>
        </w:rPr>
        <w:t>; 1.30(e)).</w:t>
      </w:r>
    </w:p>
    <w:p w:rsidR="003B53D4" w:rsidRDefault="00C30D90" w:rsidP="00495123">
      <w:pPr>
        <w:ind w:left="709" w:hanging="709"/>
        <w:jc w:val="both"/>
        <w:rPr>
          <w:rFonts w:ascii="Arial" w:hAnsi="Arial" w:cs="Arial"/>
        </w:rPr>
      </w:pPr>
      <w:r>
        <w:rPr>
          <w:rFonts w:ascii="Arial" w:hAnsi="Arial" w:cs="Arial"/>
        </w:rPr>
        <w:t>1.2.9</w:t>
      </w:r>
      <w:r>
        <w:rPr>
          <w:rFonts w:ascii="Arial" w:hAnsi="Arial" w:cs="Arial"/>
        </w:rPr>
        <w:tab/>
      </w:r>
      <w:r w:rsidR="004B4A47">
        <w:rPr>
          <w:rFonts w:ascii="Arial" w:hAnsi="Arial" w:cs="Arial"/>
        </w:rPr>
        <w:t>Deterrent</w:t>
      </w:r>
      <w:r>
        <w:rPr>
          <w:rFonts w:ascii="Arial" w:hAnsi="Arial" w:cs="Arial"/>
        </w:rPr>
        <w:t xml:space="preserve"> sentences must be imposed for GBV offences (par 1.21</w:t>
      </w:r>
      <w:r w:rsidR="004B4A47">
        <w:rPr>
          <w:rFonts w:ascii="Arial" w:hAnsi="Arial" w:cs="Arial"/>
        </w:rPr>
        <w:t>; 1.17</w:t>
      </w:r>
      <w:r w:rsidR="00AA4128">
        <w:rPr>
          <w:rFonts w:ascii="Arial" w:hAnsi="Arial" w:cs="Arial"/>
        </w:rPr>
        <w:t>); assault of women must carry a minimum sentence (par 1.24(d)</w:t>
      </w:r>
      <w:r w:rsidR="00CE6E51">
        <w:rPr>
          <w:rFonts w:ascii="Arial" w:hAnsi="Arial" w:cs="Arial"/>
        </w:rPr>
        <w:t xml:space="preserve"> and (e)</w:t>
      </w:r>
      <w:r w:rsidR="003C732F">
        <w:rPr>
          <w:rFonts w:ascii="Arial" w:hAnsi="Arial" w:cs="Arial"/>
        </w:rPr>
        <w:t>).</w:t>
      </w:r>
    </w:p>
    <w:p w:rsidR="000D326E" w:rsidRDefault="002F7B18" w:rsidP="00495123">
      <w:pPr>
        <w:ind w:left="709" w:hanging="709"/>
        <w:jc w:val="both"/>
        <w:rPr>
          <w:rFonts w:ascii="Arial" w:hAnsi="Arial" w:cs="Arial"/>
        </w:rPr>
      </w:pPr>
      <w:r>
        <w:rPr>
          <w:rFonts w:ascii="Arial" w:hAnsi="Arial" w:cs="Arial"/>
        </w:rPr>
        <w:lastRenderedPageBreak/>
        <w:t>1.2.10</w:t>
      </w:r>
      <w:r w:rsidR="000D326E">
        <w:rPr>
          <w:rFonts w:ascii="Arial" w:hAnsi="Arial" w:cs="Arial"/>
        </w:rPr>
        <w:tab/>
        <w:t>Victim support is necessary</w:t>
      </w:r>
      <w:r w:rsidR="00B20D21">
        <w:rPr>
          <w:rFonts w:ascii="Arial" w:hAnsi="Arial" w:cs="Arial"/>
        </w:rPr>
        <w:t xml:space="preserve"> (par 1.16</w:t>
      </w:r>
      <w:r>
        <w:rPr>
          <w:rFonts w:ascii="Arial" w:hAnsi="Arial" w:cs="Arial"/>
        </w:rPr>
        <w:t>).</w:t>
      </w:r>
    </w:p>
    <w:p w:rsidR="002C3931" w:rsidRDefault="002F7B18" w:rsidP="00495123">
      <w:pPr>
        <w:ind w:left="709" w:hanging="709"/>
        <w:jc w:val="both"/>
        <w:rPr>
          <w:rFonts w:ascii="Arial" w:hAnsi="Arial" w:cs="Arial"/>
        </w:rPr>
      </w:pPr>
      <w:r>
        <w:rPr>
          <w:rFonts w:ascii="Arial" w:hAnsi="Arial" w:cs="Arial"/>
        </w:rPr>
        <w:t>1.2.11</w:t>
      </w:r>
      <w:r w:rsidR="002C3931">
        <w:rPr>
          <w:rFonts w:ascii="Arial" w:hAnsi="Arial" w:cs="Arial"/>
        </w:rPr>
        <w:tab/>
      </w:r>
      <w:r w:rsidR="00C30D90">
        <w:rPr>
          <w:rFonts w:ascii="Arial" w:hAnsi="Arial" w:cs="Arial"/>
        </w:rPr>
        <w:t>Programmes to assist</w:t>
      </w:r>
      <w:r w:rsidR="004B4A47">
        <w:rPr>
          <w:rFonts w:ascii="Arial" w:hAnsi="Arial" w:cs="Arial"/>
        </w:rPr>
        <w:t>/treat</w:t>
      </w:r>
      <w:r w:rsidR="00C30D90">
        <w:rPr>
          <w:rFonts w:ascii="Arial" w:hAnsi="Arial" w:cs="Arial"/>
        </w:rPr>
        <w:t xml:space="preserve"> persons who may commit GBV offences (par 1.16(a)</w:t>
      </w:r>
      <w:r w:rsidR="004B4A47">
        <w:rPr>
          <w:rFonts w:ascii="Arial" w:hAnsi="Arial" w:cs="Arial"/>
        </w:rPr>
        <w:t>; par 1.22</w:t>
      </w:r>
      <w:r w:rsidR="00C30D90">
        <w:rPr>
          <w:rFonts w:ascii="Arial" w:hAnsi="Arial" w:cs="Arial"/>
        </w:rPr>
        <w:t>) and p</w:t>
      </w:r>
      <w:r w:rsidR="002C3931">
        <w:rPr>
          <w:rFonts w:ascii="Arial" w:hAnsi="Arial" w:cs="Arial"/>
        </w:rPr>
        <w:t xml:space="preserve">erpetrator reform </w:t>
      </w:r>
      <w:r w:rsidR="00C30D90">
        <w:rPr>
          <w:rFonts w:ascii="Arial" w:hAnsi="Arial" w:cs="Arial"/>
        </w:rPr>
        <w:t>and integration</w:t>
      </w:r>
      <w:r w:rsidR="002C3931">
        <w:rPr>
          <w:rFonts w:ascii="Arial" w:hAnsi="Arial" w:cs="Arial"/>
        </w:rPr>
        <w:t xml:space="preserve"> (par </w:t>
      </w:r>
      <w:r w:rsidR="004B4A47">
        <w:rPr>
          <w:rFonts w:ascii="Arial" w:hAnsi="Arial" w:cs="Arial"/>
        </w:rPr>
        <w:t>1.16(b);</w:t>
      </w:r>
      <w:r w:rsidR="002C3931">
        <w:rPr>
          <w:rFonts w:ascii="Arial" w:hAnsi="Arial" w:cs="Arial"/>
        </w:rPr>
        <w:t xml:space="preserve"> 1.18</w:t>
      </w:r>
      <w:r w:rsidR="004B4A47">
        <w:rPr>
          <w:rFonts w:ascii="Arial" w:hAnsi="Arial" w:cs="Arial"/>
        </w:rPr>
        <w:t>; 1.17</w:t>
      </w:r>
      <w:r w:rsidR="00F309A2">
        <w:rPr>
          <w:rFonts w:ascii="Arial" w:hAnsi="Arial" w:cs="Arial"/>
        </w:rPr>
        <w:t>; 1.29(c)</w:t>
      </w:r>
      <w:r w:rsidR="00C30D90">
        <w:rPr>
          <w:rFonts w:ascii="Arial" w:hAnsi="Arial" w:cs="Arial"/>
        </w:rPr>
        <w:t>), must receive attention</w:t>
      </w:r>
      <w:r>
        <w:rPr>
          <w:rFonts w:ascii="Arial" w:hAnsi="Arial" w:cs="Arial"/>
        </w:rPr>
        <w:t>.</w:t>
      </w:r>
    </w:p>
    <w:p w:rsidR="002C3931" w:rsidRDefault="002F7B18" w:rsidP="00CE6E51">
      <w:pPr>
        <w:spacing w:after="0"/>
        <w:ind w:left="709" w:hanging="709"/>
        <w:jc w:val="both"/>
        <w:rPr>
          <w:rFonts w:ascii="Arial" w:hAnsi="Arial" w:cs="Arial"/>
        </w:rPr>
      </w:pPr>
      <w:r>
        <w:rPr>
          <w:rFonts w:ascii="Arial" w:hAnsi="Arial" w:cs="Arial"/>
        </w:rPr>
        <w:t>1.2.12</w:t>
      </w:r>
      <w:r w:rsidR="002C3931">
        <w:rPr>
          <w:rFonts w:ascii="Arial" w:hAnsi="Arial" w:cs="Arial"/>
        </w:rPr>
        <w:tab/>
      </w:r>
      <w:r w:rsidR="004B4A47">
        <w:rPr>
          <w:rFonts w:ascii="Arial" w:hAnsi="Arial" w:cs="Arial"/>
        </w:rPr>
        <w:t xml:space="preserve">Sentences imposed for GBV-offences that are not </w:t>
      </w:r>
      <w:r w:rsidR="00770FD7">
        <w:rPr>
          <w:rFonts w:ascii="Arial" w:hAnsi="Arial" w:cs="Arial"/>
        </w:rPr>
        <w:t>adequate</w:t>
      </w:r>
      <w:r w:rsidR="004B4A47">
        <w:rPr>
          <w:rFonts w:ascii="Arial" w:hAnsi="Arial" w:cs="Arial"/>
        </w:rPr>
        <w:t xml:space="preserve"> should be taken on higher review (par 1.22</w:t>
      </w:r>
      <w:r w:rsidR="00742351">
        <w:rPr>
          <w:rFonts w:ascii="Arial" w:hAnsi="Arial" w:cs="Arial"/>
        </w:rPr>
        <w:t>; 1.29</w:t>
      </w:r>
    </w:p>
    <w:p w:rsidR="00770FD7" w:rsidRPr="00495123" w:rsidRDefault="00770FD7" w:rsidP="00CE6E51">
      <w:pPr>
        <w:spacing w:after="0"/>
        <w:ind w:left="709" w:hanging="709"/>
        <w:jc w:val="both"/>
        <w:rPr>
          <w:rFonts w:ascii="Arial" w:hAnsi="Arial" w:cs="Arial"/>
        </w:rPr>
      </w:pPr>
    </w:p>
    <w:p w:rsidR="00495123" w:rsidRDefault="002F7B18" w:rsidP="00CE6E51">
      <w:pPr>
        <w:spacing w:after="0"/>
        <w:jc w:val="both"/>
        <w:rPr>
          <w:rFonts w:ascii="Arial" w:hAnsi="Arial" w:cs="Arial"/>
        </w:rPr>
      </w:pPr>
      <w:r>
        <w:rPr>
          <w:rFonts w:ascii="Arial" w:hAnsi="Arial" w:cs="Arial"/>
        </w:rPr>
        <w:t>1.2.13</w:t>
      </w:r>
      <w:r w:rsidR="00AA4128">
        <w:rPr>
          <w:rFonts w:ascii="Arial" w:hAnsi="Arial" w:cs="Arial"/>
        </w:rPr>
        <w:t xml:space="preserve"> Perpetrators of GBV offences must be liable for medical expenses </w:t>
      </w:r>
      <w:r>
        <w:rPr>
          <w:rFonts w:ascii="Arial" w:hAnsi="Arial" w:cs="Arial"/>
        </w:rPr>
        <w:t xml:space="preserve">of a victim </w:t>
      </w:r>
      <w:r w:rsidR="00AA4128">
        <w:rPr>
          <w:rFonts w:ascii="Arial" w:hAnsi="Arial" w:cs="Arial"/>
        </w:rPr>
        <w:t>(par 1.2(f))</w:t>
      </w:r>
      <w:r>
        <w:rPr>
          <w:rFonts w:ascii="Arial" w:hAnsi="Arial" w:cs="Arial"/>
        </w:rPr>
        <w:t>.</w:t>
      </w:r>
    </w:p>
    <w:p w:rsidR="00AA4128" w:rsidRDefault="00AA4128" w:rsidP="00CE6E51">
      <w:pPr>
        <w:spacing w:after="0"/>
        <w:jc w:val="both"/>
        <w:rPr>
          <w:rFonts w:ascii="Arial" w:hAnsi="Arial" w:cs="Arial"/>
        </w:rPr>
      </w:pPr>
    </w:p>
    <w:p w:rsidR="00AA4128" w:rsidRDefault="002F7B18" w:rsidP="00CE6E51">
      <w:pPr>
        <w:spacing w:after="0"/>
        <w:ind w:left="709" w:hanging="709"/>
        <w:jc w:val="both"/>
        <w:rPr>
          <w:rFonts w:ascii="Arial" w:hAnsi="Arial" w:cs="Arial"/>
        </w:rPr>
      </w:pPr>
      <w:r>
        <w:rPr>
          <w:rFonts w:ascii="Arial" w:hAnsi="Arial" w:cs="Arial"/>
        </w:rPr>
        <w:t>1.2.14</w:t>
      </w:r>
      <w:r w:rsidR="00AA4128">
        <w:rPr>
          <w:rFonts w:ascii="Arial" w:hAnsi="Arial" w:cs="Arial"/>
        </w:rPr>
        <w:tab/>
      </w:r>
      <w:r w:rsidR="00CE6E51">
        <w:rPr>
          <w:rFonts w:ascii="Arial" w:hAnsi="Arial" w:cs="Arial"/>
        </w:rPr>
        <w:t xml:space="preserve">Many GBV-offences are committed by sentenced offenders, persons on bail and persons on parole or correctional supervision and the provisions of the Bill should further be strengthened to address this aspect </w:t>
      </w:r>
      <w:r w:rsidR="00AA4128">
        <w:rPr>
          <w:rFonts w:ascii="Arial" w:hAnsi="Arial" w:cs="Arial"/>
        </w:rPr>
        <w:t>(par</w:t>
      </w:r>
      <w:r w:rsidR="00CE6E51">
        <w:rPr>
          <w:rFonts w:ascii="Arial" w:hAnsi="Arial" w:cs="Arial"/>
        </w:rPr>
        <w:t xml:space="preserve"> 1. 25)</w:t>
      </w:r>
      <w:r>
        <w:rPr>
          <w:rFonts w:ascii="Arial" w:hAnsi="Arial" w:cs="Arial"/>
        </w:rPr>
        <w:t>.</w:t>
      </w:r>
    </w:p>
    <w:p w:rsidR="003F481A" w:rsidRDefault="003F481A" w:rsidP="00CE6E51">
      <w:pPr>
        <w:spacing w:after="0"/>
        <w:ind w:left="709" w:hanging="709"/>
        <w:jc w:val="both"/>
        <w:rPr>
          <w:rFonts w:ascii="Arial" w:hAnsi="Arial" w:cs="Arial"/>
        </w:rPr>
      </w:pPr>
    </w:p>
    <w:p w:rsidR="003F481A" w:rsidRDefault="002F7B18" w:rsidP="00CE6E51">
      <w:pPr>
        <w:spacing w:after="0"/>
        <w:ind w:left="709" w:hanging="709"/>
        <w:jc w:val="both"/>
        <w:rPr>
          <w:rFonts w:ascii="Arial" w:hAnsi="Arial" w:cs="Arial"/>
        </w:rPr>
      </w:pPr>
      <w:r>
        <w:rPr>
          <w:rFonts w:ascii="Arial" w:hAnsi="Arial" w:cs="Arial"/>
        </w:rPr>
        <w:t>1.2.15</w:t>
      </w:r>
      <w:r w:rsidR="003F481A">
        <w:rPr>
          <w:rFonts w:ascii="Arial" w:hAnsi="Arial" w:cs="Arial"/>
        </w:rPr>
        <w:tab/>
        <w:t>The NPA must automatically inform the victim of a GBV offence of its intention to prosecute or not to prosecute a matter and must furnish comprehensive reasons to a victim if it is not to prosecuted (par 1.26(c))</w:t>
      </w:r>
    </w:p>
    <w:p w:rsidR="00770FD7" w:rsidRDefault="00770FD7" w:rsidP="00CE6E51">
      <w:pPr>
        <w:spacing w:after="0"/>
        <w:ind w:left="709" w:hanging="709"/>
        <w:jc w:val="both"/>
        <w:rPr>
          <w:rFonts w:ascii="Arial" w:hAnsi="Arial" w:cs="Arial"/>
        </w:rPr>
      </w:pPr>
    </w:p>
    <w:p w:rsidR="00770FD7" w:rsidRDefault="002F7B18" w:rsidP="00CE6E51">
      <w:pPr>
        <w:spacing w:after="0"/>
        <w:ind w:left="709" w:hanging="709"/>
        <w:jc w:val="both"/>
        <w:rPr>
          <w:rFonts w:ascii="Arial" w:hAnsi="Arial" w:cs="Arial"/>
        </w:rPr>
      </w:pPr>
      <w:r>
        <w:rPr>
          <w:rFonts w:ascii="Arial" w:hAnsi="Arial" w:cs="Arial"/>
        </w:rPr>
        <w:t>1.2.16</w:t>
      </w:r>
      <w:r w:rsidR="00770FD7">
        <w:rPr>
          <w:rFonts w:ascii="Arial" w:hAnsi="Arial" w:cs="Arial"/>
        </w:rPr>
        <w:t xml:space="preserve">The increased protection that is afforded to witnesses who testify in non-criminal proceedings </w:t>
      </w:r>
      <w:r w:rsidR="00E72209">
        <w:rPr>
          <w:rFonts w:ascii="Arial" w:hAnsi="Arial" w:cs="Arial"/>
        </w:rPr>
        <w:t>is</w:t>
      </w:r>
      <w:r w:rsidR="00770FD7">
        <w:rPr>
          <w:rFonts w:ascii="Arial" w:hAnsi="Arial" w:cs="Arial"/>
        </w:rPr>
        <w:t xml:space="preserve"> welcomed (par 1.26A</w:t>
      </w:r>
      <w:r>
        <w:rPr>
          <w:rFonts w:ascii="Arial" w:hAnsi="Arial" w:cs="Arial"/>
        </w:rPr>
        <w:t>).</w:t>
      </w:r>
    </w:p>
    <w:p w:rsidR="00E72209" w:rsidRDefault="00E72209" w:rsidP="00CE6E51">
      <w:pPr>
        <w:spacing w:after="0"/>
        <w:ind w:left="709" w:hanging="709"/>
        <w:jc w:val="both"/>
        <w:rPr>
          <w:rFonts w:ascii="Arial" w:hAnsi="Arial" w:cs="Arial"/>
        </w:rPr>
      </w:pPr>
    </w:p>
    <w:p w:rsidR="00E72209" w:rsidRDefault="002F7B18" w:rsidP="00CE6E51">
      <w:pPr>
        <w:spacing w:after="0"/>
        <w:ind w:left="709" w:hanging="709"/>
        <w:jc w:val="both"/>
        <w:rPr>
          <w:rFonts w:ascii="Arial" w:hAnsi="Arial" w:cs="Arial"/>
        </w:rPr>
      </w:pPr>
      <w:r>
        <w:rPr>
          <w:rFonts w:ascii="Arial" w:hAnsi="Arial" w:cs="Arial"/>
        </w:rPr>
        <w:t>1.2.17</w:t>
      </w:r>
      <w:r w:rsidR="00E72209">
        <w:rPr>
          <w:rFonts w:ascii="Arial" w:hAnsi="Arial" w:cs="Arial"/>
        </w:rPr>
        <w:tab/>
      </w:r>
      <w:r>
        <w:rPr>
          <w:rFonts w:ascii="Arial" w:hAnsi="Arial" w:cs="Arial"/>
        </w:rPr>
        <w:t>Any</w:t>
      </w:r>
      <w:r w:rsidR="00E72209">
        <w:rPr>
          <w:rFonts w:ascii="Arial" w:hAnsi="Arial" w:cs="Arial"/>
        </w:rPr>
        <w:t xml:space="preserve">failure </w:t>
      </w:r>
      <w:r>
        <w:rPr>
          <w:rFonts w:ascii="Arial" w:hAnsi="Arial" w:cs="Arial"/>
        </w:rPr>
        <w:t>in</w:t>
      </w:r>
      <w:r w:rsidR="00E72209">
        <w:rPr>
          <w:rFonts w:ascii="Arial" w:hAnsi="Arial" w:cs="Arial"/>
        </w:rPr>
        <w:t xml:space="preserve"> the system to </w:t>
      </w:r>
      <w:r w:rsidR="00742351">
        <w:rPr>
          <w:rFonts w:ascii="Arial" w:hAnsi="Arial" w:cs="Arial"/>
        </w:rPr>
        <w:t xml:space="preserve">deal </w:t>
      </w:r>
      <w:r w:rsidR="00E72209">
        <w:rPr>
          <w:rFonts w:ascii="Arial" w:hAnsi="Arial" w:cs="Arial"/>
        </w:rPr>
        <w:t xml:space="preserve">adequately </w:t>
      </w:r>
      <w:r w:rsidR="00742351">
        <w:rPr>
          <w:rFonts w:ascii="Arial" w:hAnsi="Arial" w:cs="Arial"/>
        </w:rPr>
        <w:t>with GBV offences, must be identified, and corrective actions should be taken to address inadequacies that hampers its effectiveness (par 1.27</w:t>
      </w:r>
      <w:r>
        <w:rPr>
          <w:rFonts w:ascii="Arial" w:hAnsi="Arial" w:cs="Arial"/>
        </w:rPr>
        <w:t>).</w:t>
      </w:r>
    </w:p>
    <w:p w:rsidR="00F309A2" w:rsidRDefault="00F309A2" w:rsidP="00CE6E51">
      <w:pPr>
        <w:spacing w:after="0"/>
        <w:ind w:left="709" w:hanging="709"/>
        <w:jc w:val="both"/>
        <w:rPr>
          <w:rFonts w:ascii="Arial" w:hAnsi="Arial" w:cs="Arial"/>
        </w:rPr>
      </w:pPr>
    </w:p>
    <w:p w:rsidR="00F309A2" w:rsidRDefault="002F7B18" w:rsidP="00CE6E51">
      <w:pPr>
        <w:spacing w:after="0"/>
        <w:ind w:left="709" w:hanging="709"/>
        <w:jc w:val="both"/>
        <w:rPr>
          <w:rFonts w:ascii="Arial" w:hAnsi="Arial" w:cs="Arial"/>
        </w:rPr>
      </w:pPr>
      <w:r>
        <w:rPr>
          <w:rFonts w:ascii="Arial" w:hAnsi="Arial" w:cs="Arial"/>
        </w:rPr>
        <w:t>1.2.18</w:t>
      </w:r>
      <w:r w:rsidR="00F309A2">
        <w:rPr>
          <w:rFonts w:ascii="Arial" w:hAnsi="Arial" w:cs="Arial"/>
        </w:rPr>
        <w:t>Further amendments may be considered to deal with evidence and procedure in GBV offences that are of a sexual nature (par 1.29).</w:t>
      </w:r>
    </w:p>
    <w:p w:rsidR="003C732F" w:rsidRDefault="003C732F" w:rsidP="00CE6E51">
      <w:pPr>
        <w:spacing w:after="0"/>
        <w:ind w:left="709" w:hanging="709"/>
        <w:jc w:val="both"/>
        <w:rPr>
          <w:rFonts w:ascii="Arial" w:hAnsi="Arial" w:cs="Arial"/>
        </w:rPr>
      </w:pPr>
    </w:p>
    <w:p w:rsidR="003C732F" w:rsidRDefault="002F7B18" w:rsidP="00CE6E51">
      <w:pPr>
        <w:spacing w:after="0"/>
        <w:ind w:left="709" w:hanging="709"/>
        <w:jc w:val="both"/>
        <w:rPr>
          <w:rFonts w:ascii="Arial" w:hAnsi="Arial" w:cs="Arial"/>
        </w:rPr>
      </w:pPr>
      <w:r>
        <w:rPr>
          <w:rFonts w:ascii="Arial" w:hAnsi="Arial" w:cs="Arial"/>
        </w:rPr>
        <w:t>1.2.19</w:t>
      </w:r>
      <w:r w:rsidR="003C732F">
        <w:rPr>
          <w:rFonts w:ascii="Arial" w:hAnsi="Arial" w:cs="Arial"/>
        </w:rPr>
        <w:tab/>
        <w:t>Bail for GBV offences should be strengthen further to bring it in line with offences in Schedule 6 to the CPA (par 1.32)</w:t>
      </w:r>
      <w:r>
        <w:rPr>
          <w:rFonts w:ascii="Arial" w:hAnsi="Arial" w:cs="Arial"/>
        </w:rPr>
        <w:t>.</w:t>
      </w:r>
    </w:p>
    <w:p w:rsidR="00F309A2" w:rsidRDefault="00F309A2" w:rsidP="00CE6E51">
      <w:pPr>
        <w:spacing w:after="0"/>
        <w:ind w:left="709" w:hanging="709"/>
        <w:jc w:val="both"/>
        <w:rPr>
          <w:rFonts w:ascii="Arial" w:hAnsi="Arial" w:cs="Arial"/>
        </w:rPr>
      </w:pPr>
    </w:p>
    <w:p w:rsidR="00F309A2" w:rsidRDefault="002F7B18" w:rsidP="00CE6E51">
      <w:pPr>
        <w:spacing w:after="0"/>
        <w:ind w:left="709" w:hanging="709"/>
        <w:jc w:val="both"/>
        <w:rPr>
          <w:rFonts w:ascii="Arial" w:hAnsi="Arial" w:cs="Arial"/>
        </w:rPr>
      </w:pPr>
      <w:r>
        <w:rPr>
          <w:rFonts w:ascii="Arial" w:hAnsi="Arial" w:cs="Arial"/>
        </w:rPr>
        <w:t>1.2.20</w:t>
      </w:r>
      <w:r w:rsidR="00F309A2">
        <w:rPr>
          <w:rFonts w:ascii="Arial" w:hAnsi="Arial" w:cs="Arial"/>
        </w:rPr>
        <w:tab/>
      </w:r>
      <w:proofErr w:type="gramStart"/>
      <w:r w:rsidR="00F309A2">
        <w:rPr>
          <w:rFonts w:ascii="Arial" w:hAnsi="Arial" w:cs="Arial"/>
        </w:rPr>
        <w:t>The</w:t>
      </w:r>
      <w:proofErr w:type="gramEnd"/>
      <w:r w:rsidR="00F309A2">
        <w:rPr>
          <w:rFonts w:ascii="Arial" w:hAnsi="Arial" w:cs="Arial"/>
        </w:rPr>
        <w:t xml:space="preserve"> restrictive bail provisions will burden the workload of the courts</w:t>
      </w:r>
      <w:r w:rsidR="003C732F">
        <w:rPr>
          <w:rFonts w:ascii="Arial" w:hAnsi="Arial" w:cs="Arial"/>
        </w:rPr>
        <w:t xml:space="preserve"> (par 1.30(d))</w:t>
      </w:r>
      <w:r>
        <w:rPr>
          <w:rFonts w:ascii="Arial" w:hAnsi="Arial" w:cs="Arial"/>
        </w:rPr>
        <w:t>.</w:t>
      </w:r>
    </w:p>
    <w:p w:rsidR="002F7B18" w:rsidRDefault="002F7B18" w:rsidP="00CE6E51">
      <w:pPr>
        <w:spacing w:after="0"/>
        <w:ind w:left="709" w:hanging="709"/>
        <w:jc w:val="both"/>
        <w:rPr>
          <w:rFonts w:ascii="Arial" w:hAnsi="Arial" w:cs="Arial"/>
        </w:rPr>
      </w:pPr>
    </w:p>
    <w:p w:rsidR="002F7B18" w:rsidRDefault="002F7B18" w:rsidP="00617C31">
      <w:pPr>
        <w:spacing w:after="0"/>
        <w:jc w:val="both"/>
        <w:rPr>
          <w:rFonts w:ascii="Arial" w:hAnsi="Arial" w:cs="Arial"/>
          <w:b/>
        </w:rPr>
      </w:pPr>
      <w:r w:rsidRPr="002F7B18">
        <w:rPr>
          <w:rFonts w:ascii="Arial" w:hAnsi="Arial" w:cs="Arial"/>
          <w:b/>
        </w:rPr>
        <w:t>2.</w:t>
      </w:r>
      <w:r>
        <w:rPr>
          <w:rFonts w:ascii="Arial" w:hAnsi="Arial" w:cs="Arial"/>
        </w:rPr>
        <w:tab/>
      </w:r>
      <w:r w:rsidRPr="00263410">
        <w:rPr>
          <w:rFonts w:ascii="Arial" w:hAnsi="Arial" w:cs="Arial"/>
          <w:b/>
        </w:rPr>
        <w:t>Clause 1</w:t>
      </w:r>
      <w:r>
        <w:rPr>
          <w:rFonts w:ascii="Arial" w:hAnsi="Arial" w:cs="Arial"/>
          <w:b/>
        </w:rPr>
        <w:t xml:space="preserve"> and 8: I</w:t>
      </w:r>
      <w:r w:rsidRPr="004963C9">
        <w:rPr>
          <w:rFonts w:ascii="Arial" w:hAnsi="Arial" w:cs="Arial"/>
          <w:b/>
        </w:rPr>
        <w:t>ntermediaries</w:t>
      </w:r>
      <w:r>
        <w:rPr>
          <w:rFonts w:ascii="Arial" w:hAnsi="Arial" w:cs="Arial"/>
          <w:b/>
        </w:rPr>
        <w:t xml:space="preserve"> and </w:t>
      </w:r>
      <w:r w:rsidRPr="004963C9">
        <w:rPr>
          <w:rFonts w:ascii="Arial" w:hAnsi="Arial" w:cs="Arial"/>
          <w:b/>
        </w:rPr>
        <w:t>evidence through audiovisual link</w:t>
      </w:r>
      <w:r w:rsidR="003672EB">
        <w:rPr>
          <w:rFonts w:ascii="Arial" w:hAnsi="Arial" w:cs="Arial"/>
          <w:b/>
        </w:rPr>
        <w:t xml:space="preserve"> (pages 38 to 45)</w:t>
      </w:r>
    </w:p>
    <w:p w:rsidR="003672EB" w:rsidRDefault="003672EB" w:rsidP="00CE6E51">
      <w:pPr>
        <w:spacing w:after="0"/>
        <w:ind w:left="709" w:hanging="709"/>
        <w:jc w:val="both"/>
        <w:rPr>
          <w:rFonts w:ascii="Arial" w:hAnsi="Arial" w:cs="Arial"/>
          <w:b/>
        </w:rPr>
      </w:pPr>
    </w:p>
    <w:p w:rsidR="00617C31" w:rsidRDefault="00617C31" w:rsidP="00617C31">
      <w:pPr>
        <w:spacing w:after="0"/>
        <w:jc w:val="both"/>
        <w:rPr>
          <w:rFonts w:ascii="Arial" w:hAnsi="Arial" w:cs="Arial"/>
        </w:rPr>
      </w:pPr>
      <w:r>
        <w:rPr>
          <w:rFonts w:ascii="Arial" w:hAnsi="Arial" w:cs="Arial"/>
        </w:rPr>
        <w:t>The provisions are supported by all commentators</w:t>
      </w:r>
      <w:r w:rsidR="003672EB">
        <w:rPr>
          <w:rFonts w:ascii="Arial" w:hAnsi="Arial" w:cs="Arial"/>
        </w:rPr>
        <w:t>. The</w:t>
      </w:r>
      <w:r>
        <w:rPr>
          <w:rFonts w:ascii="Arial" w:hAnsi="Arial" w:cs="Arial"/>
        </w:rPr>
        <w:t xml:space="preserve"> following amendments have been proposed:</w:t>
      </w:r>
    </w:p>
    <w:tbl>
      <w:tblPr>
        <w:tblStyle w:val="TableGrid"/>
        <w:tblW w:w="0" w:type="auto"/>
        <w:tblLook w:val="04A0"/>
      </w:tblPr>
      <w:tblGrid>
        <w:gridCol w:w="1101"/>
        <w:gridCol w:w="3685"/>
        <w:gridCol w:w="4790"/>
      </w:tblGrid>
      <w:tr w:rsidR="00617C31" w:rsidTr="00617C31">
        <w:tc>
          <w:tcPr>
            <w:tcW w:w="1101" w:type="dxa"/>
          </w:tcPr>
          <w:p w:rsidR="00617C31" w:rsidRDefault="00617C31" w:rsidP="00617C31">
            <w:pPr>
              <w:jc w:val="both"/>
              <w:rPr>
                <w:rFonts w:ascii="Arial" w:hAnsi="Arial" w:cs="Arial"/>
              </w:rPr>
            </w:pPr>
            <w:r>
              <w:rPr>
                <w:rFonts w:ascii="Arial" w:hAnsi="Arial" w:cs="Arial"/>
              </w:rPr>
              <w:t>Par</w:t>
            </w:r>
          </w:p>
        </w:tc>
        <w:tc>
          <w:tcPr>
            <w:tcW w:w="3685" w:type="dxa"/>
          </w:tcPr>
          <w:p w:rsidR="00617C31" w:rsidRDefault="00617C31" w:rsidP="00617C31">
            <w:pPr>
              <w:jc w:val="both"/>
              <w:rPr>
                <w:rFonts w:ascii="Arial" w:hAnsi="Arial" w:cs="Arial"/>
              </w:rPr>
            </w:pPr>
          </w:p>
        </w:tc>
        <w:tc>
          <w:tcPr>
            <w:tcW w:w="4790" w:type="dxa"/>
          </w:tcPr>
          <w:p w:rsidR="00617C31" w:rsidRDefault="00617C31" w:rsidP="00617C31">
            <w:pPr>
              <w:jc w:val="both"/>
              <w:rPr>
                <w:rFonts w:ascii="Arial" w:hAnsi="Arial" w:cs="Arial"/>
              </w:rPr>
            </w:pPr>
          </w:p>
        </w:tc>
      </w:tr>
      <w:tr w:rsidR="00617C31" w:rsidTr="00617C31">
        <w:tc>
          <w:tcPr>
            <w:tcW w:w="1101" w:type="dxa"/>
          </w:tcPr>
          <w:p w:rsidR="00617C31" w:rsidRDefault="00617C31" w:rsidP="00617C31">
            <w:pPr>
              <w:jc w:val="both"/>
              <w:rPr>
                <w:rFonts w:ascii="Arial" w:hAnsi="Arial" w:cs="Arial"/>
              </w:rPr>
            </w:pPr>
            <w:r>
              <w:rPr>
                <w:rFonts w:ascii="Arial" w:hAnsi="Arial" w:cs="Arial"/>
              </w:rPr>
              <w:t>2.2(a)</w:t>
            </w:r>
          </w:p>
        </w:tc>
        <w:tc>
          <w:tcPr>
            <w:tcW w:w="3685" w:type="dxa"/>
          </w:tcPr>
          <w:p w:rsidR="00617C31" w:rsidRPr="00617C31" w:rsidRDefault="00617C31" w:rsidP="00617C31">
            <w:pPr>
              <w:jc w:val="both"/>
              <w:rPr>
                <w:rFonts w:ascii="Arial" w:hAnsi="Arial" w:cs="Arial"/>
                <w:b/>
                <w:i/>
                <w:u w:val="single"/>
              </w:rPr>
            </w:pPr>
            <w:r w:rsidRPr="00617C31">
              <w:rPr>
                <w:rFonts w:ascii="Arial" w:hAnsi="Arial" w:cs="Arial"/>
                <w:b/>
                <w:i/>
                <w:u w:val="single"/>
              </w:rPr>
              <w:t>Sections 51A(1) of the MCA and 37A(1) of the SCA:</w:t>
            </w:r>
          </w:p>
          <w:p w:rsidR="00617C31" w:rsidRDefault="00617C31" w:rsidP="00617C31">
            <w:pPr>
              <w:jc w:val="both"/>
              <w:rPr>
                <w:rFonts w:ascii="Arial" w:hAnsi="Arial" w:cs="Arial"/>
              </w:rPr>
            </w:pPr>
            <w:r>
              <w:rPr>
                <w:rFonts w:ascii="Arial" w:hAnsi="Arial" w:cs="Arial"/>
              </w:rPr>
              <w:t xml:space="preserve">Person for whom intermediaries may be appointed </w:t>
            </w:r>
            <w:proofErr w:type="spellStart"/>
            <w:r>
              <w:rPr>
                <w:rFonts w:ascii="Arial" w:hAnsi="Arial" w:cs="Arial"/>
              </w:rPr>
              <w:t>nust</w:t>
            </w:r>
            <w:proofErr w:type="spellEnd"/>
            <w:r>
              <w:rPr>
                <w:rFonts w:ascii="Arial" w:hAnsi="Arial" w:cs="Arial"/>
              </w:rPr>
              <w:t xml:space="preserve"> be extended to include a person </w:t>
            </w:r>
            <w:r w:rsidRPr="00617C31">
              <w:rPr>
                <w:rFonts w:ascii="Arial" w:hAnsi="Arial" w:cs="Arial"/>
              </w:rPr>
              <w:t xml:space="preserve">“who </w:t>
            </w:r>
            <w:r w:rsidRPr="00617C31">
              <w:rPr>
                <w:rFonts w:ascii="Arial" w:hAnsi="Arial" w:cs="Arial"/>
              </w:rPr>
              <w:lastRenderedPageBreak/>
              <w:t xml:space="preserve">exhibits lack </w:t>
            </w:r>
            <w:r>
              <w:rPr>
                <w:rFonts w:ascii="Arial" w:hAnsi="Arial" w:cs="Arial"/>
              </w:rPr>
              <w:t>of capacity to act for oneself”</w:t>
            </w:r>
          </w:p>
        </w:tc>
        <w:tc>
          <w:tcPr>
            <w:tcW w:w="4790" w:type="dxa"/>
          </w:tcPr>
          <w:p w:rsidR="00617C31" w:rsidRPr="00617C31" w:rsidRDefault="00BD6626" w:rsidP="00617C31">
            <w:pPr>
              <w:jc w:val="both"/>
              <w:rPr>
                <w:rFonts w:ascii="Arial" w:hAnsi="Arial" w:cs="Arial"/>
                <w:b/>
                <w:i/>
              </w:rPr>
            </w:pPr>
            <w:r>
              <w:rPr>
                <w:rFonts w:ascii="Arial" w:hAnsi="Arial" w:cs="Arial"/>
                <w:b/>
                <w:i/>
              </w:rPr>
              <w:lastRenderedPageBreak/>
              <w:t xml:space="preserve">No amendments </w:t>
            </w:r>
            <w:r w:rsidR="00617C31">
              <w:rPr>
                <w:rFonts w:ascii="Arial" w:hAnsi="Arial" w:cs="Arial"/>
                <w:b/>
                <w:i/>
              </w:rPr>
              <w:t>recommended:</w:t>
            </w:r>
          </w:p>
          <w:p w:rsidR="00617C31" w:rsidRDefault="00617C31" w:rsidP="00617C31">
            <w:pPr>
              <w:jc w:val="both"/>
              <w:rPr>
                <w:rFonts w:ascii="Arial" w:hAnsi="Arial" w:cs="Arial"/>
              </w:rPr>
            </w:pPr>
            <w:r>
              <w:rPr>
                <w:rFonts w:ascii="Arial" w:hAnsi="Arial" w:cs="Arial"/>
              </w:rPr>
              <w:t xml:space="preserve">The </w:t>
            </w:r>
            <w:r w:rsidRPr="00617C31">
              <w:rPr>
                <w:rFonts w:ascii="Arial" w:hAnsi="Arial" w:cs="Arial"/>
              </w:rPr>
              <w:t>"lack of capacity to act for oneself" can be accommodated under the criteria of "who suffers from a physical, psychological, mental or emotional Condition". No amendment</w:t>
            </w:r>
          </w:p>
        </w:tc>
      </w:tr>
      <w:tr w:rsidR="00617C31" w:rsidTr="00617C31">
        <w:tc>
          <w:tcPr>
            <w:tcW w:w="1101" w:type="dxa"/>
          </w:tcPr>
          <w:p w:rsidR="00617C31" w:rsidRDefault="00617C31" w:rsidP="00617C31">
            <w:pPr>
              <w:jc w:val="both"/>
              <w:rPr>
                <w:rFonts w:ascii="Arial" w:hAnsi="Arial" w:cs="Arial"/>
              </w:rPr>
            </w:pPr>
            <w:r>
              <w:rPr>
                <w:rFonts w:ascii="Arial" w:hAnsi="Arial" w:cs="Arial"/>
              </w:rPr>
              <w:lastRenderedPageBreak/>
              <w:t>2.2(b)</w:t>
            </w:r>
          </w:p>
        </w:tc>
        <w:tc>
          <w:tcPr>
            <w:tcW w:w="3685" w:type="dxa"/>
          </w:tcPr>
          <w:p w:rsidR="00617C31" w:rsidRDefault="00BD6626" w:rsidP="00617C31">
            <w:pPr>
              <w:jc w:val="both"/>
              <w:rPr>
                <w:rFonts w:ascii="Arial" w:hAnsi="Arial" w:cs="Arial"/>
                <w:b/>
                <w:i/>
                <w:u w:val="single"/>
              </w:rPr>
            </w:pPr>
            <w:r w:rsidRPr="00BD6626">
              <w:rPr>
                <w:rFonts w:ascii="Arial" w:hAnsi="Arial" w:cs="Arial"/>
                <w:b/>
                <w:i/>
                <w:u w:val="single"/>
              </w:rPr>
              <w:t>Section 51B(2) of MCA and 37B(2) SCA</w:t>
            </w:r>
            <w:r>
              <w:rPr>
                <w:rFonts w:ascii="Arial" w:hAnsi="Arial" w:cs="Arial"/>
                <w:b/>
                <w:i/>
                <w:u w:val="single"/>
              </w:rPr>
              <w:t>:</w:t>
            </w:r>
          </w:p>
          <w:p w:rsidR="00BD6626" w:rsidRPr="00BD6626" w:rsidRDefault="00BD6626" w:rsidP="00617C31">
            <w:pPr>
              <w:jc w:val="both"/>
              <w:rPr>
                <w:rFonts w:ascii="Arial" w:hAnsi="Arial" w:cs="Arial"/>
              </w:rPr>
            </w:pPr>
            <w:r>
              <w:rPr>
                <w:rFonts w:ascii="Arial" w:hAnsi="Arial" w:cs="Arial"/>
              </w:rPr>
              <w:t>E</w:t>
            </w:r>
            <w:r w:rsidRPr="00BD6626">
              <w:rPr>
                <w:rFonts w:ascii="Arial" w:hAnsi="Arial" w:cs="Arial"/>
              </w:rPr>
              <w:t>nquiry into the competence of an intermediary should include an enquiry into whether the intermediary has a sexual offence record</w:t>
            </w:r>
          </w:p>
          <w:p w:rsidR="00BD6626" w:rsidRPr="00BD6626" w:rsidRDefault="00BD6626" w:rsidP="00617C31">
            <w:pPr>
              <w:jc w:val="both"/>
              <w:rPr>
                <w:rFonts w:ascii="Arial" w:hAnsi="Arial" w:cs="Arial"/>
                <w:u w:val="single"/>
              </w:rPr>
            </w:pPr>
          </w:p>
        </w:tc>
        <w:tc>
          <w:tcPr>
            <w:tcW w:w="4790" w:type="dxa"/>
          </w:tcPr>
          <w:p w:rsidR="00BD6626" w:rsidRPr="00617C31" w:rsidRDefault="00BD6626" w:rsidP="00BD6626">
            <w:pPr>
              <w:jc w:val="both"/>
              <w:rPr>
                <w:rFonts w:ascii="Arial" w:hAnsi="Arial" w:cs="Arial"/>
                <w:b/>
                <w:i/>
              </w:rPr>
            </w:pPr>
            <w:r>
              <w:rPr>
                <w:rFonts w:ascii="Arial" w:hAnsi="Arial" w:cs="Arial"/>
                <w:b/>
                <w:i/>
              </w:rPr>
              <w:t>No amendments recommended:</w:t>
            </w:r>
          </w:p>
          <w:p w:rsidR="00BD6626" w:rsidRDefault="00BD6626" w:rsidP="00617C31">
            <w:pPr>
              <w:jc w:val="both"/>
              <w:rPr>
                <w:rFonts w:ascii="Arial" w:hAnsi="Arial" w:cs="Arial"/>
              </w:rPr>
            </w:pPr>
            <w:r w:rsidRPr="00BD6626">
              <w:rPr>
                <w:rFonts w:ascii="Arial" w:hAnsi="Arial" w:cs="Arial"/>
              </w:rPr>
              <w:t xml:space="preserve">The criteria to determine the fitness of a person for appointment </w:t>
            </w:r>
            <w:r>
              <w:rPr>
                <w:rFonts w:ascii="Arial" w:hAnsi="Arial" w:cs="Arial"/>
              </w:rPr>
              <w:t xml:space="preserve">as an intermediary </w:t>
            </w:r>
            <w:r w:rsidRPr="00BD6626">
              <w:rPr>
                <w:rFonts w:ascii="Arial" w:hAnsi="Arial" w:cs="Arial"/>
              </w:rPr>
              <w:t xml:space="preserve">is specified in the proposed </w:t>
            </w:r>
            <w:proofErr w:type="gramStart"/>
            <w:r w:rsidRPr="00BD6626">
              <w:rPr>
                <w:rFonts w:ascii="Arial" w:hAnsi="Arial" w:cs="Arial"/>
              </w:rPr>
              <w:t>51B(</w:t>
            </w:r>
            <w:proofErr w:type="gramEnd"/>
            <w:r w:rsidRPr="00BD6626">
              <w:rPr>
                <w:rFonts w:ascii="Arial" w:hAnsi="Arial" w:cs="Arial"/>
              </w:rPr>
              <w:t>2)</w:t>
            </w:r>
            <w:r w:rsidRPr="00BD6626">
              <w:rPr>
                <w:rFonts w:ascii="Arial" w:hAnsi="Arial" w:cs="Arial"/>
                <w:i/>
              </w:rPr>
              <w:t>(b)</w:t>
            </w:r>
            <w:r w:rsidRPr="00BD6626">
              <w:rPr>
                <w:rFonts w:ascii="Arial" w:hAnsi="Arial" w:cs="Arial"/>
              </w:rPr>
              <w:t xml:space="preserve"> of the MCA, 37B(2)</w:t>
            </w:r>
            <w:r w:rsidRPr="00BD6626">
              <w:rPr>
                <w:rFonts w:ascii="Arial" w:hAnsi="Arial" w:cs="Arial"/>
                <w:i/>
              </w:rPr>
              <w:t>(b)</w:t>
            </w:r>
            <w:r w:rsidRPr="00BD6626">
              <w:rPr>
                <w:rFonts w:ascii="Arial" w:hAnsi="Arial" w:cs="Arial"/>
              </w:rPr>
              <w:t xml:space="preserve"> of the SCA and 170A(11)</w:t>
            </w:r>
            <w:r w:rsidRPr="00BD6626">
              <w:rPr>
                <w:rFonts w:ascii="Arial" w:hAnsi="Arial" w:cs="Arial"/>
                <w:i/>
              </w:rPr>
              <w:t>(b)</w:t>
            </w:r>
            <w:r w:rsidRPr="00BD6626">
              <w:rPr>
                <w:rFonts w:ascii="Arial" w:hAnsi="Arial" w:cs="Arial"/>
              </w:rPr>
              <w:t xml:space="preserve"> of the CPA, and is open ended by virtue of the words "include but is not limited to". This will include whether a person has a sexual offences record. Obviously, in a criminal case involving a sexual offence, such an intermediary may not qualify.</w:t>
            </w:r>
          </w:p>
          <w:p w:rsidR="00F81FA3" w:rsidRDefault="00F81FA3" w:rsidP="00617C31">
            <w:pPr>
              <w:jc w:val="both"/>
              <w:rPr>
                <w:rFonts w:ascii="Arial" w:hAnsi="Arial" w:cs="Arial"/>
              </w:rPr>
            </w:pPr>
          </w:p>
        </w:tc>
      </w:tr>
      <w:tr w:rsidR="00617C31" w:rsidTr="00617C31">
        <w:tc>
          <w:tcPr>
            <w:tcW w:w="1101" w:type="dxa"/>
          </w:tcPr>
          <w:p w:rsidR="00617C31" w:rsidRDefault="00F81FA3" w:rsidP="00617C31">
            <w:pPr>
              <w:jc w:val="both"/>
              <w:rPr>
                <w:rFonts w:ascii="Arial" w:hAnsi="Arial" w:cs="Arial"/>
              </w:rPr>
            </w:pPr>
            <w:r>
              <w:rPr>
                <w:rFonts w:ascii="Arial" w:hAnsi="Arial" w:cs="Arial"/>
              </w:rPr>
              <w:t>2.7</w:t>
            </w:r>
          </w:p>
        </w:tc>
        <w:tc>
          <w:tcPr>
            <w:tcW w:w="3685" w:type="dxa"/>
          </w:tcPr>
          <w:p w:rsidR="00617C31" w:rsidRDefault="00F81FA3" w:rsidP="00617C31">
            <w:pPr>
              <w:jc w:val="both"/>
              <w:rPr>
                <w:rFonts w:ascii="Arial" w:hAnsi="Arial" w:cs="Arial"/>
                <w:b/>
                <w:i/>
                <w:u w:val="single"/>
              </w:rPr>
            </w:pPr>
            <w:r w:rsidRPr="00F81FA3">
              <w:rPr>
                <w:rFonts w:ascii="Arial" w:hAnsi="Arial" w:cs="Arial"/>
                <w:b/>
                <w:i/>
                <w:u w:val="single"/>
              </w:rPr>
              <w:t>Section 51A of the MCA and 37A of the SCA</w:t>
            </w:r>
            <w:r w:rsidR="00CF55F6">
              <w:rPr>
                <w:rFonts w:ascii="Arial" w:hAnsi="Arial" w:cs="Arial"/>
                <w:b/>
                <w:i/>
                <w:u w:val="single"/>
              </w:rPr>
              <w:t>(possibly also section 170A of the CPA)</w:t>
            </w:r>
          </w:p>
          <w:p w:rsidR="00F81FA3" w:rsidRPr="00F81FA3" w:rsidRDefault="00F81FA3" w:rsidP="00F81FA3">
            <w:pPr>
              <w:jc w:val="both"/>
              <w:rPr>
                <w:rFonts w:ascii="Arial" w:hAnsi="Arial" w:cs="Arial"/>
              </w:rPr>
            </w:pPr>
            <w:r>
              <w:rPr>
                <w:rFonts w:ascii="Arial" w:hAnsi="Arial" w:cs="Arial"/>
              </w:rPr>
              <w:t xml:space="preserve">Assisted means to give evidence is referred to and it is recommended that legislation that recognise alternative means to give evidence should be promoted and that section 51B </w:t>
            </w:r>
            <w:r w:rsidRPr="00F81FA3">
              <w:rPr>
                <w:rFonts w:ascii="Arial" w:hAnsi="Arial" w:cs="Arial"/>
              </w:rPr>
              <w:t xml:space="preserve">should be amended to provide for an application by a party, or of the court's own accord, to permit the use of technology as an alternative and augmentative form of communication to enable witnesses who, due to physical and mental conditions, are unable to give evidence </w:t>
            </w:r>
            <w:r w:rsidRPr="00F81FA3">
              <w:rPr>
                <w:rFonts w:ascii="Arial" w:hAnsi="Arial" w:cs="Arial"/>
                <w:i/>
              </w:rPr>
              <w:t>viva voce</w:t>
            </w:r>
            <w:r w:rsidRPr="00F81FA3">
              <w:rPr>
                <w:rFonts w:ascii="Arial" w:hAnsi="Arial" w:cs="Arial"/>
              </w:rPr>
              <w:t>.</w:t>
            </w:r>
          </w:p>
        </w:tc>
        <w:tc>
          <w:tcPr>
            <w:tcW w:w="4790" w:type="dxa"/>
          </w:tcPr>
          <w:p w:rsidR="00F81FA3" w:rsidRPr="00617C31" w:rsidRDefault="00F81FA3" w:rsidP="00F81FA3">
            <w:pPr>
              <w:jc w:val="both"/>
              <w:rPr>
                <w:rFonts w:ascii="Arial" w:hAnsi="Arial" w:cs="Arial"/>
                <w:b/>
                <w:i/>
              </w:rPr>
            </w:pPr>
            <w:r>
              <w:rPr>
                <w:rFonts w:ascii="Arial" w:hAnsi="Arial" w:cs="Arial"/>
                <w:b/>
                <w:i/>
              </w:rPr>
              <w:t>No amendments recommended:</w:t>
            </w:r>
          </w:p>
          <w:p w:rsidR="00617C31" w:rsidRDefault="00CF55F6" w:rsidP="00617C31">
            <w:pPr>
              <w:jc w:val="both"/>
              <w:rPr>
                <w:rFonts w:ascii="Arial" w:hAnsi="Arial" w:cs="Arial"/>
              </w:rPr>
            </w:pPr>
            <w:r w:rsidRPr="00CF55F6">
              <w:rPr>
                <w:rFonts w:ascii="Arial" w:hAnsi="Arial" w:cs="Arial"/>
              </w:rPr>
              <w:t xml:space="preserve">Alternative means to give evidence, other than </w:t>
            </w:r>
            <w:r w:rsidRPr="00CF55F6">
              <w:rPr>
                <w:rFonts w:ascii="Arial" w:hAnsi="Arial" w:cs="Arial"/>
                <w:i/>
              </w:rPr>
              <w:t>viva voce</w:t>
            </w:r>
            <w:r w:rsidRPr="00CF55F6">
              <w:rPr>
                <w:rFonts w:ascii="Arial" w:hAnsi="Arial" w:cs="Arial"/>
              </w:rPr>
              <w:t>, is generally recognised and is subject to the discretion of the court to allow this if it is in the interest of justice. Section 51A deals with intermediaries and they are not persons with technical expertise to operate technologies that enables a witness to communicate.</w:t>
            </w:r>
          </w:p>
          <w:p w:rsidR="00CF55F6" w:rsidRDefault="00CF55F6" w:rsidP="00617C31">
            <w:pPr>
              <w:jc w:val="both"/>
              <w:rPr>
                <w:rFonts w:ascii="Arial" w:hAnsi="Arial" w:cs="Arial"/>
              </w:rPr>
            </w:pPr>
            <w:r w:rsidRPr="00CF55F6">
              <w:rPr>
                <w:rFonts w:ascii="Arial" w:hAnsi="Arial" w:cs="Arial"/>
              </w:rPr>
              <w:t>Section 161 of the Criminal Procedure Act, is broad enough to allow for "other forms of non-verbal" communications as a medium to give evidence (see clause 7)</w:t>
            </w:r>
          </w:p>
          <w:p w:rsidR="00CF55F6" w:rsidRDefault="00CF55F6" w:rsidP="00617C31">
            <w:pPr>
              <w:jc w:val="both"/>
              <w:rPr>
                <w:rFonts w:ascii="Arial" w:hAnsi="Arial" w:cs="Arial"/>
              </w:rPr>
            </w:pPr>
            <w:r>
              <w:rPr>
                <w:rFonts w:ascii="Arial" w:hAnsi="Arial" w:cs="Arial"/>
              </w:rPr>
              <w:t>T</w:t>
            </w:r>
            <w:r w:rsidRPr="00CF55F6">
              <w:rPr>
                <w:rFonts w:ascii="Arial" w:hAnsi="Arial" w:cs="Arial"/>
              </w:rPr>
              <w:t>ec</w:t>
            </w:r>
            <w:r>
              <w:rPr>
                <w:rFonts w:ascii="Arial" w:hAnsi="Arial" w:cs="Arial"/>
              </w:rPr>
              <w:t>hnologies in this field develop</w:t>
            </w:r>
            <w:r w:rsidRPr="00CF55F6">
              <w:rPr>
                <w:rFonts w:ascii="Arial" w:hAnsi="Arial" w:cs="Arial"/>
              </w:rPr>
              <w:t xml:space="preserve"> at a rapid pace and may require a procedure for the court to evaluate the extent of autonomy of the witness to communicate as well as the reliability of the communications received or interpreted by experts. This will be addressed in</w:t>
            </w:r>
            <w:r>
              <w:rPr>
                <w:rFonts w:ascii="Arial" w:hAnsi="Arial" w:cs="Arial"/>
              </w:rPr>
              <w:t xml:space="preserve"> the revision process of the Cr</w:t>
            </w:r>
            <w:r w:rsidRPr="00CF55F6">
              <w:rPr>
                <w:rFonts w:ascii="Arial" w:hAnsi="Arial" w:cs="Arial"/>
              </w:rPr>
              <w:t>iminal Procedure Act.</w:t>
            </w:r>
          </w:p>
          <w:p w:rsidR="00CF55F6" w:rsidRDefault="00CF55F6" w:rsidP="00617C31">
            <w:pPr>
              <w:jc w:val="both"/>
              <w:rPr>
                <w:rFonts w:ascii="Arial" w:hAnsi="Arial" w:cs="Arial"/>
              </w:rPr>
            </w:pPr>
          </w:p>
        </w:tc>
      </w:tr>
      <w:tr w:rsidR="00617C31" w:rsidTr="00617C31">
        <w:tc>
          <w:tcPr>
            <w:tcW w:w="1101" w:type="dxa"/>
          </w:tcPr>
          <w:p w:rsidR="00617C31" w:rsidRDefault="00CF55F6" w:rsidP="00617C31">
            <w:pPr>
              <w:jc w:val="both"/>
              <w:rPr>
                <w:rFonts w:ascii="Arial" w:hAnsi="Arial" w:cs="Arial"/>
              </w:rPr>
            </w:pPr>
            <w:r>
              <w:rPr>
                <w:rFonts w:ascii="Arial" w:hAnsi="Arial" w:cs="Arial"/>
              </w:rPr>
              <w:t>2.8</w:t>
            </w:r>
            <w:r w:rsidR="00CC48AB">
              <w:rPr>
                <w:rFonts w:ascii="Arial" w:hAnsi="Arial" w:cs="Arial"/>
              </w:rPr>
              <w:t>(b)</w:t>
            </w:r>
          </w:p>
        </w:tc>
        <w:tc>
          <w:tcPr>
            <w:tcW w:w="3685" w:type="dxa"/>
          </w:tcPr>
          <w:p w:rsidR="00617C31" w:rsidRDefault="00CF55F6" w:rsidP="00617C31">
            <w:pPr>
              <w:jc w:val="both"/>
              <w:rPr>
                <w:rFonts w:ascii="Arial" w:hAnsi="Arial" w:cs="Arial"/>
                <w:b/>
                <w:i/>
                <w:u w:val="single"/>
              </w:rPr>
            </w:pPr>
            <w:r w:rsidRPr="00CF55F6">
              <w:rPr>
                <w:rFonts w:ascii="Arial" w:hAnsi="Arial" w:cs="Arial"/>
                <w:b/>
                <w:i/>
                <w:u w:val="single"/>
              </w:rPr>
              <w:t>Section 51A(1) and (5) of the MCA and 37A(1) and (5) of the SCA</w:t>
            </w:r>
          </w:p>
          <w:p w:rsidR="00CF55F6" w:rsidRPr="00CF55F6" w:rsidRDefault="00CF55F6" w:rsidP="00617C31">
            <w:pPr>
              <w:jc w:val="both"/>
              <w:rPr>
                <w:rFonts w:ascii="Arial" w:hAnsi="Arial" w:cs="Arial"/>
              </w:rPr>
            </w:pPr>
            <w:r>
              <w:rPr>
                <w:rFonts w:ascii="Arial" w:hAnsi="Arial" w:cs="Arial"/>
              </w:rPr>
              <w:t>P</w:t>
            </w:r>
            <w:r w:rsidRPr="00CF55F6">
              <w:rPr>
                <w:rFonts w:ascii="Arial" w:hAnsi="Arial" w:cs="Arial"/>
              </w:rPr>
              <w:t xml:space="preserve">rovision should be made for </w:t>
            </w:r>
            <w:r>
              <w:rPr>
                <w:rFonts w:ascii="Arial" w:hAnsi="Arial" w:cs="Arial"/>
              </w:rPr>
              <w:t>review of the decision by court.</w:t>
            </w:r>
          </w:p>
        </w:tc>
        <w:tc>
          <w:tcPr>
            <w:tcW w:w="4790" w:type="dxa"/>
          </w:tcPr>
          <w:p w:rsidR="00044FA4" w:rsidRDefault="00CF55F6" w:rsidP="00617C31">
            <w:pPr>
              <w:jc w:val="both"/>
              <w:rPr>
                <w:rFonts w:ascii="Arial" w:hAnsi="Arial" w:cs="Arial"/>
                <w:b/>
                <w:i/>
              </w:rPr>
            </w:pPr>
            <w:r w:rsidRPr="00CF55F6">
              <w:rPr>
                <w:rFonts w:ascii="Arial" w:hAnsi="Arial" w:cs="Arial"/>
                <w:b/>
                <w:i/>
              </w:rPr>
              <w:t>Agree</w:t>
            </w:r>
          </w:p>
          <w:p w:rsidR="00CF55F6" w:rsidRDefault="00CF55F6" w:rsidP="00617C31">
            <w:pPr>
              <w:jc w:val="both"/>
              <w:rPr>
                <w:rFonts w:ascii="Arial" w:hAnsi="Arial" w:cs="Arial"/>
              </w:rPr>
            </w:pPr>
            <w:r w:rsidRPr="00CF55F6">
              <w:rPr>
                <w:rFonts w:ascii="Arial" w:hAnsi="Arial" w:cs="Arial"/>
              </w:rPr>
              <w:t>In many instances the underlying conditions as contemplated in the respective provisions, will become apparent only when a person gives evidence.</w:t>
            </w:r>
          </w:p>
          <w:p w:rsidR="00044FA4" w:rsidRDefault="00044FA4" w:rsidP="00044FA4">
            <w:pPr>
              <w:jc w:val="both"/>
              <w:rPr>
                <w:rFonts w:ascii="Arial" w:hAnsi="Arial" w:cs="Arial"/>
                <w:b/>
                <w:i/>
              </w:rPr>
            </w:pPr>
            <w:r w:rsidRPr="00CF55F6">
              <w:rPr>
                <w:rFonts w:ascii="Arial" w:hAnsi="Arial" w:cs="Arial"/>
                <w:b/>
                <w:i/>
              </w:rPr>
              <w:t>Amendments proposed</w:t>
            </w:r>
            <w:r>
              <w:rPr>
                <w:rFonts w:ascii="Arial" w:hAnsi="Arial" w:cs="Arial"/>
                <w:b/>
                <w:i/>
              </w:rPr>
              <w:t>:</w:t>
            </w:r>
          </w:p>
          <w:p w:rsidR="00044FA4" w:rsidRDefault="00044FA4" w:rsidP="00617C31">
            <w:pPr>
              <w:jc w:val="both"/>
              <w:rPr>
                <w:rFonts w:ascii="Arial" w:hAnsi="Arial" w:cs="Arial"/>
              </w:rPr>
            </w:pPr>
            <w:r>
              <w:rPr>
                <w:rFonts w:ascii="Arial" w:hAnsi="Arial" w:cs="Arial"/>
              </w:rPr>
              <w:t xml:space="preserve">Subsection (5): </w:t>
            </w:r>
          </w:p>
          <w:p w:rsidR="00044FA4" w:rsidRPr="00044FA4" w:rsidRDefault="00044FA4" w:rsidP="00617C31">
            <w:pPr>
              <w:jc w:val="both"/>
              <w:rPr>
                <w:rFonts w:ascii="Arial" w:hAnsi="Arial" w:cs="Arial"/>
              </w:rPr>
            </w:pPr>
            <w:r w:rsidRPr="00044FA4">
              <w:rPr>
                <w:rFonts w:ascii="Arial" w:hAnsi="Arial" w:cs="Arial"/>
              </w:rPr>
              <w:t>Current paragraph becoming paragraph (a)and to insert following paragraph:</w:t>
            </w:r>
          </w:p>
          <w:p w:rsidR="00CF55F6" w:rsidRPr="00CF55F6" w:rsidRDefault="00044FA4" w:rsidP="00CC48AB">
            <w:pPr>
              <w:jc w:val="both"/>
              <w:rPr>
                <w:rFonts w:ascii="Arial" w:hAnsi="Arial" w:cs="Arial"/>
              </w:rPr>
            </w:pPr>
            <w:r>
              <w:rPr>
                <w:rFonts w:ascii="Arial" w:hAnsi="Arial" w:cs="Arial"/>
              </w:rPr>
              <w:tab/>
            </w:r>
            <w:r w:rsidR="00CF55F6" w:rsidRPr="00CF55F6">
              <w:rPr>
                <w:rFonts w:ascii="Arial" w:hAnsi="Arial" w:cs="Arial"/>
              </w:rPr>
              <w:t>“</w:t>
            </w:r>
            <w:r>
              <w:rPr>
                <w:rFonts w:ascii="Arial" w:hAnsi="Arial" w:cs="Arial"/>
              </w:rPr>
              <w:t>(</w:t>
            </w:r>
            <w:r w:rsidRPr="00044FA4">
              <w:rPr>
                <w:rFonts w:ascii="Arial" w:hAnsi="Arial" w:cs="Arial"/>
                <w:i/>
              </w:rPr>
              <w:t>b)</w:t>
            </w:r>
            <w:r>
              <w:rPr>
                <w:rFonts w:ascii="Arial" w:hAnsi="Arial" w:cs="Arial"/>
              </w:rPr>
              <w:tab/>
              <w:t xml:space="preserve">A court may, </w:t>
            </w:r>
            <w:r w:rsidR="00CC48AB">
              <w:rPr>
                <w:rFonts w:ascii="Arial" w:hAnsi="Arial" w:cs="Arial"/>
              </w:rPr>
              <w:t xml:space="preserve">on application, if it is satisfied that there </w:t>
            </w:r>
            <w:r w:rsidRPr="00044FA4">
              <w:rPr>
                <w:rFonts w:ascii="Arial" w:hAnsi="Arial" w:cs="Arial"/>
              </w:rPr>
              <w:t xml:space="preserve">is any material change in respect of any fact or circumstance which influenced </w:t>
            </w:r>
            <w:r w:rsidR="00CC48AB">
              <w:rPr>
                <w:rFonts w:ascii="Arial" w:hAnsi="Arial" w:cs="Arial"/>
              </w:rPr>
              <w:t xml:space="preserve">the refusal contemplated in paragraph </w:t>
            </w:r>
            <w:r w:rsidR="00CC48AB" w:rsidRPr="00CC48AB">
              <w:rPr>
                <w:rFonts w:ascii="Arial" w:hAnsi="Arial" w:cs="Arial"/>
                <w:i/>
              </w:rPr>
              <w:t>(a)</w:t>
            </w:r>
            <w:r w:rsidR="00CC48AB">
              <w:rPr>
                <w:rFonts w:ascii="Arial" w:hAnsi="Arial" w:cs="Arial"/>
                <w:i/>
              </w:rPr>
              <w:t xml:space="preserve">, </w:t>
            </w:r>
            <w:r w:rsidR="00CC48AB" w:rsidRPr="00CC48AB">
              <w:rPr>
                <w:rFonts w:ascii="Arial" w:hAnsi="Arial" w:cs="Arial"/>
              </w:rPr>
              <w:t xml:space="preserve">review </w:t>
            </w:r>
            <w:r w:rsidR="00CF55F6" w:rsidRPr="00CF55F6">
              <w:rPr>
                <w:rFonts w:ascii="Arial" w:hAnsi="Arial" w:cs="Arial"/>
              </w:rPr>
              <w:t>this decision”.</w:t>
            </w:r>
          </w:p>
        </w:tc>
      </w:tr>
    </w:tbl>
    <w:p w:rsidR="00617C31" w:rsidRDefault="00617C31" w:rsidP="00617C31">
      <w:pPr>
        <w:spacing w:after="0"/>
        <w:jc w:val="both"/>
        <w:rPr>
          <w:rFonts w:ascii="Arial" w:hAnsi="Arial" w:cs="Arial"/>
        </w:rPr>
      </w:pPr>
    </w:p>
    <w:p w:rsidR="00CC48AB" w:rsidRDefault="0016010F" w:rsidP="00617C31">
      <w:pPr>
        <w:spacing w:after="0"/>
        <w:jc w:val="both"/>
        <w:rPr>
          <w:rFonts w:ascii="Arial" w:hAnsi="Arial" w:cs="Arial"/>
          <w:b/>
        </w:rPr>
      </w:pPr>
      <w:r>
        <w:rPr>
          <w:rFonts w:ascii="Arial" w:hAnsi="Arial" w:cs="Arial"/>
          <w:b/>
        </w:rPr>
        <w:lastRenderedPageBreak/>
        <w:t>3.</w:t>
      </w:r>
      <w:r>
        <w:rPr>
          <w:rFonts w:ascii="Arial" w:hAnsi="Arial" w:cs="Arial"/>
          <w:b/>
        </w:rPr>
        <w:tab/>
      </w:r>
      <w:r w:rsidR="00CC48AB" w:rsidRPr="00263410">
        <w:rPr>
          <w:rFonts w:ascii="Arial" w:hAnsi="Arial" w:cs="Arial"/>
          <w:b/>
        </w:rPr>
        <w:t>Clause 2 and 3</w:t>
      </w:r>
      <w:r w:rsidR="00CC48AB">
        <w:rPr>
          <w:rFonts w:ascii="Arial" w:hAnsi="Arial" w:cs="Arial"/>
          <w:b/>
        </w:rPr>
        <w:t>: Bail by SAPS (section 59 of the CPA) and NPA (section 59A of the CPA)</w:t>
      </w:r>
    </w:p>
    <w:p w:rsidR="0016010F" w:rsidRDefault="0016010F" w:rsidP="00617C31">
      <w:pPr>
        <w:spacing w:after="0"/>
        <w:jc w:val="both"/>
        <w:rPr>
          <w:rFonts w:ascii="Arial" w:hAnsi="Arial" w:cs="Arial"/>
          <w:b/>
        </w:rPr>
      </w:pPr>
    </w:p>
    <w:p w:rsidR="0016010F" w:rsidRDefault="0016010F" w:rsidP="00617C31">
      <w:pPr>
        <w:spacing w:after="0"/>
        <w:jc w:val="both"/>
        <w:rPr>
          <w:rFonts w:ascii="Arial" w:hAnsi="Arial" w:cs="Arial"/>
        </w:rPr>
      </w:pPr>
      <w:r w:rsidRPr="0016010F">
        <w:rPr>
          <w:rFonts w:ascii="Arial" w:hAnsi="Arial" w:cs="Arial"/>
        </w:rPr>
        <w:t>The provisions are supported by the commentators. No amendments that are relevant to the objects of the Bill requested or proposed</w:t>
      </w:r>
      <w:r>
        <w:rPr>
          <w:rFonts w:ascii="Arial" w:hAnsi="Arial" w:cs="Arial"/>
        </w:rPr>
        <w:t>.</w:t>
      </w:r>
    </w:p>
    <w:p w:rsidR="0016010F" w:rsidRDefault="0016010F" w:rsidP="00617C31">
      <w:pPr>
        <w:spacing w:after="0"/>
        <w:jc w:val="both"/>
        <w:rPr>
          <w:rFonts w:ascii="Arial" w:hAnsi="Arial" w:cs="Arial"/>
        </w:rPr>
      </w:pPr>
    </w:p>
    <w:p w:rsidR="0016010F" w:rsidRPr="0016010F" w:rsidRDefault="0016010F" w:rsidP="0016010F">
      <w:pPr>
        <w:jc w:val="both"/>
        <w:rPr>
          <w:rFonts w:ascii="Arial" w:hAnsi="Arial" w:cs="Arial"/>
          <w:b/>
        </w:rPr>
      </w:pPr>
      <w:r w:rsidRPr="0016010F">
        <w:rPr>
          <w:rFonts w:ascii="Arial" w:hAnsi="Arial" w:cs="Arial"/>
          <w:b/>
        </w:rPr>
        <w:t>4.</w:t>
      </w:r>
      <w:r w:rsidRPr="0016010F">
        <w:rPr>
          <w:rFonts w:ascii="Arial" w:hAnsi="Arial" w:cs="Arial"/>
          <w:b/>
        </w:rPr>
        <w:tab/>
        <w:t>Clause 4: Bail application in court (Section 60 of the CPA)</w:t>
      </w:r>
    </w:p>
    <w:p w:rsidR="0016010F" w:rsidRPr="0016010F" w:rsidRDefault="0016010F" w:rsidP="00617C31">
      <w:pPr>
        <w:spacing w:after="0"/>
        <w:jc w:val="both"/>
        <w:rPr>
          <w:rFonts w:ascii="Arial" w:hAnsi="Arial" w:cs="Arial"/>
        </w:rPr>
      </w:pPr>
    </w:p>
    <w:tbl>
      <w:tblPr>
        <w:tblStyle w:val="TableGrid"/>
        <w:tblW w:w="0" w:type="auto"/>
        <w:tblLook w:val="04A0"/>
      </w:tblPr>
      <w:tblGrid>
        <w:gridCol w:w="1101"/>
        <w:gridCol w:w="3685"/>
        <w:gridCol w:w="4790"/>
      </w:tblGrid>
      <w:tr w:rsidR="0016010F" w:rsidTr="0016010F">
        <w:tc>
          <w:tcPr>
            <w:tcW w:w="1101" w:type="dxa"/>
          </w:tcPr>
          <w:p w:rsidR="0016010F" w:rsidRDefault="0016010F" w:rsidP="00617C31">
            <w:pPr>
              <w:jc w:val="both"/>
              <w:rPr>
                <w:rFonts w:ascii="Arial" w:hAnsi="Arial" w:cs="Arial"/>
                <w:b/>
              </w:rPr>
            </w:pPr>
          </w:p>
        </w:tc>
        <w:tc>
          <w:tcPr>
            <w:tcW w:w="3685" w:type="dxa"/>
          </w:tcPr>
          <w:p w:rsidR="0016010F" w:rsidRDefault="0016010F" w:rsidP="00617C31">
            <w:pPr>
              <w:jc w:val="both"/>
              <w:rPr>
                <w:rFonts w:ascii="Arial" w:hAnsi="Arial" w:cs="Arial"/>
                <w:b/>
              </w:rPr>
            </w:pPr>
          </w:p>
        </w:tc>
        <w:tc>
          <w:tcPr>
            <w:tcW w:w="4790" w:type="dxa"/>
          </w:tcPr>
          <w:p w:rsidR="0016010F" w:rsidRDefault="0016010F" w:rsidP="00617C31">
            <w:pPr>
              <w:jc w:val="both"/>
              <w:rPr>
                <w:rFonts w:ascii="Arial" w:hAnsi="Arial" w:cs="Arial"/>
                <w:b/>
              </w:rPr>
            </w:pPr>
          </w:p>
        </w:tc>
      </w:tr>
      <w:tr w:rsidR="0016010F" w:rsidTr="0016010F">
        <w:tc>
          <w:tcPr>
            <w:tcW w:w="1101" w:type="dxa"/>
          </w:tcPr>
          <w:p w:rsidR="0016010F" w:rsidRDefault="0016010F" w:rsidP="00617C31">
            <w:pPr>
              <w:jc w:val="both"/>
              <w:rPr>
                <w:rFonts w:ascii="Arial" w:hAnsi="Arial" w:cs="Arial"/>
                <w:b/>
              </w:rPr>
            </w:pPr>
          </w:p>
        </w:tc>
        <w:tc>
          <w:tcPr>
            <w:tcW w:w="3685" w:type="dxa"/>
          </w:tcPr>
          <w:p w:rsidR="0016010F" w:rsidRDefault="0016010F" w:rsidP="00617C31">
            <w:pPr>
              <w:jc w:val="both"/>
              <w:rPr>
                <w:rFonts w:ascii="Arial" w:hAnsi="Arial" w:cs="Arial"/>
                <w:b/>
                <w:u w:val="single"/>
              </w:rPr>
            </w:pPr>
            <w:r w:rsidRPr="0016010F">
              <w:rPr>
                <w:rFonts w:ascii="Arial" w:hAnsi="Arial" w:cs="Arial"/>
                <w:b/>
                <w:u w:val="single"/>
              </w:rPr>
              <w:t>Section 60(5) of the CPA</w:t>
            </w:r>
          </w:p>
          <w:p w:rsidR="0016010F" w:rsidRPr="0016010F" w:rsidRDefault="0016010F" w:rsidP="00617C31">
            <w:pPr>
              <w:jc w:val="both"/>
              <w:rPr>
                <w:rFonts w:ascii="Arial" w:hAnsi="Arial" w:cs="Arial"/>
              </w:rPr>
            </w:pPr>
            <w:r w:rsidRPr="0016010F">
              <w:rPr>
                <w:rFonts w:ascii="Arial" w:hAnsi="Arial" w:cs="Arial"/>
              </w:rPr>
              <w:t>An important factor that has not been included in the list of factors to be considered by the court in terms of section 60(5)</w:t>
            </w:r>
            <w:r>
              <w:rPr>
                <w:rFonts w:ascii="Arial" w:hAnsi="Arial" w:cs="Arial"/>
              </w:rPr>
              <w:t>,</w:t>
            </w:r>
            <w:r w:rsidRPr="0016010F">
              <w:rPr>
                <w:rFonts w:ascii="Arial" w:hAnsi="Arial" w:cs="Arial"/>
              </w:rPr>
              <w:t xml:space="preserve"> is whether the accused has committed an offence or the offence in question while on parole, day parole or under correctional supervision in respect of a conviction for an offence with an element of violence against any person.</w:t>
            </w:r>
          </w:p>
          <w:p w:rsidR="0016010F" w:rsidRPr="0016010F" w:rsidRDefault="0016010F" w:rsidP="00617C31">
            <w:pPr>
              <w:jc w:val="both"/>
              <w:rPr>
                <w:rFonts w:ascii="Arial" w:hAnsi="Arial" w:cs="Arial"/>
              </w:rPr>
            </w:pPr>
          </w:p>
        </w:tc>
        <w:tc>
          <w:tcPr>
            <w:tcW w:w="4790" w:type="dxa"/>
          </w:tcPr>
          <w:p w:rsidR="0016010F" w:rsidRDefault="00C466BB" w:rsidP="00617C31">
            <w:pPr>
              <w:jc w:val="both"/>
              <w:rPr>
                <w:rFonts w:ascii="Arial" w:hAnsi="Arial" w:cs="Arial"/>
                <w:b/>
                <w:i/>
                <w:u w:val="single"/>
              </w:rPr>
            </w:pPr>
            <w:r w:rsidRPr="00C466BB">
              <w:rPr>
                <w:rFonts w:ascii="Arial" w:hAnsi="Arial" w:cs="Arial"/>
                <w:b/>
                <w:i/>
                <w:u w:val="single"/>
              </w:rPr>
              <w:t>Agree: Amendments proposed:</w:t>
            </w:r>
          </w:p>
          <w:p w:rsidR="00C466BB" w:rsidRPr="00C466BB" w:rsidRDefault="00C466BB" w:rsidP="00617C31">
            <w:pPr>
              <w:jc w:val="both"/>
              <w:rPr>
                <w:rFonts w:ascii="Arial" w:hAnsi="Arial" w:cs="Arial"/>
              </w:rPr>
            </w:pPr>
            <w:r w:rsidRPr="00C466BB">
              <w:rPr>
                <w:rFonts w:ascii="Arial" w:hAnsi="Arial" w:cs="Arial"/>
              </w:rPr>
              <w:t>On page 7 in line 45, after "bail"to insert ", on parole, day parole or under correctional supervision</w:t>
            </w:r>
            <w:r>
              <w:rPr>
                <w:rFonts w:ascii="Arial" w:hAnsi="Arial" w:cs="Arial"/>
              </w:rPr>
              <w:t>".</w:t>
            </w:r>
          </w:p>
        </w:tc>
      </w:tr>
      <w:tr w:rsidR="0016010F" w:rsidTr="0016010F">
        <w:tc>
          <w:tcPr>
            <w:tcW w:w="1101" w:type="dxa"/>
          </w:tcPr>
          <w:p w:rsidR="0016010F" w:rsidRDefault="0016010F" w:rsidP="00617C31">
            <w:pPr>
              <w:jc w:val="both"/>
              <w:rPr>
                <w:rFonts w:ascii="Arial" w:hAnsi="Arial" w:cs="Arial"/>
                <w:b/>
              </w:rPr>
            </w:pPr>
          </w:p>
        </w:tc>
        <w:tc>
          <w:tcPr>
            <w:tcW w:w="3685" w:type="dxa"/>
          </w:tcPr>
          <w:p w:rsidR="0016010F" w:rsidRDefault="0016010F" w:rsidP="00617C31">
            <w:pPr>
              <w:jc w:val="both"/>
              <w:rPr>
                <w:rFonts w:ascii="Arial" w:hAnsi="Arial" w:cs="Arial"/>
                <w:b/>
              </w:rPr>
            </w:pPr>
          </w:p>
        </w:tc>
        <w:tc>
          <w:tcPr>
            <w:tcW w:w="4790" w:type="dxa"/>
          </w:tcPr>
          <w:p w:rsidR="0016010F" w:rsidRDefault="0016010F" w:rsidP="00617C31">
            <w:pPr>
              <w:jc w:val="both"/>
              <w:rPr>
                <w:rFonts w:ascii="Arial" w:hAnsi="Arial" w:cs="Arial"/>
                <w:b/>
              </w:rPr>
            </w:pPr>
          </w:p>
        </w:tc>
      </w:tr>
    </w:tbl>
    <w:p w:rsidR="0016010F" w:rsidRDefault="0016010F" w:rsidP="00617C31">
      <w:pPr>
        <w:spacing w:after="0"/>
        <w:jc w:val="both"/>
        <w:rPr>
          <w:rFonts w:ascii="Arial" w:hAnsi="Arial" w:cs="Arial"/>
          <w:b/>
        </w:rPr>
      </w:pPr>
    </w:p>
    <w:p w:rsidR="0016010F" w:rsidRDefault="0016010F" w:rsidP="00617C31">
      <w:pPr>
        <w:spacing w:after="0"/>
        <w:jc w:val="both"/>
        <w:rPr>
          <w:rFonts w:ascii="Arial" w:hAnsi="Arial" w:cs="Arial"/>
        </w:rPr>
      </w:pPr>
    </w:p>
    <w:p w:rsidR="003672EB" w:rsidRDefault="00DE48F3" w:rsidP="00CE6E51">
      <w:pPr>
        <w:spacing w:after="0"/>
        <w:ind w:left="709" w:hanging="709"/>
        <w:jc w:val="both"/>
        <w:rPr>
          <w:rFonts w:ascii="Arial" w:hAnsi="Arial" w:cs="Arial"/>
          <w:b/>
        </w:rPr>
      </w:pPr>
      <w:r w:rsidRPr="00DE48F3">
        <w:rPr>
          <w:rFonts w:ascii="Arial" w:hAnsi="Arial" w:cs="Arial"/>
          <w:b/>
        </w:rPr>
        <w:t>5.</w:t>
      </w:r>
      <w:r w:rsidRPr="00DE48F3">
        <w:rPr>
          <w:rFonts w:ascii="Arial" w:hAnsi="Arial" w:cs="Arial"/>
          <w:b/>
        </w:rPr>
        <w:tab/>
        <w:t>Clause 5: Cancellation of bail (Section 68 of the CPA)</w:t>
      </w:r>
    </w:p>
    <w:p w:rsidR="00DE48F3" w:rsidRDefault="00DE48F3" w:rsidP="00CE6E51">
      <w:pPr>
        <w:spacing w:after="0"/>
        <w:ind w:left="709" w:hanging="709"/>
        <w:jc w:val="both"/>
        <w:rPr>
          <w:rFonts w:ascii="Arial" w:hAnsi="Arial" w:cs="Arial"/>
          <w:b/>
        </w:rPr>
      </w:pPr>
    </w:p>
    <w:p w:rsidR="00DE48F3" w:rsidRDefault="00DE48F3" w:rsidP="00DE48F3">
      <w:pPr>
        <w:spacing w:after="0"/>
        <w:jc w:val="both"/>
        <w:rPr>
          <w:rFonts w:ascii="Arial" w:hAnsi="Arial" w:cs="Arial"/>
        </w:rPr>
      </w:pPr>
      <w:r w:rsidRPr="0016010F">
        <w:rPr>
          <w:rFonts w:ascii="Arial" w:hAnsi="Arial" w:cs="Arial"/>
        </w:rPr>
        <w:t xml:space="preserve">The provisions are supported by </w:t>
      </w:r>
      <w:r>
        <w:rPr>
          <w:rFonts w:ascii="Arial" w:hAnsi="Arial" w:cs="Arial"/>
        </w:rPr>
        <w:t xml:space="preserve">most of the </w:t>
      </w:r>
      <w:r w:rsidRPr="0016010F">
        <w:rPr>
          <w:rFonts w:ascii="Arial" w:hAnsi="Arial" w:cs="Arial"/>
        </w:rPr>
        <w:t>commentators. No amendments that are relevant to the objects of the Bill requested or proposed</w:t>
      </w:r>
      <w:r>
        <w:rPr>
          <w:rFonts w:ascii="Arial" w:hAnsi="Arial" w:cs="Arial"/>
        </w:rPr>
        <w:t>.</w:t>
      </w:r>
    </w:p>
    <w:p w:rsidR="000F7DAA" w:rsidRDefault="000F7DAA" w:rsidP="00DE48F3">
      <w:pPr>
        <w:spacing w:after="0"/>
        <w:jc w:val="both"/>
        <w:rPr>
          <w:rFonts w:ascii="Arial" w:hAnsi="Arial" w:cs="Arial"/>
        </w:rPr>
      </w:pPr>
    </w:p>
    <w:p w:rsidR="000F7DAA" w:rsidRPr="00263410" w:rsidRDefault="000F7DAA" w:rsidP="000F7DAA">
      <w:pPr>
        <w:jc w:val="both"/>
        <w:rPr>
          <w:rFonts w:ascii="Arial" w:hAnsi="Arial" w:cs="Arial"/>
          <w:b/>
        </w:rPr>
      </w:pPr>
      <w:r w:rsidRPr="000F7DAA">
        <w:rPr>
          <w:rFonts w:ascii="Arial" w:hAnsi="Arial" w:cs="Arial"/>
          <w:b/>
        </w:rPr>
        <w:t>6.</w:t>
      </w:r>
      <w:r>
        <w:rPr>
          <w:rFonts w:ascii="Arial" w:hAnsi="Arial" w:cs="Arial"/>
        </w:rPr>
        <w:tab/>
      </w:r>
      <w:r w:rsidRPr="00921F1D">
        <w:rPr>
          <w:rFonts w:ascii="Arial" w:hAnsi="Arial" w:cs="Arial"/>
          <w:b/>
        </w:rPr>
        <w:t>Criminal proceedings to take place in presence of accused</w:t>
      </w:r>
      <w:r>
        <w:rPr>
          <w:rFonts w:ascii="Arial" w:hAnsi="Arial" w:cs="Arial"/>
          <w:b/>
        </w:rPr>
        <w:t xml:space="preserve"> (evidence by electronic media) (section 158 of the CPA)</w:t>
      </w:r>
    </w:p>
    <w:p w:rsidR="000F7DAA" w:rsidRDefault="000F7DAA" w:rsidP="00DE48F3">
      <w:pPr>
        <w:spacing w:after="0"/>
        <w:jc w:val="both"/>
        <w:rPr>
          <w:rFonts w:ascii="Arial" w:hAnsi="Arial" w:cs="Arial"/>
        </w:rPr>
      </w:pPr>
      <w:r>
        <w:rPr>
          <w:rFonts w:ascii="Arial" w:hAnsi="Arial" w:cs="Arial"/>
        </w:rPr>
        <w:t>The provisions are supported by the commentators. No amendments are proposed.</w:t>
      </w:r>
    </w:p>
    <w:p w:rsidR="00574068" w:rsidRDefault="00574068" w:rsidP="00DE48F3">
      <w:pPr>
        <w:spacing w:after="0"/>
        <w:jc w:val="both"/>
        <w:rPr>
          <w:rFonts w:ascii="Arial" w:hAnsi="Arial" w:cs="Arial"/>
        </w:rPr>
      </w:pPr>
    </w:p>
    <w:p w:rsidR="00574068" w:rsidRPr="00263410" w:rsidRDefault="00574068" w:rsidP="00574068">
      <w:pPr>
        <w:jc w:val="both"/>
        <w:rPr>
          <w:rFonts w:ascii="Arial" w:hAnsi="Arial" w:cs="Arial"/>
          <w:b/>
        </w:rPr>
      </w:pPr>
      <w:r w:rsidRPr="00574068">
        <w:rPr>
          <w:rFonts w:ascii="Arial" w:hAnsi="Arial" w:cs="Arial"/>
          <w:b/>
        </w:rPr>
        <w:t xml:space="preserve">7. </w:t>
      </w:r>
      <w:r>
        <w:rPr>
          <w:rFonts w:ascii="Arial" w:hAnsi="Arial" w:cs="Arial"/>
        </w:rPr>
        <w:tab/>
      </w:r>
      <w:r w:rsidRPr="00263410">
        <w:rPr>
          <w:rFonts w:ascii="Arial" w:hAnsi="Arial" w:cs="Arial"/>
          <w:b/>
        </w:rPr>
        <w:t>Clause 7</w:t>
      </w:r>
      <w:r>
        <w:rPr>
          <w:rFonts w:ascii="Arial" w:hAnsi="Arial" w:cs="Arial"/>
          <w:b/>
        </w:rPr>
        <w:t xml:space="preserve">: </w:t>
      </w:r>
      <w:r w:rsidRPr="00921F1D">
        <w:rPr>
          <w:rFonts w:ascii="Arial" w:hAnsi="Arial" w:cs="Arial"/>
          <w:b/>
        </w:rPr>
        <w:t xml:space="preserve">Witness to testify </w:t>
      </w:r>
      <w:r w:rsidRPr="00921F1D">
        <w:rPr>
          <w:rFonts w:ascii="Arial" w:hAnsi="Arial" w:cs="Arial"/>
          <w:b/>
          <w:i/>
        </w:rPr>
        <w:t>viva voce</w:t>
      </w:r>
      <w:r>
        <w:rPr>
          <w:rFonts w:ascii="Arial" w:hAnsi="Arial" w:cs="Arial"/>
          <w:b/>
          <w:i/>
        </w:rPr>
        <w:t xml:space="preserve"> (Section 158 of the CPA)</w:t>
      </w:r>
    </w:p>
    <w:p w:rsidR="00574068" w:rsidRDefault="00574068" w:rsidP="00DE48F3">
      <w:pPr>
        <w:spacing w:after="0"/>
        <w:jc w:val="both"/>
        <w:rPr>
          <w:rFonts w:ascii="Arial" w:hAnsi="Arial" w:cs="Arial"/>
        </w:rPr>
      </w:pPr>
      <w:r>
        <w:rPr>
          <w:rFonts w:ascii="Arial" w:hAnsi="Arial" w:cs="Arial"/>
        </w:rPr>
        <w:t>The provisions are supported by the commentators. No amendments are proposed.</w:t>
      </w:r>
    </w:p>
    <w:p w:rsidR="00BF5DE8" w:rsidRDefault="00BF5DE8" w:rsidP="00DE48F3">
      <w:pPr>
        <w:spacing w:after="0"/>
        <w:jc w:val="both"/>
        <w:rPr>
          <w:rFonts w:ascii="Arial" w:hAnsi="Arial" w:cs="Arial"/>
        </w:rPr>
      </w:pPr>
    </w:p>
    <w:p w:rsidR="00BF5DE8" w:rsidRPr="00263410" w:rsidRDefault="00BF5DE8" w:rsidP="00BF5DE8">
      <w:pPr>
        <w:jc w:val="both"/>
        <w:rPr>
          <w:rFonts w:ascii="Arial" w:hAnsi="Arial" w:cs="Arial"/>
          <w:b/>
        </w:rPr>
      </w:pPr>
      <w:r w:rsidRPr="00BF5DE8">
        <w:rPr>
          <w:rFonts w:ascii="Arial" w:hAnsi="Arial" w:cs="Arial"/>
          <w:b/>
        </w:rPr>
        <w:t>8.</w:t>
      </w:r>
      <w:r>
        <w:rPr>
          <w:rFonts w:ascii="Arial" w:hAnsi="Arial" w:cs="Arial"/>
        </w:rPr>
        <w:tab/>
      </w:r>
      <w:r w:rsidRPr="00263410">
        <w:rPr>
          <w:rFonts w:ascii="Arial" w:hAnsi="Arial" w:cs="Arial"/>
          <w:b/>
        </w:rPr>
        <w:t>Clause 8</w:t>
      </w:r>
      <w:r>
        <w:rPr>
          <w:rFonts w:ascii="Arial" w:hAnsi="Arial" w:cs="Arial"/>
          <w:b/>
        </w:rPr>
        <w:t>: Intermediaries (Section 170A of the CPA)</w:t>
      </w:r>
    </w:p>
    <w:p w:rsidR="00BF5DE8" w:rsidRDefault="00BF5DE8" w:rsidP="00BF5DE8">
      <w:pPr>
        <w:spacing w:after="0"/>
        <w:jc w:val="both"/>
        <w:rPr>
          <w:rFonts w:ascii="Arial" w:hAnsi="Arial" w:cs="Arial"/>
        </w:rPr>
      </w:pPr>
      <w:r>
        <w:rPr>
          <w:rFonts w:ascii="Arial" w:hAnsi="Arial" w:cs="Arial"/>
        </w:rPr>
        <w:t>The provisions are supported by the commentators. No amendments are proposed.</w:t>
      </w:r>
    </w:p>
    <w:p w:rsidR="00DF0344" w:rsidRDefault="00DF0344" w:rsidP="00BF5DE8">
      <w:pPr>
        <w:spacing w:after="0"/>
        <w:jc w:val="both"/>
        <w:rPr>
          <w:rFonts w:ascii="Arial" w:hAnsi="Arial" w:cs="Arial"/>
        </w:rPr>
      </w:pPr>
    </w:p>
    <w:p w:rsidR="00DF0344" w:rsidRDefault="00DF0344" w:rsidP="00BF5DE8">
      <w:pPr>
        <w:spacing w:after="0"/>
        <w:jc w:val="both"/>
        <w:rPr>
          <w:rFonts w:ascii="Arial" w:hAnsi="Arial" w:cs="Arial"/>
          <w:b/>
        </w:rPr>
      </w:pPr>
      <w:r>
        <w:rPr>
          <w:rFonts w:ascii="Arial" w:hAnsi="Arial" w:cs="Arial"/>
          <w:b/>
        </w:rPr>
        <w:t>9.</w:t>
      </w:r>
      <w:r>
        <w:rPr>
          <w:rFonts w:ascii="Arial" w:hAnsi="Arial" w:cs="Arial"/>
          <w:b/>
        </w:rPr>
        <w:tab/>
      </w:r>
      <w:r w:rsidRPr="00263410">
        <w:rPr>
          <w:rFonts w:ascii="Arial" w:hAnsi="Arial" w:cs="Arial"/>
          <w:b/>
        </w:rPr>
        <w:t>Clause 9</w:t>
      </w:r>
      <w:r>
        <w:rPr>
          <w:rFonts w:ascii="Arial" w:hAnsi="Arial" w:cs="Arial"/>
          <w:b/>
        </w:rPr>
        <w:t>:</w:t>
      </w:r>
      <w:r w:rsidRPr="0064576A">
        <w:rPr>
          <w:rFonts w:ascii="Arial" w:hAnsi="Arial" w:cs="Arial"/>
          <w:b/>
        </w:rPr>
        <w:t>Right of complainant to make representations in certain matters with regard to placement on parole, on day parole, or under correctional supervision</w:t>
      </w:r>
      <w:r>
        <w:rPr>
          <w:rFonts w:ascii="Arial" w:hAnsi="Arial" w:cs="Arial"/>
          <w:b/>
        </w:rPr>
        <w:t xml:space="preserve"> (section </w:t>
      </w:r>
      <w:r w:rsidRPr="0064576A">
        <w:rPr>
          <w:rFonts w:ascii="Arial" w:hAnsi="Arial" w:cs="Arial"/>
          <w:b/>
        </w:rPr>
        <w:t xml:space="preserve">299A </w:t>
      </w:r>
      <w:r>
        <w:rPr>
          <w:rFonts w:ascii="Arial" w:hAnsi="Arial" w:cs="Arial"/>
          <w:b/>
        </w:rPr>
        <w:t>of the CPA)</w:t>
      </w:r>
    </w:p>
    <w:p w:rsidR="00DF0344" w:rsidRDefault="00DF0344" w:rsidP="00855014">
      <w:pPr>
        <w:spacing w:after="0"/>
        <w:jc w:val="both"/>
        <w:rPr>
          <w:rFonts w:ascii="Arial" w:hAnsi="Arial" w:cs="Arial"/>
        </w:rPr>
      </w:pPr>
      <w:r w:rsidRPr="00DF0344">
        <w:rPr>
          <w:rFonts w:ascii="Arial" w:hAnsi="Arial" w:cs="Arial"/>
        </w:rPr>
        <w:lastRenderedPageBreak/>
        <w:t>The amendment is mostly supported by the commentator.</w:t>
      </w:r>
      <w:r>
        <w:rPr>
          <w:rFonts w:ascii="Arial" w:hAnsi="Arial" w:cs="Arial"/>
        </w:rPr>
        <w:t xml:space="preserve"> As indicated in the comments and responses document, shortcomings in respect of parole must be addressed in terms of the </w:t>
      </w:r>
      <w:r w:rsidRPr="00DF0344">
        <w:rPr>
          <w:rFonts w:ascii="Arial" w:hAnsi="Arial" w:cs="Arial"/>
        </w:rPr>
        <w:t xml:space="preserve"> Correctional Services Act, 1998, and not the CPA.</w:t>
      </w:r>
      <w:r>
        <w:rPr>
          <w:rFonts w:ascii="Arial" w:hAnsi="Arial" w:cs="Arial"/>
        </w:rPr>
        <w:t xml:space="preserve">Section 299A(1) of the CPA is amended, among others, to provide that where a court </w:t>
      </w:r>
      <w:r w:rsidRPr="00DF0344">
        <w:rPr>
          <w:rFonts w:ascii="Arial" w:hAnsi="Arial" w:cs="Arial"/>
        </w:rPr>
        <w:t>sentences a person to imprisonment for</w:t>
      </w:r>
      <w:r w:rsidR="00855014" w:rsidRPr="00855014">
        <w:rPr>
          <w:rFonts w:ascii="Arial" w:hAnsi="Arial" w:cs="Arial"/>
        </w:rPr>
        <w:t>a period exceeding seven years for any offence, which that person committedagainst any person in a domestic relationship, with that person</w:t>
      </w:r>
      <w:r w:rsidR="00855014">
        <w:rPr>
          <w:rFonts w:ascii="Arial" w:hAnsi="Arial" w:cs="Arial"/>
        </w:rPr>
        <w:t xml:space="preserve">, the court </w:t>
      </w:r>
      <w:r w:rsidR="00855014" w:rsidRPr="00855014">
        <w:rPr>
          <w:rFonts w:ascii="Arial" w:hAnsi="Arial" w:cs="Arial"/>
        </w:rPr>
        <w:t xml:space="preserve">it </w:t>
      </w:r>
      <w:r w:rsidR="00855014">
        <w:rPr>
          <w:rFonts w:ascii="Arial" w:hAnsi="Arial" w:cs="Arial"/>
        </w:rPr>
        <w:t xml:space="preserve">must inform the </w:t>
      </w:r>
      <w:r w:rsidR="00855014" w:rsidRPr="00855014">
        <w:rPr>
          <w:rFonts w:ascii="Arial" w:hAnsi="Arial" w:cs="Arial"/>
        </w:rPr>
        <w:t>complainant</w:t>
      </w:r>
      <w:r w:rsidR="00855014">
        <w:rPr>
          <w:rFonts w:ascii="Arial" w:hAnsi="Arial" w:cs="Arial"/>
        </w:rPr>
        <w:t xml:space="preserve"> that he or she has a right </w:t>
      </w:r>
      <w:r w:rsidR="00855014" w:rsidRPr="00855014">
        <w:rPr>
          <w:rFonts w:ascii="Arial" w:hAnsi="Arial" w:cs="Arial"/>
        </w:rPr>
        <w:t>to make representations when placement of the prisoner on parole</w:t>
      </w:r>
      <w:r w:rsidR="00855014">
        <w:rPr>
          <w:rFonts w:ascii="Arial" w:hAnsi="Arial" w:cs="Arial"/>
        </w:rPr>
        <w:t xml:space="preserve"> is considered. Various commentators question the </w:t>
      </w:r>
      <w:r w:rsidR="00855014" w:rsidRPr="00855014">
        <w:rPr>
          <w:rFonts w:ascii="Arial" w:hAnsi="Arial" w:cs="Arial"/>
        </w:rPr>
        <w:t>seven years</w:t>
      </w:r>
      <w:r w:rsidR="00855014">
        <w:rPr>
          <w:rFonts w:ascii="Arial" w:hAnsi="Arial" w:cs="Arial"/>
        </w:rPr>
        <w:t xml:space="preserve"> qualification. </w:t>
      </w:r>
    </w:p>
    <w:p w:rsidR="00855014" w:rsidRDefault="00855014" w:rsidP="00855014">
      <w:pPr>
        <w:spacing w:after="0"/>
        <w:jc w:val="both"/>
        <w:rPr>
          <w:rFonts w:ascii="Arial" w:hAnsi="Arial" w:cs="Arial"/>
        </w:rPr>
      </w:pPr>
    </w:p>
    <w:p w:rsidR="00626A1C" w:rsidRPr="00263410" w:rsidRDefault="00626A1C" w:rsidP="00626A1C">
      <w:pPr>
        <w:tabs>
          <w:tab w:val="left" w:pos="246"/>
        </w:tabs>
        <w:jc w:val="both"/>
        <w:rPr>
          <w:rFonts w:ascii="Arial" w:hAnsi="Arial" w:cs="Arial"/>
          <w:b/>
        </w:rPr>
      </w:pPr>
    </w:p>
    <w:p w:rsidR="00855014" w:rsidRDefault="00626A1C" w:rsidP="00626A1C">
      <w:pPr>
        <w:spacing w:after="0"/>
        <w:jc w:val="both"/>
        <w:rPr>
          <w:rFonts w:ascii="Arial" w:hAnsi="Arial" w:cs="Arial"/>
          <w:b/>
        </w:rPr>
      </w:pPr>
      <w:r>
        <w:rPr>
          <w:rFonts w:ascii="Arial" w:hAnsi="Arial" w:cs="Arial"/>
          <w:b/>
        </w:rPr>
        <w:t xml:space="preserve">10. </w:t>
      </w:r>
      <w:r w:rsidRPr="00263410">
        <w:rPr>
          <w:rFonts w:ascii="Arial" w:hAnsi="Arial" w:cs="Arial"/>
          <w:b/>
        </w:rPr>
        <w:t>Clause 10</w:t>
      </w:r>
      <w:r>
        <w:rPr>
          <w:rFonts w:ascii="Arial" w:hAnsi="Arial" w:cs="Arial"/>
          <w:b/>
        </w:rPr>
        <w:t>:</w:t>
      </w:r>
      <w:r w:rsidRPr="00123FFB">
        <w:rPr>
          <w:rFonts w:ascii="Arial" w:hAnsi="Arial" w:cs="Arial"/>
          <w:b/>
        </w:rPr>
        <w:t>Appeal against sentence of superior court</w:t>
      </w:r>
      <w:r>
        <w:rPr>
          <w:rFonts w:ascii="Arial" w:hAnsi="Arial" w:cs="Arial"/>
          <w:b/>
        </w:rPr>
        <w:t xml:space="preserve"> (Section 316A of the CPA)</w:t>
      </w:r>
    </w:p>
    <w:p w:rsidR="00626A1C" w:rsidRDefault="00626A1C" w:rsidP="00626A1C">
      <w:pPr>
        <w:spacing w:after="0"/>
        <w:jc w:val="both"/>
        <w:rPr>
          <w:rFonts w:ascii="Arial" w:hAnsi="Arial" w:cs="Arial"/>
          <w:b/>
        </w:rPr>
      </w:pPr>
    </w:p>
    <w:p w:rsidR="00626A1C" w:rsidRDefault="00627888" w:rsidP="00626A1C">
      <w:pPr>
        <w:spacing w:after="0"/>
        <w:jc w:val="both"/>
        <w:rPr>
          <w:rFonts w:ascii="Arial" w:hAnsi="Arial" w:cs="Arial"/>
        </w:rPr>
      </w:pPr>
      <w:r w:rsidRPr="00627888">
        <w:rPr>
          <w:rFonts w:ascii="Arial" w:hAnsi="Arial" w:cs="Arial"/>
        </w:rPr>
        <w:t>Clause 10 amends section 316B of the CPA, to allow the State to appeal a sentence imposed by a High court sitting as a court of appeal in terms of section 310A, in circumstances where a grave failure of justice would otherwise result or the administration of justice may be brought into disrepute. The provision is intended to maintain the common law principle of limiting the right of appeal by the State, in that the State is not given a free and endless right of appeal, but limiting the right to cases where injustice may result if the State is not afforded the right of appeal.</w:t>
      </w:r>
    </w:p>
    <w:p w:rsidR="00627888" w:rsidRDefault="00627888" w:rsidP="00626A1C">
      <w:pPr>
        <w:spacing w:after="0"/>
        <w:jc w:val="both"/>
        <w:rPr>
          <w:rFonts w:ascii="Arial" w:hAnsi="Arial" w:cs="Arial"/>
        </w:rPr>
      </w:pPr>
    </w:p>
    <w:p w:rsidR="00627888" w:rsidRDefault="00626A1C" w:rsidP="00626A1C">
      <w:pPr>
        <w:spacing w:after="0"/>
        <w:jc w:val="both"/>
        <w:rPr>
          <w:rFonts w:ascii="Arial" w:hAnsi="Arial" w:cs="Arial"/>
        </w:rPr>
      </w:pPr>
      <w:r w:rsidRPr="00626A1C">
        <w:rPr>
          <w:rFonts w:ascii="Arial" w:hAnsi="Arial" w:cs="Arial"/>
        </w:rPr>
        <w:t>The clause is supported by most of the commentators.</w:t>
      </w:r>
    </w:p>
    <w:p w:rsidR="00627888" w:rsidRDefault="00627888" w:rsidP="00626A1C">
      <w:pPr>
        <w:spacing w:after="0"/>
        <w:jc w:val="both"/>
        <w:rPr>
          <w:rFonts w:ascii="Arial" w:hAnsi="Arial" w:cs="Arial"/>
        </w:rPr>
      </w:pPr>
    </w:p>
    <w:p w:rsidR="00626A1C" w:rsidRDefault="00626A1C" w:rsidP="00626A1C">
      <w:pPr>
        <w:spacing w:after="0"/>
        <w:jc w:val="both"/>
        <w:rPr>
          <w:rFonts w:ascii="Arial" w:hAnsi="Arial" w:cs="Arial"/>
        </w:rPr>
      </w:pPr>
      <w:r>
        <w:rPr>
          <w:rFonts w:ascii="Arial" w:hAnsi="Arial" w:cs="Arial"/>
        </w:rPr>
        <w:t xml:space="preserve">However, Legal Aid SA, relying on the Judgment in </w:t>
      </w:r>
      <w:r w:rsidRPr="00626A1C">
        <w:rPr>
          <w:rFonts w:ascii="Arial" w:hAnsi="Arial" w:cs="Arial"/>
        </w:rPr>
        <w:t xml:space="preserve">DPP Western Cape v </w:t>
      </w:r>
      <w:proofErr w:type="spellStart"/>
      <w:r w:rsidRPr="00626A1C">
        <w:rPr>
          <w:rFonts w:ascii="Arial" w:hAnsi="Arial" w:cs="Arial"/>
        </w:rPr>
        <w:t>Kock</w:t>
      </w:r>
      <w:proofErr w:type="spellEnd"/>
      <w:r w:rsidRPr="00626A1C">
        <w:rPr>
          <w:rFonts w:ascii="Arial" w:hAnsi="Arial" w:cs="Arial"/>
        </w:rPr>
        <w:t xml:space="preserve"> 2016 (1) SACR 539 (SCA) at 8 – 10 and 19 – 20</w:t>
      </w:r>
      <w:r w:rsidR="00627888">
        <w:rPr>
          <w:rFonts w:ascii="Arial" w:hAnsi="Arial" w:cs="Arial"/>
        </w:rPr>
        <w:t xml:space="preserve"> (</w:t>
      </w:r>
      <w:r w:rsidR="00DE188C" w:rsidRPr="00DE188C">
        <w:rPr>
          <w:rFonts w:ascii="Arial" w:hAnsi="Arial" w:cs="Arial"/>
        </w:rPr>
        <w:t>the accused should not be exposed to an increase in his sentence after the trial</w:t>
      </w:r>
      <w:r w:rsidR="00DE188C">
        <w:rPr>
          <w:rFonts w:ascii="Arial" w:hAnsi="Arial" w:cs="Arial"/>
        </w:rPr>
        <w:t xml:space="preserve">), </w:t>
      </w:r>
      <w:r w:rsidR="00627888">
        <w:rPr>
          <w:rFonts w:ascii="Arial" w:hAnsi="Arial" w:cs="Arial"/>
        </w:rPr>
        <w:t>indicated that they cannot support the amendment.</w:t>
      </w:r>
    </w:p>
    <w:p w:rsidR="005F777B" w:rsidRDefault="005F777B" w:rsidP="00626A1C">
      <w:pPr>
        <w:spacing w:after="0"/>
        <w:jc w:val="both"/>
        <w:rPr>
          <w:rFonts w:ascii="Arial" w:hAnsi="Arial" w:cs="Arial"/>
        </w:rPr>
      </w:pPr>
    </w:p>
    <w:p w:rsidR="005F777B" w:rsidRDefault="005F777B" w:rsidP="00626A1C">
      <w:pPr>
        <w:spacing w:after="0"/>
        <w:jc w:val="both"/>
        <w:rPr>
          <w:rFonts w:ascii="Arial" w:hAnsi="Arial" w:cs="Arial"/>
        </w:rPr>
      </w:pPr>
      <w:r>
        <w:rPr>
          <w:rFonts w:ascii="Arial" w:hAnsi="Arial" w:cs="Arial"/>
        </w:rPr>
        <w:t>The Department is</w:t>
      </w:r>
      <w:r w:rsidR="004D4B93">
        <w:rPr>
          <w:rFonts w:ascii="Arial" w:hAnsi="Arial" w:cs="Arial"/>
        </w:rPr>
        <w:t>,</w:t>
      </w:r>
      <w:r>
        <w:rPr>
          <w:rFonts w:ascii="Arial" w:hAnsi="Arial" w:cs="Arial"/>
        </w:rPr>
        <w:t xml:space="preserve"> however</w:t>
      </w:r>
      <w:r w:rsidR="004D4B93">
        <w:rPr>
          <w:rFonts w:ascii="Arial" w:hAnsi="Arial" w:cs="Arial"/>
        </w:rPr>
        <w:t>,</w:t>
      </w:r>
      <w:r>
        <w:rPr>
          <w:rFonts w:ascii="Arial" w:hAnsi="Arial" w:cs="Arial"/>
        </w:rPr>
        <w:t xml:space="preserve"> of the opinion </w:t>
      </w:r>
      <w:r w:rsidR="004D4B93">
        <w:rPr>
          <w:rFonts w:ascii="Arial" w:hAnsi="Arial" w:cs="Arial"/>
        </w:rPr>
        <w:t xml:space="preserve">and with reliance on the judgment of  </w:t>
      </w:r>
      <w:r w:rsidR="004D4B93" w:rsidRPr="004D4B93">
        <w:rPr>
          <w:rFonts w:ascii="Arial" w:hAnsi="Arial" w:cs="Arial"/>
        </w:rPr>
        <w:t xml:space="preserve">DPP, Gauteng v </w:t>
      </w:r>
      <w:proofErr w:type="spellStart"/>
      <w:r w:rsidR="004D4B93" w:rsidRPr="004D4B93">
        <w:rPr>
          <w:rFonts w:ascii="Arial" w:hAnsi="Arial" w:cs="Arial"/>
        </w:rPr>
        <w:t>Ramolefi</w:t>
      </w:r>
      <w:proofErr w:type="spellEnd"/>
      <w:r w:rsidR="004D4B93" w:rsidRPr="004D4B93">
        <w:rPr>
          <w:rFonts w:ascii="Arial" w:hAnsi="Arial" w:cs="Arial"/>
        </w:rPr>
        <w:t xml:space="preserve"> 2019 ZASPA 60</w:t>
      </w:r>
      <w:r w:rsidR="004D4B93">
        <w:rPr>
          <w:rFonts w:ascii="Arial" w:hAnsi="Arial" w:cs="Arial"/>
        </w:rPr>
        <w:t xml:space="preserve">, </w:t>
      </w:r>
      <w:r>
        <w:rPr>
          <w:rFonts w:ascii="Arial" w:hAnsi="Arial" w:cs="Arial"/>
        </w:rPr>
        <w:t>that the amendment can be justified on the basis of the narrow criteria on which the State may appeal, namely –</w:t>
      </w:r>
    </w:p>
    <w:p w:rsidR="005F777B" w:rsidRDefault="005F777B" w:rsidP="005F777B">
      <w:pPr>
        <w:spacing w:after="0"/>
        <w:jc w:val="both"/>
        <w:rPr>
          <w:rFonts w:ascii="Arial" w:hAnsi="Arial" w:cs="Arial"/>
        </w:rPr>
      </w:pPr>
      <w:r>
        <w:rPr>
          <w:rFonts w:ascii="Arial" w:hAnsi="Arial" w:cs="Arial"/>
        </w:rPr>
        <w:t>(a)</w:t>
      </w:r>
      <w:r>
        <w:rPr>
          <w:rFonts w:ascii="Arial" w:hAnsi="Arial" w:cs="Arial"/>
        </w:rPr>
        <w:tab/>
      </w:r>
      <w:proofErr w:type="gramStart"/>
      <w:r w:rsidRPr="005F777B">
        <w:rPr>
          <w:rFonts w:ascii="Arial" w:hAnsi="Arial" w:cs="Arial"/>
        </w:rPr>
        <w:t>where</w:t>
      </w:r>
      <w:proofErr w:type="gramEnd"/>
      <w:r w:rsidRPr="005F777B">
        <w:rPr>
          <w:rFonts w:ascii="Arial" w:hAnsi="Arial" w:cs="Arial"/>
        </w:rPr>
        <w:t xml:space="preserve"> a grave failure of justice wouldotherwise result</w:t>
      </w:r>
      <w:r>
        <w:rPr>
          <w:rFonts w:ascii="Arial" w:hAnsi="Arial" w:cs="Arial"/>
        </w:rPr>
        <w:t xml:space="preserve">; </w:t>
      </w:r>
      <w:r w:rsidRPr="005F777B">
        <w:rPr>
          <w:rFonts w:ascii="Arial" w:hAnsi="Arial" w:cs="Arial"/>
        </w:rPr>
        <w:t xml:space="preserve"> or </w:t>
      </w:r>
    </w:p>
    <w:p w:rsidR="005F777B" w:rsidRDefault="005F777B" w:rsidP="005F777B">
      <w:pPr>
        <w:spacing w:after="0"/>
        <w:jc w:val="both"/>
        <w:rPr>
          <w:rFonts w:ascii="Arial" w:hAnsi="Arial" w:cs="Arial"/>
        </w:rPr>
      </w:pPr>
      <w:r>
        <w:rPr>
          <w:rFonts w:ascii="Arial" w:hAnsi="Arial" w:cs="Arial"/>
        </w:rPr>
        <w:t>(b)</w:t>
      </w:r>
      <w:r>
        <w:rPr>
          <w:rFonts w:ascii="Arial" w:hAnsi="Arial" w:cs="Arial"/>
        </w:rPr>
        <w:tab/>
      </w:r>
      <w:proofErr w:type="gramStart"/>
      <w:r w:rsidRPr="005F777B">
        <w:rPr>
          <w:rFonts w:ascii="Arial" w:hAnsi="Arial" w:cs="Arial"/>
        </w:rPr>
        <w:t>the</w:t>
      </w:r>
      <w:proofErr w:type="gramEnd"/>
      <w:r w:rsidRPr="005F777B">
        <w:rPr>
          <w:rFonts w:ascii="Arial" w:hAnsi="Arial" w:cs="Arial"/>
        </w:rPr>
        <w:t xml:space="preserve"> administration of justice may be brought into</w:t>
      </w:r>
      <w:r>
        <w:rPr>
          <w:rFonts w:ascii="Arial" w:hAnsi="Arial" w:cs="Arial"/>
        </w:rPr>
        <w:t xml:space="preserve"> disrepute.</w:t>
      </w:r>
    </w:p>
    <w:p w:rsidR="005F777B" w:rsidRDefault="005F777B" w:rsidP="00626A1C">
      <w:pPr>
        <w:spacing w:after="0"/>
        <w:jc w:val="both"/>
        <w:rPr>
          <w:rFonts w:ascii="Arial" w:hAnsi="Arial" w:cs="Arial"/>
        </w:rPr>
      </w:pPr>
    </w:p>
    <w:p w:rsidR="004D4B93" w:rsidRDefault="004D4B93" w:rsidP="00626A1C">
      <w:pPr>
        <w:spacing w:after="0"/>
        <w:jc w:val="both"/>
        <w:rPr>
          <w:rFonts w:ascii="Arial" w:hAnsi="Arial" w:cs="Arial"/>
        </w:rPr>
      </w:pPr>
    </w:p>
    <w:p w:rsidR="00271A1E" w:rsidRPr="00263410" w:rsidRDefault="00271A1E" w:rsidP="00271A1E">
      <w:pPr>
        <w:tabs>
          <w:tab w:val="left" w:pos="246"/>
        </w:tabs>
        <w:jc w:val="both"/>
        <w:rPr>
          <w:rFonts w:ascii="Arial" w:hAnsi="Arial" w:cs="Arial"/>
          <w:b/>
        </w:rPr>
      </w:pPr>
      <w:r>
        <w:rPr>
          <w:rFonts w:ascii="Arial" w:hAnsi="Arial" w:cs="Arial"/>
          <w:b/>
        </w:rPr>
        <w:t xml:space="preserve">11. </w:t>
      </w:r>
      <w:r w:rsidRPr="00263410">
        <w:rPr>
          <w:rFonts w:ascii="Arial" w:hAnsi="Arial" w:cs="Arial"/>
          <w:b/>
        </w:rPr>
        <w:t xml:space="preserve">Clause 11, </w:t>
      </w:r>
      <w:proofErr w:type="gramStart"/>
      <w:r w:rsidRPr="00263410">
        <w:rPr>
          <w:rFonts w:ascii="Arial" w:hAnsi="Arial" w:cs="Arial"/>
          <w:b/>
        </w:rPr>
        <w:t>12 ,13</w:t>
      </w:r>
      <w:proofErr w:type="gramEnd"/>
      <w:r w:rsidRPr="00263410">
        <w:rPr>
          <w:rFonts w:ascii="Arial" w:hAnsi="Arial" w:cs="Arial"/>
          <w:b/>
        </w:rPr>
        <w:t xml:space="preserve"> and 14</w:t>
      </w:r>
      <w:r>
        <w:rPr>
          <w:rFonts w:ascii="Arial" w:hAnsi="Arial" w:cs="Arial"/>
          <w:b/>
        </w:rPr>
        <w:t xml:space="preserve"> (A</w:t>
      </w:r>
      <w:r w:rsidRPr="00195FD3">
        <w:rPr>
          <w:rFonts w:ascii="Arial" w:hAnsi="Arial" w:cs="Arial"/>
          <w:b/>
        </w:rPr>
        <w:t>mend Schedules 1, 2, 7 and 8 to the CPA, respectively, to expand on the offence of assault when a dangerous wound is inflicted</w:t>
      </w:r>
      <w:r>
        <w:rPr>
          <w:rFonts w:ascii="Arial" w:hAnsi="Arial" w:cs="Arial"/>
          <w:b/>
        </w:rPr>
        <w:t>)</w:t>
      </w:r>
    </w:p>
    <w:p w:rsidR="00271A1E" w:rsidRDefault="00271A1E" w:rsidP="00626A1C">
      <w:pPr>
        <w:spacing w:after="0"/>
        <w:jc w:val="both"/>
        <w:rPr>
          <w:rFonts w:ascii="Arial" w:hAnsi="Arial" w:cs="Arial"/>
        </w:rPr>
      </w:pPr>
      <w:r w:rsidRPr="00271A1E">
        <w:rPr>
          <w:rFonts w:ascii="Arial" w:hAnsi="Arial" w:cs="Arial"/>
        </w:rPr>
        <w:t xml:space="preserve">The provisions are supported by </w:t>
      </w:r>
      <w:r>
        <w:rPr>
          <w:rFonts w:ascii="Arial" w:hAnsi="Arial" w:cs="Arial"/>
        </w:rPr>
        <w:t>all commentators and no amendments are proposed.</w:t>
      </w:r>
    </w:p>
    <w:p w:rsidR="00271A1E" w:rsidRDefault="00271A1E" w:rsidP="00626A1C">
      <w:pPr>
        <w:spacing w:after="0"/>
        <w:jc w:val="both"/>
        <w:rPr>
          <w:rFonts w:ascii="Arial" w:hAnsi="Arial" w:cs="Arial"/>
        </w:rPr>
      </w:pPr>
    </w:p>
    <w:p w:rsidR="00271A1E" w:rsidRPr="00263410" w:rsidRDefault="00271A1E" w:rsidP="00271A1E">
      <w:pPr>
        <w:jc w:val="both"/>
        <w:rPr>
          <w:rFonts w:ascii="Arial" w:hAnsi="Arial" w:cs="Arial"/>
          <w:b/>
        </w:rPr>
      </w:pPr>
      <w:r>
        <w:rPr>
          <w:rFonts w:ascii="Arial" w:hAnsi="Arial" w:cs="Arial"/>
          <w:b/>
        </w:rPr>
        <w:t xml:space="preserve">12. </w:t>
      </w:r>
      <w:r w:rsidRPr="00263410">
        <w:rPr>
          <w:rFonts w:ascii="Arial" w:hAnsi="Arial" w:cs="Arial"/>
          <w:b/>
        </w:rPr>
        <w:t xml:space="preserve"> Clause</w:t>
      </w:r>
      <w:r>
        <w:rPr>
          <w:rFonts w:ascii="Arial" w:hAnsi="Arial" w:cs="Arial"/>
          <w:b/>
        </w:rPr>
        <w:t>s</w:t>
      </w:r>
      <w:r w:rsidRPr="00263410">
        <w:rPr>
          <w:rFonts w:ascii="Arial" w:hAnsi="Arial" w:cs="Arial"/>
          <w:b/>
        </w:rPr>
        <w:t xml:space="preserve"> 15</w:t>
      </w:r>
      <w:r>
        <w:rPr>
          <w:rFonts w:ascii="Arial" w:hAnsi="Arial" w:cs="Arial"/>
          <w:b/>
        </w:rPr>
        <w:t xml:space="preserve"> (</w:t>
      </w:r>
      <w:r w:rsidRPr="005C39F7">
        <w:rPr>
          <w:rFonts w:ascii="Arial" w:hAnsi="Arial" w:cs="Arial"/>
          <w:b/>
        </w:rPr>
        <w:t>amend</w:t>
      </w:r>
      <w:r>
        <w:rPr>
          <w:rFonts w:ascii="Arial" w:hAnsi="Arial" w:cs="Arial"/>
          <w:b/>
        </w:rPr>
        <w:t>s to Part I of Schedule2</w:t>
      </w:r>
      <w:r w:rsidRPr="005C39F7">
        <w:rPr>
          <w:rFonts w:ascii="Arial" w:hAnsi="Arial" w:cs="Arial"/>
          <w:b/>
        </w:rPr>
        <w:t>to the CLAA</w:t>
      </w:r>
      <w:r>
        <w:rPr>
          <w:rFonts w:ascii="Arial" w:hAnsi="Arial" w:cs="Arial"/>
          <w:b/>
        </w:rPr>
        <w:t>)</w:t>
      </w:r>
      <w:r w:rsidRPr="00263410">
        <w:rPr>
          <w:rFonts w:ascii="Arial" w:hAnsi="Arial" w:cs="Arial"/>
          <w:b/>
        </w:rPr>
        <w:t>, 16</w:t>
      </w:r>
      <w:r>
        <w:rPr>
          <w:rFonts w:ascii="Arial" w:hAnsi="Arial" w:cs="Arial"/>
          <w:b/>
        </w:rPr>
        <w:t xml:space="preserve"> (amends </w:t>
      </w:r>
      <w:r w:rsidRPr="005C39F7">
        <w:rPr>
          <w:rFonts w:ascii="Arial" w:hAnsi="Arial" w:cs="Arial"/>
          <w:b/>
        </w:rPr>
        <w:t>Part II of Schedule 2 to the CLAA</w:t>
      </w:r>
      <w:r>
        <w:rPr>
          <w:rFonts w:ascii="Arial" w:hAnsi="Arial" w:cs="Arial"/>
          <w:b/>
        </w:rPr>
        <w:t xml:space="preserve">); </w:t>
      </w:r>
      <w:r w:rsidRPr="00263410">
        <w:rPr>
          <w:rFonts w:ascii="Arial" w:hAnsi="Arial" w:cs="Arial"/>
          <w:b/>
        </w:rPr>
        <w:t>and 17</w:t>
      </w:r>
      <w:r>
        <w:rPr>
          <w:rFonts w:ascii="Arial" w:hAnsi="Arial" w:cs="Arial"/>
          <w:b/>
        </w:rPr>
        <w:t xml:space="preserve"> (amends </w:t>
      </w:r>
      <w:r w:rsidRPr="005C39F7">
        <w:rPr>
          <w:rFonts w:ascii="Arial" w:hAnsi="Arial" w:cs="Arial"/>
          <w:b/>
        </w:rPr>
        <w:t>Part III of Schedule 2to the CLAA</w:t>
      </w:r>
      <w:r>
        <w:rPr>
          <w:rFonts w:ascii="Arial" w:hAnsi="Arial" w:cs="Arial"/>
          <w:b/>
        </w:rPr>
        <w:t>)</w:t>
      </w:r>
    </w:p>
    <w:p w:rsidR="00271A1E" w:rsidRDefault="00271A1E" w:rsidP="00626A1C">
      <w:pPr>
        <w:spacing w:after="0"/>
        <w:jc w:val="both"/>
        <w:rPr>
          <w:rFonts w:ascii="Arial" w:hAnsi="Arial" w:cs="Arial"/>
        </w:rPr>
      </w:pPr>
      <w:r>
        <w:rPr>
          <w:rFonts w:ascii="Arial" w:hAnsi="Arial" w:cs="Arial"/>
        </w:rPr>
        <w:t>In general the commentators support the amendments. However, the following are raised:</w:t>
      </w:r>
    </w:p>
    <w:p w:rsidR="00271A1E" w:rsidRDefault="00271A1E" w:rsidP="00626A1C">
      <w:pPr>
        <w:spacing w:after="0"/>
        <w:jc w:val="both"/>
        <w:rPr>
          <w:rFonts w:ascii="Arial" w:hAnsi="Arial" w:cs="Arial"/>
        </w:rPr>
      </w:pPr>
    </w:p>
    <w:p w:rsidR="005F777B" w:rsidRPr="00271A1E" w:rsidRDefault="00271A1E" w:rsidP="00626A1C">
      <w:pPr>
        <w:spacing w:after="0"/>
        <w:jc w:val="both"/>
        <w:rPr>
          <w:rFonts w:ascii="Arial" w:hAnsi="Arial" w:cs="Arial"/>
          <w:u w:val="single"/>
        </w:rPr>
      </w:pPr>
      <w:r>
        <w:rPr>
          <w:rFonts w:ascii="Arial" w:hAnsi="Arial" w:cs="Arial"/>
        </w:rPr>
        <w:t xml:space="preserve">(a) </w:t>
      </w:r>
      <w:r w:rsidRPr="00271A1E">
        <w:rPr>
          <w:rFonts w:ascii="Arial" w:hAnsi="Arial" w:cs="Arial"/>
          <w:u w:val="single"/>
        </w:rPr>
        <w:t>Attempted murder – Part II of Schedule 2</w:t>
      </w:r>
    </w:p>
    <w:p w:rsidR="00271A1E" w:rsidRDefault="00271A1E" w:rsidP="00626A1C">
      <w:pPr>
        <w:spacing w:after="0"/>
        <w:jc w:val="both"/>
        <w:rPr>
          <w:rFonts w:ascii="Arial" w:hAnsi="Arial" w:cs="Arial"/>
        </w:rPr>
      </w:pPr>
      <w:r w:rsidRPr="00271A1E">
        <w:rPr>
          <w:rFonts w:ascii="Arial" w:hAnsi="Arial" w:cs="Arial"/>
        </w:rPr>
        <w:lastRenderedPageBreak/>
        <w:t>Legal Aid SA is of opinion that there can be no justification to place attempted murder on the same footing as the completed offence. Where the minimum sentence for murder, other than contemplated in Part I, is 15 years’ imprisonment the sentence for the attempted offence should not be the same.</w:t>
      </w:r>
    </w:p>
    <w:p w:rsidR="00271A1E" w:rsidRDefault="00271A1E" w:rsidP="00626A1C">
      <w:pPr>
        <w:spacing w:after="0"/>
        <w:jc w:val="both"/>
        <w:rPr>
          <w:rFonts w:ascii="Arial" w:hAnsi="Arial" w:cs="Arial"/>
        </w:rPr>
      </w:pPr>
      <w:r>
        <w:rPr>
          <w:rFonts w:ascii="Arial" w:hAnsi="Arial" w:cs="Arial"/>
        </w:rPr>
        <w:t xml:space="preserve">It is the </w:t>
      </w:r>
      <w:r w:rsidR="00AF3F3D">
        <w:rPr>
          <w:rFonts w:ascii="Arial" w:hAnsi="Arial" w:cs="Arial"/>
        </w:rPr>
        <w:t>s</w:t>
      </w:r>
      <w:r>
        <w:rPr>
          <w:rFonts w:ascii="Arial" w:hAnsi="Arial" w:cs="Arial"/>
        </w:rPr>
        <w:t xml:space="preserve">ubmission of the Department </w:t>
      </w:r>
      <w:r w:rsidR="00AF3F3D">
        <w:rPr>
          <w:rFonts w:ascii="Arial" w:hAnsi="Arial" w:cs="Arial"/>
        </w:rPr>
        <w:t>that m</w:t>
      </w:r>
      <w:r w:rsidR="00AF3F3D" w:rsidRPr="00AF3F3D">
        <w:rPr>
          <w:rFonts w:ascii="Arial" w:hAnsi="Arial" w:cs="Arial"/>
        </w:rPr>
        <w:t>urder under Part I of Schedule 2 to the CLAA give rise to a sentence of imprisonment for life. If the accused is, despite all efforts, unsuccessful in killing the victim, a lesser sentence should be imposed. By including attempted murder in Part II of Schedule 2, cater for this. However it also now applies to murder in Part II of Schedule 2.</w:t>
      </w:r>
      <w:r w:rsidR="00AF3F3D">
        <w:rPr>
          <w:rFonts w:ascii="Arial" w:hAnsi="Arial" w:cs="Arial"/>
        </w:rPr>
        <w:t xml:space="preserve"> This may need to be reconsidered.</w:t>
      </w:r>
    </w:p>
    <w:p w:rsidR="00AF3F3D" w:rsidRDefault="00AF3F3D" w:rsidP="00626A1C">
      <w:pPr>
        <w:spacing w:after="0"/>
        <w:jc w:val="both"/>
        <w:rPr>
          <w:rFonts w:ascii="Arial" w:hAnsi="Arial" w:cs="Arial"/>
        </w:rPr>
      </w:pPr>
    </w:p>
    <w:p w:rsidR="00AF3F3D" w:rsidRDefault="00AF3F3D" w:rsidP="00626A1C">
      <w:pPr>
        <w:spacing w:after="0"/>
        <w:jc w:val="both"/>
        <w:rPr>
          <w:rFonts w:ascii="Arial" w:hAnsi="Arial" w:cs="Arial"/>
        </w:rPr>
      </w:pPr>
      <w:r>
        <w:rPr>
          <w:rFonts w:ascii="Arial" w:hAnsi="Arial" w:cs="Arial"/>
        </w:rPr>
        <w:t xml:space="preserve">(b) </w:t>
      </w:r>
      <w:r w:rsidRPr="00AF3F3D">
        <w:rPr>
          <w:rFonts w:ascii="Arial" w:hAnsi="Arial" w:cs="Arial"/>
          <w:u w:val="single"/>
        </w:rPr>
        <w:t>Imprisonment of life – Rape</w:t>
      </w:r>
      <w:r>
        <w:rPr>
          <w:rFonts w:ascii="Arial" w:hAnsi="Arial" w:cs="Arial"/>
          <w:u w:val="single"/>
        </w:rPr>
        <w:t>/compelled rape</w:t>
      </w:r>
    </w:p>
    <w:p w:rsidR="00AF3F3D" w:rsidRDefault="00AF3F3D" w:rsidP="00626A1C">
      <w:pPr>
        <w:spacing w:after="0"/>
        <w:jc w:val="both"/>
        <w:rPr>
          <w:rFonts w:ascii="Arial" w:hAnsi="Arial" w:cs="Arial"/>
        </w:rPr>
      </w:pPr>
      <w:r w:rsidRPr="00AF3F3D">
        <w:rPr>
          <w:rFonts w:ascii="Arial" w:hAnsi="Arial" w:cs="Arial"/>
        </w:rPr>
        <w:t>Embrace Project</w:t>
      </w:r>
      <w:r>
        <w:rPr>
          <w:rFonts w:ascii="Arial" w:hAnsi="Arial" w:cs="Arial"/>
        </w:rPr>
        <w:t xml:space="preserve"> is of the opinion that Rape and compelled rape as contemplated in Part II of Schedule 2 is due to their severity not catered for adequately and that </w:t>
      </w:r>
      <w:r w:rsidRPr="00AF3F3D">
        <w:rPr>
          <w:rFonts w:ascii="Arial" w:hAnsi="Arial" w:cs="Arial"/>
        </w:rPr>
        <w:t>minimum sentence</w:t>
      </w:r>
      <w:r>
        <w:rPr>
          <w:rFonts w:ascii="Arial" w:hAnsi="Arial" w:cs="Arial"/>
        </w:rPr>
        <w:t>s</w:t>
      </w:r>
      <w:r w:rsidRPr="00AF3F3D">
        <w:rPr>
          <w:rFonts w:ascii="Arial" w:hAnsi="Arial" w:cs="Arial"/>
        </w:rPr>
        <w:t xml:space="preserve"> of life imprisonment, </w:t>
      </w:r>
      <w:r>
        <w:rPr>
          <w:rFonts w:ascii="Arial" w:hAnsi="Arial" w:cs="Arial"/>
        </w:rPr>
        <w:t>should be imposed in respect thereof.</w:t>
      </w:r>
    </w:p>
    <w:p w:rsidR="00AF3F3D" w:rsidRDefault="00AF3F3D" w:rsidP="00626A1C">
      <w:pPr>
        <w:spacing w:after="0"/>
        <w:jc w:val="both"/>
        <w:rPr>
          <w:rFonts w:ascii="Arial" w:hAnsi="Arial" w:cs="Arial"/>
        </w:rPr>
      </w:pPr>
      <w:r>
        <w:rPr>
          <w:rFonts w:ascii="Arial" w:hAnsi="Arial" w:cs="Arial"/>
        </w:rPr>
        <w:t xml:space="preserve">It is the submission of the Department that </w:t>
      </w:r>
      <w:r w:rsidRPr="00AF3F3D">
        <w:rPr>
          <w:rFonts w:ascii="Arial" w:hAnsi="Arial" w:cs="Arial"/>
        </w:rPr>
        <w:t>a distinction between the gravity of the offences in question</w:t>
      </w:r>
      <w:r>
        <w:rPr>
          <w:rFonts w:ascii="Arial" w:hAnsi="Arial" w:cs="Arial"/>
        </w:rPr>
        <w:t xml:space="preserve"> (those in Parts I and II of Schedule 2) are necessary. R</w:t>
      </w:r>
      <w:r w:rsidRPr="00AF3F3D">
        <w:rPr>
          <w:rFonts w:ascii="Arial" w:hAnsi="Arial" w:cs="Arial"/>
        </w:rPr>
        <w:t xml:space="preserve">etribution and deterrence is not the only objective of criminal law in a constitutional dispensation. Reform of the perpetrator must also be considered as part of a sentencing option provided for in legislation that leaves a court without </w:t>
      </w:r>
      <w:r w:rsidR="00EB36DB" w:rsidRPr="00AF3F3D">
        <w:rPr>
          <w:rFonts w:ascii="Arial" w:hAnsi="Arial" w:cs="Arial"/>
        </w:rPr>
        <w:t>discretion</w:t>
      </w:r>
      <w:r w:rsidRPr="00AF3F3D">
        <w:rPr>
          <w:rFonts w:ascii="Arial" w:hAnsi="Arial" w:cs="Arial"/>
        </w:rPr>
        <w:t xml:space="preserve"> to impose a sentence in accordance with the triad consisting of the crime, the offender and the interests of society.</w:t>
      </w:r>
      <w:r w:rsidR="00EB36DB">
        <w:rPr>
          <w:rFonts w:ascii="Arial" w:hAnsi="Arial" w:cs="Arial"/>
        </w:rPr>
        <w:t xml:space="preserve"> It is the Department's submission that rape and compelled rape is therefore appropriately scheduled.</w:t>
      </w:r>
    </w:p>
    <w:p w:rsidR="00EB36DB" w:rsidRDefault="00EB36DB" w:rsidP="00626A1C">
      <w:pPr>
        <w:spacing w:after="0"/>
        <w:jc w:val="both"/>
        <w:rPr>
          <w:rFonts w:ascii="Arial" w:hAnsi="Arial" w:cs="Arial"/>
        </w:rPr>
      </w:pPr>
    </w:p>
    <w:p w:rsidR="005F777B" w:rsidRDefault="005F777B" w:rsidP="00626A1C">
      <w:pPr>
        <w:spacing w:after="0"/>
        <w:jc w:val="both"/>
        <w:rPr>
          <w:rFonts w:ascii="Arial" w:hAnsi="Arial" w:cs="Arial"/>
        </w:rPr>
      </w:pPr>
    </w:p>
    <w:p w:rsidR="005F777B" w:rsidRDefault="005F777B" w:rsidP="00626A1C">
      <w:pPr>
        <w:spacing w:after="0"/>
        <w:jc w:val="both"/>
        <w:rPr>
          <w:rFonts w:ascii="Arial" w:hAnsi="Arial" w:cs="Arial"/>
        </w:rPr>
      </w:pPr>
    </w:p>
    <w:p w:rsidR="005F777B" w:rsidRDefault="005F777B" w:rsidP="00626A1C">
      <w:pPr>
        <w:spacing w:after="0"/>
        <w:jc w:val="both"/>
        <w:rPr>
          <w:rFonts w:ascii="Arial" w:hAnsi="Arial" w:cs="Arial"/>
        </w:rPr>
      </w:pPr>
    </w:p>
    <w:p w:rsidR="005F777B" w:rsidRPr="00626A1C" w:rsidRDefault="005F777B" w:rsidP="00626A1C">
      <w:pPr>
        <w:spacing w:after="0"/>
        <w:jc w:val="both"/>
        <w:rPr>
          <w:rFonts w:ascii="Arial" w:hAnsi="Arial" w:cs="Arial"/>
        </w:rPr>
      </w:pPr>
    </w:p>
    <w:p w:rsidR="00BF5DE8" w:rsidRDefault="00BF5DE8" w:rsidP="00DE48F3">
      <w:pPr>
        <w:spacing w:after="0"/>
        <w:jc w:val="both"/>
        <w:rPr>
          <w:rFonts w:ascii="Arial" w:hAnsi="Arial" w:cs="Arial"/>
        </w:rPr>
      </w:pPr>
    </w:p>
    <w:p w:rsidR="00DE48F3" w:rsidRPr="00DE48F3" w:rsidRDefault="00DE48F3" w:rsidP="00CE6E51">
      <w:pPr>
        <w:spacing w:after="0"/>
        <w:ind w:left="709" w:hanging="709"/>
        <w:jc w:val="both"/>
        <w:rPr>
          <w:rFonts w:ascii="Arial" w:hAnsi="Arial" w:cs="Arial"/>
          <w:b/>
        </w:rPr>
      </w:pPr>
    </w:p>
    <w:sectPr w:rsidR="00DE48F3" w:rsidRPr="00DE48F3" w:rsidSect="00495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348"/>
    <w:rsid w:val="00044FA4"/>
    <w:rsid w:val="000D326E"/>
    <w:rsid w:val="000F7DAA"/>
    <w:rsid w:val="0016010F"/>
    <w:rsid w:val="00185832"/>
    <w:rsid w:val="00267DDE"/>
    <w:rsid w:val="00271A1E"/>
    <w:rsid w:val="002C3931"/>
    <w:rsid w:val="002F7B18"/>
    <w:rsid w:val="003672EB"/>
    <w:rsid w:val="003B53D4"/>
    <w:rsid w:val="003C732F"/>
    <w:rsid w:val="003E4192"/>
    <w:rsid w:val="003F481A"/>
    <w:rsid w:val="004751EA"/>
    <w:rsid w:val="00495123"/>
    <w:rsid w:val="004B4A47"/>
    <w:rsid w:val="004D4B93"/>
    <w:rsid w:val="00574068"/>
    <w:rsid w:val="00584106"/>
    <w:rsid w:val="005F777B"/>
    <w:rsid w:val="00617C31"/>
    <w:rsid w:val="00626A1C"/>
    <w:rsid w:val="00627888"/>
    <w:rsid w:val="00662A8B"/>
    <w:rsid w:val="00742351"/>
    <w:rsid w:val="00770FD7"/>
    <w:rsid w:val="00783EB9"/>
    <w:rsid w:val="00855014"/>
    <w:rsid w:val="00872A7C"/>
    <w:rsid w:val="00902A29"/>
    <w:rsid w:val="00AA4128"/>
    <w:rsid w:val="00AF3F3D"/>
    <w:rsid w:val="00B20D21"/>
    <w:rsid w:val="00B71348"/>
    <w:rsid w:val="00BD6626"/>
    <w:rsid w:val="00BF5DE8"/>
    <w:rsid w:val="00C30D90"/>
    <w:rsid w:val="00C466BB"/>
    <w:rsid w:val="00CC48AB"/>
    <w:rsid w:val="00CE6E51"/>
    <w:rsid w:val="00CF55F6"/>
    <w:rsid w:val="00D34895"/>
    <w:rsid w:val="00DE188C"/>
    <w:rsid w:val="00DE48F3"/>
    <w:rsid w:val="00DF0344"/>
    <w:rsid w:val="00E72209"/>
    <w:rsid w:val="00EB36DB"/>
    <w:rsid w:val="00ED0F71"/>
    <w:rsid w:val="00F309A2"/>
    <w:rsid w:val="00F81FA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A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USER</cp:lastModifiedBy>
  <cp:revision>2</cp:revision>
  <dcterms:created xsi:type="dcterms:W3CDTF">2020-11-12T07:13:00Z</dcterms:created>
  <dcterms:modified xsi:type="dcterms:W3CDTF">2020-11-12T07:13:00Z</dcterms:modified>
</cp:coreProperties>
</file>