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A7" w:rsidRPr="00F34E7E" w:rsidRDefault="006B29A7" w:rsidP="006B29A7">
      <w:pPr>
        <w:rPr>
          <w:b/>
          <w:lang w:val="en-GB"/>
        </w:rPr>
      </w:pPr>
      <w:bookmarkStart w:id="0" w:name="_GoBack"/>
      <w:bookmarkEnd w:id="0"/>
    </w:p>
    <w:p w:rsidR="006B29A7" w:rsidRPr="00F34E7E" w:rsidRDefault="006B29A7" w:rsidP="006B29A7">
      <w:pPr>
        <w:rPr>
          <w:b/>
          <w:lang w:val="en-GB"/>
        </w:rPr>
      </w:pPr>
    </w:p>
    <w:p w:rsidR="006B29A7" w:rsidRPr="00F34E7E" w:rsidRDefault="006B29A7" w:rsidP="006B29A7">
      <w:pPr>
        <w:rPr>
          <w:b/>
          <w:lang w:val="en-GB"/>
        </w:rPr>
      </w:pPr>
    </w:p>
    <w:p w:rsidR="006B29A7" w:rsidRPr="00F34E7E" w:rsidRDefault="006B29A7" w:rsidP="006B29A7">
      <w:pPr>
        <w:rPr>
          <w:b/>
          <w:lang w:val="en-GB"/>
        </w:rPr>
      </w:pPr>
    </w:p>
    <w:p w:rsidR="006B29A7" w:rsidRDefault="006B29A7" w:rsidP="006B29A7">
      <w:pPr>
        <w:jc w:val="center"/>
        <w:rPr>
          <w:b/>
          <w:sz w:val="44"/>
          <w:szCs w:val="44"/>
          <w:lang w:val="en-GB"/>
        </w:rPr>
      </w:pPr>
      <w:r w:rsidRPr="00F34E7E">
        <w:rPr>
          <w:b/>
          <w:sz w:val="44"/>
          <w:szCs w:val="44"/>
          <w:lang w:val="en-GB"/>
        </w:rPr>
        <w:t>Submission to the</w:t>
      </w:r>
    </w:p>
    <w:p w:rsidR="006B29A7" w:rsidRPr="00F34E7E" w:rsidRDefault="006B29A7" w:rsidP="006B29A7">
      <w:pPr>
        <w:jc w:val="center"/>
        <w:rPr>
          <w:b/>
          <w:sz w:val="44"/>
          <w:szCs w:val="44"/>
          <w:lang w:val="en-GB"/>
        </w:rPr>
      </w:pPr>
    </w:p>
    <w:p w:rsidR="006B29A7" w:rsidRPr="00F34E7E" w:rsidRDefault="006B29A7" w:rsidP="006B29A7">
      <w:pPr>
        <w:jc w:val="center"/>
        <w:rPr>
          <w:b/>
          <w:sz w:val="48"/>
          <w:szCs w:val="48"/>
          <w:lang w:val="en-GB"/>
        </w:rPr>
      </w:pPr>
      <w:r w:rsidRPr="00F34E7E">
        <w:rPr>
          <w:b/>
          <w:sz w:val="48"/>
          <w:szCs w:val="48"/>
          <w:lang w:val="en-GB"/>
        </w:rPr>
        <w:t>Portfolio Committee on Justice and Correctional Services</w:t>
      </w:r>
    </w:p>
    <w:p w:rsidR="006B29A7" w:rsidRDefault="006B29A7" w:rsidP="006B29A7">
      <w:pPr>
        <w:jc w:val="center"/>
        <w:rPr>
          <w:b/>
          <w:sz w:val="44"/>
          <w:szCs w:val="44"/>
          <w:lang w:val="en-GB"/>
        </w:rPr>
      </w:pPr>
    </w:p>
    <w:p w:rsidR="006B29A7" w:rsidRPr="00F34E7E" w:rsidRDefault="006B29A7" w:rsidP="006B29A7">
      <w:pPr>
        <w:jc w:val="center"/>
        <w:rPr>
          <w:b/>
          <w:sz w:val="44"/>
          <w:szCs w:val="44"/>
          <w:lang w:val="en-GB"/>
        </w:rPr>
      </w:pPr>
    </w:p>
    <w:p w:rsidR="006B29A7" w:rsidRPr="00F34E7E" w:rsidRDefault="006B29A7" w:rsidP="006B29A7">
      <w:pPr>
        <w:jc w:val="center"/>
        <w:rPr>
          <w:b/>
          <w:sz w:val="44"/>
          <w:szCs w:val="44"/>
          <w:lang w:val="en-GB"/>
        </w:rPr>
      </w:pPr>
      <w:r w:rsidRPr="00F34E7E">
        <w:rPr>
          <w:b/>
          <w:sz w:val="44"/>
          <w:szCs w:val="44"/>
          <w:lang w:val="en-GB"/>
        </w:rPr>
        <w:t>on the</w:t>
      </w:r>
    </w:p>
    <w:p w:rsidR="006B29A7" w:rsidRPr="00F34E7E" w:rsidRDefault="006B29A7" w:rsidP="006B29A7">
      <w:pPr>
        <w:jc w:val="center"/>
        <w:rPr>
          <w:b/>
          <w:bCs/>
          <w:sz w:val="44"/>
          <w:szCs w:val="44"/>
          <w:lang w:val="en-GB"/>
        </w:rPr>
      </w:pPr>
    </w:p>
    <w:p w:rsidR="006B29A7" w:rsidRPr="00F34E7E" w:rsidRDefault="006B29A7" w:rsidP="006B29A7">
      <w:pPr>
        <w:jc w:val="center"/>
        <w:rPr>
          <w:b/>
          <w:bCs/>
          <w:sz w:val="52"/>
          <w:szCs w:val="52"/>
          <w:u w:val="single"/>
          <w:lang w:val="en-GB"/>
        </w:rPr>
      </w:pPr>
      <w:r>
        <w:rPr>
          <w:b/>
          <w:bCs/>
          <w:sz w:val="52"/>
          <w:szCs w:val="52"/>
          <w:u w:val="single"/>
          <w:lang w:val="en-GB"/>
        </w:rPr>
        <w:t>Criminal and Related Matters</w:t>
      </w:r>
      <w:r w:rsidRPr="00F34E7E">
        <w:rPr>
          <w:b/>
          <w:bCs/>
          <w:sz w:val="52"/>
          <w:szCs w:val="52"/>
          <w:u w:val="single"/>
          <w:lang w:val="en-GB"/>
        </w:rPr>
        <w:t xml:space="preserve"> Amendment Bill</w:t>
      </w:r>
    </w:p>
    <w:p w:rsidR="006B29A7" w:rsidRPr="00F34E7E" w:rsidRDefault="006B29A7" w:rsidP="006B29A7">
      <w:pPr>
        <w:jc w:val="center"/>
        <w:rPr>
          <w:b/>
          <w:bCs/>
          <w:sz w:val="48"/>
          <w:szCs w:val="48"/>
          <w:lang w:val="en-GB"/>
        </w:rPr>
      </w:pPr>
      <w:r w:rsidRPr="00F34E7E">
        <w:rPr>
          <w:b/>
          <w:bCs/>
          <w:sz w:val="48"/>
          <w:szCs w:val="48"/>
          <w:lang w:val="en-GB"/>
        </w:rPr>
        <w:t>[B</w:t>
      </w:r>
      <w:r>
        <w:rPr>
          <w:b/>
          <w:bCs/>
          <w:sz w:val="48"/>
          <w:szCs w:val="48"/>
          <w:lang w:val="en-GB"/>
        </w:rPr>
        <w:t>17</w:t>
      </w:r>
      <w:r w:rsidRPr="00F34E7E">
        <w:rPr>
          <w:b/>
          <w:bCs/>
          <w:sz w:val="48"/>
          <w:szCs w:val="48"/>
          <w:lang w:val="en-GB"/>
        </w:rPr>
        <w:t xml:space="preserve"> – 2020]</w:t>
      </w:r>
    </w:p>
    <w:p w:rsidR="006B29A7" w:rsidRPr="00F34E7E" w:rsidRDefault="006B29A7" w:rsidP="006B29A7">
      <w:pPr>
        <w:jc w:val="center"/>
        <w:rPr>
          <w:b/>
          <w:sz w:val="44"/>
          <w:szCs w:val="44"/>
          <w:lang w:val="en-GB"/>
        </w:rPr>
      </w:pPr>
    </w:p>
    <w:p w:rsidR="006B29A7" w:rsidRPr="00F34E7E" w:rsidRDefault="006B29A7" w:rsidP="006B29A7">
      <w:pPr>
        <w:rPr>
          <w:lang w:val="en-GB"/>
        </w:rPr>
      </w:pPr>
    </w:p>
    <w:p w:rsidR="006B29A7" w:rsidRPr="00F34E7E" w:rsidRDefault="006B29A7" w:rsidP="006B29A7">
      <w:pPr>
        <w:rPr>
          <w:u w:val="single"/>
          <w:lang w:val="en-GB"/>
        </w:rPr>
      </w:pPr>
    </w:p>
    <w:p w:rsidR="006B29A7" w:rsidRPr="00F34E7E" w:rsidRDefault="006B29A7" w:rsidP="006B29A7">
      <w:pPr>
        <w:rPr>
          <w:u w:val="single"/>
          <w:lang w:val="en-GB"/>
        </w:rPr>
      </w:pPr>
    </w:p>
    <w:p w:rsidR="006B29A7" w:rsidRPr="00F34E7E" w:rsidRDefault="006B29A7" w:rsidP="006B29A7">
      <w:pPr>
        <w:rPr>
          <w:lang w:val="en-GB"/>
        </w:rPr>
      </w:pPr>
    </w:p>
    <w:p w:rsidR="006B29A7" w:rsidRPr="00F34E7E" w:rsidRDefault="006B29A7" w:rsidP="006B29A7">
      <w:pPr>
        <w:rPr>
          <w:lang w:val="en-GB"/>
        </w:rPr>
      </w:pPr>
    </w:p>
    <w:p w:rsidR="006B29A7" w:rsidRPr="0029451A" w:rsidRDefault="006B29A7" w:rsidP="00CF53B9">
      <w:pPr>
        <w:spacing w:line="360" w:lineRule="auto"/>
        <w:rPr>
          <w:b/>
          <w:sz w:val="26"/>
          <w:szCs w:val="26"/>
          <w:u w:val="single"/>
          <w:lang w:val="en-GB"/>
        </w:rPr>
      </w:pPr>
      <w:r w:rsidRPr="0029451A">
        <w:rPr>
          <w:b/>
          <w:sz w:val="26"/>
          <w:szCs w:val="26"/>
          <w:u w:val="single"/>
          <w:lang w:val="en-GB"/>
        </w:rPr>
        <w:t>1. Introduction</w:t>
      </w:r>
    </w:p>
    <w:p w:rsidR="006B29A7" w:rsidRPr="00F34E7E" w:rsidRDefault="006B29A7" w:rsidP="00CF53B9">
      <w:pPr>
        <w:spacing w:line="360" w:lineRule="auto"/>
        <w:rPr>
          <w:lang w:val="en-GB"/>
        </w:rPr>
      </w:pPr>
    </w:p>
    <w:p w:rsidR="006B29A7" w:rsidRPr="00F34E7E" w:rsidRDefault="006B29A7" w:rsidP="00CF53B9">
      <w:pPr>
        <w:spacing w:line="360" w:lineRule="auto"/>
        <w:rPr>
          <w:lang w:val="en-GB"/>
        </w:rPr>
      </w:pPr>
      <w:r w:rsidRPr="00F34E7E">
        <w:rPr>
          <w:lang w:val="en-GB"/>
        </w:rPr>
        <w:t xml:space="preserve">The Parliamentary Liaison Office of the Southern African Catholic Bishops’ Conference welcomes the opportunity to comment on this legislation. </w:t>
      </w:r>
    </w:p>
    <w:p w:rsidR="006B29A7" w:rsidRPr="00F34E7E" w:rsidRDefault="006B29A7" w:rsidP="00CF53B9">
      <w:pPr>
        <w:spacing w:line="360" w:lineRule="auto"/>
        <w:rPr>
          <w:lang w:val="en-GB"/>
        </w:rPr>
      </w:pPr>
    </w:p>
    <w:p w:rsidR="006B29A7" w:rsidRDefault="006B29A7" w:rsidP="00CF53B9">
      <w:pPr>
        <w:spacing w:line="360" w:lineRule="auto"/>
        <w:rPr>
          <w:lang w:val="en-GB"/>
        </w:rPr>
      </w:pPr>
      <w:r w:rsidRPr="00F34E7E">
        <w:rPr>
          <w:lang w:val="en-GB"/>
        </w:rPr>
        <w:t xml:space="preserve">The Catholic Church </w:t>
      </w:r>
      <w:r>
        <w:rPr>
          <w:lang w:val="en-GB"/>
        </w:rPr>
        <w:t>broadly</w:t>
      </w:r>
      <w:r w:rsidRPr="00F34E7E">
        <w:rPr>
          <w:lang w:val="en-GB"/>
        </w:rPr>
        <w:t xml:space="preserve"> supports the</w:t>
      </w:r>
      <w:r>
        <w:rPr>
          <w:lang w:val="en-GB"/>
        </w:rPr>
        <w:t xml:space="preserve"> measures contemplated in the Bill that seek to address gender-based violence and offences committed against vulnerable people, and to reduce secondary victimisation of vulnerable people in court proceedings. </w:t>
      </w:r>
    </w:p>
    <w:p w:rsidR="006B29A7" w:rsidRDefault="006B29A7" w:rsidP="00CF53B9">
      <w:pPr>
        <w:spacing w:line="360" w:lineRule="auto"/>
        <w:rPr>
          <w:lang w:val="en-GB"/>
        </w:rPr>
      </w:pPr>
    </w:p>
    <w:p w:rsidR="006B29A7" w:rsidRDefault="006B29A7" w:rsidP="00CF53B9">
      <w:pPr>
        <w:spacing w:line="360" w:lineRule="auto"/>
        <w:rPr>
          <w:lang w:val="en-GB"/>
        </w:rPr>
      </w:pPr>
      <w:r>
        <w:rPr>
          <w:lang w:val="en-GB"/>
        </w:rPr>
        <w:t xml:space="preserve">We support the provisions that aim to make it more difficult for people accused of domestic violence offences to obtain bail, but we question whether the extension of </w:t>
      </w:r>
      <w:r w:rsidR="00D714B1">
        <w:rPr>
          <w:lang w:val="en-GB"/>
        </w:rPr>
        <w:t xml:space="preserve">mandatory </w:t>
      </w:r>
      <w:r>
        <w:rPr>
          <w:lang w:val="en-GB"/>
        </w:rPr>
        <w:t>minimum sentence</w:t>
      </w:r>
      <w:r w:rsidR="00D714B1">
        <w:rPr>
          <w:lang w:val="en-GB"/>
        </w:rPr>
        <w:t xml:space="preserve"> provisions </w:t>
      </w:r>
      <w:r>
        <w:rPr>
          <w:lang w:val="en-GB"/>
        </w:rPr>
        <w:t xml:space="preserve">to domestic violence </w:t>
      </w:r>
      <w:r w:rsidR="00D714B1">
        <w:rPr>
          <w:lang w:val="en-GB"/>
        </w:rPr>
        <w:t xml:space="preserve">offences will have the desired effect. There is no persuasive evidence that the approach of imposing minimum sentences, first adopted by Parliament in 1997, has led to any noticeable reductions in serious crimes. </w:t>
      </w:r>
    </w:p>
    <w:p w:rsidR="00D714B1" w:rsidRDefault="00D714B1" w:rsidP="00CF53B9">
      <w:pPr>
        <w:spacing w:line="360" w:lineRule="auto"/>
        <w:rPr>
          <w:lang w:val="en-GB"/>
        </w:rPr>
      </w:pPr>
    </w:p>
    <w:p w:rsidR="00D714B1" w:rsidRDefault="00D714B1" w:rsidP="00CF53B9">
      <w:pPr>
        <w:spacing w:line="360" w:lineRule="auto"/>
        <w:rPr>
          <w:lang w:val="en-GB"/>
        </w:rPr>
      </w:pPr>
      <w:r>
        <w:rPr>
          <w:lang w:val="en-GB"/>
        </w:rPr>
        <w:t>We are not competent to comment on some of the more technical aspects covered by the Bill, such as the giving of evidence through intermediaries or with audiovisual assistance.</w:t>
      </w:r>
    </w:p>
    <w:p w:rsidR="006B29A7" w:rsidRPr="00F34E7E" w:rsidRDefault="006B29A7" w:rsidP="00CF53B9">
      <w:pPr>
        <w:spacing w:line="360" w:lineRule="auto"/>
        <w:rPr>
          <w:lang w:val="en-GB"/>
        </w:rPr>
      </w:pPr>
    </w:p>
    <w:p w:rsidR="006B29A7" w:rsidRPr="00F34E7E" w:rsidRDefault="006B29A7" w:rsidP="00CF53B9">
      <w:pPr>
        <w:spacing w:line="360" w:lineRule="auto"/>
        <w:rPr>
          <w:lang w:val="en-GB"/>
        </w:rPr>
      </w:pPr>
      <w:r w:rsidRPr="00F34E7E">
        <w:rPr>
          <w:lang w:val="en-GB"/>
        </w:rPr>
        <w:t xml:space="preserve">We comment </w:t>
      </w:r>
      <w:r>
        <w:rPr>
          <w:lang w:val="en-GB"/>
        </w:rPr>
        <w:t xml:space="preserve">as follows </w:t>
      </w:r>
      <w:r w:rsidRPr="00F34E7E">
        <w:rPr>
          <w:lang w:val="en-GB"/>
        </w:rPr>
        <w:t>on specific clauses of the Bill.</w:t>
      </w:r>
    </w:p>
    <w:p w:rsidR="006B29A7" w:rsidRPr="00F34E7E" w:rsidRDefault="006B29A7" w:rsidP="00CF53B9">
      <w:pPr>
        <w:spacing w:line="360" w:lineRule="auto"/>
        <w:rPr>
          <w:lang w:val="en-GB"/>
        </w:rPr>
      </w:pPr>
    </w:p>
    <w:p w:rsidR="006B29A7" w:rsidRPr="00F34E7E" w:rsidRDefault="006B29A7" w:rsidP="00CF53B9">
      <w:pPr>
        <w:spacing w:line="360" w:lineRule="auto"/>
        <w:rPr>
          <w:lang w:val="en-GB"/>
        </w:rPr>
      </w:pPr>
    </w:p>
    <w:p w:rsidR="006B29A7" w:rsidRPr="00F34E7E" w:rsidRDefault="006B29A7" w:rsidP="00CF53B9">
      <w:pPr>
        <w:spacing w:line="360" w:lineRule="auto"/>
        <w:rPr>
          <w:b/>
          <w:u w:val="single"/>
          <w:lang w:val="en-GB"/>
        </w:rPr>
      </w:pPr>
    </w:p>
    <w:p w:rsidR="006B29A7" w:rsidRPr="00F34E7E" w:rsidRDefault="006B29A7" w:rsidP="00CF53B9">
      <w:pPr>
        <w:spacing w:line="360" w:lineRule="auto"/>
        <w:rPr>
          <w:b/>
          <w:u w:val="single"/>
          <w:lang w:val="en-GB"/>
        </w:rPr>
      </w:pPr>
    </w:p>
    <w:p w:rsidR="00CF53B9" w:rsidRDefault="00CF53B9" w:rsidP="00CF53B9">
      <w:pPr>
        <w:spacing w:line="360" w:lineRule="auto"/>
        <w:rPr>
          <w:b/>
          <w:sz w:val="26"/>
          <w:szCs w:val="26"/>
          <w:u w:val="single"/>
          <w:lang w:val="en-GB"/>
        </w:rPr>
      </w:pPr>
    </w:p>
    <w:p w:rsidR="00CF53B9" w:rsidRDefault="00CF53B9" w:rsidP="00CF53B9">
      <w:pPr>
        <w:spacing w:line="360" w:lineRule="auto"/>
        <w:rPr>
          <w:b/>
          <w:sz w:val="26"/>
          <w:szCs w:val="26"/>
          <w:u w:val="single"/>
          <w:lang w:val="en-GB"/>
        </w:rPr>
      </w:pPr>
    </w:p>
    <w:p w:rsidR="00CF53B9" w:rsidRDefault="00CF53B9" w:rsidP="00CF53B9">
      <w:pPr>
        <w:spacing w:line="360" w:lineRule="auto"/>
        <w:rPr>
          <w:b/>
          <w:sz w:val="26"/>
          <w:szCs w:val="26"/>
          <w:u w:val="single"/>
          <w:lang w:val="en-GB"/>
        </w:rPr>
      </w:pPr>
    </w:p>
    <w:p w:rsidR="006B29A7" w:rsidRPr="0029451A" w:rsidRDefault="006B29A7" w:rsidP="00CF53B9">
      <w:pPr>
        <w:spacing w:line="360" w:lineRule="auto"/>
        <w:rPr>
          <w:b/>
          <w:sz w:val="26"/>
          <w:szCs w:val="26"/>
          <w:u w:val="single"/>
          <w:lang w:val="en-GB"/>
        </w:rPr>
      </w:pPr>
      <w:r w:rsidRPr="0029451A">
        <w:rPr>
          <w:b/>
          <w:sz w:val="26"/>
          <w:szCs w:val="26"/>
          <w:u w:val="single"/>
          <w:lang w:val="en-GB"/>
        </w:rPr>
        <w:lastRenderedPageBreak/>
        <w:t>2. Specific Comments</w:t>
      </w:r>
    </w:p>
    <w:p w:rsidR="006B29A7" w:rsidRPr="00F34E7E" w:rsidRDefault="006B29A7" w:rsidP="00CF53B9">
      <w:pPr>
        <w:spacing w:line="360" w:lineRule="auto"/>
        <w:rPr>
          <w:b/>
          <w:i/>
          <w:lang w:val="en-GB"/>
        </w:rPr>
      </w:pPr>
    </w:p>
    <w:p w:rsidR="006B29A7" w:rsidRPr="0029451A" w:rsidRDefault="006B29A7" w:rsidP="00CF53B9">
      <w:pPr>
        <w:spacing w:line="360" w:lineRule="auto"/>
        <w:rPr>
          <w:b/>
          <w:i/>
          <w:lang w:val="en-GB"/>
        </w:rPr>
      </w:pPr>
      <w:r w:rsidRPr="0029451A">
        <w:rPr>
          <w:b/>
          <w:i/>
          <w:lang w:val="en-GB"/>
        </w:rPr>
        <w:t xml:space="preserve">2.1. </w:t>
      </w:r>
      <w:r w:rsidR="00D714B1">
        <w:rPr>
          <w:b/>
          <w:i/>
          <w:lang w:val="en-GB"/>
        </w:rPr>
        <w:t>Clauses 2 – 5: New Provisions Regarding Bail</w:t>
      </w:r>
    </w:p>
    <w:p w:rsidR="007833AC" w:rsidRDefault="00CD3646" w:rsidP="00CF53B9">
      <w:pPr>
        <w:spacing w:line="360" w:lineRule="auto"/>
        <w:rPr>
          <w:lang w:val="en-GB"/>
        </w:rPr>
      </w:pPr>
      <w:r>
        <w:rPr>
          <w:lang w:val="en-GB"/>
        </w:rPr>
        <w:t>We support the prohibition on the granting of ‘police bail’ to accused persons in custody on domestic violence charges (</w:t>
      </w:r>
      <w:r>
        <w:rPr>
          <w:b/>
          <w:lang w:val="en-GB"/>
        </w:rPr>
        <w:t>clause2</w:t>
      </w:r>
      <w:r>
        <w:rPr>
          <w:lang w:val="en-GB"/>
        </w:rPr>
        <w:t>), as well as the prohibition of the release on bail of such persons on the authority of the Director of Public Prosecutions (</w:t>
      </w:r>
      <w:r>
        <w:rPr>
          <w:b/>
          <w:lang w:val="en-GB"/>
        </w:rPr>
        <w:t>clause 3</w:t>
      </w:r>
      <w:r>
        <w:rPr>
          <w:lang w:val="en-GB"/>
        </w:rPr>
        <w:t xml:space="preserve">). </w:t>
      </w:r>
    </w:p>
    <w:p w:rsidR="00CF53B9" w:rsidRDefault="00CF53B9" w:rsidP="00CF53B9">
      <w:pPr>
        <w:spacing w:line="360" w:lineRule="auto"/>
        <w:rPr>
          <w:lang w:val="en-GB"/>
        </w:rPr>
      </w:pPr>
    </w:p>
    <w:p w:rsidR="007833AC" w:rsidRDefault="007833AC" w:rsidP="00CF53B9">
      <w:pPr>
        <w:spacing w:line="360" w:lineRule="auto"/>
        <w:rPr>
          <w:lang w:val="en-GB"/>
        </w:rPr>
      </w:pPr>
      <w:r>
        <w:rPr>
          <w:lang w:val="en-GB"/>
        </w:rPr>
        <w:t xml:space="preserve">In </w:t>
      </w:r>
      <w:r>
        <w:rPr>
          <w:b/>
          <w:lang w:val="en-GB"/>
        </w:rPr>
        <w:t xml:space="preserve">clause 4 </w:t>
      </w:r>
      <w:r>
        <w:rPr>
          <w:lang w:val="en-GB"/>
        </w:rPr>
        <w:t xml:space="preserve">we support the provision that the court, in considering bail, must take into consideration the view of any person against whom the offence was allegedly committed. We also support the other references in </w:t>
      </w:r>
      <w:r>
        <w:rPr>
          <w:b/>
          <w:lang w:val="en-GB"/>
        </w:rPr>
        <w:t xml:space="preserve">clause 4 </w:t>
      </w:r>
      <w:r>
        <w:rPr>
          <w:lang w:val="en-GB"/>
        </w:rPr>
        <w:t xml:space="preserve">to offences under the </w:t>
      </w:r>
      <w:r w:rsidRPr="00F936DA">
        <w:rPr>
          <w:b/>
          <w:i/>
          <w:lang w:val="en-GB"/>
        </w:rPr>
        <w:t>Domestic Violence</w:t>
      </w:r>
      <w:r w:rsidR="00F936DA">
        <w:rPr>
          <w:b/>
          <w:i/>
          <w:lang w:val="en-GB"/>
        </w:rPr>
        <w:t xml:space="preserve"> Act</w:t>
      </w:r>
      <w:r>
        <w:rPr>
          <w:lang w:val="en-GB"/>
        </w:rPr>
        <w:t xml:space="preserve"> and</w:t>
      </w:r>
      <w:r w:rsidR="00F936DA">
        <w:rPr>
          <w:lang w:val="en-GB"/>
        </w:rPr>
        <w:t xml:space="preserve"> the</w:t>
      </w:r>
      <w:r w:rsidRPr="00F936DA">
        <w:rPr>
          <w:b/>
          <w:i/>
          <w:lang w:val="en-GB"/>
        </w:rPr>
        <w:t>Protection from Harassment Act</w:t>
      </w:r>
      <w:r>
        <w:rPr>
          <w:lang w:val="en-GB"/>
        </w:rPr>
        <w:t xml:space="preserve">. </w:t>
      </w:r>
    </w:p>
    <w:p w:rsidR="00CF53B9" w:rsidRDefault="00CF53B9" w:rsidP="00CF53B9">
      <w:pPr>
        <w:spacing w:line="360" w:lineRule="auto"/>
        <w:rPr>
          <w:lang w:val="en-GB"/>
        </w:rPr>
      </w:pPr>
    </w:p>
    <w:p w:rsidR="006B29A7" w:rsidRDefault="007833AC" w:rsidP="00CF53B9">
      <w:pPr>
        <w:spacing w:line="360" w:lineRule="auto"/>
        <w:rPr>
          <w:lang w:val="en-GB"/>
        </w:rPr>
      </w:pPr>
      <w:r>
        <w:rPr>
          <w:lang w:val="en-GB"/>
        </w:rPr>
        <w:t xml:space="preserve">We support the provisions set out in </w:t>
      </w:r>
      <w:r>
        <w:rPr>
          <w:b/>
          <w:lang w:val="en-GB"/>
        </w:rPr>
        <w:t xml:space="preserve">clause 5 </w:t>
      </w:r>
      <w:r>
        <w:rPr>
          <w:lang w:val="en-GB"/>
        </w:rPr>
        <w:t xml:space="preserve">relating to the cancellation of bail in circumstances where an accused contravenes, or fails to disclose, an order imposed </w:t>
      </w:r>
      <w:r w:rsidR="00F936DA">
        <w:rPr>
          <w:lang w:val="en-GB"/>
        </w:rPr>
        <w:t xml:space="preserve">on him or her </w:t>
      </w:r>
      <w:r>
        <w:rPr>
          <w:lang w:val="en-GB"/>
        </w:rPr>
        <w:t xml:space="preserve">in terms of the </w:t>
      </w:r>
      <w:r w:rsidRPr="00F936DA">
        <w:rPr>
          <w:b/>
          <w:i/>
          <w:lang w:val="en-GB"/>
        </w:rPr>
        <w:t>Domestic Violence</w:t>
      </w:r>
      <w:r w:rsidR="00F936DA">
        <w:rPr>
          <w:b/>
          <w:i/>
          <w:lang w:val="en-GB"/>
        </w:rPr>
        <w:t xml:space="preserve"> Act</w:t>
      </w:r>
      <w:r>
        <w:rPr>
          <w:lang w:val="en-GB"/>
        </w:rPr>
        <w:t xml:space="preserve"> or</w:t>
      </w:r>
      <w:r w:rsidR="00F936DA">
        <w:rPr>
          <w:lang w:val="en-GB"/>
        </w:rPr>
        <w:t xml:space="preserve"> the</w:t>
      </w:r>
      <w:r w:rsidRPr="00F936DA">
        <w:rPr>
          <w:b/>
          <w:i/>
          <w:lang w:val="en-GB"/>
        </w:rPr>
        <w:t>Protection from Harassment Act</w:t>
      </w:r>
      <w:r>
        <w:rPr>
          <w:lang w:val="en-GB"/>
        </w:rPr>
        <w:t xml:space="preserve">.  </w:t>
      </w:r>
    </w:p>
    <w:p w:rsidR="006B29A7" w:rsidRDefault="006B29A7" w:rsidP="00CF53B9">
      <w:pPr>
        <w:spacing w:line="360" w:lineRule="auto"/>
        <w:rPr>
          <w:lang w:val="en-GB"/>
        </w:rPr>
      </w:pPr>
    </w:p>
    <w:p w:rsidR="00CF53B9" w:rsidRDefault="00CF53B9" w:rsidP="00CF53B9">
      <w:pPr>
        <w:spacing w:line="360" w:lineRule="auto"/>
        <w:rPr>
          <w:lang w:val="en-GB"/>
        </w:rPr>
      </w:pPr>
    </w:p>
    <w:p w:rsidR="006B29A7" w:rsidRDefault="006B29A7" w:rsidP="00CF53B9">
      <w:pPr>
        <w:spacing w:line="360" w:lineRule="auto"/>
        <w:rPr>
          <w:b/>
          <w:i/>
          <w:lang w:val="en-GB"/>
        </w:rPr>
      </w:pPr>
      <w:r>
        <w:rPr>
          <w:b/>
          <w:i/>
          <w:lang w:val="en-GB"/>
        </w:rPr>
        <w:t xml:space="preserve">2.2. </w:t>
      </w:r>
      <w:r w:rsidR="007833AC">
        <w:rPr>
          <w:b/>
          <w:i/>
          <w:lang w:val="en-GB"/>
        </w:rPr>
        <w:t xml:space="preserve">Clause 9: </w:t>
      </w:r>
      <w:r w:rsidR="00032835">
        <w:rPr>
          <w:b/>
          <w:i/>
          <w:lang w:val="en-GB"/>
        </w:rPr>
        <w:t>Complainant’s Rights Regarding Parole</w:t>
      </w:r>
    </w:p>
    <w:p w:rsidR="006B29A7" w:rsidRDefault="00032835" w:rsidP="00CF53B9">
      <w:pPr>
        <w:spacing w:line="360" w:lineRule="auto"/>
        <w:rPr>
          <w:lang w:val="en-GB"/>
        </w:rPr>
      </w:pPr>
      <w:r>
        <w:rPr>
          <w:lang w:val="en-GB"/>
        </w:rPr>
        <w:t>We support t</w:t>
      </w:r>
      <w:r w:rsidR="006B29A7">
        <w:rPr>
          <w:lang w:val="en-GB"/>
        </w:rPr>
        <w:t xml:space="preserve">he </w:t>
      </w:r>
      <w:r>
        <w:rPr>
          <w:lang w:val="en-GB"/>
        </w:rPr>
        <w:t xml:space="preserve">proposed amendment to section 299A of the </w:t>
      </w:r>
      <w:r w:rsidRPr="00F936DA">
        <w:rPr>
          <w:b/>
          <w:i/>
          <w:lang w:val="en-GB"/>
        </w:rPr>
        <w:t>Criminal Procedure Act</w:t>
      </w:r>
      <w:r>
        <w:rPr>
          <w:lang w:val="en-GB"/>
        </w:rPr>
        <w:t xml:space="preserve">, in terms of which a complainant in a domestic violence offence will have the right to make representations when the person sentenced for the offence is considered for parole. </w:t>
      </w:r>
      <w:r w:rsidRPr="00032835">
        <w:rPr>
          <w:u w:val="single"/>
          <w:lang w:val="en-GB"/>
        </w:rPr>
        <w:t>We question, however, why this will apply only when the sentence is one that exceeds seven years</w:t>
      </w:r>
      <w:r>
        <w:rPr>
          <w:lang w:val="en-GB"/>
        </w:rPr>
        <w:t xml:space="preserve">. A complainant surely has an interest in the question of her or his assailant’s release on parole even if the sentence was for a period of less than seven years. The adoption of a seven-year threshold is not addressed in the explanatory memorandum to the Bill. </w:t>
      </w:r>
    </w:p>
    <w:p w:rsidR="006B29A7" w:rsidRDefault="006B29A7" w:rsidP="00CF53B9">
      <w:pPr>
        <w:spacing w:line="360" w:lineRule="auto"/>
        <w:rPr>
          <w:lang w:val="en-GB"/>
        </w:rPr>
      </w:pPr>
    </w:p>
    <w:p w:rsidR="006B29A7" w:rsidRPr="00F34E7E" w:rsidRDefault="006B29A7" w:rsidP="00CF53B9">
      <w:pPr>
        <w:spacing w:line="360" w:lineRule="auto"/>
        <w:rPr>
          <w:lang w:val="en-GB"/>
        </w:rPr>
      </w:pPr>
    </w:p>
    <w:p w:rsidR="006B29A7" w:rsidRDefault="006B29A7" w:rsidP="00CF53B9">
      <w:pPr>
        <w:spacing w:line="360" w:lineRule="auto"/>
        <w:rPr>
          <w:lang w:val="en-GB"/>
        </w:rPr>
      </w:pPr>
    </w:p>
    <w:p w:rsidR="00CF53B9" w:rsidRDefault="00CF53B9" w:rsidP="00CF53B9">
      <w:pPr>
        <w:spacing w:line="360" w:lineRule="auto"/>
        <w:rPr>
          <w:b/>
          <w:i/>
          <w:lang w:val="en-GB"/>
        </w:rPr>
      </w:pPr>
    </w:p>
    <w:p w:rsidR="006B29A7" w:rsidRDefault="006B29A7" w:rsidP="00CF53B9">
      <w:pPr>
        <w:spacing w:line="360" w:lineRule="auto"/>
        <w:rPr>
          <w:b/>
          <w:i/>
          <w:lang w:val="en-GB"/>
        </w:rPr>
      </w:pPr>
      <w:r>
        <w:rPr>
          <w:b/>
          <w:i/>
          <w:lang w:val="en-GB"/>
        </w:rPr>
        <w:t xml:space="preserve">2.3. </w:t>
      </w:r>
      <w:r w:rsidR="00A27CFA">
        <w:rPr>
          <w:b/>
          <w:i/>
          <w:lang w:val="en-GB"/>
        </w:rPr>
        <w:t>Clauses 11 – 17: Extension of Minimum Sentence Provisions</w:t>
      </w:r>
    </w:p>
    <w:p w:rsidR="00F25315" w:rsidRDefault="00A27CFA" w:rsidP="00CF53B9">
      <w:pPr>
        <w:spacing w:line="360" w:lineRule="auto"/>
        <w:rPr>
          <w:lang w:val="en-GB"/>
        </w:rPr>
      </w:pPr>
      <w:r>
        <w:rPr>
          <w:lang w:val="en-GB"/>
        </w:rPr>
        <w:t xml:space="preserve">All these clauses either </w:t>
      </w:r>
    </w:p>
    <w:p w:rsidR="00F25315" w:rsidRPr="007A01DF" w:rsidRDefault="00A27CFA" w:rsidP="00CF53B9">
      <w:pPr>
        <w:pStyle w:val="ListParagraph"/>
        <w:numPr>
          <w:ilvl w:val="0"/>
          <w:numId w:val="1"/>
        </w:numPr>
        <w:spacing w:line="360" w:lineRule="auto"/>
        <w:rPr>
          <w:lang w:val="en-GB"/>
        </w:rPr>
      </w:pPr>
      <w:r w:rsidRPr="007A01DF">
        <w:rPr>
          <w:lang w:val="en-GB"/>
        </w:rPr>
        <w:t xml:space="preserve">increase the level of mandatory minimum sentence applicable to offences already subject to the minimum sentence regime set out in </w:t>
      </w:r>
      <w:r w:rsidRPr="00F936DA">
        <w:rPr>
          <w:b/>
          <w:i/>
          <w:lang w:val="en-GB"/>
        </w:rPr>
        <w:t>Act 105 of 1997</w:t>
      </w:r>
      <w:r w:rsidR="007A01DF" w:rsidRPr="007A01DF">
        <w:rPr>
          <w:lang w:val="en-GB"/>
        </w:rPr>
        <w:t xml:space="preserve"> (</w:t>
      </w:r>
      <w:r w:rsidR="007A01DF" w:rsidRPr="007A01DF">
        <w:rPr>
          <w:b/>
          <w:lang w:val="en-GB"/>
        </w:rPr>
        <w:t>clauses 16 &amp; 17</w:t>
      </w:r>
      <w:r w:rsidR="007A01DF" w:rsidRPr="007A01DF">
        <w:rPr>
          <w:lang w:val="en-GB"/>
        </w:rPr>
        <w:t>)</w:t>
      </w:r>
      <w:r w:rsidR="00F25315" w:rsidRPr="007A01DF">
        <w:rPr>
          <w:lang w:val="en-GB"/>
        </w:rPr>
        <w:t>;</w:t>
      </w:r>
    </w:p>
    <w:p w:rsidR="00F25315" w:rsidRPr="007A01DF" w:rsidRDefault="00A27CFA" w:rsidP="00CF53B9">
      <w:pPr>
        <w:pStyle w:val="ListParagraph"/>
        <w:numPr>
          <w:ilvl w:val="0"/>
          <w:numId w:val="1"/>
        </w:numPr>
        <w:spacing w:line="360" w:lineRule="auto"/>
        <w:rPr>
          <w:lang w:val="en-GB"/>
        </w:rPr>
      </w:pPr>
      <w:r w:rsidRPr="007A01DF">
        <w:rPr>
          <w:lang w:val="en-GB"/>
        </w:rPr>
        <w:t xml:space="preserve">make the regime applicable to offences under the </w:t>
      </w:r>
      <w:r w:rsidRPr="00F936DA">
        <w:rPr>
          <w:b/>
          <w:i/>
          <w:lang w:val="en-GB"/>
        </w:rPr>
        <w:t>Domestic Violence Act</w:t>
      </w:r>
      <w:r w:rsidR="007A01DF" w:rsidRPr="007A01DF">
        <w:rPr>
          <w:lang w:val="en-GB"/>
        </w:rPr>
        <w:t xml:space="preserve"> (</w:t>
      </w:r>
      <w:r w:rsidR="007A01DF" w:rsidRPr="007A01DF">
        <w:rPr>
          <w:b/>
          <w:lang w:val="en-GB"/>
        </w:rPr>
        <w:t>clause 15 &amp; 17</w:t>
      </w:r>
      <w:r w:rsidR="007A01DF" w:rsidRPr="007A01DF">
        <w:rPr>
          <w:lang w:val="en-GB"/>
        </w:rPr>
        <w:t>)</w:t>
      </w:r>
      <w:r w:rsidR="00F25315" w:rsidRPr="007A01DF">
        <w:rPr>
          <w:lang w:val="en-GB"/>
        </w:rPr>
        <w:t>;</w:t>
      </w:r>
    </w:p>
    <w:p w:rsidR="00F25315" w:rsidRPr="007A01DF" w:rsidRDefault="00F25315" w:rsidP="00CF53B9">
      <w:pPr>
        <w:pStyle w:val="ListParagraph"/>
        <w:numPr>
          <w:ilvl w:val="0"/>
          <w:numId w:val="1"/>
        </w:numPr>
        <w:spacing w:line="360" w:lineRule="auto"/>
        <w:rPr>
          <w:lang w:val="en-GB"/>
        </w:rPr>
      </w:pPr>
      <w:r w:rsidRPr="007A01DF">
        <w:rPr>
          <w:lang w:val="en-GB"/>
        </w:rPr>
        <w:t>broaden the description of some offences that are subject to minimum sentences</w:t>
      </w:r>
      <w:r w:rsidR="007A01DF" w:rsidRPr="007A01DF">
        <w:rPr>
          <w:lang w:val="en-GB"/>
        </w:rPr>
        <w:t xml:space="preserve"> (</w:t>
      </w:r>
      <w:r w:rsidR="007A01DF" w:rsidRPr="007A01DF">
        <w:rPr>
          <w:b/>
          <w:lang w:val="en-GB"/>
        </w:rPr>
        <w:t>clauses 11 – 14</w:t>
      </w:r>
      <w:r w:rsidR="007A01DF" w:rsidRPr="007A01DF">
        <w:rPr>
          <w:lang w:val="en-GB"/>
        </w:rPr>
        <w:t>)</w:t>
      </w:r>
      <w:r w:rsidRPr="007A01DF">
        <w:rPr>
          <w:lang w:val="en-GB"/>
        </w:rPr>
        <w:t>; or</w:t>
      </w:r>
    </w:p>
    <w:p w:rsidR="00F25315" w:rsidRPr="007A01DF" w:rsidRDefault="00F25315" w:rsidP="00CF53B9">
      <w:pPr>
        <w:pStyle w:val="ListParagraph"/>
        <w:numPr>
          <w:ilvl w:val="0"/>
          <w:numId w:val="1"/>
        </w:numPr>
        <w:spacing w:line="360" w:lineRule="auto"/>
        <w:rPr>
          <w:lang w:val="en-GB"/>
        </w:rPr>
      </w:pPr>
      <w:r w:rsidRPr="007A01DF">
        <w:rPr>
          <w:lang w:val="en-GB"/>
        </w:rPr>
        <w:t>broaden the categories of victims</w:t>
      </w:r>
      <w:r w:rsidR="007A01DF" w:rsidRPr="007A01DF">
        <w:rPr>
          <w:lang w:val="en-GB"/>
        </w:rPr>
        <w:t>/complainants involved in the relevant offences (</w:t>
      </w:r>
      <w:r w:rsidR="007A01DF" w:rsidRPr="007A01DF">
        <w:rPr>
          <w:b/>
          <w:lang w:val="en-GB"/>
        </w:rPr>
        <w:t>clause 15</w:t>
      </w:r>
      <w:r w:rsidR="007A01DF" w:rsidRPr="007A01DF">
        <w:rPr>
          <w:lang w:val="en-GB"/>
        </w:rPr>
        <w:t>)</w:t>
      </w:r>
    </w:p>
    <w:p w:rsidR="007A01DF" w:rsidRDefault="007A01DF" w:rsidP="00CF53B9">
      <w:pPr>
        <w:spacing w:line="360" w:lineRule="auto"/>
        <w:rPr>
          <w:lang w:val="en-GB"/>
        </w:rPr>
      </w:pPr>
    </w:p>
    <w:p w:rsidR="007A01DF" w:rsidRDefault="007A01DF" w:rsidP="00CF53B9">
      <w:pPr>
        <w:spacing w:line="360" w:lineRule="auto"/>
        <w:rPr>
          <w:lang w:val="en-GB"/>
        </w:rPr>
      </w:pPr>
      <w:r>
        <w:rPr>
          <w:lang w:val="en-GB"/>
        </w:rPr>
        <w:t xml:space="preserve">The effectiveness of this approach needs to be investigated. Mandatory minimum sentences were first introduced by the </w:t>
      </w:r>
      <w:r w:rsidRPr="00F936DA">
        <w:rPr>
          <w:b/>
          <w:i/>
          <w:lang w:val="en-GB"/>
        </w:rPr>
        <w:t>Criminal Law Amendment Act 105 of 1997</w:t>
      </w:r>
      <w:r>
        <w:rPr>
          <w:lang w:val="en-GB"/>
        </w:rPr>
        <w:t xml:space="preserve"> (the ‘Minimum Sentences Act’) and were intended then as a short-term intervention to address high rates of serious crime. </w:t>
      </w:r>
    </w:p>
    <w:p w:rsidR="00CF53B9" w:rsidRDefault="00CF53B9" w:rsidP="00CF53B9">
      <w:pPr>
        <w:spacing w:line="360" w:lineRule="auto"/>
        <w:rPr>
          <w:lang w:val="en-GB"/>
        </w:rPr>
      </w:pPr>
    </w:p>
    <w:p w:rsidR="00675657" w:rsidRDefault="00F32B49" w:rsidP="00CF53B9">
      <w:pPr>
        <w:spacing w:line="360" w:lineRule="auto"/>
        <w:rPr>
          <w:lang w:val="en-GB"/>
        </w:rPr>
      </w:pPr>
      <w:r>
        <w:rPr>
          <w:lang w:val="en-GB"/>
        </w:rPr>
        <w:t xml:space="preserve">Section 53 of the original Minimum Sentences Act provided that the minimum sentence provisions would fall away two years after the commencement of the Act, unless extended for a year at a time by the President, with the concurrence of Parliament. Such extensions were enacted for a number of years until, in terms of the </w:t>
      </w:r>
      <w:r w:rsidRPr="00F936DA">
        <w:rPr>
          <w:b/>
          <w:i/>
          <w:lang w:val="en-GB"/>
        </w:rPr>
        <w:t>Criminal Law (Sentencing) Amendment Act 38 of 2007</w:t>
      </w:r>
      <w:r>
        <w:rPr>
          <w:lang w:val="en-GB"/>
        </w:rPr>
        <w:t xml:space="preserve">, </w:t>
      </w:r>
      <w:r w:rsidR="00675657">
        <w:rPr>
          <w:lang w:val="en-GB"/>
        </w:rPr>
        <w:t xml:space="preserve">the provision requiring annual extension of the minimum sentence regime was repealed, leaving the minimum sentences permanently on the statute book. </w:t>
      </w:r>
    </w:p>
    <w:p w:rsidR="00CF53B9" w:rsidRDefault="00CF53B9" w:rsidP="00CF53B9">
      <w:pPr>
        <w:spacing w:line="360" w:lineRule="auto"/>
        <w:rPr>
          <w:lang w:val="en-GB"/>
        </w:rPr>
      </w:pPr>
    </w:p>
    <w:p w:rsidR="00675657" w:rsidRDefault="00675657" w:rsidP="00CF53B9">
      <w:pPr>
        <w:spacing w:line="360" w:lineRule="auto"/>
        <w:rPr>
          <w:lang w:val="en-GB"/>
        </w:rPr>
      </w:pPr>
      <w:r>
        <w:rPr>
          <w:lang w:val="en-GB"/>
        </w:rPr>
        <w:t>There is no evidence that the imposition of minimum sentences for a growing range of offences since 1997 has had any effect in decreasing the rate of serious crimes in South Africa. On the contrary, the fact that what was meant to be a temporary intervention was eventually made permanent suggests that serious crimes remained a persistent problem. This is confirmed by the annual crime figures published by the SA Police Service.</w:t>
      </w:r>
    </w:p>
    <w:p w:rsidR="00CF53B9" w:rsidRDefault="00CF53B9" w:rsidP="00CF53B9">
      <w:pPr>
        <w:spacing w:line="360" w:lineRule="auto"/>
        <w:rPr>
          <w:lang w:val="en-GB"/>
        </w:rPr>
      </w:pPr>
    </w:p>
    <w:p w:rsidR="00675657" w:rsidRDefault="00675657" w:rsidP="00CF53B9">
      <w:pPr>
        <w:spacing w:line="360" w:lineRule="auto"/>
        <w:rPr>
          <w:lang w:val="en-GB"/>
        </w:rPr>
      </w:pPr>
      <w:r>
        <w:rPr>
          <w:lang w:val="en-GB"/>
        </w:rPr>
        <w:lastRenderedPageBreak/>
        <w:t>We question, therefore, whether there is any point in adding further offences to the list of those that attract minimum sentences, or of elevating the level of minimum sentences that apply to certain crimes. Neither is likely to have the effect of reducing the incidence of such crimes.</w:t>
      </w:r>
    </w:p>
    <w:p w:rsidR="00F936DA" w:rsidRDefault="00F936DA" w:rsidP="00CF53B9">
      <w:pPr>
        <w:spacing w:line="360" w:lineRule="auto"/>
        <w:rPr>
          <w:lang w:val="en-GB"/>
        </w:rPr>
      </w:pPr>
    </w:p>
    <w:p w:rsidR="00F32B49" w:rsidRDefault="00675657" w:rsidP="00CF53B9">
      <w:pPr>
        <w:spacing w:line="360" w:lineRule="auto"/>
        <w:rPr>
          <w:lang w:val="en-GB"/>
        </w:rPr>
      </w:pPr>
      <w:r>
        <w:rPr>
          <w:lang w:val="en-GB"/>
        </w:rPr>
        <w:t xml:space="preserve">We suggest that Parliament’s role must be to pass laws that are, as far as possible, effective and capable of achieving their stated purposes. </w:t>
      </w:r>
      <w:r w:rsidR="00CF53B9">
        <w:rPr>
          <w:lang w:val="en-GB"/>
        </w:rPr>
        <w:t xml:space="preserve">Legislating for more severe punishments without at the same time taking steps to address the real reasons for the persistence of crimes such as those set out in the </w:t>
      </w:r>
      <w:r w:rsidR="00CF53B9" w:rsidRPr="00F936DA">
        <w:rPr>
          <w:b/>
          <w:i/>
          <w:lang w:val="en-GB"/>
        </w:rPr>
        <w:t>Domestic Violence Act</w:t>
      </w:r>
      <w:r w:rsidR="00CF53B9">
        <w:rPr>
          <w:lang w:val="en-GB"/>
        </w:rPr>
        <w:t xml:space="preserve">, risks being seen as window-dressing.   </w:t>
      </w:r>
    </w:p>
    <w:p w:rsidR="00F25315" w:rsidRDefault="00F25315" w:rsidP="00CF53B9">
      <w:pPr>
        <w:spacing w:line="360" w:lineRule="auto"/>
        <w:rPr>
          <w:lang w:val="en-GB"/>
        </w:rPr>
      </w:pPr>
    </w:p>
    <w:p w:rsidR="006B29A7" w:rsidRDefault="006B29A7" w:rsidP="00CF53B9">
      <w:pPr>
        <w:spacing w:line="360" w:lineRule="auto"/>
        <w:rPr>
          <w:b/>
          <w:u w:val="single"/>
          <w:lang w:val="en-GB"/>
        </w:rPr>
      </w:pPr>
    </w:p>
    <w:p w:rsidR="00CF53B9" w:rsidRPr="00F34E7E" w:rsidRDefault="00CF53B9" w:rsidP="00CF53B9">
      <w:pPr>
        <w:spacing w:line="360" w:lineRule="auto"/>
        <w:rPr>
          <w:b/>
          <w:u w:val="single"/>
          <w:lang w:val="en-GB"/>
        </w:rPr>
      </w:pPr>
    </w:p>
    <w:p w:rsidR="006B29A7" w:rsidRPr="00105490" w:rsidRDefault="006B29A7" w:rsidP="00CF53B9">
      <w:pPr>
        <w:spacing w:line="360" w:lineRule="auto"/>
        <w:rPr>
          <w:b/>
          <w:sz w:val="26"/>
          <w:szCs w:val="26"/>
          <w:u w:val="single"/>
          <w:lang w:val="en-GB"/>
        </w:rPr>
      </w:pPr>
      <w:r w:rsidRPr="00105490">
        <w:rPr>
          <w:b/>
          <w:sz w:val="26"/>
          <w:szCs w:val="26"/>
          <w:u w:val="single"/>
          <w:lang w:val="en-GB"/>
        </w:rPr>
        <w:t>3. Conclusion</w:t>
      </w:r>
    </w:p>
    <w:p w:rsidR="006B29A7" w:rsidRPr="00F34E7E" w:rsidRDefault="006B29A7" w:rsidP="00CF53B9">
      <w:pPr>
        <w:spacing w:line="360" w:lineRule="auto"/>
        <w:rPr>
          <w:b/>
          <w:u w:val="single"/>
          <w:lang w:val="en-GB"/>
        </w:rPr>
      </w:pPr>
    </w:p>
    <w:p w:rsidR="006B29A7" w:rsidRPr="00F34E7E" w:rsidRDefault="006B29A7" w:rsidP="00CF53B9">
      <w:pPr>
        <w:spacing w:line="360" w:lineRule="auto"/>
        <w:rPr>
          <w:b/>
          <w:lang w:val="en-GB"/>
        </w:rPr>
      </w:pPr>
      <w:r w:rsidRPr="00F34E7E">
        <w:rPr>
          <w:lang w:val="en-GB"/>
        </w:rPr>
        <w:t xml:space="preserve">We wish the </w:t>
      </w:r>
      <w:r>
        <w:rPr>
          <w:lang w:val="en-GB"/>
        </w:rPr>
        <w:t>Portfolio Committee</w:t>
      </w:r>
      <w:r w:rsidRPr="00F34E7E">
        <w:rPr>
          <w:lang w:val="en-GB"/>
        </w:rPr>
        <w:t xml:space="preserve"> well in its </w:t>
      </w:r>
      <w:r>
        <w:rPr>
          <w:lang w:val="en-GB"/>
        </w:rPr>
        <w:t xml:space="preserve">deliberations on </w:t>
      </w:r>
      <w:r w:rsidRPr="00F34E7E">
        <w:rPr>
          <w:lang w:val="en-GB"/>
        </w:rPr>
        <w:t>th</w:t>
      </w:r>
      <w:r>
        <w:rPr>
          <w:lang w:val="en-GB"/>
        </w:rPr>
        <w:t>e</w:t>
      </w:r>
      <w:r w:rsidRPr="00F34E7E">
        <w:rPr>
          <w:lang w:val="en-GB"/>
        </w:rPr>
        <w:t xml:space="preserve"> Bill, and we</w:t>
      </w:r>
      <w:r>
        <w:rPr>
          <w:lang w:val="en-GB"/>
        </w:rPr>
        <w:t xml:space="preserve"> would be happy to address the Committee verbally if invited to do so.</w:t>
      </w:r>
    </w:p>
    <w:p w:rsidR="006B29A7" w:rsidRPr="00F34E7E" w:rsidRDefault="006B29A7" w:rsidP="00CF53B9">
      <w:pPr>
        <w:spacing w:line="360" w:lineRule="auto"/>
        <w:rPr>
          <w:b/>
          <w:lang w:val="en-GB"/>
        </w:rPr>
      </w:pPr>
    </w:p>
    <w:p w:rsidR="006B29A7" w:rsidRPr="00F34E7E" w:rsidRDefault="006B29A7" w:rsidP="00CF53B9">
      <w:pPr>
        <w:spacing w:line="360" w:lineRule="auto"/>
        <w:rPr>
          <w:b/>
          <w:lang w:val="en-GB"/>
        </w:rPr>
      </w:pPr>
    </w:p>
    <w:p w:rsidR="006B29A7" w:rsidRPr="00F34E7E" w:rsidRDefault="006B29A7" w:rsidP="00CF53B9">
      <w:pPr>
        <w:spacing w:line="360" w:lineRule="auto"/>
        <w:rPr>
          <w:lang w:val="en-GB"/>
        </w:rPr>
      </w:pPr>
      <w:r w:rsidRPr="00F34E7E">
        <w:rPr>
          <w:lang w:val="en-GB"/>
        </w:rPr>
        <w:t>For further information please contact:</w:t>
      </w:r>
    </w:p>
    <w:p w:rsidR="006B29A7" w:rsidRPr="00F34E7E" w:rsidRDefault="006B29A7" w:rsidP="00CF53B9">
      <w:pPr>
        <w:spacing w:line="360" w:lineRule="auto"/>
        <w:rPr>
          <w:b/>
          <w:lang w:val="en-GB"/>
        </w:rPr>
      </w:pPr>
      <w:r w:rsidRPr="00F34E7E">
        <w:rPr>
          <w:b/>
          <w:lang w:val="en-GB"/>
        </w:rPr>
        <w:t>Adv Mike Pothier</w:t>
      </w:r>
    </w:p>
    <w:p w:rsidR="006B29A7" w:rsidRPr="00F34E7E" w:rsidRDefault="006B29A7" w:rsidP="00CF53B9">
      <w:pPr>
        <w:spacing w:line="360" w:lineRule="auto"/>
        <w:rPr>
          <w:b/>
          <w:lang w:val="en-GB"/>
        </w:rPr>
      </w:pPr>
      <w:r w:rsidRPr="00F34E7E">
        <w:rPr>
          <w:b/>
          <w:lang w:val="en-GB"/>
        </w:rPr>
        <w:t>Programme Manager: Catholic Parliamentary Liaison Office</w:t>
      </w:r>
    </w:p>
    <w:p w:rsidR="006B29A7" w:rsidRPr="00F34E7E" w:rsidRDefault="00092429" w:rsidP="00CF53B9">
      <w:pPr>
        <w:spacing w:line="360" w:lineRule="auto"/>
        <w:rPr>
          <w:lang w:val="en-GB"/>
        </w:rPr>
      </w:pPr>
      <w:hyperlink r:id="rId8" w:history="1">
        <w:r w:rsidR="006B29A7" w:rsidRPr="00F34E7E">
          <w:rPr>
            <w:rStyle w:val="Hyperlink"/>
            <w:lang w:val="en-GB"/>
          </w:rPr>
          <w:t>mike@cplo.org.za</w:t>
        </w:r>
      </w:hyperlink>
    </w:p>
    <w:p w:rsidR="006B29A7" w:rsidRPr="00F34E7E" w:rsidRDefault="006B29A7" w:rsidP="00CF53B9">
      <w:pPr>
        <w:spacing w:line="360" w:lineRule="auto"/>
        <w:rPr>
          <w:lang w:val="en-GB"/>
        </w:rPr>
      </w:pPr>
      <w:r w:rsidRPr="00F34E7E">
        <w:rPr>
          <w:lang w:val="en-GB"/>
        </w:rPr>
        <w:t>083 309 3512</w:t>
      </w:r>
    </w:p>
    <w:p w:rsidR="006B29A7" w:rsidRPr="00F34E7E" w:rsidRDefault="006B29A7" w:rsidP="00CF53B9">
      <w:pPr>
        <w:spacing w:line="360" w:lineRule="auto"/>
        <w:rPr>
          <w:lang w:val="en-GB"/>
        </w:rPr>
      </w:pPr>
    </w:p>
    <w:p w:rsidR="006B29A7" w:rsidRPr="00F34E7E" w:rsidRDefault="006B29A7" w:rsidP="00CF53B9">
      <w:pPr>
        <w:spacing w:line="360" w:lineRule="auto"/>
        <w:rPr>
          <w:lang w:val="en-GB"/>
        </w:rPr>
      </w:pPr>
    </w:p>
    <w:p w:rsidR="006B29A7" w:rsidRPr="00F34E7E" w:rsidRDefault="006B29A7" w:rsidP="006B29A7">
      <w:pPr>
        <w:rPr>
          <w:lang w:val="en-GB"/>
        </w:rPr>
      </w:pPr>
    </w:p>
    <w:p w:rsidR="006B29A7" w:rsidRPr="00F34E7E" w:rsidRDefault="006B29A7" w:rsidP="006B29A7">
      <w:pPr>
        <w:rPr>
          <w:lang w:val="en-GB"/>
        </w:rPr>
      </w:pPr>
    </w:p>
    <w:p w:rsidR="006B29A7" w:rsidRPr="00F34E7E" w:rsidRDefault="006B29A7" w:rsidP="006B29A7">
      <w:pPr>
        <w:rPr>
          <w:lang w:val="en-GB"/>
        </w:rPr>
      </w:pPr>
    </w:p>
    <w:p w:rsidR="006B29A7" w:rsidRPr="00F34E7E" w:rsidRDefault="006B29A7" w:rsidP="006B29A7">
      <w:pPr>
        <w:rPr>
          <w:lang w:val="en-GB"/>
        </w:rPr>
      </w:pPr>
    </w:p>
    <w:p w:rsidR="006B29A7" w:rsidRPr="00F34E7E" w:rsidRDefault="006B29A7" w:rsidP="006B29A7">
      <w:pPr>
        <w:rPr>
          <w:lang w:val="en-GB"/>
        </w:rPr>
      </w:pPr>
    </w:p>
    <w:p w:rsidR="006B29A7" w:rsidRPr="00F34E7E" w:rsidRDefault="006B29A7" w:rsidP="006B29A7">
      <w:pPr>
        <w:rPr>
          <w:lang w:val="en-GB"/>
        </w:rPr>
      </w:pPr>
    </w:p>
    <w:p w:rsidR="006B29A7" w:rsidRPr="00F34E7E" w:rsidRDefault="006B29A7" w:rsidP="006B29A7">
      <w:pPr>
        <w:rPr>
          <w:lang w:val="en-GB"/>
        </w:rPr>
      </w:pPr>
    </w:p>
    <w:p w:rsidR="006B29A7" w:rsidRPr="00F34E7E" w:rsidRDefault="006B29A7" w:rsidP="006B29A7">
      <w:pPr>
        <w:rPr>
          <w:lang w:val="en-GB"/>
        </w:rPr>
      </w:pPr>
    </w:p>
    <w:p w:rsidR="006B29A7" w:rsidRPr="00F34E7E" w:rsidRDefault="006B29A7" w:rsidP="006B29A7">
      <w:pPr>
        <w:rPr>
          <w:lang w:val="en-GB"/>
        </w:rPr>
      </w:pPr>
    </w:p>
    <w:p w:rsidR="006B29A7" w:rsidRDefault="006B29A7" w:rsidP="006B29A7"/>
    <w:p w:rsidR="004D15B0" w:rsidRDefault="004D15B0"/>
    <w:sectPr w:rsidR="004D15B0" w:rsidSect="006B29A7">
      <w:headerReference w:type="default" r:id="rId9"/>
      <w:footerReference w:type="even" r:id="rId10"/>
      <w:footerReference w:type="default" r:id="rId11"/>
      <w:headerReference w:type="first" r:id="rId12"/>
      <w:footerReference w:type="first" r:id="rId13"/>
      <w:pgSz w:w="12240" w:h="15840" w:code="1"/>
      <w:pgMar w:top="1151" w:right="1440" w:bottom="1151" w:left="1440"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BC3" w:rsidRDefault="00FC2BC3">
      <w:pPr>
        <w:spacing w:after="0"/>
      </w:pPr>
      <w:r>
        <w:separator/>
      </w:r>
    </w:p>
  </w:endnote>
  <w:endnote w:type="continuationSeparator" w:id="1">
    <w:p w:rsidR="00FC2BC3" w:rsidRDefault="00FC2B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A7" w:rsidRDefault="00092429" w:rsidP="006B29A7">
    <w:pPr>
      <w:pStyle w:val="Footer"/>
      <w:framePr w:wrap="around" w:vAnchor="text" w:hAnchor="margin" w:xAlign="right" w:y="1"/>
      <w:rPr>
        <w:rStyle w:val="PageNumber"/>
      </w:rPr>
    </w:pPr>
    <w:r>
      <w:rPr>
        <w:rStyle w:val="PageNumber"/>
      </w:rPr>
      <w:fldChar w:fldCharType="begin"/>
    </w:r>
    <w:r w:rsidR="006B29A7">
      <w:rPr>
        <w:rStyle w:val="PageNumber"/>
      </w:rPr>
      <w:instrText xml:space="preserve">PAGE  </w:instrText>
    </w:r>
    <w:r>
      <w:rPr>
        <w:rStyle w:val="PageNumber"/>
      </w:rPr>
      <w:fldChar w:fldCharType="end"/>
    </w:r>
  </w:p>
  <w:p w:rsidR="006B29A7" w:rsidRDefault="006B29A7" w:rsidP="006B29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A7" w:rsidRDefault="00092429" w:rsidP="006B29A7">
    <w:pPr>
      <w:pStyle w:val="Footer"/>
      <w:framePr w:wrap="around" w:vAnchor="text" w:hAnchor="margin" w:xAlign="right" w:y="1"/>
      <w:rPr>
        <w:rStyle w:val="PageNumber"/>
      </w:rPr>
    </w:pPr>
    <w:r>
      <w:rPr>
        <w:rStyle w:val="PageNumber"/>
      </w:rPr>
      <w:fldChar w:fldCharType="begin"/>
    </w:r>
    <w:r w:rsidR="006B29A7">
      <w:rPr>
        <w:rStyle w:val="PageNumber"/>
      </w:rPr>
      <w:instrText xml:space="preserve">PAGE  </w:instrText>
    </w:r>
    <w:r>
      <w:rPr>
        <w:rStyle w:val="PageNumber"/>
      </w:rPr>
      <w:fldChar w:fldCharType="separate"/>
    </w:r>
    <w:r w:rsidR="00D26157">
      <w:rPr>
        <w:rStyle w:val="PageNumber"/>
        <w:noProof/>
      </w:rPr>
      <w:t>2</w:t>
    </w:r>
    <w:r>
      <w:rPr>
        <w:rStyle w:val="PageNumber"/>
      </w:rPr>
      <w:fldChar w:fldCharType="end"/>
    </w:r>
  </w:p>
  <w:p w:rsidR="006B29A7" w:rsidRDefault="006B29A7" w:rsidP="006B29A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A7" w:rsidRDefault="006B29A7" w:rsidP="006B29A7">
    <w:pPr>
      <w:pStyle w:val="Footer"/>
      <w:jc w:val="center"/>
    </w:pPr>
    <w:r>
      <w:rPr>
        <w:noProof/>
        <w:lang w:eastAsia="en-ZA"/>
      </w:rPr>
      <w:drawing>
        <wp:inline distT="0" distB="0" distL="0" distR="0">
          <wp:extent cx="6172200" cy="755650"/>
          <wp:effectExtent l="19050" t="0" r="0" b="0"/>
          <wp:docPr id="2" name="Picture 2" descr="Docume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1"/>
                  <pic:cNvPicPr>
                    <a:picLocks noChangeAspect="1" noChangeArrowheads="1"/>
                  </pic:cNvPicPr>
                </pic:nvPicPr>
                <pic:blipFill>
                  <a:blip r:embed="rId1"/>
                  <a:srcRect/>
                  <a:stretch>
                    <a:fillRect/>
                  </a:stretch>
                </pic:blipFill>
                <pic:spPr bwMode="auto">
                  <a:xfrm>
                    <a:off x="0" y="0"/>
                    <a:ext cx="6172200" cy="7556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BC3" w:rsidRDefault="00FC2BC3">
      <w:pPr>
        <w:spacing w:after="0"/>
      </w:pPr>
      <w:r>
        <w:separator/>
      </w:r>
    </w:p>
  </w:footnote>
  <w:footnote w:type="continuationSeparator" w:id="1">
    <w:p w:rsidR="00FC2BC3" w:rsidRDefault="00FC2B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A7" w:rsidRDefault="006B29A7" w:rsidP="006B29A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9A7" w:rsidRDefault="006B29A7" w:rsidP="006B29A7">
    <w:pPr>
      <w:pStyle w:val="Header"/>
      <w:jc w:val="center"/>
    </w:pPr>
    <w:r>
      <w:rPr>
        <w:noProof/>
        <w:lang w:eastAsia="en-ZA"/>
      </w:rPr>
      <w:drawing>
        <wp:inline distT="0" distB="0" distL="0" distR="0">
          <wp:extent cx="5969000" cy="1092200"/>
          <wp:effectExtent l="19050" t="0" r="0" b="0"/>
          <wp:docPr id="1" name="Picture 1" descr="plo letterhead 2006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 letterhead 2006 colour"/>
                  <pic:cNvPicPr>
                    <a:picLocks noChangeAspect="1" noChangeArrowheads="1"/>
                  </pic:cNvPicPr>
                </pic:nvPicPr>
                <pic:blipFill>
                  <a:blip r:embed="rId1"/>
                  <a:srcRect/>
                  <a:stretch>
                    <a:fillRect/>
                  </a:stretch>
                </pic:blipFill>
                <pic:spPr bwMode="auto">
                  <a:xfrm>
                    <a:off x="0" y="0"/>
                    <a:ext cx="5969000" cy="1092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20300"/>
    <w:multiLevelType w:val="hybridMultilevel"/>
    <w:tmpl w:val="7952CB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29A7"/>
    <w:rsid w:val="00032835"/>
    <w:rsid w:val="00092429"/>
    <w:rsid w:val="00223BE7"/>
    <w:rsid w:val="004D15B0"/>
    <w:rsid w:val="00675657"/>
    <w:rsid w:val="006B29A7"/>
    <w:rsid w:val="007833AC"/>
    <w:rsid w:val="007A01DF"/>
    <w:rsid w:val="00A27CFA"/>
    <w:rsid w:val="00B30831"/>
    <w:rsid w:val="00B7555E"/>
    <w:rsid w:val="00CD3646"/>
    <w:rsid w:val="00CF53B9"/>
    <w:rsid w:val="00D26157"/>
    <w:rsid w:val="00D714B1"/>
    <w:rsid w:val="00F25315"/>
    <w:rsid w:val="00F32B49"/>
    <w:rsid w:val="00F8351A"/>
    <w:rsid w:val="00F936DA"/>
    <w:rsid w:val="00FC2B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Z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29A7"/>
    <w:pPr>
      <w:tabs>
        <w:tab w:val="center" w:pos="4513"/>
        <w:tab w:val="right" w:pos="9026"/>
      </w:tabs>
      <w:spacing w:after="0"/>
    </w:pPr>
  </w:style>
  <w:style w:type="character" w:customStyle="1" w:styleId="HeaderChar">
    <w:name w:val="Header Char"/>
    <w:basedOn w:val="DefaultParagraphFont"/>
    <w:link w:val="Header"/>
    <w:uiPriority w:val="99"/>
    <w:semiHidden/>
    <w:rsid w:val="006B29A7"/>
  </w:style>
  <w:style w:type="paragraph" w:styleId="Footer">
    <w:name w:val="footer"/>
    <w:basedOn w:val="Normal"/>
    <w:link w:val="FooterChar"/>
    <w:uiPriority w:val="99"/>
    <w:semiHidden/>
    <w:unhideWhenUsed/>
    <w:rsid w:val="006B29A7"/>
    <w:pPr>
      <w:tabs>
        <w:tab w:val="center" w:pos="4513"/>
        <w:tab w:val="right" w:pos="9026"/>
      </w:tabs>
      <w:spacing w:after="0"/>
    </w:pPr>
  </w:style>
  <w:style w:type="character" w:customStyle="1" w:styleId="FooterChar">
    <w:name w:val="Footer Char"/>
    <w:basedOn w:val="DefaultParagraphFont"/>
    <w:link w:val="Footer"/>
    <w:uiPriority w:val="99"/>
    <w:semiHidden/>
    <w:rsid w:val="006B29A7"/>
  </w:style>
  <w:style w:type="character" w:styleId="PageNumber">
    <w:name w:val="page number"/>
    <w:basedOn w:val="DefaultParagraphFont"/>
    <w:rsid w:val="006B29A7"/>
  </w:style>
  <w:style w:type="character" w:styleId="Hyperlink">
    <w:name w:val="Hyperlink"/>
    <w:basedOn w:val="DefaultParagraphFont"/>
    <w:uiPriority w:val="99"/>
    <w:unhideWhenUsed/>
    <w:rsid w:val="006B29A7"/>
    <w:rPr>
      <w:color w:val="0563C1" w:themeColor="hyperlink"/>
      <w:u w:val="single"/>
    </w:rPr>
  </w:style>
  <w:style w:type="paragraph" w:styleId="ListParagraph">
    <w:name w:val="List Paragraph"/>
    <w:basedOn w:val="Normal"/>
    <w:uiPriority w:val="34"/>
    <w:qFormat/>
    <w:rsid w:val="007A01DF"/>
    <w:pPr>
      <w:ind w:left="720"/>
      <w:contextualSpacing/>
    </w:pPr>
  </w:style>
  <w:style w:type="paragraph" w:styleId="BalloonText">
    <w:name w:val="Balloon Text"/>
    <w:basedOn w:val="Normal"/>
    <w:link w:val="BalloonTextChar"/>
    <w:uiPriority w:val="99"/>
    <w:semiHidden/>
    <w:unhideWhenUsed/>
    <w:rsid w:val="00D261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cplo.org.z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FB03-0325-49CB-9582-801B6FF0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Pothier</dc:creator>
  <cp:lastModifiedBy>USER</cp:lastModifiedBy>
  <cp:revision>2</cp:revision>
  <dcterms:created xsi:type="dcterms:W3CDTF">2020-10-23T06:13:00Z</dcterms:created>
  <dcterms:modified xsi:type="dcterms:W3CDTF">2020-10-23T06:13:00Z</dcterms:modified>
</cp:coreProperties>
</file>