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BF1C7" w14:textId="77777777" w:rsidR="00A37C63" w:rsidRPr="00782B80" w:rsidRDefault="002E378B" w:rsidP="00DC4D81">
      <w:pPr>
        <w:jc w:val="center"/>
        <w:rPr>
          <w:rFonts w:ascii="Arial" w:hAnsi="Arial" w:cs="Arial"/>
          <w:sz w:val="24"/>
          <w:lang w:val="en-GB"/>
        </w:rPr>
      </w:pPr>
      <w:bookmarkStart w:id="0" w:name="_GoBack"/>
      <w:bookmarkEnd w:id="0"/>
      <w:r w:rsidRPr="00782B80">
        <w:rPr>
          <w:rFonts w:ascii="Arial" w:hAnsi="Arial" w:cs="Arial"/>
          <w:noProof/>
          <w:sz w:val="24"/>
          <w:lang w:eastAsia="en-ZA"/>
        </w:rPr>
        <w:drawing>
          <wp:inline distT="0" distB="0" distL="0" distR="0" wp14:anchorId="3238CE7D" wp14:editId="4856712B">
            <wp:extent cx="1828800" cy="463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kom corporate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1192" cy="484680"/>
                    </a:xfrm>
                    <a:prstGeom prst="rect">
                      <a:avLst/>
                    </a:prstGeom>
                  </pic:spPr>
                </pic:pic>
              </a:graphicData>
            </a:graphic>
          </wp:inline>
        </w:drawing>
      </w:r>
    </w:p>
    <w:p w14:paraId="0AB72235" w14:textId="77777777" w:rsidR="002E378B" w:rsidRPr="00782B80" w:rsidRDefault="002E378B" w:rsidP="00DC4D81">
      <w:pPr>
        <w:jc w:val="center"/>
        <w:rPr>
          <w:rFonts w:ascii="Arial" w:hAnsi="Arial" w:cs="Arial"/>
          <w:sz w:val="24"/>
          <w:lang w:val="en-GB"/>
        </w:rPr>
      </w:pPr>
    </w:p>
    <w:p w14:paraId="2EA80699" w14:textId="77777777" w:rsidR="002E378B" w:rsidRPr="00782B80" w:rsidRDefault="002E378B" w:rsidP="00DC4D81">
      <w:pPr>
        <w:jc w:val="center"/>
        <w:rPr>
          <w:rFonts w:ascii="Arial" w:hAnsi="Arial" w:cs="Arial"/>
          <w:sz w:val="24"/>
          <w:lang w:val="en-GB"/>
        </w:rPr>
      </w:pPr>
    </w:p>
    <w:p w14:paraId="7F11F006" w14:textId="77777777" w:rsidR="002E378B" w:rsidRPr="00782B80" w:rsidRDefault="002E378B" w:rsidP="00DC4D81">
      <w:pPr>
        <w:jc w:val="center"/>
        <w:rPr>
          <w:rFonts w:ascii="Arial" w:hAnsi="Arial" w:cs="Arial"/>
          <w:sz w:val="24"/>
          <w:lang w:val="en-GB"/>
        </w:rPr>
      </w:pPr>
    </w:p>
    <w:p w14:paraId="6E320B37" w14:textId="77777777" w:rsidR="00DB22BA" w:rsidRPr="00782B80" w:rsidRDefault="00DC4D81" w:rsidP="00B65318">
      <w:pPr>
        <w:jc w:val="center"/>
        <w:rPr>
          <w:rFonts w:ascii="Arial" w:hAnsi="Arial" w:cs="Arial"/>
          <w:sz w:val="24"/>
          <w:lang w:val="en-GB"/>
        </w:rPr>
      </w:pPr>
      <w:r w:rsidRPr="00782B80">
        <w:rPr>
          <w:rFonts w:ascii="Arial" w:hAnsi="Arial" w:cs="Arial"/>
          <w:sz w:val="24"/>
          <w:lang w:val="en-GB"/>
        </w:rPr>
        <w:t xml:space="preserve">Eskom </w:t>
      </w:r>
      <w:r w:rsidR="00BE65E5">
        <w:rPr>
          <w:rFonts w:ascii="Arial" w:hAnsi="Arial" w:cs="Arial"/>
          <w:sz w:val="24"/>
          <w:lang w:val="en-GB"/>
        </w:rPr>
        <w:t>s</w:t>
      </w:r>
      <w:r w:rsidRPr="00782B80">
        <w:rPr>
          <w:rFonts w:ascii="Arial" w:hAnsi="Arial" w:cs="Arial"/>
          <w:sz w:val="24"/>
          <w:lang w:val="en-GB"/>
        </w:rPr>
        <w:t xml:space="preserve">ubmission to the </w:t>
      </w:r>
    </w:p>
    <w:p w14:paraId="10E532B2" w14:textId="77777777" w:rsidR="00197C07" w:rsidRPr="00782B80" w:rsidRDefault="00DC4D81" w:rsidP="00DC4D81">
      <w:pPr>
        <w:jc w:val="center"/>
        <w:rPr>
          <w:rFonts w:ascii="Arial" w:hAnsi="Arial" w:cs="Arial"/>
          <w:sz w:val="24"/>
          <w:lang w:val="en-GB"/>
        </w:rPr>
      </w:pPr>
      <w:r w:rsidRPr="00782B80">
        <w:rPr>
          <w:rFonts w:ascii="Arial" w:hAnsi="Arial" w:cs="Arial"/>
          <w:sz w:val="24"/>
          <w:lang w:val="en-GB"/>
        </w:rPr>
        <w:t xml:space="preserve">Standing Committee on </w:t>
      </w:r>
      <w:r w:rsidR="00B65318">
        <w:rPr>
          <w:rFonts w:ascii="Arial" w:hAnsi="Arial" w:cs="Arial"/>
          <w:sz w:val="24"/>
          <w:lang w:val="en-GB"/>
        </w:rPr>
        <w:t>Public Accounts</w:t>
      </w:r>
      <w:r w:rsidRPr="00782B80">
        <w:rPr>
          <w:rFonts w:ascii="Arial" w:hAnsi="Arial" w:cs="Arial"/>
          <w:sz w:val="24"/>
          <w:lang w:val="en-GB"/>
        </w:rPr>
        <w:t xml:space="preserve"> (SCO</w:t>
      </w:r>
      <w:r w:rsidR="00B65318">
        <w:rPr>
          <w:rFonts w:ascii="Arial" w:hAnsi="Arial" w:cs="Arial"/>
          <w:sz w:val="24"/>
          <w:lang w:val="en-GB"/>
        </w:rPr>
        <w:t>P</w:t>
      </w:r>
      <w:r w:rsidRPr="00782B80">
        <w:rPr>
          <w:rFonts w:ascii="Arial" w:hAnsi="Arial" w:cs="Arial"/>
          <w:sz w:val="24"/>
          <w:lang w:val="en-GB"/>
        </w:rPr>
        <w:t>A)</w:t>
      </w:r>
    </w:p>
    <w:p w14:paraId="43D697ED" w14:textId="77777777" w:rsidR="00DC4D81" w:rsidRDefault="00DC4D81" w:rsidP="00DC4D81">
      <w:pPr>
        <w:jc w:val="center"/>
        <w:rPr>
          <w:rFonts w:ascii="Arial" w:hAnsi="Arial" w:cs="Arial"/>
          <w:sz w:val="24"/>
          <w:lang w:val="en-GB"/>
        </w:rPr>
      </w:pPr>
    </w:p>
    <w:p w14:paraId="04BBB307" w14:textId="0382B4B8" w:rsidR="00DC4D81" w:rsidRPr="00782B80" w:rsidRDefault="001D4D65" w:rsidP="00DC4D81">
      <w:pPr>
        <w:jc w:val="center"/>
        <w:rPr>
          <w:rFonts w:ascii="Arial" w:hAnsi="Arial" w:cs="Arial"/>
          <w:sz w:val="24"/>
          <w:lang w:val="en-GB"/>
        </w:rPr>
      </w:pPr>
      <w:r>
        <w:rPr>
          <w:rFonts w:ascii="Arial" w:hAnsi="Arial" w:cs="Arial"/>
          <w:sz w:val="24"/>
          <w:lang w:val="en-GB"/>
        </w:rPr>
        <w:t xml:space="preserve">For </w:t>
      </w:r>
      <w:r w:rsidR="006E06EC">
        <w:rPr>
          <w:rFonts w:ascii="Arial" w:hAnsi="Arial" w:cs="Arial"/>
          <w:sz w:val="24"/>
          <w:lang w:val="en-GB"/>
        </w:rPr>
        <w:t>t</w:t>
      </w:r>
      <w:r w:rsidR="00B65318">
        <w:rPr>
          <w:rFonts w:ascii="Arial" w:hAnsi="Arial" w:cs="Arial"/>
          <w:sz w:val="24"/>
          <w:lang w:val="en-GB"/>
        </w:rPr>
        <w:t xml:space="preserve">he </w:t>
      </w:r>
      <w:r w:rsidR="006E06EC">
        <w:rPr>
          <w:rFonts w:ascii="Arial" w:hAnsi="Arial" w:cs="Arial"/>
          <w:sz w:val="24"/>
          <w:lang w:val="en-GB"/>
        </w:rPr>
        <w:t>m</w:t>
      </w:r>
      <w:r w:rsidR="00B65318">
        <w:rPr>
          <w:rFonts w:ascii="Arial" w:hAnsi="Arial" w:cs="Arial"/>
          <w:sz w:val="24"/>
          <w:lang w:val="en-GB"/>
        </w:rPr>
        <w:t xml:space="preserve">eeting of </w:t>
      </w:r>
      <w:r w:rsidR="00E01B12">
        <w:rPr>
          <w:rFonts w:ascii="Arial" w:hAnsi="Arial" w:cs="Arial"/>
          <w:sz w:val="24"/>
          <w:lang w:val="en-GB"/>
        </w:rPr>
        <w:t>15</w:t>
      </w:r>
      <w:r w:rsidR="00B65318">
        <w:rPr>
          <w:rFonts w:ascii="Arial" w:hAnsi="Arial" w:cs="Arial"/>
          <w:sz w:val="24"/>
          <w:lang w:val="en-GB"/>
        </w:rPr>
        <w:t xml:space="preserve"> </w:t>
      </w:r>
      <w:r w:rsidR="00E01B12">
        <w:rPr>
          <w:rFonts w:ascii="Arial" w:hAnsi="Arial" w:cs="Arial"/>
          <w:sz w:val="24"/>
          <w:lang w:val="en-GB"/>
        </w:rPr>
        <w:t>October</w:t>
      </w:r>
      <w:r w:rsidR="00B65318">
        <w:rPr>
          <w:rFonts w:ascii="Arial" w:hAnsi="Arial" w:cs="Arial"/>
          <w:sz w:val="24"/>
          <w:lang w:val="en-GB"/>
        </w:rPr>
        <w:t xml:space="preserve"> 2020</w:t>
      </w:r>
    </w:p>
    <w:p w14:paraId="2FCFB39D" w14:textId="77777777" w:rsidR="00DC4D81" w:rsidRPr="00782B80" w:rsidRDefault="00DC4D81" w:rsidP="00DC4D81">
      <w:pPr>
        <w:jc w:val="center"/>
        <w:rPr>
          <w:rFonts w:ascii="Arial" w:hAnsi="Arial" w:cs="Arial"/>
          <w:sz w:val="24"/>
          <w:lang w:val="en-GB"/>
        </w:rPr>
      </w:pPr>
    </w:p>
    <w:p w14:paraId="4E2A5DFC" w14:textId="77777777" w:rsidR="00DC4D81" w:rsidRPr="00782B80" w:rsidRDefault="00DC4D81" w:rsidP="00DC4D81">
      <w:pPr>
        <w:jc w:val="center"/>
        <w:rPr>
          <w:rFonts w:ascii="Arial" w:hAnsi="Arial" w:cs="Arial"/>
          <w:sz w:val="24"/>
          <w:lang w:val="en-GB"/>
        </w:rPr>
      </w:pPr>
    </w:p>
    <w:p w14:paraId="4A645F1E" w14:textId="77777777" w:rsidR="00DC4D81" w:rsidRPr="00782B80" w:rsidRDefault="00DC4D81" w:rsidP="00DC4D81">
      <w:pPr>
        <w:jc w:val="center"/>
        <w:rPr>
          <w:rFonts w:ascii="Arial" w:hAnsi="Arial" w:cs="Arial"/>
          <w:sz w:val="24"/>
          <w:lang w:val="en-GB"/>
        </w:rPr>
      </w:pPr>
    </w:p>
    <w:p w14:paraId="07A1E22F" w14:textId="77777777" w:rsidR="00DC4D81" w:rsidRPr="00782B80" w:rsidRDefault="00DC4D81" w:rsidP="00DC4D81">
      <w:pPr>
        <w:jc w:val="center"/>
        <w:rPr>
          <w:rFonts w:ascii="Arial" w:hAnsi="Arial" w:cs="Arial"/>
          <w:sz w:val="24"/>
          <w:lang w:val="en-GB"/>
        </w:rPr>
      </w:pPr>
    </w:p>
    <w:p w14:paraId="686EE835" w14:textId="77777777" w:rsidR="00DC4D81" w:rsidRPr="00782B80" w:rsidRDefault="00DC4D81">
      <w:pPr>
        <w:rPr>
          <w:rFonts w:ascii="Arial" w:hAnsi="Arial" w:cs="Arial"/>
          <w:sz w:val="24"/>
          <w:lang w:val="en-GB"/>
        </w:rPr>
      </w:pPr>
    </w:p>
    <w:p w14:paraId="01CF2FDF" w14:textId="77777777" w:rsidR="00DC4D81" w:rsidRPr="00782B80" w:rsidRDefault="00DC4D81">
      <w:pPr>
        <w:rPr>
          <w:rFonts w:ascii="Arial" w:hAnsi="Arial" w:cs="Arial"/>
          <w:sz w:val="24"/>
          <w:lang w:val="en-GB"/>
        </w:rPr>
      </w:pPr>
    </w:p>
    <w:p w14:paraId="046C1FBC" w14:textId="77777777" w:rsidR="00DC4D81" w:rsidRPr="00782B80" w:rsidRDefault="00DC4D81">
      <w:pPr>
        <w:rPr>
          <w:rFonts w:ascii="Arial" w:hAnsi="Arial" w:cs="Arial"/>
          <w:sz w:val="24"/>
          <w:lang w:val="en-GB"/>
        </w:rPr>
      </w:pPr>
    </w:p>
    <w:p w14:paraId="430A18BC" w14:textId="77777777" w:rsidR="00DC4D81" w:rsidRPr="00782B80" w:rsidRDefault="00DC4D81">
      <w:pPr>
        <w:rPr>
          <w:rFonts w:ascii="Arial" w:hAnsi="Arial" w:cs="Arial"/>
          <w:sz w:val="24"/>
          <w:lang w:val="en-GB"/>
        </w:rPr>
      </w:pPr>
    </w:p>
    <w:p w14:paraId="7563BFEC" w14:textId="77777777" w:rsidR="00DC4D81" w:rsidRPr="00782B80" w:rsidRDefault="00DC4D81">
      <w:pPr>
        <w:rPr>
          <w:rFonts w:ascii="Arial" w:hAnsi="Arial" w:cs="Arial"/>
          <w:sz w:val="24"/>
          <w:lang w:val="en-GB"/>
        </w:rPr>
      </w:pPr>
    </w:p>
    <w:p w14:paraId="0EC6B746" w14:textId="77777777" w:rsidR="00DC4D81" w:rsidRPr="00782B80" w:rsidRDefault="00DC4D81">
      <w:pPr>
        <w:rPr>
          <w:rFonts w:ascii="Arial" w:hAnsi="Arial" w:cs="Arial"/>
          <w:sz w:val="24"/>
          <w:lang w:val="en-GB"/>
        </w:rPr>
      </w:pPr>
    </w:p>
    <w:p w14:paraId="7871B9B0" w14:textId="77777777" w:rsidR="00DC4D81" w:rsidRPr="00782B80" w:rsidRDefault="00DC4D81">
      <w:pPr>
        <w:rPr>
          <w:rFonts w:ascii="Arial" w:hAnsi="Arial" w:cs="Arial"/>
          <w:sz w:val="24"/>
          <w:lang w:val="en-GB"/>
        </w:rPr>
      </w:pPr>
    </w:p>
    <w:p w14:paraId="3DED9D28" w14:textId="77777777" w:rsidR="00B65318" w:rsidRDefault="00B65318">
      <w:pPr>
        <w:rPr>
          <w:rFonts w:ascii="Arial" w:hAnsi="Arial" w:cs="Arial"/>
          <w:sz w:val="24"/>
          <w:lang w:val="en-GB"/>
        </w:rPr>
      </w:pPr>
      <w:r>
        <w:rPr>
          <w:rFonts w:ascii="Arial" w:hAnsi="Arial" w:cs="Arial"/>
          <w:sz w:val="24"/>
          <w:lang w:val="en-GB"/>
        </w:rPr>
        <w:br w:type="page"/>
      </w:r>
    </w:p>
    <w:p w14:paraId="6DCA3C2E" w14:textId="77777777" w:rsidR="00DC4D81" w:rsidRPr="00782B80" w:rsidRDefault="00FC1A76" w:rsidP="00FC1A76">
      <w:pPr>
        <w:shd w:val="clear" w:color="auto" w:fill="BDD6EE" w:themeFill="accent1" w:themeFillTint="66"/>
        <w:rPr>
          <w:b/>
          <w:sz w:val="28"/>
          <w:lang w:val="en-GB"/>
        </w:rPr>
      </w:pPr>
      <w:r w:rsidRPr="00782B80">
        <w:rPr>
          <w:b/>
          <w:sz w:val="28"/>
          <w:lang w:val="en-GB"/>
        </w:rPr>
        <w:lastRenderedPageBreak/>
        <w:t>Table of Contents</w:t>
      </w:r>
    </w:p>
    <w:sdt>
      <w:sdtPr>
        <w:rPr>
          <w:rFonts w:asciiTheme="minorHAnsi" w:eastAsiaTheme="minorHAnsi" w:hAnsiTheme="minorHAnsi" w:cstheme="minorBidi"/>
          <w:b w:val="0"/>
          <w:bCs w:val="0"/>
          <w:color w:val="auto"/>
          <w:sz w:val="22"/>
          <w:szCs w:val="22"/>
          <w:lang w:val="en-GB" w:eastAsia="en-US"/>
        </w:rPr>
        <w:id w:val="-130249581"/>
        <w:docPartObj>
          <w:docPartGallery w:val="Table of Contents"/>
          <w:docPartUnique/>
        </w:docPartObj>
      </w:sdtPr>
      <w:sdtEndPr>
        <w:rPr>
          <w:noProof/>
        </w:rPr>
      </w:sdtEndPr>
      <w:sdtContent>
        <w:p w14:paraId="02739EC9" w14:textId="77777777" w:rsidR="00083659" w:rsidRDefault="00083659">
          <w:pPr>
            <w:pStyle w:val="TOCHeading"/>
            <w:rPr>
              <w:lang w:val="en-GB"/>
            </w:rPr>
          </w:pPr>
          <w:r w:rsidRPr="00782B80">
            <w:rPr>
              <w:lang w:val="en-GB"/>
            </w:rPr>
            <w:t>Contents</w:t>
          </w:r>
        </w:p>
        <w:p w14:paraId="289F320E" w14:textId="77777777" w:rsidR="00E71DEB" w:rsidRPr="00426F57" w:rsidRDefault="00E71DEB" w:rsidP="00E71DEB">
          <w:pPr>
            <w:rPr>
              <w:rFonts w:ascii="Arial" w:hAnsi="Arial" w:cs="Arial"/>
              <w:sz w:val="24"/>
              <w:szCs w:val="24"/>
              <w:lang w:val="en-GB" w:eastAsia="ja-JP"/>
            </w:rPr>
          </w:pPr>
        </w:p>
        <w:p w14:paraId="640872FB" w14:textId="2A15AC68" w:rsidR="0047365E" w:rsidRDefault="00083659">
          <w:pPr>
            <w:pStyle w:val="TOC1"/>
            <w:rPr>
              <w:noProof/>
              <w:lang w:val="en-ZA" w:eastAsia="en-ZA"/>
            </w:rPr>
          </w:pPr>
          <w:r w:rsidRPr="00426F57">
            <w:rPr>
              <w:rFonts w:ascii="Arial" w:hAnsi="Arial" w:cs="Arial"/>
              <w:sz w:val="24"/>
              <w:szCs w:val="24"/>
            </w:rPr>
            <w:fldChar w:fldCharType="begin"/>
          </w:r>
          <w:r w:rsidRPr="00426F57">
            <w:rPr>
              <w:rFonts w:ascii="Arial" w:hAnsi="Arial" w:cs="Arial"/>
              <w:sz w:val="24"/>
              <w:szCs w:val="24"/>
            </w:rPr>
            <w:instrText xml:space="preserve"> TOC \o "1-1" \h \z \u </w:instrText>
          </w:r>
          <w:r w:rsidRPr="00426F57">
            <w:rPr>
              <w:rFonts w:ascii="Arial" w:hAnsi="Arial" w:cs="Arial"/>
              <w:sz w:val="24"/>
              <w:szCs w:val="24"/>
            </w:rPr>
            <w:fldChar w:fldCharType="separate"/>
          </w:r>
          <w:hyperlink w:anchor="_Toc52534935" w:history="1">
            <w:r w:rsidR="0047365E" w:rsidRPr="0082743C">
              <w:rPr>
                <w:rStyle w:val="Hyperlink"/>
                <w:noProof/>
                <w:lang w:val="en-GB"/>
              </w:rPr>
              <w:t>Summary</w:t>
            </w:r>
            <w:r w:rsidR="0047365E">
              <w:rPr>
                <w:noProof/>
                <w:webHidden/>
              </w:rPr>
              <w:tab/>
            </w:r>
            <w:r w:rsidR="0047365E">
              <w:rPr>
                <w:noProof/>
                <w:webHidden/>
              </w:rPr>
              <w:fldChar w:fldCharType="begin"/>
            </w:r>
            <w:r w:rsidR="0047365E">
              <w:rPr>
                <w:noProof/>
                <w:webHidden/>
              </w:rPr>
              <w:instrText xml:space="preserve"> PAGEREF _Toc52534935 \h </w:instrText>
            </w:r>
            <w:r w:rsidR="0047365E">
              <w:rPr>
                <w:noProof/>
                <w:webHidden/>
              </w:rPr>
            </w:r>
            <w:r w:rsidR="0047365E">
              <w:rPr>
                <w:noProof/>
                <w:webHidden/>
              </w:rPr>
              <w:fldChar w:fldCharType="separate"/>
            </w:r>
            <w:r w:rsidR="0047365E">
              <w:rPr>
                <w:noProof/>
                <w:webHidden/>
              </w:rPr>
              <w:t>3</w:t>
            </w:r>
            <w:r w:rsidR="0047365E">
              <w:rPr>
                <w:noProof/>
                <w:webHidden/>
              </w:rPr>
              <w:fldChar w:fldCharType="end"/>
            </w:r>
          </w:hyperlink>
        </w:p>
        <w:p w14:paraId="332FF148" w14:textId="55769338" w:rsidR="0047365E" w:rsidRDefault="00A742DD">
          <w:pPr>
            <w:pStyle w:val="TOC1"/>
            <w:rPr>
              <w:noProof/>
              <w:lang w:val="en-ZA" w:eastAsia="en-ZA"/>
            </w:rPr>
          </w:pPr>
          <w:hyperlink w:anchor="_Toc52534936" w:history="1">
            <w:r w:rsidR="0047365E" w:rsidRPr="0082743C">
              <w:rPr>
                <w:rStyle w:val="Hyperlink"/>
                <w:noProof/>
                <w:lang w:val="en-GB"/>
              </w:rPr>
              <w:t>1.</w:t>
            </w:r>
            <w:r w:rsidR="0047365E">
              <w:rPr>
                <w:noProof/>
                <w:lang w:val="en-ZA" w:eastAsia="en-ZA"/>
              </w:rPr>
              <w:tab/>
            </w:r>
            <w:r w:rsidR="0047365E" w:rsidRPr="0082743C">
              <w:rPr>
                <w:rStyle w:val="Hyperlink"/>
                <w:noProof/>
                <w:lang w:val="en-GB"/>
              </w:rPr>
              <w:t>List of Vetted Senior Executives and Supply Chaim Management Officials</w:t>
            </w:r>
            <w:r w:rsidR="0047365E">
              <w:rPr>
                <w:noProof/>
                <w:webHidden/>
              </w:rPr>
              <w:tab/>
            </w:r>
            <w:r w:rsidR="0047365E">
              <w:rPr>
                <w:noProof/>
                <w:webHidden/>
              </w:rPr>
              <w:fldChar w:fldCharType="begin"/>
            </w:r>
            <w:r w:rsidR="0047365E">
              <w:rPr>
                <w:noProof/>
                <w:webHidden/>
              </w:rPr>
              <w:instrText xml:space="preserve"> PAGEREF _Toc52534936 \h </w:instrText>
            </w:r>
            <w:r w:rsidR="0047365E">
              <w:rPr>
                <w:noProof/>
                <w:webHidden/>
              </w:rPr>
            </w:r>
            <w:r w:rsidR="0047365E">
              <w:rPr>
                <w:noProof/>
                <w:webHidden/>
              </w:rPr>
              <w:fldChar w:fldCharType="separate"/>
            </w:r>
            <w:r w:rsidR="0047365E">
              <w:rPr>
                <w:noProof/>
                <w:webHidden/>
              </w:rPr>
              <w:t>4</w:t>
            </w:r>
            <w:r w:rsidR="0047365E">
              <w:rPr>
                <w:noProof/>
                <w:webHidden/>
              </w:rPr>
              <w:fldChar w:fldCharType="end"/>
            </w:r>
          </w:hyperlink>
        </w:p>
        <w:p w14:paraId="514838C9" w14:textId="7005178D" w:rsidR="0047365E" w:rsidRDefault="00A742DD">
          <w:pPr>
            <w:pStyle w:val="TOC1"/>
            <w:rPr>
              <w:noProof/>
              <w:lang w:val="en-ZA" w:eastAsia="en-ZA"/>
            </w:rPr>
          </w:pPr>
          <w:hyperlink w:anchor="_Toc52534937" w:history="1">
            <w:r w:rsidR="0047365E" w:rsidRPr="0082743C">
              <w:rPr>
                <w:rStyle w:val="Hyperlink"/>
                <w:noProof/>
                <w:lang w:val="en-GB"/>
              </w:rPr>
              <w:t>2.</w:t>
            </w:r>
            <w:r w:rsidR="0047365E">
              <w:rPr>
                <w:noProof/>
                <w:lang w:val="en-ZA" w:eastAsia="en-ZA"/>
              </w:rPr>
              <w:tab/>
            </w:r>
            <w:r w:rsidR="0047365E" w:rsidRPr="0082743C">
              <w:rPr>
                <w:rStyle w:val="Hyperlink"/>
                <w:noProof/>
                <w:lang w:val="en-GB"/>
              </w:rPr>
              <w:t>Black and Veatch and Aveng Africa Contracts</w:t>
            </w:r>
            <w:r w:rsidR="0047365E">
              <w:rPr>
                <w:noProof/>
                <w:webHidden/>
              </w:rPr>
              <w:tab/>
            </w:r>
            <w:r w:rsidR="0047365E">
              <w:rPr>
                <w:noProof/>
                <w:webHidden/>
              </w:rPr>
              <w:fldChar w:fldCharType="begin"/>
            </w:r>
            <w:r w:rsidR="0047365E">
              <w:rPr>
                <w:noProof/>
                <w:webHidden/>
              </w:rPr>
              <w:instrText xml:space="preserve"> PAGEREF _Toc52534937 \h </w:instrText>
            </w:r>
            <w:r w:rsidR="0047365E">
              <w:rPr>
                <w:noProof/>
                <w:webHidden/>
              </w:rPr>
            </w:r>
            <w:r w:rsidR="0047365E">
              <w:rPr>
                <w:noProof/>
                <w:webHidden/>
              </w:rPr>
              <w:fldChar w:fldCharType="separate"/>
            </w:r>
            <w:r w:rsidR="0047365E">
              <w:rPr>
                <w:noProof/>
                <w:webHidden/>
              </w:rPr>
              <w:t>5</w:t>
            </w:r>
            <w:r w:rsidR="0047365E">
              <w:rPr>
                <w:noProof/>
                <w:webHidden/>
              </w:rPr>
              <w:fldChar w:fldCharType="end"/>
            </w:r>
          </w:hyperlink>
        </w:p>
        <w:p w14:paraId="5AB76ADB" w14:textId="2E04ABB3" w:rsidR="0047365E" w:rsidRDefault="00A742DD">
          <w:pPr>
            <w:pStyle w:val="TOC1"/>
            <w:rPr>
              <w:noProof/>
              <w:lang w:val="en-ZA" w:eastAsia="en-ZA"/>
            </w:rPr>
          </w:pPr>
          <w:hyperlink w:anchor="_Toc52534938" w:history="1">
            <w:r w:rsidR="0047365E" w:rsidRPr="0082743C">
              <w:rPr>
                <w:rStyle w:val="Hyperlink"/>
                <w:noProof/>
                <w:lang w:val="en-GB"/>
              </w:rPr>
              <w:t>3.</w:t>
            </w:r>
            <w:r w:rsidR="0047365E">
              <w:rPr>
                <w:noProof/>
                <w:lang w:val="en-ZA" w:eastAsia="en-ZA"/>
              </w:rPr>
              <w:tab/>
            </w:r>
            <w:r w:rsidR="0047365E" w:rsidRPr="0082743C">
              <w:rPr>
                <w:rStyle w:val="Hyperlink"/>
                <w:noProof/>
                <w:lang w:val="en-GB"/>
              </w:rPr>
              <w:t>Status update on the investigation conducted on Black &amp; Veatch Contract</w:t>
            </w:r>
            <w:r w:rsidR="0047365E">
              <w:rPr>
                <w:noProof/>
                <w:webHidden/>
              </w:rPr>
              <w:tab/>
            </w:r>
            <w:r w:rsidR="0047365E">
              <w:rPr>
                <w:noProof/>
                <w:webHidden/>
              </w:rPr>
              <w:fldChar w:fldCharType="begin"/>
            </w:r>
            <w:r w:rsidR="0047365E">
              <w:rPr>
                <w:noProof/>
                <w:webHidden/>
              </w:rPr>
              <w:instrText xml:space="preserve"> PAGEREF _Toc52534938 \h </w:instrText>
            </w:r>
            <w:r w:rsidR="0047365E">
              <w:rPr>
                <w:noProof/>
                <w:webHidden/>
              </w:rPr>
            </w:r>
            <w:r w:rsidR="0047365E">
              <w:rPr>
                <w:noProof/>
                <w:webHidden/>
              </w:rPr>
              <w:fldChar w:fldCharType="separate"/>
            </w:r>
            <w:r w:rsidR="0047365E">
              <w:rPr>
                <w:noProof/>
                <w:webHidden/>
              </w:rPr>
              <w:t>6</w:t>
            </w:r>
            <w:r w:rsidR="0047365E">
              <w:rPr>
                <w:noProof/>
                <w:webHidden/>
              </w:rPr>
              <w:fldChar w:fldCharType="end"/>
            </w:r>
          </w:hyperlink>
        </w:p>
        <w:p w14:paraId="498B4CB8" w14:textId="481AAAEC" w:rsidR="0047365E" w:rsidRDefault="00A742DD">
          <w:pPr>
            <w:pStyle w:val="TOC1"/>
            <w:rPr>
              <w:noProof/>
              <w:lang w:val="en-ZA" w:eastAsia="en-ZA"/>
            </w:rPr>
          </w:pPr>
          <w:hyperlink w:anchor="_Toc52534939" w:history="1">
            <w:r w:rsidR="0047365E" w:rsidRPr="0082743C">
              <w:rPr>
                <w:rStyle w:val="Hyperlink"/>
                <w:noProof/>
                <w:lang w:val="en-GB"/>
              </w:rPr>
              <w:t>4.</w:t>
            </w:r>
            <w:r w:rsidR="0047365E">
              <w:rPr>
                <w:noProof/>
                <w:lang w:val="en-ZA" w:eastAsia="en-ZA"/>
              </w:rPr>
              <w:tab/>
            </w:r>
            <w:r w:rsidR="0047365E" w:rsidRPr="0082743C">
              <w:rPr>
                <w:rStyle w:val="Hyperlink"/>
                <w:noProof/>
                <w:lang w:val="en-GB"/>
              </w:rPr>
              <w:t>Cost Benefit Analysis of the Take or Pay Contracts</w:t>
            </w:r>
            <w:r w:rsidR="0047365E">
              <w:rPr>
                <w:noProof/>
                <w:webHidden/>
              </w:rPr>
              <w:tab/>
            </w:r>
            <w:r w:rsidR="0047365E">
              <w:rPr>
                <w:noProof/>
                <w:webHidden/>
              </w:rPr>
              <w:fldChar w:fldCharType="begin"/>
            </w:r>
            <w:r w:rsidR="0047365E">
              <w:rPr>
                <w:noProof/>
                <w:webHidden/>
              </w:rPr>
              <w:instrText xml:space="preserve"> PAGEREF _Toc52534939 \h </w:instrText>
            </w:r>
            <w:r w:rsidR="0047365E">
              <w:rPr>
                <w:noProof/>
                <w:webHidden/>
              </w:rPr>
            </w:r>
            <w:r w:rsidR="0047365E">
              <w:rPr>
                <w:noProof/>
                <w:webHidden/>
              </w:rPr>
              <w:fldChar w:fldCharType="separate"/>
            </w:r>
            <w:r w:rsidR="0047365E">
              <w:rPr>
                <w:noProof/>
                <w:webHidden/>
              </w:rPr>
              <w:t>8</w:t>
            </w:r>
            <w:r w:rsidR="0047365E">
              <w:rPr>
                <w:noProof/>
                <w:webHidden/>
              </w:rPr>
              <w:fldChar w:fldCharType="end"/>
            </w:r>
          </w:hyperlink>
        </w:p>
        <w:p w14:paraId="000AFDAC" w14:textId="006FF55E" w:rsidR="0047365E" w:rsidRDefault="00A742DD">
          <w:pPr>
            <w:pStyle w:val="TOC1"/>
            <w:rPr>
              <w:noProof/>
              <w:lang w:val="en-ZA" w:eastAsia="en-ZA"/>
            </w:rPr>
          </w:pPr>
          <w:hyperlink w:anchor="_Toc52534940" w:history="1">
            <w:r w:rsidR="0047365E" w:rsidRPr="0082743C">
              <w:rPr>
                <w:rStyle w:val="Hyperlink"/>
                <w:noProof/>
                <w:lang w:val="en-GB"/>
              </w:rPr>
              <w:t>5.</w:t>
            </w:r>
            <w:r w:rsidR="0047365E">
              <w:rPr>
                <w:noProof/>
                <w:lang w:val="en-ZA" w:eastAsia="en-ZA"/>
              </w:rPr>
              <w:tab/>
            </w:r>
            <w:r w:rsidR="0047365E" w:rsidRPr="0082743C">
              <w:rPr>
                <w:rStyle w:val="Hyperlink"/>
                <w:noProof/>
                <w:lang w:val="en-GB"/>
              </w:rPr>
              <w:t>Cases handed over to law enforcement agencies and case numbers thereof</w:t>
            </w:r>
            <w:r w:rsidR="0047365E">
              <w:rPr>
                <w:noProof/>
                <w:webHidden/>
              </w:rPr>
              <w:tab/>
            </w:r>
            <w:r w:rsidR="0047365E">
              <w:rPr>
                <w:noProof/>
                <w:webHidden/>
              </w:rPr>
              <w:fldChar w:fldCharType="begin"/>
            </w:r>
            <w:r w:rsidR="0047365E">
              <w:rPr>
                <w:noProof/>
                <w:webHidden/>
              </w:rPr>
              <w:instrText xml:space="preserve"> PAGEREF _Toc52534940 \h </w:instrText>
            </w:r>
            <w:r w:rsidR="0047365E">
              <w:rPr>
                <w:noProof/>
                <w:webHidden/>
              </w:rPr>
            </w:r>
            <w:r w:rsidR="0047365E">
              <w:rPr>
                <w:noProof/>
                <w:webHidden/>
              </w:rPr>
              <w:fldChar w:fldCharType="separate"/>
            </w:r>
            <w:r w:rsidR="0047365E">
              <w:rPr>
                <w:noProof/>
                <w:webHidden/>
              </w:rPr>
              <w:t>11</w:t>
            </w:r>
            <w:r w:rsidR="0047365E">
              <w:rPr>
                <w:noProof/>
                <w:webHidden/>
              </w:rPr>
              <w:fldChar w:fldCharType="end"/>
            </w:r>
          </w:hyperlink>
        </w:p>
        <w:p w14:paraId="40B26642" w14:textId="00A47475" w:rsidR="0047365E" w:rsidRDefault="00A742DD">
          <w:pPr>
            <w:pStyle w:val="TOC1"/>
            <w:rPr>
              <w:noProof/>
              <w:lang w:val="en-ZA" w:eastAsia="en-ZA"/>
            </w:rPr>
          </w:pPr>
          <w:hyperlink w:anchor="_Toc52534941" w:history="1">
            <w:r w:rsidR="0047365E" w:rsidRPr="0082743C">
              <w:rPr>
                <w:rStyle w:val="Hyperlink"/>
                <w:noProof/>
                <w:lang w:val="en-GB"/>
              </w:rPr>
              <w:t>6.</w:t>
            </w:r>
            <w:r w:rsidR="0047365E">
              <w:rPr>
                <w:noProof/>
                <w:lang w:val="en-ZA" w:eastAsia="en-ZA"/>
              </w:rPr>
              <w:tab/>
            </w:r>
            <w:r w:rsidR="0047365E" w:rsidRPr="0082743C">
              <w:rPr>
                <w:rStyle w:val="Hyperlink"/>
                <w:noProof/>
                <w:lang w:val="en-GB"/>
              </w:rPr>
              <w:t>Report on contracts that were overpaid by R4 billion</w:t>
            </w:r>
            <w:r w:rsidR="0047365E">
              <w:rPr>
                <w:noProof/>
                <w:webHidden/>
              </w:rPr>
              <w:tab/>
            </w:r>
            <w:r w:rsidR="0047365E">
              <w:rPr>
                <w:noProof/>
                <w:webHidden/>
              </w:rPr>
              <w:fldChar w:fldCharType="begin"/>
            </w:r>
            <w:r w:rsidR="0047365E">
              <w:rPr>
                <w:noProof/>
                <w:webHidden/>
              </w:rPr>
              <w:instrText xml:space="preserve"> PAGEREF _Toc52534941 \h </w:instrText>
            </w:r>
            <w:r w:rsidR="0047365E">
              <w:rPr>
                <w:noProof/>
                <w:webHidden/>
              </w:rPr>
            </w:r>
            <w:r w:rsidR="0047365E">
              <w:rPr>
                <w:noProof/>
                <w:webHidden/>
              </w:rPr>
              <w:fldChar w:fldCharType="separate"/>
            </w:r>
            <w:r w:rsidR="0047365E">
              <w:rPr>
                <w:noProof/>
                <w:webHidden/>
              </w:rPr>
              <w:t>16</w:t>
            </w:r>
            <w:r w:rsidR="0047365E">
              <w:rPr>
                <w:noProof/>
                <w:webHidden/>
              </w:rPr>
              <w:fldChar w:fldCharType="end"/>
            </w:r>
          </w:hyperlink>
        </w:p>
        <w:p w14:paraId="6D1BA83B" w14:textId="180A73C8" w:rsidR="00083659" w:rsidRPr="00782B80" w:rsidRDefault="00083659">
          <w:pPr>
            <w:rPr>
              <w:lang w:val="en-GB"/>
            </w:rPr>
          </w:pPr>
          <w:r w:rsidRPr="00426F57">
            <w:rPr>
              <w:rFonts w:ascii="Arial" w:eastAsiaTheme="minorEastAsia" w:hAnsi="Arial" w:cs="Arial"/>
              <w:sz w:val="24"/>
              <w:szCs w:val="24"/>
              <w:lang w:val="en-GB" w:eastAsia="ja-JP"/>
            </w:rPr>
            <w:fldChar w:fldCharType="end"/>
          </w:r>
        </w:p>
      </w:sdtContent>
    </w:sdt>
    <w:p w14:paraId="5911D751" w14:textId="326A0580" w:rsidR="00A37C63" w:rsidRDefault="00B65318" w:rsidP="00DC4D81">
      <w:pPr>
        <w:spacing w:line="360" w:lineRule="auto"/>
        <w:rPr>
          <w:lang w:val="en-GB"/>
        </w:rPr>
      </w:pPr>
      <w:r>
        <w:rPr>
          <w:lang w:val="en-GB"/>
        </w:rPr>
        <w:t>Annexure 1A:</w:t>
      </w:r>
      <w:r w:rsidR="000972CF">
        <w:rPr>
          <w:lang w:val="en-GB"/>
        </w:rPr>
        <w:tab/>
      </w:r>
      <w:r>
        <w:rPr>
          <w:lang w:val="en-GB"/>
        </w:rPr>
        <w:t xml:space="preserve"> COO Report</w:t>
      </w:r>
    </w:p>
    <w:p w14:paraId="1C7E303F" w14:textId="7559FEDA" w:rsidR="00B65318" w:rsidRDefault="00B65318" w:rsidP="00DC4D81">
      <w:pPr>
        <w:spacing w:line="360" w:lineRule="auto"/>
        <w:rPr>
          <w:lang w:val="en-GB"/>
        </w:rPr>
      </w:pPr>
      <w:r>
        <w:rPr>
          <w:lang w:val="en-GB"/>
        </w:rPr>
        <w:t xml:space="preserve">Annexure 1B: </w:t>
      </w:r>
      <w:r w:rsidR="000972CF">
        <w:rPr>
          <w:lang w:val="en-GB"/>
        </w:rPr>
        <w:tab/>
      </w:r>
      <w:r>
        <w:rPr>
          <w:lang w:val="en-GB"/>
        </w:rPr>
        <w:t>COO Report Supplementary</w:t>
      </w:r>
    </w:p>
    <w:p w14:paraId="300D90FE" w14:textId="4AEEF6E2" w:rsidR="00B65318" w:rsidRDefault="00B65318" w:rsidP="00DC4D81">
      <w:pPr>
        <w:spacing w:line="360" w:lineRule="auto"/>
        <w:rPr>
          <w:lang w:val="en-GB"/>
        </w:rPr>
      </w:pPr>
      <w:r>
        <w:rPr>
          <w:lang w:val="en-GB"/>
        </w:rPr>
        <w:t xml:space="preserve">Annexure 2A:  </w:t>
      </w:r>
      <w:r w:rsidR="000972CF">
        <w:rPr>
          <w:lang w:val="en-GB"/>
        </w:rPr>
        <w:tab/>
      </w:r>
      <w:r>
        <w:rPr>
          <w:lang w:val="en-GB"/>
        </w:rPr>
        <w:t>Lifestyle Audit Report</w:t>
      </w:r>
    </w:p>
    <w:p w14:paraId="13802B48" w14:textId="738CC189" w:rsidR="00B65318" w:rsidRDefault="00B65318" w:rsidP="00DC4D81">
      <w:pPr>
        <w:spacing w:line="360" w:lineRule="auto"/>
        <w:rPr>
          <w:lang w:val="en-GB"/>
        </w:rPr>
      </w:pPr>
      <w:r>
        <w:rPr>
          <w:lang w:val="en-GB"/>
        </w:rPr>
        <w:t xml:space="preserve">Annexure 2B:  </w:t>
      </w:r>
      <w:r w:rsidR="000972CF">
        <w:rPr>
          <w:lang w:val="en-GB"/>
        </w:rPr>
        <w:tab/>
      </w:r>
      <w:r>
        <w:rPr>
          <w:lang w:val="en-GB"/>
        </w:rPr>
        <w:t>Lifestyle Audit Report</w:t>
      </w:r>
    </w:p>
    <w:p w14:paraId="55DF9EF7" w14:textId="5880357A" w:rsidR="000972CF" w:rsidRDefault="00C15B83" w:rsidP="00DC4D81">
      <w:pPr>
        <w:spacing w:line="360" w:lineRule="auto"/>
        <w:rPr>
          <w:lang w:val="en-GB"/>
        </w:rPr>
      </w:pPr>
      <w:r>
        <w:rPr>
          <w:lang w:val="en-GB"/>
        </w:rPr>
        <w:t>Annexure C</w:t>
      </w:r>
      <w:r w:rsidR="000972CF">
        <w:rPr>
          <w:lang w:val="en-GB"/>
        </w:rPr>
        <w:t>:</w:t>
      </w:r>
      <w:r w:rsidR="000972CF">
        <w:rPr>
          <w:lang w:val="en-GB"/>
        </w:rPr>
        <w:tab/>
      </w:r>
      <w:r w:rsidRPr="00C15B83">
        <w:rPr>
          <w:lang w:val="en-GB"/>
        </w:rPr>
        <w:t>Trengove SC’s Report</w:t>
      </w:r>
    </w:p>
    <w:p w14:paraId="370915D0" w14:textId="77777777" w:rsidR="00B65318" w:rsidRPr="00782B80" w:rsidRDefault="00B65318" w:rsidP="00DC4D81">
      <w:pPr>
        <w:spacing w:line="360" w:lineRule="auto"/>
        <w:rPr>
          <w:lang w:val="en-GB"/>
        </w:rPr>
      </w:pPr>
    </w:p>
    <w:p w14:paraId="7296B04A" w14:textId="77777777" w:rsidR="00FC51AA" w:rsidRPr="00782B80" w:rsidRDefault="00FC51AA" w:rsidP="00DC4D81">
      <w:pPr>
        <w:spacing w:line="360" w:lineRule="auto"/>
        <w:rPr>
          <w:b/>
          <w:lang w:val="en-GB"/>
        </w:rPr>
      </w:pPr>
      <w:r w:rsidRPr="00782B80">
        <w:rPr>
          <w:b/>
          <w:lang w:val="en-GB"/>
        </w:rPr>
        <w:br w:type="page"/>
      </w:r>
    </w:p>
    <w:p w14:paraId="19F5FE05" w14:textId="77777777" w:rsidR="00FC1A76" w:rsidRPr="00782B80" w:rsidRDefault="00FC1A76" w:rsidP="00995691">
      <w:pPr>
        <w:pStyle w:val="Heading1"/>
        <w:shd w:val="clear" w:color="auto" w:fill="DEEAF6" w:themeFill="accent1" w:themeFillTint="33"/>
        <w:rPr>
          <w:color w:val="auto"/>
          <w:lang w:val="en-GB"/>
        </w:rPr>
      </w:pPr>
      <w:bookmarkStart w:id="1" w:name="_Toc52534935"/>
      <w:r w:rsidRPr="00782B80">
        <w:rPr>
          <w:color w:val="auto"/>
          <w:lang w:val="en-GB"/>
        </w:rPr>
        <w:lastRenderedPageBreak/>
        <w:t>Summary</w:t>
      </w:r>
      <w:bookmarkEnd w:id="1"/>
    </w:p>
    <w:p w14:paraId="0D1ED877" w14:textId="77777777" w:rsidR="000B205E" w:rsidRPr="00782B80" w:rsidRDefault="000B205E" w:rsidP="000B205E">
      <w:pPr>
        <w:spacing w:line="360" w:lineRule="auto"/>
        <w:jc w:val="both"/>
        <w:rPr>
          <w:rFonts w:ascii="Arial" w:eastAsiaTheme="majorEastAsia" w:hAnsi="Arial" w:cstheme="majorBidi"/>
          <w:bCs/>
          <w:sz w:val="24"/>
          <w:szCs w:val="28"/>
          <w:lang w:val="en-GB"/>
        </w:rPr>
      </w:pPr>
    </w:p>
    <w:p w14:paraId="73630E1E" w14:textId="6606A7AF" w:rsidR="005B782D" w:rsidRPr="000972CF" w:rsidRDefault="000B27EB" w:rsidP="0051781C">
      <w:pPr>
        <w:spacing w:line="360" w:lineRule="auto"/>
        <w:jc w:val="both"/>
        <w:rPr>
          <w:rFonts w:ascii="Arial" w:eastAsiaTheme="majorEastAsia" w:hAnsi="Arial" w:cs="Arial"/>
          <w:bCs/>
          <w:sz w:val="24"/>
          <w:szCs w:val="24"/>
          <w:lang w:val="en-GB"/>
        </w:rPr>
      </w:pPr>
      <w:r w:rsidRPr="000972CF">
        <w:rPr>
          <w:rFonts w:ascii="Arial" w:eastAsiaTheme="majorEastAsia" w:hAnsi="Arial" w:cs="Arial"/>
          <w:bCs/>
          <w:sz w:val="24"/>
          <w:szCs w:val="24"/>
          <w:lang w:val="en-GB"/>
        </w:rPr>
        <w:t xml:space="preserve">The </w:t>
      </w:r>
      <w:r w:rsidR="009B69FB" w:rsidRPr="000972CF">
        <w:rPr>
          <w:rFonts w:ascii="Arial" w:eastAsiaTheme="majorEastAsia" w:hAnsi="Arial" w:cs="Arial"/>
          <w:bCs/>
          <w:sz w:val="24"/>
          <w:szCs w:val="24"/>
          <w:lang w:val="en-GB"/>
        </w:rPr>
        <w:t>report provides information on matters of interest requested by the Standing Committee o</w:t>
      </w:r>
      <w:r w:rsidR="00E9277A" w:rsidRPr="000972CF">
        <w:rPr>
          <w:rFonts w:ascii="Arial" w:eastAsiaTheme="majorEastAsia" w:hAnsi="Arial" w:cs="Arial"/>
          <w:bCs/>
          <w:sz w:val="24"/>
          <w:szCs w:val="24"/>
          <w:lang w:val="en-GB"/>
        </w:rPr>
        <w:t>n</w:t>
      </w:r>
      <w:r w:rsidR="009B69FB" w:rsidRPr="000972CF">
        <w:rPr>
          <w:rFonts w:ascii="Arial" w:eastAsiaTheme="majorEastAsia" w:hAnsi="Arial" w:cs="Arial"/>
          <w:bCs/>
          <w:sz w:val="24"/>
          <w:szCs w:val="24"/>
          <w:lang w:val="en-GB"/>
        </w:rPr>
        <w:t xml:space="preserve"> Public Accounts</w:t>
      </w:r>
      <w:r w:rsidR="005B782D" w:rsidRPr="000972CF">
        <w:rPr>
          <w:rFonts w:ascii="Arial" w:eastAsiaTheme="majorEastAsia" w:hAnsi="Arial" w:cs="Arial"/>
          <w:bCs/>
          <w:sz w:val="24"/>
          <w:szCs w:val="24"/>
          <w:lang w:val="en-GB"/>
        </w:rPr>
        <w:t xml:space="preserve"> (SCOPA) for further engagement with Eskom Holding</w:t>
      </w:r>
      <w:r w:rsidR="006E06EC" w:rsidRPr="000972CF">
        <w:rPr>
          <w:rFonts w:ascii="Arial" w:eastAsiaTheme="majorEastAsia" w:hAnsi="Arial" w:cs="Arial"/>
          <w:bCs/>
          <w:sz w:val="24"/>
          <w:szCs w:val="24"/>
          <w:lang w:val="en-GB"/>
        </w:rPr>
        <w:t>s</w:t>
      </w:r>
      <w:r w:rsidR="005B782D" w:rsidRPr="000972CF">
        <w:rPr>
          <w:rFonts w:ascii="Arial" w:eastAsiaTheme="majorEastAsia" w:hAnsi="Arial" w:cs="Arial"/>
          <w:bCs/>
          <w:sz w:val="24"/>
          <w:szCs w:val="24"/>
          <w:lang w:val="en-GB"/>
        </w:rPr>
        <w:t xml:space="preserve"> SOC Limited.</w:t>
      </w:r>
    </w:p>
    <w:p w14:paraId="3A217A47" w14:textId="658E0D6E" w:rsidR="005B782D" w:rsidRPr="000972CF" w:rsidRDefault="008F3FD4" w:rsidP="0051781C">
      <w:pPr>
        <w:spacing w:line="360" w:lineRule="auto"/>
        <w:jc w:val="both"/>
        <w:rPr>
          <w:rFonts w:ascii="Arial" w:eastAsiaTheme="majorEastAsia" w:hAnsi="Arial" w:cs="Arial"/>
          <w:bCs/>
          <w:sz w:val="24"/>
          <w:szCs w:val="24"/>
          <w:lang w:val="en-GB"/>
        </w:rPr>
      </w:pPr>
      <w:r w:rsidRPr="000972CF">
        <w:rPr>
          <w:rFonts w:ascii="Arial" w:eastAsiaTheme="majorEastAsia" w:hAnsi="Arial" w:cs="Arial"/>
          <w:bCs/>
          <w:sz w:val="24"/>
          <w:szCs w:val="24"/>
          <w:lang w:val="en-GB"/>
        </w:rPr>
        <w:t>I</w:t>
      </w:r>
      <w:r w:rsidR="006E06EC" w:rsidRPr="000972CF">
        <w:rPr>
          <w:rFonts w:ascii="Arial" w:eastAsiaTheme="majorEastAsia" w:hAnsi="Arial" w:cs="Arial"/>
          <w:bCs/>
          <w:sz w:val="24"/>
          <w:szCs w:val="24"/>
          <w:lang w:val="en-GB"/>
        </w:rPr>
        <w:t>n order to provide the committee with original reports t</w:t>
      </w:r>
      <w:r w:rsidR="005B782D" w:rsidRPr="000972CF">
        <w:rPr>
          <w:rFonts w:ascii="Arial" w:eastAsiaTheme="majorEastAsia" w:hAnsi="Arial" w:cs="Arial"/>
          <w:bCs/>
          <w:sz w:val="24"/>
          <w:szCs w:val="24"/>
          <w:lang w:val="en-GB"/>
        </w:rPr>
        <w:t xml:space="preserve">he report will also include </w:t>
      </w:r>
      <w:r w:rsidR="006E06EC" w:rsidRPr="000972CF">
        <w:rPr>
          <w:rFonts w:ascii="Arial" w:eastAsiaTheme="majorEastAsia" w:hAnsi="Arial" w:cs="Arial"/>
          <w:bCs/>
          <w:sz w:val="24"/>
          <w:szCs w:val="24"/>
          <w:lang w:val="en-GB"/>
        </w:rPr>
        <w:t xml:space="preserve">the following </w:t>
      </w:r>
      <w:r w:rsidR="00C15B83">
        <w:rPr>
          <w:rFonts w:ascii="Arial" w:eastAsiaTheme="majorEastAsia" w:hAnsi="Arial" w:cs="Arial"/>
          <w:bCs/>
          <w:sz w:val="24"/>
          <w:szCs w:val="24"/>
          <w:lang w:val="en-GB"/>
        </w:rPr>
        <w:t>five</w:t>
      </w:r>
      <w:r w:rsidR="004D4CEE" w:rsidRPr="000972CF">
        <w:rPr>
          <w:rFonts w:ascii="Arial" w:eastAsiaTheme="majorEastAsia" w:hAnsi="Arial" w:cs="Arial"/>
          <w:bCs/>
          <w:sz w:val="24"/>
          <w:szCs w:val="24"/>
          <w:lang w:val="en-GB"/>
        </w:rPr>
        <w:t xml:space="preserve"> annexures</w:t>
      </w:r>
      <w:r w:rsidR="005B782D" w:rsidRPr="000972CF">
        <w:rPr>
          <w:rFonts w:ascii="Arial" w:eastAsiaTheme="majorEastAsia" w:hAnsi="Arial" w:cs="Arial"/>
          <w:bCs/>
          <w:sz w:val="24"/>
          <w:szCs w:val="24"/>
          <w:lang w:val="en-GB"/>
        </w:rPr>
        <w:t>:</w:t>
      </w:r>
    </w:p>
    <w:p w14:paraId="315CC67E" w14:textId="77777777" w:rsidR="005B782D" w:rsidRPr="000972CF" w:rsidRDefault="005B782D" w:rsidP="0051781C">
      <w:pPr>
        <w:pStyle w:val="Default"/>
        <w:spacing w:line="360" w:lineRule="auto"/>
        <w:rPr>
          <w:rFonts w:ascii="Arial" w:hAnsi="Arial" w:cs="Arial"/>
        </w:rPr>
      </w:pPr>
      <w:r w:rsidRPr="000972CF">
        <w:rPr>
          <w:rFonts w:ascii="Arial" w:eastAsiaTheme="majorEastAsia" w:hAnsi="Arial" w:cs="Arial"/>
          <w:bCs/>
          <w:lang w:val="en-GB"/>
        </w:rPr>
        <w:t xml:space="preserve">Annexure 1A - </w:t>
      </w:r>
      <w:r w:rsidRPr="000972CF">
        <w:rPr>
          <w:rFonts w:ascii="Arial" w:hAnsi="Arial" w:cs="Arial"/>
        </w:rPr>
        <w:tab/>
        <w:t>Report on th</w:t>
      </w:r>
      <w:r w:rsidR="000C6F62" w:rsidRPr="000972CF">
        <w:rPr>
          <w:rFonts w:ascii="Arial" w:hAnsi="Arial" w:cs="Arial"/>
        </w:rPr>
        <w:t>e investigation of ESKOM’s COO</w:t>
      </w:r>
    </w:p>
    <w:p w14:paraId="4F379B4D" w14:textId="77777777" w:rsidR="005B782D" w:rsidRPr="000972CF" w:rsidRDefault="005B782D" w:rsidP="0051781C">
      <w:pPr>
        <w:pStyle w:val="Default"/>
        <w:spacing w:line="360" w:lineRule="auto"/>
        <w:rPr>
          <w:rFonts w:ascii="Arial" w:hAnsi="Arial" w:cs="Arial"/>
        </w:rPr>
      </w:pPr>
      <w:r w:rsidRPr="000972CF">
        <w:rPr>
          <w:rFonts w:ascii="Arial" w:hAnsi="Arial" w:cs="Arial"/>
        </w:rPr>
        <w:t>Annexure 1B -</w:t>
      </w:r>
      <w:r w:rsidRPr="000972CF">
        <w:rPr>
          <w:rFonts w:ascii="Arial" w:hAnsi="Arial" w:cs="Arial"/>
        </w:rPr>
        <w:tab/>
        <w:t>The supplementary report that is part of Annexure 1</w:t>
      </w:r>
      <w:r w:rsidR="00E50371" w:rsidRPr="000972CF">
        <w:rPr>
          <w:rFonts w:ascii="Arial" w:hAnsi="Arial" w:cs="Arial"/>
        </w:rPr>
        <w:t>A</w:t>
      </w:r>
      <w:r w:rsidRPr="000972CF">
        <w:rPr>
          <w:rFonts w:ascii="Arial" w:hAnsi="Arial" w:cs="Arial"/>
        </w:rPr>
        <w:t xml:space="preserve"> </w:t>
      </w:r>
    </w:p>
    <w:p w14:paraId="234DB669" w14:textId="77777777" w:rsidR="005B782D" w:rsidRPr="000972CF" w:rsidRDefault="005B782D" w:rsidP="0051781C">
      <w:pPr>
        <w:spacing w:after="0" w:line="360" w:lineRule="auto"/>
        <w:jc w:val="both"/>
        <w:rPr>
          <w:rFonts w:ascii="Arial" w:eastAsiaTheme="majorEastAsia" w:hAnsi="Arial" w:cs="Arial"/>
          <w:bCs/>
          <w:sz w:val="24"/>
          <w:szCs w:val="24"/>
          <w:lang w:val="en-GB"/>
        </w:rPr>
      </w:pPr>
      <w:r w:rsidRPr="000972CF">
        <w:rPr>
          <w:rFonts w:ascii="Arial" w:eastAsiaTheme="majorEastAsia" w:hAnsi="Arial" w:cs="Arial"/>
          <w:bCs/>
          <w:sz w:val="24"/>
          <w:szCs w:val="24"/>
          <w:lang w:val="en-GB"/>
        </w:rPr>
        <w:t>Annexure</w:t>
      </w:r>
      <w:r w:rsidR="009B69FB" w:rsidRPr="000972CF">
        <w:rPr>
          <w:rFonts w:ascii="Arial" w:eastAsiaTheme="majorEastAsia" w:hAnsi="Arial" w:cs="Arial"/>
          <w:bCs/>
          <w:sz w:val="24"/>
          <w:szCs w:val="24"/>
          <w:lang w:val="en-GB"/>
        </w:rPr>
        <w:t xml:space="preserve"> </w:t>
      </w:r>
      <w:r w:rsidRPr="000972CF">
        <w:rPr>
          <w:rFonts w:ascii="Arial" w:eastAsiaTheme="majorEastAsia" w:hAnsi="Arial" w:cs="Arial"/>
          <w:bCs/>
          <w:sz w:val="24"/>
          <w:szCs w:val="24"/>
          <w:lang w:val="en-GB"/>
        </w:rPr>
        <w:t>2A -</w:t>
      </w:r>
      <w:r w:rsidRPr="000972CF">
        <w:rPr>
          <w:rFonts w:ascii="Arial" w:eastAsiaTheme="majorEastAsia" w:hAnsi="Arial" w:cs="Arial"/>
          <w:bCs/>
          <w:sz w:val="24"/>
          <w:szCs w:val="24"/>
          <w:lang w:val="en-GB"/>
        </w:rPr>
        <w:tab/>
        <w:t>Lifestyle Audit Repor</w:t>
      </w:r>
      <w:r w:rsidR="000C6F62" w:rsidRPr="000972CF">
        <w:rPr>
          <w:rFonts w:ascii="Arial" w:eastAsiaTheme="majorEastAsia" w:hAnsi="Arial" w:cs="Arial"/>
          <w:bCs/>
          <w:sz w:val="24"/>
          <w:szCs w:val="24"/>
          <w:lang w:val="en-GB"/>
        </w:rPr>
        <w:t>t</w:t>
      </w:r>
      <w:r w:rsidR="00043825" w:rsidRPr="000972CF">
        <w:rPr>
          <w:rFonts w:ascii="Arial" w:eastAsiaTheme="majorEastAsia" w:hAnsi="Arial" w:cs="Arial"/>
          <w:bCs/>
          <w:sz w:val="24"/>
          <w:szCs w:val="24"/>
          <w:lang w:val="en-GB"/>
        </w:rPr>
        <w:t xml:space="preserve"> (Password:  </w:t>
      </w:r>
      <w:r w:rsidR="00043825" w:rsidRPr="00C15B83">
        <w:rPr>
          <w:rFonts w:ascii="Arial" w:hAnsi="Arial" w:cs="Arial"/>
          <w:b/>
          <w:sz w:val="24"/>
          <w:szCs w:val="24"/>
          <w:lang w:val="en-US"/>
        </w:rPr>
        <w:t>elrfse01</w:t>
      </w:r>
      <w:r w:rsidR="00043825" w:rsidRPr="000972CF">
        <w:rPr>
          <w:rFonts w:ascii="Arial" w:hAnsi="Arial" w:cs="Arial"/>
          <w:sz w:val="24"/>
          <w:szCs w:val="24"/>
          <w:lang w:val="en-US"/>
        </w:rPr>
        <w:t>)</w:t>
      </w:r>
    </w:p>
    <w:p w14:paraId="775BA106" w14:textId="23B93587" w:rsidR="005B782D" w:rsidRPr="000972CF" w:rsidRDefault="005B782D" w:rsidP="0051781C">
      <w:pPr>
        <w:spacing w:after="0" w:line="360" w:lineRule="auto"/>
        <w:jc w:val="both"/>
        <w:rPr>
          <w:rFonts w:ascii="Arial" w:hAnsi="Arial" w:cs="Arial"/>
          <w:sz w:val="24"/>
          <w:szCs w:val="24"/>
          <w:lang w:val="en-US"/>
        </w:rPr>
      </w:pPr>
      <w:r w:rsidRPr="000972CF">
        <w:rPr>
          <w:rFonts w:ascii="Arial" w:eastAsiaTheme="majorEastAsia" w:hAnsi="Arial" w:cs="Arial"/>
          <w:bCs/>
          <w:sz w:val="24"/>
          <w:szCs w:val="24"/>
          <w:lang w:val="en-GB"/>
        </w:rPr>
        <w:t>Annexure 2B -</w:t>
      </w:r>
      <w:r w:rsidRPr="000972CF">
        <w:rPr>
          <w:rFonts w:ascii="Arial" w:eastAsiaTheme="majorEastAsia" w:hAnsi="Arial" w:cs="Arial"/>
          <w:bCs/>
          <w:sz w:val="24"/>
          <w:szCs w:val="24"/>
          <w:lang w:val="en-GB"/>
        </w:rPr>
        <w:tab/>
        <w:t>Lifestyle Audit Report</w:t>
      </w:r>
      <w:r w:rsidR="00043825" w:rsidRPr="000972CF">
        <w:rPr>
          <w:rFonts w:ascii="Arial" w:eastAsiaTheme="majorEastAsia" w:hAnsi="Arial" w:cs="Arial"/>
          <w:bCs/>
          <w:sz w:val="24"/>
          <w:szCs w:val="24"/>
          <w:lang w:val="en-GB"/>
        </w:rPr>
        <w:t xml:space="preserve"> (Password:  </w:t>
      </w:r>
      <w:r w:rsidR="00043825" w:rsidRPr="00C15B83">
        <w:rPr>
          <w:rFonts w:ascii="Arial" w:hAnsi="Arial" w:cs="Arial"/>
          <w:b/>
          <w:sz w:val="24"/>
          <w:szCs w:val="24"/>
          <w:lang w:val="en-US"/>
        </w:rPr>
        <w:t>elrfse01</w:t>
      </w:r>
      <w:r w:rsidR="00043825" w:rsidRPr="000972CF">
        <w:rPr>
          <w:rFonts w:ascii="Arial" w:hAnsi="Arial" w:cs="Arial"/>
          <w:sz w:val="24"/>
          <w:szCs w:val="24"/>
          <w:lang w:val="en-US"/>
        </w:rPr>
        <w:t>)</w:t>
      </w:r>
    </w:p>
    <w:p w14:paraId="13473810" w14:textId="5AD55103" w:rsidR="000972CF" w:rsidRPr="000972CF" w:rsidRDefault="00C15B83" w:rsidP="0051781C">
      <w:pPr>
        <w:spacing w:after="0" w:line="360" w:lineRule="auto"/>
        <w:jc w:val="both"/>
        <w:rPr>
          <w:rFonts w:ascii="Arial" w:eastAsiaTheme="majorEastAsia" w:hAnsi="Arial" w:cs="Arial"/>
          <w:bCs/>
          <w:sz w:val="24"/>
          <w:szCs w:val="24"/>
          <w:lang w:val="en-GB"/>
        </w:rPr>
      </w:pPr>
      <w:r>
        <w:rPr>
          <w:rFonts w:ascii="Arial" w:hAnsi="Arial" w:cs="Arial"/>
          <w:sz w:val="24"/>
          <w:szCs w:val="24"/>
          <w:lang w:val="en-US"/>
        </w:rPr>
        <w:t>Annexure 3</w:t>
      </w:r>
      <w:r w:rsidR="000972CF" w:rsidRPr="000972CF">
        <w:rPr>
          <w:rFonts w:ascii="Arial" w:hAnsi="Arial" w:cs="Arial"/>
          <w:sz w:val="24"/>
          <w:szCs w:val="24"/>
          <w:lang w:val="en-US"/>
        </w:rPr>
        <w:t xml:space="preserve">  -</w:t>
      </w:r>
      <w:r w:rsidR="000972CF" w:rsidRPr="000972CF">
        <w:rPr>
          <w:rFonts w:ascii="Arial" w:hAnsi="Arial" w:cs="Arial"/>
          <w:sz w:val="24"/>
          <w:szCs w:val="24"/>
          <w:lang w:val="en-US"/>
        </w:rPr>
        <w:tab/>
      </w:r>
      <w:r w:rsidRPr="00C15B83">
        <w:rPr>
          <w:rFonts w:ascii="Arial" w:eastAsiaTheme="majorEastAsia" w:hAnsi="Arial" w:cs="Arial"/>
          <w:bCs/>
          <w:sz w:val="24"/>
          <w:szCs w:val="24"/>
          <w:lang w:val="en-GB"/>
        </w:rPr>
        <w:t>Trengove SC’s Report</w:t>
      </w:r>
    </w:p>
    <w:p w14:paraId="1A955A6A" w14:textId="77777777" w:rsidR="000972CF" w:rsidRPr="000972CF" w:rsidRDefault="000972CF" w:rsidP="0051781C">
      <w:pPr>
        <w:spacing w:line="360" w:lineRule="auto"/>
        <w:jc w:val="both"/>
        <w:rPr>
          <w:rFonts w:ascii="Arial" w:eastAsiaTheme="majorEastAsia" w:hAnsi="Arial" w:cs="Arial"/>
          <w:bCs/>
          <w:sz w:val="24"/>
          <w:szCs w:val="24"/>
          <w:lang w:val="en-GB"/>
        </w:rPr>
      </w:pPr>
    </w:p>
    <w:p w14:paraId="072F86D1" w14:textId="7AA7ADE6" w:rsidR="000972CF" w:rsidRDefault="000C6F62" w:rsidP="0051781C">
      <w:pPr>
        <w:spacing w:line="360" w:lineRule="auto"/>
        <w:jc w:val="both"/>
        <w:rPr>
          <w:rFonts w:ascii="Arial" w:eastAsiaTheme="majorEastAsia" w:hAnsi="Arial" w:cs="Arial"/>
          <w:bCs/>
          <w:sz w:val="24"/>
          <w:szCs w:val="24"/>
          <w:lang w:val="en-GB"/>
        </w:rPr>
      </w:pPr>
      <w:r w:rsidRPr="000972CF">
        <w:rPr>
          <w:rFonts w:ascii="Arial" w:eastAsiaTheme="majorEastAsia" w:hAnsi="Arial" w:cs="Arial"/>
          <w:bCs/>
          <w:sz w:val="24"/>
          <w:szCs w:val="24"/>
          <w:lang w:val="en-GB"/>
        </w:rPr>
        <w:t>It must be noted that the report termed Annexure 1A has been red</w:t>
      </w:r>
      <w:r w:rsidR="006E06EC" w:rsidRPr="000972CF">
        <w:rPr>
          <w:rFonts w:ascii="Arial" w:eastAsiaTheme="majorEastAsia" w:hAnsi="Arial" w:cs="Arial"/>
          <w:bCs/>
          <w:sz w:val="24"/>
          <w:szCs w:val="24"/>
          <w:lang w:val="en-GB"/>
        </w:rPr>
        <w:t>-</w:t>
      </w:r>
      <w:r w:rsidRPr="000972CF">
        <w:rPr>
          <w:rFonts w:ascii="Arial" w:eastAsiaTheme="majorEastAsia" w:hAnsi="Arial" w:cs="Arial"/>
          <w:bCs/>
          <w:sz w:val="24"/>
          <w:szCs w:val="24"/>
          <w:lang w:val="en-GB"/>
        </w:rPr>
        <w:t xml:space="preserve">acted to protect the names of the whistle blowers and other participants who </w:t>
      </w:r>
      <w:r w:rsidR="00E9277A" w:rsidRPr="000972CF">
        <w:rPr>
          <w:rFonts w:ascii="Arial" w:eastAsiaTheme="majorEastAsia" w:hAnsi="Arial" w:cs="Arial"/>
          <w:bCs/>
          <w:sz w:val="24"/>
          <w:szCs w:val="24"/>
          <w:lang w:val="en-GB"/>
        </w:rPr>
        <w:t>are</w:t>
      </w:r>
      <w:r w:rsidRPr="000972CF">
        <w:rPr>
          <w:rFonts w:ascii="Arial" w:eastAsiaTheme="majorEastAsia" w:hAnsi="Arial" w:cs="Arial"/>
          <w:bCs/>
          <w:sz w:val="24"/>
          <w:szCs w:val="24"/>
          <w:lang w:val="en-GB"/>
        </w:rPr>
        <w:t xml:space="preserve"> not necessarily implicated </w:t>
      </w:r>
      <w:r w:rsidR="00E9277A" w:rsidRPr="000972CF">
        <w:rPr>
          <w:rFonts w:ascii="Arial" w:eastAsiaTheme="majorEastAsia" w:hAnsi="Arial" w:cs="Arial"/>
          <w:bCs/>
          <w:sz w:val="24"/>
          <w:szCs w:val="24"/>
          <w:lang w:val="en-GB"/>
        </w:rPr>
        <w:t>in the alleged</w:t>
      </w:r>
      <w:r w:rsidRPr="000972CF">
        <w:rPr>
          <w:rFonts w:ascii="Arial" w:eastAsiaTheme="majorEastAsia" w:hAnsi="Arial" w:cs="Arial"/>
          <w:bCs/>
          <w:sz w:val="24"/>
          <w:szCs w:val="24"/>
          <w:lang w:val="en-GB"/>
        </w:rPr>
        <w:t xml:space="preserve"> irregularities or wrongdoing.</w:t>
      </w:r>
      <w:r w:rsidR="00C15B83">
        <w:rPr>
          <w:rFonts w:ascii="Arial" w:eastAsiaTheme="majorEastAsia" w:hAnsi="Arial" w:cs="Arial"/>
          <w:bCs/>
          <w:sz w:val="24"/>
          <w:szCs w:val="24"/>
          <w:lang w:val="en-GB"/>
        </w:rPr>
        <w:t xml:space="preserve"> Annexure 3 is the report on accusations against the Group Chief Executive.</w:t>
      </w:r>
    </w:p>
    <w:p w14:paraId="0DC74812" w14:textId="77777777" w:rsidR="00C15B83" w:rsidRPr="000972CF" w:rsidRDefault="00C15B83" w:rsidP="0051781C">
      <w:pPr>
        <w:spacing w:line="360" w:lineRule="auto"/>
        <w:jc w:val="both"/>
        <w:rPr>
          <w:rFonts w:ascii="Arial" w:eastAsiaTheme="majorEastAsia" w:hAnsi="Arial" w:cs="Arial"/>
          <w:bCs/>
          <w:sz w:val="24"/>
          <w:szCs w:val="24"/>
          <w:lang w:val="en-GB"/>
        </w:rPr>
      </w:pPr>
    </w:p>
    <w:p w14:paraId="721A57E4" w14:textId="77777777" w:rsidR="0051781C" w:rsidRDefault="000972CF" w:rsidP="0051781C">
      <w:pPr>
        <w:spacing w:line="360" w:lineRule="auto"/>
        <w:jc w:val="both"/>
        <w:rPr>
          <w:rFonts w:ascii="Arial" w:eastAsiaTheme="minorEastAsia" w:hAnsi="Arial" w:cs="Arial"/>
          <w:color w:val="000000" w:themeColor="text1"/>
          <w:sz w:val="24"/>
          <w:szCs w:val="24"/>
          <w:lang w:eastAsia="en-ZA"/>
        </w:rPr>
      </w:pPr>
      <w:r w:rsidRPr="000972CF">
        <w:rPr>
          <w:rFonts w:ascii="Arial" w:eastAsiaTheme="minorEastAsia" w:hAnsi="Arial" w:cs="Arial"/>
          <w:color w:val="000000" w:themeColor="text1"/>
          <w:sz w:val="24"/>
          <w:szCs w:val="24"/>
          <w:lang w:eastAsia="en-ZA"/>
        </w:rPr>
        <w:t xml:space="preserve">This report was prepared solely for the intended purpose, benefit and regulated use by and of the intended recipient/s to whom it is directly delivered. The contents of this report may contain sensitive personal information provided herein in camera and proprietary and/or third party information which is confidential; and, should not be used, published, or disseminated for purposes other than strictly intended.  This is with a view to ensure that any ongoing forensic, disciplinary, criminal and or civil investigations are not compromised and any named individual’s personal legal rights on presumption of innocence are protected as internal investigations may not be completed or outcomes have not necessarily been legally tested through the courts or through a disciplinary process. In compiling this report, Eskom has relied on representations from, amongst others, it’s respective business units, audit and investigative support partners, and has proceeded on the assumption that the documentation collated and relied upon is authentic and in the best of Eskom’s </w:t>
      </w:r>
      <w:r w:rsidRPr="000972CF">
        <w:rPr>
          <w:rFonts w:ascii="Arial" w:eastAsiaTheme="minorEastAsia" w:hAnsi="Arial" w:cs="Arial"/>
          <w:color w:val="000000" w:themeColor="text1"/>
          <w:sz w:val="24"/>
          <w:szCs w:val="24"/>
          <w:lang w:eastAsia="en-ZA"/>
        </w:rPr>
        <w:lastRenderedPageBreak/>
        <w:t>knowledge which it considers reliable as at the date of compilation hereof. While Eskom has taken all reasonable measures to verify the facts, any person intending to rely on any part of this report should take such independent verification and other legal steps, and seek such advice, as maybe appropriate. Eskom, its directors and employees, shall have no, and hereby disclaims all, liability whatsoever to any unauthorized, negligent or unintended use or reliance of this document by its intended recipient/s or third parties, including; but not limited to, the accuracy and completeness of any information, facts and/or opinions contained therein as this report is based on information provided to it at the time of commissioning this report, the accuracy of which may not have been fully capable of being ascertained.</w:t>
      </w:r>
    </w:p>
    <w:p w14:paraId="0B06A111" w14:textId="5F5F9D17" w:rsidR="00AA568A" w:rsidRDefault="00AA568A" w:rsidP="0051781C">
      <w:pPr>
        <w:spacing w:line="360" w:lineRule="auto"/>
        <w:jc w:val="both"/>
        <w:rPr>
          <w:rFonts w:ascii="Arial" w:hAnsi="Arial" w:cs="Arial"/>
          <w:sz w:val="24"/>
          <w:lang w:val="en-GB"/>
        </w:rPr>
      </w:pPr>
      <w:r>
        <w:rPr>
          <w:rFonts w:ascii="Arial" w:hAnsi="Arial" w:cs="Arial"/>
          <w:sz w:val="24"/>
          <w:lang w:val="en-GB"/>
        </w:rPr>
        <w:br w:type="page"/>
      </w:r>
    </w:p>
    <w:p w14:paraId="4AAE4138" w14:textId="6B6F3BF2" w:rsidR="00AA568A" w:rsidRPr="00AA568A" w:rsidRDefault="00E01B12" w:rsidP="00E01B12">
      <w:pPr>
        <w:pStyle w:val="Heading1"/>
        <w:shd w:val="clear" w:color="auto" w:fill="DEEAF6" w:themeFill="accent1" w:themeFillTint="33"/>
        <w:ind w:left="720" w:hanging="720"/>
        <w:rPr>
          <w:color w:val="auto"/>
          <w:lang w:val="en-GB"/>
        </w:rPr>
      </w:pPr>
      <w:bookmarkStart w:id="2" w:name="_Toc52534936"/>
      <w:r>
        <w:rPr>
          <w:color w:val="auto"/>
          <w:lang w:val="en-GB"/>
        </w:rPr>
        <w:lastRenderedPageBreak/>
        <w:t>1.</w:t>
      </w:r>
      <w:r>
        <w:rPr>
          <w:color w:val="auto"/>
          <w:lang w:val="en-GB"/>
        </w:rPr>
        <w:tab/>
      </w:r>
      <w:r w:rsidR="00AA568A" w:rsidRPr="00AA568A">
        <w:rPr>
          <w:color w:val="auto"/>
          <w:lang w:val="en-GB"/>
        </w:rPr>
        <w:t>List of Vetted Senior Executives and Supply Chaim Management Officials</w:t>
      </w:r>
      <w:bookmarkEnd w:id="2"/>
    </w:p>
    <w:p w14:paraId="037712AB" w14:textId="201B6609" w:rsidR="00AA568A" w:rsidRDefault="00AA568A">
      <w:pPr>
        <w:rPr>
          <w:rFonts w:ascii="Arial" w:hAnsi="Arial" w:cs="Arial"/>
          <w:sz w:val="24"/>
          <w:lang w:val="en-GB"/>
        </w:rPr>
      </w:pPr>
    </w:p>
    <w:p w14:paraId="5BEA189A" w14:textId="27750C31" w:rsidR="0092078D" w:rsidRPr="00350F4C" w:rsidRDefault="0092078D" w:rsidP="0092078D">
      <w:pPr>
        <w:spacing w:line="360" w:lineRule="auto"/>
        <w:jc w:val="both"/>
        <w:rPr>
          <w:rFonts w:ascii="Arial" w:hAnsi="Arial" w:cs="Arial"/>
          <w:sz w:val="24"/>
        </w:rPr>
      </w:pPr>
      <w:r w:rsidRPr="00350F4C">
        <w:rPr>
          <w:rFonts w:ascii="Arial" w:hAnsi="Arial" w:cs="Arial"/>
          <w:sz w:val="24"/>
        </w:rPr>
        <w:t>The processing of Eskom Vetting applications for the various departments and categories of personnel was hampered by the pandemic and the declaration of the various lockdown levels. Several vetting applications for EXCO members were</w:t>
      </w:r>
      <w:r w:rsidR="00157BBB">
        <w:rPr>
          <w:rFonts w:ascii="Arial" w:hAnsi="Arial" w:cs="Arial"/>
          <w:sz w:val="24"/>
        </w:rPr>
        <w:t xml:space="preserve"> </w:t>
      </w:r>
      <w:r w:rsidRPr="00350F4C">
        <w:rPr>
          <w:rFonts w:ascii="Arial" w:hAnsi="Arial" w:cs="Arial"/>
          <w:sz w:val="24"/>
        </w:rPr>
        <w:t>processed to completion by State Security Agency (SSA) and are now awaiting the SSA Vetting Board for approval. Albeit that the SSA process remains slow</w:t>
      </w:r>
      <w:r>
        <w:rPr>
          <w:rFonts w:ascii="Arial" w:hAnsi="Arial" w:cs="Arial"/>
          <w:sz w:val="24"/>
        </w:rPr>
        <w:t xml:space="preserve">. </w:t>
      </w:r>
      <w:r w:rsidRPr="00350F4C">
        <w:rPr>
          <w:rFonts w:ascii="Arial" w:hAnsi="Arial" w:cs="Arial"/>
          <w:sz w:val="24"/>
        </w:rPr>
        <w:t xml:space="preserve"> Eskom management continues to implement vetting and awareness. The following areas are in progress:</w:t>
      </w:r>
    </w:p>
    <w:p w14:paraId="3EBEB5D2" w14:textId="70B2255D" w:rsidR="0092078D" w:rsidRPr="00350F4C" w:rsidRDefault="00996DBD" w:rsidP="00126F6C">
      <w:pPr>
        <w:pStyle w:val="ListParagraph"/>
        <w:numPr>
          <w:ilvl w:val="0"/>
          <w:numId w:val="15"/>
        </w:numPr>
        <w:spacing w:line="276" w:lineRule="auto"/>
        <w:jc w:val="both"/>
        <w:rPr>
          <w:rFonts w:ascii="Arial" w:hAnsi="Arial" w:cs="Arial"/>
          <w:sz w:val="24"/>
        </w:rPr>
      </w:pPr>
      <w:r>
        <w:rPr>
          <w:rFonts w:ascii="Arial" w:hAnsi="Arial" w:cs="Arial"/>
          <w:sz w:val="24"/>
        </w:rPr>
        <w:t>Procurement and Supply Chain Management (PSCM)</w:t>
      </w:r>
      <w:r w:rsidR="0092078D" w:rsidRPr="00350F4C">
        <w:rPr>
          <w:rFonts w:ascii="Arial" w:hAnsi="Arial" w:cs="Arial"/>
          <w:sz w:val="24"/>
        </w:rPr>
        <w:t xml:space="preserve"> practitioners – Senior Managers</w:t>
      </w:r>
    </w:p>
    <w:p w14:paraId="35520604" w14:textId="77777777" w:rsidR="0092078D" w:rsidRPr="00350F4C" w:rsidRDefault="0092078D" w:rsidP="00126F6C">
      <w:pPr>
        <w:pStyle w:val="ListParagraph"/>
        <w:numPr>
          <w:ilvl w:val="0"/>
          <w:numId w:val="15"/>
        </w:numPr>
        <w:spacing w:line="276" w:lineRule="auto"/>
        <w:jc w:val="both"/>
        <w:rPr>
          <w:rFonts w:ascii="Arial" w:hAnsi="Arial" w:cs="Arial"/>
          <w:sz w:val="24"/>
        </w:rPr>
      </w:pPr>
      <w:r w:rsidRPr="00350F4C">
        <w:rPr>
          <w:rFonts w:ascii="Arial" w:hAnsi="Arial" w:cs="Arial"/>
          <w:sz w:val="24"/>
        </w:rPr>
        <w:t>Primary Energy Division- Senior Managers</w:t>
      </w:r>
    </w:p>
    <w:p w14:paraId="26BDA14B" w14:textId="77777777" w:rsidR="0092078D" w:rsidRPr="00350F4C" w:rsidRDefault="0092078D" w:rsidP="00126F6C">
      <w:pPr>
        <w:pStyle w:val="ListParagraph"/>
        <w:numPr>
          <w:ilvl w:val="0"/>
          <w:numId w:val="15"/>
        </w:numPr>
        <w:spacing w:line="276" w:lineRule="auto"/>
        <w:jc w:val="both"/>
        <w:rPr>
          <w:rFonts w:ascii="Arial" w:hAnsi="Arial" w:cs="Arial"/>
          <w:sz w:val="24"/>
        </w:rPr>
      </w:pPr>
      <w:r w:rsidRPr="00350F4C">
        <w:rPr>
          <w:rFonts w:ascii="Arial" w:hAnsi="Arial" w:cs="Arial"/>
          <w:sz w:val="24"/>
        </w:rPr>
        <w:t>Generation Division- PSCM and Power Station General Managers</w:t>
      </w:r>
    </w:p>
    <w:p w14:paraId="53E18BEB" w14:textId="77777777" w:rsidR="0092078D" w:rsidRPr="00350F4C" w:rsidRDefault="0092078D" w:rsidP="00126F6C">
      <w:pPr>
        <w:pStyle w:val="ListParagraph"/>
        <w:numPr>
          <w:ilvl w:val="0"/>
          <w:numId w:val="15"/>
        </w:numPr>
        <w:spacing w:line="276" w:lineRule="auto"/>
        <w:jc w:val="both"/>
        <w:rPr>
          <w:rFonts w:ascii="Arial" w:hAnsi="Arial" w:cs="Arial"/>
          <w:sz w:val="24"/>
        </w:rPr>
      </w:pPr>
      <w:r w:rsidRPr="00350F4C">
        <w:rPr>
          <w:rFonts w:ascii="Arial" w:hAnsi="Arial" w:cs="Arial"/>
          <w:sz w:val="24"/>
        </w:rPr>
        <w:t>Transmission Division- Senior Managers and PSCM Managers</w:t>
      </w:r>
    </w:p>
    <w:p w14:paraId="0EC18FC4" w14:textId="6141F825" w:rsidR="0092078D" w:rsidRPr="00350F4C" w:rsidRDefault="0092078D" w:rsidP="00126F6C">
      <w:pPr>
        <w:pStyle w:val="ListParagraph"/>
        <w:numPr>
          <w:ilvl w:val="0"/>
          <w:numId w:val="15"/>
        </w:numPr>
        <w:spacing w:line="276" w:lineRule="auto"/>
        <w:jc w:val="both"/>
        <w:rPr>
          <w:rFonts w:ascii="Arial" w:hAnsi="Arial" w:cs="Arial"/>
          <w:sz w:val="24"/>
        </w:rPr>
      </w:pPr>
      <w:r w:rsidRPr="00350F4C">
        <w:rPr>
          <w:rFonts w:ascii="Arial" w:hAnsi="Arial" w:cs="Arial"/>
          <w:sz w:val="24"/>
        </w:rPr>
        <w:t>Distribution – O</w:t>
      </w:r>
      <w:r w:rsidR="00157BBB">
        <w:rPr>
          <w:rFonts w:ascii="Arial" w:hAnsi="Arial" w:cs="Arial"/>
          <w:sz w:val="24"/>
        </w:rPr>
        <w:t xml:space="preserve">perating </w:t>
      </w:r>
      <w:r w:rsidRPr="00350F4C">
        <w:rPr>
          <w:rFonts w:ascii="Arial" w:hAnsi="Arial" w:cs="Arial"/>
          <w:sz w:val="24"/>
        </w:rPr>
        <w:t>U</w:t>
      </w:r>
      <w:r w:rsidR="00157BBB">
        <w:rPr>
          <w:rFonts w:ascii="Arial" w:hAnsi="Arial" w:cs="Arial"/>
          <w:sz w:val="24"/>
        </w:rPr>
        <w:t>nit</w:t>
      </w:r>
      <w:r w:rsidRPr="00350F4C">
        <w:rPr>
          <w:rFonts w:ascii="Arial" w:hAnsi="Arial" w:cs="Arial"/>
          <w:sz w:val="24"/>
        </w:rPr>
        <w:t xml:space="preserve"> General Managers and PSCM Managers</w:t>
      </w:r>
    </w:p>
    <w:p w14:paraId="32B4FA11" w14:textId="77777777" w:rsidR="0092078D" w:rsidRPr="00350F4C" w:rsidRDefault="0092078D" w:rsidP="00126F6C">
      <w:pPr>
        <w:pStyle w:val="ListParagraph"/>
        <w:numPr>
          <w:ilvl w:val="0"/>
          <w:numId w:val="15"/>
        </w:numPr>
        <w:spacing w:line="276" w:lineRule="auto"/>
        <w:jc w:val="both"/>
        <w:rPr>
          <w:rFonts w:ascii="Arial" w:hAnsi="Arial" w:cs="Arial"/>
          <w:sz w:val="24"/>
        </w:rPr>
      </w:pPr>
      <w:r w:rsidRPr="00350F4C">
        <w:rPr>
          <w:rFonts w:ascii="Arial" w:hAnsi="Arial" w:cs="Arial"/>
          <w:sz w:val="24"/>
        </w:rPr>
        <w:t>New executive appointments</w:t>
      </w:r>
    </w:p>
    <w:p w14:paraId="364CF929" w14:textId="322EF84D" w:rsidR="00AA568A" w:rsidRPr="00B34EE8" w:rsidRDefault="00AA568A" w:rsidP="00AA568A">
      <w:pPr>
        <w:rPr>
          <w:rFonts w:ascii="Arial" w:hAnsi="Arial" w:cs="Arial"/>
          <w:sz w:val="24"/>
          <w:szCs w:val="24"/>
        </w:rPr>
      </w:pPr>
      <w:r w:rsidRPr="00B34EE8">
        <w:rPr>
          <w:rFonts w:ascii="Arial" w:hAnsi="Arial" w:cs="Arial"/>
          <w:sz w:val="24"/>
          <w:szCs w:val="24"/>
        </w:rPr>
        <w:t xml:space="preserve">Below is the status of Exco </w:t>
      </w:r>
      <w:r>
        <w:rPr>
          <w:rFonts w:ascii="Arial" w:hAnsi="Arial" w:cs="Arial"/>
          <w:sz w:val="24"/>
          <w:szCs w:val="24"/>
        </w:rPr>
        <w:t>m</w:t>
      </w:r>
      <w:r w:rsidRPr="00B34EE8">
        <w:rPr>
          <w:rFonts w:ascii="Arial" w:hAnsi="Arial" w:cs="Arial"/>
          <w:sz w:val="24"/>
          <w:szCs w:val="24"/>
        </w:rPr>
        <w:t xml:space="preserve">ember </w:t>
      </w:r>
      <w:r>
        <w:rPr>
          <w:rFonts w:ascii="Arial" w:hAnsi="Arial" w:cs="Arial"/>
          <w:sz w:val="24"/>
          <w:szCs w:val="24"/>
        </w:rPr>
        <w:t>v</w:t>
      </w:r>
      <w:r w:rsidRPr="00B34EE8">
        <w:rPr>
          <w:rFonts w:ascii="Arial" w:hAnsi="Arial" w:cs="Arial"/>
          <w:sz w:val="24"/>
          <w:szCs w:val="24"/>
        </w:rPr>
        <w:t>etting</w:t>
      </w:r>
      <w:r>
        <w:rPr>
          <w:rFonts w:ascii="Arial" w:hAnsi="Arial" w:cs="Arial"/>
          <w:sz w:val="24"/>
          <w:szCs w:val="24"/>
        </w:rPr>
        <w:t>:</w:t>
      </w:r>
    </w:p>
    <w:p w14:paraId="77C8D380" w14:textId="77777777" w:rsidR="00126F6C" w:rsidRDefault="00126F6C" w:rsidP="00AA568A">
      <w:pPr>
        <w:jc w:val="both"/>
        <w:rPr>
          <w:rFonts w:ascii="Arial" w:hAnsi="Arial" w:cs="Arial"/>
          <w:color w:val="2E74B5" w:themeColor="accent1" w:themeShade="BF"/>
          <w:sz w:val="20"/>
        </w:rPr>
      </w:pPr>
    </w:p>
    <w:p w14:paraId="00A66482" w14:textId="1FED0754" w:rsidR="00AA568A" w:rsidRPr="00E01B12" w:rsidRDefault="00AA568A" w:rsidP="00AA568A">
      <w:pPr>
        <w:jc w:val="both"/>
        <w:rPr>
          <w:rFonts w:ascii="Arial" w:eastAsia="Times New Roman" w:hAnsi="Arial" w:cs="Arial"/>
          <w:b/>
          <w:bCs/>
          <w:color w:val="2E74B5" w:themeColor="accent1" w:themeShade="BF"/>
          <w:lang w:eastAsia="en-ZA"/>
        </w:rPr>
      </w:pPr>
      <w:r w:rsidRPr="00E01B12">
        <w:rPr>
          <w:rFonts w:ascii="Arial" w:hAnsi="Arial" w:cs="Arial"/>
          <w:color w:val="2E74B5" w:themeColor="accent1" w:themeShade="BF"/>
          <w:sz w:val="20"/>
        </w:rPr>
        <w:t>Table 1: Exco members vetted as at 31 May 2020</w:t>
      </w:r>
      <w:r w:rsidRPr="00E01B12">
        <w:rPr>
          <w:rFonts w:ascii="Arial" w:eastAsia="Times New Roman" w:hAnsi="Arial" w:cs="Arial"/>
          <w:b/>
          <w:bCs/>
          <w:color w:val="2E74B5" w:themeColor="accent1" w:themeShade="BF"/>
          <w:lang w:eastAsia="en-ZA"/>
        </w:rPr>
        <w:t xml:space="preserve"> </w:t>
      </w:r>
    </w:p>
    <w:p w14:paraId="653AF56A" w14:textId="107A9E78" w:rsidR="002068C8" w:rsidRPr="00AA568A" w:rsidRDefault="00AA568A" w:rsidP="0092078D">
      <w:pPr>
        <w:rPr>
          <w:rFonts w:ascii="Arial" w:hAnsi="Arial" w:cs="Arial"/>
          <w:sz w:val="24"/>
          <w:lang w:val="en-GB"/>
        </w:rPr>
        <w:sectPr w:rsidR="002068C8" w:rsidRPr="00AA568A">
          <w:footerReference w:type="default" r:id="rId9"/>
          <w:pgSz w:w="11906" w:h="16838"/>
          <w:pgMar w:top="1440" w:right="1440" w:bottom="1440" w:left="1440" w:header="708" w:footer="708" w:gutter="0"/>
          <w:cols w:space="708"/>
          <w:docGrid w:linePitch="360"/>
        </w:sectPr>
      </w:pPr>
      <w:r>
        <w:rPr>
          <w:rFonts w:ascii="Arial" w:eastAsia="Times New Roman" w:hAnsi="Arial" w:cs="Arial"/>
          <w:b/>
          <w:bCs/>
          <w:noProof/>
          <w:lang w:eastAsia="en-ZA"/>
        </w:rPr>
        <w:drawing>
          <wp:inline distT="0" distB="0" distL="0" distR="0" wp14:anchorId="4584F9A3" wp14:editId="26B32BF8">
            <wp:extent cx="5518150" cy="37846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4427" cy="3836914"/>
                    </a:xfrm>
                    <a:prstGeom prst="rect">
                      <a:avLst/>
                    </a:prstGeom>
                    <a:noFill/>
                  </pic:spPr>
                </pic:pic>
              </a:graphicData>
            </a:graphic>
          </wp:inline>
        </w:drawing>
      </w:r>
      <w:r w:rsidRPr="00AA568A">
        <w:rPr>
          <w:rFonts w:ascii="Arial" w:hAnsi="Arial" w:cs="Arial"/>
          <w:sz w:val="24"/>
          <w:lang w:val="en-GB"/>
        </w:rPr>
        <w:br w:type="page"/>
      </w:r>
    </w:p>
    <w:p w14:paraId="0B0F4C4D" w14:textId="7812F9D0" w:rsidR="00A37C63" w:rsidRPr="00782B80" w:rsidRDefault="00A37C63" w:rsidP="00DC4D81">
      <w:pPr>
        <w:spacing w:line="360" w:lineRule="auto"/>
        <w:rPr>
          <w:rFonts w:ascii="Arial" w:hAnsi="Arial" w:cs="Arial"/>
          <w:sz w:val="24"/>
          <w:lang w:val="en-GB"/>
        </w:rPr>
      </w:pPr>
    </w:p>
    <w:p w14:paraId="3904EEDD" w14:textId="4B1C7377" w:rsidR="00DC4D81" w:rsidRPr="00782B80" w:rsidRDefault="0092078D" w:rsidP="000B205E">
      <w:pPr>
        <w:pStyle w:val="Heading1"/>
        <w:shd w:val="clear" w:color="auto" w:fill="DEEAF6" w:themeFill="accent1" w:themeFillTint="33"/>
        <w:rPr>
          <w:color w:val="auto"/>
          <w:lang w:val="en-GB"/>
        </w:rPr>
      </w:pPr>
      <w:bookmarkStart w:id="3" w:name="_Toc52534937"/>
      <w:r>
        <w:rPr>
          <w:color w:val="auto"/>
          <w:lang w:val="en-GB"/>
        </w:rPr>
        <w:t>2</w:t>
      </w:r>
      <w:r w:rsidR="00EE639E" w:rsidRPr="00782B80">
        <w:rPr>
          <w:color w:val="auto"/>
          <w:lang w:val="en-GB"/>
        </w:rPr>
        <w:t>.</w:t>
      </w:r>
      <w:r w:rsidR="00EE639E" w:rsidRPr="00782B80">
        <w:rPr>
          <w:color w:val="auto"/>
          <w:lang w:val="en-GB"/>
        </w:rPr>
        <w:tab/>
      </w:r>
      <w:r w:rsidR="00B65318">
        <w:rPr>
          <w:color w:val="auto"/>
          <w:lang w:val="en-GB"/>
        </w:rPr>
        <w:t xml:space="preserve">Black and Veatch </w:t>
      </w:r>
      <w:r w:rsidR="002068C8">
        <w:rPr>
          <w:color w:val="auto"/>
          <w:lang w:val="en-GB"/>
        </w:rPr>
        <w:t xml:space="preserve">and Aveng Africa </w:t>
      </w:r>
      <w:r w:rsidR="00B65318">
        <w:rPr>
          <w:color w:val="auto"/>
          <w:lang w:val="en-GB"/>
        </w:rPr>
        <w:t>Contract</w:t>
      </w:r>
      <w:r w:rsidR="002068C8">
        <w:rPr>
          <w:color w:val="auto"/>
          <w:lang w:val="en-GB"/>
        </w:rPr>
        <w:t>s</w:t>
      </w:r>
      <w:bookmarkEnd w:id="3"/>
    </w:p>
    <w:p w14:paraId="0D4C79AB" w14:textId="328083EE" w:rsidR="00DC4D81" w:rsidRDefault="00DC4D81">
      <w:pPr>
        <w:rPr>
          <w:rFonts w:ascii="Arial" w:hAnsi="Arial" w:cs="Arial"/>
          <w:sz w:val="24"/>
          <w:lang w:val="en-GB"/>
        </w:rPr>
      </w:pPr>
    </w:p>
    <w:p w14:paraId="07520354" w14:textId="77777777" w:rsidR="002068C8" w:rsidRDefault="002068C8">
      <w:pPr>
        <w:rPr>
          <w:rFonts w:ascii="Arial" w:hAnsi="Arial" w:cs="Arial"/>
          <w:sz w:val="24"/>
          <w:lang w:val="en-GB"/>
        </w:rPr>
      </w:pPr>
    </w:p>
    <w:tbl>
      <w:tblPr>
        <w:tblW w:w="0" w:type="auto"/>
        <w:tblLayout w:type="fixed"/>
        <w:tblCellMar>
          <w:left w:w="0" w:type="dxa"/>
          <w:right w:w="0" w:type="dxa"/>
        </w:tblCellMar>
        <w:tblLook w:val="04A0" w:firstRow="1" w:lastRow="0" w:firstColumn="1" w:lastColumn="0" w:noHBand="0" w:noVBand="1"/>
      </w:tblPr>
      <w:tblGrid>
        <w:gridCol w:w="1408"/>
        <w:gridCol w:w="1843"/>
        <w:gridCol w:w="1417"/>
        <w:gridCol w:w="1418"/>
        <w:gridCol w:w="1559"/>
        <w:gridCol w:w="992"/>
        <w:gridCol w:w="1134"/>
        <w:gridCol w:w="2268"/>
        <w:gridCol w:w="1843"/>
      </w:tblGrid>
      <w:tr w:rsidR="002068C8" w:rsidRPr="002068C8" w14:paraId="2B79D230" w14:textId="77777777" w:rsidTr="002068C8">
        <w:trPr>
          <w:trHeight w:val="1082"/>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60996611" w14:textId="77777777" w:rsidR="00A16047" w:rsidRPr="002068C8" w:rsidRDefault="00A16047" w:rsidP="002068C8">
            <w:pPr>
              <w:spacing w:after="0" w:line="240" w:lineRule="auto"/>
              <w:rPr>
                <w:rFonts w:eastAsia="Calibri" w:cstheme="minorHAnsi"/>
                <w:b/>
                <w:bCs/>
              </w:rPr>
            </w:pPr>
            <w:r w:rsidRPr="002068C8">
              <w:rPr>
                <w:rFonts w:eastAsia="Calibri" w:cstheme="minorHAnsi"/>
                <w:b/>
                <w:bCs/>
              </w:rPr>
              <w:t>Contract Number</w:t>
            </w:r>
          </w:p>
        </w:tc>
        <w:tc>
          <w:tcPr>
            <w:tcW w:w="1843"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77ED7583" w14:textId="77777777" w:rsidR="00A16047" w:rsidRPr="002068C8" w:rsidRDefault="00A16047" w:rsidP="002068C8">
            <w:pPr>
              <w:spacing w:after="0" w:line="240" w:lineRule="auto"/>
              <w:rPr>
                <w:rFonts w:eastAsia="Calibri" w:cstheme="minorHAnsi"/>
                <w:b/>
                <w:bCs/>
              </w:rPr>
            </w:pPr>
            <w:r w:rsidRPr="002068C8">
              <w:rPr>
                <w:rFonts w:eastAsia="Calibri" w:cstheme="minorHAnsi"/>
                <w:b/>
                <w:bCs/>
              </w:rPr>
              <w:t>Supplier</w:t>
            </w:r>
          </w:p>
        </w:tc>
        <w:tc>
          <w:tcPr>
            <w:tcW w:w="1417"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6BC20C89" w14:textId="77777777" w:rsidR="00A16047" w:rsidRPr="002068C8" w:rsidRDefault="00A16047" w:rsidP="002068C8">
            <w:pPr>
              <w:spacing w:after="0" w:line="240" w:lineRule="auto"/>
              <w:rPr>
                <w:rFonts w:eastAsia="Calibri" w:cstheme="minorHAnsi"/>
                <w:b/>
                <w:bCs/>
              </w:rPr>
            </w:pPr>
            <w:r w:rsidRPr="002068C8">
              <w:rPr>
                <w:rFonts w:eastAsia="Calibri" w:cstheme="minorHAnsi"/>
                <w:b/>
                <w:bCs/>
              </w:rPr>
              <w:t>Start Date</w:t>
            </w:r>
          </w:p>
        </w:tc>
        <w:tc>
          <w:tcPr>
            <w:tcW w:w="1418"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0E67DDFB" w14:textId="77777777" w:rsidR="00A16047" w:rsidRPr="002068C8" w:rsidRDefault="00A16047" w:rsidP="002068C8">
            <w:pPr>
              <w:spacing w:after="0" w:line="240" w:lineRule="auto"/>
              <w:rPr>
                <w:rFonts w:eastAsia="Calibri" w:cstheme="minorHAnsi"/>
                <w:b/>
                <w:bCs/>
              </w:rPr>
            </w:pPr>
            <w:r w:rsidRPr="002068C8">
              <w:rPr>
                <w:rFonts w:eastAsia="Calibri" w:cstheme="minorHAnsi"/>
                <w:b/>
                <w:bCs/>
              </w:rPr>
              <w:t>Expiry Date</w:t>
            </w:r>
          </w:p>
        </w:tc>
        <w:tc>
          <w:tcPr>
            <w:tcW w:w="1559"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41BBA38D" w14:textId="77777777" w:rsidR="00A16047" w:rsidRPr="002068C8" w:rsidRDefault="00A16047" w:rsidP="002068C8">
            <w:pPr>
              <w:spacing w:after="0" w:line="240" w:lineRule="auto"/>
              <w:rPr>
                <w:rFonts w:eastAsia="Calibri" w:cstheme="minorHAnsi"/>
                <w:b/>
                <w:bCs/>
              </w:rPr>
            </w:pPr>
            <w:r w:rsidRPr="002068C8">
              <w:rPr>
                <w:rFonts w:eastAsia="Calibri" w:cstheme="minorHAnsi"/>
                <w:b/>
                <w:bCs/>
              </w:rPr>
              <w:t>Service Description</w:t>
            </w:r>
          </w:p>
        </w:tc>
        <w:tc>
          <w:tcPr>
            <w:tcW w:w="992"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567E28FF" w14:textId="77777777" w:rsidR="00A16047" w:rsidRPr="002068C8" w:rsidRDefault="00A16047" w:rsidP="002068C8">
            <w:pPr>
              <w:spacing w:after="0" w:line="240" w:lineRule="auto"/>
              <w:rPr>
                <w:rFonts w:eastAsia="Calibri" w:cstheme="minorHAnsi"/>
                <w:b/>
                <w:bCs/>
              </w:rPr>
            </w:pPr>
            <w:r w:rsidRPr="002068C8">
              <w:rPr>
                <w:rFonts w:eastAsia="Calibri" w:cstheme="minorHAnsi"/>
                <w:b/>
                <w:bCs/>
              </w:rPr>
              <w:t>Plant Area</w:t>
            </w:r>
          </w:p>
        </w:tc>
        <w:tc>
          <w:tcPr>
            <w:tcW w:w="1134"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40F79122" w14:textId="77777777" w:rsidR="00A16047" w:rsidRPr="002068C8" w:rsidRDefault="00A16047" w:rsidP="002068C8">
            <w:pPr>
              <w:spacing w:after="0" w:line="240" w:lineRule="auto"/>
              <w:rPr>
                <w:rFonts w:eastAsia="Calibri" w:cstheme="minorHAnsi"/>
                <w:b/>
                <w:bCs/>
              </w:rPr>
            </w:pPr>
            <w:r w:rsidRPr="002068C8">
              <w:rPr>
                <w:rFonts w:eastAsia="Calibri" w:cstheme="minorHAnsi"/>
                <w:b/>
                <w:bCs/>
              </w:rPr>
              <w:t>Currency</w:t>
            </w:r>
          </w:p>
        </w:tc>
        <w:tc>
          <w:tcPr>
            <w:tcW w:w="2268"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74879EAA" w14:textId="77777777" w:rsidR="00A16047" w:rsidRPr="002068C8" w:rsidRDefault="00A16047" w:rsidP="002068C8">
            <w:pPr>
              <w:spacing w:after="0" w:line="240" w:lineRule="auto"/>
              <w:rPr>
                <w:rFonts w:eastAsia="Calibri" w:cstheme="minorHAnsi"/>
                <w:b/>
                <w:bCs/>
              </w:rPr>
            </w:pPr>
            <w:r w:rsidRPr="002068C8">
              <w:rPr>
                <w:rFonts w:eastAsia="Calibri" w:cstheme="minorHAnsi"/>
                <w:b/>
                <w:bCs/>
              </w:rPr>
              <w:t>Current Value</w:t>
            </w:r>
          </w:p>
        </w:tc>
        <w:tc>
          <w:tcPr>
            <w:tcW w:w="1843"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11DECD62" w14:textId="77777777" w:rsidR="00A16047" w:rsidRPr="002068C8" w:rsidRDefault="00A16047" w:rsidP="002068C8">
            <w:pPr>
              <w:spacing w:after="0" w:line="240" w:lineRule="auto"/>
              <w:rPr>
                <w:rFonts w:eastAsia="Calibri" w:cstheme="minorHAnsi"/>
                <w:b/>
                <w:bCs/>
              </w:rPr>
            </w:pPr>
            <w:r w:rsidRPr="002068C8">
              <w:rPr>
                <w:rFonts w:eastAsia="Calibri" w:cstheme="minorHAnsi"/>
                <w:b/>
                <w:bCs/>
              </w:rPr>
              <w:t>Original Value</w:t>
            </w:r>
          </w:p>
        </w:tc>
      </w:tr>
      <w:tr w:rsidR="002068C8" w:rsidRPr="002068C8" w14:paraId="69FB5326" w14:textId="77777777" w:rsidTr="002068C8">
        <w:trPr>
          <w:trHeight w:val="1092"/>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814E01" w14:textId="77777777" w:rsidR="00A16047" w:rsidRPr="002068C8" w:rsidRDefault="00A16047" w:rsidP="002068C8">
            <w:pPr>
              <w:spacing w:after="0" w:line="240" w:lineRule="auto"/>
              <w:rPr>
                <w:rFonts w:eastAsia="Calibri" w:cstheme="minorHAnsi"/>
              </w:rPr>
            </w:pPr>
            <w:r w:rsidRPr="002068C8">
              <w:rPr>
                <w:rFonts w:eastAsia="Calibri" w:cstheme="minorHAnsi"/>
              </w:rPr>
              <w:t>4650005743</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A9A8303" w14:textId="686B365D" w:rsidR="00A16047" w:rsidRPr="002068C8" w:rsidRDefault="00A16047" w:rsidP="002068C8">
            <w:pPr>
              <w:spacing w:after="0" w:line="240" w:lineRule="auto"/>
              <w:rPr>
                <w:rFonts w:eastAsia="Calibri" w:cstheme="minorHAnsi"/>
              </w:rPr>
            </w:pPr>
            <w:r w:rsidRPr="002068C8">
              <w:rPr>
                <w:rFonts w:eastAsia="Calibri" w:cstheme="minorHAnsi"/>
              </w:rPr>
              <w:t xml:space="preserve">11052257   </w:t>
            </w:r>
            <w:r w:rsidR="002068C8" w:rsidRPr="002068C8">
              <w:rPr>
                <w:rFonts w:eastAsia="Calibri" w:cstheme="minorHAnsi"/>
              </w:rPr>
              <w:t>Black and</w:t>
            </w:r>
            <w:r w:rsidRPr="002068C8">
              <w:rPr>
                <w:rFonts w:eastAsia="Calibri" w:cstheme="minorHAnsi"/>
              </w:rPr>
              <w:t xml:space="preserve"> </w:t>
            </w:r>
            <w:r w:rsidR="002068C8" w:rsidRPr="002068C8">
              <w:rPr>
                <w:rFonts w:eastAsia="Calibri" w:cstheme="minorHAnsi"/>
              </w:rPr>
              <w:t>Veatch</w:t>
            </w:r>
            <w:r w:rsidRPr="002068C8">
              <w:rPr>
                <w:rFonts w:eastAsia="Calibri" w:cstheme="minorHAnsi"/>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4A0CD4E" w14:textId="77777777" w:rsidR="00A16047" w:rsidRPr="002068C8" w:rsidRDefault="00A16047" w:rsidP="002068C8">
            <w:pPr>
              <w:spacing w:after="0" w:line="240" w:lineRule="auto"/>
              <w:rPr>
                <w:rFonts w:eastAsia="Calibri" w:cstheme="minorHAnsi"/>
              </w:rPr>
            </w:pPr>
            <w:r w:rsidRPr="002068C8">
              <w:rPr>
                <w:rFonts w:eastAsia="Calibri" w:cstheme="minorHAnsi"/>
              </w:rPr>
              <w:t>2006/03/15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7F0DA31" w14:textId="77777777" w:rsidR="00A16047" w:rsidRPr="002068C8" w:rsidRDefault="00A16047" w:rsidP="002068C8">
            <w:pPr>
              <w:spacing w:after="0" w:line="240" w:lineRule="auto"/>
              <w:rPr>
                <w:rFonts w:eastAsia="Calibri" w:cstheme="minorHAnsi"/>
              </w:rPr>
            </w:pPr>
            <w:r w:rsidRPr="002068C8">
              <w:rPr>
                <w:rFonts w:eastAsia="Calibri" w:cstheme="minorHAnsi"/>
              </w:rPr>
              <w:t>2022/06/30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DEF4DC2" w14:textId="5BA24513" w:rsidR="00A16047" w:rsidRPr="002068C8" w:rsidRDefault="00A16047" w:rsidP="002068C8">
            <w:pPr>
              <w:spacing w:after="0" w:line="240" w:lineRule="auto"/>
              <w:rPr>
                <w:rFonts w:eastAsia="Calibri" w:cstheme="minorHAnsi"/>
              </w:rPr>
            </w:pPr>
            <w:r w:rsidRPr="002068C8">
              <w:rPr>
                <w:rFonts w:eastAsia="Calibri" w:cstheme="minorHAnsi"/>
              </w:rPr>
              <w:t xml:space="preserve">Engineering &amp; Project Man Services </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0870203" w14:textId="77777777" w:rsidR="00A16047" w:rsidRPr="002068C8" w:rsidRDefault="00A16047" w:rsidP="002068C8">
            <w:pPr>
              <w:spacing w:after="0" w:line="240" w:lineRule="auto"/>
              <w:rPr>
                <w:rFonts w:eastAsia="Calibri" w:cstheme="minorHAnsi"/>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6651492" w14:textId="77777777" w:rsidR="00A16047" w:rsidRPr="002068C8" w:rsidRDefault="00A16047" w:rsidP="002068C8">
            <w:pPr>
              <w:spacing w:after="0" w:line="240" w:lineRule="auto"/>
              <w:rPr>
                <w:rFonts w:eastAsia="Calibri" w:cstheme="minorHAnsi"/>
              </w:rPr>
            </w:pPr>
            <w:r w:rsidRPr="002068C8">
              <w:rPr>
                <w:rFonts w:eastAsia="Calibri" w:cstheme="minorHAnsi"/>
              </w:rPr>
              <w:t>ZAR</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ED2D299" w14:textId="23F8CBD6" w:rsidR="00A16047" w:rsidRPr="002068C8" w:rsidRDefault="00A16047" w:rsidP="002068C8">
            <w:pPr>
              <w:spacing w:after="0" w:line="240" w:lineRule="auto"/>
              <w:rPr>
                <w:rFonts w:eastAsia="Calibri" w:cstheme="minorHAnsi"/>
              </w:rPr>
            </w:pPr>
            <w:r w:rsidRPr="002068C8">
              <w:rPr>
                <w:rFonts w:eastAsia="Calibri" w:cstheme="minorHAnsi"/>
              </w:rPr>
              <w:t xml:space="preserve">12 475 037 207.20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38E5FBD8" w14:textId="77777777" w:rsidR="00A16047" w:rsidRPr="002068C8" w:rsidRDefault="00A16047" w:rsidP="002068C8">
            <w:pPr>
              <w:spacing w:after="0" w:line="240" w:lineRule="auto"/>
              <w:rPr>
                <w:rFonts w:eastAsia="Calibri" w:cstheme="minorHAnsi"/>
              </w:rPr>
            </w:pPr>
            <w:r w:rsidRPr="002068C8">
              <w:rPr>
                <w:rFonts w:eastAsia="Calibri" w:cstheme="minorHAnsi"/>
              </w:rPr>
              <w:t>75 000 000.00</w:t>
            </w:r>
          </w:p>
        </w:tc>
      </w:tr>
      <w:tr w:rsidR="002068C8" w:rsidRPr="002068C8" w14:paraId="16C42097" w14:textId="77777777" w:rsidTr="002068C8">
        <w:trPr>
          <w:trHeight w:val="292"/>
        </w:trPr>
        <w:tc>
          <w:tcPr>
            <w:tcW w:w="14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9B1D628" w14:textId="77777777" w:rsidR="00A16047" w:rsidRPr="002068C8" w:rsidRDefault="00A16047" w:rsidP="002068C8">
            <w:pPr>
              <w:spacing w:after="0" w:line="240" w:lineRule="auto"/>
              <w:rPr>
                <w:rFonts w:eastAsia="Calibri" w:cstheme="minorHAnsi"/>
                <w:color w:val="000000"/>
                <w:lang w:eastAsia="en-ZA"/>
              </w:rPr>
            </w:pPr>
            <w:r w:rsidRPr="002068C8">
              <w:rPr>
                <w:rFonts w:eastAsia="Calibri" w:cstheme="minorHAnsi"/>
                <w:color w:val="000000"/>
                <w:lang w:eastAsia="en-ZA"/>
              </w:rPr>
              <w:t>4650012950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14:paraId="6671B850" w14:textId="4F6EC4B3" w:rsidR="00A16047" w:rsidRPr="002068C8" w:rsidRDefault="00A16047" w:rsidP="002068C8">
            <w:pPr>
              <w:spacing w:after="0" w:line="240" w:lineRule="auto"/>
              <w:rPr>
                <w:rFonts w:eastAsia="Calibri" w:cstheme="minorHAnsi"/>
                <w:color w:val="000000"/>
                <w:lang w:eastAsia="en-ZA"/>
              </w:rPr>
            </w:pPr>
            <w:r w:rsidRPr="002068C8">
              <w:rPr>
                <w:rFonts w:eastAsia="Calibri" w:cstheme="minorHAnsi"/>
                <w:color w:val="000000"/>
                <w:lang w:eastAsia="en-ZA"/>
              </w:rPr>
              <w:t xml:space="preserve">11054145   </w:t>
            </w:r>
            <w:r w:rsidR="002068C8" w:rsidRPr="002068C8">
              <w:rPr>
                <w:rFonts w:eastAsia="Calibri" w:cstheme="minorHAnsi"/>
                <w:color w:val="000000"/>
                <w:lang w:eastAsia="en-ZA"/>
              </w:rPr>
              <w:t>AvengAfrica</w:t>
            </w:r>
            <w:r w:rsidRPr="002068C8">
              <w:rPr>
                <w:rFonts w:eastAsia="Calibri" w:cstheme="minorHAnsi"/>
                <w:color w:val="000000"/>
                <w:lang w:eastAsia="en-ZA"/>
              </w:rPr>
              <w:t xml:space="preserve">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33B8B19A" w14:textId="77777777" w:rsidR="00A16047" w:rsidRPr="002068C8" w:rsidRDefault="00A16047" w:rsidP="002068C8">
            <w:pPr>
              <w:spacing w:after="0" w:line="240" w:lineRule="auto"/>
              <w:rPr>
                <w:rFonts w:eastAsia="Calibri" w:cstheme="minorHAnsi"/>
                <w:color w:val="000000"/>
                <w:lang w:eastAsia="en-ZA"/>
              </w:rPr>
            </w:pPr>
            <w:r w:rsidRPr="002068C8">
              <w:rPr>
                <w:rFonts w:eastAsia="Calibri" w:cstheme="minorHAnsi"/>
                <w:color w:val="000000"/>
                <w:lang w:eastAsia="en-ZA"/>
              </w:rPr>
              <w:t>2011/02/22</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14:paraId="4F8220EF" w14:textId="77777777" w:rsidR="00A16047" w:rsidRPr="002068C8" w:rsidRDefault="00A16047" w:rsidP="002068C8">
            <w:pPr>
              <w:spacing w:after="0" w:line="240" w:lineRule="auto"/>
              <w:rPr>
                <w:rFonts w:eastAsia="Calibri" w:cstheme="minorHAnsi"/>
                <w:color w:val="000000"/>
                <w:lang w:eastAsia="en-ZA"/>
              </w:rPr>
            </w:pPr>
            <w:r w:rsidRPr="002068C8">
              <w:rPr>
                <w:rFonts w:eastAsia="Calibri" w:cstheme="minorHAnsi"/>
                <w:color w:val="000000"/>
                <w:lang w:eastAsia="en-ZA"/>
              </w:rPr>
              <w:t>2020/12/01</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14:paraId="4E364F4F" w14:textId="4EAAAFB5" w:rsidR="00A16047" w:rsidRPr="002068C8" w:rsidRDefault="002068C8" w:rsidP="002068C8">
            <w:pPr>
              <w:spacing w:after="0" w:line="240" w:lineRule="auto"/>
              <w:rPr>
                <w:rFonts w:eastAsia="Calibri" w:cstheme="minorHAnsi"/>
                <w:color w:val="000000"/>
                <w:lang w:eastAsia="en-ZA"/>
              </w:rPr>
            </w:pPr>
            <w:r w:rsidRPr="002068C8">
              <w:rPr>
                <w:rFonts w:eastAsia="Calibri" w:cstheme="minorHAnsi"/>
                <w:color w:val="000000"/>
                <w:lang w:eastAsia="en-ZA"/>
              </w:rPr>
              <w:t>Fixed Charge Items</w:t>
            </w:r>
            <w:r w:rsidR="00A16047" w:rsidRPr="002068C8">
              <w:rPr>
                <w:rFonts w:eastAsia="Calibri" w:cstheme="minorHAnsi"/>
                <w:color w:val="000000"/>
                <w:lang w:eastAsia="en-ZA"/>
              </w:rPr>
              <w:t xml:space="preserve">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148D656A" w14:textId="77777777" w:rsidR="00A16047" w:rsidRPr="002068C8" w:rsidRDefault="00A16047" w:rsidP="002068C8">
            <w:pPr>
              <w:spacing w:after="0" w:line="240" w:lineRule="auto"/>
              <w:rPr>
                <w:rFonts w:eastAsia="Calibri" w:cstheme="minorHAnsi"/>
                <w:color w:val="000000"/>
                <w:lang w:eastAsia="en-ZA"/>
              </w:rPr>
            </w:pPr>
            <w:r w:rsidRPr="002068C8">
              <w:rPr>
                <w:rFonts w:eastAsia="Calibri" w:cstheme="minorHAnsi"/>
                <w:color w:val="000000"/>
                <w:lang w:eastAsia="en-ZA"/>
              </w:rPr>
              <w:t>Kusile Power Station (GCD)</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0F785393" w14:textId="77777777" w:rsidR="00A16047" w:rsidRPr="002068C8" w:rsidRDefault="00A16047" w:rsidP="002068C8">
            <w:pPr>
              <w:spacing w:after="0" w:line="240" w:lineRule="auto"/>
              <w:rPr>
                <w:rFonts w:eastAsia="Calibri" w:cstheme="minorHAnsi"/>
                <w:color w:val="000000"/>
                <w:lang w:eastAsia="en-ZA"/>
              </w:rPr>
            </w:pPr>
            <w:r w:rsidRPr="002068C8">
              <w:rPr>
                <w:rFonts w:eastAsia="Calibri" w:cstheme="minorHAnsi"/>
                <w:color w:val="000000"/>
                <w:lang w:eastAsia="en-ZA"/>
              </w:rPr>
              <w:t xml:space="preserve">ZAR </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14:paraId="162AED7F" w14:textId="6CE16F3F" w:rsidR="00A16047" w:rsidRPr="002068C8" w:rsidRDefault="00BC59CA" w:rsidP="002068C8">
            <w:pPr>
              <w:spacing w:after="0" w:line="240" w:lineRule="auto"/>
              <w:rPr>
                <w:rFonts w:eastAsia="Calibri" w:cstheme="minorHAnsi"/>
                <w:color w:val="000000"/>
                <w:lang w:eastAsia="en-ZA"/>
              </w:rPr>
            </w:pPr>
            <w:r>
              <w:rPr>
                <w:rFonts w:eastAsia="Calibri" w:cstheme="minorHAnsi"/>
                <w:color w:val="000000"/>
                <w:lang w:eastAsia="en-ZA"/>
              </w:rPr>
              <w:t>1 740 726 436.69</w:t>
            </w:r>
            <w:r w:rsidR="00A16047" w:rsidRPr="002068C8">
              <w:rPr>
                <w:rFonts w:eastAsia="Calibri" w:cstheme="minorHAnsi"/>
                <w:color w:val="000000"/>
                <w:lang w:eastAsia="en-ZA"/>
              </w:rPr>
              <w:t xml:space="preserve">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14:paraId="07E5D25E" w14:textId="1192CDCD" w:rsidR="00A16047" w:rsidRPr="00E01B12" w:rsidRDefault="00A16047" w:rsidP="00E01B12">
            <w:pPr>
              <w:pStyle w:val="ListParagraph"/>
              <w:numPr>
                <w:ilvl w:val="0"/>
                <w:numId w:val="16"/>
              </w:numPr>
              <w:spacing w:after="0" w:line="240" w:lineRule="auto"/>
              <w:rPr>
                <w:rFonts w:eastAsia="Calibri" w:cstheme="minorHAnsi"/>
                <w:color w:val="000000"/>
                <w:lang w:eastAsia="en-ZA"/>
              </w:rPr>
            </w:pPr>
            <w:r w:rsidRPr="00E01B12">
              <w:rPr>
                <w:rFonts w:eastAsia="Calibri" w:cstheme="minorHAnsi"/>
                <w:color w:val="000000"/>
                <w:lang w:eastAsia="en-ZA"/>
              </w:rPr>
              <w:t>1 355.43</w:t>
            </w:r>
          </w:p>
        </w:tc>
      </w:tr>
    </w:tbl>
    <w:p w14:paraId="54605729" w14:textId="24B484A5" w:rsidR="00B65318" w:rsidRDefault="00B65318">
      <w:pPr>
        <w:rPr>
          <w:rFonts w:ascii="Arial" w:hAnsi="Arial" w:cs="Arial"/>
          <w:sz w:val="24"/>
          <w:lang w:val="en-GB"/>
        </w:rPr>
      </w:pPr>
    </w:p>
    <w:p w14:paraId="25428AF8" w14:textId="77777777" w:rsidR="002068C8" w:rsidRDefault="002068C8">
      <w:pPr>
        <w:rPr>
          <w:rFonts w:ascii="Arial" w:hAnsi="Arial" w:cs="Arial"/>
          <w:sz w:val="24"/>
          <w:lang w:val="en-GB"/>
        </w:rPr>
        <w:sectPr w:rsidR="002068C8" w:rsidSect="002068C8">
          <w:pgSz w:w="16838" w:h="11906" w:orient="landscape"/>
          <w:pgMar w:top="1440" w:right="1440" w:bottom="1440" w:left="1440" w:header="708" w:footer="708" w:gutter="0"/>
          <w:cols w:space="708"/>
          <w:docGrid w:linePitch="360"/>
        </w:sectPr>
      </w:pPr>
    </w:p>
    <w:p w14:paraId="338E20C8" w14:textId="71A9006D" w:rsidR="00E01B12" w:rsidRPr="00E01B12" w:rsidRDefault="00E01B12" w:rsidP="00E01B12">
      <w:pPr>
        <w:pStyle w:val="Heading1"/>
        <w:shd w:val="clear" w:color="auto" w:fill="DEEAF6" w:themeFill="accent1" w:themeFillTint="33"/>
        <w:ind w:left="720" w:hanging="720"/>
        <w:rPr>
          <w:color w:val="auto"/>
          <w:lang w:val="en-GB"/>
        </w:rPr>
      </w:pPr>
      <w:bookmarkStart w:id="4" w:name="_Toc52534938"/>
      <w:r>
        <w:rPr>
          <w:color w:val="auto"/>
          <w:lang w:val="en-GB"/>
        </w:rPr>
        <w:lastRenderedPageBreak/>
        <w:t>3.</w:t>
      </w:r>
      <w:r>
        <w:rPr>
          <w:color w:val="auto"/>
          <w:lang w:val="en-GB"/>
        </w:rPr>
        <w:tab/>
        <w:t xml:space="preserve">Status </w:t>
      </w:r>
      <w:r w:rsidRPr="00E01B12">
        <w:rPr>
          <w:color w:val="auto"/>
          <w:lang w:val="en-GB"/>
        </w:rPr>
        <w:t>update on the investigation conducted on Black &amp; Veatch Contract</w:t>
      </w:r>
      <w:bookmarkEnd w:id="4"/>
      <w:r w:rsidRPr="00E01B12">
        <w:rPr>
          <w:color w:val="auto"/>
          <w:lang w:val="en-GB"/>
        </w:rPr>
        <w:t xml:space="preserve"> </w:t>
      </w:r>
    </w:p>
    <w:p w14:paraId="02EB4D37" w14:textId="10DDF4AC" w:rsidR="00E01B12" w:rsidRDefault="00E01B12">
      <w:pPr>
        <w:rPr>
          <w:rFonts w:ascii="Arial" w:hAnsi="Arial" w:cs="Arial"/>
          <w:sz w:val="24"/>
          <w:lang w:val="en-GB"/>
        </w:rPr>
      </w:pPr>
    </w:p>
    <w:p w14:paraId="4245CFAD" w14:textId="58AD83D6" w:rsidR="00E01B12" w:rsidRDefault="00E01B12" w:rsidP="00E01B12">
      <w:pPr>
        <w:spacing w:after="0" w:line="360" w:lineRule="auto"/>
        <w:jc w:val="both"/>
        <w:rPr>
          <w:rFonts w:ascii="Arial" w:hAnsi="Arial" w:cs="Arial"/>
          <w:sz w:val="24"/>
          <w:szCs w:val="24"/>
        </w:rPr>
      </w:pPr>
      <w:r w:rsidRPr="00A427D7">
        <w:rPr>
          <w:rFonts w:ascii="Arial" w:hAnsi="Arial" w:cs="Arial"/>
          <w:sz w:val="24"/>
          <w:szCs w:val="24"/>
        </w:rPr>
        <w:t>On 30 March 2020, E</w:t>
      </w:r>
      <w:r w:rsidR="00157BBB">
        <w:rPr>
          <w:rFonts w:ascii="Arial" w:hAnsi="Arial" w:cs="Arial"/>
          <w:sz w:val="24"/>
          <w:szCs w:val="24"/>
        </w:rPr>
        <w:t xml:space="preserve">skom Assurance and Forensic was </w:t>
      </w:r>
      <w:r w:rsidRPr="00A427D7">
        <w:rPr>
          <w:rFonts w:ascii="Arial" w:hAnsi="Arial" w:cs="Arial"/>
          <w:sz w:val="24"/>
          <w:szCs w:val="24"/>
        </w:rPr>
        <w:t xml:space="preserve">tasked to conduct a high-level review on the various modifications, </w:t>
      </w:r>
      <w:r>
        <w:rPr>
          <w:rFonts w:ascii="Arial" w:hAnsi="Arial" w:cs="Arial"/>
          <w:sz w:val="24"/>
          <w:szCs w:val="24"/>
        </w:rPr>
        <w:t>Delegation Control Forms</w:t>
      </w:r>
      <w:r w:rsidRPr="00A427D7">
        <w:rPr>
          <w:rFonts w:ascii="Arial" w:hAnsi="Arial" w:cs="Arial"/>
          <w:sz w:val="24"/>
          <w:szCs w:val="24"/>
        </w:rPr>
        <w:t xml:space="preserve"> </w:t>
      </w:r>
      <w:r>
        <w:rPr>
          <w:rFonts w:ascii="Arial" w:hAnsi="Arial" w:cs="Arial"/>
          <w:sz w:val="24"/>
          <w:szCs w:val="24"/>
        </w:rPr>
        <w:t>(</w:t>
      </w:r>
      <w:r w:rsidRPr="00A427D7">
        <w:rPr>
          <w:rFonts w:ascii="Arial" w:hAnsi="Arial" w:cs="Arial"/>
          <w:sz w:val="24"/>
          <w:szCs w:val="24"/>
        </w:rPr>
        <w:t>DCF</w:t>
      </w:r>
      <w:r>
        <w:rPr>
          <w:rFonts w:ascii="Arial" w:hAnsi="Arial" w:cs="Arial"/>
          <w:sz w:val="24"/>
          <w:szCs w:val="24"/>
        </w:rPr>
        <w:t>)</w:t>
      </w:r>
      <w:r w:rsidRPr="00A427D7">
        <w:rPr>
          <w:rFonts w:ascii="Arial" w:hAnsi="Arial" w:cs="Arial"/>
          <w:sz w:val="24"/>
          <w:szCs w:val="24"/>
        </w:rPr>
        <w:t xml:space="preserve"> allocations and contingencies that were executed against Contract 4650005743 for Black &amp; Veatch.</w:t>
      </w:r>
      <w:r>
        <w:rPr>
          <w:rFonts w:ascii="Arial" w:hAnsi="Arial" w:cs="Arial"/>
          <w:sz w:val="24"/>
          <w:szCs w:val="24"/>
        </w:rPr>
        <w:t xml:space="preserve"> The contract was awarded in December 2005 at the initial value of R 75 000 000 (seventy five million rand) as part of the broader Engineering Houses Programme which had an estimated value of R283 million for a duration of five (5) years. Since inception until 2017, the contract value has been mainly increased through</w:t>
      </w:r>
      <w:r w:rsidR="00A824EB">
        <w:rPr>
          <w:rFonts w:ascii="Arial" w:hAnsi="Arial" w:cs="Arial"/>
          <w:sz w:val="24"/>
          <w:szCs w:val="24"/>
        </w:rPr>
        <w:t xml:space="preserve"> Delegation Control Forms </w:t>
      </w:r>
      <w:r>
        <w:rPr>
          <w:rFonts w:ascii="Arial" w:hAnsi="Arial" w:cs="Arial"/>
          <w:sz w:val="24"/>
          <w:szCs w:val="24"/>
        </w:rPr>
        <w:t xml:space="preserve"> which were approved by various Group Executives.  </w:t>
      </w:r>
    </w:p>
    <w:p w14:paraId="0B3D04DB" w14:textId="77777777" w:rsidR="00E01B12" w:rsidRDefault="00E01B12" w:rsidP="00E01B12">
      <w:pPr>
        <w:spacing w:after="0" w:line="360" w:lineRule="auto"/>
        <w:jc w:val="both"/>
        <w:rPr>
          <w:rFonts w:ascii="Arial" w:hAnsi="Arial" w:cs="Arial"/>
          <w:sz w:val="24"/>
          <w:szCs w:val="24"/>
        </w:rPr>
      </w:pPr>
    </w:p>
    <w:p w14:paraId="3EEFF357" w14:textId="77777777" w:rsidR="00E01B12" w:rsidRDefault="00E01B12" w:rsidP="00E01B12">
      <w:pPr>
        <w:spacing w:after="0" w:line="360" w:lineRule="auto"/>
        <w:jc w:val="both"/>
        <w:rPr>
          <w:rFonts w:ascii="Arial" w:hAnsi="Arial" w:cs="Arial"/>
          <w:b/>
          <w:sz w:val="24"/>
          <w:szCs w:val="24"/>
        </w:rPr>
      </w:pPr>
      <w:r>
        <w:rPr>
          <w:rFonts w:ascii="Arial" w:hAnsi="Arial" w:cs="Arial"/>
          <w:b/>
          <w:sz w:val="24"/>
          <w:szCs w:val="24"/>
        </w:rPr>
        <w:t>Summary of the outcome</w:t>
      </w:r>
      <w:r w:rsidRPr="0034776F">
        <w:rPr>
          <w:rFonts w:ascii="Arial" w:hAnsi="Arial" w:cs="Arial"/>
          <w:b/>
          <w:sz w:val="24"/>
          <w:szCs w:val="24"/>
        </w:rPr>
        <w:t>s:</w:t>
      </w:r>
    </w:p>
    <w:p w14:paraId="165729C6" w14:textId="77777777" w:rsidR="00E01B12" w:rsidRPr="0034776F" w:rsidRDefault="00E01B12" w:rsidP="00E01B12">
      <w:pPr>
        <w:spacing w:after="0" w:line="360" w:lineRule="auto"/>
        <w:jc w:val="both"/>
        <w:rPr>
          <w:rFonts w:ascii="Arial" w:hAnsi="Arial" w:cs="Arial"/>
          <w:b/>
          <w:sz w:val="24"/>
          <w:szCs w:val="24"/>
        </w:rPr>
      </w:pPr>
    </w:p>
    <w:p w14:paraId="28EA4A40" w14:textId="32306E11" w:rsidR="00E01B12" w:rsidRDefault="00C75335" w:rsidP="00E01B12">
      <w:pPr>
        <w:pStyle w:val="ListParagraph"/>
        <w:numPr>
          <w:ilvl w:val="0"/>
          <w:numId w:val="11"/>
        </w:numPr>
        <w:spacing w:after="0" w:line="360" w:lineRule="auto"/>
        <w:jc w:val="both"/>
        <w:rPr>
          <w:rFonts w:ascii="Arial" w:hAnsi="Arial" w:cs="Arial"/>
          <w:sz w:val="24"/>
          <w:szCs w:val="24"/>
        </w:rPr>
      </w:pPr>
      <w:r>
        <w:rPr>
          <w:rFonts w:ascii="Arial" w:hAnsi="Arial" w:cs="Arial"/>
          <w:sz w:val="24"/>
          <w:szCs w:val="24"/>
        </w:rPr>
        <w:t xml:space="preserve">In December 2007, the Black and </w:t>
      </w:r>
      <w:r w:rsidR="00E01B12" w:rsidRPr="00370C58">
        <w:rPr>
          <w:rFonts w:ascii="Arial" w:hAnsi="Arial" w:cs="Arial"/>
          <w:sz w:val="24"/>
          <w:szCs w:val="24"/>
        </w:rPr>
        <w:t>V</w:t>
      </w:r>
      <w:r>
        <w:rPr>
          <w:rFonts w:ascii="Arial" w:hAnsi="Arial" w:cs="Arial"/>
          <w:sz w:val="24"/>
          <w:szCs w:val="24"/>
        </w:rPr>
        <w:t>eatch</w:t>
      </w:r>
      <w:r w:rsidR="00E01B12" w:rsidRPr="00370C58">
        <w:rPr>
          <w:rFonts w:ascii="Arial" w:hAnsi="Arial" w:cs="Arial"/>
          <w:sz w:val="24"/>
          <w:szCs w:val="24"/>
        </w:rPr>
        <w:t xml:space="preserve"> contract was split into two contracts (off-shore and on-shore) under the same contract number without prior approval</w:t>
      </w:r>
      <w:r w:rsidR="00E01B12">
        <w:rPr>
          <w:rFonts w:ascii="Arial" w:hAnsi="Arial" w:cs="Arial"/>
          <w:sz w:val="24"/>
          <w:szCs w:val="24"/>
        </w:rPr>
        <w:t xml:space="preserve"> from the Board</w:t>
      </w:r>
      <w:r w:rsidR="00E01B12" w:rsidRPr="00370C58">
        <w:rPr>
          <w:rFonts w:ascii="Arial" w:hAnsi="Arial" w:cs="Arial"/>
          <w:sz w:val="24"/>
          <w:szCs w:val="24"/>
        </w:rPr>
        <w:t>.</w:t>
      </w:r>
    </w:p>
    <w:p w14:paraId="3F2F515E" w14:textId="77777777" w:rsidR="00E01B12" w:rsidRPr="0034776F" w:rsidRDefault="00E01B12" w:rsidP="00E01B12">
      <w:pPr>
        <w:pStyle w:val="ListParagraph"/>
        <w:numPr>
          <w:ilvl w:val="0"/>
          <w:numId w:val="11"/>
        </w:numPr>
        <w:spacing w:line="360" w:lineRule="auto"/>
        <w:jc w:val="both"/>
        <w:rPr>
          <w:rFonts w:ascii="Arial" w:hAnsi="Arial" w:cs="Arial"/>
          <w:sz w:val="24"/>
          <w:szCs w:val="24"/>
        </w:rPr>
      </w:pPr>
      <w:r w:rsidRPr="0034776F">
        <w:rPr>
          <w:rFonts w:ascii="Arial" w:hAnsi="Arial" w:cs="Arial"/>
          <w:sz w:val="24"/>
          <w:szCs w:val="24"/>
          <w:lang w:val="en-US"/>
        </w:rPr>
        <w:t>Contract value was increased from R2 473 854 981.00 to R12 180 059 100.00 without necessary committee approval.</w:t>
      </w:r>
    </w:p>
    <w:p w14:paraId="15514E01" w14:textId="77777777" w:rsidR="00E01B12" w:rsidRPr="0034776F" w:rsidRDefault="00E01B12" w:rsidP="00E01B12">
      <w:pPr>
        <w:pStyle w:val="ListParagraph"/>
        <w:numPr>
          <w:ilvl w:val="0"/>
          <w:numId w:val="11"/>
        </w:numPr>
        <w:spacing w:after="0" w:line="360" w:lineRule="auto"/>
        <w:jc w:val="both"/>
        <w:rPr>
          <w:rFonts w:ascii="Arial" w:hAnsi="Arial" w:cs="Arial"/>
          <w:sz w:val="24"/>
          <w:szCs w:val="24"/>
        </w:rPr>
      </w:pPr>
      <w:r w:rsidRPr="0034776F">
        <w:rPr>
          <w:rFonts w:ascii="Arial" w:hAnsi="Arial" w:cs="Arial"/>
          <w:sz w:val="24"/>
          <w:szCs w:val="24"/>
          <w:lang w:val="en-US"/>
        </w:rPr>
        <w:t>This resulted in unauthorised/irregular expenditure to the value of R9 706 204 119.00</w:t>
      </w:r>
      <w:r>
        <w:rPr>
          <w:rFonts w:ascii="Arial" w:hAnsi="Arial" w:cs="Arial"/>
          <w:sz w:val="24"/>
          <w:szCs w:val="24"/>
          <w:lang w:val="en-US"/>
        </w:rPr>
        <w:t>.</w:t>
      </w:r>
    </w:p>
    <w:p w14:paraId="6B2A4172" w14:textId="4BCA96F3" w:rsidR="00E01B12" w:rsidRPr="00D76B3E" w:rsidRDefault="00E01B12" w:rsidP="00E01B12">
      <w:pPr>
        <w:pStyle w:val="ListParagraph"/>
        <w:numPr>
          <w:ilvl w:val="0"/>
          <w:numId w:val="11"/>
        </w:numPr>
        <w:spacing w:after="0" w:line="360" w:lineRule="auto"/>
        <w:jc w:val="both"/>
        <w:rPr>
          <w:rFonts w:ascii="Arial" w:hAnsi="Arial" w:cs="Arial"/>
          <w:sz w:val="24"/>
          <w:szCs w:val="24"/>
        </w:rPr>
      </w:pPr>
      <w:r>
        <w:rPr>
          <w:rFonts w:ascii="Arial" w:hAnsi="Arial" w:cs="Arial"/>
          <w:sz w:val="24"/>
          <w:szCs w:val="24"/>
          <w:lang w:val="en-US"/>
        </w:rPr>
        <w:t xml:space="preserve"> Below is the table of </w:t>
      </w:r>
      <w:r w:rsidR="00A824EB">
        <w:rPr>
          <w:rFonts w:ascii="Arial" w:hAnsi="Arial" w:cs="Arial"/>
          <w:sz w:val="24"/>
          <w:szCs w:val="24"/>
          <w:lang w:val="en-US"/>
        </w:rPr>
        <w:t>delegation of consent forms</w:t>
      </w:r>
      <w:r>
        <w:rPr>
          <w:rFonts w:ascii="Arial" w:hAnsi="Arial" w:cs="Arial"/>
          <w:sz w:val="24"/>
          <w:szCs w:val="24"/>
          <w:lang w:val="en-US"/>
        </w:rPr>
        <w:t xml:space="preserve"> which constituted the aforementioned irregular expenditure:</w:t>
      </w:r>
    </w:p>
    <w:p w14:paraId="79BD45B8" w14:textId="7413CD98" w:rsidR="00D76B3E" w:rsidRDefault="00D76B3E" w:rsidP="00D76B3E">
      <w:pPr>
        <w:spacing w:after="0" w:line="360" w:lineRule="auto"/>
        <w:jc w:val="both"/>
        <w:rPr>
          <w:rFonts w:ascii="Arial" w:hAnsi="Arial" w:cs="Arial"/>
          <w:sz w:val="24"/>
          <w:szCs w:val="24"/>
        </w:rPr>
      </w:pPr>
    </w:p>
    <w:p w14:paraId="2DDDBA31" w14:textId="0407623C" w:rsidR="00D76B3E" w:rsidRPr="00D76B3E" w:rsidRDefault="00D76B3E" w:rsidP="00D76B3E">
      <w:pPr>
        <w:spacing w:after="0" w:line="360" w:lineRule="auto"/>
        <w:ind w:left="567"/>
        <w:jc w:val="both"/>
        <w:rPr>
          <w:rFonts w:ascii="Arial" w:hAnsi="Arial" w:cs="Arial"/>
          <w:sz w:val="24"/>
          <w:szCs w:val="24"/>
        </w:rPr>
      </w:pPr>
      <w:r>
        <w:rPr>
          <w:rFonts w:ascii="Arial" w:hAnsi="Arial" w:cs="Arial"/>
          <w:noProof/>
          <w:sz w:val="24"/>
          <w:szCs w:val="24"/>
          <w:lang w:eastAsia="en-ZA"/>
        </w:rPr>
        <w:drawing>
          <wp:inline distT="0" distB="0" distL="0" distR="0" wp14:anchorId="4A8949CF" wp14:editId="229768BB">
            <wp:extent cx="4838700" cy="1989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6668" cy="2000954"/>
                    </a:xfrm>
                    <a:prstGeom prst="rect">
                      <a:avLst/>
                    </a:prstGeom>
                    <a:noFill/>
                  </pic:spPr>
                </pic:pic>
              </a:graphicData>
            </a:graphic>
          </wp:inline>
        </w:drawing>
      </w:r>
    </w:p>
    <w:p w14:paraId="5983CC7E" w14:textId="6EBD1EC5" w:rsidR="00E01B12" w:rsidRPr="001923B0" w:rsidRDefault="00E01B12" w:rsidP="00D76B3E">
      <w:pPr>
        <w:pStyle w:val="ListParagraph"/>
        <w:numPr>
          <w:ilvl w:val="0"/>
          <w:numId w:val="11"/>
        </w:numPr>
        <w:spacing w:after="0" w:line="360" w:lineRule="auto"/>
        <w:jc w:val="both"/>
        <w:rPr>
          <w:rFonts w:ascii="Arial" w:hAnsi="Arial" w:cs="Arial"/>
          <w:sz w:val="24"/>
          <w:szCs w:val="24"/>
        </w:rPr>
      </w:pPr>
      <w:r w:rsidRPr="008539E4">
        <w:rPr>
          <w:rFonts w:ascii="Arial" w:hAnsi="Arial" w:cs="Arial"/>
          <w:sz w:val="24"/>
          <w:szCs w:val="24"/>
          <w:lang w:val="en-US"/>
        </w:rPr>
        <w:lastRenderedPageBreak/>
        <w:t xml:space="preserve">The approval minutes for modifications 2 and 3 could not be provided to </w:t>
      </w:r>
      <w:r w:rsidR="00C75335">
        <w:rPr>
          <w:rFonts w:ascii="Arial" w:hAnsi="Arial" w:cs="Arial"/>
          <w:sz w:val="24"/>
          <w:szCs w:val="24"/>
          <w:lang w:val="en-US"/>
        </w:rPr>
        <w:t>Assurance and Forensic</w:t>
      </w:r>
      <w:r w:rsidRPr="008539E4">
        <w:rPr>
          <w:rFonts w:ascii="Arial" w:hAnsi="Arial" w:cs="Arial"/>
          <w:sz w:val="24"/>
          <w:szCs w:val="24"/>
          <w:lang w:val="en-US"/>
        </w:rPr>
        <w:t xml:space="preserve"> for verification. </w:t>
      </w:r>
    </w:p>
    <w:p w14:paraId="3172AC61" w14:textId="36E7C861" w:rsidR="001923B0" w:rsidRPr="008539E4" w:rsidRDefault="001923B0" w:rsidP="00D76B3E">
      <w:pPr>
        <w:pStyle w:val="ListParagraph"/>
        <w:numPr>
          <w:ilvl w:val="0"/>
          <w:numId w:val="11"/>
        </w:numPr>
        <w:spacing w:after="0" w:line="360" w:lineRule="auto"/>
        <w:jc w:val="both"/>
        <w:rPr>
          <w:rFonts w:ascii="Arial" w:hAnsi="Arial" w:cs="Arial"/>
          <w:sz w:val="24"/>
          <w:szCs w:val="24"/>
        </w:rPr>
      </w:pPr>
      <w:r w:rsidRPr="008539E4">
        <w:rPr>
          <w:rFonts w:ascii="Arial" w:hAnsi="Arial" w:cs="Arial"/>
          <w:sz w:val="24"/>
          <w:szCs w:val="24"/>
          <w:lang w:val="en-US"/>
        </w:rPr>
        <w:t xml:space="preserve">The contract value cannot be increased by a </w:t>
      </w:r>
      <w:r w:rsidR="00C75335">
        <w:rPr>
          <w:rFonts w:ascii="Arial" w:hAnsi="Arial" w:cs="Arial"/>
          <w:sz w:val="24"/>
          <w:szCs w:val="24"/>
          <w:lang w:val="en-US"/>
        </w:rPr>
        <w:t>delegation of consent form</w:t>
      </w:r>
      <w:r w:rsidRPr="008539E4">
        <w:rPr>
          <w:rFonts w:ascii="Arial" w:hAnsi="Arial" w:cs="Arial"/>
          <w:sz w:val="24"/>
          <w:szCs w:val="24"/>
          <w:lang w:val="en-US"/>
        </w:rPr>
        <w:t xml:space="preserve">. </w:t>
      </w:r>
    </w:p>
    <w:p w14:paraId="15329A02" w14:textId="174BCA7A" w:rsidR="001923B0" w:rsidRPr="008539E4" w:rsidRDefault="001923B0" w:rsidP="00D76B3E">
      <w:pPr>
        <w:pStyle w:val="ListParagraph"/>
        <w:numPr>
          <w:ilvl w:val="0"/>
          <w:numId w:val="11"/>
        </w:numPr>
        <w:spacing w:after="0" w:line="360" w:lineRule="auto"/>
        <w:jc w:val="both"/>
        <w:rPr>
          <w:rFonts w:ascii="Arial" w:hAnsi="Arial" w:cs="Arial"/>
          <w:sz w:val="24"/>
          <w:szCs w:val="24"/>
        </w:rPr>
      </w:pPr>
      <w:r w:rsidRPr="008539E4">
        <w:rPr>
          <w:rFonts w:ascii="Arial" w:hAnsi="Arial" w:cs="Arial"/>
          <w:sz w:val="24"/>
          <w:szCs w:val="24"/>
          <w:lang w:val="en-US"/>
        </w:rPr>
        <w:t>Modification submissions should have been presented to the adjudicating body</w:t>
      </w:r>
    </w:p>
    <w:p w14:paraId="17817E79" w14:textId="003382E0" w:rsidR="00E01B12" w:rsidRPr="001923B0" w:rsidRDefault="00E01B12" w:rsidP="00E01B12">
      <w:pPr>
        <w:pStyle w:val="ListParagraph"/>
        <w:numPr>
          <w:ilvl w:val="0"/>
          <w:numId w:val="11"/>
        </w:numPr>
        <w:spacing w:after="0" w:line="360" w:lineRule="auto"/>
        <w:jc w:val="both"/>
        <w:rPr>
          <w:rFonts w:ascii="Arial" w:hAnsi="Arial" w:cs="Arial"/>
          <w:sz w:val="24"/>
          <w:szCs w:val="24"/>
        </w:rPr>
      </w:pPr>
      <w:r w:rsidRPr="008539E4">
        <w:rPr>
          <w:rFonts w:ascii="Arial" w:hAnsi="Arial" w:cs="Arial"/>
          <w:sz w:val="24"/>
          <w:szCs w:val="24"/>
          <w:lang w:val="en-US"/>
        </w:rPr>
        <w:t xml:space="preserve">The approval minutes for modifications 2 and 3 could not be provided to </w:t>
      </w:r>
      <w:r w:rsidR="00C75335">
        <w:rPr>
          <w:rFonts w:ascii="Arial" w:hAnsi="Arial" w:cs="Arial"/>
          <w:sz w:val="24"/>
          <w:szCs w:val="24"/>
          <w:lang w:val="en-US"/>
        </w:rPr>
        <w:t>Assurance and Forensic</w:t>
      </w:r>
      <w:r w:rsidRPr="008539E4">
        <w:rPr>
          <w:rFonts w:ascii="Arial" w:hAnsi="Arial" w:cs="Arial"/>
          <w:sz w:val="24"/>
          <w:szCs w:val="24"/>
          <w:lang w:val="en-US"/>
        </w:rPr>
        <w:t xml:space="preserve"> for verification. </w:t>
      </w:r>
    </w:p>
    <w:p w14:paraId="5DDDB535" w14:textId="0567BD80" w:rsidR="00E01B12" w:rsidRPr="008539E4" w:rsidRDefault="00E01B12" w:rsidP="00E01B12">
      <w:pPr>
        <w:pStyle w:val="ListParagraph"/>
        <w:numPr>
          <w:ilvl w:val="0"/>
          <w:numId w:val="11"/>
        </w:numPr>
        <w:spacing w:after="0" w:line="360" w:lineRule="auto"/>
        <w:jc w:val="both"/>
        <w:rPr>
          <w:rFonts w:ascii="Arial" w:hAnsi="Arial" w:cs="Arial"/>
          <w:sz w:val="24"/>
          <w:szCs w:val="24"/>
        </w:rPr>
      </w:pPr>
      <w:r w:rsidRPr="008539E4">
        <w:rPr>
          <w:rFonts w:ascii="Arial" w:hAnsi="Arial" w:cs="Arial"/>
          <w:sz w:val="24"/>
          <w:szCs w:val="24"/>
          <w:lang w:val="en-US"/>
        </w:rPr>
        <w:t xml:space="preserve">The contract value cannot be increased by a </w:t>
      </w:r>
      <w:r w:rsidR="00C75335">
        <w:rPr>
          <w:rFonts w:ascii="Arial" w:hAnsi="Arial" w:cs="Arial"/>
          <w:sz w:val="24"/>
          <w:szCs w:val="24"/>
          <w:lang w:val="en-US"/>
        </w:rPr>
        <w:t>delegation of consent form</w:t>
      </w:r>
      <w:r w:rsidRPr="008539E4">
        <w:rPr>
          <w:rFonts w:ascii="Arial" w:hAnsi="Arial" w:cs="Arial"/>
          <w:sz w:val="24"/>
          <w:szCs w:val="24"/>
          <w:lang w:val="en-US"/>
        </w:rPr>
        <w:t xml:space="preserve">. </w:t>
      </w:r>
    </w:p>
    <w:p w14:paraId="1D7D9683" w14:textId="27A8E7E7" w:rsidR="00E01B12" w:rsidRPr="001923B0" w:rsidRDefault="00E01B12" w:rsidP="00E01B12">
      <w:pPr>
        <w:pStyle w:val="ListParagraph"/>
        <w:numPr>
          <w:ilvl w:val="0"/>
          <w:numId w:val="11"/>
        </w:numPr>
        <w:spacing w:after="0" w:line="360" w:lineRule="auto"/>
        <w:jc w:val="both"/>
        <w:rPr>
          <w:rFonts w:ascii="Arial" w:hAnsi="Arial" w:cs="Arial"/>
          <w:sz w:val="24"/>
          <w:szCs w:val="24"/>
        </w:rPr>
      </w:pPr>
      <w:r w:rsidRPr="008539E4">
        <w:rPr>
          <w:rFonts w:ascii="Arial" w:hAnsi="Arial" w:cs="Arial"/>
          <w:sz w:val="24"/>
          <w:szCs w:val="24"/>
          <w:lang w:val="en-US"/>
        </w:rPr>
        <w:t>Modification submissions should have been presented to the adjudicating body, which there is no proof that these were submitted to a committee for approval;</w:t>
      </w:r>
    </w:p>
    <w:p w14:paraId="7603D469" w14:textId="39C56105" w:rsidR="00E01B12" w:rsidRPr="008539E4" w:rsidRDefault="00E01B12" w:rsidP="00E01B12">
      <w:pPr>
        <w:pStyle w:val="ListParagraph"/>
        <w:numPr>
          <w:ilvl w:val="0"/>
          <w:numId w:val="11"/>
        </w:numPr>
        <w:spacing w:line="360" w:lineRule="auto"/>
        <w:ind w:left="714" w:hanging="357"/>
        <w:jc w:val="both"/>
        <w:rPr>
          <w:rFonts w:ascii="Arial" w:hAnsi="Arial" w:cs="Arial"/>
          <w:sz w:val="24"/>
          <w:szCs w:val="24"/>
        </w:rPr>
      </w:pPr>
      <w:r w:rsidRPr="008539E4">
        <w:rPr>
          <w:rFonts w:ascii="Arial" w:hAnsi="Arial" w:cs="Arial"/>
          <w:sz w:val="24"/>
          <w:szCs w:val="24"/>
          <w:lang w:val="en-US"/>
        </w:rPr>
        <w:t xml:space="preserve">The </w:t>
      </w:r>
      <w:r w:rsidR="00C75335" w:rsidRPr="00A824EB">
        <w:rPr>
          <w:rFonts w:ascii="Arial" w:hAnsi="Arial" w:cs="Arial"/>
          <w:sz w:val="24"/>
          <w:szCs w:val="24"/>
          <w:lang w:val="en-US"/>
        </w:rPr>
        <w:t xml:space="preserve">Board </w:t>
      </w:r>
      <w:r w:rsidR="00A824EB" w:rsidRPr="00A824EB">
        <w:rPr>
          <w:rFonts w:ascii="Arial" w:hAnsi="Arial" w:cs="Arial"/>
          <w:sz w:val="24"/>
          <w:szCs w:val="24"/>
          <w:lang w:val="en-US"/>
        </w:rPr>
        <w:t xml:space="preserve">of Directors </w:t>
      </w:r>
      <w:r w:rsidR="00C75335" w:rsidRPr="00A824EB">
        <w:rPr>
          <w:rFonts w:ascii="Arial" w:hAnsi="Arial" w:cs="Arial"/>
          <w:sz w:val="24"/>
          <w:szCs w:val="24"/>
          <w:lang w:val="en-US"/>
        </w:rPr>
        <w:t>Tender Committee</w:t>
      </w:r>
      <w:r w:rsidR="00C75335">
        <w:rPr>
          <w:rFonts w:ascii="Arial" w:hAnsi="Arial" w:cs="Arial"/>
          <w:sz w:val="24"/>
          <w:szCs w:val="24"/>
          <w:lang w:val="en-US"/>
        </w:rPr>
        <w:t xml:space="preserve"> </w:t>
      </w:r>
      <w:r w:rsidR="00A824EB">
        <w:rPr>
          <w:rFonts w:ascii="Arial" w:hAnsi="Arial" w:cs="Arial"/>
          <w:sz w:val="24"/>
          <w:szCs w:val="24"/>
          <w:lang w:val="en-US"/>
        </w:rPr>
        <w:t>(</w:t>
      </w:r>
      <w:r w:rsidRPr="008539E4">
        <w:rPr>
          <w:rFonts w:ascii="Arial" w:hAnsi="Arial" w:cs="Arial"/>
          <w:sz w:val="24"/>
          <w:szCs w:val="24"/>
          <w:lang w:val="en-US"/>
        </w:rPr>
        <w:t>BODTC</w:t>
      </w:r>
      <w:r w:rsidR="00A824EB">
        <w:rPr>
          <w:rFonts w:ascii="Arial" w:hAnsi="Arial" w:cs="Arial"/>
          <w:sz w:val="24"/>
          <w:szCs w:val="24"/>
          <w:lang w:val="en-US"/>
        </w:rPr>
        <w:t>)</w:t>
      </w:r>
      <w:r w:rsidRPr="008539E4">
        <w:rPr>
          <w:rFonts w:ascii="Arial" w:hAnsi="Arial" w:cs="Arial"/>
          <w:sz w:val="24"/>
          <w:szCs w:val="24"/>
          <w:lang w:val="en-US"/>
        </w:rPr>
        <w:t xml:space="preserve"> approved modification no. 1 and 4 without the detailed breakdowns of the modifications submitted to them, for understanding the cost breakdowns submitted to them on the modifications. The Committee was only provided the high level category breakdown. Therefore, A&amp;F was unable to comment on the validity of the modifications.</w:t>
      </w:r>
    </w:p>
    <w:p w14:paraId="0BF8C286" w14:textId="77777777" w:rsidR="00E01B12" w:rsidRPr="008539E4" w:rsidRDefault="00E01B12" w:rsidP="00E01B12">
      <w:pPr>
        <w:pStyle w:val="ListParagraph"/>
        <w:numPr>
          <w:ilvl w:val="0"/>
          <w:numId w:val="11"/>
        </w:numPr>
        <w:spacing w:line="360" w:lineRule="auto"/>
        <w:ind w:left="714" w:hanging="357"/>
        <w:jc w:val="both"/>
        <w:rPr>
          <w:rFonts w:ascii="Arial" w:hAnsi="Arial" w:cs="Arial"/>
          <w:sz w:val="24"/>
          <w:szCs w:val="24"/>
        </w:rPr>
      </w:pPr>
      <w:r w:rsidRPr="008539E4">
        <w:rPr>
          <w:rFonts w:ascii="Arial" w:hAnsi="Arial" w:cs="Arial"/>
          <w:sz w:val="24"/>
          <w:szCs w:val="24"/>
          <w:lang w:val="en-US"/>
        </w:rPr>
        <w:t xml:space="preserve">Most individuals involved in this transaction are no longer employed by Eskom and it is evident that proper hand-over procedures did not occur, as numerous documents could not be found. </w:t>
      </w:r>
    </w:p>
    <w:p w14:paraId="614B4440" w14:textId="5620CB01" w:rsidR="00E01B12" w:rsidRPr="008539E4" w:rsidRDefault="00E01B12" w:rsidP="00E01B12">
      <w:pPr>
        <w:pStyle w:val="ListParagraph"/>
        <w:numPr>
          <w:ilvl w:val="0"/>
          <w:numId w:val="11"/>
        </w:numPr>
        <w:spacing w:after="0" w:line="360" w:lineRule="auto"/>
        <w:ind w:left="714" w:hanging="357"/>
        <w:jc w:val="both"/>
        <w:rPr>
          <w:rFonts w:ascii="Arial" w:hAnsi="Arial" w:cs="Arial"/>
          <w:sz w:val="24"/>
          <w:szCs w:val="24"/>
        </w:rPr>
      </w:pPr>
      <w:r w:rsidRPr="008539E4">
        <w:rPr>
          <w:rFonts w:ascii="Arial" w:hAnsi="Arial" w:cs="Arial"/>
          <w:sz w:val="24"/>
          <w:szCs w:val="24"/>
          <w:lang w:val="en-US"/>
        </w:rPr>
        <w:t xml:space="preserve">Further investigation should be conducted to determine if any conflicts of interest were apparent from establishing the contract and to establish the validity of supporting documentation substantiating the modifications and </w:t>
      </w:r>
      <w:r w:rsidR="00C75335">
        <w:rPr>
          <w:rFonts w:ascii="Arial" w:hAnsi="Arial" w:cs="Arial"/>
          <w:sz w:val="24"/>
          <w:szCs w:val="24"/>
          <w:lang w:val="en-US"/>
        </w:rPr>
        <w:t>delegation of consent form</w:t>
      </w:r>
      <w:r w:rsidRPr="008539E4">
        <w:rPr>
          <w:rFonts w:ascii="Arial" w:hAnsi="Arial" w:cs="Arial"/>
          <w:sz w:val="24"/>
          <w:szCs w:val="24"/>
          <w:lang w:val="en-US"/>
        </w:rPr>
        <w:t xml:space="preserve"> values.</w:t>
      </w:r>
    </w:p>
    <w:p w14:paraId="40EDC315" w14:textId="77777777" w:rsidR="00D76B3E" w:rsidRDefault="00D76B3E" w:rsidP="00E01B12">
      <w:pPr>
        <w:spacing w:after="0" w:line="360" w:lineRule="auto"/>
        <w:ind w:left="714"/>
        <w:jc w:val="both"/>
        <w:rPr>
          <w:rFonts w:ascii="Arial" w:hAnsi="Arial" w:cs="Arial"/>
          <w:b/>
          <w:sz w:val="24"/>
          <w:szCs w:val="24"/>
        </w:rPr>
      </w:pPr>
    </w:p>
    <w:p w14:paraId="1F864696" w14:textId="69DF91EB" w:rsidR="00E01B12" w:rsidRPr="00091693" w:rsidRDefault="00E01B12" w:rsidP="00E01B12">
      <w:pPr>
        <w:spacing w:after="0" w:line="360" w:lineRule="auto"/>
        <w:ind w:left="714"/>
        <w:jc w:val="both"/>
        <w:rPr>
          <w:rFonts w:ascii="Arial" w:hAnsi="Arial" w:cs="Arial"/>
          <w:b/>
          <w:sz w:val="24"/>
          <w:szCs w:val="24"/>
        </w:rPr>
      </w:pPr>
      <w:r w:rsidRPr="00091693">
        <w:rPr>
          <w:rFonts w:ascii="Arial" w:hAnsi="Arial" w:cs="Arial"/>
          <w:b/>
          <w:sz w:val="24"/>
          <w:szCs w:val="24"/>
        </w:rPr>
        <w:t>Recommendations:</w:t>
      </w:r>
    </w:p>
    <w:p w14:paraId="7D4E9B37" w14:textId="77777777" w:rsidR="00E01B12" w:rsidRPr="00091693" w:rsidRDefault="00E01B12" w:rsidP="00E01B12">
      <w:pPr>
        <w:spacing w:after="0" w:line="360" w:lineRule="auto"/>
        <w:ind w:left="714"/>
        <w:jc w:val="both"/>
        <w:rPr>
          <w:rFonts w:ascii="Arial" w:hAnsi="Arial" w:cs="Arial"/>
          <w:sz w:val="24"/>
          <w:szCs w:val="24"/>
        </w:rPr>
      </w:pPr>
    </w:p>
    <w:p w14:paraId="4BA58C0F" w14:textId="77777777" w:rsidR="00E01B12" w:rsidRPr="008539E4" w:rsidRDefault="00E01B12" w:rsidP="00E01B12">
      <w:pPr>
        <w:numPr>
          <w:ilvl w:val="0"/>
          <w:numId w:val="11"/>
        </w:numPr>
        <w:spacing w:after="0" w:line="360" w:lineRule="auto"/>
        <w:ind w:left="714" w:hanging="357"/>
        <w:jc w:val="both"/>
        <w:rPr>
          <w:rFonts w:ascii="Arial" w:hAnsi="Arial" w:cs="Arial"/>
          <w:sz w:val="24"/>
          <w:szCs w:val="24"/>
        </w:rPr>
      </w:pPr>
      <w:r w:rsidRPr="008539E4">
        <w:rPr>
          <w:rFonts w:ascii="Arial" w:hAnsi="Arial" w:cs="Arial"/>
          <w:sz w:val="24"/>
          <w:szCs w:val="24"/>
          <w:lang w:val="en-US"/>
        </w:rPr>
        <w:t>The process followed to define the various modification amounts and the substantiation documentation should be further investigated by Forensic.</w:t>
      </w:r>
    </w:p>
    <w:p w14:paraId="28FAF7B0" w14:textId="77777777" w:rsidR="00E01B12" w:rsidRPr="008539E4" w:rsidRDefault="00E01B12" w:rsidP="00E01B12">
      <w:pPr>
        <w:numPr>
          <w:ilvl w:val="0"/>
          <w:numId w:val="11"/>
        </w:numPr>
        <w:spacing w:after="0" w:line="360" w:lineRule="auto"/>
        <w:ind w:left="714" w:hanging="357"/>
        <w:jc w:val="both"/>
        <w:rPr>
          <w:rFonts w:ascii="Arial" w:hAnsi="Arial" w:cs="Arial"/>
          <w:sz w:val="24"/>
          <w:szCs w:val="24"/>
        </w:rPr>
      </w:pPr>
      <w:r w:rsidRPr="008539E4">
        <w:rPr>
          <w:rFonts w:ascii="Arial" w:hAnsi="Arial" w:cs="Arial"/>
          <w:sz w:val="24"/>
          <w:szCs w:val="24"/>
          <w:lang w:val="en-US"/>
        </w:rPr>
        <w:t>Consequence management should be considered for the lack of contract management. It also needs to be considered in terms of the User, Buyer and Approval Committee.</w:t>
      </w:r>
    </w:p>
    <w:p w14:paraId="3EFCE56B" w14:textId="77777777" w:rsidR="00E01B12" w:rsidRPr="008539E4" w:rsidRDefault="00E01B12" w:rsidP="00E01B12">
      <w:pPr>
        <w:numPr>
          <w:ilvl w:val="0"/>
          <w:numId w:val="11"/>
        </w:numPr>
        <w:spacing w:after="0" w:line="360" w:lineRule="auto"/>
        <w:ind w:left="714" w:hanging="357"/>
        <w:jc w:val="both"/>
        <w:rPr>
          <w:rFonts w:ascii="Arial" w:hAnsi="Arial" w:cs="Arial"/>
          <w:sz w:val="24"/>
          <w:szCs w:val="24"/>
        </w:rPr>
      </w:pPr>
      <w:r w:rsidRPr="008539E4">
        <w:rPr>
          <w:rFonts w:ascii="Arial" w:hAnsi="Arial" w:cs="Arial"/>
          <w:sz w:val="24"/>
          <w:szCs w:val="24"/>
          <w:lang w:val="en-US"/>
        </w:rPr>
        <w:t xml:space="preserve">Management to establish if any over payment took place and if so, consult with Legal for possible recovery process to be followed. </w:t>
      </w:r>
    </w:p>
    <w:p w14:paraId="06FA027B" w14:textId="5A23B1F3" w:rsidR="00E01B12" w:rsidRPr="00D76B3E" w:rsidRDefault="00E01B12" w:rsidP="00E01B12">
      <w:pPr>
        <w:numPr>
          <w:ilvl w:val="0"/>
          <w:numId w:val="11"/>
        </w:numPr>
        <w:spacing w:after="0" w:line="360" w:lineRule="auto"/>
        <w:ind w:left="714" w:hanging="357"/>
        <w:jc w:val="both"/>
        <w:rPr>
          <w:rFonts w:ascii="Arial" w:hAnsi="Arial" w:cs="Arial"/>
          <w:sz w:val="24"/>
          <w:szCs w:val="24"/>
        </w:rPr>
      </w:pPr>
      <w:r w:rsidRPr="008539E4">
        <w:rPr>
          <w:rFonts w:ascii="Arial" w:hAnsi="Arial" w:cs="Arial"/>
          <w:sz w:val="24"/>
          <w:szCs w:val="24"/>
          <w:lang w:val="en-US"/>
        </w:rPr>
        <w:t xml:space="preserve">In the event of individuals not in the employment of Eskom, consider legal avenues such as criminal case or criminal charge. </w:t>
      </w:r>
    </w:p>
    <w:p w14:paraId="266E9BE8" w14:textId="77777777" w:rsidR="00D76B3E" w:rsidRPr="00091693" w:rsidRDefault="00D76B3E" w:rsidP="00D76B3E">
      <w:pPr>
        <w:spacing w:after="0" w:line="360" w:lineRule="auto"/>
        <w:ind w:left="714"/>
        <w:jc w:val="both"/>
        <w:rPr>
          <w:rFonts w:ascii="Arial" w:hAnsi="Arial" w:cs="Arial"/>
          <w:sz w:val="24"/>
          <w:szCs w:val="24"/>
        </w:rPr>
      </w:pPr>
    </w:p>
    <w:p w14:paraId="403DDC89" w14:textId="77777777" w:rsidR="00E01B12" w:rsidRPr="00091693" w:rsidRDefault="00E01B12" w:rsidP="00E01B12">
      <w:pPr>
        <w:numPr>
          <w:ilvl w:val="0"/>
          <w:numId w:val="11"/>
        </w:numPr>
        <w:spacing w:after="0" w:line="360" w:lineRule="auto"/>
        <w:ind w:left="714" w:hanging="357"/>
        <w:jc w:val="both"/>
        <w:rPr>
          <w:rFonts w:ascii="Arial" w:hAnsi="Arial" w:cs="Arial"/>
          <w:sz w:val="24"/>
          <w:szCs w:val="24"/>
        </w:rPr>
      </w:pPr>
      <w:r w:rsidRPr="00091693">
        <w:rPr>
          <w:rFonts w:ascii="Arial" w:hAnsi="Arial" w:cs="Arial"/>
          <w:sz w:val="24"/>
          <w:szCs w:val="24"/>
          <w:lang w:val="en-US"/>
        </w:rPr>
        <w:t xml:space="preserve">Unauthorised/irregular Expenditure to the value of R R9 706 204 119.00 should be condoned and reported: </w:t>
      </w:r>
    </w:p>
    <w:p w14:paraId="204241EC" w14:textId="6C3F7258" w:rsidR="00E01B12" w:rsidRPr="008539E4" w:rsidRDefault="00DA0800" w:rsidP="00E01B12">
      <w:pPr>
        <w:numPr>
          <w:ilvl w:val="0"/>
          <w:numId w:val="11"/>
        </w:numPr>
        <w:spacing w:after="0" w:line="360" w:lineRule="auto"/>
        <w:jc w:val="both"/>
        <w:rPr>
          <w:rFonts w:ascii="Arial" w:hAnsi="Arial" w:cs="Arial"/>
          <w:sz w:val="24"/>
          <w:szCs w:val="24"/>
        </w:rPr>
      </w:pPr>
      <w:r>
        <w:rPr>
          <w:rFonts w:ascii="Arial" w:hAnsi="Arial" w:cs="Arial"/>
          <w:sz w:val="24"/>
          <w:szCs w:val="24"/>
          <w:lang w:val="en-US"/>
        </w:rPr>
        <w:t xml:space="preserve">Board </w:t>
      </w:r>
      <w:r w:rsidR="00A824EB">
        <w:rPr>
          <w:rFonts w:ascii="Arial" w:hAnsi="Arial" w:cs="Arial"/>
          <w:sz w:val="24"/>
          <w:szCs w:val="24"/>
          <w:lang w:val="en-US"/>
        </w:rPr>
        <w:t xml:space="preserve">of Directors </w:t>
      </w:r>
      <w:r>
        <w:rPr>
          <w:rFonts w:ascii="Arial" w:hAnsi="Arial" w:cs="Arial"/>
          <w:sz w:val="24"/>
          <w:szCs w:val="24"/>
          <w:lang w:val="en-US"/>
        </w:rPr>
        <w:t>Tender Committee</w:t>
      </w:r>
      <w:r w:rsidR="00E01B12" w:rsidRPr="00091693">
        <w:rPr>
          <w:rFonts w:ascii="Arial" w:hAnsi="Arial" w:cs="Arial"/>
          <w:sz w:val="24"/>
          <w:szCs w:val="24"/>
          <w:lang w:val="en-US"/>
        </w:rPr>
        <w:t xml:space="preserve"> should only recommend and approve respectively the modifications after assessing and understanding the detailed cost breakdowns, assessing all pertinent / relevant information to make an informed decision.</w:t>
      </w:r>
    </w:p>
    <w:p w14:paraId="7BBB52CA" w14:textId="77777777" w:rsidR="00E01B12" w:rsidRPr="00782B80" w:rsidRDefault="00E01B12">
      <w:pPr>
        <w:rPr>
          <w:rFonts w:ascii="Arial" w:hAnsi="Arial" w:cs="Arial"/>
          <w:sz w:val="24"/>
          <w:lang w:val="en-GB"/>
        </w:rPr>
      </w:pPr>
    </w:p>
    <w:p w14:paraId="52DF6128" w14:textId="3BAE050C" w:rsidR="000E75E3" w:rsidRPr="00782B80" w:rsidRDefault="00E01B12" w:rsidP="000B205E">
      <w:pPr>
        <w:pStyle w:val="Heading1"/>
        <w:shd w:val="clear" w:color="auto" w:fill="DEEAF6" w:themeFill="accent1" w:themeFillTint="33"/>
        <w:rPr>
          <w:color w:val="auto"/>
          <w:lang w:val="en-GB"/>
        </w:rPr>
      </w:pPr>
      <w:bookmarkStart w:id="5" w:name="_Toc52534939"/>
      <w:r>
        <w:rPr>
          <w:color w:val="auto"/>
          <w:lang w:val="en-GB"/>
        </w:rPr>
        <w:t>4</w:t>
      </w:r>
      <w:r w:rsidR="00EE639E" w:rsidRPr="00782B80">
        <w:rPr>
          <w:color w:val="auto"/>
          <w:lang w:val="en-GB"/>
        </w:rPr>
        <w:t>.</w:t>
      </w:r>
      <w:r w:rsidR="00EE639E" w:rsidRPr="00782B80">
        <w:rPr>
          <w:color w:val="auto"/>
          <w:lang w:val="en-GB"/>
        </w:rPr>
        <w:tab/>
      </w:r>
      <w:r w:rsidR="00B65318">
        <w:rPr>
          <w:color w:val="auto"/>
          <w:lang w:val="en-GB"/>
        </w:rPr>
        <w:t>Cost Benefit Analysis of the Take or Pay Contracts</w:t>
      </w:r>
      <w:bookmarkEnd w:id="5"/>
      <w:r w:rsidR="000E75E3" w:rsidRPr="00782B80">
        <w:rPr>
          <w:color w:val="auto"/>
          <w:lang w:val="en-GB"/>
        </w:rPr>
        <w:t xml:space="preserve"> </w:t>
      </w:r>
    </w:p>
    <w:p w14:paraId="5E9F1C30" w14:textId="77777777" w:rsidR="00BC66BA" w:rsidRDefault="00BC66BA">
      <w:pPr>
        <w:rPr>
          <w:rFonts w:ascii="Arial" w:hAnsi="Arial" w:cs="Arial"/>
          <w:sz w:val="24"/>
          <w:lang w:val="en-GB"/>
        </w:rPr>
      </w:pPr>
    </w:p>
    <w:p w14:paraId="6E313DD8" w14:textId="77777777" w:rsidR="00805589" w:rsidRPr="005A3DEC" w:rsidRDefault="00805589" w:rsidP="00805589">
      <w:pPr>
        <w:spacing w:after="0" w:line="360" w:lineRule="auto"/>
        <w:jc w:val="both"/>
        <w:rPr>
          <w:rFonts w:ascii="Arial" w:hAnsi="Arial" w:cs="Arial"/>
          <w:sz w:val="24"/>
          <w:szCs w:val="24"/>
        </w:rPr>
      </w:pPr>
      <w:r w:rsidRPr="005A3DEC">
        <w:rPr>
          <w:rFonts w:ascii="Arial" w:hAnsi="Arial" w:cs="Arial"/>
          <w:sz w:val="24"/>
          <w:szCs w:val="24"/>
        </w:rPr>
        <w:t>Dealing with large value trades, suppliers and buyers require some form of performance guarantee. This becomes more prevalent when a supplier or buyer of a product invests significant up-front capital to establish its plant or manufacturing facility. It is common commercial practice for high value contracts to have penalty clauses as the means to ensure performance guarantees</w:t>
      </w:r>
      <w:r>
        <w:rPr>
          <w:rFonts w:ascii="Arial" w:hAnsi="Arial" w:cs="Arial"/>
          <w:sz w:val="24"/>
          <w:szCs w:val="24"/>
        </w:rPr>
        <w:t>,</w:t>
      </w:r>
      <w:r w:rsidRPr="005A3DEC">
        <w:rPr>
          <w:rFonts w:ascii="Arial" w:hAnsi="Arial" w:cs="Arial"/>
          <w:sz w:val="24"/>
          <w:szCs w:val="24"/>
        </w:rPr>
        <w:t xml:space="preserve"> and coal contracts are no exception. </w:t>
      </w:r>
      <w:r>
        <w:rPr>
          <w:rFonts w:ascii="Arial" w:hAnsi="Arial" w:cs="Arial"/>
          <w:sz w:val="24"/>
          <w:szCs w:val="24"/>
        </w:rPr>
        <w:t xml:space="preserve">Generally, funders prescribe minimum contractual production by miners to make funding viable. </w:t>
      </w:r>
      <w:r w:rsidRPr="005A3DEC">
        <w:rPr>
          <w:rFonts w:ascii="Arial" w:hAnsi="Arial" w:cs="Arial"/>
          <w:sz w:val="24"/>
          <w:szCs w:val="24"/>
        </w:rPr>
        <w:t>It would be impractical for Eskom to have certainty of electricity production planning without guaranteed coal supply, especially with no alternative baseload replacement power. The unit cost of production for Open Cycle Gas Turbines at ~R3012/MWh, which cannot replace coal fired baseload one on one, is almost tenfold the R381/MWh blended unit cost of production of coal-fired power stations.</w:t>
      </w:r>
    </w:p>
    <w:p w14:paraId="721E7BC1" w14:textId="77777777" w:rsidR="00805589" w:rsidRPr="005A3DEC" w:rsidRDefault="00805589" w:rsidP="00805589">
      <w:pPr>
        <w:spacing w:after="0" w:line="360" w:lineRule="auto"/>
        <w:jc w:val="both"/>
        <w:rPr>
          <w:rFonts w:ascii="Arial" w:hAnsi="Arial" w:cs="Arial"/>
          <w:sz w:val="24"/>
          <w:szCs w:val="24"/>
        </w:rPr>
      </w:pPr>
    </w:p>
    <w:p w14:paraId="167E97B9" w14:textId="77777777" w:rsidR="00805589" w:rsidRPr="005A3DEC" w:rsidRDefault="00805589" w:rsidP="00805589">
      <w:pPr>
        <w:spacing w:after="120" w:line="360" w:lineRule="auto"/>
        <w:jc w:val="both"/>
        <w:rPr>
          <w:rFonts w:ascii="Arial" w:hAnsi="Arial" w:cs="Arial"/>
          <w:sz w:val="24"/>
          <w:szCs w:val="24"/>
        </w:rPr>
      </w:pPr>
      <w:r w:rsidRPr="005A3DEC">
        <w:rPr>
          <w:rFonts w:ascii="Arial" w:hAnsi="Arial" w:cs="Arial"/>
          <w:sz w:val="24"/>
          <w:szCs w:val="24"/>
        </w:rPr>
        <w:t>Power stations require certainty of coal volume at a specified rate/tempo and quality to function consistently. The suppliers of coal similarly invest in a mining operation to supply coal to Eskom. Those suppliers also require certainty of offtake in order to meet the buyer’s supply requirements, to run their operations, repay their capital and operating expenses, and earn a shareholder return.</w:t>
      </w:r>
    </w:p>
    <w:p w14:paraId="118F4A62" w14:textId="77777777" w:rsidR="00805589" w:rsidRPr="005A3DEC" w:rsidRDefault="00805589" w:rsidP="00805589">
      <w:pPr>
        <w:spacing w:after="120" w:line="360" w:lineRule="auto"/>
        <w:jc w:val="both"/>
        <w:rPr>
          <w:rFonts w:ascii="Arial" w:hAnsi="Arial" w:cs="Arial"/>
          <w:sz w:val="24"/>
          <w:szCs w:val="24"/>
        </w:rPr>
      </w:pPr>
      <w:r w:rsidRPr="005A3DEC">
        <w:rPr>
          <w:rFonts w:ascii="Arial" w:hAnsi="Arial" w:cs="Arial"/>
          <w:sz w:val="24"/>
          <w:szCs w:val="24"/>
        </w:rPr>
        <w:t xml:space="preserve">In most procurement deals, suppliers and buyers require a minimum or guaranteed offtake/supply in order to hedge their investments and ensure performance between the respective parties. All of Eskom’s coal supply agreements have some form of performance guarantees. It is unlikely for any supplier or buyer to enter into a high </w:t>
      </w:r>
      <w:r w:rsidRPr="005A3DEC">
        <w:rPr>
          <w:rFonts w:ascii="Arial" w:hAnsi="Arial" w:cs="Arial"/>
          <w:sz w:val="24"/>
          <w:szCs w:val="24"/>
        </w:rPr>
        <w:lastRenderedPageBreak/>
        <w:t xml:space="preserve">value contract at the back of capital-intensive assets, to enter into a contractual arrangement with no performance guarantees padded in the form or penalties. </w:t>
      </w:r>
    </w:p>
    <w:p w14:paraId="41255197" w14:textId="77777777" w:rsidR="00805589" w:rsidRPr="005A3DEC" w:rsidRDefault="00805589" w:rsidP="00805589">
      <w:pPr>
        <w:spacing w:after="0" w:line="360" w:lineRule="auto"/>
        <w:jc w:val="both"/>
        <w:rPr>
          <w:rFonts w:ascii="Arial" w:hAnsi="Arial" w:cs="Arial"/>
          <w:sz w:val="24"/>
          <w:szCs w:val="24"/>
        </w:rPr>
      </w:pPr>
    </w:p>
    <w:p w14:paraId="4FB7EC57" w14:textId="77777777" w:rsidR="00805589" w:rsidRPr="005A3DEC" w:rsidRDefault="00805589" w:rsidP="00805589">
      <w:pPr>
        <w:spacing w:after="120" w:line="360" w:lineRule="auto"/>
        <w:jc w:val="both"/>
        <w:rPr>
          <w:rFonts w:ascii="Arial" w:hAnsi="Arial" w:cs="Arial"/>
          <w:sz w:val="24"/>
          <w:szCs w:val="24"/>
        </w:rPr>
      </w:pPr>
      <w:r w:rsidRPr="005A3DEC">
        <w:rPr>
          <w:rFonts w:ascii="Arial" w:hAnsi="Arial" w:cs="Arial"/>
          <w:sz w:val="24"/>
          <w:szCs w:val="24"/>
        </w:rPr>
        <w:t>The Eskom fixed-price contracts have monthly/quarterly and annual volume targets. In the case of Medupi, Eskom is entitled to levy a failure to supply penalty against Exxaro in the event of failure to meet the set supply targets. Should Eskom not be able to take this coal, the supplier is entitled to a failure to offtake penalty as if the coal was delivered, hence the principle take-or-pay. The terms and conditions of this penalty regime are as per the underlying agreement.</w:t>
      </w:r>
    </w:p>
    <w:p w14:paraId="5DF2A151" w14:textId="77777777" w:rsidR="00805589" w:rsidRPr="005A3DEC" w:rsidRDefault="00805589" w:rsidP="00805589">
      <w:pPr>
        <w:spacing w:after="120" w:line="360" w:lineRule="auto"/>
        <w:jc w:val="both"/>
        <w:rPr>
          <w:rFonts w:ascii="Arial" w:hAnsi="Arial" w:cs="Arial"/>
          <w:sz w:val="24"/>
          <w:szCs w:val="24"/>
        </w:rPr>
      </w:pPr>
      <w:r w:rsidRPr="005A3DEC">
        <w:rPr>
          <w:rFonts w:ascii="Arial" w:hAnsi="Arial" w:cs="Arial"/>
          <w:sz w:val="24"/>
          <w:szCs w:val="24"/>
        </w:rPr>
        <w:t xml:space="preserve">Failure offtake penalties rarely occur in the Witbank area, as Eskom has options to deliver coal to alternative power stations. However, in the Lephalale area where Medupi and Matimba Power Stations operate, any issues that hamper the ability to offtake coal potentially result in a take-or-pay penalty being levied, as there are not many commercially favourable options available to Eskom. </w:t>
      </w:r>
    </w:p>
    <w:p w14:paraId="402386DA" w14:textId="77777777" w:rsidR="00805589" w:rsidRPr="005A3DEC" w:rsidRDefault="00805589" w:rsidP="00805589">
      <w:pPr>
        <w:spacing w:after="120" w:line="360" w:lineRule="auto"/>
        <w:jc w:val="both"/>
        <w:rPr>
          <w:rFonts w:ascii="Arial" w:hAnsi="Arial" w:cs="Arial"/>
          <w:sz w:val="24"/>
          <w:szCs w:val="24"/>
        </w:rPr>
      </w:pPr>
      <w:r w:rsidRPr="005A3DEC">
        <w:rPr>
          <w:rFonts w:ascii="Arial" w:hAnsi="Arial" w:cs="Arial"/>
          <w:sz w:val="24"/>
          <w:szCs w:val="24"/>
        </w:rPr>
        <w:t>Eskom constructed extra coal stock capacity to accommodate supply above burn while the production ramps up. The additional stockpiles mitigate the take-or-pay</w:t>
      </w:r>
      <w:r>
        <w:rPr>
          <w:rFonts w:ascii="Arial" w:hAnsi="Arial" w:cs="Arial"/>
          <w:sz w:val="24"/>
          <w:szCs w:val="24"/>
        </w:rPr>
        <w:t xml:space="preserve"> penalty;</w:t>
      </w:r>
      <w:r w:rsidRPr="005A3DEC">
        <w:rPr>
          <w:rFonts w:ascii="Arial" w:hAnsi="Arial" w:cs="Arial"/>
          <w:sz w:val="24"/>
          <w:szCs w:val="24"/>
        </w:rPr>
        <w:t xml:space="preserve"> however</w:t>
      </w:r>
      <w:r>
        <w:rPr>
          <w:rFonts w:ascii="Arial" w:hAnsi="Arial" w:cs="Arial"/>
          <w:sz w:val="24"/>
          <w:szCs w:val="24"/>
        </w:rPr>
        <w:t>,</w:t>
      </w:r>
      <w:r w:rsidRPr="005A3DEC">
        <w:rPr>
          <w:rFonts w:ascii="Arial" w:hAnsi="Arial" w:cs="Arial"/>
          <w:sz w:val="24"/>
          <w:szCs w:val="24"/>
        </w:rPr>
        <w:t xml:space="preserve"> </w:t>
      </w:r>
      <w:r>
        <w:rPr>
          <w:rFonts w:ascii="Arial" w:hAnsi="Arial" w:cs="Arial"/>
          <w:sz w:val="24"/>
          <w:szCs w:val="24"/>
        </w:rPr>
        <w:t xml:space="preserve">they </w:t>
      </w:r>
      <w:r w:rsidRPr="005A3DEC">
        <w:rPr>
          <w:rFonts w:ascii="Arial" w:hAnsi="Arial" w:cs="Arial"/>
          <w:sz w:val="24"/>
          <w:szCs w:val="24"/>
        </w:rPr>
        <w:t xml:space="preserve">do not completely eliminate the risk. Other production interruptions and plant breakdowns can stop the offtake of coal, e.g. the breakdown of conveyor belts or labour strikes. </w:t>
      </w:r>
    </w:p>
    <w:p w14:paraId="4DE53DE5" w14:textId="03C9449D" w:rsidR="00805589" w:rsidRDefault="00805589" w:rsidP="00805589">
      <w:pPr>
        <w:spacing w:after="0" w:line="360" w:lineRule="auto"/>
        <w:jc w:val="both"/>
        <w:rPr>
          <w:rFonts w:ascii="Arial" w:hAnsi="Arial" w:cs="Arial"/>
          <w:sz w:val="24"/>
          <w:szCs w:val="24"/>
        </w:rPr>
      </w:pPr>
      <w:r w:rsidRPr="005A3DEC">
        <w:rPr>
          <w:rFonts w:ascii="Arial" w:hAnsi="Arial" w:cs="Arial"/>
          <w:sz w:val="24"/>
          <w:szCs w:val="24"/>
        </w:rPr>
        <w:t>The contract entered into with Exxaro Coal (Pty) Ltd in 2008 is a long-term fixed-price contract, linked to an escalation index contract.</w:t>
      </w:r>
      <w:r>
        <w:rPr>
          <w:rFonts w:ascii="Arial" w:hAnsi="Arial" w:cs="Arial"/>
          <w:sz w:val="24"/>
          <w:szCs w:val="24"/>
        </w:rPr>
        <w:t xml:space="preserve">  </w:t>
      </w:r>
      <w:r w:rsidRPr="005A3DEC">
        <w:rPr>
          <w:rFonts w:ascii="Arial" w:hAnsi="Arial" w:cs="Arial"/>
          <w:sz w:val="24"/>
          <w:szCs w:val="24"/>
        </w:rPr>
        <w:t xml:space="preserve">Due to the delays in the commissioning of Medupi Power Station Eskom became liable for under-offtake penalties as per the provisions of the </w:t>
      </w:r>
      <w:r w:rsidR="00A824EB">
        <w:rPr>
          <w:rFonts w:ascii="Arial" w:hAnsi="Arial" w:cs="Arial"/>
          <w:sz w:val="24"/>
          <w:szCs w:val="24"/>
        </w:rPr>
        <w:t>Coal Supply Agreement</w:t>
      </w:r>
      <w:r w:rsidRPr="005A3DEC">
        <w:rPr>
          <w:rFonts w:ascii="Arial" w:hAnsi="Arial" w:cs="Arial"/>
          <w:sz w:val="24"/>
          <w:szCs w:val="24"/>
        </w:rPr>
        <w:t xml:space="preserve">. </w:t>
      </w:r>
    </w:p>
    <w:p w14:paraId="7DDEEE96" w14:textId="77777777" w:rsidR="00805589" w:rsidRPr="005A3DEC" w:rsidRDefault="00805589" w:rsidP="00805589">
      <w:pPr>
        <w:spacing w:after="0" w:line="360" w:lineRule="auto"/>
        <w:jc w:val="both"/>
        <w:rPr>
          <w:rFonts w:ascii="Arial" w:hAnsi="Arial" w:cs="Arial"/>
          <w:sz w:val="24"/>
          <w:szCs w:val="24"/>
        </w:rPr>
      </w:pPr>
    </w:p>
    <w:p w14:paraId="6E8460FE" w14:textId="77777777" w:rsidR="00805589" w:rsidRPr="005A3DEC" w:rsidRDefault="00805589" w:rsidP="00805589">
      <w:pPr>
        <w:spacing w:after="120" w:line="360" w:lineRule="auto"/>
        <w:jc w:val="both"/>
        <w:rPr>
          <w:rFonts w:ascii="Arial" w:hAnsi="Arial" w:cs="Arial"/>
          <w:sz w:val="24"/>
          <w:szCs w:val="24"/>
        </w:rPr>
      </w:pPr>
      <w:r w:rsidRPr="005A3DEC">
        <w:rPr>
          <w:rFonts w:ascii="Arial" w:hAnsi="Arial" w:cs="Arial"/>
          <w:sz w:val="24"/>
          <w:szCs w:val="24"/>
        </w:rPr>
        <w:t xml:space="preserve">Had Medupi construction been on schedule, completed on time but Grootegeluk mine construction/expansion delayed, Eskom would have claimed undersupply penalties from Exxaro. The under-supply penalties would have been calculated on the same basis as the under-offtake penalties Eskom has paid to date. It is unfortunate that Eskom is </w:t>
      </w:r>
      <w:r>
        <w:rPr>
          <w:rFonts w:ascii="Arial" w:hAnsi="Arial" w:cs="Arial"/>
          <w:sz w:val="24"/>
          <w:szCs w:val="24"/>
        </w:rPr>
        <w:t xml:space="preserve">the </w:t>
      </w:r>
      <w:r w:rsidRPr="005A3DEC">
        <w:rPr>
          <w:rFonts w:ascii="Arial" w:hAnsi="Arial" w:cs="Arial"/>
          <w:sz w:val="24"/>
          <w:szCs w:val="24"/>
        </w:rPr>
        <w:t>late party in this case.</w:t>
      </w:r>
    </w:p>
    <w:p w14:paraId="6789D234" w14:textId="77777777" w:rsidR="00805589" w:rsidRPr="005A3DEC" w:rsidRDefault="00805589" w:rsidP="00805589">
      <w:pPr>
        <w:spacing w:after="120" w:line="360" w:lineRule="auto"/>
        <w:jc w:val="both"/>
        <w:rPr>
          <w:rFonts w:ascii="Arial" w:hAnsi="Arial" w:cs="Arial"/>
          <w:sz w:val="24"/>
          <w:szCs w:val="24"/>
        </w:rPr>
      </w:pPr>
      <w:r w:rsidRPr="005A3DEC">
        <w:rPr>
          <w:rFonts w:ascii="Arial" w:hAnsi="Arial" w:cs="Arial"/>
          <w:sz w:val="24"/>
          <w:szCs w:val="24"/>
        </w:rPr>
        <w:t>The benefits of a performance guarantee in the form of take or penalties are:</w:t>
      </w:r>
    </w:p>
    <w:p w14:paraId="2D51FE51" w14:textId="77777777" w:rsidR="00805589" w:rsidRPr="005A3DEC" w:rsidRDefault="00805589" w:rsidP="00FF67FD">
      <w:pPr>
        <w:pStyle w:val="ListParagraph"/>
        <w:numPr>
          <w:ilvl w:val="0"/>
          <w:numId w:val="8"/>
        </w:numPr>
        <w:spacing w:after="0" w:line="360" w:lineRule="auto"/>
        <w:jc w:val="both"/>
        <w:rPr>
          <w:rFonts w:ascii="Arial" w:hAnsi="Arial" w:cs="Arial"/>
          <w:sz w:val="24"/>
          <w:szCs w:val="24"/>
        </w:rPr>
      </w:pPr>
      <w:r w:rsidRPr="005A3DEC">
        <w:rPr>
          <w:rFonts w:ascii="Arial" w:hAnsi="Arial" w:cs="Arial"/>
          <w:sz w:val="24"/>
          <w:szCs w:val="24"/>
        </w:rPr>
        <w:t>Suppliers can raise significant capital to construct dedicated collieries to meet Eskom long-term coal requirements.</w:t>
      </w:r>
    </w:p>
    <w:p w14:paraId="3D9632B5" w14:textId="77777777" w:rsidR="00805589" w:rsidRPr="005A3DEC" w:rsidRDefault="00805589" w:rsidP="00FF67FD">
      <w:pPr>
        <w:pStyle w:val="ListParagraph"/>
        <w:numPr>
          <w:ilvl w:val="0"/>
          <w:numId w:val="8"/>
        </w:numPr>
        <w:spacing w:after="0" w:line="360" w:lineRule="auto"/>
        <w:jc w:val="both"/>
        <w:rPr>
          <w:rFonts w:ascii="Arial" w:hAnsi="Arial" w:cs="Arial"/>
          <w:sz w:val="24"/>
          <w:szCs w:val="24"/>
        </w:rPr>
      </w:pPr>
      <w:r w:rsidRPr="005A3DEC">
        <w:rPr>
          <w:rFonts w:ascii="Arial" w:hAnsi="Arial" w:cs="Arial"/>
          <w:sz w:val="24"/>
          <w:szCs w:val="24"/>
        </w:rPr>
        <w:lastRenderedPageBreak/>
        <w:t xml:space="preserve">Certainty of </w:t>
      </w:r>
      <w:r>
        <w:rPr>
          <w:rFonts w:ascii="Arial" w:hAnsi="Arial" w:cs="Arial"/>
          <w:sz w:val="24"/>
          <w:szCs w:val="24"/>
        </w:rPr>
        <w:t xml:space="preserve">long term </w:t>
      </w:r>
      <w:r w:rsidRPr="005A3DEC">
        <w:rPr>
          <w:rFonts w:ascii="Arial" w:hAnsi="Arial" w:cs="Arial"/>
          <w:sz w:val="24"/>
          <w:szCs w:val="24"/>
        </w:rPr>
        <w:t>coal supply and production planning.</w:t>
      </w:r>
    </w:p>
    <w:p w14:paraId="462415F5" w14:textId="77777777" w:rsidR="00805589" w:rsidRPr="005A3DEC" w:rsidRDefault="00805589" w:rsidP="00FF67FD">
      <w:pPr>
        <w:pStyle w:val="ListParagraph"/>
        <w:numPr>
          <w:ilvl w:val="0"/>
          <w:numId w:val="8"/>
        </w:numPr>
        <w:spacing w:after="0" w:line="360" w:lineRule="auto"/>
        <w:jc w:val="both"/>
        <w:rPr>
          <w:rFonts w:ascii="Arial" w:hAnsi="Arial" w:cs="Arial"/>
          <w:sz w:val="24"/>
          <w:szCs w:val="24"/>
        </w:rPr>
      </w:pPr>
      <w:r w:rsidRPr="005A3DEC">
        <w:rPr>
          <w:rFonts w:ascii="Arial" w:hAnsi="Arial" w:cs="Arial"/>
          <w:sz w:val="24"/>
          <w:szCs w:val="24"/>
        </w:rPr>
        <w:t>Predictable electricity supply.</w:t>
      </w:r>
    </w:p>
    <w:p w14:paraId="716B276D" w14:textId="77777777" w:rsidR="00805589" w:rsidRPr="005A3DEC" w:rsidRDefault="00805589" w:rsidP="00FF67FD">
      <w:pPr>
        <w:pStyle w:val="ListParagraph"/>
        <w:numPr>
          <w:ilvl w:val="0"/>
          <w:numId w:val="8"/>
        </w:numPr>
        <w:spacing w:after="0" w:line="360" w:lineRule="auto"/>
        <w:jc w:val="both"/>
        <w:rPr>
          <w:rFonts w:ascii="Arial" w:hAnsi="Arial" w:cs="Arial"/>
          <w:sz w:val="24"/>
          <w:szCs w:val="24"/>
        </w:rPr>
      </w:pPr>
      <w:r w:rsidRPr="005A3DEC">
        <w:rPr>
          <w:rFonts w:ascii="Arial" w:hAnsi="Arial" w:cs="Arial"/>
          <w:sz w:val="24"/>
          <w:szCs w:val="24"/>
        </w:rPr>
        <w:t>Guarantee that suppliers will not chase other lucrative markets for better prices, compromising Eskom supply.</w:t>
      </w:r>
    </w:p>
    <w:p w14:paraId="36D46F1E" w14:textId="77777777" w:rsidR="00805589" w:rsidRPr="005A3DEC" w:rsidRDefault="00805589" w:rsidP="00FF67FD">
      <w:pPr>
        <w:pStyle w:val="ListParagraph"/>
        <w:numPr>
          <w:ilvl w:val="0"/>
          <w:numId w:val="8"/>
        </w:numPr>
        <w:spacing w:after="0" w:line="360" w:lineRule="auto"/>
        <w:jc w:val="both"/>
        <w:rPr>
          <w:rFonts w:ascii="Arial" w:hAnsi="Arial" w:cs="Arial"/>
          <w:sz w:val="24"/>
          <w:szCs w:val="24"/>
        </w:rPr>
      </w:pPr>
      <w:r w:rsidRPr="005A3DEC">
        <w:rPr>
          <w:rFonts w:ascii="Arial" w:hAnsi="Arial" w:cs="Arial"/>
          <w:sz w:val="24"/>
          <w:szCs w:val="24"/>
        </w:rPr>
        <w:t xml:space="preserve">Eskom and miners will not end with stranded high value assets. </w:t>
      </w:r>
    </w:p>
    <w:p w14:paraId="0EB7A8BE" w14:textId="77777777" w:rsidR="00805589" w:rsidRDefault="00805589" w:rsidP="00805589">
      <w:pPr>
        <w:spacing w:after="0" w:line="360" w:lineRule="auto"/>
        <w:jc w:val="both"/>
        <w:rPr>
          <w:rFonts w:ascii="Arial" w:hAnsi="Arial" w:cs="Arial"/>
          <w:sz w:val="24"/>
          <w:szCs w:val="24"/>
        </w:rPr>
      </w:pPr>
    </w:p>
    <w:p w14:paraId="15D761A5" w14:textId="77777777" w:rsidR="00805589" w:rsidRPr="005A3DEC" w:rsidRDefault="00805589" w:rsidP="00805589">
      <w:pPr>
        <w:spacing w:after="0" w:line="360" w:lineRule="auto"/>
        <w:jc w:val="both"/>
        <w:rPr>
          <w:rFonts w:ascii="Arial" w:hAnsi="Arial" w:cs="Arial"/>
          <w:sz w:val="24"/>
          <w:szCs w:val="24"/>
        </w:rPr>
      </w:pPr>
      <w:r>
        <w:rPr>
          <w:rFonts w:ascii="Arial" w:hAnsi="Arial" w:cs="Arial"/>
          <w:sz w:val="24"/>
          <w:szCs w:val="24"/>
        </w:rPr>
        <w:t>Below is an</w:t>
      </w:r>
      <w:r w:rsidRPr="005A3DEC">
        <w:rPr>
          <w:rFonts w:ascii="Arial" w:hAnsi="Arial" w:cs="Arial"/>
          <w:sz w:val="24"/>
          <w:szCs w:val="24"/>
        </w:rPr>
        <w:t xml:space="preserve"> illustration</w:t>
      </w:r>
      <w:r>
        <w:rPr>
          <w:rFonts w:ascii="Arial" w:hAnsi="Arial" w:cs="Arial"/>
          <w:sz w:val="24"/>
          <w:szCs w:val="24"/>
        </w:rPr>
        <w:t xml:space="preserve"> of fixed price </w:t>
      </w:r>
      <w:r w:rsidRPr="005A3DEC">
        <w:rPr>
          <w:rFonts w:ascii="Arial" w:hAnsi="Arial" w:cs="Arial"/>
          <w:sz w:val="24"/>
          <w:szCs w:val="24"/>
        </w:rPr>
        <w:t xml:space="preserve">penalty calculations for failure to supply by </w:t>
      </w:r>
      <w:r>
        <w:rPr>
          <w:rFonts w:ascii="Arial" w:hAnsi="Arial" w:cs="Arial"/>
          <w:sz w:val="24"/>
          <w:szCs w:val="24"/>
        </w:rPr>
        <w:t>Exxaro</w:t>
      </w:r>
      <w:r w:rsidRPr="005A3DEC">
        <w:rPr>
          <w:rFonts w:ascii="Arial" w:hAnsi="Arial" w:cs="Arial"/>
          <w:sz w:val="24"/>
          <w:szCs w:val="24"/>
        </w:rPr>
        <w:t xml:space="preserve"> and failure to offtake by Eskom:</w:t>
      </w:r>
    </w:p>
    <w:p w14:paraId="02C9B62F" w14:textId="77777777" w:rsidR="00805589" w:rsidRPr="005A3DEC" w:rsidRDefault="00805589" w:rsidP="00805589">
      <w:pPr>
        <w:rPr>
          <w:rFonts w:ascii="Arial" w:hAnsi="Arial" w:cs="Arial"/>
          <w:sz w:val="24"/>
          <w:szCs w:val="24"/>
        </w:rPr>
      </w:pPr>
    </w:p>
    <w:tbl>
      <w:tblPr>
        <w:tblStyle w:val="TableGrid"/>
        <w:tblW w:w="9620" w:type="dxa"/>
        <w:tblInd w:w="-113" w:type="dxa"/>
        <w:tblLook w:val="04A0" w:firstRow="1" w:lastRow="0" w:firstColumn="1" w:lastColumn="0" w:noHBand="0" w:noVBand="1"/>
      </w:tblPr>
      <w:tblGrid>
        <w:gridCol w:w="1526"/>
        <w:gridCol w:w="5670"/>
        <w:gridCol w:w="2424"/>
      </w:tblGrid>
      <w:tr w:rsidR="00805589" w:rsidRPr="005A3DEC" w14:paraId="29800A49" w14:textId="77777777" w:rsidTr="00A16047">
        <w:trPr>
          <w:trHeight w:val="406"/>
        </w:trPr>
        <w:tc>
          <w:tcPr>
            <w:tcW w:w="1526" w:type="dxa"/>
          </w:tcPr>
          <w:p w14:paraId="0F5EE83E" w14:textId="77777777" w:rsidR="00805589" w:rsidRPr="005A3DEC" w:rsidRDefault="00805589" w:rsidP="00A16047">
            <w:pPr>
              <w:rPr>
                <w:rFonts w:ascii="Arial" w:hAnsi="Arial" w:cs="Arial"/>
                <w:b/>
                <w:sz w:val="22"/>
                <w:szCs w:val="22"/>
              </w:rPr>
            </w:pPr>
          </w:p>
        </w:tc>
        <w:tc>
          <w:tcPr>
            <w:tcW w:w="5670" w:type="dxa"/>
          </w:tcPr>
          <w:p w14:paraId="47004AB9" w14:textId="77777777" w:rsidR="00805589" w:rsidRPr="005A3DEC" w:rsidRDefault="00805589" w:rsidP="00A16047">
            <w:pPr>
              <w:rPr>
                <w:rFonts w:ascii="Arial" w:hAnsi="Arial" w:cs="Arial"/>
                <w:b/>
                <w:sz w:val="22"/>
                <w:szCs w:val="22"/>
              </w:rPr>
            </w:pPr>
            <w:r w:rsidRPr="005A3DEC">
              <w:rPr>
                <w:rFonts w:ascii="Arial" w:hAnsi="Arial" w:cs="Arial"/>
                <w:b/>
                <w:sz w:val="22"/>
                <w:szCs w:val="22"/>
              </w:rPr>
              <w:t xml:space="preserve">Action  </w:t>
            </w:r>
          </w:p>
        </w:tc>
        <w:tc>
          <w:tcPr>
            <w:tcW w:w="2424" w:type="dxa"/>
          </w:tcPr>
          <w:p w14:paraId="713F6E86" w14:textId="77777777" w:rsidR="00805589" w:rsidRPr="005A3DEC" w:rsidRDefault="00805589" w:rsidP="00A16047">
            <w:pPr>
              <w:rPr>
                <w:rFonts w:ascii="Arial" w:hAnsi="Arial" w:cs="Arial"/>
                <w:b/>
                <w:sz w:val="22"/>
                <w:szCs w:val="22"/>
              </w:rPr>
            </w:pPr>
            <w:r w:rsidRPr="005A3DEC">
              <w:rPr>
                <w:rFonts w:ascii="Arial" w:hAnsi="Arial" w:cs="Arial"/>
                <w:b/>
                <w:sz w:val="22"/>
                <w:szCs w:val="22"/>
              </w:rPr>
              <w:t>Penalty Calculation</w:t>
            </w:r>
          </w:p>
        </w:tc>
      </w:tr>
      <w:tr w:rsidR="00805589" w:rsidRPr="005A3DEC" w14:paraId="51C3B475" w14:textId="77777777" w:rsidTr="00A16047">
        <w:trPr>
          <w:trHeight w:val="670"/>
        </w:trPr>
        <w:tc>
          <w:tcPr>
            <w:tcW w:w="1526" w:type="dxa"/>
          </w:tcPr>
          <w:p w14:paraId="301752E2" w14:textId="77777777" w:rsidR="00805589" w:rsidRPr="005A3DEC" w:rsidRDefault="00805589" w:rsidP="00A16047">
            <w:pPr>
              <w:rPr>
                <w:rFonts w:ascii="Arial" w:hAnsi="Arial" w:cs="Arial"/>
                <w:sz w:val="24"/>
                <w:szCs w:val="24"/>
              </w:rPr>
            </w:pPr>
            <w:r>
              <w:rPr>
                <w:rFonts w:ascii="Arial" w:hAnsi="Arial" w:cs="Arial"/>
                <w:sz w:val="24"/>
                <w:szCs w:val="24"/>
              </w:rPr>
              <w:t>Under-Supply</w:t>
            </w:r>
            <w:r w:rsidRPr="005A3DEC">
              <w:rPr>
                <w:rFonts w:ascii="Arial" w:hAnsi="Arial" w:cs="Arial"/>
                <w:sz w:val="24"/>
                <w:szCs w:val="24"/>
              </w:rPr>
              <w:t xml:space="preserve"> </w:t>
            </w:r>
          </w:p>
        </w:tc>
        <w:tc>
          <w:tcPr>
            <w:tcW w:w="5670" w:type="dxa"/>
          </w:tcPr>
          <w:p w14:paraId="09D38311" w14:textId="77777777" w:rsidR="00805589" w:rsidRPr="005A3DEC" w:rsidRDefault="00805589" w:rsidP="00A16047">
            <w:pPr>
              <w:jc w:val="left"/>
              <w:rPr>
                <w:rFonts w:ascii="Arial" w:hAnsi="Arial" w:cs="Arial"/>
                <w:sz w:val="24"/>
                <w:szCs w:val="24"/>
              </w:rPr>
            </w:pPr>
            <w:r w:rsidRPr="005A3DEC">
              <w:rPr>
                <w:rFonts w:ascii="Arial" w:hAnsi="Arial" w:cs="Arial"/>
                <w:sz w:val="24"/>
                <w:szCs w:val="24"/>
              </w:rPr>
              <w:t xml:space="preserve">Eskom charges the supplier a fixed R/ton based on the </w:t>
            </w:r>
            <w:r>
              <w:rPr>
                <w:rFonts w:ascii="Arial" w:hAnsi="Arial" w:cs="Arial"/>
                <w:sz w:val="24"/>
                <w:szCs w:val="24"/>
              </w:rPr>
              <w:t xml:space="preserve">prevailing </w:t>
            </w:r>
            <w:r w:rsidRPr="005A3DEC">
              <w:rPr>
                <w:rFonts w:ascii="Arial" w:hAnsi="Arial" w:cs="Arial"/>
                <w:sz w:val="24"/>
                <w:szCs w:val="24"/>
              </w:rPr>
              <w:t xml:space="preserve">contract price for coal not delivered </w:t>
            </w:r>
          </w:p>
        </w:tc>
        <w:tc>
          <w:tcPr>
            <w:tcW w:w="2424" w:type="dxa"/>
          </w:tcPr>
          <w:p w14:paraId="1257EA49" w14:textId="77777777" w:rsidR="00805589" w:rsidRPr="005A3DEC" w:rsidRDefault="00805589" w:rsidP="00A16047">
            <w:pPr>
              <w:jc w:val="left"/>
              <w:rPr>
                <w:rFonts w:ascii="Arial" w:hAnsi="Arial" w:cs="Arial"/>
                <w:sz w:val="24"/>
                <w:szCs w:val="24"/>
              </w:rPr>
            </w:pPr>
            <w:r>
              <w:rPr>
                <w:rFonts w:ascii="Arial" w:hAnsi="Arial" w:cs="Arial"/>
                <w:sz w:val="24"/>
                <w:szCs w:val="24"/>
              </w:rPr>
              <w:t>Prevailing unit price (R/J</w:t>
            </w:r>
            <w:r w:rsidRPr="005A3DEC">
              <w:rPr>
                <w:rFonts w:ascii="Arial" w:hAnsi="Arial" w:cs="Arial"/>
                <w:sz w:val="24"/>
                <w:szCs w:val="24"/>
              </w:rPr>
              <w:t>)</w:t>
            </w:r>
          </w:p>
        </w:tc>
      </w:tr>
      <w:tr w:rsidR="00805589" w:rsidRPr="005A3DEC" w14:paraId="3F7ACB2C" w14:textId="77777777" w:rsidTr="00A16047">
        <w:trPr>
          <w:trHeight w:val="474"/>
        </w:trPr>
        <w:tc>
          <w:tcPr>
            <w:tcW w:w="1526" w:type="dxa"/>
          </w:tcPr>
          <w:p w14:paraId="5BEEC059" w14:textId="77777777" w:rsidR="00805589" w:rsidRPr="005A3DEC" w:rsidRDefault="00805589" w:rsidP="00A16047">
            <w:pPr>
              <w:rPr>
                <w:rFonts w:ascii="Arial" w:hAnsi="Arial" w:cs="Arial"/>
                <w:sz w:val="24"/>
                <w:szCs w:val="24"/>
              </w:rPr>
            </w:pPr>
            <w:r>
              <w:rPr>
                <w:rFonts w:ascii="Arial" w:hAnsi="Arial" w:cs="Arial"/>
                <w:sz w:val="24"/>
                <w:szCs w:val="24"/>
              </w:rPr>
              <w:t>Under-</w:t>
            </w:r>
            <w:r w:rsidRPr="005A3DEC">
              <w:rPr>
                <w:rFonts w:ascii="Arial" w:hAnsi="Arial" w:cs="Arial"/>
                <w:sz w:val="24"/>
                <w:szCs w:val="24"/>
              </w:rPr>
              <w:t xml:space="preserve">Offtake </w:t>
            </w:r>
          </w:p>
        </w:tc>
        <w:tc>
          <w:tcPr>
            <w:tcW w:w="5670" w:type="dxa"/>
          </w:tcPr>
          <w:p w14:paraId="7155F9FC" w14:textId="77777777" w:rsidR="00805589" w:rsidRPr="005A3DEC" w:rsidRDefault="00805589" w:rsidP="00A16047">
            <w:pPr>
              <w:rPr>
                <w:rFonts w:ascii="Arial" w:hAnsi="Arial" w:cs="Arial"/>
                <w:sz w:val="24"/>
                <w:szCs w:val="24"/>
              </w:rPr>
            </w:pPr>
            <w:r w:rsidRPr="005A3DEC">
              <w:rPr>
                <w:rFonts w:ascii="Arial" w:hAnsi="Arial" w:cs="Arial"/>
                <w:sz w:val="24"/>
                <w:szCs w:val="24"/>
              </w:rPr>
              <w:t>Supplier charges Eskom a fixed R/ton based on the contract price for coal not delivered</w:t>
            </w:r>
          </w:p>
        </w:tc>
        <w:tc>
          <w:tcPr>
            <w:tcW w:w="2424" w:type="dxa"/>
          </w:tcPr>
          <w:p w14:paraId="0A6428B8" w14:textId="77777777" w:rsidR="00805589" w:rsidRPr="005A3DEC" w:rsidRDefault="00805589" w:rsidP="00A16047">
            <w:pPr>
              <w:jc w:val="left"/>
              <w:rPr>
                <w:rFonts w:ascii="Arial" w:hAnsi="Arial" w:cs="Arial"/>
                <w:sz w:val="24"/>
                <w:szCs w:val="24"/>
              </w:rPr>
            </w:pPr>
            <w:r w:rsidRPr="005A3DEC">
              <w:rPr>
                <w:rFonts w:ascii="Arial" w:hAnsi="Arial" w:cs="Arial"/>
                <w:sz w:val="24"/>
                <w:szCs w:val="24"/>
              </w:rPr>
              <w:t>Prevailing unit price (R/G</w:t>
            </w:r>
            <w:r>
              <w:rPr>
                <w:rFonts w:ascii="Arial" w:hAnsi="Arial" w:cs="Arial"/>
                <w:sz w:val="24"/>
                <w:szCs w:val="24"/>
              </w:rPr>
              <w:t>J</w:t>
            </w:r>
            <w:r w:rsidRPr="005A3DEC">
              <w:rPr>
                <w:rFonts w:ascii="Arial" w:hAnsi="Arial" w:cs="Arial"/>
                <w:sz w:val="24"/>
                <w:szCs w:val="24"/>
              </w:rPr>
              <w:t>)</w:t>
            </w:r>
          </w:p>
        </w:tc>
      </w:tr>
    </w:tbl>
    <w:p w14:paraId="64D136E4" w14:textId="77777777" w:rsidR="00805589" w:rsidRPr="005A3DEC" w:rsidRDefault="00805589" w:rsidP="00805589">
      <w:pPr>
        <w:rPr>
          <w:rFonts w:ascii="Arial" w:hAnsi="Arial" w:cs="Arial"/>
        </w:rPr>
      </w:pPr>
    </w:p>
    <w:p w14:paraId="4933B5D9" w14:textId="77777777" w:rsidR="00805589" w:rsidRDefault="00805589" w:rsidP="00FF67FD">
      <w:pPr>
        <w:pStyle w:val="ListParagraph"/>
        <w:numPr>
          <w:ilvl w:val="0"/>
          <w:numId w:val="10"/>
        </w:numPr>
        <w:spacing w:line="360" w:lineRule="auto"/>
        <w:rPr>
          <w:rFonts w:ascii="Arial" w:hAnsi="Arial" w:cs="Arial"/>
          <w:sz w:val="24"/>
          <w:szCs w:val="24"/>
        </w:rPr>
      </w:pPr>
      <w:r>
        <w:rPr>
          <w:rFonts w:ascii="Arial" w:hAnsi="Arial" w:cs="Arial"/>
          <w:sz w:val="24"/>
          <w:szCs w:val="24"/>
        </w:rPr>
        <w:t xml:space="preserve">Eskom </w:t>
      </w:r>
      <w:r w:rsidRPr="00FC33D5">
        <w:rPr>
          <w:rFonts w:ascii="Arial" w:hAnsi="Arial" w:cs="Arial"/>
          <w:sz w:val="24"/>
          <w:szCs w:val="24"/>
        </w:rPr>
        <w:t xml:space="preserve">and Exxaro are </w:t>
      </w:r>
      <w:r>
        <w:rPr>
          <w:rFonts w:ascii="Arial" w:hAnsi="Arial" w:cs="Arial"/>
          <w:sz w:val="24"/>
          <w:szCs w:val="24"/>
        </w:rPr>
        <w:t xml:space="preserve">both </w:t>
      </w:r>
      <w:r w:rsidRPr="00FC33D5">
        <w:rPr>
          <w:rFonts w:ascii="Arial" w:hAnsi="Arial" w:cs="Arial"/>
          <w:sz w:val="24"/>
          <w:szCs w:val="24"/>
        </w:rPr>
        <w:t xml:space="preserve">subject to the same quantum of penalties in the event of supply or offtake non-performance. </w:t>
      </w:r>
    </w:p>
    <w:p w14:paraId="5FD42AAF" w14:textId="77777777" w:rsidR="00805589" w:rsidRPr="00FC33D5" w:rsidRDefault="00805589" w:rsidP="00FF67FD">
      <w:pPr>
        <w:pStyle w:val="ListParagraph"/>
        <w:numPr>
          <w:ilvl w:val="0"/>
          <w:numId w:val="10"/>
        </w:numPr>
        <w:spacing w:line="360" w:lineRule="auto"/>
        <w:rPr>
          <w:rFonts w:ascii="Arial" w:hAnsi="Arial" w:cs="Arial"/>
          <w:sz w:val="24"/>
          <w:szCs w:val="24"/>
        </w:rPr>
      </w:pPr>
      <w:r w:rsidRPr="00FC33D5">
        <w:rPr>
          <w:rFonts w:ascii="Arial" w:hAnsi="Arial" w:cs="Arial"/>
          <w:sz w:val="24"/>
          <w:szCs w:val="24"/>
        </w:rPr>
        <w:t>Eskom and Exxaro are both subject to the same quantum of penalties in the event of supply or offtake non-performance.</w:t>
      </w:r>
    </w:p>
    <w:p w14:paraId="69766825" w14:textId="77777777" w:rsidR="00805589" w:rsidRPr="00FC33D5" w:rsidRDefault="00805589" w:rsidP="00FF67FD">
      <w:pPr>
        <w:pStyle w:val="ListParagraph"/>
        <w:numPr>
          <w:ilvl w:val="0"/>
          <w:numId w:val="10"/>
        </w:numPr>
        <w:spacing w:line="360" w:lineRule="auto"/>
        <w:rPr>
          <w:rFonts w:ascii="Arial" w:hAnsi="Arial" w:cs="Arial"/>
          <w:sz w:val="24"/>
          <w:szCs w:val="24"/>
        </w:rPr>
      </w:pPr>
      <w:r w:rsidRPr="00FC33D5">
        <w:rPr>
          <w:rFonts w:ascii="Arial" w:hAnsi="Arial" w:cs="Arial"/>
          <w:sz w:val="24"/>
          <w:szCs w:val="24"/>
        </w:rPr>
        <w:t>Exxaro had the advantage of operating which required expansion of the mine pit and construction of additional coal washing plants.</w:t>
      </w:r>
    </w:p>
    <w:p w14:paraId="7E8634D8" w14:textId="77777777" w:rsidR="00805589" w:rsidRPr="00FC33D5" w:rsidRDefault="00805589" w:rsidP="00FF67FD">
      <w:pPr>
        <w:pStyle w:val="ListParagraph"/>
        <w:numPr>
          <w:ilvl w:val="0"/>
          <w:numId w:val="10"/>
        </w:numPr>
        <w:spacing w:line="360" w:lineRule="auto"/>
        <w:rPr>
          <w:rFonts w:ascii="Arial" w:hAnsi="Arial" w:cs="Arial"/>
          <w:sz w:val="24"/>
          <w:szCs w:val="24"/>
        </w:rPr>
      </w:pPr>
      <w:r w:rsidRPr="00FC33D5">
        <w:rPr>
          <w:rFonts w:ascii="Arial" w:hAnsi="Arial" w:cs="Arial"/>
          <w:sz w:val="24"/>
          <w:szCs w:val="24"/>
        </w:rPr>
        <w:t>Generally</w:t>
      </w:r>
      <w:r>
        <w:rPr>
          <w:rFonts w:ascii="Arial" w:hAnsi="Arial" w:cs="Arial"/>
          <w:sz w:val="24"/>
          <w:szCs w:val="24"/>
        </w:rPr>
        <w:t>,</w:t>
      </w:r>
      <w:r w:rsidRPr="00FC33D5">
        <w:rPr>
          <w:rFonts w:ascii="Arial" w:hAnsi="Arial" w:cs="Arial"/>
          <w:sz w:val="24"/>
          <w:szCs w:val="24"/>
        </w:rPr>
        <w:t xml:space="preserve"> the Lephalale coal deposits require washing to meet Medupi coal spec.</w:t>
      </w:r>
    </w:p>
    <w:p w14:paraId="7DA647C3" w14:textId="594003B4" w:rsidR="00805589" w:rsidRPr="00FC33D5" w:rsidRDefault="00805589" w:rsidP="00FF67FD">
      <w:pPr>
        <w:pStyle w:val="ListParagraph"/>
        <w:numPr>
          <w:ilvl w:val="0"/>
          <w:numId w:val="10"/>
        </w:numPr>
        <w:spacing w:line="360" w:lineRule="auto"/>
        <w:rPr>
          <w:rFonts w:ascii="Arial" w:hAnsi="Arial" w:cs="Arial"/>
          <w:sz w:val="24"/>
          <w:szCs w:val="24"/>
        </w:rPr>
      </w:pPr>
      <w:r w:rsidRPr="00FC33D5">
        <w:rPr>
          <w:rFonts w:ascii="Arial" w:hAnsi="Arial" w:cs="Arial"/>
          <w:sz w:val="24"/>
          <w:szCs w:val="24"/>
        </w:rPr>
        <w:t>Grootegeluk mine enjoys close proximity to the power station making conveyor construction</w:t>
      </w:r>
      <w:r w:rsidR="001308AC">
        <w:rPr>
          <w:rFonts w:ascii="Arial" w:hAnsi="Arial" w:cs="Arial"/>
          <w:sz w:val="24"/>
          <w:szCs w:val="24"/>
        </w:rPr>
        <w:t xml:space="preserve"> a compelling proposition</w:t>
      </w:r>
      <w:r w:rsidRPr="00FC33D5">
        <w:rPr>
          <w:rFonts w:ascii="Arial" w:hAnsi="Arial" w:cs="Arial"/>
          <w:sz w:val="24"/>
          <w:szCs w:val="24"/>
        </w:rPr>
        <w:t>.</w:t>
      </w:r>
    </w:p>
    <w:p w14:paraId="6F1C096F" w14:textId="77777777" w:rsidR="00805589" w:rsidRPr="00FC33D5" w:rsidRDefault="00805589" w:rsidP="00805589">
      <w:pPr>
        <w:pStyle w:val="ListParagraph"/>
        <w:spacing w:line="360" w:lineRule="auto"/>
        <w:rPr>
          <w:rFonts w:ascii="Arial" w:hAnsi="Arial" w:cs="Arial"/>
          <w:sz w:val="24"/>
          <w:szCs w:val="24"/>
        </w:rPr>
      </w:pPr>
    </w:p>
    <w:p w14:paraId="21A2E26F" w14:textId="4F39E3BF" w:rsidR="00805589" w:rsidRDefault="00805589" w:rsidP="00805589">
      <w:pPr>
        <w:spacing w:line="360" w:lineRule="auto"/>
        <w:rPr>
          <w:rFonts w:ascii="Arial" w:hAnsi="Arial" w:cs="Arial"/>
          <w:sz w:val="24"/>
          <w:szCs w:val="24"/>
        </w:rPr>
      </w:pPr>
      <w:r>
        <w:rPr>
          <w:rFonts w:ascii="Arial" w:hAnsi="Arial" w:cs="Arial"/>
          <w:sz w:val="24"/>
          <w:szCs w:val="24"/>
        </w:rPr>
        <w:t xml:space="preserve">Below is comparison of a </w:t>
      </w:r>
      <w:r w:rsidRPr="00032B8F">
        <w:rPr>
          <w:rFonts w:ascii="Arial" w:hAnsi="Arial" w:cs="Arial"/>
          <w:sz w:val="24"/>
          <w:szCs w:val="24"/>
        </w:rPr>
        <w:t>potential take or pay cost avoidance scenario</w:t>
      </w:r>
      <w:r>
        <w:rPr>
          <w:rFonts w:ascii="Arial" w:hAnsi="Arial" w:cs="Arial"/>
          <w:sz w:val="24"/>
          <w:szCs w:val="24"/>
        </w:rPr>
        <w:t>s had Eskom</w:t>
      </w:r>
      <w:r w:rsidRPr="00032B8F">
        <w:rPr>
          <w:rFonts w:ascii="Arial" w:hAnsi="Arial" w:cs="Arial"/>
          <w:sz w:val="24"/>
          <w:szCs w:val="24"/>
        </w:rPr>
        <w:t xml:space="preserve"> not contract</w:t>
      </w:r>
      <w:r>
        <w:rPr>
          <w:rFonts w:ascii="Arial" w:hAnsi="Arial" w:cs="Arial"/>
          <w:sz w:val="24"/>
          <w:szCs w:val="24"/>
        </w:rPr>
        <w:t>ed</w:t>
      </w:r>
      <w:r w:rsidRPr="00032B8F">
        <w:rPr>
          <w:rFonts w:ascii="Arial" w:hAnsi="Arial" w:cs="Arial"/>
          <w:sz w:val="24"/>
          <w:szCs w:val="24"/>
        </w:rPr>
        <w:t xml:space="preserve"> with Exxaro</w:t>
      </w:r>
      <w:r>
        <w:rPr>
          <w:rFonts w:ascii="Arial" w:hAnsi="Arial" w:cs="Arial"/>
          <w:sz w:val="24"/>
          <w:szCs w:val="24"/>
        </w:rPr>
        <w:t xml:space="preserve"> </w:t>
      </w:r>
      <w:r w:rsidRPr="00032B8F">
        <w:rPr>
          <w:rFonts w:ascii="Arial" w:hAnsi="Arial" w:cs="Arial"/>
          <w:sz w:val="24"/>
          <w:szCs w:val="24"/>
        </w:rPr>
        <w:t xml:space="preserve">for coal </w:t>
      </w:r>
      <w:r>
        <w:rPr>
          <w:rFonts w:ascii="Arial" w:hAnsi="Arial" w:cs="Arial"/>
          <w:sz w:val="24"/>
          <w:szCs w:val="24"/>
        </w:rPr>
        <w:t xml:space="preserve">supply </w:t>
      </w:r>
      <w:r w:rsidRPr="00032B8F">
        <w:rPr>
          <w:rFonts w:ascii="Arial" w:hAnsi="Arial" w:cs="Arial"/>
          <w:sz w:val="24"/>
          <w:szCs w:val="24"/>
        </w:rPr>
        <w:t>from Grootege</w:t>
      </w:r>
      <w:r w:rsidR="001308AC">
        <w:rPr>
          <w:rFonts w:ascii="Arial" w:hAnsi="Arial" w:cs="Arial"/>
          <w:sz w:val="24"/>
          <w:szCs w:val="24"/>
        </w:rPr>
        <w:t>l</w:t>
      </w:r>
      <w:r w:rsidRPr="00032B8F">
        <w:rPr>
          <w:rFonts w:ascii="Arial" w:hAnsi="Arial" w:cs="Arial"/>
          <w:sz w:val="24"/>
          <w:szCs w:val="24"/>
        </w:rPr>
        <w:t>uk</w:t>
      </w:r>
      <w:r>
        <w:rPr>
          <w:rFonts w:ascii="Arial" w:hAnsi="Arial" w:cs="Arial"/>
          <w:sz w:val="24"/>
          <w:szCs w:val="24"/>
        </w:rPr>
        <w:t xml:space="preserve"> mine.</w:t>
      </w:r>
    </w:p>
    <w:tbl>
      <w:tblPr>
        <w:tblStyle w:val="TableGrid"/>
        <w:tblW w:w="9067" w:type="dxa"/>
        <w:tblLook w:val="04A0" w:firstRow="1" w:lastRow="0" w:firstColumn="1" w:lastColumn="0" w:noHBand="0" w:noVBand="1"/>
      </w:tblPr>
      <w:tblGrid>
        <w:gridCol w:w="6091"/>
        <w:gridCol w:w="1559"/>
        <w:gridCol w:w="1417"/>
      </w:tblGrid>
      <w:tr w:rsidR="00805589" w:rsidRPr="008672C0" w14:paraId="1525BEE8" w14:textId="77777777" w:rsidTr="00257540">
        <w:trPr>
          <w:trHeight w:val="181"/>
        </w:trPr>
        <w:tc>
          <w:tcPr>
            <w:tcW w:w="6091" w:type="dxa"/>
            <w:shd w:val="clear" w:color="auto" w:fill="F2F2F2" w:themeFill="background1" w:themeFillShade="F2"/>
          </w:tcPr>
          <w:p w14:paraId="00D58097" w14:textId="77777777" w:rsidR="00805589" w:rsidRPr="008672C0" w:rsidRDefault="00805589" w:rsidP="00A16047">
            <w:pPr>
              <w:rPr>
                <w:rFonts w:ascii="Arial" w:hAnsi="Arial" w:cs="Arial"/>
                <w:sz w:val="22"/>
                <w:szCs w:val="18"/>
              </w:rPr>
            </w:pPr>
            <w:r w:rsidRPr="008672C0">
              <w:rPr>
                <w:rFonts w:ascii="Arial" w:hAnsi="Arial" w:cs="Arial"/>
                <w:b/>
                <w:sz w:val="22"/>
                <w:szCs w:val="18"/>
              </w:rPr>
              <w:t xml:space="preserve">Comparison </w:t>
            </w:r>
          </w:p>
        </w:tc>
        <w:tc>
          <w:tcPr>
            <w:tcW w:w="1559" w:type="dxa"/>
            <w:shd w:val="clear" w:color="auto" w:fill="F2F2F2" w:themeFill="background1" w:themeFillShade="F2"/>
          </w:tcPr>
          <w:p w14:paraId="19B2C02E" w14:textId="77777777" w:rsidR="00805589" w:rsidRPr="008672C0" w:rsidRDefault="00805589" w:rsidP="00A16047">
            <w:pPr>
              <w:jc w:val="center"/>
              <w:rPr>
                <w:rFonts w:ascii="Arial" w:hAnsi="Arial" w:cs="Arial"/>
                <w:b/>
                <w:sz w:val="22"/>
                <w:szCs w:val="18"/>
              </w:rPr>
            </w:pPr>
            <w:r w:rsidRPr="008672C0">
              <w:rPr>
                <w:rFonts w:ascii="Arial" w:hAnsi="Arial" w:cs="Arial"/>
                <w:b/>
                <w:sz w:val="22"/>
                <w:szCs w:val="18"/>
              </w:rPr>
              <w:t>Cost to Eskom</w:t>
            </w:r>
          </w:p>
          <w:p w14:paraId="79835556" w14:textId="77777777" w:rsidR="00805589" w:rsidRPr="008672C0" w:rsidRDefault="00805589" w:rsidP="00A16047">
            <w:pPr>
              <w:jc w:val="center"/>
              <w:rPr>
                <w:rFonts w:ascii="Arial" w:hAnsi="Arial" w:cs="Arial"/>
                <w:b/>
                <w:sz w:val="22"/>
                <w:szCs w:val="18"/>
              </w:rPr>
            </w:pPr>
            <w:r w:rsidRPr="008672C0">
              <w:rPr>
                <w:rFonts w:ascii="Arial" w:hAnsi="Arial" w:cs="Arial"/>
                <w:b/>
                <w:sz w:val="22"/>
                <w:szCs w:val="18"/>
              </w:rPr>
              <w:t>(FY13-FY20)</w:t>
            </w:r>
          </w:p>
        </w:tc>
        <w:tc>
          <w:tcPr>
            <w:tcW w:w="1417" w:type="dxa"/>
            <w:shd w:val="clear" w:color="auto" w:fill="F2F2F2" w:themeFill="background1" w:themeFillShade="F2"/>
          </w:tcPr>
          <w:p w14:paraId="3E6DCB87" w14:textId="77777777" w:rsidR="00805589" w:rsidRPr="008672C0" w:rsidRDefault="00805589" w:rsidP="00A16047">
            <w:pPr>
              <w:jc w:val="center"/>
              <w:rPr>
                <w:rFonts w:ascii="Arial" w:hAnsi="Arial" w:cs="Arial"/>
                <w:b/>
                <w:sz w:val="22"/>
                <w:szCs w:val="18"/>
              </w:rPr>
            </w:pPr>
            <w:r w:rsidRPr="008672C0">
              <w:rPr>
                <w:rFonts w:ascii="Arial" w:hAnsi="Arial" w:cs="Arial"/>
                <w:b/>
                <w:sz w:val="22"/>
                <w:szCs w:val="18"/>
              </w:rPr>
              <w:t>Difference</w:t>
            </w:r>
          </w:p>
        </w:tc>
      </w:tr>
      <w:tr w:rsidR="00805589" w:rsidRPr="00D300F5" w14:paraId="0D66E661" w14:textId="77777777" w:rsidTr="00A16047">
        <w:trPr>
          <w:trHeight w:val="254"/>
        </w:trPr>
        <w:tc>
          <w:tcPr>
            <w:tcW w:w="6091" w:type="dxa"/>
          </w:tcPr>
          <w:p w14:paraId="64197AFC" w14:textId="77777777" w:rsidR="00805589" w:rsidRPr="00FC33D5" w:rsidRDefault="00805589" w:rsidP="00A16047">
            <w:pPr>
              <w:jc w:val="left"/>
              <w:rPr>
                <w:rFonts w:ascii="Arial" w:hAnsi="Arial" w:cs="Arial"/>
                <w:sz w:val="24"/>
                <w:szCs w:val="24"/>
              </w:rPr>
            </w:pPr>
          </w:p>
          <w:p w14:paraId="408FF1EF" w14:textId="77777777" w:rsidR="00805589" w:rsidRPr="00FC33D5" w:rsidRDefault="00805589" w:rsidP="00A16047">
            <w:pPr>
              <w:jc w:val="left"/>
              <w:rPr>
                <w:rFonts w:ascii="Arial" w:hAnsi="Arial" w:cs="Arial"/>
                <w:sz w:val="24"/>
                <w:szCs w:val="24"/>
              </w:rPr>
            </w:pPr>
            <w:r w:rsidRPr="00FC33D5">
              <w:rPr>
                <w:rFonts w:ascii="Arial" w:hAnsi="Arial" w:cs="Arial"/>
                <w:sz w:val="24"/>
                <w:szCs w:val="24"/>
              </w:rPr>
              <w:t>Current Situation: Total actual Medupi cost incurred</w:t>
            </w:r>
          </w:p>
          <w:p w14:paraId="6D41363D" w14:textId="77777777" w:rsidR="00805589" w:rsidRPr="00FC33D5" w:rsidRDefault="00805589" w:rsidP="00A16047">
            <w:pPr>
              <w:jc w:val="left"/>
              <w:rPr>
                <w:rFonts w:ascii="Arial" w:hAnsi="Arial" w:cs="Arial"/>
                <w:sz w:val="24"/>
                <w:szCs w:val="24"/>
              </w:rPr>
            </w:pPr>
            <w:r w:rsidRPr="00FC33D5">
              <w:rPr>
                <w:rFonts w:ascii="Arial" w:hAnsi="Arial" w:cs="Arial"/>
                <w:sz w:val="24"/>
                <w:szCs w:val="24"/>
              </w:rPr>
              <w:t xml:space="preserve">Actual coal costs and penalty paid to date of R9,3Bn </w:t>
            </w:r>
          </w:p>
          <w:p w14:paraId="79CAA8E2" w14:textId="77777777" w:rsidR="00805589" w:rsidRPr="00FC33D5" w:rsidRDefault="00805589" w:rsidP="00A16047">
            <w:pPr>
              <w:jc w:val="left"/>
              <w:rPr>
                <w:rFonts w:ascii="Arial" w:hAnsi="Arial" w:cs="Arial"/>
                <w:sz w:val="24"/>
                <w:szCs w:val="24"/>
              </w:rPr>
            </w:pPr>
          </w:p>
        </w:tc>
        <w:tc>
          <w:tcPr>
            <w:tcW w:w="1559" w:type="dxa"/>
          </w:tcPr>
          <w:p w14:paraId="6EBDE780" w14:textId="77777777" w:rsidR="00805589" w:rsidRPr="00FC33D5" w:rsidRDefault="00805589" w:rsidP="00A16047">
            <w:pPr>
              <w:jc w:val="center"/>
              <w:rPr>
                <w:rFonts w:ascii="Arial" w:hAnsi="Arial" w:cs="Arial"/>
                <w:sz w:val="24"/>
                <w:szCs w:val="24"/>
              </w:rPr>
            </w:pPr>
          </w:p>
          <w:p w14:paraId="06670E04" w14:textId="77777777" w:rsidR="00805589" w:rsidRPr="00FC33D5" w:rsidRDefault="00805589" w:rsidP="00A16047">
            <w:pPr>
              <w:jc w:val="center"/>
              <w:rPr>
                <w:rFonts w:ascii="Arial" w:hAnsi="Arial" w:cs="Arial"/>
                <w:sz w:val="24"/>
                <w:szCs w:val="24"/>
              </w:rPr>
            </w:pPr>
            <w:r w:rsidRPr="00FC33D5">
              <w:rPr>
                <w:rFonts w:ascii="Arial" w:hAnsi="Arial" w:cs="Arial"/>
                <w:sz w:val="24"/>
                <w:szCs w:val="24"/>
              </w:rPr>
              <w:t>R25,3bn</w:t>
            </w:r>
          </w:p>
        </w:tc>
        <w:tc>
          <w:tcPr>
            <w:tcW w:w="1417" w:type="dxa"/>
          </w:tcPr>
          <w:p w14:paraId="3A917450" w14:textId="77777777" w:rsidR="00805589" w:rsidRPr="00FC33D5" w:rsidRDefault="00805589" w:rsidP="00A16047">
            <w:pPr>
              <w:jc w:val="center"/>
              <w:rPr>
                <w:rFonts w:ascii="Arial" w:hAnsi="Arial" w:cs="Arial"/>
                <w:sz w:val="24"/>
                <w:szCs w:val="24"/>
              </w:rPr>
            </w:pPr>
          </w:p>
          <w:p w14:paraId="7927F820" w14:textId="77777777" w:rsidR="00805589" w:rsidRPr="00FC33D5" w:rsidRDefault="00805589" w:rsidP="00A16047">
            <w:pPr>
              <w:jc w:val="center"/>
              <w:rPr>
                <w:rFonts w:ascii="Arial" w:hAnsi="Arial" w:cs="Arial"/>
                <w:sz w:val="24"/>
                <w:szCs w:val="24"/>
              </w:rPr>
            </w:pPr>
            <w:r w:rsidRPr="00FC33D5">
              <w:rPr>
                <w:rFonts w:ascii="Arial" w:hAnsi="Arial" w:cs="Arial"/>
                <w:sz w:val="24"/>
                <w:szCs w:val="24"/>
              </w:rPr>
              <w:t>N/A</w:t>
            </w:r>
          </w:p>
        </w:tc>
      </w:tr>
    </w:tbl>
    <w:p w14:paraId="135AA40B" w14:textId="77777777" w:rsidR="00D76B3E" w:rsidRDefault="00D76B3E">
      <w:r>
        <w:br w:type="page"/>
      </w:r>
    </w:p>
    <w:tbl>
      <w:tblPr>
        <w:tblStyle w:val="TableGrid"/>
        <w:tblW w:w="9067" w:type="dxa"/>
        <w:tblLook w:val="04A0" w:firstRow="1" w:lastRow="0" w:firstColumn="1" w:lastColumn="0" w:noHBand="0" w:noVBand="1"/>
      </w:tblPr>
      <w:tblGrid>
        <w:gridCol w:w="6091"/>
        <w:gridCol w:w="1559"/>
        <w:gridCol w:w="1417"/>
      </w:tblGrid>
      <w:tr w:rsidR="0047365E" w:rsidRPr="008672C0" w14:paraId="21B7BE61" w14:textId="77777777" w:rsidTr="001308AC">
        <w:trPr>
          <w:trHeight w:val="181"/>
        </w:trPr>
        <w:tc>
          <w:tcPr>
            <w:tcW w:w="6091" w:type="dxa"/>
            <w:shd w:val="clear" w:color="auto" w:fill="F2F2F2" w:themeFill="background1" w:themeFillShade="F2"/>
          </w:tcPr>
          <w:p w14:paraId="4C85CE80" w14:textId="77777777" w:rsidR="0047365E" w:rsidRPr="008672C0" w:rsidRDefault="0047365E" w:rsidP="001308AC">
            <w:pPr>
              <w:rPr>
                <w:rFonts w:ascii="Arial" w:hAnsi="Arial" w:cs="Arial"/>
                <w:sz w:val="22"/>
                <w:szCs w:val="18"/>
              </w:rPr>
            </w:pPr>
            <w:r w:rsidRPr="008672C0">
              <w:rPr>
                <w:rFonts w:ascii="Arial" w:hAnsi="Arial" w:cs="Arial"/>
                <w:b/>
                <w:sz w:val="22"/>
                <w:szCs w:val="18"/>
              </w:rPr>
              <w:lastRenderedPageBreak/>
              <w:t xml:space="preserve">Comparison </w:t>
            </w:r>
          </w:p>
        </w:tc>
        <w:tc>
          <w:tcPr>
            <w:tcW w:w="1559" w:type="dxa"/>
            <w:shd w:val="clear" w:color="auto" w:fill="F2F2F2" w:themeFill="background1" w:themeFillShade="F2"/>
          </w:tcPr>
          <w:p w14:paraId="444FEB4D" w14:textId="77777777" w:rsidR="0047365E" w:rsidRPr="008672C0" w:rsidRDefault="0047365E" w:rsidP="001308AC">
            <w:pPr>
              <w:jc w:val="center"/>
              <w:rPr>
                <w:rFonts w:ascii="Arial" w:hAnsi="Arial" w:cs="Arial"/>
                <w:b/>
                <w:sz w:val="22"/>
                <w:szCs w:val="18"/>
              </w:rPr>
            </w:pPr>
            <w:r w:rsidRPr="008672C0">
              <w:rPr>
                <w:rFonts w:ascii="Arial" w:hAnsi="Arial" w:cs="Arial"/>
                <w:b/>
                <w:sz w:val="22"/>
                <w:szCs w:val="18"/>
              </w:rPr>
              <w:t>Cost to Eskom</w:t>
            </w:r>
          </w:p>
          <w:p w14:paraId="4902CAE7" w14:textId="77777777" w:rsidR="0047365E" w:rsidRPr="008672C0" w:rsidRDefault="0047365E" w:rsidP="001308AC">
            <w:pPr>
              <w:jc w:val="center"/>
              <w:rPr>
                <w:rFonts w:ascii="Arial" w:hAnsi="Arial" w:cs="Arial"/>
                <w:b/>
                <w:sz w:val="22"/>
                <w:szCs w:val="18"/>
              </w:rPr>
            </w:pPr>
            <w:r w:rsidRPr="008672C0">
              <w:rPr>
                <w:rFonts w:ascii="Arial" w:hAnsi="Arial" w:cs="Arial"/>
                <w:b/>
                <w:sz w:val="22"/>
                <w:szCs w:val="18"/>
              </w:rPr>
              <w:t>(FY13-FY20)</w:t>
            </w:r>
          </w:p>
        </w:tc>
        <w:tc>
          <w:tcPr>
            <w:tcW w:w="1417" w:type="dxa"/>
            <w:shd w:val="clear" w:color="auto" w:fill="F2F2F2" w:themeFill="background1" w:themeFillShade="F2"/>
          </w:tcPr>
          <w:p w14:paraId="0B2EE945" w14:textId="77777777" w:rsidR="0047365E" w:rsidRPr="008672C0" w:rsidRDefault="0047365E" w:rsidP="001308AC">
            <w:pPr>
              <w:jc w:val="center"/>
              <w:rPr>
                <w:rFonts w:ascii="Arial" w:hAnsi="Arial" w:cs="Arial"/>
                <w:b/>
                <w:sz w:val="22"/>
                <w:szCs w:val="18"/>
              </w:rPr>
            </w:pPr>
            <w:r w:rsidRPr="008672C0">
              <w:rPr>
                <w:rFonts w:ascii="Arial" w:hAnsi="Arial" w:cs="Arial"/>
                <w:b/>
                <w:sz w:val="22"/>
                <w:szCs w:val="18"/>
              </w:rPr>
              <w:t>Difference</w:t>
            </w:r>
          </w:p>
        </w:tc>
      </w:tr>
      <w:tr w:rsidR="00805589" w:rsidRPr="00D300F5" w14:paraId="094B9827" w14:textId="77777777" w:rsidTr="00A16047">
        <w:trPr>
          <w:trHeight w:val="254"/>
        </w:trPr>
        <w:tc>
          <w:tcPr>
            <w:tcW w:w="6091" w:type="dxa"/>
          </w:tcPr>
          <w:p w14:paraId="3FA0C95E" w14:textId="106BD1C1" w:rsidR="00805589" w:rsidRPr="00FC33D5" w:rsidRDefault="00805589" w:rsidP="00A16047">
            <w:pPr>
              <w:rPr>
                <w:rFonts w:ascii="Arial" w:hAnsi="Arial" w:cs="Arial"/>
                <w:sz w:val="24"/>
                <w:szCs w:val="24"/>
              </w:rPr>
            </w:pPr>
          </w:p>
          <w:p w14:paraId="1659E27C" w14:textId="77777777" w:rsidR="00805589" w:rsidRPr="00FC33D5" w:rsidRDefault="00805589" w:rsidP="00A16047">
            <w:pPr>
              <w:rPr>
                <w:rFonts w:ascii="Arial" w:hAnsi="Arial" w:cs="Arial"/>
                <w:sz w:val="24"/>
                <w:szCs w:val="24"/>
                <w:lang w:val="en-US"/>
              </w:rPr>
            </w:pPr>
            <w:r w:rsidRPr="00FC33D5">
              <w:rPr>
                <w:rFonts w:ascii="Arial" w:hAnsi="Arial" w:cs="Arial"/>
                <w:sz w:val="24"/>
                <w:szCs w:val="24"/>
              </w:rPr>
              <w:t>Scenario 1: Coal from Mpumalanga</w:t>
            </w:r>
          </w:p>
          <w:p w14:paraId="11525F87" w14:textId="77777777" w:rsidR="00805589" w:rsidRPr="00FC33D5" w:rsidRDefault="00805589" w:rsidP="00A16047">
            <w:pPr>
              <w:rPr>
                <w:rFonts w:ascii="Arial" w:hAnsi="Arial" w:cs="Arial"/>
                <w:sz w:val="24"/>
                <w:szCs w:val="24"/>
              </w:rPr>
            </w:pPr>
            <w:r w:rsidRPr="00FC33D5">
              <w:rPr>
                <w:rFonts w:ascii="Arial" w:hAnsi="Arial" w:cs="Arial"/>
                <w:sz w:val="24"/>
                <w:szCs w:val="24"/>
              </w:rPr>
              <w:t>Based average contracted prices for 18.4 CV coal in Mpumalanga (As Received Basis) and current road rates ( no rail to Medupi available)</w:t>
            </w:r>
          </w:p>
          <w:p w14:paraId="20278587" w14:textId="77777777" w:rsidR="00805589" w:rsidRPr="00FC33D5" w:rsidRDefault="00805589" w:rsidP="00A16047">
            <w:pPr>
              <w:rPr>
                <w:rFonts w:ascii="Arial" w:hAnsi="Arial" w:cs="Arial"/>
                <w:sz w:val="24"/>
                <w:szCs w:val="24"/>
              </w:rPr>
            </w:pPr>
          </w:p>
        </w:tc>
        <w:tc>
          <w:tcPr>
            <w:tcW w:w="1559" w:type="dxa"/>
          </w:tcPr>
          <w:p w14:paraId="273A4A76" w14:textId="77777777" w:rsidR="00805589" w:rsidRPr="00FC33D5" w:rsidRDefault="00805589" w:rsidP="00A16047">
            <w:pPr>
              <w:jc w:val="center"/>
              <w:rPr>
                <w:rFonts w:ascii="Arial" w:hAnsi="Arial" w:cs="Arial"/>
                <w:sz w:val="24"/>
                <w:szCs w:val="24"/>
              </w:rPr>
            </w:pPr>
          </w:p>
          <w:p w14:paraId="0247501C" w14:textId="77777777" w:rsidR="00805589" w:rsidRPr="00FC33D5" w:rsidRDefault="00805589" w:rsidP="00A16047">
            <w:pPr>
              <w:jc w:val="center"/>
              <w:rPr>
                <w:rFonts w:ascii="Arial" w:hAnsi="Arial" w:cs="Arial"/>
                <w:sz w:val="24"/>
                <w:szCs w:val="24"/>
              </w:rPr>
            </w:pPr>
            <w:r w:rsidRPr="00FC33D5">
              <w:rPr>
                <w:rFonts w:ascii="Arial" w:hAnsi="Arial" w:cs="Arial"/>
                <w:sz w:val="24"/>
                <w:szCs w:val="24"/>
              </w:rPr>
              <w:t>R37,8bn</w:t>
            </w:r>
          </w:p>
        </w:tc>
        <w:tc>
          <w:tcPr>
            <w:tcW w:w="1417" w:type="dxa"/>
          </w:tcPr>
          <w:p w14:paraId="04D90157" w14:textId="77777777" w:rsidR="00805589" w:rsidRPr="00FC33D5" w:rsidRDefault="00805589" w:rsidP="00A16047">
            <w:pPr>
              <w:jc w:val="center"/>
              <w:rPr>
                <w:rFonts w:ascii="Arial" w:hAnsi="Arial" w:cs="Arial"/>
                <w:sz w:val="24"/>
                <w:szCs w:val="24"/>
              </w:rPr>
            </w:pPr>
          </w:p>
          <w:p w14:paraId="14151ECF" w14:textId="77777777" w:rsidR="00805589" w:rsidRPr="00FC33D5" w:rsidRDefault="00805589" w:rsidP="00A16047">
            <w:pPr>
              <w:jc w:val="center"/>
              <w:rPr>
                <w:rFonts w:ascii="Arial" w:hAnsi="Arial" w:cs="Arial"/>
                <w:sz w:val="24"/>
                <w:szCs w:val="24"/>
              </w:rPr>
            </w:pPr>
            <w:r w:rsidRPr="00FC33D5">
              <w:rPr>
                <w:rFonts w:ascii="Arial" w:hAnsi="Arial" w:cs="Arial"/>
                <w:sz w:val="24"/>
                <w:szCs w:val="24"/>
              </w:rPr>
              <w:t>R12,6bn</w:t>
            </w:r>
          </w:p>
        </w:tc>
      </w:tr>
      <w:tr w:rsidR="00805589" w:rsidRPr="00D300F5" w14:paraId="33A804DA" w14:textId="77777777" w:rsidTr="00A16047">
        <w:trPr>
          <w:trHeight w:val="181"/>
        </w:trPr>
        <w:tc>
          <w:tcPr>
            <w:tcW w:w="6091" w:type="dxa"/>
          </w:tcPr>
          <w:p w14:paraId="3418B3CC" w14:textId="77777777" w:rsidR="00805589" w:rsidRPr="00FC33D5" w:rsidRDefault="00805589" w:rsidP="00A16047">
            <w:pPr>
              <w:rPr>
                <w:rFonts w:ascii="Arial" w:hAnsi="Arial" w:cs="Arial"/>
                <w:sz w:val="24"/>
                <w:szCs w:val="24"/>
              </w:rPr>
            </w:pPr>
          </w:p>
          <w:p w14:paraId="32B66DF8" w14:textId="77777777" w:rsidR="00805589" w:rsidRPr="00FC33D5" w:rsidRDefault="00805589" w:rsidP="00A16047">
            <w:pPr>
              <w:rPr>
                <w:rFonts w:ascii="Arial" w:hAnsi="Arial" w:cs="Arial"/>
                <w:sz w:val="24"/>
                <w:szCs w:val="24"/>
              </w:rPr>
            </w:pPr>
            <w:r w:rsidRPr="00FC33D5">
              <w:rPr>
                <w:rFonts w:ascii="Arial" w:hAnsi="Arial" w:cs="Arial"/>
                <w:sz w:val="24"/>
                <w:szCs w:val="24"/>
              </w:rPr>
              <w:t>Scenario 2: Coal from alternatives in Lephalale</w:t>
            </w:r>
          </w:p>
          <w:p w14:paraId="1BA57E8D" w14:textId="77777777" w:rsidR="00805589" w:rsidRPr="00FC33D5" w:rsidRDefault="00805589" w:rsidP="00A16047">
            <w:pPr>
              <w:rPr>
                <w:rFonts w:ascii="Arial" w:hAnsi="Arial" w:cs="Arial"/>
                <w:sz w:val="24"/>
                <w:szCs w:val="24"/>
              </w:rPr>
            </w:pPr>
            <w:r w:rsidRPr="00FC33D5">
              <w:rPr>
                <w:rFonts w:ascii="Arial" w:hAnsi="Arial" w:cs="Arial"/>
                <w:sz w:val="24"/>
                <w:szCs w:val="24"/>
              </w:rPr>
              <w:t>Based on mine development concept level prices from three Lephalale reserve owner for 18.4 CV coal (As Received Basis) and current road rates ( no rail to Medupi available)</w:t>
            </w:r>
          </w:p>
          <w:p w14:paraId="36F4B2F0" w14:textId="77777777" w:rsidR="00805589" w:rsidRPr="00FC33D5" w:rsidRDefault="00805589" w:rsidP="00A16047">
            <w:pPr>
              <w:rPr>
                <w:rFonts w:ascii="Arial" w:hAnsi="Arial" w:cs="Arial"/>
                <w:sz w:val="24"/>
                <w:szCs w:val="24"/>
              </w:rPr>
            </w:pPr>
          </w:p>
        </w:tc>
        <w:tc>
          <w:tcPr>
            <w:tcW w:w="1559" w:type="dxa"/>
          </w:tcPr>
          <w:p w14:paraId="64817CDC" w14:textId="77777777" w:rsidR="00805589" w:rsidRPr="00FC33D5" w:rsidRDefault="00805589" w:rsidP="00A16047">
            <w:pPr>
              <w:jc w:val="center"/>
              <w:rPr>
                <w:rFonts w:ascii="Arial" w:hAnsi="Arial" w:cs="Arial"/>
                <w:sz w:val="24"/>
                <w:szCs w:val="24"/>
              </w:rPr>
            </w:pPr>
          </w:p>
          <w:p w14:paraId="569FFA02" w14:textId="77777777" w:rsidR="00805589" w:rsidRPr="00FC33D5" w:rsidRDefault="00805589" w:rsidP="00A16047">
            <w:pPr>
              <w:jc w:val="center"/>
              <w:rPr>
                <w:rFonts w:ascii="Arial" w:hAnsi="Arial" w:cs="Arial"/>
                <w:sz w:val="24"/>
                <w:szCs w:val="24"/>
              </w:rPr>
            </w:pPr>
            <w:r>
              <w:rPr>
                <w:rFonts w:ascii="Arial" w:hAnsi="Arial" w:cs="Arial"/>
                <w:sz w:val="24"/>
                <w:szCs w:val="24"/>
              </w:rPr>
              <w:t>R26</w:t>
            </w:r>
            <w:r w:rsidRPr="00FC33D5">
              <w:rPr>
                <w:rFonts w:ascii="Arial" w:hAnsi="Arial" w:cs="Arial"/>
                <w:sz w:val="24"/>
                <w:szCs w:val="24"/>
              </w:rPr>
              <w:t>,</w:t>
            </w:r>
            <w:r>
              <w:rPr>
                <w:rFonts w:ascii="Arial" w:hAnsi="Arial" w:cs="Arial"/>
                <w:sz w:val="24"/>
                <w:szCs w:val="24"/>
              </w:rPr>
              <w:t>5</w:t>
            </w:r>
            <w:r w:rsidRPr="00FC33D5">
              <w:rPr>
                <w:rFonts w:ascii="Arial" w:hAnsi="Arial" w:cs="Arial"/>
                <w:sz w:val="24"/>
                <w:szCs w:val="24"/>
              </w:rPr>
              <w:t>bn</w:t>
            </w:r>
          </w:p>
        </w:tc>
        <w:tc>
          <w:tcPr>
            <w:tcW w:w="1417" w:type="dxa"/>
          </w:tcPr>
          <w:p w14:paraId="524702C1" w14:textId="77777777" w:rsidR="00805589" w:rsidRPr="00FC33D5" w:rsidRDefault="00805589" w:rsidP="00A16047">
            <w:pPr>
              <w:jc w:val="center"/>
              <w:rPr>
                <w:rFonts w:ascii="Arial" w:hAnsi="Arial" w:cs="Arial"/>
                <w:sz w:val="24"/>
                <w:szCs w:val="24"/>
              </w:rPr>
            </w:pPr>
          </w:p>
          <w:p w14:paraId="094192C3" w14:textId="77777777" w:rsidR="00805589" w:rsidRPr="00FC33D5" w:rsidRDefault="00805589" w:rsidP="00A16047">
            <w:pPr>
              <w:jc w:val="center"/>
              <w:rPr>
                <w:rFonts w:ascii="Arial" w:hAnsi="Arial" w:cs="Arial"/>
                <w:sz w:val="24"/>
                <w:szCs w:val="24"/>
              </w:rPr>
            </w:pPr>
            <w:r>
              <w:rPr>
                <w:rFonts w:ascii="Arial" w:hAnsi="Arial" w:cs="Arial"/>
                <w:sz w:val="24"/>
                <w:szCs w:val="24"/>
              </w:rPr>
              <w:t>R1</w:t>
            </w:r>
            <w:r w:rsidRPr="00FC33D5">
              <w:rPr>
                <w:rFonts w:ascii="Arial" w:hAnsi="Arial" w:cs="Arial"/>
                <w:sz w:val="24"/>
                <w:szCs w:val="24"/>
              </w:rPr>
              <w:t>.</w:t>
            </w:r>
            <w:r>
              <w:rPr>
                <w:rFonts w:ascii="Arial" w:hAnsi="Arial" w:cs="Arial"/>
                <w:sz w:val="24"/>
                <w:szCs w:val="24"/>
              </w:rPr>
              <w:t>2</w:t>
            </w:r>
            <w:r w:rsidRPr="00FC33D5">
              <w:rPr>
                <w:rFonts w:ascii="Arial" w:hAnsi="Arial" w:cs="Arial"/>
                <w:sz w:val="24"/>
                <w:szCs w:val="24"/>
              </w:rPr>
              <w:t>bn</w:t>
            </w:r>
          </w:p>
        </w:tc>
      </w:tr>
    </w:tbl>
    <w:p w14:paraId="4FCEFA02" w14:textId="77777777" w:rsidR="00805589" w:rsidRPr="00A303A6" w:rsidRDefault="00805589" w:rsidP="00805589">
      <w:pPr>
        <w:pStyle w:val="ListParagraph"/>
        <w:spacing w:after="0" w:line="240" w:lineRule="auto"/>
        <w:ind w:left="360"/>
        <w:rPr>
          <w:rFonts w:ascii="Arial" w:eastAsia="Times New Roman" w:hAnsi="Arial" w:cs="Arial"/>
          <w:sz w:val="18"/>
          <w:szCs w:val="24"/>
        </w:rPr>
      </w:pPr>
    </w:p>
    <w:p w14:paraId="5259FE42" w14:textId="77777777" w:rsidR="00805589" w:rsidRPr="00FC33D5" w:rsidRDefault="00805589" w:rsidP="00FF67FD">
      <w:pPr>
        <w:pStyle w:val="ListParagraph"/>
        <w:numPr>
          <w:ilvl w:val="0"/>
          <w:numId w:val="9"/>
        </w:numPr>
        <w:spacing w:line="360" w:lineRule="auto"/>
        <w:jc w:val="both"/>
        <w:rPr>
          <w:rFonts w:ascii="Arial" w:hAnsi="Arial" w:cs="Arial"/>
          <w:sz w:val="24"/>
          <w:szCs w:val="24"/>
        </w:rPr>
      </w:pPr>
      <w:r w:rsidRPr="00FC33D5">
        <w:rPr>
          <w:rFonts w:ascii="Arial" w:hAnsi="Arial" w:cs="Arial"/>
          <w:sz w:val="24"/>
          <w:szCs w:val="24"/>
        </w:rPr>
        <w:t xml:space="preserve">Scenario 2 is based on </w:t>
      </w:r>
      <w:r>
        <w:rPr>
          <w:rFonts w:ascii="Arial" w:hAnsi="Arial" w:cs="Arial"/>
          <w:sz w:val="24"/>
          <w:szCs w:val="24"/>
        </w:rPr>
        <w:t>quoted prices from two miners who are currently busy developing their mines. There are</w:t>
      </w:r>
      <w:r w:rsidRPr="00FC33D5">
        <w:rPr>
          <w:rFonts w:ascii="Arial" w:hAnsi="Arial" w:cs="Arial"/>
          <w:sz w:val="24"/>
          <w:szCs w:val="24"/>
        </w:rPr>
        <w:t xml:space="preserve"> no other operating mine</w:t>
      </w:r>
      <w:r>
        <w:rPr>
          <w:rFonts w:ascii="Arial" w:hAnsi="Arial" w:cs="Arial"/>
          <w:sz w:val="24"/>
          <w:szCs w:val="24"/>
        </w:rPr>
        <w:t>s in Lephalale that could have alternatively supplied Medupi to date</w:t>
      </w:r>
      <w:r w:rsidRPr="00FC33D5">
        <w:rPr>
          <w:rFonts w:ascii="Arial" w:hAnsi="Arial" w:cs="Arial"/>
          <w:sz w:val="24"/>
          <w:szCs w:val="24"/>
        </w:rPr>
        <w:t xml:space="preserve">. The most advanced mine development project in Lephalale is to come on stream in 2022. </w:t>
      </w:r>
    </w:p>
    <w:p w14:paraId="617C1A84" w14:textId="77777777" w:rsidR="00805589" w:rsidRPr="00FC33D5" w:rsidRDefault="00805589" w:rsidP="00FF67FD">
      <w:pPr>
        <w:pStyle w:val="ListParagraph"/>
        <w:numPr>
          <w:ilvl w:val="0"/>
          <w:numId w:val="9"/>
        </w:numPr>
        <w:spacing w:line="360" w:lineRule="auto"/>
        <w:jc w:val="both"/>
        <w:rPr>
          <w:rFonts w:ascii="Arial" w:hAnsi="Arial" w:cs="Arial"/>
          <w:sz w:val="24"/>
          <w:szCs w:val="24"/>
        </w:rPr>
      </w:pPr>
      <w:r>
        <w:rPr>
          <w:rFonts w:ascii="Arial" w:hAnsi="Arial" w:cs="Arial"/>
          <w:sz w:val="24"/>
          <w:szCs w:val="24"/>
        </w:rPr>
        <w:t>Both s</w:t>
      </w:r>
      <w:r w:rsidRPr="00FC33D5">
        <w:rPr>
          <w:rFonts w:ascii="Arial" w:hAnsi="Arial" w:cs="Arial"/>
          <w:sz w:val="24"/>
          <w:szCs w:val="24"/>
        </w:rPr>
        <w:t>cenario</w:t>
      </w:r>
      <w:r>
        <w:rPr>
          <w:rFonts w:ascii="Arial" w:hAnsi="Arial" w:cs="Arial"/>
          <w:sz w:val="24"/>
          <w:szCs w:val="24"/>
        </w:rPr>
        <w:t>s</w:t>
      </w:r>
      <w:r w:rsidRPr="00FC33D5">
        <w:rPr>
          <w:rFonts w:ascii="Arial" w:hAnsi="Arial" w:cs="Arial"/>
          <w:sz w:val="24"/>
          <w:szCs w:val="24"/>
        </w:rPr>
        <w:t xml:space="preserve"> 1 and 2 would require additional capital for coal offloading infrastructure, be it rail or road, to adapt Medupi coal receiving capability, similar to Kusile.</w:t>
      </w:r>
    </w:p>
    <w:p w14:paraId="71123369" w14:textId="77777777" w:rsidR="00805589" w:rsidRPr="00FC33D5" w:rsidRDefault="00805589" w:rsidP="00FF67FD">
      <w:pPr>
        <w:pStyle w:val="ListParagraph"/>
        <w:numPr>
          <w:ilvl w:val="0"/>
          <w:numId w:val="9"/>
        </w:numPr>
        <w:spacing w:line="360" w:lineRule="auto"/>
        <w:jc w:val="both"/>
        <w:rPr>
          <w:rFonts w:ascii="Arial" w:hAnsi="Arial" w:cs="Arial"/>
          <w:sz w:val="24"/>
          <w:szCs w:val="24"/>
        </w:rPr>
      </w:pPr>
      <w:r w:rsidRPr="00FC33D5">
        <w:rPr>
          <w:rFonts w:ascii="Arial" w:hAnsi="Arial" w:cs="Arial"/>
          <w:sz w:val="24"/>
          <w:szCs w:val="24"/>
        </w:rPr>
        <w:t xml:space="preserve">The operating cost related to coal handling at the power station </w:t>
      </w:r>
      <w:r>
        <w:rPr>
          <w:rFonts w:ascii="Arial" w:hAnsi="Arial" w:cs="Arial"/>
          <w:sz w:val="24"/>
          <w:szCs w:val="24"/>
        </w:rPr>
        <w:t xml:space="preserve">on </w:t>
      </w:r>
      <w:r w:rsidRPr="00FC33D5">
        <w:rPr>
          <w:rFonts w:ascii="Arial" w:hAnsi="Arial" w:cs="Arial"/>
          <w:sz w:val="24"/>
          <w:szCs w:val="24"/>
        </w:rPr>
        <w:t xml:space="preserve">both scenarios is not included. </w:t>
      </w:r>
    </w:p>
    <w:p w14:paraId="5241717A" w14:textId="42882BC9" w:rsidR="00667565" w:rsidRPr="00257540" w:rsidRDefault="00805589" w:rsidP="00FF67FD">
      <w:pPr>
        <w:pStyle w:val="ListParagraph"/>
        <w:numPr>
          <w:ilvl w:val="0"/>
          <w:numId w:val="9"/>
        </w:numPr>
        <w:spacing w:line="360" w:lineRule="auto"/>
        <w:jc w:val="both"/>
        <w:rPr>
          <w:rFonts w:ascii="Arial" w:hAnsi="Arial" w:cs="Arial"/>
          <w:color w:val="000000"/>
          <w:sz w:val="24"/>
          <w:szCs w:val="24"/>
        </w:rPr>
      </w:pPr>
      <w:r w:rsidRPr="00257540">
        <w:rPr>
          <w:rFonts w:ascii="Arial" w:hAnsi="Arial" w:cs="Arial"/>
          <w:sz w:val="24"/>
          <w:szCs w:val="24"/>
        </w:rPr>
        <w:t>Delivering 14Mt by road to Medupi would be very difficult as witnessed already at Kusile. The country would have incurred additional costs to maintain the roads due to heavy loads.</w:t>
      </w:r>
      <w:r w:rsidR="00974907" w:rsidRPr="00257540">
        <w:rPr>
          <w:rFonts w:ascii="Arial" w:hAnsi="Arial" w:cs="Arial"/>
          <w:sz w:val="24"/>
          <w:szCs w:val="24"/>
        </w:rPr>
        <w:t xml:space="preserve"> </w:t>
      </w:r>
    </w:p>
    <w:p w14:paraId="33AB4244" w14:textId="586E5817" w:rsidR="000E75E3" w:rsidRPr="00782B80" w:rsidRDefault="00E01B12" w:rsidP="00667565">
      <w:pPr>
        <w:pStyle w:val="Heading1"/>
        <w:shd w:val="clear" w:color="auto" w:fill="DEEAF6" w:themeFill="accent1" w:themeFillTint="33"/>
        <w:ind w:left="720" w:hanging="720"/>
        <w:rPr>
          <w:color w:val="auto"/>
          <w:lang w:val="en-GB"/>
        </w:rPr>
      </w:pPr>
      <w:bookmarkStart w:id="6" w:name="_Toc52534940"/>
      <w:r>
        <w:rPr>
          <w:color w:val="auto"/>
          <w:lang w:val="en-GB"/>
        </w:rPr>
        <w:t>5</w:t>
      </w:r>
      <w:r w:rsidR="00EE639E" w:rsidRPr="00782B80">
        <w:rPr>
          <w:color w:val="auto"/>
          <w:lang w:val="en-GB"/>
        </w:rPr>
        <w:t>.</w:t>
      </w:r>
      <w:r w:rsidR="00EE639E" w:rsidRPr="00782B80">
        <w:rPr>
          <w:color w:val="auto"/>
          <w:lang w:val="en-GB"/>
        </w:rPr>
        <w:tab/>
      </w:r>
      <w:r w:rsidR="00667565">
        <w:rPr>
          <w:color w:val="auto"/>
          <w:lang w:val="en-GB"/>
        </w:rPr>
        <w:t>Cases handed over to law enforcement agencies and case number</w:t>
      </w:r>
      <w:r w:rsidR="001A2A17">
        <w:rPr>
          <w:color w:val="auto"/>
          <w:lang w:val="en-GB"/>
        </w:rPr>
        <w:t>s</w:t>
      </w:r>
      <w:r w:rsidR="00667565">
        <w:rPr>
          <w:color w:val="auto"/>
          <w:lang w:val="en-GB"/>
        </w:rPr>
        <w:t xml:space="preserve"> thereof</w:t>
      </w:r>
      <w:bookmarkEnd w:id="6"/>
    </w:p>
    <w:p w14:paraId="4C1A0896" w14:textId="77777777" w:rsidR="00DF21ED" w:rsidRPr="00782B80" w:rsidRDefault="00DF21ED">
      <w:pPr>
        <w:rPr>
          <w:rFonts w:ascii="Arial" w:hAnsi="Arial" w:cs="Arial"/>
          <w:b/>
          <w:sz w:val="24"/>
          <w:lang w:val="en-GB"/>
        </w:rPr>
      </w:pPr>
    </w:p>
    <w:p w14:paraId="24FA9B98" w14:textId="48E80040" w:rsidR="004E559D" w:rsidRDefault="004E559D" w:rsidP="004E559D">
      <w:pPr>
        <w:spacing w:after="0" w:line="360" w:lineRule="auto"/>
        <w:ind w:left="-56"/>
        <w:contextualSpacing/>
        <w:jc w:val="both"/>
        <w:rPr>
          <w:rFonts w:ascii="Arial" w:eastAsia="Times New Roman" w:hAnsi="Arial" w:cs="Arial"/>
          <w:sz w:val="24"/>
          <w:szCs w:val="20"/>
        </w:rPr>
      </w:pPr>
      <w:r w:rsidRPr="004E559D">
        <w:rPr>
          <w:rFonts w:ascii="Arial" w:eastAsia="Times New Roman" w:hAnsi="Arial" w:cs="Times New Roman"/>
          <w:sz w:val="24"/>
          <w:szCs w:val="24"/>
          <w:lang w:val="en-US"/>
        </w:rPr>
        <w:t>As at end of Q</w:t>
      </w:r>
      <w:r w:rsidR="00A824EB">
        <w:rPr>
          <w:rFonts w:ascii="Arial" w:eastAsia="Times New Roman" w:hAnsi="Arial" w:cs="Times New Roman"/>
          <w:sz w:val="24"/>
          <w:szCs w:val="24"/>
          <w:lang w:val="en-US"/>
        </w:rPr>
        <w:t xml:space="preserve">uarter </w:t>
      </w:r>
      <w:r w:rsidRPr="004E559D">
        <w:rPr>
          <w:rFonts w:ascii="Arial" w:eastAsia="Times New Roman" w:hAnsi="Arial" w:cs="Times New Roman"/>
          <w:sz w:val="24"/>
          <w:szCs w:val="24"/>
          <w:lang w:val="en-US"/>
        </w:rPr>
        <w:t xml:space="preserve">1 FY 2020/21, </w:t>
      </w:r>
      <w:r w:rsidRPr="004E559D" w:rsidDel="00C83F3F">
        <w:rPr>
          <w:rFonts w:ascii="Arial" w:eastAsia="Times New Roman" w:hAnsi="Arial" w:cs="Times New Roman"/>
          <w:sz w:val="24"/>
          <w:szCs w:val="24"/>
          <w:lang w:val="en-US"/>
        </w:rPr>
        <w:t>Fore</w:t>
      </w:r>
      <w:r w:rsidRPr="004E559D">
        <w:rPr>
          <w:rFonts w:ascii="Arial" w:eastAsia="Times New Roman" w:hAnsi="Arial" w:cs="Times New Roman"/>
          <w:sz w:val="24"/>
          <w:szCs w:val="24"/>
          <w:lang w:val="en-US"/>
        </w:rPr>
        <w:t>nsic has in total recommended 80</w:t>
      </w:r>
      <w:r w:rsidRPr="004E559D" w:rsidDel="00C83F3F">
        <w:rPr>
          <w:rFonts w:ascii="Arial" w:eastAsia="Times New Roman" w:hAnsi="Arial" w:cs="Times New Roman"/>
          <w:sz w:val="24"/>
          <w:szCs w:val="24"/>
          <w:lang w:val="en-US"/>
        </w:rPr>
        <w:t xml:space="preserve"> instances of criminal prosecution</w:t>
      </w:r>
      <w:r w:rsidRPr="004E559D">
        <w:rPr>
          <w:rFonts w:ascii="Arial" w:eastAsia="Times New Roman" w:hAnsi="Arial" w:cs="Times New Roman"/>
          <w:sz w:val="24"/>
          <w:szCs w:val="24"/>
        </w:rPr>
        <w:t>. Forensic registered 59 cases with S</w:t>
      </w:r>
      <w:r w:rsidR="00A824EB">
        <w:rPr>
          <w:rFonts w:ascii="Arial" w:eastAsia="Times New Roman" w:hAnsi="Arial" w:cs="Times New Roman"/>
          <w:sz w:val="24"/>
          <w:szCs w:val="24"/>
        </w:rPr>
        <w:t xml:space="preserve">outh </w:t>
      </w:r>
      <w:r w:rsidRPr="004E559D">
        <w:rPr>
          <w:rFonts w:ascii="Arial" w:eastAsia="Times New Roman" w:hAnsi="Arial" w:cs="Times New Roman"/>
          <w:sz w:val="24"/>
          <w:szCs w:val="24"/>
        </w:rPr>
        <w:t>A</w:t>
      </w:r>
      <w:r w:rsidR="00A824EB">
        <w:rPr>
          <w:rFonts w:ascii="Arial" w:eastAsia="Times New Roman" w:hAnsi="Arial" w:cs="Times New Roman"/>
          <w:sz w:val="24"/>
          <w:szCs w:val="24"/>
        </w:rPr>
        <w:t xml:space="preserve">frican </w:t>
      </w:r>
      <w:r w:rsidRPr="004E559D">
        <w:rPr>
          <w:rFonts w:ascii="Arial" w:eastAsia="Times New Roman" w:hAnsi="Arial" w:cs="Times New Roman"/>
          <w:sz w:val="24"/>
          <w:szCs w:val="24"/>
        </w:rPr>
        <w:t>P</w:t>
      </w:r>
      <w:r w:rsidR="00A824EB">
        <w:rPr>
          <w:rFonts w:ascii="Arial" w:eastAsia="Times New Roman" w:hAnsi="Arial" w:cs="Times New Roman"/>
          <w:sz w:val="24"/>
          <w:szCs w:val="24"/>
        </w:rPr>
        <w:t xml:space="preserve">olice </w:t>
      </w:r>
      <w:r w:rsidRPr="004E559D">
        <w:rPr>
          <w:rFonts w:ascii="Arial" w:eastAsia="Times New Roman" w:hAnsi="Arial" w:cs="Times New Roman"/>
          <w:sz w:val="24"/>
          <w:szCs w:val="24"/>
        </w:rPr>
        <w:t>S</w:t>
      </w:r>
      <w:r w:rsidR="00A824EB">
        <w:rPr>
          <w:rFonts w:ascii="Arial" w:eastAsia="Times New Roman" w:hAnsi="Arial" w:cs="Times New Roman"/>
          <w:sz w:val="24"/>
          <w:szCs w:val="24"/>
        </w:rPr>
        <w:t>ervice (SAPS)</w:t>
      </w:r>
      <w:r w:rsidRPr="004E559D">
        <w:rPr>
          <w:rFonts w:ascii="Arial" w:eastAsia="Times New Roman" w:hAnsi="Arial" w:cs="Times New Roman"/>
          <w:sz w:val="24"/>
          <w:szCs w:val="24"/>
        </w:rPr>
        <w:t xml:space="preserve"> while 21 are in the process of being registered. </w:t>
      </w:r>
      <w:r w:rsidRPr="004E559D">
        <w:rPr>
          <w:rFonts w:ascii="Arial" w:eastAsia="Times New Roman" w:hAnsi="Arial" w:cs="Arial"/>
          <w:sz w:val="24"/>
          <w:szCs w:val="20"/>
        </w:rPr>
        <w:t xml:space="preserve">Four of the registered cases have been closed by the SAPS. Details of the criminal cases are reported in the tables below. </w:t>
      </w:r>
    </w:p>
    <w:p w14:paraId="316D558F" w14:textId="3BE4BACE" w:rsidR="004438EF" w:rsidRDefault="004438EF" w:rsidP="004E559D">
      <w:pPr>
        <w:spacing w:after="0" w:line="360" w:lineRule="auto"/>
        <w:ind w:left="-56"/>
        <w:contextualSpacing/>
        <w:jc w:val="both"/>
        <w:rPr>
          <w:rFonts w:ascii="Arial" w:eastAsia="Times New Roman" w:hAnsi="Arial" w:cs="Arial"/>
          <w:sz w:val="24"/>
          <w:szCs w:val="20"/>
        </w:rPr>
      </w:pPr>
    </w:p>
    <w:p w14:paraId="50DF485A" w14:textId="77777777" w:rsidR="0047365E" w:rsidRDefault="0047365E" w:rsidP="004E559D">
      <w:pPr>
        <w:spacing w:after="0" w:line="360" w:lineRule="auto"/>
        <w:ind w:left="-56"/>
        <w:contextualSpacing/>
        <w:jc w:val="both"/>
        <w:rPr>
          <w:rFonts w:ascii="Arial" w:eastAsia="Times New Roman" w:hAnsi="Arial" w:cs="Arial"/>
          <w:sz w:val="24"/>
          <w:szCs w:val="20"/>
        </w:rPr>
      </w:pPr>
    </w:p>
    <w:p w14:paraId="16F23B9D" w14:textId="77777777" w:rsidR="004438EF" w:rsidRPr="008429ED" w:rsidRDefault="004438EF" w:rsidP="004438EF">
      <w:pPr>
        <w:spacing w:after="0" w:line="240" w:lineRule="auto"/>
        <w:rPr>
          <w:rFonts w:ascii="Arial" w:eastAsia="Times New Roman" w:hAnsi="Arial" w:cs="Times New Roman"/>
          <w:b/>
          <w:szCs w:val="24"/>
          <w:lang w:eastAsia="en-GB"/>
        </w:rPr>
      </w:pPr>
    </w:p>
    <w:p w14:paraId="65E5A7C9" w14:textId="0517C4ED" w:rsidR="004438EF" w:rsidRDefault="004438EF" w:rsidP="004438EF">
      <w:pPr>
        <w:spacing w:after="0" w:line="240" w:lineRule="auto"/>
        <w:rPr>
          <w:rFonts w:ascii="Arial" w:eastAsia="Times New Roman" w:hAnsi="Arial" w:cs="Times New Roman"/>
          <w:b/>
          <w:szCs w:val="24"/>
          <w:lang w:eastAsia="en-GB"/>
        </w:rPr>
      </w:pPr>
      <w:r w:rsidRPr="008429ED">
        <w:rPr>
          <w:rFonts w:ascii="Arial" w:eastAsia="Times New Roman" w:hAnsi="Arial" w:cs="Times New Roman"/>
          <w:b/>
          <w:szCs w:val="24"/>
          <w:lang w:eastAsia="en-GB"/>
        </w:rPr>
        <w:t>B1 - Completed criminal cases</w:t>
      </w:r>
    </w:p>
    <w:p w14:paraId="7BEA784F" w14:textId="77777777" w:rsidR="004438EF" w:rsidRPr="008429ED" w:rsidRDefault="004438EF" w:rsidP="004438EF">
      <w:pPr>
        <w:spacing w:after="0" w:line="240" w:lineRule="auto"/>
        <w:rPr>
          <w:rFonts w:ascii="Arial" w:eastAsia="Times New Roman" w:hAnsi="Arial" w:cs="Times New Roman"/>
          <w:b/>
          <w:szCs w:val="24"/>
          <w:lang w:eastAsia="en-GB"/>
        </w:rPr>
      </w:pPr>
    </w:p>
    <w:tbl>
      <w:tblPr>
        <w:tblW w:w="0" w:type="auto"/>
        <w:tblInd w:w="-5" w:type="dxa"/>
        <w:tblLook w:val="04A0" w:firstRow="1" w:lastRow="0" w:firstColumn="1" w:lastColumn="0" w:noHBand="0" w:noVBand="1"/>
      </w:tblPr>
      <w:tblGrid>
        <w:gridCol w:w="1329"/>
        <w:gridCol w:w="1363"/>
        <w:gridCol w:w="1844"/>
        <w:gridCol w:w="1134"/>
        <w:gridCol w:w="3351"/>
      </w:tblGrid>
      <w:tr w:rsidR="004438EF" w:rsidRPr="008429ED" w14:paraId="1F2CC27D" w14:textId="77777777" w:rsidTr="00257540">
        <w:trPr>
          <w:trHeight w:val="819"/>
        </w:trPr>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662BB3D" w14:textId="77777777" w:rsidR="004438EF" w:rsidRPr="008429ED" w:rsidRDefault="004438EF" w:rsidP="00A16047">
            <w:pPr>
              <w:spacing w:after="0" w:line="240" w:lineRule="auto"/>
              <w:rPr>
                <w:rFonts w:ascii="Arial" w:eastAsia="Times New Roman" w:hAnsi="Arial" w:cs="Arial"/>
                <w:b/>
                <w:bCs/>
                <w:sz w:val="20"/>
                <w:szCs w:val="20"/>
                <w:lang w:eastAsia="en-ZA"/>
              </w:rPr>
            </w:pPr>
            <w:r w:rsidRPr="008429ED">
              <w:rPr>
                <w:rFonts w:ascii="Arial" w:eastAsia="Times New Roman" w:hAnsi="Arial" w:cs="Arial"/>
                <w:b/>
                <w:bCs/>
                <w:sz w:val="20"/>
                <w:szCs w:val="20"/>
                <w:lang w:eastAsia="en-ZA"/>
              </w:rPr>
              <w:t>Criminal</w:t>
            </w:r>
            <w:r w:rsidRPr="008429ED">
              <w:rPr>
                <w:rFonts w:ascii="Arial" w:eastAsia="Times New Roman" w:hAnsi="Arial" w:cs="Arial"/>
                <w:b/>
                <w:bCs/>
                <w:sz w:val="20"/>
                <w:szCs w:val="20"/>
                <w:lang w:eastAsia="en-ZA"/>
              </w:rPr>
              <w:br/>
              <w:t>Case No</w:t>
            </w:r>
          </w:p>
        </w:tc>
        <w:tc>
          <w:tcPr>
            <w:tcW w:w="1363" w:type="dxa"/>
            <w:tcBorders>
              <w:top w:val="single" w:sz="4" w:space="0" w:color="auto"/>
              <w:left w:val="nil"/>
              <w:bottom w:val="single" w:sz="4" w:space="0" w:color="auto"/>
              <w:right w:val="single" w:sz="4" w:space="0" w:color="auto"/>
            </w:tcBorders>
            <w:shd w:val="clear" w:color="auto" w:fill="DEEAF6" w:themeFill="accent1" w:themeFillTint="33"/>
            <w:hideMark/>
          </w:tcPr>
          <w:p w14:paraId="04B5D83F" w14:textId="77777777" w:rsidR="004438EF" w:rsidRPr="008429ED" w:rsidRDefault="004438EF" w:rsidP="00A16047">
            <w:pPr>
              <w:spacing w:after="0" w:line="240" w:lineRule="auto"/>
              <w:rPr>
                <w:rFonts w:ascii="Arial" w:eastAsia="Times New Roman" w:hAnsi="Arial" w:cs="Arial"/>
                <w:b/>
                <w:bCs/>
                <w:sz w:val="20"/>
                <w:szCs w:val="20"/>
                <w:lang w:eastAsia="en-ZA"/>
              </w:rPr>
            </w:pPr>
            <w:r w:rsidRPr="008429ED">
              <w:rPr>
                <w:rFonts w:ascii="Arial" w:eastAsia="Times New Roman" w:hAnsi="Arial" w:cs="Arial"/>
                <w:b/>
                <w:bCs/>
                <w:sz w:val="20"/>
                <w:szCs w:val="20"/>
                <w:lang w:eastAsia="en-ZA"/>
              </w:rPr>
              <w:t>Forensic Case</w:t>
            </w:r>
            <w:r w:rsidRPr="008429ED">
              <w:rPr>
                <w:rFonts w:ascii="Arial" w:eastAsia="Times New Roman" w:hAnsi="Arial" w:cs="Arial"/>
                <w:b/>
                <w:bCs/>
                <w:sz w:val="20"/>
                <w:szCs w:val="20"/>
                <w:lang w:eastAsia="en-ZA"/>
              </w:rPr>
              <w:br/>
              <w:t>Number</w:t>
            </w:r>
          </w:p>
        </w:tc>
        <w:tc>
          <w:tcPr>
            <w:tcW w:w="1844" w:type="dxa"/>
            <w:tcBorders>
              <w:top w:val="single" w:sz="4" w:space="0" w:color="auto"/>
              <w:left w:val="nil"/>
              <w:bottom w:val="single" w:sz="4" w:space="0" w:color="auto"/>
              <w:right w:val="single" w:sz="4" w:space="0" w:color="auto"/>
            </w:tcBorders>
            <w:shd w:val="clear" w:color="auto" w:fill="DEEAF6" w:themeFill="accent1" w:themeFillTint="33"/>
            <w:hideMark/>
          </w:tcPr>
          <w:p w14:paraId="4F35AE7F" w14:textId="77777777" w:rsidR="004438EF" w:rsidRPr="008429ED" w:rsidRDefault="004438EF" w:rsidP="002E23AA">
            <w:pPr>
              <w:spacing w:after="0" w:line="240" w:lineRule="auto"/>
              <w:rPr>
                <w:rFonts w:ascii="Arial" w:eastAsia="Times New Roman" w:hAnsi="Arial" w:cs="Arial"/>
                <w:b/>
                <w:bCs/>
                <w:sz w:val="20"/>
                <w:szCs w:val="20"/>
                <w:lang w:eastAsia="en-ZA"/>
              </w:rPr>
            </w:pPr>
            <w:r w:rsidRPr="008429ED">
              <w:rPr>
                <w:rFonts w:ascii="Arial" w:eastAsia="Times New Roman" w:hAnsi="Arial" w:cs="Arial"/>
                <w:b/>
                <w:bCs/>
                <w:sz w:val="20"/>
                <w:szCs w:val="20"/>
                <w:lang w:eastAsia="en-ZA"/>
              </w:rPr>
              <w:t>Amount Involved</w:t>
            </w:r>
          </w:p>
        </w:tc>
        <w:tc>
          <w:tcPr>
            <w:tcW w:w="1134" w:type="dxa"/>
            <w:tcBorders>
              <w:top w:val="single" w:sz="4" w:space="0" w:color="auto"/>
              <w:left w:val="nil"/>
              <w:bottom w:val="single" w:sz="4" w:space="0" w:color="auto"/>
              <w:right w:val="single" w:sz="4" w:space="0" w:color="auto"/>
            </w:tcBorders>
            <w:shd w:val="clear" w:color="auto" w:fill="DEEAF6" w:themeFill="accent1" w:themeFillTint="33"/>
            <w:hideMark/>
          </w:tcPr>
          <w:p w14:paraId="59740E29" w14:textId="77777777" w:rsidR="004438EF" w:rsidRPr="008429ED" w:rsidRDefault="004438EF" w:rsidP="00A16047">
            <w:pPr>
              <w:spacing w:after="0" w:line="240" w:lineRule="auto"/>
              <w:rPr>
                <w:rFonts w:ascii="Arial" w:eastAsia="Times New Roman" w:hAnsi="Arial" w:cs="Arial"/>
                <w:b/>
                <w:bCs/>
                <w:sz w:val="20"/>
                <w:szCs w:val="20"/>
                <w:lang w:eastAsia="en-ZA"/>
              </w:rPr>
            </w:pPr>
            <w:r w:rsidRPr="008429ED">
              <w:rPr>
                <w:rFonts w:ascii="Arial" w:eastAsia="Times New Roman" w:hAnsi="Arial" w:cs="Arial"/>
                <w:b/>
                <w:bCs/>
                <w:sz w:val="20"/>
                <w:szCs w:val="20"/>
                <w:lang w:eastAsia="en-ZA"/>
              </w:rPr>
              <w:t>Police</w:t>
            </w:r>
            <w:r w:rsidRPr="008429ED">
              <w:rPr>
                <w:rFonts w:ascii="Arial" w:eastAsia="Times New Roman" w:hAnsi="Arial" w:cs="Arial"/>
                <w:b/>
                <w:bCs/>
                <w:sz w:val="20"/>
                <w:szCs w:val="20"/>
                <w:lang w:eastAsia="en-ZA"/>
              </w:rPr>
              <w:br/>
              <w:t>Station Name</w:t>
            </w:r>
          </w:p>
        </w:tc>
        <w:tc>
          <w:tcPr>
            <w:tcW w:w="3351" w:type="dxa"/>
            <w:tcBorders>
              <w:top w:val="single" w:sz="4" w:space="0" w:color="auto"/>
              <w:left w:val="nil"/>
              <w:bottom w:val="single" w:sz="4" w:space="0" w:color="auto"/>
              <w:right w:val="single" w:sz="4" w:space="0" w:color="auto"/>
            </w:tcBorders>
            <w:shd w:val="clear" w:color="auto" w:fill="DEEAF6" w:themeFill="accent1" w:themeFillTint="33"/>
            <w:noWrap/>
            <w:hideMark/>
          </w:tcPr>
          <w:p w14:paraId="5450146F" w14:textId="77777777" w:rsidR="004438EF" w:rsidRPr="008429ED" w:rsidRDefault="004438EF" w:rsidP="00A16047">
            <w:pPr>
              <w:spacing w:after="0" w:line="240" w:lineRule="auto"/>
              <w:rPr>
                <w:rFonts w:ascii="Arial" w:eastAsia="Times New Roman" w:hAnsi="Arial" w:cs="Arial"/>
                <w:b/>
                <w:bCs/>
                <w:sz w:val="20"/>
                <w:szCs w:val="20"/>
                <w:lang w:eastAsia="en-ZA"/>
              </w:rPr>
            </w:pPr>
            <w:r w:rsidRPr="008429ED">
              <w:rPr>
                <w:rFonts w:ascii="Arial" w:eastAsia="Times New Roman" w:hAnsi="Arial" w:cs="Arial"/>
                <w:b/>
                <w:bCs/>
                <w:sz w:val="20"/>
                <w:szCs w:val="20"/>
                <w:lang w:eastAsia="en-ZA"/>
              </w:rPr>
              <w:t>Criminal Case Outcome</w:t>
            </w:r>
          </w:p>
        </w:tc>
      </w:tr>
      <w:tr w:rsidR="004438EF" w:rsidRPr="008429ED" w14:paraId="48A93136" w14:textId="77777777" w:rsidTr="00A16047">
        <w:trPr>
          <w:trHeight w:val="552"/>
        </w:trPr>
        <w:tc>
          <w:tcPr>
            <w:tcW w:w="0" w:type="auto"/>
            <w:tcBorders>
              <w:top w:val="nil"/>
              <w:left w:val="single" w:sz="4" w:space="0" w:color="auto"/>
              <w:bottom w:val="single" w:sz="4" w:space="0" w:color="auto"/>
              <w:right w:val="single" w:sz="4" w:space="0" w:color="auto"/>
            </w:tcBorders>
            <w:shd w:val="clear" w:color="auto" w:fill="auto"/>
            <w:noWrap/>
            <w:hideMark/>
          </w:tcPr>
          <w:p w14:paraId="132DF8EC"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92/4/2018</w:t>
            </w:r>
          </w:p>
        </w:tc>
        <w:tc>
          <w:tcPr>
            <w:tcW w:w="1363" w:type="dxa"/>
            <w:tcBorders>
              <w:top w:val="nil"/>
              <w:left w:val="nil"/>
              <w:bottom w:val="single" w:sz="4" w:space="0" w:color="auto"/>
              <w:right w:val="single" w:sz="4" w:space="0" w:color="auto"/>
            </w:tcBorders>
            <w:shd w:val="clear" w:color="auto" w:fill="auto"/>
            <w:noWrap/>
            <w:hideMark/>
          </w:tcPr>
          <w:p w14:paraId="65B34275"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69/07/2017</w:t>
            </w:r>
          </w:p>
        </w:tc>
        <w:tc>
          <w:tcPr>
            <w:tcW w:w="1844" w:type="dxa"/>
            <w:tcBorders>
              <w:top w:val="nil"/>
              <w:left w:val="nil"/>
              <w:bottom w:val="single" w:sz="4" w:space="0" w:color="auto"/>
              <w:right w:val="single" w:sz="4" w:space="0" w:color="auto"/>
            </w:tcBorders>
            <w:shd w:val="clear" w:color="auto" w:fill="auto"/>
            <w:noWrap/>
            <w:hideMark/>
          </w:tcPr>
          <w:p w14:paraId="290982B5" w14:textId="77777777" w:rsidR="004438EF" w:rsidRPr="008429ED" w:rsidRDefault="004438EF" w:rsidP="002E23AA">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R 300 390.00</w:t>
            </w:r>
          </w:p>
        </w:tc>
        <w:tc>
          <w:tcPr>
            <w:tcW w:w="1134" w:type="dxa"/>
            <w:tcBorders>
              <w:top w:val="nil"/>
              <w:left w:val="nil"/>
              <w:bottom w:val="single" w:sz="4" w:space="0" w:color="auto"/>
              <w:right w:val="single" w:sz="4" w:space="0" w:color="auto"/>
            </w:tcBorders>
            <w:shd w:val="clear" w:color="auto" w:fill="auto"/>
            <w:noWrap/>
            <w:hideMark/>
          </w:tcPr>
          <w:p w14:paraId="6CE82B6C"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Lephalale</w:t>
            </w:r>
          </w:p>
        </w:tc>
        <w:tc>
          <w:tcPr>
            <w:tcW w:w="3351" w:type="dxa"/>
            <w:tcBorders>
              <w:top w:val="nil"/>
              <w:left w:val="nil"/>
              <w:bottom w:val="single" w:sz="4" w:space="0" w:color="auto"/>
              <w:right w:val="single" w:sz="4" w:space="0" w:color="auto"/>
            </w:tcBorders>
            <w:shd w:val="clear" w:color="auto" w:fill="auto"/>
            <w:noWrap/>
            <w:hideMark/>
          </w:tcPr>
          <w:p w14:paraId="21D6CDFD"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Provisionally withdrawn from the court roll.</w:t>
            </w:r>
          </w:p>
        </w:tc>
      </w:tr>
      <w:tr w:rsidR="004438EF" w:rsidRPr="008429ED" w14:paraId="4AFA5F35" w14:textId="77777777" w:rsidTr="00A16047">
        <w:trPr>
          <w:trHeight w:val="744"/>
        </w:trPr>
        <w:tc>
          <w:tcPr>
            <w:tcW w:w="0" w:type="auto"/>
            <w:tcBorders>
              <w:top w:val="nil"/>
              <w:left w:val="single" w:sz="4" w:space="0" w:color="auto"/>
              <w:bottom w:val="single" w:sz="4" w:space="0" w:color="auto"/>
              <w:right w:val="single" w:sz="4" w:space="0" w:color="auto"/>
            </w:tcBorders>
            <w:shd w:val="clear" w:color="auto" w:fill="auto"/>
            <w:noWrap/>
            <w:hideMark/>
          </w:tcPr>
          <w:p w14:paraId="1DD1B757"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797/01/2019</w:t>
            </w:r>
          </w:p>
        </w:tc>
        <w:tc>
          <w:tcPr>
            <w:tcW w:w="1363" w:type="dxa"/>
            <w:tcBorders>
              <w:top w:val="nil"/>
              <w:left w:val="nil"/>
              <w:bottom w:val="single" w:sz="4" w:space="0" w:color="auto"/>
              <w:right w:val="single" w:sz="4" w:space="0" w:color="auto"/>
            </w:tcBorders>
            <w:shd w:val="clear" w:color="auto" w:fill="auto"/>
            <w:noWrap/>
            <w:hideMark/>
          </w:tcPr>
          <w:p w14:paraId="11734C77"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05/01/2018</w:t>
            </w:r>
          </w:p>
        </w:tc>
        <w:tc>
          <w:tcPr>
            <w:tcW w:w="1844" w:type="dxa"/>
            <w:tcBorders>
              <w:top w:val="nil"/>
              <w:left w:val="nil"/>
              <w:bottom w:val="single" w:sz="4" w:space="0" w:color="auto"/>
              <w:right w:val="single" w:sz="4" w:space="0" w:color="auto"/>
            </w:tcBorders>
            <w:shd w:val="clear" w:color="auto" w:fill="auto"/>
            <w:noWrap/>
            <w:hideMark/>
          </w:tcPr>
          <w:p w14:paraId="0F492C21" w14:textId="77777777" w:rsidR="004438EF" w:rsidRPr="008429ED" w:rsidRDefault="004438EF" w:rsidP="002E23AA">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R 355 114 289.20</w:t>
            </w:r>
          </w:p>
        </w:tc>
        <w:tc>
          <w:tcPr>
            <w:tcW w:w="1134" w:type="dxa"/>
            <w:tcBorders>
              <w:top w:val="nil"/>
              <w:left w:val="nil"/>
              <w:bottom w:val="single" w:sz="4" w:space="0" w:color="auto"/>
              <w:right w:val="single" w:sz="4" w:space="0" w:color="auto"/>
            </w:tcBorders>
            <w:shd w:val="clear" w:color="auto" w:fill="auto"/>
            <w:noWrap/>
            <w:hideMark/>
          </w:tcPr>
          <w:p w14:paraId="052E98A0"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Witbank</w:t>
            </w:r>
          </w:p>
        </w:tc>
        <w:tc>
          <w:tcPr>
            <w:tcW w:w="3351" w:type="dxa"/>
            <w:tcBorders>
              <w:top w:val="nil"/>
              <w:left w:val="nil"/>
              <w:bottom w:val="single" w:sz="4" w:space="0" w:color="auto"/>
              <w:right w:val="single" w:sz="4" w:space="0" w:color="auto"/>
            </w:tcBorders>
            <w:shd w:val="clear" w:color="auto" w:fill="auto"/>
            <w:hideMark/>
          </w:tcPr>
          <w:p w14:paraId="67A1F329"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The Prosecuting Authority declined to prosecute the matter, in that there was no prospect of a successful prosecution</w:t>
            </w:r>
          </w:p>
        </w:tc>
      </w:tr>
      <w:tr w:rsidR="004438EF" w:rsidRPr="008429ED" w14:paraId="179E884C" w14:textId="77777777" w:rsidTr="00A16047">
        <w:trPr>
          <w:trHeight w:val="924"/>
        </w:trPr>
        <w:tc>
          <w:tcPr>
            <w:tcW w:w="0" w:type="auto"/>
            <w:tcBorders>
              <w:top w:val="nil"/>
              <w:left w:val="single" w:sz="4" w:space="0" w:color="auto"/>
              <w:bottom w:val="single" w:sz="4" w:space="0" w:color="auto"/>
              <w:right w:val="single" w:sz="4" w:space="0" w:color="auto"/>
            </w:tcBorders>
            <w:shd w:val="clear" w:color="auto" w:fill="auto"/>
            <w:noWrap/>
            <w:hideMark/>
          </w:tcPr>
          <w:p w14:paraId="02236301" w14:textId="4FD260E0"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183/01/2018</w:t>
            </w:r>
          </w:p>
        </w:tc>
        <w:tc>
          <w:tcPr>
            <w:tcW w:w="1363" w:type="dxa"/>
            <w:tcBorders>
              <w:top w:val="nil"/>
              <w:left w:val="nil"/>
              <w:bottom w:val="single" w:sz="4" w:space="0" w:color="auto"/>
              <w:right w:val="single" w:sz="4" w:space="0" w:color="auto"/>
            </w:tcBorders>
            <w:shd w:val="clear" w:color="auto" w:fill="auto"/>
            <w:noWrap/>
            <w:hideMark/>
          </w:tcPr>
          <w:p w14:paraId="2299BC50"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25/03/2018</w:t>
            </w:r>
          </w:p>
        </w:tc>
        <w:tc>
          <w:tcPr>
            <w:tcW w:w="1844" w:type="dxa"/>
            <w:tcBorders>
              <w:top w:val="nil"/>
              <w:left w:val="nil"/>
              <w:bottom w:val="single" w:sz="4" w:space="0" w:color="auto"/>
              <w:right w:val="single" w:sz="4" w:space="0" w:color="auto"/>
            </w:tcBorders>
            <w:shd w:val="clear" w:color="auto" w:fill="auto"/>
            <w:noWrap/>
            <w:hideMark/>
          </w:tcPr>
          <w:p w14:paraId="7ED9FD36" w14:textId="77777777" w:rsidR="004438EF" w:rsidRPr="008429ED" w:rsidRDefault="004438EF" w:rsidP="002E23AA">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R 4 272.40</w:t>
            </w:r>
          </w:p>
        </w:tc>
        <w:tc>
          <w:tcPr>
            <w:tcW w:w="1134" w:type="dxa"/>
            <w:tcBorders>
              <w:top w:val="nil"/>
              <w:left w:val="nil"/>
              <w:bottom w:val="single" w:sz="4" w:space="0" w:color="auto"/>
              <w:right w:val="single" w:sz="4" w:space="0" w:color="auto"/>
            </w:tcBorders>
            <w:shd w:val="clear" w:color="auto" w:fill="auto"/>
            <w:noWrap/>
            <w:hideMark/>
          </w:tcPr>
          <w:p w14:paraId="0BD401A6"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Volksrust</w:t>
            </w:r>
          </w:p>
        </w:tc>
        <w:tc>
          <w:tcPr>
            <w:tcW w:w="3351" w:type="dxa"/>
            <w:tcBorders>
              <w:top w:val="nil"/>
              <w:left w:val="nil"/>
              <w:bottom w:val="single" w:sz="4" w:space="0" w:color="auto"/>
              <w:right w:val="single" w:sz="4" w:space="0" w:color="auto"/>
            </w:tcBorders>
            <w:shd w:val="clear" w:color="auto" w:fill="auto"/>
            <w:hideMark/>
          </w:tcPr>
          <w:p w14:paraId="5F4FE8B0"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The former employee was convicted of fraud and sentenced to two years’ imprisonment, which was wholly suspended for five years.</w:t>
            </w:r>
          </w:p>
        </w:tc>
      </w:tr>
      <w:tr w:rsidR="004438EF" w:rsidRPr="008429ED" w14:paraId="182FB21F" w14:textId="77777777" w:rsidTr="00A16047">
        <w:trPr>
          <w:trHeight w:val="900"/>
        </w:trPr>
        <w:tc>
          <w:tcPr>
            <w:tcW w:w="0" w:type="auto"/>
            <w:tcBorders>
              <w:top w:val="nil"/>
              <w:left w:val="single" w:sz="4" w:space="0" w:color="auto"/>
              <w:bottom w:val="single" w:sz="4" w:space="0" w:color="auto"/>
              <w:right w:val="single" w:sz="4" w:space="0" w:color="auto"/>
            </w:tcBorders>
            <w:shd w:val="clear" w:color="auto" w:fill="auto"/>
            <w:noWrap/>
            <w:hideMark/>
          </w:tcPr>
          <w:p w14:paraId="37DF95B7"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183/01/2018</w:t>
            </w:r>
          </w:p>
        </w:tc>
        <w:tc>
          <w:tcPr>
            <w:tcW w:w="1363" w:type="dxa"/>
            <w:tcBorders>
              <w:top w:val="nil"/>
              <w:left w:val="nil"/>
              <w:bottom w:val="single" w:sz="4" w:space="0" w:color="auto"/>
              <w:right w:val="single" w:sz="4" w:space="0" w:color="auto"/>
            </w:tcBorders>
            <w:shd w:val="clear" w:color="auto" w:fill="auto"/>
            <w:noWrap/>
            <w:hideMark/>
          </w:tcPr>
          <w:p w14:paraId="177F599C"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25/03/2018</w:t>
            </w:r>
          </w:p>
        </w:tc>
        <w:tc>
          <w:tcPr>
            <w:tcW w:w="1844" w:type="dxa"/>
            <w:tcBorders>
              <w:top w:val="nil"/>
              <w:left w:val="nil"/>
              <w:bottom w:val="single" w:sz="4" w:space="0" w:color="auto"/>
              <w:right w:val="single" w:sz="4" w:space="0" w:color="auto"/>
            </w:tcBorders>
            <w:shd w:val="clear" w:color="auto" w:fill="auto"/>
            <w:noWrap/>
            <w:hideMark/>
          </w:tcPr>
          <w:p w14:paraId="0B9D7E22" w14:textId="77777777" w:rsidR="004438EF" w:rsidRPr="008429ED" w:rsidRDefault="004438EF" w:rsidP="002E23AA">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R 4 272.40</w:t>
            </w:r>
          </w:p>
        </w:tc>
        <w:tc>
          <w:tcPr>
            <w:tcW w:w="1134" w:type="dxa"/>
            <w:tcBorders>
              <w:top w:val="nil"/>
              <w:left w:val="nil"/>
              <w:bottom w:val="single" w:sz="4" w:space="0" w:color="auto"/>
              <w:right w:val="single" w:sz="4" w:space="0" w:color="auto"/>
            </w:tcBorders>
            <w:shd w:val="clear" w:color="auto" w:fill="auto"/>
            <w:noWrap/>
            <w:hideMark/>
          </w:tcPr>
          <w:p w14:paraId="33FC8444"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Volksrust</w:t>
            </w:r>
          </w:p>
        </w:tc>
        <w:tc>
          <w:tcPr>
            <w:tcW w:w="3351" w:type="dxa"/>
            <w:tcBorders>
              <w:top w:val="nil"/>
              <w:left w:val="nil"/>
              <w:bottom w:val="single" w:sz="4" w:space="0" w:color="auto"/>
              <w:right w:val="single" w:sz="4" w:space="0" w:color="auto"/>
            </w:tcBorders>
            <w:shd w:val="clear" w:color="auto" w:fill="auto"/>
            <w:hideMark/>
          </w:tcPr>
          <w:p w14:paraId="796AFB18" w14:textId="50D74E06" w:rsidR="004438EF" w:rsidRPr="008429ED" w:rsidRDefault="00ED2333" w:rsidP="00A16047">
            <w:pPr>
              <w:spacing w:after="0" w:line="240" w:lineRule="auto"/>
              <w:rPr>
                <w:rFonts w:ascii="Arial" w:eastAsia="Times New Roman" w:hAnsi="Arial" w:cs="Arial"/>
                <w:sz w:val="20"/>
                <w:szCs w:val="20"/>
                <w:lang w:eastAsia="en-ZA"/>
              </w:rPr>
            </w:pPr>
            <w:r>
              <w:rPr>
                <w:rFonts w:ascii="Arial" w:eastAsia="Times New Roman" w:hAnsi="Arial" w:cs="Arial"/>
                <w:sz w:val="20"/>
                <w:szCs w:val="20"/>
                <w:lang w:eastAsia="en-ZA"/>
              </w:rPr>
              <w:t xml:space="preserve">The implicated person was </w:t>
            </w:r>
            <w:r w:rsidRPr="00145DFC">
              <w:rPr>
                <w:rFonts w:ascii="Arial" w:eastAsia="Times New Roman" w:hAnsi="Arial" w:cs="Arial"/>
                <w:sz w:val="20"/>
                <w:szCs w:val="20"/>
                <w:lang w:eastAsia="en-ZA"/>
              </w:rPr>
              <w:t xml:space="preserve">not an employee </w:t>
            </w:r>
            <w:r>
              <w:rPr>
                <w:rFonts w:ascii="Arial" w:eastAsia="Times New Roman" w:hAnsi="Arial" w:cs="Arial"/>
                <w:sz w:val="20"/>
                <w:szCs w:val="20"/>
                <w:lang w:eastAsia="en-ZA"/>
              </w:rPr>
              <w:t xml:space="preserve">but was also </w:t>
            </w:r>
            <w:r w:rsidRPr="008429ED">
              <w:rPr>
                <w:rFonts w:ascii="Arial" w:eastAsia="Times New Roman" w:hAnsi="Arial" w:cs="Arial"/>
                <w:sz w:val="20"/>
                <w:szCs w:val="20"/>
                <w:lang w:eastAsia="en-ZA"/>
              </w:rPr>
              <w:t>convicted of f</w:t>
            </w:r>
            <w:r>
              <w:rPr>
                <w:rFonts w:ascii="Arial" w:eastAsia="Times New Roman" w:hAnsi="Arial" w:cs="Arial"/>
                <w:sz w:val="20"/>
                <w:szCs w:val="20"/>
                <w:lang w:eastAsia="en-ZA"/>
              </w:rPr>
              <w:t xml:space="preserve">raud and sentenced to two years </w:t>
            </w:r>
            <w:r w:rsidR="002F3E39">
              <w:rPr>
                <w:rFonts w:ascii="Arial" w:eastAsia="Times New Roman" w:hAnsi="Arial" w:cs="Arial"/>
                <w:sz w:val="20"/>
                <w:szCs w:val="20"/>
                <w:lang w:eastAsia="en-ZA"/>
              </w:rPr>
              <w:t xml:space="preserve">imprisonment, which was </w:t>
            </w:r>
            <w:r w:rsidRPr="008429ED">
              <w:rPr>
                <w:rFonts w:ascii="Arial" w:eastAsia="Times New Roman" w:hAnsi="Arial" w:cs="Arial"/>
                <w:sz w:val="20"/>
                <w:szCs w:val="20"/>
                <w:lang w:eastAsia="en-ZA"/>
              </w:rPr>
              <w:t>wholly suspended for five years.</w:t>
            </w:r>
          </w:p>
        </w:tc>
      </w:tr>
    </w:tbl>
    <w:p w14:paraId="78D10009" w14:textId="77777777" w:rsidR="004438EF" w:rsidRPr="008429ED" w:rsidRDefault="004438EF" w:rsidP="004438EF">
      <w:pPr>
        <w:spacing w:after="0" w:line="240" w:lineRule="auto"/>
        <w:rPr>
          <w:rFonts w:ascii="Arial" w:eastAsia="Times New Roman" w:hAnsi="Arial" w:cs="Arial"/>
          <w:b/>
          <w:color w:val="000000"/>
          <w:szCs w:val="24"/>
          <w:lang w:eastAsia="en-ZA"/>
        </w:rPr>
      </w:pPr>
    </w:p>
    <w:p w14:paraId="04FB62FE" w14:textId="77777777" w:rsidR="004438EF" w:rsidRPr="004438EF" w:rsidRDefault="004438EF" w:rsidP="004438EF">
      <w:pPr>
        <w:spacing w:after="0" w:line="360" w:lineRule="auto"/>
        <w:contextualSpacing/>
        <w:jc w:val="both"/>
        <w:rPr>
          <w:rFonts w:ascii="Arial" w:eastAsia="Times New Roman" w:hAnsi="Arial" w:cs="Arial"/>
          <w:color w:val="000000"/>
          <w:sz w:val="24"/>
        </w:rPr>
      </w:pPr>
      <w:r w:rsidRPr="004438EF">
        <w:rPr>
          <w:rFonts w:ascii="Arial" w:eastAsia="Times New Roman" w:hAnsi="Arial" w:cs="Arial"/>
          <w:color w:val="000000"/>
          <w:sz w:val="24"/>
        </w:rPr>
        <w:t xml:space="preserve">Eskom is concerned regarding the outcome of the last case tabled above and is in the process of reviewing its work and options to facilitate successful prosecution. </w:t>
      </w:r>
    </w:p>
    <w:p w14:paraId="7BF567A3" w14:textId="55D0A09E" w:rsidR="004438EF" w:rsidRDefault="004438EF" w:rsidP="004E559D">
      <w:pPr>
        <w:spacing w:after="0" w:line="360" w:lineRule="auto"/>
        <w:ind w:left="-56"/>
        <w:contextualSpacing/>
        <w:jc w:val="both"/>
        <w:rPr>
          <w:rFonts w:ascii="Arial" w:eastAsia="Times New Roman" w:hAnsi="Arial" w:cs="Arial"/>
          <w:sz w:val="24"/>
          <w:szCs w:val="20"/>
        </w:rPr>
      </w:pPr>
    </w:p>
    <w:p w14:paraId="0C0298F1" w14:textId="77777777" w:rsidR="004438EF" w:rsidRPr="008429ED" w:rsidRDefault="004438EF" w:rsidP="004438EF">
      <w:pPr>
        <w:spacing w:after="0" w:line="240" w:lineRule="auto"/>
        <w:rPr>
          <w:rFonts w:ascii="Arial" w:eastAsia="Times New Roman" w:hAnsi="Arial" w:cs="Times New Roman"/>
          <w:b/>
          <w:szCs w:val="24"/>
          <w:lang w:eastAsia="en-GB"/>
        </w:rPr>
      </w:pPr>
      <w:r w:rsidRPr="008429ED">
        <w:rPr>
          <w:rFonts w:ascii="Arial" w:eastAsia="Times New Roman" w:hAnsi="Arial" w:cs="Times New Roman"/>
          <w:b/>
          <w:szCs w:val="24"/>
          <w:lang w:eastAsia="en-GB"/>
        </w:rPr>
        <w:t>B2 - Cases under investigation by law enforcement agencies</w:t>
      </w:r>
    </w:p>
    <w:p w14:paraId="3FAEAC42" w14:textId="32163574" w:rsidR="004438EF" w:rsidRDefault="004438EF" w:rsidP="004E559D">
      <w:pPr>
        <w:spacing w:after="0" w:line="360" w:lineRule="auto"/>
        <w:ind w:left="-56"/>
        <w:contextualSpacing/>
        <w:jc w:val="both"/>
        <w:rPr>
          <w:rFonts w:ascii="Arial" w:eastAsia="Times New Roman" w:hAnsi="Arial" w:cs="Arial"/>
          <w:sz w:val="24"/>
          <w:szCs w:val="20"/>
        </w:rPr>
      </w:pPr>
    </w:p>
    <w:tbl>
      <w:tblPr>
        <w:tblW w:w="8789" w:type="dxa"/>
        <w:tblInd w:w="-5" w:type="dxa"/>
        <w:tblLook w:val="04A0" w:firstRow="1" w:lastRow="0" w:firstColumn="1" w:lastColumn="0" w:noHBand="0" w:noVBand="1"/>
      </w:tblPr>
      <w:tblGrid>
        <w:gridCol w:w="1480"/>
        <w:gridCol w:w="1490"/>
        <w:gridCol w:w="2559"/>
        <w:gridCol w:w="3260"/>
      </w:tblGrid>
      <w:tr w:rsidR="004438EF" w:rsidRPr="008429ED" w14:paraId="0A7C0DA9" w14:textId="77777777" w:rsidTr="00257540">
        <w:trPr>
          <w:trHeight w:val="566"/>
          <w:tblHeader/>
        </w:trPr>
        <w:tc>
          <w:tcPr>
            <w:tcW w:w="148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F8FE295" w14:textId="77777777" w:rsidR="004438EF" w:rsidRPr="008429ED" w:rsidRDefault="004438EF" w:rsidP="00A16047">
            <w:pPr>
              <w:spacing w:after="0" w:line="240" w:lineRule="auto"/>
              <w:rPr>
                <w:rFonts w:ascii="Arial" w:eastAsia="Times New Roman" w:hAnsi="Arial" w:cs="Arial"/>
                <w:b/>
                <w:bCs/>
                <w:sz w:val="20"/>
                <w:szCs w:val="20"/>
                <w:lang w:eastAsia="en-ZA"/>
              </w:rPr>
            </w:pPr>
            <w:r w:rsidRPr="008429ED">
              <w:rPr>
                <w:rFonts w:ascii="Arial" w:eastAsia="Times New Roman" w:hAnsi="Arial" w:cs="Arial"/>
                <w:b/>
                <w:bCs/>
                <w:sz w:val="20"/>
                <w:szCs w:val="20"/>
                <w:lang w:eastAsia="en-ZA"/>
              </w:rPr>
              <w:t>Criminal case no.</w:t>
            </w:r>
          </w:p>
        </w:tc>
        <w:tc>
          <w:tcPr>
            <w:tcW w:w="1490" w:type="dxa"/>
            <w:tcBorders>
              <w:top w:val="single" w:sz="4" w:space="0" w:color="auto"/>
              <w:left w:val="nil"/>
              <w:bottom w:val="single" w:sz="4" w:space="0" w:color="auto"/>
              <w:right w:val="single" w:sz="4" w:space="0" w:color="auto"/>
            </w:tcBorders>
            <w:shd w:val="clear" w:color="auto" w:fill="DEEAF6" w:themeFill="accent1" w:themeFillTint="33"/>
            <w:hideMark/>
          </w:tcPr>
          <w:p w14:paraId="0DF44BB8" w14:textId="77777777" w:rsidR="004438EF" w:rsidRPr="008429ED" w:rsidRDefault="004438EF" w:rsidP="00A16047">
            <w:pPr>
              <w:spacing w:after="0" w:line="240" w:lineRule="auto"/>
              <w:rPr>
                <w:rFonts w:ascii="Arial" w:eastAsia="Times New Roman" w:hAnsi="Arial" w:cs="Arial"/>
                <w:b/>
                <w:bCs/>
                <w:sz w:val="20"/>
                <w:szCs w:val="20"/>
                <w:lang w:eastAsia="en-ZA"/>
              </w:rPr>
            </w:pPr>
            <w:bookmarkStart w:id="7" w:name="RANGE!B1:E33"/>
            <w:r w:rsidRPr="008429ED">
              <w:rPr>
                <w:rFonts w:ascii="Arial" w:eastAsia="Times New Roman" w:hAnsi="Arial" w:cs="Arial"/>
                <w:b/>
                <w:bCs/>
                <w:sz w:val="20"/>
                <w:szCs w:val="20"/>
                <w:lang w:eastAsia="en-ZA"/>
              </w:rPr>
              <w:t>Forensic case no.</w:t>
            </w:r>
            <w:bookmarkEnd w:id="7"/>
          </w:p>
        </w:tc>
        <w:tc>
          <w:tcPr>
            <w:tcW w:w="2559" w:type="dxa"/>
            <w:tcBorders>
              <w:top w:val="single" w:sz="4" w:space="0" w:color="auto"/>
              <w:left w:val="nil"/>
              <w:bottom w:val="single" w:sz="4" w:space="0" w:color="auto"/>
              <w:right w:val="single" w:sz="4" w:space="0" w:color="auto"/>
            </w:tcBorders>
            <w:shd w:val="clear" w:color="auto" w:fill="DEEAF6" w:themeFill="accent1" w:themeFillTint="33"/>
            <w:hideMark/>
          </w:tcPr>
          <w:p w14:paraId="7009804C" w14:textId="77777777" w:rsidR="004438EF" w:rsidRPr="008429ED" w:rsidRDefault="004438EF" w:rsidP="002E23AA">
            <w:pPr>
              <w:spacing w:after="0" w:line="240" w:lineRule="auto"/>
              <w:rPr>
                <w:rFonts w:ascii="Arial" w:eastAsia="Times New Roman" w:hAnsi="Arial" w:cs="Arial"/>
                <w:b/>
                <w:bCs/>
                <w:sz w:val="20"/>
                <w:szCs w:val="20"/>
                <w:lang w:eastAsia="en-ZA"/>
              </w:rPr>
            </w:pPr>
            <w:r w:rsidRPr="008429ED">
              <w:rPr>
                <w:rFonts w:ascii="Arial" w:eastAsia="Times New Roman" w:hAnsi="Arial" w:cs="Arial"/>
                <w:b/>
                <w:bCs/>
                <w:sz w:val="20"/>
                <w:szCs w:val="20"/>
                <w:lang w:eastAsia="en-ZA"/>
              </w:rPr>
              <w:t>Amount Involved</w:t>
            </w:r>
          </w:p>
        </w:tc>
        <w:tc>
          <w:tcPr>
            <w:tcW w:w="3260" w:type="dxa"/>
            <w:tcBorders>
              <w:top w:val="single" w:sz="4" w:space="0" w:color="auto"/>
              <w:left w:val="nil"/>
              <w:bottom w:val="single" w:sz="4" w:space="0" w:color="auto"/>
              <w:right w:val="single" w:sz="4" w:space="0" w:color="auto"/>
            </w:tcBorders>
            <w:shd w:val="clear" w:color="auto" w:fill="DEEAF6" w:themeFill="accent1" w:themeFillTint="33"/>
            <w:hideMark/>
          </w:tcPr>
          <w:p w14:paraId="378BD520" w14:textId="77777777" w:rsidR="004438EF" w:rsidRPr="008429ED" w:rsidRDefault="004438EF" w:rsidP="00A16047">
            <w:pPr>
              <w:spacing w:after="0" w:line="240" w:lineRule="auto"/>
              <w:rPr>
                <w:rFonts w:ascii="Arial" w:eastAsia="Times New Roman" w:hAnsi="Arial" w:cs="Arial"/>
                <w:b/>
                <w:bCs/>
                <w:sz w:val="20"/>
                <w:szCs w:val="20"/>
                <w:lang w:eastAsia="en-ZA"/>
              </w:rPr>
            </w:pPr>
            <w:r w:rsidRPr="008429ED">
              <w:rPr>
                <w:rFonts w:ascii="Arial" w:eastAsia="Times New Roman" w:hAnsi="Arial" w:cs="Arial"/>
                <w:b/>
                <w:bCs/>
                <w:sz w:val="20"/>
                <w:szCs w:val="20"/>
                <w:lang w:eastAsia="en-ZA"/>
              </w:rPr>
              <w:t>Police station name</w:t>
            </w:r>
          </w:p>
        </w:tc>
      </w:tr>
      <w:tr w:rsidR="004438EF" w:rsidRPr="008429ED" w14:paraId="69286C30" w14:textId="77777777" w:rsidTr="00A16047">
        <w:trPr>
          <w:trHeight w:val="660"/>
        </w:trPr>
        <w:tc>
          <w:tcPr>
            <w:tcW w:w="1480" w:type="dxa"/>
            <w:tcBorders>
              <w:top w:val="nil"/>
              <w:left w:val="single" w:sz="4" w:space="0" w:color="auto"/>
              <w:bottom w:val="single" w:sz="4" w:space="0" w:color="auto"/>
              <w:right w:val="single" w:sz="4" w:space="0" w:color="auto"/>
            </w:tcBorders>
            <w:shd w:val="clear" w:color="auto" w:fill="auto"/>
            <w:noWrap/>
            <w:hideMark/>
          </w:tcPr>
          <w:p w14:paraId="5424C87C"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266/11/2019</w:t>
            </w:r>
          </w:p>
        </w:tc>
        <w:tc>
          <w:tcPr>
            <w:tcW w:w="1490" w:type="dxa"/>
            <w:tcBorders>
              <w:top w:val="nil"/>
              <w:left w:val="nil"/>
              <w:bottom w:val="single" w:sz="4" w:space="0" w:color="auto"/>
              <w:right w:val="single" w:sz="4" w:space="0" w:color="auto"/>
            </w:tcBorders>
            <w:shd w:val="clear" w:color="auto" w:fill="auto"/>
            <w:noWrap/>
            <w:hideMark/>
          </w:tcPr>
          <w:p w14:paraId="222C30D0"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23/05/2017</w:t>
            </w:r>
          </w:p>
        </w:tc>
        <w:tc>
          <w:tcPr>
            <w:tcW w:w="2559" w:type="dxa"/>
            <w:tcBorders>
              <w:top w:val="nil"/>
              <w:left w:val="nil"/>
              <w:bottom w:val="single" w:sz="4" w:space="0" w:color="auto"/>
              <w:right w:val="single" w:sz="4" w:space="0" w:color="auto"/>
            </w:tcBorders>
            <w:shd w:val="clear" w:color="auto" w:fill="auto"/>
            <w:noWrap/>
            <w:hideMark/>
          </w:tcPr>
          <w:p w14:paraId="14596765" w14:textId="77777777" w:rsidR="004438EF" w:rsidRPr="008429ED" w:rsidRDefault="004438EF" w:rsidP="002E23AA">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R 39 478 485.07</w:t>
            </w:r>
          </w:p>
        </w:tc>
        <w:tc>
          <w:tcPr>
            <w:tcW w:w="3260" w:type="dxa"/>
            <w:tcBorders>
              <w:top w:val="nil"/>
              <w:left w:val="nil"/>
              <w:bottom w:val="single" w:sz="4" w:space="0" w:color="auto"/>
              <w:right w:val="single" w:sz="4" w:space="0" w:color="auto"/>
            </w:tcBorders>
            <w:shd w:val="clear" w:color="auto" w:fill="auto"/>
            <w:hideMark/>
          </w:tcPr>
          <w:p w14:paraId="44E03A46"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Sandton</w:t>
            </w:r>
            <w:r w:rsidRPr="008429ED">
              <w:rPr>
                <w:rFonts w:ascii="Arial" w:eastAsia="Times New Roman" w:hAnsi="Arial" w:cs="Arial"/>
                <w:sz w:val="20"/>
                <w:szCs w:val="20"/>
                <w:lang w:eastAsia="en-ZA"/>
              </w:rPr>
              <w:br/>
            </w:r>
          </w:p>
        </w:tc>
      </w:tr>
      <w:tr w:rsidR="004438EF" w:rsidRPr="008429ED" w14:paraId="7E91272D" w14:textId="77777777" w:rsidTr="00A16047">
        <w:trPr>
          <w:trHeight w:val="708"/>
        </w:trPr>
        <w:tc>
          <w:tcPr>
            <w:tcW w:w="1480" w:type="dxa"/>
            <w:tcBorders>
              <w:top w:val="nil"/>
              <w:left w:val="single" w:sz="4" w:space="0" w:color="auto"/>
              <w:bottom w:val="single" w:sz="4" w:space="0" w:color="auto"/>
              <w:right w:val="single" w:sz="4" w:space="0" w:color="auto"/>
            </w:tcBorders>
            <w:shd w:val="clear" w:color="auto" w:fill="auto"/>
            <w:noWrap/>
            <w:hideMark/>
          </w:tcPr>
          <w:p w14:paraId="4ECB68B2"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138/4/2018</w:t>
            </w:r>
          </w:p>
        </w:tc>
        <w:tc>
          <w:tcPr>
            <w:tcW w:w="1490" w:type="dxa"/>
            <w:tcBorders>
              <w:top w:val="nil"/>
              <w:left w:val="nil"/>
              <w:bottom w:val="single" w:sz="4" w:space="0" w:color="auto"/>
              <w:right w:val="single" w:sz="4" w:space="0" w:color="auto"/>
            </w:tcBorders>
            <w:shd w:val="clear" w:color="auto" w:fill="auto"/>
            <w:noWrap/>
            <w:hideMark/>
          </w:tcPr>
          <w:p w14:paraId="6C7C46C8"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33/10/2017</w:t>
            </w:r>
          </w:p>
        </w:tc>
        <w:tc>
          <w:tcPr>
            <w:tcW w:w="2559" w:type="dxa"/>
            <w:tcBorders>
              <w:top w:val="nil"/>
              <w:left w:val="nil"/>
              <w:bottom w:val="single" w:sz="4" w:space="0" w:color="auto"/>
              <w:right w:val="single" w:sz="4" w:space="0" w:color="auto"/>
            </w:tcBorders>
            <w:shd w:val="clear" w:color="auto" w:fill="auto"/>
            <w:noWrap/>
            <w:hideMark/>
          </w:tcPr>
          <w:p w14:paraId="76B469DA" w14:textId="77777777" w:rsidR="004438EF" w:rsidRPr="008429ED" w:rsidRDefault="004438EF" w:rsidP="002E23AA">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R 4 394 672.00</w:t>
            </w:r>
          </w:p>
        </w:tc>
        <w:tc>
          <w:tcPr>
            <w:tcW w:w="3260" w:type="dxa"/>
            <w:tcBorders>
              <w:top w:val="nil"/>
              <w:left w:val="nil"/>
              <w:bottom w:val="single" w:sz="4" w:space="0" w:color="auto"/>
              <w:right w:val="single" w:sz="4" w:space="0" w:color="auto"/>
            </w:tcBorders>
            <w:shd w:val="clear" w:color="auto" w:fill="auto"/>
            <w:hideMark/>
          </w:tcPr>
          <w:p w14:paraId="024DD280"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Dannhauser</w:t>
            </w:r>
            <w:r w:rsidRPr="008429ED">
              <w:rPr>
                <w:rFonts w:ascii="Arial" w:eastAsia="Times New Roman" w:hAnsi="Arial" w:cs="Arial"/>
                <w:sz w:val="20"/>
                <w:szCs w:val="20"/>
                <w:lang w:eastAsia="en-ZA"/>
              </w:rPr>
              <w:br/>
            </w:r>
          </w:p>
        </w:tc>
      </w:tr>
      <w:tr w:rsidR="004438EF" w:rsidRPr="008429ED" w14:paraId="62391EE4" w14:textId="77777777" w:rsidTr="00A16047">
        <w:trPr>
          <w:trHeight w:val="612"/>
        </w:trPr>
        <w:tc>
          <w:tcPr>
            <w:tcW w:w="1480" w:type="dxa"/>
            <w:tcBorders>
              <w:top w:val="nil"/>
              <w:left w:val="single" w:sz="4" w:space="0" w:color="auto"/>
              <w:bottom w:val="single" w:sz="4" w:space="0" w:color="auto"/>
              <w:right w:val="single" w:sz="4" w:space="0" w:color="auto"/>
            </w:tcBorders>
            <w:shd w:val="clear" w:color="auto" w:fill="auto"/>
            <w:noWrap/>
            <w:hideMark/>
          </w:tcPr>
          <w:p w14:paraId="2198EFC6"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102/11/2019</w:t>
            </w:r>
          </w:p>
        </w:tc>
        <w:tc>
          <w:tcPr>
            <w:tcW w:w="1490" w:type="dxa"/>
            <w:tcBorders>
              <w:top w:val="nil"/>
              <w:left w:val="nil"/>
              <w:bottom w:val="single" w:sz="4" w:space="0" w:color="auto"/>
              <w:right w:val="single" w:sz="4" w:space="0" w:color="auto"/>
            </w:tcBorders>
            <w:shd w:val="clear" w:color="auto" w:fill="auto"/>
            <w:noWrap/>
            <w:hideMark/>
          </w:tcPr>
          <w:p w14:paraId="0333443E"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40/10/2017</w:t>
            </w:r>
          </w:p>
        </w:tc>
        <w:tc>
          <w:tcPr>
            <w:tcW w:w="2559" w:type="dxa"/>
            <w:tcBorders>
              <w:top w:val="nil"/>
              <w:left w:val="nil"/>
              <w:bottom w:val="single" w:sz="4" w:space="0" w:color="auto"/>
              <w:right w:val="single" w:sz="4" w:space="0" w:color="auto"/>
            </w:tcBorders>
            <w:shd w:val="clear" w:color="auto" w:fill="auto"/>
            <w:noWrap/>
            <w:hideMark/>
          </w:tcPr>
          <w:p w14:paraId="60CDB2AC" w14:textId="77777777" w:rsidR="004438EF" w:rsidRPr="008429ED" w:rsidRDefault="004438EF" w:rsidP="002E23AA">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R 95 000 000.00</w:t>
            </w:r>
          </w:p>
        </w:tc>
        <w:tc>
          <w:tcPr>
            <w:tcW w:w="3260" w:type="dxa"/>
            <w:tcBorders>
              <w:top w:val="nil"/>
              <w:left w:val="nil"/>
              <w:bottom w:val="single" w:sz="4" w:space="0" w:color="auto"/>
              <w:right w:val="single" w:sz="4" w:space="0" w:color="auto"/>
            </w:tcBorders>
            <w:shd w:val="clear" w:color="auto" w:fill="auto"/>
            <w:noWrap/>
            <w:hideMark/>
          </w:tcPr>
          <w:p w14:paraId="4E4C5A82"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Sandton</w:t>
            </w:r>
          </w:p>
        </w:tc>
      </w:tr>
      <w:tr w:rsidR="004438EF" w:rsidRPr="008429ED" w14:paraId="3AED17FE" w14:textId="77777777" w:rsidTr="00A16047">
        <w:trPr>
          <w:trHeight w:val="710"/>
        </w:trPr>
        <w:tc>
          <w:tcPr>
            <w:tcW w:w="1480" w:type="dxa"/>
            <w:tcBorders>
              <w:top w:val="nil"/>
              <w:left w:val="single" w:sz="4" w:space="0" w:color="auto"/>
              <w:bottom w:val="single" w:sz="4" w:space="0" w:color="auto"/>
              <w:right w:val="single" w:sz="4" w:space="0" w:color="auto"/>
            </w:tcBorders>
            <w:shd w:val="clear" w:color="auto" w:fill="auto"/>
            <w:noWrap/>
            <w:hideMark/>
          </w:tcPr>
          <w:p w14:paraId="4462FFB9"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233/11/2019</w:t>
            </w:r>
          </w:p>
        </w:tc>
        <w:tc>
          <w:tcPr>
            <w:tcW w:w="1490" w:type="dxa"/>
            <w:tcBorders>
              <w:top w:val="nil"/>
              <w:left w:val="nil"/>
              <w:bottom w:val="single" w:sz="4" w:space="0" w:color="auto"/>
              <w:right w:val="single" w:sz="4" w:space="0" w:color="auto"/>
            </w:tcBorders>
            <w:shd w:val="clear" w:color="auto" w:fill="auto"/>
            <w:noWrap/>
            <w:hideMark/>
          </w:tcPr>
          <w:p w14:paraId="24F92F74"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20/12/2017</w:t>
            </w:r>
          </w:p>
        </w:tc>
        <w:tc>
          <w:tcPr>
            <w:tcW w:w="2559" w:type="dxa"/>
            <w:tcBorders>
              <w:top w:val="nil"/>
              <w:left w:val="nil"/>
              <w:bottom w:val="single" w:sz="4" w:space="0" w:color="auto"/>
              <w:right w:val="single" w:sz="4" w:space="0" w:color="auto"/>
            </w:tcBorders>
            <w:shd w:val="clear" w:color="auto" w:fill="auto"/>
            <w:noWrap/>
            <w:hideMark/>
          </w:tcPr>
          <w:p w14:paraId="069E476A" w14:textId="77777777" w:rsidR="004438EF" w:rsidRPr="008429ED" w:rsidRDefault="004438EF" w:rsidP="002E23AA">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R 46 800.00</w:t>
            </w:r>
          </w:p>
        </w:tc>
        <w:tc>
          <w:tcPr>
            <w:tcW w:w="3260" w:type="dxa"/>
            <w:tcBorders>
              <w:top w:val="nil"/>
              <w:left w:val="nil"/>
              <w:bottom w:val="single" w:sz="4" w:space="0" w:color="auto"/>
              <w:right w:val="single" w:sz="4" w:space="0" w:color="auto"/>
            </w:tcBorders>
            <w:shd w:val="clear" w:color="auto" w:fill="auto"/>
            <w:hideMark/>
          </w:tcPr>
          <w:p w14:paraId="012671EC"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Sandton -</w:t>
            </w:r>
            <w:r w:rsidRPr="008429ED">
              <w:rPr>
                <w:rFonts w:ascii="Arial" w:eastAsia="Times New Roman" w:hAnsi="Arial" w:cs="Arial"/>
                <w:sz w:val="20"/>
                <w:szCs w:val="20"/>
                <w:lang w:eastAsia="en-ZA"/>
              </w:rPr>
              <w:br/>
              <w:t>JHB</w:t>
            </w:r>
            <w:r w:rsidRPr="008429ED">
              <w:rPr>
                <w:rFonts w:ascii="Arial" w:eastAsia="Times New Roman" w:hAnsi="Arial" w:cs="Arial"/>
                <w:sz w:val="20"/>
                <w:szCs w:val="20"/>
                <w:lang w:eastAsia="en-ZA"/>
              </w:rPr>
              <w:br/>
              <w:t>Commercial</w:t>
            </w:r>
          </w:p>
        </w:tc>
      </w:tr>
      <w:tr w:rsidR="004438EF" w:rsidRPr="008429ED" w14:paraId="4B38DE49" w14:textId="77777777" w:rsidTr="00A16047">
        <w:trPr>
          <w:trHeight w:val="602"/>
        </w:trPr>
        <w:tc>
          <w:tcPr>
            <w:tcW w:w="1480" w:type="dxa"/>
            <w:tcBorders>
              <w:top w:val="nil"/>
              <w:left w:val="single" w:sz="4" w:space="0" w:color="auto"/>
              <w:bottom w:val="single" w:sz="4" w:space="0" w:color="auto"/>
              <w:right w:val="single" w:sz="4" w:space="0" w:color="auto"/>
            </w:tcBorders>
            <w:shd w:val="clear" w:color="auto" w:fill="auto"/>
            <w:noWrap/>
            <w:hideMark/>
          </w:tcPr>
          <w:p w14:paraId="34BE3A06"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03/04/2019</w:t>
            </w:r>
          </w:p>
        </w:tc>
        <w:tc>
          <w:tcPr>
            <w:tcW w:w="1490" w:type="dxa"/>
            <w:tcBorders>
              <w:top w:val="nil"/>
              <w:left w:val="nil"/>
              <w:bottom w:val="single" w:sz="4" w:space="0" w:color="auto"/>
              <w:right w:val="single" w:sz="4" w:space="0" w:color="auto"/>
            </w:tcBorders>
            <w:shd w:val="clear" w:color="auto" w:fill="auto"/>
            <w:noWrap/>
            <w:hideMark/>
          </w:tcPr>
          <w:p w14:paraId="00C4D9D1"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17/02/2018</w:t>
            </w:r>
          </w:p>
        </w:tc>
        <w:tc>
          <w:tcPr>
            <w:tcW w:w="2559" w:type="dxa"/>
            <w:tcBorders>
              <w:top w:val="nil"/>
              <w:left w:val="nil"/>
              <w:bottom w:val="single" w:sz="4" w:space="0" w:color="auto"/>
              <w:right w:val="single" w:sz="4" w:space="0" w:color="auto"/>
            </w:tcBorders>
            <w:shd w:val="clear" w:color="auto" w:fill="auto"/>
            <w:hideMark/>
          </w:tcPr>
          <w:p w14:paraId="1AE4CE0A" w14:textId="77777777" w:rsidR="004438EF" w:rsidRPr="008429ED" w:rsidRDefault="004438EF" w:rsidP="002E23AA">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SAPS to define amount involved.</w:t>
            </w:r>
          </w:p>
        </w:tc>
        <w:tc>
          <w:tcPr>
            <w:tcW w:w="3260" w:type="dxa"/>
            <w:tcBorders>
              <w:top w:val="nil"/>
              <w:left w:val="nil"/>
              <w:bottom w:val="single" w:sz="4" w:space="0" w:color="auto"/>
              <w:right w:val="single" w:sz="4" w:space="0" w:color="auto"/>
            </w:tcBorders>
            <w:shd w:val="clear" w:color="auto" w:fill="auto"/>
            <w:hideMark/>
          </w:tcPr>
          <w:p w14:paraId="56C1286E"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East Rand Organised Crime</w:t>
            </w:r>
          </w:p>
        </w:tc>
      </w:tr>
      <w:tr w:rsidR="004438EF" w:rsidRPr="008429ED" w14:paraId="65821EFF" w14:textId="77777777" w:rsidTr="00A16047">
        <w:trPr>
          <w:trHeight w:val="539"/>
        </w:trPr>
        <w:tc>
          <w:tcPr>
            <w:tcW w:w="1480" w:type="dxa"/>
            <w:tcBorders>
              <w:top w:val="nil"/>
              <w:left w:val="single" w:sz="4" w:space="0" w:color="auto"/>
              <w:bottom w:val="single" w:sz="4" w:space="0" w:color="auto"/>
              <w:right w:val="single" w:sz="4" w:space="0" w:color="auto"/>
            </w:tcBorders>
            <w:shd w:val="clear" w:color="auto" w:fill="auto"/>
            <w:noWrap/>
            <w:hideMark/>
          </w:tcPr>
          <w:p w14:paraId="5FB48244"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103/11/2019</w:t>
            </w:r>
          </w:p>
        </w:tc>
        <w:tc>
          <w:tcPr>
            <w:tcW w:w="1490" w:type="dxa"/>
            <w:tcBorders>
              <w:top w:val="nil"/>
              <w:left w:val="nil"/>
              <w:bottom w:val="single" w:sz="4" w:space="0" w:color="auto"/>
              <w:right w:val="single" w:sz="4" w:space="0" w:color="auto"/>
            </w:tcBorders>
            <w:shd w:val="clear" w:color="auto" w:fill="auto"/>
            <w:noWrap/>
            <w:hideMark/>
          </w:tcPr>
          <w:p w14:paraId="2AF64C30"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25/02/2018</w:t>
            </w:r>
          </w:p>
        </w:tc>
        <w:tc>
          <w:tcPr>
            <w:tcW w:w="2559" w:type="dxa"/>
            <w:tcBorders>
              <w:top w:val="nil"/>
              <w:left w:val="nil"/>
              <w:bottom w:val="single" w:sz="4" w:space="0" w:color="auto"/>
              <w:right w:val="single" w:sz="4" w:space="0" w:color="auto"/>
            </w:tcBorders>
            <w:shd w:val="clear" w:color="auto" w:fill="auto"/>
            <w:noWrap/>
            <w:hideMark/>
          </w:tcPr>
          <w:p w14:paraId="45D58CFA" w14:textId="77777777" w:rsidR="004438EF" w:rsidRPr="008429ED" w:rsidRDefault="004438EF" w:rsidP="002E23AA">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R 260 000 000.00</w:t>
            </w:r>
          </w:p>
        </w:tc>
        <w:tc>
          <w:tcPr>
            <w:tcW w:w="3260" w:type="dxa"/>
            <w:tcBorders>
              <w:top w:val="nil"/>
              <w:left w:val="nil"/>
              <w:bottom w:val="single" w:sz="4" w:space="0" w:color="auto"/>
              <w:right w:val="single" w:sz="4" w:space="0" w:color="auto"/>
            </w:tcBorders>
            <w:shd w:val="clear" w:color="auto" w:fill="auto"/>
            <w:noWrap/>
            <w:hideMark/>
          </w:tcPr>
          <w:p w14:paraId="2C8E2DDC"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Sandton</w:t>
            </w:r>
          </w:p>
        </w:tc>
      </w:tr>
      <w:tr w:rsidR="004438EF" w:rsidRPr="008429ED" w14:paraId="1B17B739" w14:textId="77777777" w:rsidTr="00A16047">
        <w:trPr>
          <w:trHeight w:val="638"/>
        </w:trPr>
        <w:tc>
          <w:tcPr>
            <w:tcW w:w="1480" w:type="dxa"/>
            <w:tcBorders>
              <w:top w:val="nil"/>
              <w:left w:val="single" w:sz="4" w:space="0" w:color="auto"/>
              <w:bottom w:val="single" w:sz="4" w:space="0" w:color="auto"/>
              <w:right w:val="single" w:sz="4" w:space="0" w:color="auto"/>
            </w:tcBorders>
            <w:shd w:val="clear" w:color="auto" w:fill="auto"/>
            <w:noWrap/>
            <w:hideMark/>
          </w:tcPr>
          <w:p w14:paraId="4BEC00D1"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456/5/2018</w:t>
            </w:r>
          </w:p>
        </w:tc>
        <w:tc>
          <w:tcPr>
            <w:tcW w:w="1490" w:type="dxa"/>
            <w:tcBorders>
              <w:top w:val="nil"/>
              <w:left w:val="nil"/>
              <w:bottom w:val="single" w:sz="4" w:space="0" w:color="auto"/>
              <w:right w:val="single" w:sz="4" w:space="0" w:color="auto"/>
            </w:tcBorders>
            <w:shd w:val="clear" w:color="auto" w:fill="auto"/>
            <w:noWrap/>
            <w:hideMark/>
          </w:tcPr>
          <w:p w14:paraId="37E82625"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20/03/2018</w:t>
            </w:r>
          </w:p>
        </w:tc>
        <w:tc>
          <w:tcPr>
            <w:tcW w:w="2559" w:type="dxa"/>
            <w:tcBorders>
              <w:top w:val="nil"/>
              <w:left w:val="nil"/>
              <w:bottom w:val="single" w:sz="4" w:space="0" w:color="auto"/>
              <w:right w:val="single" w:sz="4" w:space="0" w:color="auto"/>
            </w:tcBorders>
            <w:shd w:val="clear" w:color="auto" w:fill="auto"/>
            <w:noWrap/>
            <w:hideMark/>
          </w:tcPr>
          <w:p w14:paraId="600C3993" w14:textId="77777777" w:rsidR="004438EF" w:rsidRPr="008429ED" w:rsidRDefault="004438EF" w:rsidP="002E23AA">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R 5 196 991 857.35</w:t>
            </w:r>
          </w:p>
        </w:tc>
        <w:tc>
          <w:tcPr>
            <w:tcW w:w="3260" w:type="dxa"/>
            <w:tcBorders>
              <w:top w:val="nil"/>
              <w:left w:val="nil"/>
              <w:bottom w:val="single" w:sz="4" w:space="0" w:color="auto"/>
              <w:right w:val="single" w:sz="4" w:space="0" w:color="auto"/>
            </w:tcBorders>
            <w:shd w:val="clear" w:color="auto" w:fill="auto"/>
            <w:hideMark/>
          </w:tcPr>
          <w:p w14:paraId="500997F7"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Sandton</w:t>
            </w:r>
            <w:r w:rsidRPr="008429ED">
              <w:rPr>
                <w:rFonts w:ascii="Arial" w:eastAsia="Times New Roman" w:hAnsi="Arial" w:cs="Arial"/>
                <w:sz w:val="20"/>
                <w:szCs w:val="20"/>
                <w:lang w:eastAsia="en-ZA"/>
              </w:rPr>
              <w:br/>
            </w:r>
          </w:p>
        </w:tc>
      </w:tr>
      <w:tr w:rsidR="004438EF" w:rsidRPr="008429ED" w14:paraId="3A31A19D" w14:textId="77777777" w:rsidTr="00A16047">
        <w:trPr>
          <w:trHeight w:val="611"/>
        </w:trPr>
        <w:tc>
          <w:tcPr>
            <w:tcW w:w="1480" w:type="dxa"/>
            <w:tcBorders>
              <w:top w:val="nil"/>
              <w:left w:val="single" w:sz="4" w:space="0" w:color="auto"/>
              <w:bottom w:val="single" w:sz="4" w:space="0" w:color="auto"/>
              <w:right w:val="single" w:sz="4" w:space="0" w:color="auto"/>
            </w:tcBorders>
            <w:shd w:val="clear" w:color="auto" w:fill="auto"/>
            <w:noWrap/>
            <w:hideMark/>
          </w:tcPr>
          <w:p w14:paraId="77DCCD09"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114/11/2019</w:t>
            </w:r>
          </w:p>
        </w:tc>
        <w:tc>
          <w:tcPr>
            <w:tcW w:w="1490" w:type="dxa"/>
            <w:tcBorders>
              <w:top w:val="nil"/>
              <w:left w:val="nil"/>
              <w:bottom w:val="single" w:sz="4" w:space="0" w:color="auto"/>
              <w:right w:val="single" w:sz="4" w:space="0" w:color="auto"/>
            </w:tcBorders>
            <w:shd w:val="clear" w:color="auto" w:fill="auto"/>
            <w:noWrap/>
            <w:hideMark/>
          </w:tcPr>
          <w:p w14:paraId="6CB2CF79"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27/10/2017</w:t>
            </w:r>
          </w:p>
        </w:tc>
        <w:tc>
          <w:tcPr>
            <w:tcW w:w="2559" w:type="dxa"/>
            <w:tcBorders>
              <w:top w:val="nil"/>
              <w:left w:val="nil"/>
              <w:bottom w:val="single" w:sz="4" w:space="0" w:color="auto"/>
              <w:right w:val="single" w:sz="4" w:space="0" w:color="auto"/>
            </w:tcBorders>
            <w:shd w:val="clear" w:color="auto" w:fill="auto"/>
            <w:noWrap/>
            <w:hideMark/>
          </w:tcPr>
          <w:p w14:paraId="22CE42E1" w14:textId="77777777" w:rsidR="004438EF" w:rsidRPr="008429ED" w:rsidRDefault="004438EF" w:rsidP="002E23AA">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R 731 064.30</w:t>
            </w:r>
          </w:p>
        </w:tc>
        <w:tc>
          <w:tcPr>
            <w:tcW w:w="3260" w:type="dxa"/>
            <w:tcBorders>
              <w:top w:val="nil"/>
              <w:left w:val="nil"/>
              <w:bottom w:val="single" w:sz="4" w:space="0" w:color="auto"/>
              <w:right w:val="single" w:sz="4" w:space="0" w:color="auto"/>
            </w:tcBorders>
            <w:shd w:val="clear" w:color="auto" w:fill="auto"/>
            <w:noWrap/>
            <w:hideMark/>
          </w:tcPr>
          <w:p w14:paraId="5DE87732"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Sandton</w:t>
            </w:r>
          </w:p>
        </w:tc>
      </w:tr>
      <w:tr w:rsidR="004438EF" w:rsidRPr="008429ED" w14:paraId="76C8BFD5" w14:textId="77777777" w:rsidTr="00A16047">
        <w:trPr>
          <w:trHeight w:val="629"/>
        </w:trPr>
        <w:tc>
          <w:tcPr>
            <w:tcW w:w="1480" w:type="dxa"/>
            <w:tcBorders>
              <w:top w:val="nil"/>
              <w:left w:val="single" w:sz="4" w:space="0" w:color="auto"/>
              <w:bottom w:val="single" w:sz="4" w:space="0" w:color="auto"/>
              <w:right w:val="single" w:sz="4" w:space="0" w:color="auto"/>
            </w:tcBorders>
            <w:shd w:val="clear" w:color="auto" w:fill="auto"/>
            <w:noWrap/>
            <w:hideMark/>
          </w:tcPr>
          <w:p w14:paraId="1D11E5D2"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lastRenderedPageBreak/>
              <w:t>01/04/2018</w:t>
            </w:r>
          </w:p>
        </w:tc>
        <w:tc>
          <w:tcPr>
            <w:tcW w:w="1490" w:type="dxa"/>
            <w:tcBorders>
              <w:top w:val="nil"/>
              <w:left w:val="nil"/>
              <w:bottom w:val="single" w:sz="4" w:space="0" w:color="auto"/>
              <w:right w:val="single" w:sz="4" w:space="0" w:color="auto"/>
            </w:tcBorders>
            <w:shd w:val="clear" w:color="auto" w:fill="auto"/>
            <w:noWrap/>
            <w:hideMark/>
          </w:tcPr>
          <w:p w14:paraId="52AA5E56"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15/01/2018</w:t>
            </w:r>
          </w:p>
        </w:tc>
        <w:tc>
          <w:tcPr>
            <w:tcW w:w="2559" w:type="dxa"/>
            <w:tcBorders>
              <w:top w:val="nil"/>
              <w:left w:val="nil"/>
              <w:bottom w:val="single" w:sz="4" w:space="0" w:color="auto"/>
              <w:right w:val="single" w:sz="4" w:space="0" w:color="auto"/>
            </w:tcBorders>
            <w:shd w:val="clear" w:color="auto" w:fill="auto"/>
            <w:noWrap/>
            <w:hideMark/>
          </w:tcPr>
          <w:p w14:paraId="6CF1FA28" w14:textId="77777777" w:rsidR="004438EF" w:rsidRPr="008429ED" w:rsidRDefault="004438EF" w:rsidP="002E23AA">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R 526 119.41</w:t>
            </w:r>
          </w:p>
        </w:tc>
        <w:tc>
          <w:tcPr>
            <w:tcW w:w="3260" w:type="dxa"/>
            <w:tcBorders>
              <w:top w:val="nil"/>
              <w:left w:val="nil"/>
              <w:bottom w:val="single" w:sz="4" w:space="0" w:color="auto"/>
              <w:right w:val="single" w:sz="4" w:space="0" w:color="auto"/>
            </w:tcBorders>
            <w:shd w:val="clear" w:color="auto" w:fill="auto"/>
            <w:noWrap/>
            <w:hideMark/>
          </w:tcPr>
          <w:p w14:paraId="1A16C679"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Melkbosstrand</w:t>
            </w:r>
          </w:p>
        </w:tc>
      </w:tr>
      <w:tr w:rsidR="004438EF" w:rsidRPr="008429ED" w14:paraId="3C9C7BAA" w14:textId="77777777" w:rsidTr="00A16047">
        <w:trPr>
          <w:trHeight w:val="611"/>
        </w:trPr>
        <w:tc>
          <w:tcPr>
            <w:tcW w:w="1480" w:type="dxa"/>
            <w:tcBorders>
              <w:top w:val="nil"/>
              <w:left w:val="single" w:sz="4" w:space="0" w:color="auto"/>
              <w:bottom w:val="single" w:sz="4" w:space="0" w:color="auto"/>
              <w:right w:val="single" w:sz="4" w:space="0" w:color="auto"/>
            </w:tcBorders>
            <w:shd w:val="clear" w:color="auto" w:fill="auto"/>
            <w:noWrap/>
            <w:hideMark/>
          </w:tcPr>
          <w:p w14:paraId="0E745135"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507/09/2017</w:t>
            </w:r>
          </w:p>
        </w:tc>
        <w:tc>
          <w:tcPr>
            <w:tcW w:w="1490" w:type="dxa"/>
            <w:tcBorders>
              <w:top w:val="nil"/>
              <w:left w:val="nil"/>
              <w:bottom w:val="single" w:sz="4" w:space="0" w:color="auto"/>
              <w:right w:val="single" w:sz="4" w:space="0" w:color="auto"/>
            </w:tcBorders>
            <w:shd w:val="clear" w:color="auto" w:fill="auto"/>
            <w:noWrap/>
            <w:hideMark/>
          </w:tcPr>
          <w:p w14:paraId="1F5C176D"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20/05/2017</w:t>
            </w:r>
          </w:p>
        </w:tc>
        <w:tc>
          <w:tcPr>
            <w:tcW w:w="2559" w:type="dxa"/>
            <w:tcBorders>
              <w:top w:val="nil"/>
              <w:left w:val="nil"/>
              <w:bottom w:val="single" w:sz="4" w:space="0" w:color="auto"/>
              <w:right w:val="single" w:sz="4" w:space="0" w:color="auto"/>
            </w:tcBorders>
            <w:shd w:val="clear" w:color="auto" w:fill="auto"/>
            <w:noWrap/>
            <w:hideMark/>
          </w:tcPr>
          <w:p w14:paraId="2AFB7AC7" w14:textId="77777777" w:rsidR="004438EF" w:rsidRPr="008429ED" w:rsidRDefault="004438EF" w:rsidP="002E23AA">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R 134 000 000.00</w:t>
            </w:r>
          </w:p>
        </w:tc>
        <w:tc>
          <w:tcPr>
            <w:tcW w:w="3260" w:type="dxa"/>
            <w:tcBorders>
              <w:top w:val="nil"/>
              <w:left w:val="nil"/>
              <w:bottom w:val="single" w:sz="4" w:space="0" w:color="auto"/>
              <w:right w:val="single" w:sz="4" w:space="0" w:color="auto"/>
            </w:tcBorders>
            <w:shd w:val="clear" w:color="auto" w:fill="auto"/>
            <w:hideMark/>
          </w:tcPr>
          <w:p w14:paraId="0CA1F764"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Sandton</w:t>
            </w:r>
          </w:p>
        </w:tc>
      </w:tr>
      <w:tr w:rsidR="004438EF" w:rsidRPr="008429ED" w14:paraId="607EEBAA" w14:textId="77777777" w:rsidTr="00A16047">
        <w:trPr>
          <w:trHeight w:val="593"/>
        </w:trPr>
        <w:tc>
          <w:tcPr>
            <w:tcW w:w="1480" w:type="dxa"/>
            <w:tcBorders>
              <w:top w:val="nil"/>
              <w:left w:val="single" w:sz="4" w:space="0" w:color="auto"/>
              <w:bottom w:val="single" w:sz="4" w:space="0" w:color="auto"/>
              <w:right w:val="single" w:sz="4" w:space="0" w:color="auto"/>
            </w:tcBorders>
            <w:shd w:val="clear" w:color="auto" w:fill="auto"/>
            <w:noWrap/>
            <w:hideMark/>
          </w:tcPr>
          <w:p w14:paraId="5A40F568"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59/7/2017</w:t>
            </w:r>
          </w:p>
        </w:tc>
        <w:tc>
          <w:tcPr>
            <w:tcW w:w="1490" w:type="dxa"/>
            <w:tcBorders>
              <w:top w:val="nil"/>
              <w:left w:val="nil"/>
              <w:bottom w:val="single" w:sz="4" w:space="0" w:color="auto"/>
              <w:right w:val="single" w:sz="4" w:space="0" w:color="auto"/>
            </w:tcBorders>
            <w:shd w:val="clear" w:color="auto" w:fill="auto"/>
            <w:noWrap/>
            <w:hideMark/>
          </w:tcPr>
          <w:p w14:paraId="09139005"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19/04/2017</w:t>
            </w:r>
          </w:p>
        </w:tc>
        <w:tc>
          <w:tcPr>
            <w:tcW w:w="2559" w:type="dxa"/>
            <w:tcBorders>
              <w:top w:val="nil"/>
              <w:left w:val="nil"/>
              <w:bottom w:val="single" w:sz="4" w:space="0" w:color="auto"/>
              <w:right w:val="single" w:sz="4" w:space="0" w:color="auto"/>
            </w:tcBorders>
            <w:shd w:val="clear" w:color="auto" w:fill="auto"/>
            <w:noWrap/>
            <w:hideMark/>
          </w:tcPr>
          <w:p w14:paraId="4E88BF3F" w14:textId="77777777" w:rsidR="004438EF" w:rsidRPr="008429ED" w:rsidRDefault="004438EF" w:rsidP="002E23AA">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R 3 251.00</w:t>
            </w:r>
          </w:p>
        </w:tc>
        <w:tc>
          <w:tcPr>
            <w:tcW w:w="3260" w:type="dxa"/>
            <w:tcBorders>
              <w:top w:val="nil"/>
              <w:left w:val="nil"/>
              <w:bottom w:val="single" w:sz="4" w:space="0" w:color="auto"/>
              <w:right w:val="single" w:sz="4" w:space="0" w:color="auto"/>
            </w:tcBorders>
            <w:shd w:val="clear" w:color="auto" w:fill="auto"/>
            <w:hideMark/>
          </w:tcPr>
          <w:p w14:paraId="6F1DACE6"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Lephalale</w:t>
            </w:r>
          </w:p>
        </w:tc>
      </w:tr>
      <w:tr w:rsidR="004438EF" w:rsidRPr="008429ED" w14:paraId="5B697C31" w14:textId="77777777" w:rsidTr="00A16047">
        <w:trPr>
          <w:trHeight w:val="656"/>
        </w:trPr>
        <w:tc>
          <w:tcPr>
            <w:tcW w:w="1480" w:type="dxa"/>
            <w:tcBorders>
              <w:top w:val="nil"/>
              <w:left w:val="single" w:sz="4" w:space="0" w:color="auto"/>
              <w:bottom w:val="single" w:sz="4" w:space="0" w:color="auto"/>
              <w:right w:val="single" w:sz="4" w:space="0" w:color="auto"/>
            </w:tcBorders>
            <w:shd w:val="clear" w:color="auto" w:fill="auto"/>
            <w:noWrap/>
            <w:hideMark/>
          </w:tcPr>
          <w:p w14:paraId="0023B932"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115/11/2019</w:t>
            </w:r>
          </w:p>
        </w:tc>
        <w:tc>
          <w:tcPr>
            <w:tcW w:w="1490" w:type="dxa"/>
            <w:tcBorders>
              <w:top w:val="nil"/>
              <w:left w:val="nil"/>
              <w:bottom w:val="single" w:sz="4" w:space="0" w:color="auto"/>
              <w:right w:val="single" w:sz="4" w:space="0" w:color="auto"/>
            </w:tcBorders>
            <w:shd w:val="clear" w:color="auto" w:fill="auto"/>
            <w:noWrap/>
            <w:hideMark/>
          </w:tcPr>
          <w:p w14:paraId="75845DDF"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2018-12221</w:t>
            </w:r>
          </w:p>
        </w:tc>
        <w:tc>
          <w:tcPr>
            <w:tcW w:w="2559" w:type="dxa"/>
            <w:tcBorders>
              <w:top w:val="nil"/>
              <w:left w:val="nil"/>
              <w:bottom w:val="single" w:sz="4" w:space="0" w:color="auto"/>
              <w:right w:val="single" w:sz="4" w:space="0" w:color="auto"/>
            </w:tcBorders>
            <w:shd w:val="clear" w:color="auto" w:fill="auto"/>
            <w:noWrap/>
            <w:hideMark/>
          </w:tcPr>
          <w:p w14:paraId="72122261" w14:textId="77777777" w:rsidR="004438EF" w:rsidRPr="008429ED" w:rsidRDefault="004438EF" w:rsidP="002E23AA">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R 200 000 000.00</w:t>
            </w:r>
          </w:p>
        </w:tc>
        <w:tc>
          <w:tcPr>
            <w:tcW w:w="3260" w:type="dxa"/>
            <w:tcBorders>
              <w:top w:val="nil"/>
              <w:left w:val="nil"/>
              <w:bottom w:val="single" w:sz="4" w:space="0" w:color="auto"/>
              <w:right w:val="single" w:sz="4" w:space="0" w:color="auto"/>
            </w:tcBorders>
            <w:shd w:val="clear" w:color="auto" w:fill="auto"/>
            <w:noWrap/>
            <w:hideMark/>
          </w:tcPr>
          <w:p w14:paraId="3CBDE0E5"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Sandton</w:t>
            </w:r>
          </w:p>
        </w:tc>
      </w:tr>
      <w:tr w:rsidR="004438EF" w:rsidRPr="008429ED" w14:paraId="76CA35F9" w14:textId="77777777" w:rsidTr="00A16047">
        <w:trPr>
          <w:trHeight w:val="620"/>
        </w:trPr>
        <w:tc>
          <w:tcPr>
            <w:tcW w:w="1480" w:type="dxa"/>
            <w:tcBorders>
              <w:top w:val="nil"/>
              <w:left w:val="single" w:sz="4" w:space="0" w:color="auto"/>
              <w:bottom w:val="single" w:sz="4" w:space="0" w:color="auto"/>
              <w:right w:val="single" w:sz="4" w:space="0" w:color="auto"/>
            </w:tcBorders>
            <w:shd w:val="clear" w:color="auto" w:fill="auto"/>
            <w:noWrap/>
            <w:hideMark/>
          </w:tcPr>
          <w:p w14:paraId="78CE5D2E"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03/04/2019</w:t>
            </w:r>
          </w:p>
        </w:tc>
        <w:tc>
          <w:tcPr>
            <w:tcW w:w="1490" w:type="dxa"/>
            <w:tcBorders>
              <w:top w:val="nil"/>
              <w:left w:val="nil"/>
              <w:bottom w:val="single" w:sz="4" w:space="0" w:color="auto"/>
              <w:right w:val="single" w:sz="4" w:space="0" w:color="auto"/>
            </w:tcBorders>
            <w:shd w:val="clear" w:color="auto" w:fill="auto"/>
            <w:noWrap/>
            <w:hideMark/>
          </w:tcPr>
          <w:p w14:paraId="1FD9B7CE"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2018-12267</w:t>
            </w:r>
          </w:p>
        </w:tc>
        <w:tc>
          <w:tcPr>
            <w:tcW w:w="2559" w:type="dxa"/>
            <w:tcBorders>
              <w:top w:val="nil"/>
              <w:left w:val="nil"/>
              <w:bottom w:val="single" w:sz="4" w:space="0" w:color="auto"/>
              <w:right w:val="single" w:sz="4" w:space="0" w:color="auto"/>
            </w:tcBorders>
            <w:shd w:val="clear" w:color="auto" w:fill="auto"/>
            <w:noWrap/>
            <w:hideMark/>
          </w:tcPr>
          <w:p w14:paraId="7E6D2AAE" w14:textId="77777777" w:rsidR="004438EF" w:rsidRPr="008429ED" w:rsidRDefault="004438EF" w:rsidP="002E23AA">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R 19 700 000.00</w:t>
            </w:r>
          </w:p>
        </w:tc>
        <w:tc>
          <w:tcPr>
            <w:tcW w:w="3260" w:type="dxa"/>
            <w:tcBorders>
              <w:top w:val="nil"/>
              <w:left w:val="nil"/>
              <w:bottom w:val="single" w:sz="4" w:space="0" w:color="auto"/>
              <w:right w:val="single" w:sz="4" w:space="0" w:color="auto"/>
            </w:tcBorders>
            <w:shd w:val="clear" w:color="auto" w:fill="auto"/>
            <w:hideMark/>
          </w:tcPr>
          <w:p w14:paraId="3D0B550A"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Germiston Organised Crime</w:t>
            </w:r>
          </w:p>
        </w:tc>
      </w:tr>
      <w:tr w:rsidR="004438EF" w:rsidRPr="008429ED" w14:paraId="5F63E50B" w14:textId="77777777" w:rsidTr="00A16047">
        <w:trPr>
          <w:trHeight w:val="552"/>
        </w:trPr>
        <w:tc>
          <w:tcPr>
            <w:tcW w:w="1480" w:type="dxa"/>
            <w:tcBorders>
              <w:top w:val="nil"/>
              <w:left w:val="single" w:sz="4" w:space="0" w:color="auto"/>
              <w:bottom w:val="single" w:sz="4" w:space="0" w:color="auto"/>
              <w:right w:val="single" w:sz="4" w:space="0" w:color="auto"/>
            </w:tcBorders>
            <w:shd w:val="clear" w:color="auto" w:fill="auto"/>
            <w:noWrap/>
            <w:hideMark/>
          </w:tcPr>
          <w:p w14:paraId="46858D63"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152/11/2019</w:t>
            </w:r>
          </w:p>
        </w:tc>
        <w:tc>
          <w:tcPr>
            <w:tcW w:w="1490" w:type="dxa"/>
            <w:tcBorders>
              <w:top w:val="nil"/>
              <w:left w:val="nil"/>
              <w:bottom w:val="single" w:sz="4" w:space="0" w:color="auto"/>
              <w:right w:val="single" w:sz="4" w:space="0" w:color="auto"/>
            </w:tcBorders>
            <w:shd w:val="clear" w:color="auto" w:fill="auto"/>
            <w:noWrap/>
            <w:hideMark/>
          </w:tcPr>
          <w:p w14:paraId="0C8DF997"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2018-12276</w:t>
            </w:r>
          </w:p>
        </w:tc>
        <w:tc>
          <w:tcPr>
            <w:tcW w:w="2559" w:type="dxa"/>
            <w:tcBorders>
              <w:top w:val="nil"/>
              <w:left w:val="nil"/>
              <w:bottom w:val="single" w:sz="4" w:space="0" w:color="auto"/>
              <w:right w:val="single" w:sz="4" w:space="0" w:color="auto"/>
            </w:tcBorders>
            <w:shd w:val="clear" w:color="auto" w:fill="auto"/>
            <w:noWrap/>
            <w:hideMark/>
          </w:tcPr>
          <w:p w14:paraId="3DACDB8A" w14:textId="77777777" w:rsidR="004438EF" w:rsidRPr="008429ED" w:rsidRDefault="004438EF" w:rsidP="002E23AA">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R 160 000.00</w:t>
            </w:r>
          </w:p>
        </w:tc>
        <w:tc>
          <w:tcPr>
            <w:tcW w:w="3260" w:type="dxa"/>
            <w:tcBorders>
              <w:top w:val="nil"/>
              <w:left w:val="nil"/>
              <w:bottom w:val="single" w:sz="4" w:space="0" w:color="auto"/>
              <w:right w:val="single" w:sz="4" w:space="0" w:color="auto"/>
            </w:tcBorders>
            <w:shd w:val="clear" w:color="auto" w:fill="auto"/>
            <w:noWrap/>
            <w:hideMark/>
          </w:tcPr>
          <w:p w14:paraId="2B6F1420"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Cleveland</w:t>
            </w:r>
          </w:p>
        </w:tc>
      </w:tr>
      <w:tr w:rsidR="004438EF" w:rsidRPr="008429ED" w14:paraId="429F10B2" w14:textId="77777777" w:rsidTr="00A16047">
        <w:trPr>
          <w:trHeight w:val="107"/>
        </w:trPr>
        <w:tc>
          <w:tcPr>
            <w:tcW w:w="1480" w:type="dxa"/>
            <w:tcBorders>
              <w:top w:val="nil"/>
              <w:left w:val="single" w:sz="4" w:space="0" w:color="auto"/>
              <w:bottom w:val="single" w:sz="4" w:space="0" w:color="auto"/>
              <w:right w:val="single" w:sz="4" w:space="0" w:color="auto"/>
            </w:tcBorders>
            <w:shd w:val="clear" w:color="auto" w:fill="auto"/>
            <w:noWrap/>
            <w:hideMark/>
          </w:tcPr>
          <w:p w14:paraId="1656B389"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571/11/2019</w:t>
            </w:r>
          </w:p>
        </w:tc>
        <w:tc>
          <w:tcPr>
            <w:tcW w:w="1490" w:type="dxa"/>
            <w:tcBorders>
              <w:top w:val="nil"/>
              <w:left w:val="nil"/>
              <w:bottom w:val="single" w:sz="4" w:space="0" w:color="auto"/>
              <w:right w:val="single" w:sz="4" w:space="0" w:color="auto"/>
            </w:tcBorders>
            <w:shd w:val="clear" w:color="auto" w:fill="auto"/>
            <w:noWrap/>
            <w:hideMark/>
          </w:tcPr>
          <w:p w14:paraId="17324EC3"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2018-12386</w:t>
            </w:r>
          </w:p>
        </w:tc>
        <w:tc>
          <w:tcPr>
            <w:tcW w:w="2559" w:type="dxa"/>
            <w:tcBorders>
              <w:top w:val="nil"/>
              <w:left w:val="nil"/>
              <w:bottom w:val="single" w:sz="4" w:space="0" w:color="auto"/>
              <w:right w:val="single" w:sz="4" w:space="0" w:color="auto"/>
            </w:tcBorders>
            <w:shd w:val="clear" w:color="auto" w:fill="auto"/>
            <w:noWrap/>
            <w:hideMark/>
          </w:tcPr>
          <w:p w14:paraId="000446F7" w14:textId="77777777" w:rsidR="004438EF" w:rsidRPr="008429ED" w:rsidRDefault="004438EF" w:rsidP="002E23AA">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R 718 694.45</w:t>
            </w:r>
          </w:p>
        </w:tc>
        <w:tc>
          <w:tcPr>
            <w:tcW w:w="3260" w:type="dxa"/>
            <w:tcBorders>
              <w:top w:val="nil"/>
              <w:left w:val="nil"/>
              <w:bottom w:val="single" w:sz="4" w:space="0" w:color="auto"/>
              <w:right w:val="single" w:sz="4" w:space="0" w:color="auto"/>
            </w:tcBorders>
            <w:shd w:val="clear" w:color="auto" w:fill="auto"/>
            <w:hideMark/>
          </w:tcPr>
          <w:p w14:paraId="3F232714"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Brooklyn</w:t>
            </w:r>
            <w:r w:rsidRPr="008429ED">
              <w:rPr>
                <w:rFonts w:ascii="Arial" w:eastAsia="Times New Roman" w:hAnsi="Arial" w:cs="Arial"/>
                <w:sz w:val="20"/>
                <w:szCs w:val="20"/>
                <w:lang w:eastAsia="en-ZA"/>
              </w:rPr>
              <w:br/>
            </w:r>
          </w:p>
        </w:tc>
      </w:tr>
      <w:tr w:rsidR="004438EF" w:rsidRPr="008429ED" w14:paraId="20D50C55" w14:textId="77777777" w:rsidTr="00A16047">
        <w:trPr>
          <w:trHeight w:val="620"/>
        </w:trPr>
        <w:tc>
          <w:tcPr>
            <w:tcW w:w="1480" w:type="dxa"/>
            <w:tcBorders>
              <w:top w:val="nil"/>
              <w:left w:val="single" w:sz="4" w:space="0" w:color="auto"/>
              <w:bottom w:val="single" w:sz="4" w:space="0" w:color="auto"/>
              <w:right w:val="single" w:sz="4" w:space="0" w:color="auto"/>
            </w:tcBorders>
            <w:shd w:val="clear" w:color="auto" w:fill="auto"/>
            <w:noWrap/>
            <w:hideMark/>
          </w:tcPr>
          <w:p w14:paraId="6B50499D"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103/11/2019</w:t>
            </w:r>
          </w:p>
        </w:tc>
        <w:tc>
          <w:tcPr>
            <w:tcW w:w="1490" w:type="dxa"/>
            <w:tcBorders>
              <w:top w:val="nil"/>
              <w:left w:val="nil"/>
              <w:bottom w:val="single" w:sz="4" w:space="0" w:color="auto"/>
              <w:right w:val="single" w:sz="4" w:space="0" w:color="auto"/>
            </w:tcBorders>
            <w:shd w:val="clear" w:color="auto" w:fill="auto"/>
            <w:noWrap/>
            <w:hideMark/>
          </w:tcPr>
          <w:p w14:paraId="0224FAC9"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2018-12400</w:t>
            </w:r>
          </w:p>
        </w:tc>
        <w:tc>
          <w:tcPr>
            <w:tcW w:w="2559" w:type="dxa"/>
            <w:tcBorders>
              <w:top w:val="nil"/>
              <w:left w:val="nil"/>
              <w:bottom w:val="single" w:sz="4" w:space="0" w:color="auto"/>
              <w:right w:val="single" w:sz="4" w:space="0" w:color="auto"/>
            </w:tcBorders>
            <w:shd w:val="clear" w:color="auto" w:fill="auto"/>
            <w:noWrap/>
            <w:hideMark/>
          </w:tcPr>
          <w:p w14:paraId="5FB5901D" w14:textId="77777777" w:rsidR="004438EF" w:rsidRPr="008429ED" w:rsidRDefault="004438EF" w:rsidP="002E23AA">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R 52 764 793.80</w:t>
            </w:r>
          </w:p>
        </w:tc>
        <w:tc>
          <w:tcPr>
            <w:tcW w:w="3260" w:type="dxa"/>
            <w:tcBorders>
              <w:top w:val="nil"/>
              <w:left w:val="nil"/>
              <w:bottom w:val="single" w:sz="4" w:space="0" w:color="auto"/>
              <w:right w:val="single" w:sz="4" w:space="0" w:color="auto"/>
            </w:tcBorders>
            <w:shd w:val="clear" w:color="auto" w:fill="auto"/>
            <w:noWrap/>
            <w:hideMark/>
          </w:tcPr>
          <w:p w14:paraId="536690FD"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Sandton</w:t>
            </w:r>
          </w:p>
        </w:tc>
      </w:tr>
      <w:tr w:rsidR="004438EF" w:rsidRPr="008429ED" w14:paraId="6A145E04" w14:textId="77777777" w:rsidTr="00A16047">
        <w:trPr>
          <w:trHeight w:val="620"/>
        </w:trPr>
        <w:tc>
          <w:tcPr>
            <w:tcW w:w="1480" w:type="dxa"/>
            <w:tcBorders>
              <w:top w:val="nil"/>
              <w:left w:val="single" w:sz="4" w:space="0" w:color="auto"/>
              <w:bottom w:val="single" w:sz="4" w:space="0" w:color="auto"/>
              <w:right w:val="single" w:sz="4" w:space="0" w:color="auto"/>
            </w:tcBorders>
            <w:shd w:val="clear" w:color="auto" w:fill="auto"/>
            <w:noWrap/>
            <w:hideMark/>
          </w:tcPr>
          <w:p w14:paraId="2846EB3A"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96/02/2020</w:t>
            </w:r>
          </w:p>
        </w:tc>
        <w:tc>
          <w:tcPr>
            <w:tcW w:w="1490" w:type="dxa"/>
            <w:tcBorders>
              <w:top w:val="nil"/>
              <w:left w:val="nil"/>
              <w:bottom w:val="single" w:sz="4" w:space="0" w:color="auto"/>
              <w:right w:val="single" w:sz="4" w:space="0" w:color="auto"/>
            </w:tcBorders>
            <w:shd w:val="clear" w:color="auto" w:fill="auto"/>
            <w:noWrap/>
            <w:hideMark/>
          </w:tcPr>
          <w:p w14:paraId="43BADB73"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2018-12423</w:t>
            </w:r>
          </w:p>
        </w:tc>
        <w:tc>
          <w:tcPr>
            <w:tcW w:w="2559" w:type="dxa"/>
            <w:tcBorders>
              <w:top w:val="nil"/>
              <w:left w:val="nil"/>
              <w:bottom w:val="single" w:sz="4" w:space="0" w:color="auto"/>
              <w:right w:val="single" w:sz="4" w:space="0" w:color="auto"/>
            </w:tcBorders>
            <w:shd w:val="clear" w:color="auto" w:fill="auto"/>
            <w:noWrap/>
            <w:hideMark/>
          </w:tcPr>
          <w:p w14:paraId="72819A46" w14:textId="77777777" w:rsidR="004438EF" w:rsidRPr="008429ED" w:rsidRDefault="004438EF" w:rsidP="002E23AA">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R 49 752 013.88</w:t>
            </w:r>
          </w:p>
        </w:tc>
        <w:tc>
          <w:tcPr>
            <w:tcW w:w="3260" w:type="dxa"/>
            <w:tcBorders>
              <w:top w:val="nil"/>
              <w:left w:val="nil"/>
              <w:bottom w:val="single" w:sz="4" w:space="0" w:color="auto"/>
              <w:right w:val="single" w:sz="4" w:space="0" w:color="auto"/>
            </w:tcBorders>
            <w:shd w:val="clear" w:color="auto" w:fill="auto"/>
            <w:noWrap/>
            <w:hideMark/>
          </w:tcPr>
          <w:p w14:paraId="710864EA"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Sandton</w:t>
            </w:r>
          </w:p>
        </w:tc>
      </w:tr>
      <w:tr w:rsidR="004438EF" w:rsidRPr="008429ED" w14:paraId="6D8D1058" w14:textId="77777777" w:rsidTr="00A16047">
        <w:trPr>
          <w:trHeight w:val="620"/>
        </w:trPr>
        <w:tc>
          <w:tcPr>
            <w:tcW w:w="1480" w:type="dxa"/>
            <w:tcBorders>
              <w:top w:val="nil"/>
              <w:left w:val="single" w:sz="4" w:space="0" w:color="auto"/>
              <w:bottom w:val="single" w:sz="4" w:space="0" w:color="auto"/>
              <w:right w:val="single" w:sz="4" w:space="0" w:color="auto"/>
            </w:tcBorders>
            <w:shd w:val="clear" w:color="auto" w:fill="auto"/>
            <w:noWrap/>
            <w:hideMark/>
          </w:tcPr>
          <w:p w14:paraId="2A67A6C8"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567/11/2019</w:t>
            </w:r>
          </w:p>
        </w:tc>
        <w:tc>
          <w:tcPr>
            <w:tcW w:w="1490" w:type="dxa"/>
            <w:tcBorders>
              <w:top w:val="nil"/>
              <w:left w:val="nil"/>
              <w:bottom w:val="single" w:sz="4" w:space="0" w:color="auto"/>
              <w:right w:val="single" w:sz="4" w:space="0" w:color="auto"/>
            </w:tcBorders>
            <w:shd w:val="clear" w:color="auto" w:fill="auto"/>
            <w:noWrap/>
            <w:hideMark/>
          </w:tcPr>
          <w:p w14:paraId="65760CA3"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2018-12424</w:t>
            </w:r>
          </w:p>
        </w:tc>
        <w:tc>
          <w:tcPr>
            <w:tcW w:w="2559" w:type="dxa"/>
            <w:tcBorders>
              <w:top w:val="nil"/>
              <w:left w:val="nil"/>
              <w:bottom w:val="single" w:sz="4" w:space="0" w:color="auto"/>
              <w:right w:val="single" w:sz="4" w:space="0" w:color="auto"/>
            </w:tcBorders>
            <w:shd w:val="clear" w:color="auto" w:fill="auto"/>
            <w:noWrap/>
            <w:hideMark/>
          </w:tcPr>
          <w:p w14:paraId="7CCFBC14" w14:textId="77777777" w:rsidR="004438EF" w:rsidRPr="008429ED" w:rsidRDefault="004438EF" w:rsidP="002E23AA">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R 80 876 283.80</w:t>
            </w:r>
          </w:p>
        </w:tc>
        <w:tc>
          <w:tcPr>
            <w:tcW w:w="3260" w:type="dxa"/>
            <w:tcBorders>
              <w:top w:val="nil"/>
              <w:left w:val="nil"/>
              <w:bottom w:val="single" w:sz="4" w:space="0" w:color="auto"/>
              <w:right w:val="single" w:sz="4" w:space="0" w:color="auto"/>
            </w:tcBorders>
            <w:shd w:val="clear" w:color="auto" w:fill="auto"/>
            <w:noWrap/>
            <w:hideMark/>
          </w:tcPr>
          <w:p w14:paraId="486F3690"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Brooklyn</w:t>
            </w:r>
          </w:p>
        </w:tc>
      </w:tr>
      <w:tr w:rsidR="004438EF" w:rsidRPr="008429ED" w14:paraId="645BDC04" w14:textId="77777777" w:rsidTr="00A16047">
        <w:trPr>
          <w:trHeight w:val="602"/>
        </w:trPr>
        <w:tc>
          <w:tcPr>
            <w:tcW w:w="1480" w:type="dxa"/>
            <w:tcBorders>
              <w:top w:val="nil"/>
              <w:left w:val="single" w:sz="4" w:space="0" w:color="auto"/>
              <w:bottom w:val="single" w:sz="4" w:space="0" w:color="auto"/>
              <w:right w:val="single" w:sz="4" w:space="0" w:color="auto"/>
            </w:tcBorders>
            <w:shd w:val="clear" w:color="auto" w:fill="auto"/>
            <w:noWrap/>
            <w:hideMark/>
          </w:tcPr>
          <w:p w14:paraId="57B8FE99"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50/11/2019</w:t>
            </w:r>
          </w:p>
        </w:tc>
        <w:tc>
          <w:tcPr>
            <w:tcW w:w="1490" w:type="dxa"/>
            <w:tcBorders>
              <w:top w:val="nil"/>
              <w:left w:val="nil"/>
              <w:bottom w:val="single" w:sz="4" w:space="0" w:color="auto"/>
              <w:right w:val="single" w:sz="4" w:space="0" w:color="auto"/>
            </w:tcBorders>
            <w:shd w:val="clear" w:color="auto" w:fill="auto"/>
            <w:noWrap/>
            <w:hideMark/>
          </w:tcPr>
          <w:p w14:paraId="6F0C0C85"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2018-12451</w:t>
            </w:r>
          </w:p>
        </w:tc>
        <w:tc>
          <w:tcPr>
            <w:tcW w:w="2559" w:type="dxa"/>
            <w:tcBorders>
              <w:top w:val="nil"/>
              <w:left w:val="nil"/>
              <w:bottom w:val="single" w:sz="4" w:space="0" w:color="auto"/>
              <w:right w:val="single" w:sz="4" w:space="0" w:color="auto"/>
            </w:tcBorders>
            <w:shd w:val="clear" w:color="auto" w:fill="auto"/>
            <w:noWrap/>
            <w:hideMark/>
          </w:tcPr>
          <w:p w14:paraId="3C493B75" w14:textId="77777777" w:rsidR="004438EF" w:rsidRPr="008429ED" w:rsidRDefault="004438EF" w:rsidP="002E23AA">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R 2 216 713.00</w:t>
            </w:r>
          </w:p>
        </w:tc>
        <w:tc>
          <w:tcPr>
            <w:tcW w:w="3260" w:type="dxa"/>
            <w:tcBorders>
              <w:top w:val="nil"/>
              <w:left w:val="nil"/>
              <w:bottom w:val="single" w:sz="4" w:space="0" w:color="auto"/>
              <w:right w:val="single" w:sz="4" w:space="0" w:color="auto"/>
            </w:tcBorders>
            <w:shd w:val="clear" w:color="auto" w:fill="auto"/>
            <w:hideMark/>
          </w:tcPr>
          <w:p w14:paraId="607ADC22"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Hendrina</w:t>
            </w:r>
            <w:r w:rsidRPr="008429ED">
              <w:rPr>
                <w:rFonts w:ascii="Arial" w:eastAsia="Times New Roman" w:hAnsi="Arial" w:cs="Arial"/>
                <w:sz w:val="20"/>
                <w:szCs w:val="20"/>
                <w:lang w:eastAsia="en-ZA"/>
              </w:rPr>
              <w:br/>
            </w:r>
          </w:p>
        </w:tc>
      </w:tr>
      <w:tr w:rsidR="004438EF" w:rsidRPr="008429ED" w14:paraId="004D1016" w14:textId="77777777" w:rsidTr="00A16047">
        <w:trPr>
          <w:trHeight w:val="540"/>
        </w:trPr>
        <w:tc>
          <w:tcPr>
            <w:tcW w:w="1480" w:type="dxa"/>
            <w:tcBorders>
              <w:top w:val="nil"/>
              <w:left w:val="single" w:sz="4" w:space="0" w:color="auto"/>
              <w:bottom w:val="single" w:sz="4" w:space="0" w:color="auto"/>
              <w:right w:val="single" w:sz="4" w:space="0" w:color="auto"/>
            </w:tcBorders>
            <w:shd w:val="clear" w:color="auto" w:fill="auto"/>
            <w:noWrap/>
            <w:hideMark/>
          </w:tcPr>
          <w:p w14:paraId="33147339"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495/7/2019</w:t>
            </w:r>
          </w:p>
        </w:tc>
        <w:tc>
          <w:tcPr>
            <w:tcW w:w="1490" w:type="dxa"/>
            <w:tcBorders>
              <w:top w:val="nil"/>
              <w:left w:val="nil"/>
              <w:bottom w:val="single" w:sz="4" w:space="0" w:color="auto"/>
              <w:right w:val="single" w:sz="4" w:space="0" w:color="auto"/>
            </w:tcBorders>
            <w:shd w:val="clear" w:color="auto" w:fill="auto"/>
            <w:noWrap/>
            <w:hideMark/>
          </w:tcPr>
          <w:p w14:paraId="32952F85"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2018-12522</w:t>
            </w:r>
          </w:p>
        </w:tc>
        <w:tc>
          <w:tcPr>
            <w:tcW w:w="2559" w:type="dxa"/>
            <w:tcBorders>
              <w:top w:val="nil"/>
              <w:left w:val="nil"/>
              <w:bottom w:val="single" w:sz="4" w:space="0" w:color="auto"/>
              <w:right w:val="single" w:sz="4" w:space="0" w:color="auto"/>
            </w:tcBorders>
            <w:shd w:val="clear" w:color="auto" w:fill="auto"/>
            <w:noWrap/>
            <w:hideMark/>
          </w:tcPr>
          <w:p w14:paraId="204CC4AE" w14:textId="77777777" w:rsidR="004438EF" w:rsidRPr="008429ED" w:rsidRDefault="004438EF" w:rsidP="002E23AA">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R 15 592 500.00</w:t>
            </w:r>
          </w:p>
        </w:tc>
        <w:tc>
          <w:tcPr>
            <w:tcW w:w="3260" w:type="dxa"/>
            <w:tcBorders>
              <w:top w:val="nil"/>
              <w:left w:val="nil"/>
              <w:bottom w:val="single" w:sz="4" w:space="0" w:color="auto"/>
              <w:right w:val="single" w:sz="4" w:space="0" w:color="auto"/>
            </w:tcBorders>
            <w:shd w:val="clear" w:color="auto" w:fill="auto"/>
            <w:noWrap/>
            <w:hideMark/>
          </w:tcPr>
          <w:p w14:paraId="3C220600"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Witbank</w:t>
            </w:r>
          </w:p>
        </w:tc>
      </w:tr>
      <w:tr w:rsidR="004438EF" w:rsidRPr="008429ED" w14:paraId="725045D6" w14:textId="77777777" w:rsidTr="00A16047">
        <w:trPr>
          <w:trHeight w:val="584"/>
        </w:trPr>
        <w:tc>
          <w:tcPr>
            <w:tcW w:w="1480" w:type="dxa"/>
            <w:tcBorders>
              <w:top w:val="nil"/>
              <w:left w:val="single" w:sz="4" w:space="0" w:color="auto"/>
              <w:bottom w:val="single" w:sz="4" w:space="0" w:color="auto"/>
              <w:right w:val="single" w:sz="4" w:space="0" w:color="auto"/>
            </w:tcBorders>
            <w:shd w:val="clear" w:color="auto" w:fill="auto"/>
            <w:noWrap/>
            <w:hideMark/>
          </w:tcPr>
          <w:p w14:paraId="276EC68E"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464/11/2018</w:t>
            </w:r>
          </w:p>
        </w:tc>
        <w:tc>
          <w:tcPr>
            <w:tcW w:w="1490" w:type="dxa"/>
            <w:tcBorders>
              <w:top w:val="nil"/>
              <w:left w:val="nil"/>
              <w:bottom w:val="single" w:sz="4" w:space="0" w:color="auto"/>
              <w:right w:val="single" w:sz="4" w:space="0" w:color="auto"/>
            </w:tcBorders>
            <w:shd w:val="clear" w:color="auto" w:fill="auto"/>
            <w:noWrap/>
            <w:hideMark/>
          </w:tcPr>
          <w:p w14:paraId="5FC3EFA8"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2018-12568</w:t>
            </w:r>
          </w:p>
        </w:tc>
        <w:tc>
          <w:tcPr>
            <w:tcW w:w="2559" w:type="dxa"/>
            <w:tcBorders>
              <w:top w:val="nil"/>
              <w:left w:val="nil"/>
              <w:bottom w:val="single" w:sz="4" w:space="0" w:color="auto"/>
              <w:right w:val="single" w:sz="4" w:space="0" w:color="auto"/>
            </w:tcBorders>
            <w:shd w:val="clear" w:color="auto" w:fill="auto"/>
            <w:noWrap/>
            <w:hideMark/>
          </w:tcPr>
          <w:p w14:paraId="7ACDDF7D" w14:textId="77777777" w:rsidR="004438EF" w:rsidRPr="008429ED" w:rsidRDefault="004438EF" w:rsidP="002E23AA">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R 31 074 717.33</w:t>
            </w:r>
          </w:p>
        </w:tc>
        <w:tc>
          <w:tcPr>
            <w:tcW w:w="3260" w:type="dxa"/>
            <w:tcBorders>
              <w:top w:val="nil"/>
              <w:left w:val="nil"/>
              <w:bottom w:val="single" w:sz="4" w:space="0" w:color="auto"/>
              <w:right w:val="single" w:sz="4" w:space="0" w:color="auto"/>
            </w:tcBorders>
            <w:shd w:val="clear" w:color="auto" w:fill="auto"/>
            <w:hideMark/>
          </w:tcPr>
          <w:p w14:paraId="4703A7FC"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Sandton</w:t>
            </w:r>
          </w:p>
        </w:tc>
      </w:tr>
      <w:tr w:rsidR="00BC59CA" w:rsidRPr="00BC59CA" w14:paraId="5F8CC9D6" w14:textId="77777777" w:rsidTr="00A16047">
        <w:trPr>
          <w:trHeight w:val="845"/>
        </w:trPr>
        <w:tc>
          <w:tcPr>
            <w:tcW w:w="1480" w:type="dxa"/>
            <w:tcBorders>
              <w:top w:val="nil"/>
              <w:left w:val="single" w:sz="4" w:space="0" w:color="auto"/>
              <w:bottom w:val="single" w:sz="4" w:space="0" w:color="auto"/>
              <w:right w:val="single" w:sz="4" w:space="0" w:color="auto"/>
            </w:tcBorders>
            <w:shd w:val="clear" w:color="auto" w:fill="auto"/>
            <w:noWrap/>
            <w:hideMark/>
          </w:tcPr>
          <w:p w14:paraId="0C94140A" w14:textId="77777777" w:rsidR="004438EF" w:rsidRPr="009E2512" w:rsidRDefault="004438EF" w:rsidP="00A16047">
            <w:pPr>
              <w:spacing w:after="0" w:line="240" w:lineRule="auto"/>
              <w:rPr>
                <w:rFonts w:ascii="Arial" w:eastAsia="Times New Roman" w:hAnsi="Arial" w:cs="Arial"/>
                <w:sz w:val="20"/>
                <w:szCs w:val="20"/>
                <w:lang w:eastAsia="en-ZA"/>
              </w:rPr>
            </w:pPr>
            <w:r w:rsidRPr="009E2512">
              <w:rPr>
                <w:rFonts w:ascii="Arial" w:eastAsia="Times New Roman" w:hAnsi="Arial" w:cs="Arial"/>
                <w:sz w:val="20"/>
                <w:szCs w:val="20"/>
                <w:lang w:eastAsia="en-ZA"/>
              </w:rPr>
              <w:t>452/05/2018</w:t>
            </w:r>
          </w:p>
        </w:tc>
        <w:tc>
          <w:tcPr>
            <w:tcW w:w="1490" w:type="dxa"/>
            <w:tcBorders>
              <w:top w:val="nil"/>
              <w:left w:val="nil"/>
              <w:bottom w:val="single" w:sz="4" w:space="0" w:color="auto"/>
              <w:right w:val="single" w:sz="4" w:space="0" w:color="auto"/>
            </w:tcBorders>
            <w:shd w:val="clear" w:color="auto" w:fill="auto"/>
            <w:noWrap/>
            <w:hideMark/>
          </w:tcPr>
          <w:p w14:paraId="27D16953" w14:textId="77777777" w:rsidR="004438EF" w:rsidRPr="009E2512" w:rsidRDefault="004438EF" w:rsidP="00A16047">
            <w:pPr>
              <w:spacing w:after="0" w:line="240" w:lineRule="auto"/>
              <w:rPr>
                <w:rFonts w:ascii="Arial" w:eastAsia="Times New Roman" w:hAnsi="Arial" w:cs="Arial"/>
                <w:sz w:val="20"/>
                <w:szCs w:val="20"/>
                <w:lang w:eastAsia="en-ZA"/>
              </w:rPr>
            </w:pPr>
            <w:r w:rsidRPr="009E2512">
              <w:rPr>
                <w:rFonts w:ascii="Arial" w:eastAsia="Times New Roman" w:hAnsi="Arial" w:cs="Arial"/>
                <w:sz w:val="20"/>
                <w:szCs w:val="20"/>
                <w:lang w:eastAsia="en-ZA"/>
              </w:rPr>
              <w:t>2018-12622</w:t>
            </w:r>
          </w:p>
        </w:tc>
        <w:tc>
          <w:tcPr>
            <w:tcW w:w="2559" w:type="dxa"/>
            <w:tcBorders>
              <w:top w:val="nil"/>
              <w:left w:val="nil"/>
              <w:bottom w:val="single" w:sz="4" w:space="0" w:color="auto"/>
              <w:right w:val="single" w:sz="4" w:space="0" w:color="auto"/>
            </w:tcBorders>
            <w:shd w:val="clear" w:color="auto" w:fill="auto"/>
            <w:hideMark/>
          </w:tcPr>
          <w:p w14:paraId="27C256A4" w14:textId="34C61085" w:rsidR="004438EF" w:rsidRPr="009E2512" w:rsidRDefault="009E2512" w:rsidP="002E23AA">
            <w:pPr>
              <w:spacing w:after="0" w:line="240" w:lineRule="auto"/>
              <w:rPr>
                <w:rFonts w:ascii="Arial" w:eastAsia="Times New Roman" w:hAnsi="Arial" w:cs="Arial"/>
                <w:sz w:val="20"/>
                <w:szCs w:val="20"/>
                <w:lang w:eastAsia="en-ZA"/>
              </w:rPr>
            </w:pPr>
            <w:r w:rsidRPr="009E2512">
              <w:rPr>
                <w:rFonts w:ascii="Arial" w:eastAsia="Times New Roman" w:hAnsi="Arial" w:cs="Arial"/>
                <w:sz w:val="20"/>
                <w:szCs w:val="20"/>
                <w:lang w:eastAsia="en-ZA"/>
              </w:rPr>
              <w:t>The process of determining the amount involved is in progress</w:t>
            </w:r>
          </w:p>
        </w:tc>
        <w:tc>
          <w:tcPr>
            <w:tcW w:w="3260" w:type="dxa"/>
            <w:tcBorders>
              <w:top w:val="nil"/>
              <w:left w:val="nil"/>
              <w:bottom w:val="single" w:sz="4" w:space="0" w:color="auto"/>
              <w:right w:val="single" w:sz="4" w:space="0" w:color="auto"/>
            </w:tcBorders>
            <w:shd w:val="clear" w:color="auto" w:fill="auto"/>
            <w:noWrap/>
            <w:hideMark/>
          </w:tcPr>
          <w:p w14:paraId="6582A1F9" w14:textId="77777777" w:rsidR="004438EF" w:rsidRPr="009E2512" w:rsidRDefault="004438EF" w:rsidP="00A16047">
            <w:pPr>
              <w:spacing w:after="0" w:line="240" w:lineRule="auto"/>
              <w:rPr>
                <w:rFonts w:ascii="Arial" w:eastAsia="Times New Roman" w:hAnsi="Arial" w:cs="Arial"/>
                <w:sz w:val="20"/>
                <w:szCs w:val="20"/>
                <w:lang w:eastAsia="en-ZA"/>
              </w:rPr>
            </w:pPr>
            <w:r w:rsidRPr="009E2512">
              <w:rPr>
                <w:rFonts w:ascii="Arial" w:eastAsia="Times New Roman" w:hAnsi="Arial" w:cs="Arial"/>
                <w:sz w:val="20"/>
                <w:szCs w:val="20"/>
                <w:lang w:eastAsia="en-ZA"/>
              </w:rPr>
              <w:t>Sandton</w:t>
            </w:r>
          </w:p>
        </w:tc>
      </w:tr>
      <w:tr w:rsidR="00BC59CA" w:rsidRPr="00BC59CA" w14:paraId="7F3D223B" w14:textId="77777777" w:rsidTr="00A16047">
        <w:trPr>
          <w:trHeight w:val="629"/>
        </w:trPr>
        <w:tc>
          <w:tcPr>
            <w:tcW w:w="1480" w:type="dxa"/>
            <w:tcBorders>
              <w:top w:val="nil"/>
              <w:left w:val="single" w:sz="4" w:space="0" w:color="auto"/>
              <w:bottom w:val="single" w:sz="4" w:space="0" w:color="auto"/>
              <w:right w:val="single" w:sz="4" w:space="0" w:color="auto"/>
            </w:tcBorders>
            <w:shd w:val="clear" w:color="auto" w:fill="auto"/>
            <w:noWrap/>
            <w:hideMark/>
          </w:tcPr>
          <w:p w14:paraId="372804AA" w14:textId="77777777" w:rsidR="004438EF" w:rsidRPr="009E2512" w:rsidRDefault="004438EF" w:rsidP="00A16047">
            <w:pPr>
              <w:spacing w:after="0" w:line="240" w:lineRule="auto"/>
              <w:rPr>
                <w:rFonts w:ascii="Arial" w:eastAsia="Times New Roman" w:hAnsi="Arial" w:cs="Arial"/>
                <w:sz w:val="20"/>
                <w:szCs w:val="20"/>
                <w:lang w:eastAsia="en-ZA"/>
              </w:rPr>
            </w:pPr>
            <w:r w:rsidRPr="009E2512">
              <w:rPr>
                <w:rFonts w:ascii="Arial" w:eastAsia="Times New Roman" w:hAnsi="Arial" w:cs="Arial"/>
                <w:sz w:val="20"/>
                <w:szCs w:val="20"/>
                <w:lang w:eastAsia="en-ZA"/>
              </w:rPr>
              <w:t>453/05/2018</w:t>
            </w:r>
          </w:p>
        </w:tc>
        <w:tc>
          <w:tcPr>
            <w:tcW w:w="1490" w:type="dxa"/>
            <w:tcBorders>
              <w:top w:val="nil"/>
              <w:left w:val="nil"/>
              <w:bottom w:val="single" w:sz="4" w:space="0" w:color="auto"/>
              <w:right w:val="single" w:sz="4" w:space="0" w:color="auto"/>
            </w:tcBorders>
            <w:shd w:val="clear" w:color="auto" w:fill="auto"/>
            <w:noWrap/>
            <w:hideMark/>
          </w:tcPr>
          <w:p w14:paraId="1547B325" w14:textId="77777777" w:rsidR="004438EF" w:rsidRPr="009E2512" w:rsidRDefault="004438EF" w:rsidP="00A16047">
            <w:pPr>
              <w:spacing w:after="0" w:line="240" w:lineRule="auto"/>
              <w:rPr>
                <w:rFonts w:ascii="Arial" w:eastAsia="Times New Roman" w:hAnsi="Arial" w:cs="Arial"/>
                <w:sz w:val="20"/>
                <w:szCs w:val="20"/>
                <w:lang w:eastAsia="en-ZA"/>
              </w:rPr>
            </w:pPr>
            <w:r w:rsidRPr="009E2512">
              <w:rPr>
                <w:rFonts w:ascii="Arial" w:eastAsia="Times New Roman" w:hAnsi="Arial" w:cs="Arial"/>
                <w:sz w:val="20"/>
                <w:szCs w:val="20"/>
                <w:lang w:eastAsia="en-ZA"/>
              </w:rPr>
              <w:t>2018-12623</w:t>
            </w:r>
          </w:p>
        </w:tc>
        <w:tc>
          <w:tcPr>
            <w:tcW w:w="2559" w:type="dxa"/>
            <w:tcBorders>
              <w:top w:val="nil"/>
              <w:left w:val="nil"/>
              <w:bottom w:val="single" w:sz="4" w:space="0" w:color="auto"/>
              <w:right w:val="single" w:sz="4" w:space="0" w:color="auto"/>
            </w:tcBorders>
            <w:shd w:val="clear" w:color="auto" w:fill="auto"/>
            <w:hideMark/>
          </w:tcPr>
          <w:p w14:paraId="7AB04D8E" w14:textId="77777777" w:rsidR="004438EF" w:rsidRPr="009E2512" w:rsidRDefault="004438EF" w:rsidP="002E23AA">
            <w:pPr>
              <w:spacing w:after="0" w:line="240" w:lineRule="auto"/>
              <w:rPr>
                <w:rFonts w:ascii="Arial" w:eastAsia="Times New Roman" w:hAnsi="Arial" w:cs="Arial"/>
                <w:sz w:val="20"/>
                <w:szCs w:val="20"/>
                <w:lang w:eastAsia="en-ZA"/>
              </w:rPr>
            </w:pPr>
            <w:r w:rsidRPr="009E2512">
              <w:rPr>
                <w:rFonts w:ascii="Arial" w:eastAsia="Times New Roman" w:hAnsi="Arial" w:cs="Arial"/>
                <w:sz w:val="20"/>
                <w:szCs w:val="20"/>
                <w:lang w:eastAsia="en-ZA"/>
              </w:rPr>
              <w:t>As above</w:t>
            </w:r>
          </w:p>
        </w:tc>
        <w:tc>
          <w:tcPr>
            <w:tcW w:w="3260" w:type="dxa"/>
            <w:tcBorders>
              <w:top w:val="nil"/>
              <w:left w:val="nil"/>
              <w:bottom w:val="single" w:sz="4" w:space="0" w:color="auto"/>
              <w:right w:val="single" w:sz="4" w:space="0" w:color="auto"/>
            </w:tcBorders>
            <w:shd w:val="clear" w:color="auto" w:fill="auto"/>
            <w:noWrap/>
            <w:hideMark/>
          </w:tcPr>
          <w:p w14:paraId="589C4CDA" w14:textId="77777777" w:rsidR="004438EF" w:rsidRPr="009E2512" w:rsidRDefault="004438EF" w:rsidP="00A16047">
            <w:pPr>
              <w:spacing w:after="0" w:line="240" w:lineRule="auto"/>
              <w:rPr>
                <w:rFonts w:ascii="Arial" w:eastAsia="Times New Roman" w:hAnsi="Arial" w:cs="Arial"/>
                <w:sz w:val="20"/>
                <w:szCs w:val="20"/>
                <w:lang w:eastAsia="en-ZA"/>
              </w:rPr>
            </w:pPr>
            <w:r w:rsidRPr="009E2512">
              <w:rPr>
                <w:rFonts w:ascii="Arial" w:eastAsia="Times New Roman" w:hAnsi="Arial" w:cs="Arial"/>
                <w:sz w:val="20"/>
                <w:szCs w:val="20"/>
                <w:lang w:eastAsia="en-ZA"/>
              </w:rPr>
              <w:t>Sandton</w:t>
            </w:r>
          </w:p>
        </w:tc>
      </w:tr>
      <w:tr w:rsidR="00BC59CA" w:rsidRPr="00BC59CA" w14:paraId="5750F552" w14:textId="77777777" w:rsidTr="00A16047">
        <w:trPr>
          <w:trHeight w:val="719"/>
        </w:trPr>
        <w:tc>
          <w:tcPr>
            <w:tcW w:w="1480" w:type="dxa"/>
            <w:tcBorders>
              <w:top w:val="nil"/>
              <w:left w:val="single" w:sz="4" w:space="0" w:color="auto"/>
              <w:bottom w:val="single" w:sz="4" w:space="0" w:color="auto"/>
              <w:right w:val="single" w:sz="4" w:space="0" w:color="auto"/>
            </w:tcBorders>
            <w:shd w:val="clear" w:color="auto" w:fill="auto"/>
            <w:noWrap/>
            <w:hideMark/>
          </w:tcPr>
          <w:p w14:paraId="675725DF" w14:textId="77777777" w:rsidR="004438EF" w:rsidRPr="009E2512" w:rsidRDefault="004438EF" w:rsidP="00A16047">
            <w:pPr>
              <w:spacing w:after="0" w:line="240" w:lineRule="auto"/>
              <w:rPr>
                <w:rFonts w:ascii="Arial" w:eastAsia="Times New Roman" w:hAnsi="Arial" w:cs="Arial"/>
                <w:sz w:val="20"/>
                <w:szCs w:val="20"/>
                <w:lang w:eastAsia="en-ZA"/>
              </w:rPr>
            </w:pPr>
            <w:r w:rsidRPr="009E2512">
              <w:rPr>
                <w:rFonts w:ascii="Arial" w:eastAsia="Times New Roman" w:hAnsi="Arial" w:cs="Arial"/>
                <w:sz w:val="20"/>
                <w:szCs w:val="20"/>
                <w:lang w:eastAsia="en-ZA"/>
              </w:rPr>
              <w:t>454/05/2018</w:t>
            </w:r>
          </w:p>
        </w:tc>
        <w:tc>
          <w:tcPr>
            <w:tcW w:w="1490" w:type="dxa"/>
            <w:tcBorders>
              <w:top w:val="nil"/>
              <w:left w:val="nil"/>
              <w:bottom w:val="single" w:sz="4" w:space="0" w:color="auto"/>
              <w:right w:val="single" w:sz="4" w:space="0" w:color="auto"/>
            </w:tcBorders>
            <w:shd w:val="clear" w:color="auto" w:fill="auto"/>
            <w:noWrap/>
            <w:hideMark/>
          </w:tcPr>
          <w:p w14:paraId="1554C058" w14:textId="77777777" w:rsidR="004438EF" w:rsidRPr="009E2512" w:rsidRDefault="004438EF" w:rsidP="00A16047">
            <w:pPr>
              <w:spacing w:after="0" w:line="240" w:lineRule="auto"/>
              <w:rPr>
                <w:rFonts w:ascii="Arial" w:eastAsia="Times New Roman" w:hAnsi="Arial" w:cs="Arial"/>
                <w:sz w:val="20"/>
                <w:szCs w:val="20"/>
                <w:lang w:eastAsia="en-ZA"/>
              </w:rPr>
            </w:pPr>
            <w:r w:rsidRPr="009E2512">
              <w:rPr>
                <w:rFonts w:ascii="Arial" w:eastAsia="Times New Roman" w:hAnsi="Arial" w:cs="Arial"/>
                <w:sz w:val="20"/>
                <w:szCs w:val="20"/>
                <w:lang w:eastAsia="en-ZA"/>
              </w:rPr>
              <w:t>2018-12624</w:t>
            </w:r>
          </w:p>
        </w:tc>
        <w:tc>
          <w:tcPr>
            <w:tcW w:w="2559" w:type="dxa"/>
            <w:tcBorders>
              <w:top w:val="nil"/>
              <w:left w:val="nil"/>
              <w:bottom w:val="single" w:sz="4" w:space="0" w:color="auto"/>
              <w:right w:val="single" w:sz="4" w:space="0" w:color="auto"/>
            </w:tcBorders>
            <w:shd w:val="clear" w:color="auto" w:fill="auto"/>
            <w:hideMark/>
          </w:tcPr>
          <w:p w14:paraId="6F63ABC2" w14:textId="77777777" w:rsidR="004438EF" w:rsidRPr="009E2512" w:rsidRDefault="004438EF" w:rsidP="002E23AA">
            <w:pPr>
              <w:spacing w:after="0" w:line="240" w:lineRule="auto"/>
              <w:rPr>
                <w:rFonts w:ascii="Arial" w:eastAsia="Times New Roman" w:hAnsi="Arial" w:cs="Arial"/>
                <w:sz w:val="20"/>
                <w:szCs w:val="20"/>
                <w:lang w:eastAsia="en-ZA"/>
              </w:rPr>
            </w:pPr>
            <w:r w:rsidRPr="009E2512">
              <w:rPr>
                <w:rFonts w:ascii="Arial" w:eastAsia="Times New Roman" w:hAnsi="Arial" w:cs="Arial"/>
                <w:sz w:val="20"/>
                <w:szCs w:val="20"/>
                <w:lang w:eastAsia="en-ZA"/>
              </w:rPr>
              <w:t>As above</w:t>
            </w:r>
          </w:p>
        </w:tc>
        <w:tc>
          <w:tcPr>
            <w:tcW w:w="3260" w:type="dxa"/>
            <w:tcBorders>
              <w:top w:val="nil"/>
              <w:left w:val="nil"/>
              <w:bottom w:val="single" w:sz="4" w:space="0" w:color="auto"/>
              <w:right w:val="single" w:sz="4" w:space="0" w:color="auto"/>
            </w:tcBorders>
            <w:shd w:val="clear" w:color="auto" w:fill="auto"/>
            <w:noWrap/>
            <w:hideMark/>
          </w:tcPr>
          <w:p w14:paraId="5DC12FBB" w14:textId="77777777" w:rsidR="004438EF" w:rsidRPr="009E2512" w:rsidRDefault="004438EF" w:rsidP="00A16047">
            <w:pPr>
              <w:spacing w:after="0" w:line="240" w:lineRule="auto"/>
              <w:rPr>
                <w:rFonts w:ascii="Arial" w:eastAsia="Times New Roman" w:hAnsi="Arial" w:cs="Arial"/>
                <w:sz w:val="20"/>
                <w:szCs w:val="20"/>
                <w:lang w:eastAsia="en-ZA"/>
              </w:rPr>
            </w:pPr>
            <w:r w:rsidRPr="009E2512">
              <w:rPr>
                <w:rFonts w:ascii="Arial" w:eastAsia="Times New Roman" w:hAnsi="Arial" w:cs="Arial"/>
                <w:sz w:val="20"/>
                <w:szCs w:val="20"/>
                <w:lang w:eastAsia="en-ZA"/>
              </w:rPr>
              <w:t>Sandton</w:t>
            </w:r>
          </w:p>
        </w:tc>
      </w:tr>
      <w:tr w:rsidR="00BC59CA" w:rsidRPr="00BC59CA" w14:paraId="399B22D5" w14:textId="77777777" w:rsidTr="00A16047">
        <w:trPr>
          <w:trHeight w:val="629"/>
        </w:trPr>
        <w:tc>
          <w:tcPr>
            <w:tcW w:w="1480" w:type="dxa"/>
            <w:tcBorders>
              <w:top w:val="nil"/>
              <w:left w:val="single" w:sz="4" w:space="0" w:color="auto"/>
              <w:bottom w:val="single" w:sz="4" w:space="0" w:color="auto"/>
              <w:right w:val="single" w:sz="4" w:space="0" w:color="auto"/>
            </w:tcBorders>
            <w:shd w:val="clear" w:color="auto" w:fill="auto"/>
            <w:noWrap/>
            <w:hideMark/>
          </w:tcPr>
          <w:p w14:paraId="57E02334" w14:textId="77777777" w:rsidR="004438EF" w:rsidRPr="009E2512" w:rsidRDefault="004438EF" w:rsidP="00A16047">
            <w:pPr>
              <w:spacing w:after="0" w:line="240" w:lineRule="auto"/>
              <w:rPr>
                <w:rFonts w:ascii="Arial" w:eastAsia="Times New Roman" w:hAnsi="Arial" w:cs="Arial"/>
                <w:sz w:val="20"/>
                <w:szCs w:val="20"/>
                <w:lang w:eastAsia="en-ZA"/>
              </w:rPr>
            </w:pPr>
            <w:r w:rsidRPr="009E2512">
              <w:rPr>
                <w:rFonts w:ascii="Arial" w:eastAsia="Times New Roman" w:hAnsi="Arial" w:cs="Arial"/>
                <w:sz w:val="20"/>
                <w:szCs w:val="20"/>
                <w:lang w:eastAsia="en-ZA"/>
              </w:rPr>
              <w:t>455/05/2018</w:t>
            </w:r>
          </w:p>
        </w:tc>
        <w:tc>
          <w:tcPr>
            <w:tcW w:w="1490" w:type="dxa"/>
            <w:tcBorders>
              <w:top w:val="nil"/>
              <w:left w:val="nil"/>
              <w:bottom w:val="single" w:sz="4" w:space="0" w:color="auto"/>
              <w:right w:val="single" w:sz="4" w:space="0" w:color="auto"/>
            </w:tcBorders>
            <w:shd w:val="clear" w:color="auto" w:fill="auto"/>
            <w:noWrap/>
            <w:hideMark/>
          </w:tcPr>
          <w:p w14:paraId="4CB3689E" w14:textId="77777777" w:rsidR="004438EF" w:rsidRPr="009E2512" w:rsidRDefault="004438EF" w:rsidP="00A16047">
            <w:pPr>
              <w:spacing w:after="0" w:line="240" w:lineRule="auto"/>
              <w:rPr>
                <w:rFonts w:ascii="Arial" w:eastAsia="Times New Roman" w:hAnsi="Arial" w:cs="Arial"/>
                <w:sz w:val="20"/>
                <w:szCs w:val="20"/>
                <w:lang w:eastAsia="en-ZA"/>
              </w:rPr>
            </w:pPr>
            <w:r w:rsidRPr="009E2512">
              <w:rPr>
                <w:rFonts w:ascii="Arial" w:eastAsia="Times New Roman" w:hAnsi="Arial" w:cs="Arial"/>
                <w:sz w:val="20"/>
                <w:szCs w:val="20"/>
                <w:lang w:eastAsia="en-ZA"/>
              </w:rPr>
              <w:t>2018-12625</w:t>
            </w:r>
          </w:p>
        </w:tc>
        <w:tc>
          <w:tcPr>
            <w:tcW w:w="2559" w:type="dxa"/>
            <w:tcBorders>
              <w:top w:val="nil"/>
              <w:left w:val="nil"/>
              <w:bottom w:val="single" w:sz="4" w:space="0" w:color="auto"/>
              <w:right w:val="single" w:sz="4" w:space="0" w:color="auto"/>
            </w:tcBorders>
            <w:shd w:val="clear" w:color="auto" w:fill="auto"/>
            <w:hideMark/>
          </w:tcPr>
          <w:p w14:paraId="19C1505D" w14:textId="77777777" w:rsidR="004438EF" w:rsidRPr="009E2512" w:rsidRDefault="004438EF" w:rsidP="002E23AA">
            <w:pPr>
              <w:spacing w:after="0" w:line="240" w:lineRule="auto"/>
              <w:rPr>
                <w:rFonts w:ascii="Arial" w:eastAsia="Times New Roman" w:hAnsi="Arial" w:cs="Arial"/>
                <w:sz w:val="20"/>
                <w:szCs w:val="20"/>
                <w:lang w:eastAsia="en-ZA"/>
              </w:rPr>
            </w:pPr>
            <w:r w:rsidRPr="009E2512">
              <w:rPr>
                <w:rFonts w:ascii="Arial" w:eastAsia="Times New Roman" w:hAnsi="Arial" w:cs="Arial"/>
                <w:sz w:val="20"/>
                <w:szCs w:val="20"/>
                <w:lang w:eastAsia="en-ZA"/>
              </w:rPr>
              <w:t>As above</w:t>
            </w:r>
          </w:p>
          <w:p w14:paraId="2834C6E5" w14:textId="77777777" w:rsidR="004438EF" w:rsidRPr="009E2512" w:rsidRDefault="004438EF" w:rsidP="002E23AA">
            <w:pPr>
              <w:spacing w:after="0" w:line="240" w:lineRule="auto"/>
              <w:rPr>
                <w:rFonts w:ascii="Arial" w:eastAsia="Times New Roman" w:hAnsi="Arial" w:cs="Arial"/>
                <w:sz w:val="20"/>
                <w:szCs w:val="20"/>
                <w:lang w:eastAsia="en-ZA"/>
              </w:rPr>
            </w:pPr>
          </w:p>
        </w:tc>
        <w:tc>
          <w:tcPr>
            <w:tcW w:w="3260" w:type="dxa"/>
            <w:tcBorders>
              <w:top w:val="nil"/>
              <w:left w:val="nil"/>
              <w:bottom w:val="single" w:sz="4" w:space="0" w:color="auto"/>
              <w:right w:val="single" w:sz="4" w:space="0" w:color="auto"/>
            </w:tcBorders>
            <w:shd w:val="clear" w:color="auto" w:fill="auto"/>
            <w:noWrap/>
            <w:hideMark/>
          </w:tcPr>
          <w:p w14:paraId="0BBF0122" w14:textId="77777777" w:rsidR="004438EF" w:rsidRPr="009E2512" w:rsidRDefault="004438EF" w:rsidP="00A16047">
            <w:pPr>
              <w:spacing w:after="0" w:line="240" w:lineRule="auto"/>
              <w:rPr>
                <w:rFonts w:ascii="Arial" w:eastAsia="Times New Roman" w:hAnsi="Arial" w:cs="Arial"/>
                <w:sz w:val="20"/>
                <w:szCs w:val="20"/>
                <w:lang w:eastAsia="en-ZA"/>
              </w:rPr>
            </w:pPr>
            <w:r w:rsidRPr="009E2512">
              <w:rPr>
                <w:rFonts w:ascii="Arial" w:eastAsia="Times New Roman" w:hAnsi="Arial" w:cs="Arial"/>
                <w:sz w:val="20"/>
                <w:szCs w:val="20"/>
                <w:lang w:eastAsia="en-ZA"/>
              </w:rPr>
              <w:t>Sandton</w:t>
            </w:r>
          </w:p>
        </w:tc>
      </w:tr>
      <w:tr w:rsidR="00BC59CA" w:rsidRPr="00BC59CA" w14:paraId="0CCE3898" w14:textId="77777777" w:rsidTr="00A16047">
        <w:trPr>
          <w:trHeight w:val="629"/>
        </w:trPr>
        <w:tc>
          <w:tcPr>
            <w:tcW w:w="1480" w:type="dxa"/>
            <w:tcBorders>
              <w:top w:val="nil"/>
              <w:left w:val="single" w:sz="4" w:space="0" w:color="auto"/>
              <w:bottom w:val="single" w:sz="4" w:space="0" w:color="auto"/>
              <w:right w:val="single" w:sz="4" w:space="0" w:color="auto"/>
            </w:tcBorders>
            <w:shd w:val="clear" w:color="auto" w:fill="auto"/>
            <w:noWrap/>
            <w:hideMark/>
          </w:tcPr>
          <w:p w14:paraId="0F942909" w14:textId="77777777" w:rsidR="004438EF" w:rsidRPr="009E2512" w:rsidRDefault="004438EF" w:rsidP="00A16047">
            <w:pPr>
              <w:spacing w:after="0" w:line="240" w:lineRule="auto"/>
              <w:rPr>
                <w:rFonts w:ascii="Arial" w:eastAsia="Times New Roman" w:hAnsi="Arial" w:cs="Arial"/>
                <w:sz w:val="20"/>
                <w:szCs w:val="20"/>
                <w:lang w:eastAsia="en-ZA"/>
              </w:rPr>
            </w:pPr>
            <w:r w:rsidRPr="009E2512">
              <w:rPr>
                <w:rFonts w:ascii="Arial" w:eastAsia="Times New Roman" w:hAnsi="Arial" w:cs="Arial"/>
                <w:sz w:val="20"/>
                <w:szCs w:val="20"/>
                <w:lang w:eastAsia="en-ZA"/>
              </w:rPr>
              <w:t>456/05/2018</w:t>
            </w:r>
          </w:p>
        </w:tc>
        <w:tc>
          <w:tcPr>
            <w:tcW w:w="1490" w:type="dxa"/>
            <w:tcBorders>
              <w:top w:val="nil"/>
              <w:left w:val="nil"/>
              <w:bottom w:val="single" w:sz="4" w:space="0" w:color="auto"/>
              <w:right w:val="single" w:sz="4" w:space="0" w:color="auto"/>
            </w:tcBorders>
            <w:shd w:val="clear" w:color="auto" w:fill="auto"/>
            <w:noWrap/>
            <w:hideMark/>
          </w:tcPr>
          <w:p w14:paraId="41F70813" w14:textId="77777777" w:rsidR="004438EF" w:rsidRPr="009E2512" w:rsidRDefault="004438EF" w:rsidP="00A16047">
            <w:pPr>
              <w:spacing w:after="0" w:line="240" w:lineRule="auto"/>
              <w:rPr>
                <w:rFonts w:ascii="Arial" w:eastAsia="Times New Roman" w:hAnsi="Arial" w:cs="Arial"/>
                <w:sz w:val="20"/>
                <w:szCs w:val="20"/>
                <w:lang w:eastAsia="en-ZA"/>
              </w:rPr>
            </w:pPr>
            <w:r w:rsidRPr="009E2512">
              <w:rPr>
                <w:rFonts w:ascii="Arial" w:eastAsia="Times New Roman" w:hAnsi="Arial" w:cs="Arial"/>
                <w:sz w:val="20"/>
                <w:szCs w:val="20"/>
                <w:lang w:eastAsia="en-ZA"/>
              </w:rPr>
              <w:t>2018-12626</w:t>
            </w:r>
          </w:p>
        </w:tc>
        <w:tc>
          <w:tcPr>
            <w:tcW w:w="2559" w:type="dxa"/>
            <w:tcBorders>
              <w:top w:val="nil"/>
              <w:left w:val="nil"/>
              <w:bottom w:val="single" w:sz="4" w:space="0" w:color="auto"/>
              <w:right w:val="single" w:sz="4" w:space="0" w:color="auto"/>
            </w:tcBorders>
            <w:shd w:val="clear" w:color="auto" w:fill="auto"/>
            <w:hideMark/>
          </w:tcPr>
          <w:p w14:paraId="3CFD9785" w14:textId="77777777" w:rsidR="004438EF" w:rsidRPr="009E2512" w:rsidRDefault="004438EF" w:rsidP="002E23AA">
            <w:pPr>
              <w:spacing w:after="0" w:line="240" w:lineRule="auto"/>
              <w:rPr>
                <w:rFonts w:ascii="Arial" w:eastAsia="Times New Roman" w:hAnsi="Arial" w:cs="Arial"/>
                <w:sz w:val="20"/>
                <w:szCs w:val="20"/>
                <w:lang w:eastAsia="en-ZA"/>
              </w:rPr>
            </w:pPr>
            <w:r w:rsidRPr="009E2512">
              <w:rPr>
                <w:rFonts w:ascii="Arial" w:eastAsia="Times New Roman" w:hAnsi="Arial" w:cs="Arial"/>
                <w:sz w:val="20"/>
                <w:szCs w:val="20"/>
                <w:lang w:eastAsia="en-ZA"/>
              </w:rPr>
              <w:t>As above</w:t>
            </w:r>
          </w:p>
          <w:p w14:paraId="67AAA241" w14:textId="77777777" w:rsidR="004438EF" w:rsidRPr="009E2512" w:rsidRDefault="004438EF" w:rsidP="002E23AA">
            <w:pPr>
              <w:spacing w:after="0" w:line="240" w:lineRule="auto"/>
              <w:rPr>
                <w:rFonts w:ascii="Arial" w:eastAsia="Times New Roman" w:hAnsi="Arial" w:cs="Arial"/>
                <w:sz w:val="20"/>
                <w:szCs w:val="20"/>
                <w:lang w:eastAsia="en-ZA"/>
              </w:rPr>
            </w:pPr>
          </w:p>
        </w:tc>
        <w:tc>
          <w:tcPr>
            <w:tcW w:w="3260" w:type="dxa"/>
            <w:tcBorders>
              <w:top w:val="nil"/>
              <w:left w:val="nil"/>
              <w:bottom w:val="single" w:sz="4" w:space="0" w:color="auto"/>
              <w:right w:val="single" w:sz="4" w:space="0" w:color="auto"/>
            </w:tcBorders>
            <w:shd w:val="clear" w:color="auto" w:fill="auto"/>
            <w:noWrap/>
            <w:hideMark/>
          </w:tcPr>
          <w:p w14:paraId="181F88C2" w14:textId="77777777" w:rsidR="004438EF" w:rsidRPr="009E2512" w:rsidRDefault="004438EF" w:rsidP="00A16047">
            <w:pPr>
              <w:spacing w:after="0" w:line="240" w:lineRule="auto"/>
              <w:rPr>
                <w:rFonts w:ascii="Arial" w:eastAsia="Times New Roman" w:hAnsi="Arial" w:cs="Arial"/>
                <w:sz w:val="20"/>
                <w:szCs w:val="20"/>
                <w:lang w:eastAsia="en-ZA"/>
              </w:rPr>
            </w:pPr>
            <w:r w:rsidRPr="009E2512">
              <w:rPr>
                <w:rFonts w:ascii="Arial" w:eastAsia="Times New Roman" w:hAnsi="Arial" w:cs="Arial"/>
                <w:sz w:val="20"/>
                <w:szCs w:val="20"/>
                <w:lang w:eastAsia="en-ZA"/>
              </w:rPr>
              <w:t>Sandton</w:t>
            </w:r>
          </w:p>
        </w:tc>
      </w:tr>
      <w:tr w:rsidR="004438EF" w:rsidRPr="008429ED" w14:paraId="7A8CCC9B" w14:textId="77777777" w:rsidTr="00A16047">
        <w:trPr>
          <w:trHeight w:val="620"/>
        </w:trPr>
        <w:tc>
          <w:tcPr>
            <w:tcW w:w="1480" w:type="dxa"/>
            <w:tcBorders>
              <w:top w:val="nil"/>
              <w:left w:val="single" w:sz="4" w:space="0" w:color="auto"/>
              <w:bottom w:val="single" w:sz="4" w:space="0" w:color="auto"/>
              <w:right w:val="single" w:sz="4" w:space="0" w:color="auto"/>
            </w:tcBorders>
            <w:shd w:val="clear" w:color="auto" w:fill="auto"/>
            <w:noWrap/>
            <w:hideMark/>
          </w:tcPr>
          <w:p w14:paraId="5E5DE8F2"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94/5/2019</w:t>
            </w:r>
          </w:p>
        </w:tc>
        <w:tc>
          <w:tcPr>
            <w:tcW w:w="1490" w:type="dxa"/>
            <w:tcBorders>
              <w:top w:val="nil"/>
              <w:left w:val="nil"/>
              <w:bottom w:val="single" w:sz="4" w:space="0" w:color="auto"/>
              <w:right w:val="single" w:sz="4" w:space="0" w:color="auto"/>
            </w:tcBorders>
            <w:shd w:val="clear" w:color="auto" w:fill="auto"/>
            <w:noWrap/>
            <w:hideMark/>
          </w:tcPr>
          <w:p w14:paraId="53BE81ED"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2019-12764</w:t>
            </w:r>
          </w:p>
        </w:tc>
        <w:tc>
          <w:tcPr>
            <w:tcW w:w="2559" w:type="dxa"/>
            <w:tcBorders>
              <w:top w:val="nil"/>
              <w:left w:val="nil"/>
              <w:bottom w:val="single" w:sz="4" w:space="0" w:color="auto"/>
              <w:right w:val="single" w:sz="4" w:space="0" w:color="auto"/>
            </w:tcBorders>
            <w:shd w:val="clear" w:color="auto" w:fill="auto"/>
            <w:noWrap/>
            <w:hideMark/>
          </w:tcPr>
          <w:p w14:paraId="4E8B3E28" w14:textId="77777777" w:rsidR="004438EF" w:rsidRPr="008429ED" w:rsidRDefault="004438EF" w:rsidP="002E23AA">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R 4 400 000.00</w:t>
            </w:r>
          </w:p>
        </w:tc>
        <w:tc>
          <w:tcPr>
            <w:tcW w:w="3260" w:type="dxa"/>
            <w:tcBorders>
              <w:top w:val="nil"/>
              <w:left w:val="nil"/>
              <w:bottom w:val="single" w:sz="4" w:space="0" w:color="auto"/>
              <w:right w:val="single" w:sz="4" w:space="0" w:color="auto"/>
            </w:tcBorders>
            <w:shd w:val="clear" w:color="auto" w:fill="auto"/>
            <w:noWrap/>
            <w:hideMark/>
          </w:tcPr>
          <w:p w14:paraId="4EDC754C"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Mount Frere</w:t>
            </w:r>
          </w:p>
        </w:tc>
      </w:tr>
      <w:tr w:rsidR="004438EF" w:rsidRPr="008429ED" w14:paraId="497A6F10" w14:textId="77777777" w:rsidTr="00A16047">
        <w:trPr>
          <w:trHeight w:val="656"/>
        </w:trPr>
        <w:tc>
          <w:tcPr>
            <w:tcW w:w="1480" w:type="dxa"/>
            <w:tcBorders>
              <w:top w:val="nil"/>
              <w:left w:val="single" w:sz="4" w:space="0" w:color="auto"/>
              <w:bottom w:val="single" w:sz="4" w:space="0" w:color="auto"/>
              <w:right w:val="single" w:sz="4" w:space="0" w:color="auto"/>
            </w:tcBorders>
            <w:shd w:val="clear" w:color="auto" w:fill="auto"/>
            <w:noWrap/>
            <w:hideMark/>
          </w:tcPr>
          <w:p w14:paraId="06925B03"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520/11/2019</w:t>
            </w:r>
          </w:p>
        </w:tc>
        <w:tc>
          <w:tcPr>
            <w:tcW w:w="1490" w:type="dxa"/>
            <w:tcBorders>
              <w:top w:val="nil"/>
              <w:left w:val="nil"/>
              <w:bottom w:val="single" w:sz="4" w:space="0" w:color="auto"/>
              <w:right w:val="single" w:sz="4" w:space="0" w:color="auto"/>
            </w:tcBorders>
            <w:shd w:val="clear" w:color="auto" w:fill="auto"/>
            <w:noWrap/>
            <w:hideMark/>
          </w:tcPr>
          <w:p w14:paraId="37BA2994"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2019-12821</w:t>
            </w:r>
          </w:p>
        </w:tc>
        <w:tc>
          <w:tcPr>
            <w:tcW w:w="2559" w:type="dxa"/>
            <w:tcBorders>
              <w:top w:val="nil"/>
              <w:left w:val="nil"/>
              <w:bottom w:val="single" w:sz="4" w:space="0" w:color="auto"/>
              <w:right w:val="single" w:sz="4" w:space="0" w:color="auto"/>
            </w:tcBorders>
            <w:shd w:val="clear" w:color="auto" w:fill="auto"/>
            <w:noWrap/>
            <w:hideMark/>
          </w:tcPr>
          <w:p w14:paraId="7BD9E209" w14:textId="77777777" w:rsidR="004438EF" w:rsidRPr="008429ED" w:rsidRDefault="004438EF" w:rsidP="002E23AA">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R 4 119 830.00</w:t>
            </w:r>
          </w:p>
        </w:tc>
        <w:tc>
          <w:tcPr>
            <w:tcW w:w="3260" w:type="dxa"/>
            <w:tcBorders>
              <w:top w:val="nil"/>
              <w:left w:val="nil"/>
              <w:bottom w:val="single" w:sz="4" w:space="0" w:color="auto"/>
              <w:right w:val="single" w:sz="4" w:space="0" w:color="auto"/>
            </w:tcBorders>
            <w:shd w:val="clear" w:color="auto" w:fill="auto"/>
            <w:noWrap/>
            <w:hideMark/>
          </w:tcPr>
          <w:p w14:paraId="70C17A36"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Witbank</w:t>
            </w:r>
          </w:p>
        </w:tc>
      </w:tr>
      <w:tr w:rsidR="004438EF" w:rsidRPr="008429ED" w14:paraId="5AB9473D" w14:textId="77777777" w:rsidTr="00A16047">
        <w:trPr>
          <w:trHeight w:val="719"/>
        </w:trPr>
        <w:tc>
          <w:tcPr>
            <w:tcW w:w="1480" w:type="dxa"/>
            <w:tcBorders>
              <w:top w:val="nil"/>
              <w:left w:val="single" w:sz="4" w:space="0" w:color="auto"/>
              <w:bottom w:val="single" w:sz="4" w:space="0" w:color="auto"/>
              <w:right w:val="single" w:sz="4" w:space="0" w:color="auto"/>
            </w:tcBorders>
            <w:shd w:val="clear" w:color="auto" w:fill="auto"/>
            <w:noWrap/>
            <w:hideMark/>
          </w:tcPr>
          <w:p w14:paraId="7903A5FB"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108/11/2019</w:t>
            </w:r>
          </w:p>
        </w:tc>
        <w:tc>
          <w:tcPr>
            <w:tcW w:w="1490" w:type="dxa"/>
            <w:tcBorders>
              <w:top w:val="nil"/>
              <w:left w:val="nil"/>
              <w:bottom w:val="single" w:sz="4" w:space="0" w:color="auto"/>
              <w:right w:val="single" w:sz="4" w:space="0" w:color="auto"/>
            </w:tcBorders>
            <w:shd w:val="clear" w:color="auto" w:fill="auto"/>
            <w:noWrap/>
            <w:hideMark/>
          </w:tcPr>
          <w:p w14:paraId="1C0380FA"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2019-12897</w:t>
            </w:r>
          </w:p>
        </w:tc>
        <w:tc>
          <w:tcPr>
            <w:tcW w:w="2559" w:type="dxa"/>
            <w:tcBorders>
              <w:top w:val="nil"/>
              <w:left w:val="nil"/>
              <w:bottom w:val="single" w:sz="4" w:space="0" w:color="auto"/>
              <w:right w:val="single" w:sz="4" w:space="0" w:color="auto"/>
            </w:tcBorders>
            <w:shd w:val="clear" w:color="auto" w:fill="auto"/>
            <w:noWrap/>
            <w:hideMark/>
          </w:tcPr>
          <w:p w14:paraId="4D77B4C9" w14:textId="77777777" w:rsidR="004438EF" w:rsidRPr="008429ED" w:rsidRDefault="004438EF" w:rsidP="002E23AA">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R 17 000 000.00</w:t>
            </w:r>
          </w:p>
        </w:tc>
        <w:tc>
          <w:tcPr>
            <w:tcW w:w="3260" w:type="dxa"/>
            <w:tcBorders>
              <w:top w:val="nil"/>
              <w:left w:val="nil"/>
              <w:bottom w:val="single" w:sz="4" w:space="0" w:color="auto"/>
              <w:right w:val="single" w:sz="4" w:space="0" w:color="auto"/>
            </w:tcBorders>
            <w:shd w:val="clear" w:color="auto" w:fill="auto"/>
            <w:noWrap/>
            <w:hideMark/>
          </w:tcPr>
          <w:p w14:paraId="045F652E"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Sandton</w:t>
            </w:r>
          </w:p>
        </w:tc>
      </w:tr>
      <w:tr w:rsidR="004438EF" w:rsidRPr="008429ED" w14:paraId="00E12AE1" w14:textId="77777777" w:rsidTr="00A16047">
        <w:trPr>
          <w:trHeight w:val="611"/>
        </w:trPr>
        <w:tc>
          <w:tcPr>
            <w:tcW w:w="1480" w:type="dxa"/>
            <w:tcBorders>
              <w:top w:val="nil"/>
              <w:left w:val="single" w:sz="4" w:space="0" w:color="auto"/>
              <w:bottom w:val="single" w:sz="4" w:space="0" w:color="auto"/>
              <w:right w:val="single" w:sz="4" w:space="0" w:color="auto"/>
            </w:tcBorders>
            <w:shd w:val="clear" w:color="auto" w:fill="auto"/>
            <w:noWrap/>
            <w:hideMark/>
          </w:tcPr>
          <w:p w14:paraId="10EECB7A"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lastRenderedPageBreak/>
              <w:t>17/11/2019</w:t>
            </w:r>
          </w:p>
        </w:tc>
        <w:tc>
          <w:tcPr>
            <w:tcW w:w="1490" w:type="dxa"/>
            <w:tcBorders>
              <w:top w:val="nil"/>
              <w:left w:val="nil"/>
              <w:bottom w:val="single" w:sz="4" w:space="0" w:color="auto"/>
              <w:right w:val="single" w:sz="4" w:space="0" w:color="auto"/>
            </w:tcBorders>
            <w:shd w:val="clear" w:color="auto" w:fill="auto"/>
            <w:noWrap/>
            <w:hideMark/>
          </w:tcPr>
          <w:p w14:paraId="3400B268"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2019-12938</w:t>
            </w:r>
          </w:p>
        </w:tc>
        <w:tc>
          <w:tcPr>
            <w:tcW w:w="2559" w:type="dxa"/>
            <w:tcBorders>
              <w:top w:val="nil"/>
              <w:left w:val="nil"/>
              <w:bottom w:val="single" w:sz="4" w:space="0" w:color="auto"/>
              <w:right w:val="single" w:sz="4" w:space="0" w:color="auto"/>
            </w:tcBorders>
            <w:shd w:val="clear" w:color="auto" w:fill="auto"/>
            <w:noWrap/>
            <w:hideMark/>
          </w:tcPr>
          <w:p w14:paraId="19C90445" w14:textId="77777777" w:rsidR="004438EF" w:rsidRPr="008429ED" w:rsidRDefault="004438EF" w:rsidP="002E23AA">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R 3 320 200.00</w:t>
            </w:r>
          </w:p>
        </w:tc>
        <w:tc>
          <w:tcPr>
            <w:tcW w:w="3260" w:type="dxa"/>
            <w:tcBorders>
              <w:top w:val="nil"/>
              <w:left w:val="nil"/>
              <w:bottom w:val="single" w:sz="4" w:space="0" w:color="auto"/>
              <w:right w:val="single" w:sz="4" w:space="0" w:color="auto"/>
            </w:tcBorders>
            <w:shd w:val="clear" w:color="auto" w:fill="auto"/>
            <w:noWrap/>
            <w:hideMark/>
          </w:tcPr>
          <w:p w14:paraId="4FB57F4A"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Ogies</w:t>
            </w:r>
          </w:p>
        </w:tc>
      </w:tr>
      <w:tr w:rsidR="004438EF" w:rsidRPr="008429ED" w14:paraId="24791EA3" w14:textId="77777777" w:rsidTr="00A16047">
        <w:trPr>
          <w:trHeight w:val="584"/>
        </w:trPr>
        <w:tc>
          <w:tcPr>
            <w:tcW w:w="1480" w:type="dxa"/>
            <w:tcBorders>
              <w:top w:val="nil"/>
              <w:left w:val="single" w:sz="4" w:space="0" w:color="auto"/>
              <w:bottom w:val="single" w:sz="4" w:space="0" w:color="auto"/>
              <w:right w:val="single" w:sz="4" w:space="0" w:color="auto"/>
            </w:tcBorders>
            <w:shd w:val="clear" w:color="auto" w:fill="auto"/>
            <w:noWrap/>
            <w:hideMark/>
          </w:tcPr>
          <w:p w14:paraId="5936A9EA"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03/04/2019</w:t>
            </w:r>
          </w:p>
        </w:tc>
        <w:tc>
          <w:tcPr>
            <w:tcW w:w="1490" w:type="dxa"/>
            <w:tcBorders>
              <w:top w:val="nil"/>
              <w:left w:val="nil"/>
              <w:bottom w:val="single" w:sz="4" w:space="0" w:color="auto"/>
              <w:right w:val="single" w:sz="4" w:space="0" w:color="auto"/>
            </w:tcBorders>
            <w:shd w:val="clear" w:color="auto" w:fill="auto"/>
            <w:noWrap/>
            <w:hideMark/>
          </w:tcPr>
          <w:p w14:paraId="21216E59"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2019-13023</w:t>
            </w:r>
          </w:p>
        </w:tc>
        <w:tc>
          <w:tcPr>
            <w:tcW w:w="2559" w:type="dxa"/>
            <w:tcBorders>
              <w:top w:val="nil"/>
              <w:left w:val="nil"/>
              <w:bottom w:val="single" w:sz="4" w:space="0" w:color="auto"/>
              <w:right w:val="single" w:sz="4" w:space="0" w:color="auto"/>
            </w:tcBorders>
            <w:shd w:val="clear" w:color="auto" w:fill="auto"/>
            <w:noWrap/>
            <w:hideMark/>
          </w:tcPr>
          <w:p w14:paraId="1A930056" w14:textId="77777777" w:rsidR="004438EF" w:rsidRPr="008429ED" w:rsidRDefault="004438EF" w:rsidP="002E23AA">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R 8 800 000.00</w:t>
            </w:r>
          </w:p>
        </w:tc>
        <w:tc>
          <w:tcPr>
            <w:tcW w:w="3260" w:type="dxa"/>
            <w:tcBorders>
              <w:top w:val="nil"/>
              <w:left w:val="nil"/>
              <w:bottom w:val="single" w:sz="4" w:space="0" w:color="auto"/>
              <w:right w:val="single" w:sz="4" w:space="0" w:color="auto"/>
            </w:tcBorders>
            <w:shd w:val="clear" w:color="auto" w:fill="auto"/>
            <w:hideMark/>
          </w:tcPr>
          <w:p w14:paraId="148098F8"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Germiston Organised Crime Unit</w:t>
            </w:r>
          </w:p>
        </w:tc>
      </w:tr>
      <w:tr w:rsidR="004438EF" w:rsidRPr="008429ED" w14:paraId="00E0A4B9" w14:textId="77777777" w:rsidTr="00A16047">
        <w:trPr>
          <w:trHeight w:val="539"/>
        </w:trPr>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14:paraId="55992410"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40/02/2020</w:t>
            </w:r>
          </w:p>
        </w:tc>
        <w:tc>
          <w:tcPr>
            <w:tcW w:w="1490" w:type="dxa"/>
            <w:tcBorders>
              <w:top w:val="single" w:sz="4" w:space="0" w:color="auto"/>
              <w:left w:val="nil"/>
              <w:bottom w:val="single" w:sz="4" w:space="0" w:color="auto"/>
              <w:right w:val="single" w:sz="4" w:space="0" w:color="auto"/>
            </w:tcBorders>
            <w:shd w:val="clear" w:color="auto" w:fill="auto"/>
            <w:noWrap/>
            <w:hideMark/>
          </w:tcPr>
          <w:p w14:paraId="6F095346"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2020-13143</w:t>
            </w:r>
          </w:p>
        </w:tc>
        <w:tc>
          <w:tcPr>
            <w:tcW w:w="2559" w:type="dxa"/>
            <w:tcBorders>
              <w:top w:val="single" w:sz="4" w:space="0" w:color="auto"/>
              <w:left w:val="nil"/>
              <w:bottom w:val="single" w:sz="4" w:space="0" w:color="auto"/>
              <w:right w:val="single" w:sz="4" w:space="0" w:color="auto"/>
            </w:tcBorders>
            <w:shd w:val="clear" w:color="auto" w:fill="auto"/>
            <w:noWrap/>
            <w:hideMark/>
          </w:tcPr>
          <w:p w14:paraId="53CC9FFC" w14:textId="77777777" w:rsidR="004438EF" w:rsidRPr="008429ED" w:rsidRDefault="004438EF" w:rsidP="002E23AA">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R 51 152 582.97</w:t>
            </w:r>
          </w:p>
        </w:tc>
        <w:tc>
          <w:tcPr>
            <w:tcW w:w="3260" w:type="dxa"/>
            <w:tcBorders>
              <w:top w:val="single" w:sz="4" w:space="0" w:color="auto"/>
              <w:left w:val="nil"/>
              <w:bottom w:val="single" w:sz="4" w:space="0" w:color="auto"/>
              <w:right w:val="single" w:sz="4" w:space="0" w:color="auto"/>
            </w:tcBorders>
            <w:shd w:val="clear" w:color="auto" w:fill="auto"/>
            <w:noWrap/>
            <w:hideMark/>
          </w:tcPr>
          <w:p w14:paraId="6C22749D"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Sandton</w:t>
            </w:r>
          </w:p>
        </w:tc>
      </w:tr>
      <w:tr w:rsidR="004438EF" w:rsidRPr="008429ED" w14:paraId="58E5D4E3" w14:textId="77777777" w:rsidTr="00A16047">
        <w:trPr>
          <w:trHeight w:val="530"/>
        </w:trPr>
        <w:tc>
          <w:tcPr>
            <w:tcW w:w="1480" w:type="dxa"/>
            <w:tcBorders>
              <w:top w:val="single" w:sz="4" w:space="0" w:color="auto"/>
              <w:left w:val="single" w:sz="4" w:space="0" w:color="auto"/>
              <w:bottom w:val="single" w:sz="4" w:space="0" w:color="auto"/>
              <w:right w:val="single" w:sz="4" w:space="0" w:color="auto"/>
            </w:tcBorders>
            <w:shd w:val="clear" w:color="auto" w:fill="auto"/>
            <w:noWrap/>
          </w:tcPr>
          <w:p w14:paraId="451C0015"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106/11/2019</w:t>
            </w:r>
          </w:p>
        </w:tc>
        <w:tc>
          <w:tcPr>
            <w:tcW w:w="1490" w:type="dxa"/>
            <w:tcBorders>
              <w:top w:val="single" w:sz="4" w:space="0" w:color="auto"/>
              <w:left w:val="nil"/>
              <w:bottom w:val="single" w:sz="4" w:space="0" w:color="auto"/>
              <w:right w:val="single" w:sz="4" w:space="0" w:color="auto"/>
            </w:tcBorders>
            <w:shd w:val="clear" w:color="auto" w:fill="auto"/>
            <w:noWrap/>
          </w:tcPr>
          <w:p w14:paraId="5E3C0C48"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10/04/2016</w:t>
            </w:r>
          </w:p>
        </w:tc>
        <w:tc>
          <w:tcPr>
            <w:tcW w:w="2559" w:type="dxa"/>
            <w:tcBorders>
              <w:top w:val="single" w:sz="4" w:space="0" w:color="auto"/>
              <w:left w:val="nil"/>
              <w:bottom w:val="single" w:sz="4" w:space="0" w:color="auto"/>
              <w:right w:val="single" w:sz="4" w:space="0" w:color="auto"/>
            </w:tcBorders>
            <w:shd w:val="clear" w:color="auto" w:fill="auto"/>
            <w:noWrap/>
          </w:tcPr>
          <w:p w14:paraId="40B0059D" w14:textId="77777777" w:rsidR="004438EF" w:rsidRPr="008429ED" w:rsidRDefault="004438EF" w:rsidP="002E23AA">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R 15 000 000.00</w:t>
            </w:r>
          </w:p>
        </w:tc>
        <w:tc>
          <w:tcPr>
            <w:tcW w:w="3260" w:type="dxa"/>
            <w:tcBorders>
              <w:top w:val="single" w:sz="4" w:space="0" w:color="auto"/>
              <w:left w:val="nil"/>
              <w:bottom w:val="single" w:sz="4" w:space="0" w:color="auto"/>
              <w:right w:val="single" w:sz="4" w:space="0" w:color="auto"/>
            </w:tcBorders>
            <w:shd w:val="clear" w:color="auto" w:fill="auto"/>
            <w:noWrap/>
          </w:tcPr>
          <w:p w14:paraId="3BD4419C"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Sandton</w:t>
            </w:r>
          </w:p>
        </w:tc>
      </w:tr>
      <w:tr w:rsidR="004438EF" w:rsidRPr="008429ED" w14:paraId="4C77878E" w14:textId="77777777" w:rsidTr="00A16047">
        <w:trPr>
          <w:trHeight w:val="530"/>
        </w:trPr>
        <w:tc>
          <w:tcPr>
            <w:tcW w:w="1480" w:type="dxa"/>
            <w:tcBorders>
              <w:top w:val="single" w:sz="4" w:space="0" w:color="auto"/>
              <w:left w:val="single" w:sz="4" w:space="0" w:color="auto"/>
              <w:bottom w:val="single" w:sz="4" w:space="0" w:color="auto"/>
              <w:right w:val="single" w:sz="4" w:space="0" w:color="auto"/>
            </w:tcBorders>
            <w:shd w:val="clear" w:color="auto" w:fill="auto"/>
            <w:noWrap/>
          </w:tcPr>
          <w:p w14:paraId="0424F2CB"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53/7/2016</w:t>
            </w:r>
          </w:p>
        </w:tc>
        <w:tc>
          <w:tcPr>
            <w:tcW w:w="1490" w:type="dxa"/>
            <w:tcBorders>
              <w:top w:val="single" w:sz="4" w:space="0" w:color="auto"/>
              <w:left w:val="nil"/>
              <w:bottom w:val="single" w:sz="4" w:space="0" w:color="auto"/>
              <w:right w:val="single" w:sz="4" w:space="0" w:color="auto"/>
            </w:tcBorders>
            <w:shd w:val="clear" w:color="auto" w:fill="auto"/>
            <w:noWrap/>
          </w:tcPr>
          <w:p w14:paraId="1882FF8F"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32/04/2016</w:t>
            </w:r>
          </w:p>
        </w:tc>
        <w:tc>
          <w:tcPr>
            <w:tcW w:w="2559" w:type="dxa"/>
            <w:tcBorders>
              <w:top w:val="single" w:sz="4" w:space="0" w:color="auto"/>
              <w:left w:val="nil"/>
              <w:bottom w:val="single" w:sz="4" w:space="0" w:color="auto"/>
              <w:right w:val="single" w:sz="4" w:space="0" w:color="auto"/>
            </w:tcBorders>
            <w:shd w:val="clear" w:color="auto" w:fill="auto"/>
            <w:noWrap/>
          </w:tcPr>
          <w:p w14:paraId="7492D20F" w14:textId="400E4D33" w:rsidR="004438EF" w:rsidRPr="008429ED" w:rsidRDefault="004438EF" w:rsidP="002E23AA">
            <w:pPr>
              <w:spacing w:after="0" w:line="240" w:lineRule="auto"/>
              <w:rPr>
                <w:rFonts w:ascii="Arial" w:eastAsia="Times New Roman" w:hAnsi="Arial" w:cs="Arial"/>
                <w:color w:val="000000"/>
                <w:sz w:val="20"/>
                <w:szCs w:val="20"/>
                <w:highlight w:val="yellow"/>
              </w:rPr>
            </w:pPr>
            <w:r w:rsidRPr="008429ED">
              <w:rPr>
                <w:rFonts w:ascii="Arial" w:eastAsia="Times New Roman" w:hAnsi="Arial" w:cs="Arial"/>
                <w:color w:val="000000"/>
                <w:sz w:val="20"/>
                <w:szCs w:val="20"/>
              </w:rPr>
              <w:t>Could not be determined</w:t>
            </w:r>
          </w:p>
        </w:tc>
        <w:tc>
          <w:tcPr>
            <w:tcW w:w="3260" w:type="dxa"/>
            <w:tcBorders>
              <w:top w:val="single" w:sz="4" w:space="0" w:color="auto"/>
              <w:left w:val="nil"/>
              <w:bottom w:val="single" w:sz="4" w:space="0" w:color="auto"/>
              <w:right w:val="single" w:sz="4" w:space="0" w:color="auto"/>
            </w:tcBorders>
            <w:shd w:val="clear" w:color="auto" w:fill="auto"/>
            <w:noWrap/>
          </w:tcPr>
          <w:p w14:paraId="3F9183BC"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 xml:space="preserve">Ermelo </w:t>
            </w:r>
          </w:p>
        </w:tc>
      </w:tr>
      <w:tr w:rsidR="004438EF" w:rsidRPr="008429ED" w14:paraId="3D3CDD5A" w14:textId="77777777" w:rsidTr="00A16047">
        <w:trPr>
          <w:trHeight w:val="782"/>
        </w:trPr>
        <w:tc>
          <w:tcPr>
            <w:tcW w:w="1480" w:type="dxa"/>
            <w:tcBorders>
              <w:top w:val="single" w:sz="4" w:space="0" w:color="auto"/>
              <w:left w:val="single" w:sz="4" w:space="0" w:color="auto"/>
              <w:bottom w:val="single" w:sz="4" w:space="0" w:color="auto"/>
              <w:right w:val="single" w:sz="4" w:space="0" w:color="auto"/>
            </w:tcBorders>
            <w:shd w:val="clear" w:color="auto" w:fill="auto"/>
            <w:noWrap/>
          </w:tcPr>
          <w:p w14:paraId="20983EA3"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147/6/2017</w:t>
            </w:r>
          </w:p>
        </w:tc>
        <w:tc>
          <w:tcPr>
            <w:tcW w:w="1490" w:type="dxa"/>
            <w:tcBorders>
              <w:top w:val="single" w:sz="4" w:space="0" w:color="auto"/>
              <w:left w:val="nil"/>
              <w:bottom w:val="single" w:sz="4" w:space="0" w:color="auto"/>
              <w:right w:val="single" w:sz="4" w:space="0" w:color="auto"/>
            </w:tcBorders>
            <w:shd w:val="clear" w:color="auto" w:fill="auto"/>
            <w:noWrap/>
          </w:tcPr>
          <w:p w14:paraId="0BA7A3D9"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13/02/2017</w:t>
            </w:r>
          </w:p>
        </w:tc>
        <w:tc>
          <w:tcPr>
            <w:tcW w:w="2559" w:type="dxa"/>
            <w:tcBorders>
              <w:top w:val="single" w:sz="4" w:space="0" w:color="auto"/>
              <w:left w:val="nil"/>
              <w:bottom w:val="single" w:sz="4" w:space="0" w:color="auto"/>
              <w:right w:val="single" w:sz="4" w:space="0" w:color="auto"/>
            </w:tcBorders>
            <w:shd w:val="clear" w:color="auto" w:fill="auto"/>
            <w:noWrap/>
          </w:tcPr>
          <w:p w14:paraId="39456AE3" w14:textId="77777777" w:rsidR="004438EF" w:rsidRPr="008429ED" w:rsidRDefault="004438EF" w:rsidP="002E23AA">
            <w:pPr>
              <w:spacing w:after="0" w:line="240" w:lineRule="auto"/>
              <w:rPr>
                <w:rFonts w:ascii="Arial" w:eastAsia="Times New Roman" w:hAnsi="Arial" w:cs="Arial"/>
                <w:color w:val="000000"/>
                <w:sz w:val="20"/>
                <w:szCs w:val="20"/>
                <w:highlight w:val="yellow"/>
              </w:rPr>
            </w:pPr>
            <w:r w:rsidRPr="008429ED">
              <w:rPr>
                <w:rFonts w:ascii="Arial" w:eastAsia="Times New Roman" w:hAnsi="Arial" w:cs="Arial"/>
                <w:color w:val="000000"/>
                <w:sz w:val="20"/>
                <w:szCs w:val="20"/>
              </w:rPr>
              <w:t>Fictitious Eskom contract award letters on RFI GEN 3230. This transaction was cancelled after RFI</w:t>
            </w:r>
          </w:p>
        </w:tc>
        <w:tc>
          <w:tcPr>
            <w:tcW w:w="3260" w:type="dxa"/>
            <w:tcBorders>
              <w:top w:val="single" w:sz="4" w:space="0" w:color="auto"/>
              <w:left w:val="nil"/>
              <w:bottom w:val="single" w:sz="4" w:space="0" w:color="auto"/>
              <w:right w:val="single" w:sz="4" w:space="0" w:color="auto"/>
            </w:tcBorders>
            <w:shd w:val="clear" w:color="auto" w:fill="auto"/>
            <w:noWrap/>
          </w:tcPr>
          <w:p w14:paraId="37226301" w14:textId="77777777" w:rsidR="004438EF" w:rsidRPr="008429ED" w:rsidRDefault="004438EF" w:rsidP="00A16047">
            <w:pPr>
              <w:spacing w:after="0" w:line="240" w:lineRule="auto"/>
              <w:rPr>
                <w:rFonts w:ascii="Arial" w:eastAsia="Times New Roman" w:hAnsi="Arial" w:cs="Arial"/>
                <w:color w:val="000000"/>
                <w:sz w:val="20"/>
                <w:szCs w:val="20"/>
                <w:highlight w:val="yellow"/>
              </w:rPr>
            </w:pPr>
            <w:r w:rsidRPr="008429ED">
              <w:rPr>
                <w:rFonts w:ascii="Arial" w:eastAsia="Times New Roman" w:hAnsi="Arial" w:cs="Arial"/>
                <w:color w:val="000000"/>
                <w:sz w:val="20"/>
                <w:szCs w:val="20"/>
              </w:rPr>
              <w:t>Sandton</w:t>
            </w:r>
          </w:p>
        </w:tc>
      </w:tr>
      <w:tr w:rsidR="004438EF" w:rsidRPr="008429ED" w14:paraId="7BDED56B" w14:textId="77777777" w:rsidTr="00A16047">
        <w:trPr>
          <w:trHeight w:val="656"/>
        </w:trPr>
        <w:tc>
          <w:tcPr>
            <w:tcW w:w="1480" w:type="dxa"/>
            <w:tcBorders>
              <w:top w:val="single" w:sz="4" w:space="0" w:color="auto"/>
              <w:left w:val="single" w:sz="4" w:space="0" w:color="auto"/>
              <w:bottom w:val="single" w:sz="4" w:space="0" w:color="auto"/>
              <w:right w:val="single" w:sz="4" w:space="0" w:color="auto"/>
            </w:tcBorders>
            <w:shd w:val="clear" w:color="auto" w:fill="auto"/>
            <w:noWrap/>
          </w:tcPr>
          <w:p w14:paraId="6304A42E"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44/04/2017</w:t>
            </w:r>
          </w:p>
        </w:tc>
        <w:tc>
          <w:tcPr>
            <w:tcW w:w="1490" w:type="dxa"/>
            <w:tcBorders>
              <w:top w:val="single" w:sz="4" w:space="0" w:color="auto"/>
              <w:left w:val="nil"/>
              <w:bottom w:val="single" w:sz="4" w:space="0" w:color="auto"/>
              <w:right w:val="single" w:sz="4" w:space="0" w:color="auto"/>
            </w:tcBorders>
            <w:shd w:val="clear" w:color="auto" w:fill="auto"/>
            <w:noWrap/>
          </w:tcPr>
          <w:p w14:paraId="441B546C"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03/03/2017</w:t>
            </w:r>
          </w:p>
        </w:tc>
        <w:tc>
          <w:tcPr>
            <w:tcW w:w="2559" w:type="dxa"/>
            <w:tcBorders>
              <w:top w:val="single" w:sz="4" w:space="0" w:color="auto"/>
              <w:left w:val="nil"/>
              <w:bottom w:val="single" w:sz="4" w:space="0" w:color="auto"/>
              <w:right w:val="single" w:sz="4" w:space="0" w:color="auto"/>
            </w:tcBorders>
            <w:shd w:val="clear" w:color="auto" w:fill="auto"/>
            <w:noWrap/>
          </w:tcPr>
          <w:p w14:paraId="678299A9" w14:textId="77777777" w:rsidR="004438EF" w:rsidRPr="008429ED" w:rsidRDefault="004438EF" w:rsidP="002E23AA">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R 93 014.34</w:t>
            </w:r>
          </w:p>
        </w:tc>
        <w:tc>
          <w:tcPr>
            <w:tcW w:w="3260" w:type="dxa"/>
            <w:tcBorders>
              <w:top w:val="single" w:sz="4" w:space="0" w:color="auto"/>
              <w:left w:val="nil"/>
              <w:bottom w:val="single" w:sz="4" w:space="0" w:color="auto"/>
              <w:right w:val="single" w:sz="4" w:space="0" w:color="auto"/>
            </w:tcBorders>
            <w:shd w:val="clear" w:color="auto" w:fill="auto"/>
            <w:noWrap/>
          </w:tcPr>
          <w:p w14:paraId="184DCDDA"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Beacon Bay</w:t>
            </w:r>
          </w:p>
        </w:tc>
      </w:tr>
      <w:tr w:rsidR="004438EF" w:rsidRPr="008429ED" w14:paraId="77FDD7C9" w14:textId="77777777" w:rsidTr="00A16047">
        <w:trPr>
          <w:trHeight w:val="647"/>
        </w:trPr>
        <w:tc>
          <w:tcPr>
            <w:tcW w:w="1480" w:type="dxa"/>
            <w:tcBorders>
              <w:top w:val="single" w:sz="4" w:space="0" w:color="auto"/>
              <w:left w:val="single" w:sz="4" w:space="0" w:color="auto"/>
              <w:bottom w:val="single" w:sz="4" w:space="0" w:color="auto"/>
              <w:right w:val="single" w:sz="4" w:space="0" w:color="auto"/>
            </w:tcBorders>
            <w:shd w:val="clear" w:color="auto" w:fill="auto"/>
            <w:noWrap/>
          </w:tcPr>
          <w:p w14:paraId="2EAE770A"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170/11/2017</w:t>
            </w:r>
          </w:p>
        </w:tc>
        <w:tc>
          <w:tcPr>
            <w:tcW w:w="1490" w:type="dxa"/>
            <w:tcBorders>
              <w:top w:val="single" w:sz="4" w:space="0" w:color="auto"/>
              <w:left w:val="nil"/>
              <w:bottom w:val="single" w:sz="4" w:space="0" w:color="auto"/>
              <w:right w:val="single" w:sz="4" w:space="0" w:color="auto"/>
            </w:tcBorders>
            <w:shd w:val="clear" w:color="auto" w:fill="auto"/>
            <w:noWrap/>
          </w:tcPr>
          <w:p w14:paraId="76197633"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12/07/2015</w:t>
            </w:r>
          </w:p>
        </w:tc>
        <w:tc>
          <w:tcPr>
            <w:tcW w:w="2559" w:type="dxa"/>
            <w:tcBorders>
              <w:top w:val="single" w:sz="4" w:space="0" w:color="auto"/>
              <w:left w:val="nil"/>
              <w:bottom w:val="single" w:sz="4" w:space="0" w:color="auto"/>
              <w:right w:val="single" w:sz="4" w:space="0" w:color="auto"/>
            </w:tcBorders>
            <w:shd w:val="clear" w:color="auto" w:fill="auto"/>
            <w:noWrap/>
          </w:tcPr>
          <w:p w14:paraId="49D86BE0" w14:textId="77777777" w:rsidR="004438EF" w:rsidRPr="008429ED" w:rsidRDefault="004438EF" w:rsidP="002E23AA">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R 1 000 000.00</w:t>
            </w:r>
          </w:p>
        </w:tc>
        <w:tc>
          <w:tcPr>
            <w:tcW w:w="3260" w:type="dxa"/>
            <w:tcBorders>
              <w:top w:val="single" w:sz="4" w:space="0" w:color="auto"/>
              <w:left w:val="nil"/>
              <w:bottom w:val="single" w:sz="4" w:space="0" w:color="auto"/>
              <w:right w:val="single" w:sz="4" w:space="0" w:color="auto"/>
            </w:tcBorders>
            <w:shd w:val="clear" w:color="auto" w:fill="auto"/>
            <w:noWrap/>
          </w:tcPr>
          <w:p w14:paraId="0EAF5934"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Cleveland</w:t>
            </w:r>
            <w:r w:rsidRPr="008429ED">
              <w:rPr>
                <w:rFonts w:ascii="Arial" w:eastAsia="Times New Roman" w:hAnsi="Arial" w:cs="Arial"/>
                <w:color w:val="000000"/>
                <w:sz w:val="20"/>
                <w:szCs w:val="20"/>
              </w:rPr>
              <w:br/>
              <w:t>Branch</w:t>
            </w:r>
          </w:p>
        </w:tc>
      </w:tr>
      <w:tr w:rsidR="004438EF" w:rsidRPr="008429ED" w14:paraId="155366B7" w14:textId="77777777" w:rsidTr="00A16047">
        <w:trPr>
          <w:trHeight w:val="557"/>
        </w:trPr>
        <w:tc>
          <w:tcPr>
            <w:tcW w:w="1480" w:type="dxa"/>
            <w:tcBorders>
              <w:top w:val="single" w:sz="4" w:space="0" w:color="auto"/>
              <w:left w:val="single" w:sz="4" w:space="0" w:color="auto"/>
              <w:bottom w:val="single" w:sz="4" w:space="0" w:color="auto"/>
              <w:right w:val="single" w:sz="4" w:space="0" w:color="auto"/>
            </w:tcBorders>
            <w:shd w:val="clear" w:color="auto" w:fill="auto"/>
            <w:noWrap/>
          </w:tcPr>
          <w:p w14:paraId="604C2730"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23/05/2017</w:t>
            </w:r>
          </w:p>
        </w:tc>
        <w:tc>
          <w:tcPr>
            <w:tcW w:w="1490" w:type="dxa"/>
            <w:tcBorders>
              <w:top w:val="single" w:sz="4" w:space="0" w:color="auto"/>
              <w:left w:val="nil"/>
              <w:bottom w:val="single" w:sz="4" w:space="0" w:color="auto"/>
              <w:right w:val="single" w:sz="4" w:space="0" w:color="auto"/>
            </w:tcBorders>
            <w:shd w:val="clear" w:color="auto" w:fill="auto"/>
            <w:noWrap/>
          </w:tcPr>
          <w:p w14:paraId="64884F4D"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27/02/2015</w:t>
            </w:r>
          </w:p>
        </w:tc>
        <w:tc>
          <w:tcPr>
            <w:tcW w:w="2559" w:type="dxa"/>
            <w:tcBorders>
              <w:top w:val="single" w:sz="4" w:space="0" w:color="auto"/>
              <w:left w:val="nil"/>
              <w:bottom w:val="single" w:sz="4" w:space="0" w:color="auto"/>
              <w:right w:val="single" w:sz="4" w:space="0" w:color="auto"/>
            </w:tcBorders>
            <w:shd w:val="clear" w:color="auto" w:fill="auto"/>
            <w:noWrap/>
          </w:tcPr>
          <w:p w14:paraId="5C572845" w14:textId="77777777" w:rsidR="004438EF" w:rsidRPr="008429ED" w:rsidRDefault="004438EF" w:rsidP="002E23AA">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R 906 000.00</w:t>
            </w:r>
          </w:p>
        </w:tc>
        <w:tc>
          <w:tcPr>
            <w:tcW w:w="3260" w:type="dxa"/>
            <w:tcBorders>
              <w:top w:val="single" w:sz="4" w:space="0" w:color="auto"/>
              <w:left w:val="nil"/>
              <w:bottom w:val="single" w:sz="4" w:space="0" w:color="auto"/>
              <w:right w:val="single" w:sz="4" w:space="0" w:color="auto"/>
            </w:tcBorders>
            <w:shd w:val="clear" w:color="auto" w:fill="auto"/>
            <w:noWrap/>
          </w:tcPr>
          <w:p w14:paraId="16B0BD1B"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Kriel</w:t>
            </w:r>
          </w:p>
        </w:tc>
      </w:tr>
      <w:tr w:rsidR="004438EF" w:rsidRPr="008429ED" w14:paraId="56639F8D" w14:textId="77777777" w:rsidTr="00A16047">
        <w:trPr>
          <w:trHeight w:val="620"/>
        </w:trPr>
        <w:tc>
          <w:tcPr>
            <w:tcW w:w="1480" w:type="dxa"/>
            <w:tcBorders>
              <w:top w:val="single" w:sz="4" w:space="0" w:color="auto"/>
              <w:left w:val="single" w:sz="4" w:space="0" w:color="auto"/>
              <w:bottom w:val="single" w:sz="4" w:space="0" w:color="auto"/>
              <w:right w:val="single" w:sz="4" w:space="0" w:color="auto"/>
            </w:tcBorders>
            <w:shd w:val="clear" w:color="auto" w:fill="auto"/>
            <w:noWrap/>
          </w:tcPr>
          <w:p w14:paraId="3B982CE8"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64/02/2020</w:t>
            </w:r>
          </w:p>
        </w:tc>
        <w:tc>
          <w:tcPr>
            <w:tcW w:w="1490" w:type="dxa"/>
            <w:tcBorders>
              <w:top w:val="single" w:sz="4" w:space="0" w:color="auto"/>
              <w:left w:val="nil"/>
              <w:bottom w:val="single" w:sz="4" w:space="0" w:color="auto"/>
              <w:right w:val="single" w:sz="4" w:space="0" w:color="auto"/>
            </w:tcBorders>
            <w:shd w:val="clear" w:color="auto" w:fill="auto"/>
            <w:noWrap/>
          </w:tcPr>
          <w:p w14:paraId="57FFA37C"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15/03/2016</w:t>
            </w:r>
          </w:p>
        </w:tc>
        <w:tc>
          <w:tcPr>
            <w:tcW w:w="2559" w:type="dxa"/>
            <w:tcBorders>
              <w:top w:val="single" w:sz="4" w:space="0" w:color="auto"/>
              <w:left w:val="nil"/>
              <w:bottom w:val="single" w:sz="4" w:space="0" w:color="auto"/>
              <w:right w:val="single" w:sz="4" w:space="0" w:color="auto"/>
            </w:tcBorders>
            <w:shd w:val="clear" w:color="auto" w:fill="auto"/>
            <w:noWrap/>
          </w:tcPr>
          <w:p w14:paraId="052FB8C6" w14:textId="77777777" w:rsidR="004438EF" w:rsidRPr="008429ED" w:rsidRDefault="004438EF" w:rsidP="002E23AA">
            <w:pPr>
              <w:spacing w:after="0" w:line="240" w:lineRule="auto"/>
              <w:rPr>
                <w:rFonts w:ascii="Arial" w:eastAsia="Times New Roman" w:hAnsi="Arial" w:cs="Arial"/>
                <w:bCs/>
                <w:color w:val="000000"/>
                <w:sz w:val="20"/>
                <w:szCs w:val="20"/>
              </w:rPr>
            </w:pPr>
            <w:r w:rsidRPr="008429ED">
              <w:rPr>
                <w:rFonts w:ascii="Arial" w:eastAsia="Times New Roman" w:hAnsi="Arial" w:cs="Arial"/>
                <w:bCs/>
                <w:color w:val="000000"/>
                <w:sz w:val="20"/>
                <w:szCs w:val="20"/>
              </w:rPr>
              <w:t>R 112 833.96</w:t>
            </w:r>
          </w:p>
        </w:tc>
        <w:tc>
          <w:tcPr>
            <w:tcW w:w="3260" w:type="dxa"/>
            <w:tcBorders>
              <w:top w:val="single" w:sz="4" w:space="0" w:color="auto"/>
              <w:left w:val="nil"/>
              <w:bottom w:val="single" w:sz="4" w:space="0" w:color="auto"/>
              <w:right w:val="single" w:sz="4" w:space="0" w:color="auto"/>
            </w:tcBorders>
            <w:shd w:val="clear" w:color="auto" w:fill="auto"/>
            <w:noWrap/>
          </w:tcPr>
          <w:p w14:paraId="12D0268D"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Sandton</w:t>
            </w:r>
          </w:p>
        </w:tc>
      </w:tr>
      <w:tr w:rsidR="004438EF" w:rsidRPr="008429ED" w14:paraId="2AF80EA7" w14:textId="77777777" w:rsidTr="00A16047">
        <w:trPr>
          <w:trHeight w:val="629"/>
        </w:trPr>
        <w:tc>
          <w:tcPr>
            <w:tcW w:w="1480" w:type="dxa"/>
            <w:tcBorders>
              <w:top w:val="single" w:sz="4" w:space="0" w:color="auto"/>
              <w:left w:val="single" w:sz="4" w:space="0" w:color="auto"/>
              <w:bottom w:val="single" w:sz="4" w:space="0" w:color="auto"/>
              <w:right w:val="single" w:sz="4" w:space="0" w:color="auto"/>
            </w:tcBorders>
            <w:shd w:val="clear" w:color="auto" w:fill="auto"/>
            <w:noWrap/>
          </w:tcPr>
          <w:p w14:paraId="46ECC421"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409/05/2017</w:t>
            </w:r>
          </w:p>
        </w:tc>
        <w:tc>
          <w:tcPr>
            <w:tcW w:w="1490" w:type="dxa"/>
            <w:tcBorders>
              <w:top w:val="single" w:sz="4" w:space="0" w:color="auto"/>
              <w:left w:val="nil"/>
              <w:bottom w:val="single" w:sz="4" w:space="0" w:color="auto"/>
              <w:right w:val="single" w:sz="4" w:space="0" w:color="auto"/>
            </w:tcBorders>
            <w:shd w:val="clear" w:color="auto" w:fill="auto"/>
            <w:noWrap/>
          </w:tcPr>
          <w:p w14:paraId="042D1303"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16/12/2016</w:t>
            </w:r>
          </w:p>
        </w:tc>
        <w:tc>
          <w:tcPr>
            <w:tcW w:w="2559" w:type="dxa"/>
            <w:tcBorders>
              <w:top w:val="single" w:sz="4" w:space="0" w:color="auto"/>
              <w:left w:val="nil"/>
              <w:bottom w:val="single" w:sz="4" w:space="0" w:color="auto"/>
              <w:right w:val="single" w:sz="4" w:space="0" w:color="auto"/>
            </w:tcBorders>
            <w:shd w:val="clear" w:color="auto" w:fill="auto"/>
            <w:noWrap/>
          </w:tcPr>
          <w:p w14:paraId="503F1894" w14:textId="77777777" w:rsidR="004438EF" w:rsidRPr="008429ED" w:rsidRDefault="004438EF" w:rsidP="002E23AA">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R 318 432.67</w:t>
            </w:r>
          </w:p>
        </w:tc>
        <w:tc>
          <w:tcPr>
            <w:tcW w:w="3260" w:type="dxa"/>
            <w:tcBorders>
              <w:top w:val="single" w:sz="4" w:space="0" w:color="auto"/>
              <w:left w:val="nil"/>
              <w:bottom w:val="single" w:sz="4" w:space="0" w:color="auto"/>
              <w:right w:val="single" w:sz="4" w:space="0" w:color="auto"/>
            </w:tcBorders>
            <w:shd w:val="clear" w:color="auto" w:fill="auto"/>
            <w:noWrap/>
          </w:tcPr>
          <w:p w14:paraId="1F9ED257"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Sandton</w:t>
            </w:r>
          </w:p>
        </w:tc>
      </w:tr>
      <w:tr w:rsidR="004438EF" w:rsidRPr="008429ED" w14:paraId="7FCC54FE" w14:textId="77777777" w:rsidTr="00A16047">
        <w:trPr>
          <w:trHeight w:val="611"/>
        </w:trPr>
        <w:tc>
          <w:tcPr>
            <w:tcW w:w="1480" w:type="dxa"/>
            <w:tcBorders>
              <w:top w:val="single" w:sz="4" w:space="0" w:color="auto"/>
              <w:left w:val="single" w:sz="4" w:space="0" w:color="auto"/>
              <w:bottom w:val="single" w:sz="4" w:space="0" w:color="auto"/>
              <w:right w:val="single" w:sz="4" w:space="0" w:color="auto"/>
            </w:tcBorders>
            <w:shd w:val="clear" w:color="auto" w:fill="auto"/>
            <w:noWrap/>
          </w:tcPr>
          <w:p w14:paraId="0956D53E"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55/02/2018</w:t>
            </w:r>
          </w:p>
        </w:tc>
        <w:tc>
          <w:tcPr>
            <w:tcW w:w="1490" w:type="dxa"/>
            <w:tcBorders>
              <w:top w:val="single" w:sz="4" w:space="0" w:color="auto"/>
              <w:left w:val="nil"/>
              <w:bottom w:val="single" w:sz="4" w:space="0" w:color="auto"/>
              <w:right w:val="single" w:sz="4" w:space="0" w:color="auto"/>
            </w:tcBorders>
            <w:shd w:val="clear" w:color="auto" w:fill="auto"/>
            <w:noWrap/>
          </w:tcPr>
          <w:p w14:paraId="633F6451"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38/10/2016</w:t>
            </w:r>
          </w:p>
        </w:tc>
        <w:tc>
          <w:tcPr>
            <w:tcW w:w="2559" w:type="dxa"/>
            <w:tcBorders>
              <w:top w:val="single" w:sz="4" w:space="0" w:color="auto"/>
              <w:left w:val="nil"/>
              <w:bottom w:val="single" w:sz="4" w:space="0" w:color="auto"/>
              <w:right w:val="single" w:sz="4" w:space="0" w:color="auto"/>
            </w:tcBorders>
            <w:shd w:val="clear" w:color="auto" w:fill="auto"/>
            <w:noWrap/>
          </w:tcPr>
          <w:p w14:paraId="11F86B7E" w14:textId="77777777" w:rsidR="004438EF" w:rsidRPr="008429ED" w:rsidRDefault="004438EF" w:rsidP="002E23AA">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R 851 000.00</w:t>
            </w:r>
          </w:p>
        </w:tc>
        <w:tc>
          <w:tcPr>
            <w:tcW w:w="3260" w:type="dxa"/>
            <w:tcBorders>
              <w:top w:val="single" w:sz="4" w:space="0" w:color="auto"/>
              <w:left w:val="nil"/>
              <w:bottom w:val="single" w:sz="4" w:space="0" w:color="auto"/>
              <w:right w:val="single" w:sz="4" w:space="0" w:color="auto"/>
            </w:tcBorders>
            <w:shd w:val="clear" w:color="auto" w:fill="auto"/>
            <w:noWrap/>
          </w:tcPr>
          <w:p w14:paraId="0240821D"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Hendrina</w:t>
            </w:r>
          </w:p>
        </w:tc>
      </w:tr>
      <w:tr w:rsidR="004438EF" w:rsidRPr="008429ED" w14:paraId="11A1BD86" w14:textId="77777777" w:rsidTr="00A16047">
        <w:trPr>
          <w:trHeight w:val="620"/>
        </w:trPr>
        <w:tc>
          <w:tcPr>
            <w:tcW w:w="1480" w:type="dxa"/>
            <w:tcBorders>
              <w:top w:val="single" w:sz="4" w:space="0" w:color="auto"/>
              <w:left w:val="single" w:sz="4" w:space="0" w:color="auto"/>
              <w:bottom w:val="single" w:sz="4" w:space="0" w:color="auto"/>
              <w:right w:val="single" w:sz="4" w:space="0" w:color="auto"/>
            </w:tcBorders>
            <w:shd w:val="clear" w:color="auto" w:fill="auto"/>
            <w:noWrap/>
          </w:tcPr>
          <w:p w14:paraId="5CE598E6"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294/02/2017</w:t>
            </w:r>
          </w:p>
        </w:tc>
        <w:tc>
          <w:tcPr>
            <w:tcW w:w="1490" w:type="dxa"/>
            <w:tcBorders>
              <w:top w:val="single" w:sz="4" w:space="0" w:color="auto"/>
              <w:left w:val="nil"/>
              <w:bottom w:val="single" w:sz="4" w:space="0" w:color="auto"/>
              <w:right w:val="single" w:sz="4" w:space="0" w:color="auto"/>
            </w:tcBorders>
            <w:shd w:val="clear" w:color="auto" w:fill="auto"/>
            <w:noWrap/>
          </w:tcPr>
          <w:p w14:paraId="6F278D70"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30/09/2016</w:t>
            </w:r>
          </w:p>
        </w:tc>
        <w:tc>
          <w:tcPr>
            <w:tcW w:w="2559" w:type="dxa"/>
            <w:tcBorders>
              <w:top w:val="single" w:sz="4" w:space="0" w:color="auto"/>
              <w:left w:val="nil"/>
              <w:bottom w:val="single" w:sz="4" w:space="0" w:color="auto"/>
              <w:right w:val="single" w:sz="4" w:space="0" w:color="auto"/>
            </w:tcBorders>
            <w:shd w:val="clear" w:color="auto" w:fill="auto"/>
            <w:noWrap/>
          </w:tcPr>
          <w:p w14:paraId="5B69F261" w14:textId="77777777" w:rsidR="004438EF" w:rsidRPr="008429ED" w:rsidRDefault="004438EF" w:rsidP="002E23AA">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R 190 890.00</w:t>
            </w:r>
          </w:p>
        </w:tc>
        <w:tc>
          <w:tcPr>
            <w:tcW w:w="3260" w:type="dxa"/>
            <w:tcBorders>
              <w:top w:val="single" w:sz="4" w:space="0" w:color="auto"/>
              <w:left w:val="nil"/>
              <w:bottom w:val="single" w:sz="4" w:space="0" w:color="auto"/>
              <w:right w:val="single" w:sz="4" w:space="0" w:color="auto"/>
            </w:tcBorders>
            <w:shd w:val="clear" w:color="auto" w:fill="auto"/>
            <w:noWrap/>
          </w:tcPr>
          <w:p w14:paraId="0A845446"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Stellenbosch</w:t>
            </w:r>
          </w:p>
        </w:tc>
      </w:tr>
      <w:tr w:rsidR="004438EF" w:rsidRPr="008429ED" w14:paraId="548ADE2D" w14:textId="77777777" w:rsidTr="00A16047">
        <w:trPr>
          <w:trHeight w:val="611"/>
        </w:trPr>
        <w:tc>
          <w:tcPr>
            <w:tcW w:w="1480" w:type="dxa"/>
            <w:tcBorders>
              <w:top w:val="single" w:sz="4" w:space="0" w:color="auto"/>
              <w:left w:val="single" w:sz="4" w:space="0" w:color="auto"/>
              <w:bottom w:val="single" w:sz="4" w:space="0" w:color="auto"/>
              <w:right w:val="single" w:sz="4" w:space="0" w:color="auto"/>
            </w:tcBorders>
            <w:shd w:val="clear" w:color="auto" w:fill="auto"/>
            <w:noWrap/>
          </w:tcPr>
          <w:p w14:paraId="04F08B16"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58/04/2017</w:t>
            </w:r>
          </w:p>
        </w:tc>
        <w:tc>
          <w:tcPr>
            <w:tcW w:w="1490" w:type="dxa"/>
            <w:tcBorders>
              <w:top w:val="single" w:sz="4" w:space="0" w:color="auto"/>
              <w:left w:val="nil"/>
              <w:bottom w:val="single" w:sz="4" w:space="0" w:color="auto"/>
              <w:right w:val="single" w:sz="4" w:space="0" w:color="auto"/>
            </w:tcBorders>
            <w:shd w:val="clear" w:color="auto" w:fill="auto"/>
            <w:noWrap/>
          </w:tcPr>
          <w:p w14:paraId="1B147075"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21/01/2016</w:t>
            </w:r>
          </w:p>
        </w:tc>
        <w:tc>
          <w:tcPr>
            <w:tcW w:w="2559" w:type="dxa"/>
            <w:tcBorders>
              <w:top w:val="single" w:sz="4" w:space="0" w:color="auto"/>
              <w:left w:val="nil"/>
              <w:bottom w:val="single" w:sz="4" w:space="0" w:color="auto"/>
              <w:right w:val="single" w:sz="4" w:space="0" w:color="auto"/>
            </w:tcBorders>
            <w:shd w:val="clear" w:color="auto" w:fill="auto"/>
            <w:noWrap/>
          </w:tcPr>
          <w:p w14:paraId="7A2B0B72" w14:textId="77777777" w:rsidR="004438EF" w:rsidRPr="008429ED" w:rsidRDefault="004438EF" w:rsidP="002E23AA">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R 1 818 689.54</w:t>
            </w:r>
          </w:p>
        </w:tc>
        <w:tc>
          <w:tcPr>
            <w:tcW w:w="3260" w:type="dxa"/>
            <w:tcBorders>
              <w:top w:val="single" w:sz="4" w:space="0" w:color="auto"/>
              <w:left w:val="nil"/>
              <w:bottom w:val="single" w:sz="4" w:space="0" w:color="auto"/>
              <w:right w:val="single" w:sz="4" w:space="0" w:color="auto"/>
            </w:tcBorders>
            <w:shd w:val="clear" w:color="auto" w:fill="auto"/>
            <w:noWrap/>
          </w:tcPr>
          <w:p w14:paraId="60631789"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Cleveland</w:t>
            </w:r>
          </w:p>
        </w:tc>
      </w:tr>
      <w:tr w:rsidR="004438EF" w:rsidRPr="008429ED" w14:paraId="7392A166" w14:textId="77777777" w:rsidTr="00A16047">
        <w:trPr>
          <w:trHeight w:val="620"/>
        </w:trPr>
        <w:tc>
          <w:tcPr>
            <w:tcW w:w="1480" w:type="dxa"/>
            <w:tcBorders>
              <w:top w:val="single" w:sz="4" w:space="0" w:color="auto"/>
              <w:left w:val="single" w:sz="4" w:space="0" w:color="auto"/>
              <w:bottom w:val="single" w:sz="4" w:space="0" w:color="auto"/>
              <w:right w:val="single" w:sz="4" w:space="0" w:color="auto"/>
            </w:tcBorders>
            <w:shd w:val="clear" w:color="auto" w:fill="auto"/>
            <w:noWrap/>
          </w:tcPr>
          <w:p w14:paraId="6E7A4467"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385/10/2015</w:t>
            </w:r>
          </w:p>
        </w:tc>
        <w:tc>
          <w:tcPr>
            <w:tcW w:w="1490" w:type="dxa"/>
            <w:tcBorders>
              <w:top w:val="single" w:sz="4" w:space="0" w:color="auto"/>
              <w:left w:val="nil"/>
              <w:bottom w:val="single" w:sz="4" w:space="0" w:color="auto"/>
              <w:right w:val="single" w:sz="4" w:space="0" w:color="auto"/>
            </w:tcBorders>
            <w:shd w:val="clear" w:color="auto" w:fill="auto"/>
            <w:noWrap/>
          </w:tcPr>
          <w:p w14:paraId="639F1E60"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24/07/2015</w:t>
            </w:r>
          </w:p>
        </w:tc>
        <w:tc>
          <w:tcPr>
            <w:tcW w:w="2559" w:type="dxa"/>
            <w:tcBorders>
              <w:top w:val="single" w:sz="4" w:space="0" w:color="auto"/>
              <w:left w:val="nil"/>
              <w:bottom w:val="single" w:sz="4" w:space="0" w:color="auto"/>
              <w:right w:val="single" w:sz="4" w:space="0" w:color="auto"/>
            </w:tcBorders>
            <w:shd w:val="clear" w:color="auto" w:fill="auto"/>
            <w:noWrap/>
          </w:tcPr>
          <w:p w14:paraId="6A5D258F" w14:textId="77777777" w:rsidR="004438EF" w:rsidRPr="008429ED" w:rsidRDefault="004438EF" w:rsidP="002E23AA">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R 5 000.00</w:t>
            </w:r>
          </w:p>
        </w:tc>
        <w:tc>
          <w:tcPr>
            <w:tcW w:w="3260" w:type="dxa"/>
            <w:tcBorders>
              <w:top w:val="single" w:sz="4" w:space="0" w:color="auto"/>
              <w:left w:val="nil"/>
              <w:bottom w:val="single" w:sz="4" w:space="0" w:color="auto"/>
              <w:right w:val="single" w:sz="4" w:space="0" w:color="auto"/>
            </w:tcBorders>
            <w:shd w:val="clear" w:color="auto" w:fill="auto"/>
            <w:noWrap/>
          </w:tcPr>
          <w:p w14:paraId="1276D33E"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Boksburg</w:t>
            </w:r>
            <w:r w:rsidRPr="008429ED">
              <w:rPr>
                <w:rFonts w:ascii="Arial" w:eastAsia="Times New Roman" w:hAnsi="Arial" w:cs="Arial"/>
                <w:color w:val="000000"/>
                <w:sz w:val="20"/>
                <w:szCs w:val="20"/>
              </w:rPr>
              <w:br/>
              <w:t>North</w:t>
            </w:r>
          </w:p>
        </w:tc>
      </w:tr>
      <w:tr w:rsidR="004438EF" w:rsidRPr="008429ED" w14:paraId="26B6CAE7" w14:textId="77777777" w:rsidTr="00A16047">
        <w:trPr>
          <w:trHeight w:val="719"/>
        </w:trPr>
        <w:tc>
          <w:tcPr>
            <w:tcW w:w="1480" w:type="dxa"/>
            <w:tcBorders>
              <w:top w:val="single" w:sz="4" w:space="0" w:color="auto"/>
              <w:left w:val="single" w:sz="4" w:space="0" w:color="auto"/>
              <w:bottom w:val="single" w:sz="4" w:space="0" w:color="auto"/>
              <w:right w:val="single" w:sz="4" w:space="0" w:color="auto"/>
            </w:tcBorders>
            <w:shd w:val="clear" w:color="auto" w:fill="auto"/>
            <w:noWrap/>
          </w:tcPr>
          <w:p w14:paraId="5B46C8E1"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15/9/2015</w:t>
            </w:r>
          </w:p>
        </w:tc>
        <w:tc>
          <w:tcPr>
            <w:tcW w:w="1490" w:type="dxa"/>
            <w:tcBorders>
              <w:top w:val="single" w:sz="4" w:space="0" w:color="auto"/>
              <w:left w:val="nil"/>
              <w:bottom w:val="single" w:sz="4" w:space="0" w:color="auto"/>
              <w:right w:val="single" w:sz="4" w:space="0" w:color="auto"/>
            </w:tcBorders>
            <w:shd w:val="clear" w:color="auto" w:fill="auto"/>
            <w:noWrap/>
          </w:tcPr>
          <w:p w14:paraId="45953F46"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27/05/2015</w:t>
            </w:r>
          </w:p>
        </w:tc>
        <w:tc>
          <w:tcPr>
            <w:tcW w:w="2559" w:type="dxa"/>
            <w:tcBorders>
              <w:top w:val="single" w:sz="4" w:space="0" w:color="auto"/>
              <w:left w:val="nil"/>
              <w:bottom w:val="single" w:sz="4" w:space="0" w:color="auto"/>
              <w:right w:val="single" w:sz="4" w:space="0" w:color="auto"/>
            </w:tcBorders>
            <w:shd w:val="clear" w:color="auto" w:fill="auto"/>
            <w:noWrap/>
          </w:tcPr>
          <w:p w14:paraId="09A92A9D" w14:textId="77777777" w:rsidR="004438EF" w:rsidRPr="008429ED" w:rsidRDefault="004438EF" w:rsidP="002E23AA">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R1 591 249.47</w:t>
            </w:r>
          </w:p>
        </w:tc>
        <w:tc>
          <w:tcPr>
            <w:tcW w:w="3260" w:type="dxa"/>
            <w:tcBorders>
              <w:top w:val="single" w:sz="4" w:space="0" w:color="auto"/>
              <w:left w:val="nil"/>
              <w:bottom w:val="single" w:sz="4" w:space="0" w:color="auto"/>
              <w:right w:val="single" w:sz="4" w:space="0" w:color="auto"/>
            </w:tcBorders>
            <w:shd w:val="clear" w:color="auto" w:fill="auto"/>
            <w:noWrap/>
          </w:tcPr>
          <w:p w14:paraId="39D475C5"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Komati</w:t>
            </w:r>
          </w:p>
        </w:tc>
      </w:tr>
      <w:tr w:rsidR="004438EF" w:rsidRPr="008429ED" w14:paraId="45811323" w14:textId="77777777" w:rsidTr="00A16047">
        <w:trPr>
          <w:trHeight w:val="710"/>
        </w:trPr>
        <w:tc>
          <w:tcPr>
            <w:tcW w:w="1480" w:type="dxa"/>
            <w:tcBorders>
              <w:top w:val="single" w:sz="4" w:space="0" w:color="auto"/>
              <w:left w:val="single" w:sz="4" w:space="0" w:color="auto"/>
              <w:bottom w:val="single" w:sz="4" w:space="0" w:color="auto"/>
              <w:right w:val="single" w:sz="4" w:space="0" w:color="auto"/>
            </w:tcBorders>
            <w:shd w:val="clear" w:color="auto" w:fill="auto"/>
            <w:noWrap/>
          </w:tcPr>
          <w:p w14:paraId="4D92CC92"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37/10/2016</w:t>
            </w:r>
          </w:p>
        </w:tc>
        <w:tc>
          <w:tcPr>
            <w:tcW w:w="1490" w:type="dxa"/>
            <w:tcBorders>
              <w:top w:val="single" w:sz="4" w:space="0" w:color="auto"/>
              <w:left w:val="nil"/>
              <w:bottom w:val="single" w:sz="4" w:space="0" w:color="auto"/>
              <w:right w:val="single" w:sz="4" w:space="0" w:color="auto"/>
            </w:tcBorders>
            <w:shd w:val="clear" w:color="auto" w:fill="auto"/>
            <w:noWrap/>
          </w:tcPr>
          <w:p w14:paraId="13BECFEA"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15/05/2015</w:t>
            </w:r>
          </w:p>
        </w:tc>
        <w:tc>
          <w:tcPr>
            <w:tcW w:w="2559" w:type="dxa"/>
            <w:tcBorders>
              <w:top w:val="single" w:sz="4" w:space="0" w:color="auto"/>
              <w:left w:val="nil"/>
              <w:bottom w:val="single" w:sz="4" w:space="0" w:color="auto"/>
              <w:right w:val="single" w:sz="4" w:space="0" w:color="auto"/>
            </w:tcBorders>
            <w:shd w:val="clear" w:color="auto" w:fill="auto"/>
            <w:noWrap/>
          </w:tcPr>
          <w:p w14:paraId="1A3AF371" w14:textId="77777777" w:rsidR="004438EF" w:rsidRPr="008429ED" w:rsidRDefault="004438EF" w:rsidP="002E23AA">
            <w:pPr>
              <w:spacing w:after="0" w:line="240" w:lineRule="auto"/>
              <w:rPr>
                <w:rFonts w:ascii="Arial" w:eastAsia="Times New Roman" w:hAnsi="Arial" w:cs="Arial"/>
                <w:bCs/>
                <w:color w:val="000000"/>
                <w:sz w:val="20"/>
                <w:szCs w:val="20"/>
              </w:rPr>
            </w:pPr>
            <w:r w:rsidRPr="008429ED">
              <w:rPr>
                <w:rFonts w:ascii="Arial" w:eastAsia="Times New Roman" w:hAnsi="Arial" w:cs="Arial"/>
                <w:bCs/>
                <w:color w:val="000000"/>
                <w:sz w:val="20"/>
                <w:szCs w:val="20"/>
              </w:rPr>
              <w:t xml:space="preserve">R 1 713 674.95 </w:t>
            </w:r>
          </w:p>
        </w:tc>
        <w:tc>
          <w:tcPr>
            <w:tcW w:w="3260" w:type="dxa"/>
            <w:tcBorders>
              <w:top w:val="single" w:sz="4" w:space="0" w:color="auto"/>
              <w:left w:val="nil"/>
              <w:bottom w:val="single" w:sz="4" w:space="0" w:color="auto"/>
              <w:right w:val="single" w:sz="4" w:space="0" w:color="auto"/>
            </w:tcBorders>
            <w:shd w:val="clear" w:color="auto" w:fill="auto"/>
            <w:noWrap/>
          </w:tcPr>
          <w:p w14:paraId="6299E8B3"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Kriel</w:t>
            </w:r>
          </w:p>
        </w:tc>
      </w:tr>
      <w:tr w:rsidR="004438EF" w:rsidRPr="008429ED" w14:paraId="77D744BA" w14:textId="77777777" w:rsidTr="00A16047">
        <w:trPr>
          <w:trHeight w:val="620"/>
        </w:trPr>
        <w:tc>
          <w:tcPr>
            <w:tcW w:w="1480" w:type="dxa"/>
            <w:tcBorders>
              <w:top w:val="single" w:sz="4" w:space="0" w:color="auto"/>
              <w:left w:val="single" w:sz="4" w:space="0" w:color="auto"/>
              <w:bottom w:val="single" w:sz="4" w:space="0" w:color="auto"/>
              <w:right w:val="single" w:sz="4" w:space="0" w:color="auto"/>
            </w:tcBorders>
            <w:shd w:val="clear" w:color="auto" w:fill="auto"/>
            <w:noWrap/>
          </w:tcPr>
          <w:p w14:paraId="03C80614"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991/3/2017</w:t>
            </w:r>
          </w:p>
        </w:tc>
        <w:tc>
          <w:tcPr>
            <w:tcW w:w="1490" w:type="dxa"/>
            <w:tcBorders>
              <w:top w:val="single" w:sz="4" w:space="0" w:color="auto"/>
              <w:left w:val="nil"/>
              <w:bottom w:val="single" w:sz="4" w:space="0" w:color="auto"/>
              <w:right w:val="single" w:sz="4" w:space="0" w:color="auto"/>
            </w:tcBorders>
            <w:shd w:val="clear" w:color="auto" w:fill="auto"/>
            <w:noWrap/>
          </w:tcPr>
          <w:p w14:paraId="2B9DD102"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08/05/2015</w:t>
            </w:r>
          </w:p>
        </w:tc>
        <w:tc>
          <w:tcPr>
            <w:tcW w:w="2559" w:type="dxa"/>
            <w:tcBorders>
              <w:top w:val="single" w:sz="4" w:space="0" w:color="auto"/>
              <w:left w:val="nil"/>
              <w:bottom w:val="single" w:sz="4" w:space="0" w:color="auto"/>
              <w:right w:val="single" w:sz="4" w:space="0" w:color="auto"/>
            </w:tcBorders>
            <w:shd w:val="clear" w:color="auto" w:fill="auto"/>
            <w:noWrap/>
          </w:tcPr>
          <w:p w14:paraId="606805DA" w14:textId="77777777" w:rsidR="004438EF" w:rsidRPr="008429ED" w:rsidRDefault="004438EF" w:rsidP="002E23AA">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R 3 252 344.76</w:t>
            </w:r>
          </w:p>
        </w:tc>
        <w:tc>
          <w:tcPr>
            <w:tcW w:w="3260" w:type="dxa"/>
            <w:tcBorders>
              <w:top w:val="single" w:sz="4" w:space="0" w:color="auto"/>
              <w:left w:val="nil"/>
              <w:bottom w:val="single" w:sz="4" w:space="0" w:color="auto"/>
              <w:right w:val="single" w:sz="4" w:space="0" w:color="auto"/>
            </w:tcBorders>
            <w:shd w:val="clear" w:color="auto" w:fill="auto"/>
            <w:noWrap/>
          </w:tcPr>
          <w:p w14:paraId="11B56B04"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Witbank</w:t>
            </w:r>
          </w:p>
        </w:tc>
      </w:tr>
      <w:tr w:rsidR="004438EF" w:rsidRPr="008429ED" w14:paraId="3D1B3A93" w14:textId="77777777" w:rsidTr="00A16047">
        <w:trPr>
          <w:trHeight w:val="638"/>
        </w:trPr>
        <w:tc>
          <w:tcPr>
            <w:tcW w:w="1480" w:type="dxa"/>
            <w:tcBorders>
              <w:top w:val="single" w:sz="4" w:space="0" w:color="auto"/>
              <w:left w:val="single" w:sz="4" w:space="0" w:color="auto"/>
              <w:bottom w:val="single" w:sz="4" w:space="0" w:color="auto"/>
              <w:right w:val="single" w:sz="4" w:space="0" w:color="auto"/>
            </w:tcBorders>
            <w:shd w:val="clear" w:color="auto" w:fill="auto"/>
            <w:noWrap/>
          </w:tcPr>
          <w:p w14:paraId="18749054"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654/11/2019</w:t>
            </w:r>
          </w:p>
        </w:tc>
        <w:tc>
          <w:tcPr>
            <w:tcW w:w="1490" w:type="dxa"/>
            <w:tcBorders>
              <w:top w:val="single" w:sz="4" w:space="0" w:color="auto"/>
              <w:left w:val="nil"/>
              <w:bottom w:val="single" w:sz="4" w:space="0" w:color="auto"/>
              <w:right w:val="single" w:sz="4" w:space="0" w:color="auto"/>
            </w:tcBorders>
            <w:shd w:val="clear" w:color="auto" w:fill="auto"/>
            <w:noWrap/>
          </w:tcPr>
          <w:p w14:paraId="4AD1AAA0"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12/02/2015</w:t>
            </w:r>
          </w:p>
        </w:tc>
        <w:tc>
          <w:tcPr>
            <w:tcW w:w="2559" w:type="dxa"/>
            <w:tcBorders>
              <w:top w:val="single" w:sz="4" w:space="0" w:color="auto"/>
              <w:left w:val="nil"/>
              <w:bottom w:val="single" w:sz="4" w:space="0" w:color="auto"/>
              <w:right w:val="single" w:sz="4" w:space="0" w:color="auto"/>
            </w:tcBorders>
            <w:shd w:val="clear" w:color="auto" w:fill="auto"/>
            <w:noWrap/>
          </w:tcPr>
          <w:p w14:paraId="688B9A3C" w14:textId="77777777" w:rsidR="004438EF" w:rsidRPr="008429ED" w:rsidRDefault="004438EF" w:rsidP="002E23AA">
            <w:pPr>
              <w:spacing w:after="0" w:line="240" w:lineRule="auto"/>
              <w:rPr>
                <w:rFonts w:ascii="Arial" w:eastAsia="Times New Roman" w:hAnsi="Arial" w:cs="Arial"/>
                <w:color w:val="000000"/>
                <w:sz w:val="20"/>
                <w:szCs w:val="20"/>
                <w:highlight w:val="yellow"/>
              </w:rPr>
            </w:pPr>
            <w:r w:rsidRPr="008429ED">
              <w:rPr>
                <w:rFonts w:ascii="Arial" w:eastAsia="Times New Roman" w:hAnsi="Arial" w:cs="Arial"/>
                <w:color w:val="000000"/>
                <w:sz w:val="20"/>
                <w:szCs w:val="20"/>
              </w:rPr>
              <w:t>No amount involved. Submission of fraudulent document</w:t>
            </w:r>
          </w:p>
        </w:tc>
        <w:tc>
          <w:tcPr>
            <w:tcW w:w="3260" w:type="dxa"/>
            <w:tcBorders>
              <w:top w:val="single" w:sz="4" w:space="0" w:color="auto"/>
              <w:left w:val="nil"/>
              <w:bottom w:val="single" w:sz="4" w:space="0" w:color="auto"/>
              <w:right w:val="single" w:sz="4" w:space="0" w:color="auto"/>
            </w:tcBorders>
            <w:shd w:val="clear" w:color="auto" w:fill="auto"/>
            <w:noWrap/>
          </w:tcPr>
          <w:p w14:paraId="4EA8CF08"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Witbank</w:t>
            </w:r>
          </w:p>
        </w:tc>
      </w:tr>
      <w:tr w:rsidR="004438EF" w:rsidRPr="008429ED" w14:paraId="41AB143B" w14:textId="77777777" w:rsidTr="00A16047">
        <w:trPr>
          <w:trHeight w:val="620"/>
        </w:trPr>
        <w:tc>
          <w:tcPr>
            <w:tcW w:w="1480" w:type="dxa"/>
            <w:tcBorders>
              <w:top w:val="single" w:sz="4" w:space="0" w:color="auto"/>
              <w:left w:val="single" w:sz="4" w:space="0" w:color="auto"/>
              <w:bottom w:val="single" w:sz="4" w:space="0" w:color="auto"/>
              <w:right w:val="single" w:sz="4" w:space="0" w:color="auto"/>
            </w:tcBorders>
            <w:shd w:val="clear" w:color="auto" w:fill="auto"/>
            <w:noWrap/>
          </w:tcPr>
          <w:p w14:paraId="58A2FCFB"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24/08/2015</w:t>
            </w:r>
          </w:p>
        </w:tc>
        <w:tc>
          <w:tcPr>
            <w:tcW w:w="1490" w:type="dxa"/>
            <w:tcBorders>
              <w:top w:val="single" w:sz="4" w:space="0" w:color="auto"/>
              <w:left w:val="nil"/>
              <w:bottom w:val="single" w:sz="4" w:space="0" w:color="auto"/>
              <w:right w:val="single" w:sz="4" w:space="0" w:color="auto"/>
            </w:tcBorders>
            <w:shd w:val="clear" w:color="auto" w:fill="auto"/>
            <w:noWrap/>
          </w:tcPr>
          <w:p w14:paraId="7FD01261"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07/12/2014</w:t>
            </w:r>
          </w:p>
        </w:tc>
        <w:tc>
          <w:tcPr>
            <w:tcW w:w="2559" w:type="dxa"/>
            <w:tcBorders>
              <w:top w:val="single" w:sz="4" w:space="0" w:color="auto"/>
              <w:left w:val="nil"/>
              <w:bottom w:val="single" w:sz="4" w:space="0" w:color="auto"/>
              <w:right w:val="single" w:sz="4" w:space="0" w:color="auto"/>
            </w:tcBorders>
            <w:shd w:val="clear" w:color="auto" w:fill="auto"/>
            <w:noWrap/>
          </w:tcPr>
          <w:p w14:paraId="6C5E1456" w14:textId="77777777" w:rsidR="004438EF" w:rsidRPr="008429ED" w:rsidRDefault="004438EF" w:rsidP="002E23AA">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R 518 584.00</w:t>
            </w:r>
          </w:p>
        </w:tc>
        <w:tc>
          <w:tcPr>
            <w:tcW w:w="3260" w:type="dxa"/>
            <w:tcBorders>
              <w:top w:val="single" w:sz="4" w:space="0" w:color="auto"/>
              <w:left w:val="nil"/>
              <w:bottom w:val="single" w:sz="4" w:space="0" w:color="auto"/>
              <w:right w:val="single" w:sz="4" w:space="0" w:color="auto"/>
            </w:tcBorders>
            <w:shd w:val="clear" w:color="auto" w:fill="auto"/>
            <w:noWrap/>
          </w:tcPr>
          <w:p w14:paraId="703F263E"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Hendrina</w:t>
            </w:r>
          </w:p>
        </w:tc>
      </w:tr>
      <w:tr w:rsidR="004438EF" w:rsidRPr="008429ED" w14:paraId="66027A0D" w14:textId="77777777" w:rsidTr="00A16047">
        <w:trPr>
          <w:trHeight w:val="521"/>
        </w:trPr>
        <w:tc>
          <w:tcPr>
            <w:tcW w:w="1480" w:type="dxa"/>
            <w:tcBorders>
              <w:top w:val="single" w:sz="4" w:space="0" w:color="auto"/>
              <w:left w:val="single" w:sz="4" w:space="0" w:color="auto"/>
              <w:bottom w:val="single" w:sz="4" w:space="0" w:color="auto"/>
              <w:right w:val="single" w:sz="4" w:space="0" w:color="auto"/>
            </w:tcBorders>
            <w:shd w:val="clear" w:color="auto" w:fill="auto"/>
            <w:noWrap/>
          </w:tcPr>
          <w:p w14:paraId="5B33F113"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lastRenderedPageBreak/>
              <w:t>330/03/2015</w:t>
            </w:r>
          </w:p>
        </w:tc>
        <w:tc>
          <w:tcPr>
            <w:tcW w:w="1490" w:type="dxa"/>
            <w:tcBorders>
              <w:top w:val="single" w:sz="4" w:space="0" w:color="auto"/>
              <w:left w:val="nil"/>
              <w:bottom w:val="single" w:sz="4" w:space="0" w:color="auto"/>
              <w:right w:val="single" w:sz="4" w:space="0" w:color="auto"/>
            </w:tcBorders>
            <w:shd w:val="clear" w:color="auto" w:fill="auto"/>
            <w:noWrap/>
          </w:tcPr>
          <w:p w14:paraId="72B45757"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16/11/2014</w:t>
            </w:r>
          </w:p>
        </w:tc>
        <w:tc>
          <w:tcPr>
            <w:tcW w:w="2559" w:type="dxa"/>
            <w:tcBorders>
              <w:top w:val="single" w:sz="4" w:space="0" w:color="auto"/>
              <w:left w:val="nil"/>
              <w:bottom w:val="single" w:sz="4" w:space="0" w:color="auto"/>
              <w:right w:val="single" w:sz="4" w:space="0" w:color="auto"/>
            </w:tcBorders>
            <w:shd w:val="clear" w:color="auto" w:fill="auto"/>
            <w:noWrap/>
          </w:tcPr>
          <w:p w14:paraId="0B87A4F6" w14:textId="77777777" w:rsidR="004438EF" w:rsidRPr="008429ED" w:rsidRDefault="004438EF" w:rsidP="002E23AA">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 R 307 874.80</w:t>
            </w:r>
          </w:p>
        </w:tc>
        <w:tc>
          <w:tcPr>
            <w:tcW w:w="3260" w:type="dxa"/>
            <w:tcBorders>
              <w:top w:val="single" w:sz="4" w:space="0" w:color="auto"/>
              <w:left w:val="nil"/>
              <w:bottom w:val="single" w:sz="4" w:space="0" w:color="auto"/>
              <w:right w:val="single" w:sz="4" w:space="0" w:color="auto"/>
            </w:tcBorders>
            <w:shd w:val="clear" w:color="auto" w:fill="auto"/>
            <w:noWrap/>
          </w:tcPr>
          <w:p w14:paraId="6DD02AAF"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Witbank</w:t>
            </w:r>
          </w:p>
        </w:tc>
      </w:tr>
      <w:tr w:rsidR="004438EF" w:rsidRPr="008429ED" w14:paraId="47A0AD63" w14:textId="77777777" w:rsidTr="00A16047">
        <w:trPr>
          <w:trHeight w:val="620"/>
        </w:trPr>
        <w:tc>
          <w:tcPr>
            <w:tcW w:w="1480" w:type="dxa"/>
            <w:tcBorders>
              <w:top w:val="single" w:sz="4" w:space="0" w:color="auto"/>
              <w:left w:val="single" w:sz="4" w:space="0" w:color="auto"/>
              <w:bottom w:val="single" w:sz="4" w:space="0" w:color="auto"/>
              <w:right w:val="single" w:sz="4" w:space="0" w:color="auto"/>
            </w:tcBorders>
            <w:shd w:val="clear" w:color="auto" w:fill="auto"/>
            <w:noWrap/>
          </w:tcPr>
          <w:p w14:paraId="081135F1"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1485/8/2015</w:t>
            </w:r>
          </w:p>
        </w:tc>
        <w:tc>
          <w:tcPr>
            <w:tcW w:w="1490" w:type="dxa"/>
            <w:tcBorders>
              <w:top w:val="single" w:sz="4" w:space="0" w:color="auto"/>
              <w:left w:val="nil"/>
              <w:bottom w:val="single" w:sz="4" w:space="0" w:color="auto"/>
              <w:right w:val="single" w:sz="4" w:space="0" w:color="auto"/>
            </w:tcBorders>
            <w:shd w:val="clear" w:color="auto" w:fill="auto"/>
            <w:noWrap/>
          </w:tcPr>
          <w:p w14:paraId="174F23A3"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25/10/2014</w:t>
            </w:r>
          </w:p>
        </w:tc>
        <w:tc>
          <w:tcPr>
            <w:tcW w:w="2559" w:type="dxa"/>
            <w:tcBorders>
              <w:top w:val="single" w:sz="4" w:space="0" w:color="auto"/>
              <w:left w:val="nil"/>
              <w:bottom w:val="single" w:sz="4" w:space="0" w:color="auto"/>
              <w:right w:val="single" w:sz="4" w:space="0" w:color="auto"/>
            </w:tcBorders>
            <w:shd w:val="clear" w:color="auto" w:fill="auto"/>
            <w:noWrap/>
          </w:tcPr>
          <w:p w14:paraId="5216E9D3" w14:textId="77777777" w:rsidR="004438EF" w:rsidRPr="008429ED" w:rsidRDefault="004438EF" w:rsidP="002E23AA">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R 6 914 600.00</w:t>
            </w:r>
          </w:p>
        </w:tc>
        <w:tc>
          <w:tcPr>
            <w:tcW w:w="3260" w:type="dxa"/>
            <w:tcBorders>
              <w:top w:val="single" w:sz="4" w:space="0" w:color="auto"/>
              <w:left w:val="nil"/>
              <w:bottom w:val="single" w:sz="4" w:space="0" w:color="auto"/>
              <w:right w:val="single" w:sz="4" w:space="0" w:color="auto"/>
            </w:tcBorders>
            <w:shd w:val="clear" w:color="auto" w:fill="auto"/>
            <w:noWrap/>
          </w:tcPr>
          <w:p w14:paraId="541513AD"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Bloemfontein</w:t>
            </w:r>
          </w:p>
        </w:tc>
      </w:tr>
      <w:tr w:rsidR="004438EF" w:rsidRPr="008429ED" w14:paraId="36F76AB6" w14:textId="77777777" w:rsidTr="00A16047">
        <w:trPr>
          <w:trHeight w:val="629"/>
        </w:trPr>
        <w:tc>
          <w:tcPr>
            <w:tcW w:w="1480" w:type="dxa"/>
            <w:tcBorders>
              <w:top w:val="single" w:sz="4" w:space="0" w:color="auto"/>
              <w:left w:val="single" w:sz="4" w:space="0" w:color="auto"/>
              <w:bottom w:val="single" w:sz="4" w:space="0" w:color="auto"/>
              <w:right w:val="single" w:sz="4" w:space="0" w:color="auto"/>
            </w:tcBorders>
            <w:shd w:val="clear" w:color="auto" w:fill="auto"/>
            <w:noWrap/>
          </w:tcPr>
          <w:p w14:paraId="7A288B20"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215/6/2015</w:t>
            </w:r>
          </w:p>
        </w:tc>
        <w:tc>
          <w:tcPr>
            <w:tcW w:w="1490" w:type="dxa"/>
            <w:tcBorders>
              <w:top w:val="single" w:sz="4" w:space="0" w:color="auto"/>
              <w:left w:val="nil"/>
              <w:bottom w:val="single" w:sz="4" w:space="0" w:color="auto"/>
              <w:right w:val="single" w:sz="4" w:space="0" w:color="auto"/>
            </w:tcBorders>
            <w:shd w:val="clear" w:color="auto" w:fill="auto"/>
            <w:noWrap/>
          </w:tcPr>
          <w:p w14:paraId="006E3481"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13/10/2014</w:t>
            </w:r>
          </w:p>
        </w:tc>
        <w:tc>
          <w:tcPr>
            <w:tcW w:w="2559" w:type="dxa"/>
            <w:tcBorders>
              <w:top w:val="single" w:sz="4" w:space="0" w:color="auto"/>
              <w:left w:val="nil"/>
              <w:bottom w:val="single" w:sz="4" w:space="0" w:color="auto"/>
              <w:right w:val="single" w:sz="4" w:space="0" w:color="auto"/>
            </w:tcBorders>
            <w:shd w:val="clear" w:color="auto" w:fill="auto"/>
            <w:noWrap/>
          </w:tcPr>
          <w:p w14:paraId="1EE0DF4E" w14:textId="77777777" w:rsidR="004438EF" w:rsidRPr="008429ED" w:rsidRDefault="004438EF" w:rsidP="002E23AA">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R 271 585.92</w:t>
            </w:r>
          </w:p>
        </w:tc>
        <w:tc>
          <w:tcPr>
            <w:tcW w:w="3260" w:type="dxa"/>
            <w:tcBorders>
              <w:top w:val="single" w:sz="4" w:space="0" w:color="auto"/>
              <w:left w:val="nil"/>
              <w:bottom w:val="single" w:sz="4" w:space="0" w:color="auto"/>
              <w:right w:val="single" w:sz="4" w:space="0" w:color="auto"/>
            </w:tcBorders>
            <w:shd w:val="clear" w:color="auto" w:fill="auto"/>
            <w:noWrap/>
          </w:tcPr>
          <w:p w14:paraId="33E36DC8"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Bloemfontein</w:t>
            </w:r>
          </w:p>
        </w:tc>
      </w:tr>
      <w:tr w:rsidR="004438EF" w:rsidRPr="008429ED" w14:paraId="08D5D6F7" w14:textId="77777777" w:rsidTr="00A16047">
        <w:trPr>
          <w:trHeight w:val="620"/>
        </w:trPr>
        <w:tc>
          <w:tcPr>
            <w:tcW w:w="1480" w:type="dxa"/>
            <w:tcBorders>
              <w:top w:val="single" w:sz="4" w:space="0" w:color="auto"/>
              <w:left w:val="single" w:sz="4" w:space="0" w:color="auto"/>
              <w:bottom w:val="single" w:sz="4" w:space="0" w:color="auto"/>
              <w:right w:val="single" w:sz="4" w:space="0" w:color="auto"/>
            </w:tcBorders>
            <w:shd w:val="clear" w:color="auto" w:fill="auto"/>
            <w:noWrap/>
          </w:tcPr>
          <w:p w14:paraId="4CC58A2B"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692/7/2014</w:t>
            </w:r>
          </w:p>
        </w:tc>
        <w:tc>
          <w:tcPr>
            <w:tcW w:w="1490" w:type="dxa"/>
            <w:tcBorders>
              <w:top w:val="single" w:sz="4" w:space="0" w:color="auto"/>
              <w:left w:val="nil"/>
              <w:bottom w:val="single" w:sz="4" w:space="0" w:color="auto"/>
              <w:right w:val="single" w:sz="4" w:space="0" w:color="auto"/>
            </w:tcBorders>
            <w:shd w:val="clear" w:color="auto" w:fill="auto"/>
            <w:noWrap/>
          </w:tcPr>
          <w:p w14:paraId="51525EB3"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20/05/2014</w:t>
            </w:r>
          </w:p>
        </w:tc>
        <w:tc>
          <w:tcPr>
            <w:tcW w:w="2559" w:type="dxa"/>
            <w:tcBorders>
              <w:top w:val="single" w:sz="4" w:space="0" w:color="auto"/>
              <w:left w:val="nil"/>
              <w:bottom w:val="single" w:sz="4" w:space="0" w:color="auto"/>
              <w:right w:val="single" w:sz="4" w:space="0" w:color="auto"/>
            </w:tcBorders>
            <w:shd w:val="clear" w:color="auto" w:fill="auto"/>
            <w:noWrap/>
          </w:tcPr>
          <w:p w14:paraId="6007D304" w14:textId="77777777" w:rsidR="004438EF" w:rsidRPr="008429ED" w:rsidRDefault="004438EF" w:rsidP="002E23AA">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Could not be determined</w:t>
            </w:r>
          </w:p>
        </w:tc>
        <w:tc>
          <w:tcPr>
            <w:tcW w:w="3260" w:type="dxa"/>
            <w:tcBorders>
              <w:top w:val="single" w:sz="4" w:space="0" w:color="auto"/>
              <w:left w:val="nil"/>
              <w:bottom w:val="single" w:sz="4" w:space="0" w:color="auto"/>
              <w:right w:val="single" w:sz="4" w:space="0" w:color="auto"/>
            </w:tcBorders>
            <w:shd w:val="clear" w:color="auto" w:fill="auto"/>
            <w:noWrap/>
          </w:tcPr>
          <w:p w14:paraId="27372010"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Pinetown Commercial Branch</w:t>
            </w:r>
          </w:p>
        </w:tc>
      </w:tr>
      <w:tr w:rsidR="004438EF" w:rsidRPr="008429ED" w14:paraId="37C65577" w14:textId="77777777" w:rsidTr="00A16047">
        <w:trPr>
          <w:trHeight w:val="467"/>
        </w:trPr>
        <w:tc>
          <w:tcPr>
            <w:tcW w:w="1480" w:type="dxa"/>
            <w:tcBorders>
              <w:top w:val="single" w:sz="4" w:space="0" w:color="auto"/>
              <w:left w:val="single" w:sz="4" w:space="0" w:color="auto"/>
              <w:bottom w:val="single" w:sz="4" w:space="0" w:color="auto"/>
              <w:right w:val="single" w:sz="4" w:space="0" w:color="auto"/>
            </w:tcBorders>
            <w:shd w:val="clear" w:color="auto" w:fill="auto"/>
            <w:noWrap/>
          </w:tcPr>
          <w:p w14:paraId="0EA46A58"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1216/4/2015</w:t>
            </w:r>
          </w:p>
        </w:tc>
        <w:tc>
          <w:tcPr>
            <w:tcW w:w="1490" w:type="dxa"/>
            <w:tcBorders>
              <w:top w:val="single" w:sz="4" w:space="0" w:color="auto"/>
              <w:left w:val="nil"/>
              <w:bottom w:val="single" w:sz="4" w:space="0" w:color="auto"/>
              <w:right w:val="single" w:sz="4" w:space="0" w:color="auto"/>
            </w:tcBorders>
            <w:shd w:val="clear" w:color="auto" w:fill="auto"/>
            <w:noWrap/>
          </w:tcPr>
          <w:p w14:paraId="549076AD"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19/03/2015</w:t>
            </w:r>
          </w:p>
        </w:tc>
        <w:tc>
          <w:tcPr>
            <w:tcW w:w="2559" w:type="dxa"/>
            <w:tcBorders>
              <w:top w:val="single" w:sz="4" w:space="0" w:color="auto"/>
              <w:left w:val="nil"/>
              <w:bottom w:val="single" w:sz="4" w:space="0" w:color="auto"/>
              <w:right w:val="single" w:sz="4" w:space="0" w:color="auto"/>
            </w:tcBorders>
            <w:shd w:val="clear" w:color="auto" w:fill="auto"/>
            <w:noWrap/>
          </w:tcPr>
          <w:p w14:paraId="4525BA57" w14:textId="77777777" w:rsidR="004438EF" w:rsidRPr="008429ED" w:rsidRDefault="004438EF" w:rsidP="002E23AA">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 R 84 397.49</w:t>
            </w:r>
          </w:p>
        </w:tc>
        <w:tc>
          <w:tcPr>
            <w:tcW w:w="3260" w:type="dxa"/>
            <w:tcBorders>
              <w:top w:val="single" w:sz="4" w:space="0" w:color="auto"/>
              <w:left w:val="nil"/>
              <w:bottom w:val="single" w:sz="4" w:space="0" w:color="auto"/>
              <w:right w:val="single" w:sz="4" w:space="0" w:color="auto"/>
            </w:tcBorders>
            <w:shd w:val="clear" w:color="auto" w:fill="auto"/>
            <w:noWrap/>
          </w:tcPr>
          <w:p w14:paraId="536A803C"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Sandton</w:t>
            </w:r>
          </w:p>
        </w:tc>
      </w:tr>
      <w:tr w:rsidR="004438EF" w:rsidRPr="008429ED" w14:paraId="688B369E" w14:textId="77777777" w:rsidTr="00A16047">
        <w:trPr>
          <w:trHeight w:val="464"/>
        </w:trPr>
        <w:tc>
          <w:tcPr>
            <w:tcW w:w="1480" w:type="dxa"/>
            <w:tcBorders>
              <w:top w:val="single" w:sz="4" w:space="0" w:color="auto"/>
              <w:left w:val="single" w:sz="4" w:space="0" w:color="auto"/>
              <w:bottom w:val="single" w:sz="4" w:space="0" w:color="auto"/>
              <w:right w:val="single" w:sz="4" w:space="0" w:color="auto"/>
            </w:tcBorders>
            <w:shd w:val="clear" w:color="auto" w:fill="auto"/>
            <w:noWrap/>
          </w:tcPr>
          <w:p w14:paraId="4EC97DA3"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203/03/2020</w:t>
            </w:r>
          </w:p>
        </w:tc>
        <w:tc>
          <w:tcPr>
            <w:tcW w:w="1490" w:type="dxa"/>
            <w:tcBorders>
              <w:top w:val="single" w:sz="4" w:space="0" w:color="auto"/>
              <w:left w:val="nil"/>
              <w:bottom w:val="single" w:sz="4" w:space="0" w:color="auto"/>
              <w:right w:val="single" w:sz="4" w:space="0" w:color="auto"/>
            </w:tcBorders>
            <w:shd w:val="clear" w:color="auto" w:fill="auto"/>
            <w:noWrap/>
          </w:tcPr>
          <w:p w14:paraId="22E5B407"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30/03/2014</w:t>
            </w:r>
          </w:p>
        </w:tc>
        <w:tc>
          <w:tcPr>
            <w:tcW w:w="2559" w:type="dxa"/>
            <w:tcBorders>
              <w:top w:val="single" w:sz="4" w:space="0" w:color="auto"/>
              <w:left w:val="nil"/>
              <w:bottom w:val="single" w:sz="4" w:space="0" w:color="auto"/>
              <w:right w:val="single" w:sz="4" w:space="0" w:color="auto"/>
            </w:tcBorders>
            <w:shd w:val="clear" w:color="auto" w:fill="auto"/>
            <w:noWrap/>
          </w:tcPr>
          <w:p w14:paraId="613833E7" w14:textId="77777777" w:rsidR="004438EF" w:rsidRPr="008429ED" w:rsidRDefault="004438EF" w:rsidP="002E23AA">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R 83 236.26</w:t>
            </w:r>
          </w:p>
        </w:tc>
        <w:tc>
          <w:tcPr>
            <w:tcW w:w="3260" w:type="dxa"/>
            <w:tcBorders>
              <w:top w:val="single" w:sz="4" w:space="0" w:color="auto"/>
              <w:left w:val="nil"/>
              <w:bottom w:val="single" w:sz="4" w:space="0" w:color="auto"/>
              <w:right w:val="single" w:sz="4" w:space="0" w:color="auto"/>
            </w:tcBorders>
            <w:shd w:val="clear" w:color="auto" w:fill="auto"/>
            <w:noWrap/>
          </w:tcPr>
          <w:p w14:paraId="442C0A12"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Sandton</w:t>
            </w:r>
          </w:p>
        </w:tc>
      </w:tr>
    </w:tbl>
    <w:p w14:paraId="3FBB42AF" w14:textId="77777777" w:rsidR="004438EF" w:rsidRPr="00257540" w:rsidRDefault="004438EF" w:rsidP="004438EF">
      <w:pPr>
        <w:spacing w:after="0" w:line="240" w:lineRule="auto"/>
        <w:rPr>
          <w:rFonts w:ascii="Arial" w:eastAsia="Times New Roman" w:hAnsi="Arial" w:cs="Arial"/>
          <w:sz w:val="24"/>
          <w:szCs w:val="20"/>
          <w:lang w:eastAsia="en-ZA"/>
        </w:rPr>
      </w:pPr>
    </w:p>
    <w:p w14:paraId="190D63F5" w14:textId="7B734F4A" w:rsidR="004438EF" w:rsidRDefault="004438EF" w:rsidP="004E559D">
      <w:pPr>
        <w:spacing w:after="0" w:line="360" w:lineRule="auto"/>
        <w:ind w:left="-56"/>
        <w:contextualSpacing/>
        <w:jc w:val="both"/>
        <w:rPr>
          <w:rFonts w:ascii="Arial" w:eastAsia="Times New Roman" w:hAnsi="Arial" w:cs="Arial"/>
          <w:sz w:val="24"/>
          <w:szCs w:val="20"/>
        </w:rPr>
      </w:pPr>
    </w:p>
    <w:p w14:paraId="7AB8DF09" w14:textId="77777777" w:rsidR="004438EF" w:rsidRPr="008429ED" w:rsidRDefault="004438EF" w:rsidP="004438EF">
      <w:pPr>
        <w:spacing w:after="0" w:line="240" w:lineRule="auto"/>
        <w:rPr>
          <w:rFonts w:ascii="Arial" w:eastAsia="Times New Roman" w:hAnsi="Arial" w:cs="Times New Roman"/>
          <w:b/>
          <w:szCs w:val="24"/>
          <w:lang w:eastAsia="en-GB"/>
        </w:rPr>
      </w:pPr>
      <w:r w:rsidRPr="008429ED">
        <w:rPr>
          <w:rFonts w:ascii="Arial" w:eastAsia="Times New Roman" w:hAnsi="Arial" w:cs="Times New Roman"/>
          <w:b/>
          <w:szCs w:val="24"/>
          <w:lang w:eastAsia="en-GB"/>
        </w:rPr>
        <w:t>B3 - Cases being registered with law enforcement agencies</w:t>
      </w:r>
    </w:p>
    <w:p w14:paraId="11B5C298" w14:textId="103C1532" w:rsidR="004438EF" w:rsidRDefault="004438EF" w:rsidP="004E559D">
      <w:pPr>
        <w:spacing w:after="0" w:line="360" w:lineRule="auto"/>
        <w:ind w:left="-56"/>
        <w:contextualSpacing/>
        <w:jc w:val="both"/>
        <w:rPr>
          <w:rFonts w:ascii="Arial" w:eastAsia="Times New Roman" w:hAnsi="Arial" w:cs="Arial"/>
          <w:sz w:val="24"/>
          <w:szCs w:val="20"/>
        </w:rPr>
      </w:pPr>
    </w:p>
    <w:tbl>
      <w:tblPr>
        <w:tblW w:w="8789" w:type="dxa"/>
        <w:tblInd w:w="-5" w:type="dxa"/>
        <w:tblLook w:val="04A0" w:firstRow="1" w:lastRow="0" w:firstColumn="1" w:lastColumn="0" w:noHBand="0" w:noVBand="1"/>
      </w:tblPr>
      <w:tblGrid>
        <w:gridCol w:w="1418"/>
        <w:gridCol w:w="1559"/>
        <w:gridCol w:w="2552"/>
        <w:gridCol w:w="3260"/>
      </w:tblGrid>
      <w:tr w:rsidR="004438EF" w:rsidRPr="008429ED" w14:paraId="2CA747EF" w14:textId="77777777" w:rsidTr="004438EF">
        <w:trPr>
          <w:trHeight w:val="672"/>
          <w:tblHeader/>
        </w:trPr>
        <w:tc>
          <w:tcPr>
            <w:tcW w:w="1418" w:type="dxa"/>
            <w:tcBorders>
              <w:top w:val="single" w:sz="4" w:space="0" w:color="auto"/>
              <w:left w:val="single" w:sz="4" w:space="0" w:color="auto"/>
              <w:bottom w:val="single" w:sz="4" w:space="0" w:color="auto"/>
              <w:right w:val="single" w:sz="4" w:space="0" w:color="auto"/>
            </w:tcBorders>
            <w:shd w:val="clear" w:color="000000" w:fill="DDEBF7"/>
            <w:hideMark/>
          </w:tcPr>
          <w:p w14:paraId="657ACE56" w14:textId="77777777" w:rsidR="004438EF" w:rsidRPr="008429ED" w:rsidRDefault="004438EF" w:rsidP="00A16047">
            <w:pPr>
              <w:spacing w:after="0" w:line="240" w:lineRule="auto"/>
              <w:rPr>
                <w:rFonts w:ascii="Arial" w:eastAsia="Times New Roman" w:hAnsi="Arial" w:cs="Arial"/>
                <w:b/>
                <w:bCs/>
                <w:sz w:val="20"/>
                <w:szCs w:val="20"/>
                <w:lang w:eastAsia="en-ZA"/>
              </w:rPr>
            </w:pPr>
            <w:r w:rsidRPr="008429ED">
              <w:rPr>
                <w:rFonts w:ascii="Arial" w:eastAsia="Times New Roman" w:hAnsi="Arial" w:cs="Arial"/>
                <w:b/>
                <w:bCs/>
                <w:sz w:val="20"/>
                <w:szCs w:val="20"/>
                <w:lang w:eastAsia="en-ZA"/>
              </w:rPr>
              <w:t>Criminal case no.</w:t>
            </w:r>
          </w:p>
        </w:tc>
        <w:tc>
          <w:tcPr>
            <w:tcW w:w="1559" w:type="dxa"/>
            <w:tcBorders>
              <w:top w:val="single" w:sz="4" w:space="0" w:color="auto"/>
              <w:left w:val="nil"/>
              <w:bottom w:val="single" w:sz="4" w:space="0" w:color="auto"/>
              <w:right w:val="single" w:sz="4" w:space="0" w:color="auto"/>
            </w:tcBorders>
            <w:shd w:val="clear" w:color="000000" w:fill="DDEBF7"/>
            <w:hideMark/>
          </w:tcPr>
          <w:p w14:paraId="334AA6A3" w14:textId="77777777" w:rsidR="004438EF" w:rsidRPr="008429ED" w:rsidRDefault="004438EF" w:rsidP="00A16047">
            <w:pPr>
              <w:spacing w:after="0" w:line="240" w:lineRule="auto"/>
              <w:rPr>
                <w:rFonts w:ascii="Arial" w:eastAsia="Times New Roman" w:hAnsi="Arial" w:cs="Arial"/>
                <w:b/>
                <w:bCs/>
                <w:sz w:val="20"/>
                <w:szCs w:val="20"/>
                <w:lang w:eastAsia="en-ZA"/>
              </w:rPr>
            </w:pPr>
            <w:r w:rsidRPr="008429ED">
              <w:rPr>
                <w:rFonts w:ascii="Arial" w:eastAsia="Times New Roman" w:hAnsi="Arial" w:cs="Arial"/>
                <w:b/>
                <w:bCs/>
                <w:sz w:val="20"/>
                <w:szCs w:val="20"/>
                <w:lang w:eastAsia="en-ZA"/>
              </w:rPr>
              <w:t>Forensic case no.</w:t>
            </w:r>
          </w:p>
        </w:tc>
        <w:tc>
          <w:tcPr>
            <w:tcW w:w="2552" w:type="dxa"/>
            <w:tcBorders>
              <w:top w:val="single" w:sz="4" w:space="0" w:color="auto"/>
              <w:left w:val="nil"/>
              <w:bottom w:val="single" w:sz="4" w:space="0" w:color="auto"/>
              <w:right w:val="single" w:sz="4" w:space="0" w:color="auto"/>
            </w:tcBorders>
            <w:shd w:val="clear" w:color="000000" w:fill="DDEBF7"/>
            <w:hideMark/>
          </w:tcPr>
          <w:p w14:paraId="51E79C8C" w14:textId="77777777" w:rsidR="004438EF" w:rsidRPr="008429ED" w:rsidRDefault="004438EF" w:rsidP="004438EF">
            <w:pPr>
              <w:spacing w:after="0" w:line="240" w:lineRule="auto"/>
              <w:rPr>
                <w:rFonts w:ascii="Arial" w:eastAsia="Times New Roman" w:hAnsi="Arial" w:cs="Arial"/>
                <w:b/>
                <w:bCs/>
                <w:sz w:val="20"/>
                <w:szCs w:val="20"/>
                <w:lang w:eastAsia="en-ZA"/>
              </w:rPr>
            </w:pPr>
            <w:r w:rsidRPr="008429ED">
              <w:rPr>
                <w:rFonts w:ascii="Arial" w:eastAsia="Times New Roman" w:hAnsi="Arial" w:cs="Arial"/>
                <w:b/>
                <w:bCs/>
                <w:sz w:val="20"/>
                <w:szCs w:val="20"/>
                <w:lang w:eastAsia="en-ZA"/>
              </w:rPr>
              <w:t>Amount Involved</w:t>
            </w:r>
          </w:p>
        </w:tc>
        <w:tc>
          <w:tcPr>
            <w:tcW w:w="3260" w:type="dxa"/>
            <w:tcBorders>
              <w:top w:val="single" w:sz="4" w:space="0" w:color="auto"/>
              <w:left w:val="nil"/>
              <w:bottom w:val="single" w:sz="4" w:space="0" w:color="auto"/>
              <w:right w:val="single" w:sz="4" w:space="0" w:color="auto"/>
            </w:tcBorders>
            <w:shd w:val="clear" w:color="000000" w:fill="DDEBF7"/>
            <w:hideMark/>
          </w:tcPr>
          <w:p w14:paraId="3D6D7ED3" w14:textId="77777777" w:rsidR="004438EF" w:rsidRPr="008429ED" w:rsidRDefault="004438EF" w:rsidP="004438EF">
            <w:pPr>
              <w:spacing w:after="0" w:line="240" w:lineRule="auto"/>
              <w:rPr>
                <w:rFonts w:ascii="Arial" w:eastAsia="Times New Roman" w:hAnsi="Arial" w:cs="Arial"/>
                <w:b/>
                <w:bCs/>
                <w:sz w:val="20"/>
                <w:szCs w:val="20"/>
                <w:lang w:eastAsia="en-ZA"/>
              </w:rPr>
            </w:pPr>
            <w:r w:rsidRPr="008429ED">
              <w:rPr>
                <w:rFonts w:ascii="Arial" w:eastAsia="Times New Roman" w:hAnsi="Arial" w:cs="Arial"/>
                <w:b/>
                <w:bCs/>
                <w:sz w:val="20"/>
                <w:szCs w:val="20"/>
                <w:lang w:eastAsia="en-ZA"/>
              </w:rPr>
              <w:t>Police station name</w:t>
            </w:r>
          </w:p>
        </w:tc>
      </w:tr>
      <w:tr w:rsidR="004438EF" w:rsidRPr="008429ED" w14:paraId="200E45DE" w14:textId="77777777" w:rsidTr="004438EF">
        <w:trPr>
          <w:trHeight w:val="557"/>
        </w:trPr>
        <w:tc>
          <w:tcPr>
            <w:tcW w:w="1418" w:type="dxa"/>
            <w:tcBorders>
              <w:top w:val="nil"/>
              <w:left w:val="single" w:sz="4" w:space="0" w:color="auto"/>
              <w:bottom w:val="single" w:sz="4" w:space="0" w:color="auto"/>
              <w:right w:val="single" w:sz="4" w:space="0" w:color="auto"/>
            </w:tcBorders>
            <w:shd w:val="clear" w:color="auto" w:fill="auto"/>
            <w:noWrap/>
            <w:hideMark/>
          </w:tcPr>
          <w:p w14:paraId="287F6927" w14:textId="77777777" w:rsidR="004438EF" w:rsidRPr="008429ED" w:rsidRDefault="004438EF" w:rsidP="00A16047">
            <w:pPr>
              <w:spacing w:after="0" w:line="240" w:lineRule="auto"/>
              <w:rPr>
                <w:rFonts w:ascii="Arial" w:eastAsia="Times New Roman" w:hAnsi="Arial" w:cs="Times New Roman"/>
                <w:szCs w:val="24"/>
              </w:rPr>
            </w:pPr>
            <w:r w:rsidRPr="008429ED">
              <w:rPr>
                <w:rFonts w:ascii="Arial" w:eastAsia="Times New Roman" w:hAnsi="Arial" w:cs="Arial"/>
                <w:sz w:val="20"/>
                <w:szCs w:val="20"/>
                <w:lang w:eastAsia="en-ZA"/>
              </w:rPr>
              <w:t>Being Registered</w:t>
            </w:r>
          </w:p>
        </w:tc>
        <w:tc>
          <w:tcPr>
            <w:tcW w:w="1559" w:type="dxa"/>
            <w:tcBorders>
              <w:top w:val="nil"/>
              <w:left w:val="nil"/>
              <w:bottom w:val="single" w:sz="4" w:space="0" w:color="auto"/>
              <w:right w:val="single" w:sz="4" w:space="0" w:color="auto"/>
            </w:tcBorders>
            <w:shd w:val="clear" w:color="auto" w:fill="auto"/>
            <w:noWrap/>
            <w:hideMark/>
          </w:tcPr>
          <w:p w14:paraId="3AF1C207"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92/11/2017</w:t>
            </w:r>
          </w:p>
        </w:tc>
        <w:tc>
          <w:tcPr>
            <w:tcW w:w="2552" w:type="dxa"/>
            <w:tcBorders>
              <w:top w:val="nil"/>
              <w:left w:val="nil"/>
              <w:bottom w:val="single" w:sz="4" w:space="0" w:color="auto"/>
              <w:right w:val="single" w:sz="4" w:space="0" w:color="auto"/>
            </w:tcBorders>
            <w:shd w:val="clear" w:color="auto" w:fill="auto"/>
            <w:noWrap/>
            <w:hideMark/>
          </w:tcPr>
          <w:p w14:paraId="67AD5D9C" w14:textId="77777777" w:rsidR="004438EF" w:rsidRPr="008429ED" w:rsidRDefault="004438EF" w:rsidP="004438EF">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R 774 600.00</w:t>
            </w:r>
          </w:p>
        </w:tc>
        <w:tc>
          <w:tcPr>
            <w:tcW w:w="3260" w:type="dxa"/>
            <w:tcBorders>
              <w:top w:val="nil"/>
              <w:left w:val="nil"/>
              <w:bottom w:val="single" w:sz="4" w:space="0" w:color="auto"/>
              <w:right w:val="single" w:sz="4" w:space="0" w:color="auto"/>
            </w:tcBorders>
            <w:shd w:val="clear" w:color="auto" w:fill="auto"/>
            <w:noWrap/>
            <w:hideMark/>
          </w:tcPr>
          <w:p w14:paraId="00ED0610" w14:textId="016544F7" w:rsidR="004438EF" w:rsidRPr="008429ED" w:rsidRDefault="00A824EB" w:rsidP="004438EF">
            <w:pPr>
              <w:spacing w:after="0" w:line="240" w:lineRule="auto"/>
              <w:rPr>
                <w:rFonts w:ascii="Arial" w:eastAsia="Times New Roman" w:hAnsi="Arial" w:cs="Arial"/>
                <w:sz w:val="20"/>
                <w:szCs w:val="20"/>
                <w:lang w:eastAsia="en-ZA"/>
              </w:rPr>
            </w:pPr>
            <w:r>
              <w:rPr>
                <w:rFonts w:ascii="Arial" w:eastAsia="Times New Roman" w:hAnsi="Arial" w:cs="Arial"/>
                <w:sz w:val="20"/>
                <w:szCs w:val="20"/>
                <w:lang w:eastAsia="en-ZA"/>
              </w:rPr>
              <w:t>To be confirmed</w:t>
            </w:r>
          </w:p>
        </w:tc>
      </w:tr>
      <w:tr w:rsidR="004438EF" w:rsidRPr="008429ED" w14:paraId="68C23778" w14:textId="77777777" w:rsidTr="004438EF">
        <w:trPr>
          <w:trHeight w:val="566"/>
        </w:trPr>
        <w:tc>
          <w:tcPr>
            <w:tcW w:w="1418" w:type="dxa"/>
            <w:tcBorders>
              <w:top w:val="nil"/>
              <w:left w:val="single" w:sz="4" w:space="0" w:color="auto"/>
              <w:bottom w:val="single" w:sz="4" w:space="0" w:color="auto"/>
              <w:right w:val="single" w:sz="4" w:space="0" w:color="auto"/>
            </w:tcBorders>
            <w:shd w:val="clear" w:color="auto" w:fill="auto"/>
            <w:noWrap/>
            <w:hideMark/>
          </w:tcPr>
          <w:p w14:paraId="5E9B1603" w14:textId="77777777" w:rsidR="004438EF" w:rsidRPr="008429ED" w:rsidRDefault="004438EF" w:rsidP="00A16047">
            <w:pPr>
              <w:spacing w:after="0" w:line="240" w:lineRule="auto"/>
              <w:rPr>
                <w:rFonts w:ascii="Arial" w:eastAsia="Times New Roman" w:hAnsi="Arial" w:cs="Times New Roman"/>
                <w:szCs w:val="24"/>
              </w:rPr>
            </w:pPr>
            <w:r w:rsidRPr="008429ED">
              <w:rPr>
                <w:rFonts w:ascii="Arial" w:eastAsia="Times New Roman" w:hAnsi="Arial" w:cs="Arial"/>
                <w:sz w:val="20"/>
                <w:szCs w:val="20"/>
                <w:lang w:eastAsia="en-ZA"/>
              </w:rPr>
              <w:t>Being Registered</w:t>
            </w:r>
          </w:p>
        </w:tc>
        <w:tc>
          <w:tcPr>
            <w:tcW w:w="1559" w:type="dxa"/>
            <w:tcBorders>
              <w:top w:val="nil"/>
              <w:left w:val="nil"/>
              <w:bottom w:val="single" w:sz="4" w:space="0" w:color="auto"/>
              <w:right w:val="single" w:sz="4" w:space="0" w:color="auto"/>
            </w:tcBorders>
            <w:shd w:val="clear" w:color="auto" w:fill="auto"/>
            <w:noWrap/>
            <w:hideMark/>
          </w:tcPr>
          <w:p w14:paraId="7EA8578D"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09/04/2017</w:t>
            </w:r>
          </w:p>
        </w:tc>
        <w:tc>
          <w:tcPr>
            <w:tcW w:w="2552" w:type="dxa"/>
            <w:tcBorders>
              <w:top w:val="nil"/>
              <w:left w:val="nil"/>
              <w:bottom w:val="single" w:sz="4" w:space="0" w:color="auto"/>
              <w:right w:val="single" w:sz="4" w:space="0" w:color="auto"/>
            </w:tcBorders>
            <w:shd w:val="clear" w:color="auto" w:fill="auto"/>
            <w:noWrap/>
            <w:hideMark/>
          </w:tcPr>
          <w:p w14:paraId="1B33B84E" w14:textId="77777777" w:rsidR="004438EF" w:rsidRPr="008429ED" w:rsidRDefault="004438EF" w:rsidP="004438EF">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R 3 467 750.04</w:t>
            </w:r>
          </w:p>
        </w:tc>
        <w:tc>
          <w:tcPr>
            <w:tcW w:w="3260" w:type="dxa"/>
            <w:tcBorders>
              <w:top w:val="nil"/>
              <w:left w:val="nil"/>
              <w:bottom w:val="single" w:sz="4" w:space="0" w:color="auto"/>
              <w:right w:val="single" w:sz="4" w:space="0" w:color="auto"/>
            </w:tcBorders>
            <w:shd w:val="clear" w:color="auto" w:fill="auto"/>
            <w:noWrap/>
            <w:hideMark/>
          </w:tcPr>
          <w:p w14:paraId="2A325A62" w14:textId="4D748A2E" w:rsidR="004438EF" w:rsidRPr="008429ED" w:rsidRDefault="00A824EB" w:rsidP="004438EF">
            <w:pPr>
              <w:spacing w:after="0" w:line="240" w:lineRule="auto"/>
              <w:rPr>
                <w:rFonts w:ascii="Arial" w:eastAsia="Times New Roman" w:hAnsi="Arial" w:cs="Arial"/>
                <w:sz w:val="20"/>
                <w:szCs w:val="20"/>
                <w:lang w:eastAsia="en-ZA"/>
              </w:rPr>
            </w:pPr>
            <w:r>
              <w:rPr>
                <w:rFonts w:ascii="Arial" w:eastAsia="Times New Roman" w:hAnsi="Arial" w:cs="Arial"/>
                <w:sz w:val="20"/>
                <w:szCs w:val="20"/>
                <w:lang w:eastAsia="en-ZA"/>
              </w:rPr>
              <w:t>To be confirmed</w:t>
            </w:r>
          </w:p>
        </w:tc>
      </w:tr>
      <w:tr w:rsidR="004438EF" w:rsidRPr="008429ED" w14:paraId="17761E94" w14:textId="77777777" w:rsidTr="004438EF">
        <w:trPr>
          <w:trHeight w:val="620"/>
        </w:trPr>
        <w:tc>
          <w:tcPr>
            <w:tcW w:w="1418" w:type="dxa"/>
            <w:tcBorders>
              <w:top w:val="nil"/>
              <w:left w:val="single" w:sz="4" w:space="0" w:color="auto"/>
              <w:bottom w:val="single" w:sz="4" w:space="0" w:color="auto"/>
              <w:right w:val="single" w:sz="4" w:space="0" w:color="auto"/>
            </w:tcBorders>
            <w:shd w:val="clear" w:color="auto" w:fill="auto"/>
            <w:noWrap/>
            <w:hideMark/>
          </w:tcPr>
          <w:p w14:paraId="7DD6D693" w14:textId="77777777" w:rsidR="004438EF" w:rsidRPr="008429ED" w:rsidRDefault="004438EF" w:rsidP="00A16047">
            <w:pPr>
              <w:spacing w:after="0" w:line="240" w:lineRule="auto"/>
              <w:rPr>
                <w:rFonts w:ascii="Arial" w:eastAsia="Times New Roman" w:hAnsi="Arial" w:cs="Times New Roman"/>
                <w:szCs w:val="24"/>
              </w:rPr>
            </w:pPr>
            <w:r w:rsidRPr="008429ED">
              <w:rPr>
                <w:rFonts w:ascii="Arial" w:eastAsia="Times New Roman" w:hAnsi="Arial" w:cs="Arial"/>
                <w:sz w:val="20"/>
                <w:szCs w:val="20"/>
                <w:lang w:eastAsia="en-ZA"/>
              </w:rPr>
              <w:t>Being Registered</w:t>
            </w:r>
          </w:p>
        </w:tc>
        <w:tc>
          <w:tcPr>
            <w:tcW w:w="1559" w:type="dxa"/>
            <w:tcBorders>
              <w:top w:val="nil"/>
              <w:left w:val="nil"/>
              <w:bottom w:val="single" w:sz="4" w:space="0" w:color="auto"/>
              <w:right w:val="single" w:sz="4" w:space="0" w:color="auto"/>
            </w:tcBorders>
            <w:shd w:val="clear" w:color="auto" w:fill="auto"/>
            <w:noWrap/>
            <w:hideMark/>
          </w:tcPr>
          <w:p w14:paraId="35F2B964"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19/01/2018</w:t>
            </w:r>
          </w:p>
        </w:tc>
        <w:tc>
          <w:tcPr>
            <w:tcW w:w="2552" w:type="dxa"/>
            <w:tcBorders>
              <w:top w:val="nil"/>
              <w:left w:val="nil"/>
              <w:bottom w:val="single" w:sz="4" w:space="0" w:color="auto"/>
              <w:right w:val="single" w:sz="4" w:space="0" w:color="auto"/>
            </w:tcBorders>
            <w:shd w:val="clear" w:color="auto" w:fill="auto"/>
            <w:noWrap/>
            <w:hideMark/>
          </w:tcPr>
          <w:p w14:paraId="3BBF1210" w14:textId="77777777" w:rsidR="004438EF" w:rsidRPr="008429ED" w:rsidRDefault="004438EF" w:rsidP="004438EF">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R 730 449.28</w:t>
            </w:r>
          </w:p>
        </w:tc>
        <w:tc>
          <w:tcPr>
            <w:tcW w:w="3260" w:type="dxa"/>
            <w:tcBorders>
              <w:top w:val="nil"/>
              <w:left w:val="nil"/>
              <w:bottom w:val="single" w:sz="4" w:space="0" w:color="auto"/>
              <w:right w:val="single" w:sz="4" w:space="0" w:color="auto"/>
            </w:tcBorders>
            <w:shd w:val="clear" w:color="auto" w:fill="auto"/>
            <w:noWrap/>
            <w:hideMark/>
          </w:tcPr>
          <w:p w14:paraId="2C24B666" w14:textId="32558045" w:rsidR="004438EF" w:rsidRPr="008429ED" w:rsidRDefault="00A824EB" w:rsidP="004438EF">
            <w:pPr>
              <w:spacing w:after="0" w:line="240" w:lineRule="auto"/>
              <w:rPr>
                <w:rFonts w:ascii="Arial" w:eastAsia="Times New Roman" w:hAnsi="Arial" w:cs="Arial"/>
                <w:sz w:val="20"/>
                <w:szCs w:val="20"/>
                <w:lang w:eastAsia="en-ZA"/>
              </w:rPr>
            </w:pPr>
            <w:r>
              <w:rPr>
                <w:rFonts w:ascii="Arial" w:eastAsia="Times New Roman" w:hAnsi="Arial" w:cs="Arial"/>
                <w:sz w:val="20"/>
                <w:szCs w:val="20"/>
                <w:lang w:eastAsia="en-ZA"/>
              </w:rPr>
              <w:t>To be confirmed</w:t>
            </w:r>
          </w:p>
        </w:tc>
      </w:tr>
      <w:tr w:rsidR="004438EF" w:rsidRPr="008429ED" w14:paraId="273081DD" w14:textId="77777777" w:rsidTr="004438EF">
        <w:trPr>
          <w:trHeight w:val="521"/>
        </w:trPr>
        <w:tc>
          <w:tcPr>
            <w:tcW w:w="1418" w:type="dxa"/>
            <w:tcBorders>
              <w:top w:val="nil"/>
              <w:left w:val="single" w:sz="4" w:space="0" w:color="auto"/>
              <w:bottom w:val="single" w:sz="4" w:space="0" w:color="auto"/>
              <w:right w:val="single" w:sz="4" w:space="0" w:color="auto"/>
            </w:tcBorders>
            <w:shd w:val="clear" w:color="auto" w:fill="auto"/>
            <w:noWrap/>
            <w:hideMark/>
          </w:tcPr>
          <w:p w14:paraId="297FDE19" w14:textId="77777777" w:rsidR="004438EF" w:rsidRPr="008429ED" w:rsidRDefault="004438EF" w:rsidP="00A16047">
            <w:pPr>
              <w:spacing w:after="0" w:line="240" w:lineRule="auto"/>
              <w:rPr>
                <w:rFonts w:ascii="Arial" w:eastAsia="Times New Roman" w:hAnsi="Arial" w:cs="Times New Roman"/>
                <w:szCs w:val="24"/>
              </w:rPr>
            </w:pPr>
            <w:r w:rsidRPr="008429ED">
              <w:rPr>
                <w:rFonts w:ascii="Arial" w:eastAsia="Times New Roman" w:hAnsi="Arial" w:cs="Arial"/>
                <w:sz w:val="20"/>
                <w:szCs w:val="20"/>
                <w:lang w:eastAsia="en-ZA"/>
              </w:rPr>
              <w:t>Being Registered</w:t>
            </w:r>
          </w:p>
        </w:tc>
        <w:tc>
          <w:tcPr>
            <w:tcW w:w="1559" w:type="dxa"/>
            <w:tcBorders>
              <w:top w:val="nil"/>
              <w:left w:val="nil"/>
              <w:bottom w:val="single" w:sz="4" w:space="0" w:color="auto"/>
              <w:right w:val="single" w:sz="4" w:space="0" w:color="auto"/>
            </w:tcBorders>
            <w:shd w:val="clear" w:color="auto" w:fill="auto"/>
            <w:noWrap/>
            <w:hideMark/>
          </w:tcPr>
          <w:p w14:paraId="29781FC1"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2018-12290</w:t>
            </w:r>
          </w:p>
        </w:tc>
        <w:tc>
          <w:tcPr>
            <w:tcW w:w="2552" w:type="dxa"/>
            <w:tcBorders>
              <w:top w:val="nil"/>
              <w:left w:val="nil"/>
              <w:bottom w:val="single" w:sz="4" w:space="0" w:color="auto"/>
              <w:right w:val="single" w:sz="4" w:space="0" w:color="auto"/>
            </w:tcBorders>
            <w:shd w:val="clear" w:color="auto" w:fill="auto"/>
            <w:noWrap/>
            <w:hideMark/>
          </w:tcPr>
          <w:p w14:paraId="0066EB36" w14:textId="77777777" w:rsidR="004438EF" w:rsidRPr="008429ED" w:rsidRDefault="004438EF" w:rsidP="004438EF">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R 128 801.13</w:t>
            </w:r>
          </w:p>
        </w:tc>
        <w:tc>
          <w:tcPr>
            <w:tcW w:w="3260" w:type="dxa"/>
            <w:tcBorders>
              <w:top w:val="nil"/>
              <w:left w:val="nil"/>
              <w:bottom w:val="single" w:sz="4" w:space="0" w:color="auto"/>
              <w:right w:val="single" w:sz="4" w:space="0" w:color="auto"/>
            </w:tcBorders>
            <w:shd w:val="clear" w:color="auto" w:fill="auto"/>
            <w:noWrap/>
            <w:hideMark/>
          </w:tcPr>
          <w:p w14:paraId="075A1DA9" w14:textId="7807F077" w:rsidR="004438EF" w:rsidRPr="008429ED" w:rsidRDefault="00A824EB" w:rsidP="004438EF">
            <w:pPr>
              <w:spacing w:after="0" w:line="240" w:lineRule="auto"/>
              <w:rPr>
                <w:rFonts w:ascii="Arial" w:eastAsia="Times New Roman" w:hAnsi="Arial" w:cs="Arial"/>
                <w:sz w:val="20"/>
                <w:szCs w:val="20"/>
                <w:lang w:eastAsia="en-ZA"/>
              </w:rPr>
            </w:pPr>
            <w:r>
              <w:rPr>
                <w:rFonts w:ascii="Arial" w:eastAsia="Times New Roman" w:hAnsi="Arial" w:cs="Arial"/>
                <w:sz w:val="20"/>
                <w:szCs w:val="20"/>
                <w:lang w:eastAsia="en-ZA"/>
              </w:rPr>
              <w:t>To be confirmed</w:t>
            </w:r>
          </w:p>
        </w:tc>
      </w:tr>
      <w:tr w:rsidR="004438EF" w:rsidRPr="008429ED" w14:paraId="3D0F00F0" w14:textId="77777777" w:rsidTr="004438EF">
        <w:trPr>
          <w:trHeight w:val="624"/>
        </w:trPr>
        <w:tc>
          <w:tcPr>
            <w:tcW w:w="1418" w:type="dxa"/>
            <w:tcBorders>
              <w:top w:val="nil"/>
              <w:left w:val="single" w:sz="4" w:space="0" w:color="auto"/>
              <w:bottom w:val="single" w:sz="4" w:space="0" w:color="auto"/>
              <w:right w:val="single" w:sz="4" w:space="0" w:color="auto"/>
            </w:tcBorders>
            <w:shd w:val="clear" w:color="auto" w:fill="auto"/>
            <w:noWrap/>
            <w:hideMark/>
          </w:tcPr>
          <w:p w14:paraId="0AF2B63F" w14:textId="77777777" w:rsidR="004438EF" w:rsidRPr="008429ED" w:rsidRDefault="004438EF" w:rsidP="00A16047">
            <w:pPr>
              <w:spacing w:after="0" w:line="240" w:lineRule="auto"/>
              <w:rPr>
                <w:rFonts w:ascii="Arial" w:eastAsia="Times New Roman" w:hAnsi="Arial" w:cs="Times New Roman"/>
                <w:szCs w:val="24"/>
              </w:rPr>
            </w:pPr>
            <w:r w:rsidRPr="008429ED">
              <w:rPr>
                <w:rFonts w:ascii="Arial" w:eastAsia="Times New Roman" w:hAnsi="Arial" w:cs="Arial"/>
                <w:sz w:val="20"/>
                <w:szCs w:val="20"/>
                <w:lang w:eastAsia="en-ZA"/>
              </w:rPr>
              <w:t>Being Registered</w:t>
            </w:r>
          </w:p>
        </w:tc>
        <w:tc>
          <w:tcPr>
            <w:tcW w:w="1559" w:type="dxa"/>
            <w:tcBorders>
              <w:top w:val="nil"/>
              <w:left w:val="nil"/>
              <w:bottom w:val="single" w:sz="4" w:space="0" w:color="auto"/>
              <w:right w:val="single" w:sz="4" w:space="0" w:color="auto"/>
            </w:tcBorders>
            <w:shd w:val="clear" w:color="auto" w:fill="auto"/>
            <w:noWrap/>
            <w:hideMark/>
          </w:tcPr>
          <w:p w14:paraId="1C46579B"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2018-12443</w:t>
            </w:r>
          </w:p>
        </w:tc>
        <w:tc>
          <w:tcPr>
            <w:tcW w:w="2552" w:type="dxa"/>
            <w:tcBorders>
              <w:top w:val="nil"/>
              <w:left w:val="nil"/>
              <w:bottom w:val="single" w:sz="4" w:space="0" w:color="auto"/>
              <w:right w:val="single" w:sz="4" w:space="0" w:color="auto"/>
            </w:tcBorders>
            <w:shd w:val="clear" w:color="auto" w:fill="auto"/>
            <w:noWrap/>
            <w:hideMark/>
          </w:tcPr>
          <w:p w14:paraId="519BA6CB" w14:textId="77777777" w:rsidR="004438EF" w:rsidRPr="008429ED" w:rsidRDefault="004438EF" w:rsidP="004438EF">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R 25 478 577.53</w:t>
            </w:r>
          </w:p>
        </w:tc>
        <w:tc>
          <w:tcPr>
            <w:tcW w:w="3260" w:type="dxa"/>
            <w:tcBorders>
              <w:top w:val="nil"/>
              <w:left w:val="nil"/>
              <w:bottom w:val="single" w:sz="4" w:space="0" w:color="auto"/>
              <w:right w:val="single" w:sz="4" w:space="0" w:color="auto"/>
            </w:tcBorders>
            <w:shd w:val="clear" w:color="auto" w:fill="auto"/>
            <w:noWrap/>
            <w:hideMark/>
          </w:tcPr>
          <w:p w14:paraId="5B5A94E5" w14:textId="77777777" w:rsidR="004438EF" w:rsidRPr="008429ED" w:rsidRDefault="004438EF" w:rsidP="004438EF">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Middelburg</w:t>
            </w:r>
          </w:p>
        </w:tc>
      </w:tr>
      <w:tr w:rsidR="004438EF" w:rsidRPr="008429ED" w14:paraId="72A1960C" w14:textId="77777777" w:rsidTr="004438EF">
        <w:trPr>
          <w:trHeight w:val="620"/>
        </w:trPr>
        <w:tc>
          <w:tcPr>
            <w:tcW w:w="1418" w:type="dxa"/>
            <w:tcBorders>
              <w:top w:val="nil"/>
              <w:left w:val="single" w:sz="4" w:space="0" w:color="auto"/>
              <w:bottom w:val="single" w:sz="4" w:space="0" w:color="auto"/>
              <w:right w:val="single" w:sz="4" w:space="0" w:color="auto"/>
            </w:tcBorders>
            <w:shd w:val="clear" w:color="auto" w:fill="auto"/>
            <w:noWrap/>
            <w:hideMark/>
          </w:tcPr>
          <w:p w14:paraId="03A3D8AC" w14:textId="77777777" w:rsidR="004438EF" w:rsidRPr="008429ED" w:rsidRDefault="004438EF" w:rsidP="00A16047">
            <w:pPr>
              <w:spacing w:after="0" w:line="240" w:lineRule="auto"/>
              <w:rPr>
                <w:rFonts w:ascii="Arial" w:eastAsia="Times New Roman" w:hAnsi="Arial" w:cs="Times New Roman"/>
                <w:szCs w:val="24"/>
              </w:rPr>
            </w:pPr>
            <w:r w:rsidRPr="008429ED">
              <w:rPr>
                <w:rFonts w:ascii="Arial" w:eastAsia="Times New Roman" w:hAnsi="Arial" w:cs="Arial"/>
                <w:sz w:val="20"/>
                <w:szCs w:val="20"/>
                <w:lang w:eastAsia="en-ZA"/>
              </w:rPr>
              <w:t>Being Registered</w:t>
            </w:r>
          </w:p>
        </w:tc>
        <w:tc>
          <w:tcPr>
            <w:tcW w:w="1559" w:type="dxa"/>
            <w:tcBorders>
              <w:top w:val="nil"/>
              <w:left w:val="nil"/>
              <w:bottom w:val="single" w:sz="4" w:space="0" w:color="auto"/>
              <w:right w:val="single" w:sz="4" w:space="0" w:color="auto"/>
            </w:tcBorders>
            <w:shd w:val="clear" w:color="auto" w:fill="auto"/>
            <w:noWrap/>
            <w:hideMark/>
          </w:tcPr>
          <w:p w14:paraId="3FBBFE06"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2019-12661</w:t>
            </w:r>
          </w:p>
        </w:tc>
        <w:tc>
          <w:tcPr>
            <w:tcW w:w="2552" w:type="dxa"/>
            <w:tcBorders>
              <w:top w:val="nil"/>
              <w:left w:val="nil"/>
              <w:bottom w:val="single" w:sz="4" w:space="0" w:color="auto"/>
              <w:right w:val="single" w:sz="4" w:space="0" w:color="auto"/>
            </w:tcBorders>
            <w:shd w:val="clear" w:color="auto" w:fill="auto"/>
            <w:noWrap/>
            <w:hideMark/>
          </w:tcPr>
          <w:p w14:paraId="2A0D0738" w14:textId="77777777" w:rsidR="004438EF" w:rsidRPr="008429ED" w:rsidRDefault="004438EF" w:rsidP="004438EF">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R 800 000.00</w:t>
            </w:r>
          </w:p>
        </w:tc>
        <w:tc>
          <w:tcPr>
            <w:tcW w:w="3260" w:type="dxa"/>
            <w:tcBorders>
              <w:top w:val="nil"/>
              <w:left w:val="nil"/>
              <w:bottom w:val="single" w:sz="4" w:space="0" w:color="auto"/>
              <w:right w:val="single" w:sz="4" w:space="0" w:color="auto"/>
            </w:tcBorders>
            <w:shd w:val="clear" w:color="auto" w:fill="auto"/>
            <w:noWrap/>
            <w:hideMark/>
          </w:tcPr>
          <w:p w14:paraId="50DABD6B" w14:textId="04EC4411" w:rsidR="004438EF" w:rsidRPr="008429ED" w:rsidRDefault="00A824EB" w:rsidP="004438EF">
            <w:pPr>
              <w:spacing w:after="0" w:line="240" w:lineRule="auto"/>
              <w:rPr>
                <w:rFonts w:ascii="Arial" w:eastAsia="Times New Roman" w:hAnsi="Arial" w:cs="Arial"/>
                <w:sz w:val="20"/>
                <w:szCs w:val="20"/>
                <w:lang w:eastAsia="en-ZA"/>
              </w:rPr>
            </w:pPr>
            <w:r>
              <w:rPr>
                <w:rFonts w:ascii="Arial" w:eastAsia="Times New Roman" w:hAnsi="Arial" w:cs="Arial"/>
                <w:sz w:val="20"/>
                <w:szCs w:val="20"/>
                <w:lang w:eastAsia="en-ZA"/>
              </w:rPr>
              <w:t>To be confirmed</w:t>
            </w:r>
          </w:p>
        </w:tc>
      </w:tr>
      <w:tr w:rsidR="004438EF" w:rsidRPr="008429ED" w14:paraId="52580596" w14:textId="77777777" w:rsidTr="004438EF">
        <w:trPr>
          <w:trHeight w:val="620"/>
        </w:trPr>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3C0644F1" w14:textId="77777777" w:rsidR="004438EF" w:rsidRPr="008429ED" w:rsidRDefault="004438EF" w:rsidP="00A16047">
            <w:pPr>
              <w:spacing w:after="0" w:line="240" w:lineRule="auto"/>
              <w:rPr>
                <w:rFonts w:ascii="Arial" w:eastAsia="Times New Roman" w:hAnsi="Arial" w:cs="Times New Roman"/>
                <w:szCs w:val="24"/>
              </w:rPr>
            </w:pPr>
            <w:r w:rsidRPr="008429ED">
              <w:rPr>
                <w:rFonts w:ascii="Arial" w:eastAsia="Times New Roman" w:hAnsi="Arial" w:cs="Arial"/>
                <w:sz w:val="20"/>
                <w:szCs w:val="20"/>
                <w:lang w:eastAsia="en-ZA"/>
              </w:rPr>
              <w:t>Being Registered</w:t>
            </w:r>
          </w:p>
        </w:tc>
        <w:tc>
          <w:tcPr>
            <w:tcW w:w="1559" w:type="dxa"/>
            <w:tcBorders>
              <w:top w:val="single" w:sz="4" w:space="0" w:color="auto"/>
              <w:left w:val="nil"/>
              <w:bottom w:val="single" w:sz="4" w:space="0" w:color="auto"/>
              <w:right w:val="single" w:sz="4" w:space="0" w:color="auto"/>
            </w:tcBorders>
            <w:shd w:val="clear" w:color="auto" w:fill="auto"/>
            <w:noWrap/>
            <w:hideMark/>
          </w:tcPr>
          <w:p w14:paraId="578FB1AF" w14:textId="77777777" w:rsidR="004438EF" w:rsidRPr="008429ED" w:rsidRDefault="004438EF" w:rsidP="00A16047">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2019-12891</w:t>
            </w:r>
          </w:p>
        </w:tc>
        <w:tc>
          <w:tcPr>
            <w:tcW w:w="2552" w:type="dxa"/>
            <w:tcBorders>
              <w:top w:val="single" w:sz="4" w:space="0" w:color="auto"/>
              <w:left w:val="nil"/>
              <w:bottom w:val="single" w:sz="4" w:space="0" w:color="auto"/>
              <w:right w:val="single" w:sz="4" w:space="0" w:color="auto"/>
            </w:tcBorders>
            <w:shd w:val="clear" w:color="auto" w:fill="auto"/>
            <w:noWrap/>
            <w:hideMark/>
          </w:tcPr>
          <w:p w14:paraId="3EA06223" w14:textId="77777777" w:rsidR="004438EF" w:rsidRPr="008429ED" w:rsidRDefault="004438EF" w:rsidP="004438EF">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R 2 861 093.57</w:t>
            </w:r>
          </w:p>
        </w:tc>
        <w:tc>
          <w:tcPr>
            <w:tcW w:w="3260" w:type="dxa"/>
            <w:tcBorders>
              <w:top w:val="single" w:sz="4" w:space="0" w:color="auto"/>
              <w:left w:val="nil"/>
              <w:bottom w:val="single" w:sz="4" w:space="0" w:color="auto"/>
              <w:right w:val="single" w:sz="4" w:space="0" w:color="auto"/>
            </w:tcBorders>
            <w:shd w:val="clear" w:color="auto" w:fill="auto"/>
            <w:noWrap/>
            <w:hideMark/>
          </w:tcPr>
          <w:p w14:paraId="29E1B135" w14:textId="77777777" w:rsidR="004438EF" w:rsidRPr="008429ED" w:rsidRDefault="004438EF" w:rsidP="004438EF">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With Hawks</w:t>
            </w:r>
          </w:p>
        </w:tc>
      </w:tr>
      <w:tr w:rsidR="004438EF" w:rsidRPr="008429ED" w14:paraId="68415555" w14:textId="77777777" w:rsidTr="004438EF">
        <w:trPr>
          <w:trHeight w:val="90"/>
        </w:trPr>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5DB2256" w14:textId="77777777" w:rsidR="004438EF" w:rsidRPr="008429ED" w:rsidRDefault="004438EF" w:rsidP="00A16047">
            <w:pPr>
              <w:spacing w:after="0" w:line="240" w:lineRule="auto"/>
              <w:rPr>
                <w:rFonts w:ascii="Arial" w:eastAsia="Times New Roman" w:hAnsi="Arial" w:cs="Times New Roman"/>
                <w:szCs w:val="24"/>
              </w:rPr>
            </w:pPr>
            <w:r w:rsidRPr="008429ED">
              <w:rPr>
                <w:rFonts w:ascii="Arial" w:eastAsia="Times New Roman" w:hAnsi="Arial" w:cs="Arial"/>
                <w:sz w:val="20"/>
                <w:szCs w:val="20"/>
                <w:lang w:eastAsia="en-ZA"/>
              </w:rPr>
              <w:t>Being Registered</w:t>
            </w:r>
          </w:p>
        </w:tc>
        <w:tc>
          <w:tcPr>
            <w:tcW w:w="1559" w:type="dxa"/>
            <w:tcBorders>
              <w:top w:val="single" w:sz="4" w:space="0" w:color="auto"/>
              <w:left w:val="nil"/>
              <w:bottom w:val="single" w:sz="4" w:space="0" w:color="auto"/>
              <w:right w:val="single" w:sz="4" w:space="0" w:color="auto"/>
            </w:tcBorders>
            <w:shd w:val="clear" w:color="auto" w:fill="auto"/>
            <w:noWrap/>
          </w:tcPr>
          <w:p w14:paraId="12C104BA"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08/11/2016</w:t>
            </w:r>
          </w:p>
        </w:tc>
        <w:tc>
          <w:tcPr>
            <w:tcW w:w="2552" w:type="dxa"/>
            <w:tcBorders>
              <w:top w:val="single" w:sz="4" w:space="0" w:color="auto"/>
              <w:left w:val="nil"/>
              <w:bottom w:val="single" w:sz="4" w:space="0" w:color="auto"/>
              <w:right w:val="single" w:sz="4" w:space="0" w:color="auto"/>
            </w:tcBorders>
            <w:shd w:val="clear" w:color="auto" w:fill="auto"/>
            <w:noWrap/>
          </w:tcPr>
          <w:p w14:paraId="11DF11FD" w14:textId="77777777" w:rsidR="004438EF" w:rsidRPr="008429ED" w:rsidRDefault="004438EF" w:rsidP="004438EF">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Could not be determined</w:t>
            </w:r>
          </w:p>
        </w:tc>
        <w:tc>
          <w:tcPr>
            <w:tcW w:w="3260" w:type="dxa"/>
            <w:tcBorders>
              <w:top w:val="single" w:sz="4" w:space="0" w:color="auto"/>
              <w:left w:val="nil"/>
              <w:bottom w:val="single" w:sz="4" w:space="0" w:color="auto"/>
              <w:right w:val="single" w:sz="4" w:space="0" w:color="auto"/>
            </w:tcBorders>
            <w:shd w:val="clear" w:color="auto" w:fill="auto"/>
            <w:noWrap/>
          </w:tcPr>
          <w:p w14:paraId="35C1D627" w14:textId="1E06FEBC" w:rsidR="004438EF" w:rsidRPr="008429ED" w:rsidRDefault="00A824EB" w:rsidP="004438EF">
            <w:pPr>
              <w:spacing w:after="0" w:line="240" w:lineRule="auto"/>
              <w:rPr>
                <w:rFonts w:ascii="Arial" w:eastAsia="Times New Roman" w:hAnsi="Arial" w:cs="Times New Roman"/>
                <w:szCs w:val="24"/>
              </w:rPr>
            </w:pPr>
            <w:r>
              <w:rPr>
                <w:rFonts w:ascii="Arial" w:eastAsia="Times New Roman" w:hAnsi="Arial" w:cs="Arial"/>
                <w:sz w:val="20"/>
                <w:szCs w:val="20"/>
                <w:lang w:eastAsia="en-ZA"/>
              </w:rPr>
              <w:t>To be confirmed</w:t>
            </w:r>
          </w:p>
        </w:tc>
      </w:tr>
      <w:tr w:rsidR="004438EF" w:rsidRPr="008429ED" w14:paraId="65591429" w14:textId="77777777" w:rsidTr="004438EF">
        <w:trPr>
          <w:trHeight w:val="90"/>
        </w:trPr>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D737C71" w14:textId="77777777" w:rsidR="004438EF" w:rsidRPr="008429ED" w:rsidRDefault="004438EF" w:rsidP="00A16047">
            <w:pPr>
              <w:spacing w:after="0" w:line="240" w:lineRule="auto"/>
              <w:rPr>
                <w:rFonts w:ascii="Arial" w:eastAsia="Times New Roman" w:hAnsi="Arial" w:cs="Times New Roman"/>
                <w:szCs w:val="24"/>
              </w:rPr>
            </w:pPr>
            <w:r w:rsidRPr="008429ED">
              <w:rPr>
                <w:rFonts w:ascii="Arial" w:eastAsia="Times New Roman" w:hAnsi="Arial" w:cs="Arial"/>
                <w:sz w:val="20"/>
                <w:szCs w:val="20"/>
                <w:lang w:eastAsia="en-ZA"/>
              </w:rPr>
              <w:t>Being Registered</w:t>
            </w:r>
          </w:p>
        </w:tc>
        <w:tc>
          <w:tcPr>
            <w:tcW w:w="1559" w:type="dxa"/>
            <w:tcBorders>
              <w:top w:val="single" w:sz="4" w:space="0" w:color="auto"/>
              <w:left w:val="nil"/>
              <w:bottom w:val="single" w:sz="4" w:space="0" w:color="auto"/>
              <w:right w:val="single" w:sz="4" w:space="0" w:color="auto"/>
            </w:tcBorders>
            <w:shd w:val="clear" w:color="auto" w:fill="auto"/>
            <w:noWrap/>
          </w:tcPr>
          <w:p w14:paraId="4279B75E"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20/02/2016</w:t>
            </w:r>
          </w:p>
        </w:tc>
        <w:tc>
          <w:tcPr>
            <w:tcW w:w="2552" w:type="dxa"/>
            <w:tcBorders>
              <w:top w:val="single" w:sz="4" w:space="0" w:color="auto"/>
              <w:left w:val="nil"/>
              <w:bottom w:val="single" w:sz="4" w:space="0" w:color="auto"/>
              <w:right w:val="single" w:sz="4" w:space="0" w:color="auto"/>
            </w:tcBorders>
            <w:shd w:val="clear" w:color="auto" w:fill="auto"/>
            <w:noWrap/>
          </w:tcPr>
          <w:p w14:paraId="527C7374" w14:textId="77777777" w:rsidR="004438EF" w:rsidRPr="008429ED" w:rsidRDefault="004438EF" w:rsidP="004438EF">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No amount involved: Theft of Eskom equipment</w:t>
            </w:r>
          </w:p>
        </w:tc>
        <w:tc>
          <w:tcPr>
            <w:tcW w:w="3260" w:type="dxa"/>
            <w:tcBorders>
              <w:top w:val="single" w:sz="4" w:space="0" w:color="auto"/>
              <w:left w:val="nil"/>
              <w:bottom w:val="single" w:sz="4" w:space="0" w:color="auto"/>
              <w:right w:val="single" w:sz="4" w:space="0" w:color="auto"/>
            </w:tcBorders>
            <w:shd w:val="clear" w:color="auto" w:fill="auto"/>
            <w:noWrap/>
          </w:tcPr>
          <w:p w14:paraId="0B660EF9" w14:textId="74C9E4FB" w:rsidR="004438EF" w:rsidRPr="008429ED" w:rsidRDefault="00A824EB" w:rsidP="004438EF">
            <w:pPr>
              <w:spacing w:after="0" w:line="240" w:lineRule="auto"/>
              <w:rPr>
                <w:rFonts w:ascii="Arial" w:eastAsia="Times New Roman" w:hAnsi="Arial" w:cs="Times New Roman"/>
                <w:szCs w:val="24"/>
              </w:rPr>
            </w:pPr>
            <w:r>
              <w:rPr>
                <w:rFonts w:ascii="Arial" w:eastAsia="Times New Roman" w:hAnsi="Arial" w:cs="Arial"/>
                <w:sz w:val="20"/>
                <w:szCs w:val="20"/>
                <w:lang w:eastAsia="en-ZA"/>
              </w:rPr>
              <w:t>To be confirmed</w:t>
            </w:r>
          </w:p>
        </w:tc>
      </w:tr>
      <w:tr w:rsidR="004438EF" w:rsidRPr="008429ED" w14:paraId="28945B79" w14:textId="77777777" w:rsidTr="004438EF">
        <w:trPr>
          <w:trHeight w:val="620"/>
        </w:trPr>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5676175" w14:textId="77777777" w:rsidR="004438EF" w:rsidRPr="008429ED" w:rsidRDefault="004438EF" w:rsidP="00A16047">
            <w:pPr>
              <w:spacing w:after="0" w:line="240" w:lineRule="auto"/>
              <w:rPr>
                <w:rFonts w:ascii="Arial" w:eastAsia="Times New Roman" w:hAnsi="Arial" w:cs="Times New Roman"/>
                <w:szCs w:val="24"/>
              </w:rPr>
            </w:pPr>
            <w:r w:rsidRPr="008429ED">
              <w:rPr>
                <w:rFonts w:ascii="Arial" w:eastAsia="Times New Roman" w:hAnsi="Arial" w:cs="Arial"/>
                <w:sz w:val="20"/>
                <w:szCs w:val="20"/>
                <w:lang w:eastAsia="en-ZA"/>
              </w:rPr>
              <w:t>Being Registered</w:t>
            </w:r>
          </w:p>
        </w:tc>
        <w:tc>
          <w:tcPr>
            <w:tcW w:w="1559" w:type="dxa"/>
            <w:tcBorders>
              <w:top w:val="single" w:sz="4" w:space="0" w:color="auto"/>
              <w:left w:val="nil"/>
              <w:bottom w:val="single" w:sz="4" w:space="0" w:color="auto"/>
              <w:right w:val="single" w:sz="4" w:space="0" w:color="auto"/>
            </w:tcBorders>
            <w:shd w:val="clear" w:color="auto" w:fill="auto"/>
            <w:noWrap/>
          </w:tcPr>
          <w:p w14:paraId="0A1282F3"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49/05/2016</w:t>
            </w:r>
          </w:p>
        </w:tc>
        <w:tc>
          <w:tcPr>
            <w:tcW w:w="2552" w:type="dxa"/>
            <w:tcBorders>
              <w:top w:val="single" w:sz="4" w:space="0" w:color="auto"/>
              <w:left w:val="nil"/>
              <w:bottom w:val="single" w:sz="4" w:space="0" w:color="auto"/>
              <w:right w:val="single" w:sz="4" w:space="0" w:color="auto"/>
            </w:tcBorders>
            <w:shd w:val="clear" w:color="auto" w:fill="auto"/>
            <w:noWrap/>
          </w:tcPr>
          <w:p w14:paraId="033655A9" w14:textId="77777777" w:rsidR="004438EF" w:rsidRPr="008429ED" w:rsidRDefault="004438EF" w:rsidP="004438EF">
            <w:pPr>
              <w:spacing w:after="0" w:line="240" w:lineRule="auto"/>
              <w:rPr>
                <w:rFonts w:ascii="Arial" w:eastAsia="Times New Roman" w:hAnsi="Arial" w:cs="Arial"/>
                <w:bCs/>
                <w:color w:val="000000"/>
                <w:sz w:val="20"/>
                <w:szCs w:val="20"/>
              </w:rPr>
            </w:pPr>
            <w:r w:rsidRPr="008429ED">
              <w:rPr>
                <w:rFonts w:ascii="Arial" w:eastAsia="Times New Roman" w:hAnsi="Arial" w:cs="Arial"/>
                <w:bCs/>
                <w:color w:val="000000"/>
                <w:sz w:val="20"/>
                <w:szCs w:val="20"/>
              </w:rPr>
              <w:t>R 68 446 876.80</w:t>
            </w:r>
          </w:p>
        </w:tc>
        <w:tc>
          <w:tcPr>
            <w:tcW w:w="3260" w:type="dxa"/>
            <w:tcBorders>
              <w:top w:val="single" w:sz="4" w:space="0" w:color="auto"/>
              <w:left w:val="nil"/>
              <w:bottom w:val="single" w:sz="4" w:space="0" w:color="auto"/>
              <w:right w:val="single" w:sz="4" w:space="0" w:color="auto"/>
            </w:tcBorders>
            <w:shd w:val="clear" w:color="auto" w:fill="auto"/>
            <w:noWrap/>
          </w:tcPr>
          <w:p w14:paraId="5680DC68" w14:textId="6F4620C7" w:rsidR="004438EF" w:rsidRPr="008429ED" w:rsidRDefault="00A824EB" w:rsidP="004438EF">
            <w:pPr>
              <w:spacing w:after="0" w:line="240" w:lineRule="auto"/>
              <w:rPr>
                <w:rFonts w:ascii="Arial" w:eastAsia="Times New Roman" w:hAnsi="Arial" w:cs="Times New Roman"/>
                <w:szCs w:val="24"/>
              </w:rPr>
            </w:pPr>
            <w:r>
              <w:rPr>
                <w:rFonts w:ascii="Arial" w:eastAsia="Times New Roman" w:hAnsi="Arial" w:cs="Arial"/>
                <w:sz w:val="20"/>
                <w:szCs w:val="20"/>
                <w:lang w:eastAsia="en-ZA"/>
              </w:rPr>
              <w:t>To be confirmed</w:t>
            </w:r>
          </w:p>
        </w:tc>
      </w:tr>
      <w:tr w:rsidR="004438EF" w:rsidRPr="008429ED" w14:paraId="69254BAC" w14:textId="77777777" w:rsidTr="004438EF">
        <w:trPr>
          <w:trHeight w:val="620"/>
        </w:trPr>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5E860BB2" w14:textId="77777777" w:rsidR="004438EF" w:rsidRPr="008429ED" w:rsidRDefault="004438EF" w:rsidP="00A16047">
            <w:pPr>
              <w:spacing w:after="0" w:line="240" w:lineRule="auto"/>
              <w:rPr>
                <w:rFonts w:ascii="Arial" w:eastAsia="Times New Roman" w:hAnsi="Arial" w:cs="Times New Roman"/>
                <w:szCs w:val="24"/>
              </w:rPr>
            </w:pPr>
            <w:r w:rsidRPr="008429ED">
              <w:rPr>
                <w:rFonts w:ascii="Arial" w:eastAsia="Times New Roman" w:hAnsi="Arial" w:cs="Arial"/>
                <w:sz w:val="20"/>
                <w:szCs w:val="20"/>
                <w:lang w:eastAsia="en-ZA"/>
              </w:rPr>
              <w:t>Being Registered</w:t>
            </w:r>
          </w:p>
        </w:tc>
        <w:tc>
          <w:tcPr>
            <w:tcW w:w="1559" w:type="dxa"/>
            <w:tcBorders>
              <w:top w:val="single" w:sz="4" w:space="0" w:color="auto"/>
              <w:left w:val="nil"/>
              <w:bottom w:val="single" w:sz="4" w:space="0" w:color="auto"/>
              <w:right w:val="single" w:sz="4" w:space="0" w:color="auto"/>
            </w:tcBorders>
            <w:shd w:val="clear" w:color="auto" w:fill="auto"/>
            <w:noWrap/>
          </w:tcPr>
          <w:p w14:paraId="577B843A"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22/08/2016</w:t>
            </w:r>
          </w:p>
        </w:tc>
        <w:tc>
          <w:tcPr>
            <w:tcW w:w="2552" w:type="dxa"/>
            <w:tcBorders>
              <w:top w:val="single" w:sz="4" w:space="0" w:color="auto"/>
              <w:left w:val="nil"/>
              <w:bottom w:val="single" w:sz="4" w:space="0" w:color="auto"/>
              <w:right w:val="single" w:sz="4" w:space="0" w:color="auto"/>
            </w:tcBorders>
            <w:shd w:val="clear" w:color="auto" w:fill="auto"/>
            <w:noWrap/>
          </w:tcPr>
          <w:p w14:paraId="388C99BC" w14:textId="77777777" w:rsidR="004438EF" w:rsidRPr="008429ED" w:rsidRDefault="004438EF" w:rsidP="004438EF">
            <w:pPr>
              <w:spacing w:after="0" w:line="240" w:lineRule="auto"/>
              <w:rPr>
                <w:rFonts w:ascii="Arial" w:eastAsia="Times New Roman" w:hAnsi="Arial" w:cs="Arial"/>
                <w:bCs/>
                <w:color w:val="000000"/>
                <w:sz w:val="20"/>
                <w:szCs w:val="20"/>
              </w:rPr>
            </w:pPr>
            <w:r w:rsidRPr="008429ED">
              <w:rPr>
                <w:rFonts w:ascii="Arial" w:eastAsia="Times New Roman" w:hAnsi="Arial" w:cs="Arial"/>
                <w:bCs/>
                <w:color w:val="000000"/>
                <w:sz w:val="20"/>
                <w:szCs w:val="20"/>
              </w:rPr>
              <w:t>Not quantified</w:t>
            </w:r>
          </w:p>
        </w:tc>
        <w:tc>
          <w:tcPr>
            <w:tcW w:w="3260" w:type="dxa"/>
            <w:tcBorders>
              <w:top w:val="single" w:sz="4" w:space="0" w:color="auto"/>
              <w:left w:val="nil"/>
              <w:bottom w:val="single" w:sz="4" w:space="0" w:color="auto"/>
              <w:right w:val="single" w:sz="4" w:space="0" w:color="auto"/>
            </w:tcBorders>
            <w:shd w:val="clear" w:color="auto" w:fill="auto"/>
            <w:noWrap/>
          </w:tcPr>
          <w:p w14:paraId="04F29406" w14:textId="5DEC6BAF" w:rsidR="004438EF" w:rsidRPr="008429ED" w:rsidRDefault="00A824EB" w:rsidP="004438EF">
            <w:pPr>
              <w:spacing w:after="0" w:line="240" w:lineRule="auto"/>
              <w:rPr>
                <w:rFonts w:ascii="Arial" w:eastAsia="Times New Roman" w:hAnsi="Arial" w:cs="Times New Roman"/>
                <w:szCs w:val="24"/>
              </w:rPr>
            </w:pPr>
            <w:r>
              <w:rPr>
                <w:rFonts w:ascii="Arial" w:eastAsia="Times New Roman" w:hAnsi="Arial" w:cs="Arial"/>
                <w:sz w:val="20"/>
                <w:szCs w:val="20"/>
                <w:lang w:eastAsia="en-ZA"/>
              </w:rPr>
              <w:t>To be confirmed</w:t>
            </w:r>
          </w:p>
        </w:tc>
      </w:tr>
      <w:tr w:rsidR="004438EF" w:rsidRPr="008429ED" w14:paraId="160C4FFE" w14:textId="77777777" w:rsidTr="004438EF">
        <w:trPr>
          <w:trHeight w:val="629"/>
        </w:trPr>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56D4E6BD" w14:textId="77777777" w:rsidR="004438EF" w:rsidRPr="008429ED" w:rsidRDefault="004438EF" w:rsidP="00A16047">
            <w:pPr>
              <w:spacing w:after="0" w:line="240" w:lineRule="auto"/>
              <w:rPr>
                <w:rFonts w:ascii="Arial" w:eastAsia="Times New Roman" w:hAnsi="Arial" w:cs="Times New Roman"/>
                <w:szCs w:val="24"/>
              </w:rPr>
            </w:pPr>
            <w:r w:rsidRPr="008429ED">
              <w:rPr>
                <w:rFonts w:ascii="Arial" w:eastAsia="Times New Roman" w:hAnsi="Arial" w:cs="Arial"/>
                <w:sz w:val="20"/>
                <w:szCs w:val="20"/>
                <w:lang w:eastAsia="en-ZA"/>
              </w:rPr>
              <w:t>Being Registered</w:t>
            </w:r>
          </w:p>
        </w:tc>
        <w:tc>
          <w:tcPr>
            <w:tcW w:w="1559" w:type="dxa"/>
            <w:tcBorders>
              <w:top w:val="single" w:sz="4" w:space="0" w:color="auto"/>
              <w:left w:val="nil"/>
              <w:bottom w:val="single" w:sz="4" w:space="0" w:color="auto"/>
              <w:right w:val="single" w:sz="4" w:space="0" w:color="auto"/>
            </w:tcBorders>
            <w:shd w:val="clear" w:color="auto" w:fill="auto"/>
            <w:noWrap/>
          </w:tcPr>
          <w:p w14:paraId="40A4D805"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09/10/2016</w:t>
            </w:r>
          </w:p>
        </w:tc>
        <w:tc>
          <w:tcPr>
            <w:tcW w:w="2552" w:type="dxa"/>
            <w:tcBorders>
              <w:top w:val="single" w:sz="4" w:space="0" w:color="auto"/>
              <w:left w:val="nil"/>
              <w:bottom w:val="single" w:sz="4" w:space="0" w:color="auto"/>
              <w:right w:val="single" w:sz="4" w:space="0" w:color="auto"/>
            </w:tcBorders>
            <w:shd w:val="clear" w:color="auto" w:fill="auto"/>
            <w:noWrap/>
          </w:tcPr>
          <w:p w14:paraId="0F001F39" w14:textId="77777777" w:rsidR="004438EF" w:rsidRPr="008429ED" w:rsidRDefault="004438EF" w:rsidP="004438EF">
            <w:pPr>
              <w:spacing w:after="0" w:line="240" w:lineRule="auto"/>
              <w:rPr>
                <w:rFonts w:ascii="Arial" w:eastAsia="Times New Roman" w:hAnsi="Arial" w:cs="Arial"/>
                <w:bCs/>
                <w:color w:val="000000"/>
                <w:sz w:val="20"/>
                <w:szCs w:val="20"/>
              </w:rPr>
            </w:pPr>
            <w:r w:rsidRPr="008429ED">
              <w:rPr>
                <w:rFonts w:ascii="Arial" w:eastAsia="Times New Roman" w:hAnsi="Arial" w:cs="Arial"/>
                <w:bCs/>
                <w:color w:val="000000"/>
                <w:sz w:val="20"/>
                <w:szCs w:val="20"/>
              </w:rPr>
              <w:t>R 2 939 140.50</w:t>
            </w:r>
          </w:p>
        </w:tc>
        <w:tc>
          <w:tcPr>
            <w:tcW w:w="3260" w:type="dxa"/>
            <w:tcBorders>
              <w:top w:val="single" w:sz="4" w:space="0" w:color="auto"/>
              <w:left w:val="nil"/>
              <w:bottom w:val="single" w:sz="4" w:space="0" w:color="auto"/>
              <w:right w:val="single" w:sz="4" w:space="0" w:color="auto"/>
            </w:tcBorders>
            <w:shd w:val="clear" w:color="auto" w:fill="auto"/>
            <w:noWrap/>
          </w:tcPr>
          <w:p w14:paraId="12BA744C" w14:textId="3B91520D" w:rsidR="004438EF" w:rsidRPr="008429ED" w:rsidRDefault="00A824EB" w:rsidP="004438EF">
            <w:pPr>
              <w:spacing w:after="0" w:line="240" w:lineRule="auto"/>
              <w:rPr>
                <w:rFonts w:ascii="Arial" w:eastAsia="Times New Roman" w:hAnsi="Arial" w:cs="Times New Roman"/>
                <w:szCs w:val="24"/>
              </w:rPr>
            </w:pPr>
            <w:r>
              <w:rPr>
                <w:rFonts w:ascii="Arial" w:eastAsia="Times New Roman" w:hAnsi="Arial" w:cs="Arial"/>
                <w:sz w:val="20"/>
                <w:szCs w:val="20"/>
                <w:lang w:eastAsia="en-ZA"/>
              </w:rPr>
              <w:t>To be confirmed</w:t>
            </w:r>
          </w:p>
        </w:tc>
      </w:tr>
      <w:tr w:rsidR="004438EF" w:rsidRPr="008429ED" w14:paraId="6879BB44" w14:textId="77777777" w:rsidTr="004438EF">
        <w:trPr>
          <w:trHeight w:val="503"/>
        </w:trPr>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1658894" w14:textId="77777777" w:rsidR="004438EF" w:rsidRPr="008429ED" w:rsidRDefault="004438EF" w:rsidP="00A16047">
            <w:pPr>
              <w:spacing w:after="0" w:line="240" w:lineRule="auto"/>
              <w:rPr>
                <w:rFonts w:ascii="Arial" w:eastAsia="Times New Roman" w:hAnsi="Arial" w:cs="Times New Roman"/>
                <w:szCs w:val="24"/>
              </w:rPr>
            </w:pPr>
            <w:r w:rsidRPr="008429ED">
              <w:rPr>
                <w:rFonts w:ascii="Arial" w:eastAsia="Times New Roman" w:hAnsi="Arial" w:cs="Arial"/>
                <w:sz w:val="20"/>
                <w:szCs w:val="20"/>
                <w:lang w:eastAsia="en-ZA"/>
              </w:rPr>
              <w:t>Being Registered</w:t>
            </w:r>
          </w:p>
        </w:tc>
        <w:tc>
          <w:tcPr>
            <w:tcW w:w="1559" w:type="dxa"/>
            <w:tcBorders>
              <w:top w:val="single" w:sz="4" w:space="0" w:color="auto"/>
              <w:left w:val="nil"/>
              <w:bottom w:val="single" w:sz="4" w:space="0" w:color="auto"/>
              <w:right w:val="single" w:sz="4" w:space="0" w:color="auto"/>
            </w:tcBorders>
            <w:shd w:val="clear" w:color="auto" w:fill="auto"/>
            <w:noWrap/>
          </w:tcPr>
          <w:p w14:paraId="5F3596A4"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04/11/2016</w:t>
            </w:r>
          </w:p>
        </w:tc>
        <w:tc>
          <w:tcPr>
            <w:tcW w:w="2552" w:type="dxa"/>
            <w:tcBorders>
              <w:top w:val="single" w:sz="4" w:space="0" w:color="auto"/>
              <w:left w:val="nil"/>
              <w:bottom w:val="single" w:sz="4" w:space="0" w:color="auto"/>
              <w:right w:val="single" w:sz="4" w:space="0" w:color="auto"/>
            </w:tcBorders>
            <w:shd w:val="clear" w:color="auto" w:fill="auto"/>
            <w:noWrap/>
          </w:tcPr>
          <w:p w14:paraId="25E0FB9B" w14:textId="77777777" w:rsidR="004438EF" w:rsidRPr="008429ED" w:rsidRDefault="004438EF" w:rsidP="004438EF">
            <w:pPr>
              <w:spacing w:after="0" w:line="240" w:lineRule="auto"/>
              <w:rPr>
                <w:rFonts w:ascii="Arial" w:eastAsia="Times New Roman" w:hAnsi="Arial" w:cs="Arial"/>
                <w:bCs/>
                <w:color w:val="000000"/>
                <w:sz w:val="20"/>
                <w:szCs w:val="20"/>
              </w:rPr>
            </w:pPr>
            <w:r w:rsidRPr="008429ED">
              <w:rPr>
                <w:rFonts w:ascii="Arial" w:eastAsia="Times New Roman" w:hAnsi="Arial" w:cs="Arial"/>
                <w:bCs/>
                <w:color w:val="000000"/>
                <w:sz w:val="20"/>
                <w:szCs w:val="20"/>
              </w:rPr>
              <w:t>R 2 036 032.48</w:t>
            </w:r>
          </w:p>
        </w:tc>
        <w:tc>
          <w:tcPr>
            <w:tcW w:w="3260" w:type="dxa"/>
            <w:tcBorders>
              <w:top w:val="single" w:sz="4" w:space="0" w:color="auto"/>
              <w:left w:val="nil"/>
              <w:bottom w:val="single" w:sz="4" w:space="0" w:color="auto"/>
              <w:right w:val="single" w:sz="4" w:space="0" w:color="auto"/>
            </w:tcBorders>
            <w:shd w:val="clear" w:color="auto" w:fill="auto"/>
            <w:noWrap/>
          </w:tcPr>
          <w:p w14:paraId="43211D9C" w14:textId="4B1903F3" w:rsidR="004438EF" w:rsidRPr="008429ED" w:rsidRDefault="00A824EB" w:rsidP="004438EF">
            <w:pPr>
              <w:spacing w:after="0" w:line="240" w:lineRule="auto"/>
              <w:rPr>
                <w:rFonts w:ascii="Arial" w:eastAsia="Times New Roman" w:hAnsi="Arial" w:cs="Times New Roman"/>
                <w:szCs w:val="24"/>
              </w:rPr>
            </w:pPr>
            <w:r>
              <w:rPr>
                <w:rFonts w:ascii="Arial" w:eastAsia="Times New Roman" w:hAnsi="Arial" w:cs="Arial"/>
                <w:sz w:val="20"/>
                <w:szCs w:val="20"/>
                <w:lang w:eastAsia="en-ZA"/>
              </w:rPr>
              <w:t>To be confirmed</w:t>
            </w:r>
          </w:p>
        </w:tc>
      </w:tr>
      <w:tr w:rsidR="004438EF" w:rsidRPr="008429ED" w14:paraId="0BC36994" w14:textId="77777777" w:rsidTr="004438EF">
        <w:trPr>
          <w:trHeight w:val="647"/>
        </w:trPr>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112187D" w14:textId="77777777" w:rsidR="004438EF" w:rsidRPr="008429ED" w:rsidRDefault="004438EF" w:rsidP="00A16047">
            <w:pPr>
              <w:spacing w:after="0" w:line="240" w:lineRule="auto"/>
              <w:rPr>
                <w:rFonts w:ascii="Arial" w:eastAsia="Times New Roman" w:hAnsi="Arial" w:cs="Times New Roman"/>
                <w:szCs w:val="24"/>
              </w:rPr>
            </w:pPr>
            <w:r w:rsidRPr="008429ED">
              <w:rPr>
                <w:rFonts w:ascii="Arial" w:eastAsia="Times New Roman" w:hAnsi="Arial" w:cs="Arial"/>
                <w:sz w:val="20"/>
                <w:szCs w:val="20"/>
                <w:lang w:eastAsia="en-ZA"/>
              </w:rPr>
              <w:lastRenderedPageBreak/>
              <w:t>Being Registered</w:t>
            </w:r>
          </w:p>
        </w:tc>
        <w:tc>
          <w:tcPr>
            <w:tcW w:w="1559" w:type="dxa"/>
            <w:tcBorders>
              <w:top w:val="single" w:sz="4" w:space="0" w:color="auto"/>
              <w:left w:val="nil"/>
              <w:bottom w:val="single" w:sz="4" w:space="0" w:color="auto"/>
              <w:right w:val="single" w:sz="4" w:space="0" w:color="auto"/>
            </w:tcBorders>
            <w:shd w:val="clear" w:color="auto" w:fill="auto"/>
            <w:noWrap/>
          </w:tcPr>
          <w:p w14:paraId="4E4245C1" w14:textId="77777777" w:rsidR="004438EF" w:rsidRPr="008429ED" w:rsidRDefault="004438EF" w:rsidP="00A16047">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05/12/2016</w:t>
            </w:r>
          </w:p>
        </w:tc>
        <w:tc>
          <w:tcPr>
            <w:tcW w:w="2552" w:type="dxa"/>
            <w:tcBorders>
              <w:top w:val="single" w:sz="4" w:space="0" w:color="auto"/>
              <w:left w:val="nil"/>
              <w:bottom w:val="single" w:sz="4" w:space="0" w:color="auto"/>
              <w:right w:val="single" w:sz="4" w:space="0" w:color="auto"/>
            </w:tcBorders>
            <w:shd w:val="clear" w:color="auto" w:fill="auto"/>
            <w:noWrap/>
          </w:tcPr>
          <w:p w14:paraId="5F7AEEDA" w14:textId="77777777" w:rsidR="004438EF" w:rsidRPr="008429ED" w:rsidRDefault="004438EF" w:rsidP="004438EF">
            <w:pPr>
              <w:spacing w:after="0" w:line="240" w:lineRule="auto"/>
              <w:rPr>
                <w:rFonts w:ascii="Arial" w:eastAsia="Times New Roman" w:hAnsi="Arial" w:cs="Arial"/>
                <w:bCs/>
                <w:color w:val="000000"/>
                <w:sz w:val="20"/>
                <w:szCs w:val="20"/>
              </w:rPr>
            </w:pPr>
            <w:r w:rsidRPr="008429ED">
              <w:rPr>
                <w:rFonts w:ascii="Arial" w:eastAsia="Times New Roman" w:hAnsi="Arial" w:cs="Arial"/>
                <w:bCs/>
                <w:color w:val="000000"/>
                <w:sz w:val="20"/>
                <w:szCs w:val="20"/>
              </w:rPr>
              <w:t>R 14 700 000.00</w:t>
            </w:r>
          </w:p>
        </w:tc>
        <w:tc>
          <w:tcPr>
            <w:tcW w:w="3260" w:type="dxa"/>
            <w:tcBorders>
              <w:top w:val="single" w:sz="4" w:space="0" w:color="auto"/>
              <w:left w:val="nil"/>
              <w:bottom w:val="single" w:sz="4" w:space="0" w:color="auto"/>
              <w:right w:val="single" w:sz="4" w:space="0" w:color="auto"/>
            </w:tcBorders>
            <w:shd w:val="clear" w:color="auto" w:fill="auto"/>
            <w:noWrap/>
          </w:tcPr>
          <w:p w14:paraId="0A2A1710" w14:textId="7DDD0301" w:rsidR="004438EF" w:rsidRPr="008429ED" w:rsidRDefault="00A824EB" w:rsidP="004438EF">
            <w:pPr>
              <w:spacing w:after="0" w:line="240" w:lineRule="auto"/>
              <w:rPr>
                <w:rFonts w:ascii="Arial" w:eastAsia="Times New Roman" w:hAnsi="Arial" w:cs="Times New Roman"/>
                <w:szCs w:val="24"/>
              </w:rPr>
            </w:pPr>
            <w:r>
              <w:rPr>
                <w:rFonts w:ascii="Arial" w:eastAsia="Times New Roman" w:hAnsi="Arial" w:cs="Arial"/>
                <w:sz w:val="20"/>
                <w:szCs w:val="20"/>
                <w:lang w:eastAsia="en-ZA"/>
              </w:rPr>
              <w:t>To be confirmed</w:t>
            </w:r>
          </w:p>
        </w:tc>
      </w:tr>
      <w:tr w:rsidR="00A824EB" w:rsidRPr="008429ED" w14:paraId="2DE475C3" w14:textId="77777777" w:rsidTr="004438EF">
        <w:trPr>
          <w:trHeight w:val="611"/>
        </w:trPr>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2B5FF0C" w14:textId="77777777" w:rsidR="00A824EB" w:rsidRPr="008429ED" w:rsidRDefault="00A824EB" w:rsidP="00A824EB">
            <w:pPr>
              <w:spacing w:after="0" w:line="240" w:lineRule="auto"/>
              <w:rPr>
                <w:rFonts w:ascii="Arial" w:eastAsia="Times New Roman" w:hAnsi="Arial" w:cs="Times New Roman"/>
                <w:szCs w:val="24"/>
              </w:rPr>
            </w:pPr>
            <w:r w:rsidRPr="008429ED">
              <w:rPr>
                <w:rFonts w:ascii="Arial" w:eastAsia="Times New Roman" w:hAnsi="Arial" w:cs="Arial"/>
                <w:sz w:val="20"/>
                <w:szCs w:val="20"/>
                <w:lang w:eastAsia="en-ZA"/>
              </w:rPr>
              <w:t>Being Registered</w:t>
            </w:r>
          </w:p>
        </w:tc>
        <w:tc>
          <w:tcPr>
            <w:tcW w:w="1559" w:type="dxa"/>
            <w:tcBorders>
              <w:top w:val="single" w:sz="4" w:space="0" w:color="auto"/>
              <w:left w:val="nil"/>
              <w:bottom w:val="single" w:sz="4" w:space="0" w:color="auto"/>
              <w:right w:val="single" w:sz="4" w:space="0" w:color="auto"/>
            </w:tcBorders>
            <w:shd w:val="clear" w:color="auto" w:fill="auto"/>
            <w:noWrap/>
          </w:tcPr>
          <w:p w14:paraId="7B06569B" w14:textId="77777777" w:rsidR="00A824EB" w:rsidRPr="008429ED" w:rsidRDefault="00A824EB" w:rsidP="00A824EB">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43/04/2016</w:t>
            </w:r>
          </w:p>
        </w:tc>
        <w:tc>
          <w:tcPr>
            <w:tcW w:w="2552" w:type="dxa"/>
            <w:tcBorders>
              <w:top w:val="single" w:sz="4" w:space="0" w:color="auto"/>
              <w:left w:val="nil"/>
              <w:bottom w:val="single" w:sz="4" w:space="0" w:color="auto"/>
              <w:right w:val="single" w:sz="4" w:space="0" w:color="auto"/>
            </w:tcBorders>
            <w:shd w:val="clear" w:color="auto" w:fill="auto"/>
            <w:noWrap/>
          </w:tcPr>
          <w:p w14:paraId="3D35840D" w14:textId="77777777" w:rsidR="00A824EB" w:rsidRPr="008429ED" w:rsidRDefault="00A824EB" w:rsidP="00A824EB">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R 2 400 000.00</w:t>
            </w:r>
          </w:p>
        </w:tc>
        <w:tc>
          <w:tcPr>
            <w:tcW w:w="3260" w:type="dxa"/>
            <w:tcBorders>
              <w:top w:val="single" w:sz="4" w:space="0" w:color="auto"/>
              <w:left w:val="nil"/>
              <w:bottom w:val="single" w:sz="4" w:space="0" w:color="auto"/>
              <w:right w:val="single" w:sz="4" w:space="0" w:color="auto"/>
            </w:tcBorders>
            <w:shd w:val="clear" w:color="auto" w:fill="auto"/>
            <w:noWrap/>
          </w:tcPr>
          <w:p w14:paraId="4917B76C" w14:textId="1EEFB0F1" w:rsidR="00A824EB" w:rsidRPr="008429ED" w:rsidRDefault="00A824EB" w:rsidP="00A824EB">
            <w:pPr>
              <w:spacing w:after="0" w:line="240" w:lineRule="auto"/>
              <w:rPr>
                <w:rFonts w:ascii="Arial" w:eastAsia="Times New Roman" w:hAnsi="Arial" w:cs="Times New Roman"/>
                <w:szCs w:val="24"/>
              </w:rPr>
            </w:pPr>
            <w:r w:rsidRPr="00D60477">
              <w:rPr>
                <w:rFonts w:ascii="Arial" w:eastAsia="Times New Roman" w:hAnsi="Arial" w:cs="Arial"/>
                <w:sz w:val="20"/>
                <w:szCs w:val="20"/>
                <w:lang w:eastAsia="en-ZA"/>
              </w:rPr>
              <w:t>To be confirmed</w:t>
            </w:r>
          </w:p>
        </w:tc>
      </w:tr>
      <w:tr w:rsidR="00A824EB" w:rsidRPr="008429ED" w14:paraId="3E864377" w14:textId="77777777" w:rsidTr="004438EF">
        <w:trPr>
          <w:trHeight w:val="719"/>
        </w:trPr>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0869747" w14:textId="77777777" w:rsidR="00A824EB" w:rsidRPr="008429ED" w:rsidRDefault="00A824EB" w:rsidP="00A824EB">
            <w:pPr>
              <w:spacing w:after="0" w:line="240" w:lineRule="auto"/>
              <w:rPr>
                <w:rFonts w:ascii="Arial" w:eastAsia="Times New Roman" w:hAnsi="Arial" w:cs="Times New Roman"/>
                <w:szCs w:val="24"/>
              </w:rPr>
            </w:pPr>
            <w:r w:rsidRPr="008429ED">
              <w:rPr>
                <w:rFonts w:ascii="Arial" w:eastAsia="Times New Roman" w:hAnsi="Arial" w:cs="Arial"/>
                <w:sz w:val="20"/>
                <w:szCs w:val="20"/>
                <w:lang w:eastAsia="en-ZA"/>
              </w:rPr>
              <w:t>Being Registered</w:t>
            </w:r>
          </w:p>
        </w:tc>
        <w:tc>
          <w:tcPr>
            <w:tcW w:w="1559" w:type="dxa"/>
            <w:tcBorders>
              <w:top w:val="single" w:sz="4" w:space="0" w:color="auto"/>
              <w:left w:val="nil"/>
              <w:bottom w:val="single" w:sz="4" w:space="0" w:color="auto"/>
              <w:right w:val="single" w:sz="4" w:space="0" w:color="auto"/>
            </w:tcBorders>
            <w:shd w:val="clear" w:color="auto" w:fill="auto"/>
            <w:noWrap/>
          </w:tcPr>
          <w:p w14:paraId="366645AD" w14:textId="77777777" w:rsidR="00A824EB" w:rsidRPr="008429ED" w:rsidRDefault="00A824EB" w:rsidP="00A824EB">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20/06/2015</w:t>
            </w:r>
          </w:p>
        </w:tc>
        <w:tc>
          <w:tcPr>
            <w:tcW w:w="2552" w:type="dxa"/>
            <w:tcBorders>
              <w:top w:val="single" w:sz="4" w:space="0" w:color="auto"/>
              <w:left w:val="nil"/>
              <w:bottom w:val="single" w:sz="4" w:space="0" w:color="auto"/>
              <w:right w:val="single" w:sz="4" w:space="0" w:color="auto"/>
            </w:tcBorders>
            <w:shd w:val="clear" w:color="auto" w:fill="auto"/>
            <w:noWrap/>
          </w:tcPr>
          <w:p w14:paraId="0C8BD13F" w14:textId="77777777" w:rsidR="00A824EB" w:rsidRPr="008429ED" w:rsidRDefault="00A824EB" w:rsidP="00A824EB">
            <w:pPr>
              <w:spacing w:after="0" w:line="240" w:lineRule="auto"/>
              <w:rPr>
                <w:rFonts w:ascii="Arial" w:eastAsia="Times New Roman" w:hAnsi="Arial" w:cs="Arial"/>
                <w:bCs/>
                <w:color w:val="000000"/>
                <w:sz w:val="20"/>
                <w:szCs w:val="20"/>
              </w:rPr>
            </w:pPr>
            <w:r w:rsidRPr="008429ED">
              <w:rPr>
                <w:rFonts w:ascii="Arial" w:eastAsia="Times New Roman" w:hAnsi="Arial" w:cs="Arial"/>
                <w:bCs/>
                <w:color w:val="000000"/>
                <w:sz w:val="20"/>
                <w:szCs w:val="20"/>
              </w:rPr>
              <w:t>Amount to follow from further investigation by SAPS</w:t>
            </w:r>
          </w:p>
        </w:tc>
        <w:tc>
          <w:tcPr>
            <w:tcW w:w="3260" w:type="dxa"/>
            <w:tcBorders>
              <w:top w:val="single" w:sz="4" w:space="0" w:color="auto"/>
              <w:left w:val="nil"/>
              <w:bottom w:val="single" w:sz="4" w:space="0" w:color="auto"/>
              <w:right w:val="single" w:sz="4" w:space="0" w:color="auto"/>
            </w:tcBorders>
            <w:shd w:val="clear" w:color="auto" w:fill="auto"/>
            <w:noWrap/>
          </w:tcPr>
          <w:p w14:paraId="6AE717BB" w14:textId="4BF38411" w:rsidR="00A824EB" w:rsidRPr="008429ED" w:rsidRDefault="00A824EB" w:rsidP="00A824EB">
            <w:pPr>
              <w:spacing w:after="0" w:line="240" w:lineRule="auto"/>
              <w:rPr>
                <w:rFonts w:ascii="Arial" w:eastAsia="Times New Roman" w:hAnsi="Arial" w:cs="Times New Roman"/>
                <w:szCs w:val="24"/>
              </w:rPr>
            </w:pPr>
            <w:r w:rsidRPr="00D60477">
              <w:rPr>
                <w:rFonts w:ascii="Arial" w:eastAsia="Times New Roman" w:hAnsi="Arial" w:cs="Arial"/>
                <w:sz w:val="20"/>
                <w:szCs w:val="20"/>
                <w:lang w:eastAsia="en-ZA"/>
              </w:rPr>
              <w:t>To be confirmed</w:t>
            </w:r>
          </w:p>
        </w:tc>
      </w:tr>
      <w:tr w:rsidR="00A824EB" w:rsidRPr="008429ED" w14:paraId="6054EED3" w14:textId="77777777" w:rsidTr="004438EF">
        <w:trPr>
          <w:trHeight w:val="629"/>
        </w:trPr>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FD700AD" w14:textId="77777777" w:rsidR="00A824EB" w:rsidRPr="008429ED" w:rsidRDefault="00A824EB" w:rsidP="00A824EB">
            <w:pPr>
              <w:spacing w:after="0" w:line="240" w:lineRule="auto"/>
              <w:rPr>
                <w:rFonts w:ascii="Arial" w:eastAsia="Times New Roman" w:hAnsi="Arial" w:cs="Times New Roman"/>
                <w:szCs w:val="24"/>
              </w:rPr>
            </w:pPr>
            <w:r w:rsidRPr="008429ED">
              <w:rPr>
                <w:rFonts w:ascii="Arial" w:eastAsia="Times New Roman" w:hAnsi="Arial" w:cs="Arial"/>
                <w:sz w:val="20"/>
                <w:szCs w:val="20"/>
                <w:lang w:eastAsia="en-ZA"/>
              </w:rPr>
              <w:t>Being Registered</w:t>
            </w:r>
          </w:p>
        </w:tc>
        <w:tc>
          <w:tcPr>
            <w:tcW w:w="1559" w:type="dxa"/>
            <w:tcBorders>
              <w:top w:val="single" w:sz="4" w:space="0" w:color="auto"/>
              <w:left w:val="nil"/>
              <w:bottom w:val="single" w:sz="4" w:space="0" w:color="auto"/>
              <w:right w:val="single" w:sz="4" w:space="0" w:color="auto"/>
            </w:tcBorders>
            <w:shd w:val="clear" w:color="auto" w:fill="auto"/>
            <w:noWrap/>
          </w:tcPr>
          <w:p w14:paraId="3641BB86" w14:textId="77777777" w:rsidR="00A824EB" w:rsidRPr="008429ED" w:rsidRDefault="00A824EB" w:rsidP="00A824EB">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39/07/2014</w:t>
            </w:r>
          </w:p>
        </w:tc>
        <w:tc>
          <w:tcPr>
            <w:tcW w:w="2552" w:type="dxa"/>
            <w:tcBorders>
              <w:top w:val="single" w:sz="4" w:space="0" w:color="auto"/>
              <w:left w:val="nil"/>
              <w:bottom w:val="single" w:sz="4" w:space="0" w:color="auto"/>
              <w:right w:val="single" w:sz="4" w:space="0" w:color="auto"/>
            </w:tcBorders>
            <w:shd w:val="clear" w:color="auto" w:fill="auto"/>
            <w:noWrap/>
          </w:tcPr>
          <w:p w14:paraId="12C3D2E2" w14:textId="77777777" w:rsidR="00A824EB" w:rsidRPr="008429ED" w:rsidRDefault="00A824EB" w:rsidP="00A824EB">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R433 500.00</w:t>
            </w:r>
          </w:p>
        </w:tc>
        <w:tc>
          <w:tcPr>
            <w:tcW w:w="3260" w:type="dxa"/>
            <w:tcBorders>
              <w:top w:val="single" w:sz="4" w:space="0" w:color="auto"/>
              <w:left w:val="nil"/>
              <w:bottom w:val="single" w:sz="4" w:space="0" w:color="auto"/>
              <w:right w:val="single" w:sz="4" w:space="0" w:color="auto"/>
            </w:tcBorders>
            <w:shd w:val="clear" w:color="auto" w:fill="auto"/>
            <w:noWrap/>
          </w:tcPr>
          <w:p w14:paraId="7D7DDB59" w14:textId="1E116CE8" w:rsidR="00A824EB" w:rsidRPr="008429ED" w:rsidRDefault="00A824EB" w:rsidP="00A824EB">
            <w:pPr>
              <w:spacing w:after="0" w:line="240" w:lineRule="auto"/>
              <w:rPr>
                <w:rFonts w:ascii="Arial" w:eastAsia="Times New Roman" w:hAnsi="Arial" w:cs="Times New Roman"/>
                <w:szCs w:val="24"/>
              </w:rPr>
            </w:pPr>
            <w:r w:rsidRPr="00D60477">
              <w:rPr>
                <w:rFonts w:ascii="Arial" w:eastAsia="Times New Roman" w:hAnsi="Arial" w:cs="Arial"/>
                <w:sz w:val="20"/>
                <w:szCs w:val="20"/>
                <w:lang w:eastAsia="en-ZA"/>
              </w:rPr>
              <w:t>To be confirmed</w:t>
            </w:r>
          </w:p>
        </w:tc>
      </w:tr>
      <w:tr w:rsidR="00A824EB" w:rsidRPr="008429ED" w14:paraId="48CF307A" w14:textId="77777777" w:rsidTr="004438EF">
        <w:trPr>
          <w:trHeight w:val="629"/>
        </w:trPr>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55AFA7B" w14:textId="77777777" w:rsidR="00A824EB" w:rsidRPr="008429ED" w:rsidRDefault="00A824EB" w:rsidP="00A824EB">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Being Registered</w:t>
            </w:r>
          </w:p>
        </w:tc>
        <w:tc>
          <w:tcPr>
            <w:tcW w:w="1559" w:type="dxa"/>
            <w:tcBorders>
              <w:top w:val="single" w:sz="4" w:space="0" w:color="auto"/>
              <w:left w:val="nil"/>
              <w:bottom w:val="single" w:sz="4" w:space="0" w:color="auto"/>
              <w:right w:val="single" w:sz="4" w:space="0" w:color="auto"/>
            </w:tcBorders>
            <w:shd w:val="clear" w:color="auto" w:fill="auto"/>
            <w:noWrap/>
          </w:tcPr>
          <w:p w14:paraId="7E4814C0" w14:textId="77777777" w:rsidR="00A824EB" w:rsidRPr="008429ED" w:rsidRDefault="00A824EB" w:rsidP="00A824EB">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2018-12292</w:t>
            </w:r>
          </w:p>
        </w:tc>
        <w:tc>
          <w:tcPr>
            <w:tcW w:w="2552" w:type="dxa"/>
            <w:tcBorders>
              <w:top w:val="single" w:sz="4" w:space="0" w:color="auto"/>
              <w:left w:val="nil"/>
              <w:bottom w:val="single" w:sz="4" w:space="0" w:color="auto"/>
              <w:right w:val="single" w:sz="4" w:space="0" w:color="auto"/>
            </w:tcBorders>
            <w:shd w:val="clear" w:color="auto" w:fill="auto"/>
            <w:noWrap/>
          </w:tcPr>
          <w:p w14:paraId="2E510250" w14:textId="77777777" w:rsidR="00A824EB" w:rsidRPr="008429ED" w:rsidRDefault="00A824EB" w:rsidP="00A824EB">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R 29 070 442.98</w:t>
            </w:r>
          </w:p>
        </w:tc>
        <w:tc>
          <w:tcPr>
            <w:tcW w:w="3260" w:type="dxa"/>
            <w:tcBorders>
              <w:top w:val="single" w:sz="4" w:space="0" w:color="auto"/>
              <w:left w:val="nil"/>
              <w:bottom w:val="single" w:sz="4" w:space="0" w:color="auto"/>
              <w:right w:val="single" w:sz="4" w:space="0" w:color="auto"/>
            </w:tcBorders>
            <w:shd w:val="clear" w:color="auto" w:fill="auto"/>
            <w:noWrap/>
          </w:tcPr>
          <w:p w14:paraId="74D27493" w14:textId="1405E4F2" w:rsidR="00A824EB" w:rsidRPr="008429ED" w:rsidRDefault="00A824EB" w:rsidP="00A824EB">
            <w:pPr>
              <w:spacing w:after="0" w:line="240" w:lineRule="auto"/>
              <w:rPr>
                <w:rFonts w:ascii="Arial" w:eastAsia="Times New Roman" w:hAnsi="Arial" w:cs="Arial"/>
                <w:sz w:val="20"/>
                <w:szCs w:val="20"/>
                <w:lang w:eastAsia="en-ZA"/>
              </w:rPr>
            </w:pPr>
            <w:r w:rsidRPr="00D60477">
              <w:rPr>
                <w:rFonts w:ascii="Arial" w:eastAsia="Times New Roman" w:hAnsi="Arial" w:cs="Arial"/>
                <w:sz w:val="20"/>
                <w:szCs w:val="20"/>
                <w:lang w:eastAsia="en-ZA"/>
              </w:rPr>
              <w:t>To be confirmed</w:t>
            </w:r>
          </w:p>
        </w:tc>
      </w:tr>
      <w:tr w:rsidR="00A824EB" w:rsidRPr="008429ED" w14:paraId="497E3B6C" w14:textId="77777777" w:rsidTr="004438EF">
        <w:trPr>
          <w:trHeight w:val="629"/>
        </w:trPr>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F838293" w14:textId="77777777" w:rsidR="00A824EB" w:rsidRPr="008429ED" w:rsidRDefault="00A824EB" w:rsidP="00A824EB">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Being Registered</w:t>
            </w:r>
          </w:p>
        </w:tc>
        <w:tc>
          <w:tcPr>
            <w:tcW w:w="1559" w:type="dxa"/>
            <w:tcBorders>
              <w:top w:val="single" w:sz="4" w:space="0" w:color="auto"/>
              <w:left w:val="nil"/>
              <w:bottom w:val="single" w:sz="4" w:space="0" w:color="auto"/>
              <w:right w:val="single" w:sz="4" w:space="0" w:color="auto"/>
            </w:tcBorders>
            <w:shd w:val="clear" w:color="auto" w:fill="auto"/>
            <w:noWrap/>
          </w:tcPr>
          <w:p w14:paraId="03351B78" w14:textId="77777777" w:rsidR="00A824EB" w:rsidRPr="008429ED" w:rsidRDefault="00A824EB" w:rsidP="00A824EB">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2018-12398</w:t>
            </w:r>
          </w:p>
        </w:tc>
        <w:tc>
          <w:tcPr>
            <w:tcW w:w="2552" w:type="dxa"/>
            <w:tcBorders>
              <w:top w:val="single" w:sz="4" w:space="0" w:color="auto"/>
              <w:left w:val="nil"/>
              <w:bottom w:val="single" w:sz="4" w:space="0" w:color="auto"/>
              <w:right w:val="single" w:sz="4" w:space="0" w:color="auto"/>
            </w:tcBorders>
            <w:shd w:val="clear" w:color="auto" w:fill="auto"/>
            <w:noWrap/>
          </w:tcPr>
          <w:p w14:paraId="276B8ACF" w14:textId="77777777" w:rsidR="00A824EB" w:rsidRPr="008429ED" w:rsidRDefault="00A824EB" w:rsidP="00A824EB">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R 45 294 922.14</w:t>
            </w:r>
          </w:p>
        </w:tc>
        <w:tc>
          <w:tcPr>
            <w:tcW w:w="3260" w:type="dxa"/>
            <w:tcBorders>
              <w:top w:val="single" w:sz="4" w:space="0" w:color="auto"/>
              <w:left w:val="nil"/>
              <w:bottom w:val="single" w:sz="4" w:space="0" w:color="auto"/>
              <w:right w:val="single" w:sz="4" w:space="0" w:color="auto"/>
            </w:tcBorders>
            <w:shd w:val="clear" w:color="auto" w:fill="auto"/>
            <w:noWrap/>
          </w:tcPr>
          <w:p w14:paraId="63B8F43A" w14:textId="6D8C581F" w:rsidR="00A824EB" w:rsidRPr="008429ED" w:rsidRDefault="00A824EB" w:rsidP="00A824EB">
            <w:pPr>
              <w:spacing w:after="0" w:line="240" w:lineRule="auto"/>
              <w:rPr>
                <w:rFonts w:ascii="Arial" w:eastAsia="Times New Roman" w:hAnsi="Arial" w:cs="Arial"/>
                <w:sz w:val="20"/>
                <w:szCs w:val="20"/>
                <w:lang w:eastAsia="en-ZA"/>
              </w:rPr>
            </w:pPr>
            <w:r w:rsidRPr="00D60477">
              <w:rPr>
                <w:rFonts w:ascii="Arial" w:eastAsia="Times New Roman" w:hAnsi="Arial" w:cs="Arial"/>
                <w:sz w:val="20"/>
                <w:szCs w:val="20"/>
                <w:lang w:eastAsia="en-ZA"/>
              </w:rPr>
              <w:t>To be confirmed</w:t>
            </w:r>
          </w:p>
        </w:tc>
      </w:tr>
      <w:tr w:rsidR="00A824EB" w:rsidRPr="008429ED" w14:paraId="57B42416" w14:textId="77777777" w:rsidTr="004438EF">
        <w:trPr>
          <w:trHeight w:val="629"/>
        </w:trPr>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0ABA7CB9" w14:textId="77777777" w:rsidR="00A824EB" w:rsidRPr="008429ED" w:rsidRDefault="00A824EB" w:rsidP="00A824EB">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Being Registered</w:t>
            </w:r>
          </w:p>
        </w:tc>
        <w:tc>
          <w:tcPr>
            <w:tcW w:w="1559" w:type="dxa"/>
            <w:tcBorders>
              <w:top w:val="single" w:sz="4" w:space="0" w:color="auto"/>
              <w:left w:val="nil"/>
              <w:bottom w:val="single" w:sz="4" w:space="0" w:color="auto"/>
              <w:right w:val="single" w:sz="4" w:space="0" w:color="auto"/>
            </w:tcBorders>
            <w:shd w:val="clear" w:color="auto" w:fill="auto"/>
            <w:noWrap/>
          </w:tcPr>
          <w:p w14:paraId="2F4F7A8F" w14:textId="77777777" w:rsidR="00A824EB" w:rsidRPr="008429ED" w:rsidRDefault="00A824EB" w:rsidP="00A824EB">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2019-12898</w:t>
            </w:r>
          </w:p>
        </w:tc>
        <w:tc>
          <w:tcPr>
            <w:tcW w:w="2552" w:type="dxa"/>
            <w:tcBorders>
              <w:top w:val="single" w:sz="4" w:space="0" w:color="auto"/>
              <w:left w:val="nil"/>
              <w:bottom w:val="single" w:sz="4" w:space="0" w:color="auto"/>
              <w:right w:val="single" w:sz="4" w:space="0" w:color="auto"/>
            </w:tcBorders>
            <w:shd w:val="clear" w:color="auto" w:fill="auto"/>
            <w:noWrap/>
          </w:tcPr>
          <w:p w14:paraId="171D8004" w14:textId="77777777" w:rsidR="00A824EB" w:rsidRPr="008429ED" w:rsidRDefault="00A824EB" w:rsidP="00A824EB">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R 6 053 421.36</w:t>
            </w:r>
          </w:p>
        </w:tc>
        <w:tc>
          <w:tcPr>
            <w:tcW w:w="3260" w:type="dxa"/>
            <w:tcBorders>
              <w:top w:val="single" w:sz="4" w:space="0" w:color="auto"/>
              <w:left w:val="nil"/>
              <w:bottom w:val="single" w:sz="4" w:space="0" w:color="auto"/>
              <w:right w:val="single" w:sz="4" w:space="0" w:color="auto"/>
            </w:tcBorders>
            <w:shd w:val="clear" w:color="auto" w:fill="auto"/>
            <w:noWrap/>
          </w:tcPr>
          <w:p w14:paraId="61C4D88A" w14:textId="52BC6331" w:rsidR="00A824EB" w:rsidRPr="008429ED" w:rsidRDefault="00A824EB" w:rsidP="00A824EB">
            <w:pPr>
              <w:spacing w:after="0" w:line="240" w:lineRule="auto"/>
              <w:rPr>
                <w:rFonts w:ascii="Arial" w:eastAsia="Times New Roman" w:hAnsi="Arial" w:cs="Arial"/>
                <w:sz w:val="20"/>
                <w:szCs w:val="20"/>
                <w:lang w:eastAsia="en-ZA"/>
              </w:rPr>
            </w:pPr>
            <w:r w:rsidRPr="00D60477">
              <w:rPr>
                <w:rFonts w:ascii="Arial" w:eastAsia="Times New Roman" w:hAnsi="Arial" w:cs="Arial"/>
                <w:sz w:val="20"/>
                <w:szCs w:val="20"/>
                <w:lang w:eastAsia="en-ZA"/>
              </w:rPr>
              <w:t>To be confirmed</w:t>
            </w:r>
          </w:p>
        </w:tc>
      </w:tr>
      <w:tr w:rsidR="00A824EB" w:rsidRPr="008429ED" w14:paraId="43C2C36E" w14:textId="77777777" w:rsidTr="004438EF">
        <w:trPr>
          <w:trHeight w:val="629"/>
        </w:trPr>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4D946CB" w14:textId="77777777" w:rsidR="00A824EB" w:rsidRPr="008429ED" w:rsidRDefault="00A824EB" w:rsidP="00A824EB">
            <w:pPr>
              <w:spacing w:after="0" w:line="240" w:lineRule="auto"/>
              <w:rPr>
                <w:rFonts w:ascii="Arial" w:eastAsia="Times New Roman" w:hAnsi="Arial" w:cs="Arial"/>
                <w:sz w:val="20"/>
                <w:szCs w:val="20"/>
                <w:lang w:eastAsia="en-ZA"/>
              </w:rPr>
            </w:pPr>
            <w:r w:rsidRPr="008429ED">
              <w:rPr>
                <w:rFonts w:ascii="Arial" w:eastAsia="Times New Roman" w:hAnsi="Arial" w:cs="Arial"/>
                <w:sz w:val="20"/>
                <w:szCs w:val="20"/>
                <w:lang w:eastAsia="en-ZA"/>
              </w:rPr>
              <w:t>Being Registered</w:t>
            </w:r>
          </w:p>
        </w:tc>
        <w:tc>
          <w:tcPr>
            <w:tcW w:w="1559" w:type="dxa"/>
            <w:tcBorders>
              <w:top w:val="single" w:sz="4" w:space="0" w:color="auto"/>
              <w:left w:val="nil"/>
              <w:bottom w:val="single" w:sz="4" w:space="0" w:color="auto"/>
              <w:right w:val="single" w:sz="4" w:space="0" w:color="auto"/>
            </w:tcBorders>
            <w:shd w:val="clear" w:color="auto" w:fill="auto"/>
            <w:noWrap/>
          </w:tcPr>
          <w:p w14:paraId="0E7DBBAE" w14:textId="77777777" w:rsidR="00A824EB" w:rsidRPr="008429ED" w:rsidRDefault="00A824EB" w:rsidP="00A824EB">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2020-13142</w:t>
            </w:r>
          </w:p>
        </w:tc>
        <w:tc>
          <w:tcPr>
            <w:tcW w:w="2552" w:type="dxa"/>
            <w:tcBorders>
              <w:top w:val="single" w:sz="4" w:space="0" w:color="auto"/>
              <w:left w:val="nil"/>
              <w:bottom w:val="single" w:sz="4" w:space="0" w:color="auto"/>
              <w:right w:val="single" w:sz="4" w:space="0" w:color="auto"/>
            </w:tcBorders>
            <w:shd w:val="clear" w:color="auto" w:fill="auto"/>
            <w:noWrap/>
          </w:tcPr>
          <w:p w14:paraId="0895C533" w14:textId="77777777" w:rsidR="00A824EB" w:rsidRPr="008429ED" w:rsidRDefault="00A824EB" w:rsidP="00A824EB">
            <w:pPr>
              <w:spacing w:after="0" w:line="240" w:lineRule="auto"/>
              <w:rPr>
                <w:rFonts w:ascii="Arial" w:eastAsia="Times New Roman" w:hAnsi="Arial" w:cs="Arial"/>
                <w:color w:val="000000"/>
                <w:sz w:val="20"/>
                <w:szCs w:val="20"/>
              </w:rPr>
            </w:pPr>
            <w:r w:rsidRPr="008429ED">
              <w:rPr>
                <w:rFonts w:ascii="Arial" w:eastAsia="Times New Roman" w:hAnsi="Arial" w:cs="Arial"/>
                <w:color w:val="000000"/>
                <w:sz w:val="20"/>
                <w:szCs w:val="20"/>
              </w:rPr>
              <w:t>R 114 362 778.2</w:t>
            </w:r>
          </w:p>
        </w:tc>
        <w:tc>
          <w:tcPr>
            <w:tcW w:w="3260" w:type="dxa"/>
            <w:tcBorders>
              <w:top w:val="single" w:sz="4" w:space="0" w:color="auto"/>
              <w:left w:val="nil"/>
              <w:bottom w:val="single" w:sz="4" w:space="0" w:color="auto"/>
              <w:right w:val="single" w:sz="4" w:space="0" w:color="auto"/>
            </w:tcBorders>
            <w:shd w:val="clear" w:color="auto" w:fill="auto"/>
            <w:noWrap/>
          </w:tcPr>
          <w:p w14:paraId="74BAF7D6" w14:textId="5715A085" w:rsidR="00A824EB" w:rsidRPr="008429ED" w:rsidRDefault="00A824EB" w:rsidP="00A824EB">
            <w:pPr>
              <w:spacing w:after="0" w:line="240" w:lineRule="auto"/>
              <w:rPr>
                <w:rFonts w:ascii="Arial" w:eastAsia="Times New Roman" w:hAnsi="Arial" w:cs="Arial"/>
                <w:sz w:val="20"/>
                <w:szCs w:val="20"/>
                <w:lang w:eastAsia="en-ZA"/>
              </w:rPr>
            </w:pPr>
            <w:r w:rsidRPr="00D60477">
              <w:rPr>
                <w:rFonts w:ascii="Arial" w:eastAsia="Times New Roman" w:hAnsi="Arial" w:cs="Arial"/>
                <w:sz w:val="20"/>
                <w:szCs w:val="20"/>
                <w:lang w:eastAsia="en-ZA"/>
              </w:rPr>
              <w:t>To be confirmed</w:t>
            </w:r>
          </w:p>
        </w:tc>
      </w:tr>
    </w:tbl>
    <w:p w14:paraId="21D02203" w14:textId="77777777" w:rsidR="004438EF" w:rsidRPr="008429ED" w:rsidRDefault="004438EF" w:rsidP="004438EF">
      <w:pPr>
        <w:spacing w:after="0" w:line="240" w:lineRule="auto"/>
        <w:rPr>
          <w:rFonts w:ascii="Arial" w:eastAsia="Times New Roman" w:hAnsi="Arial" w:cs="Times New Roman"/>
          <w:b/>
          <w:szCs w:val="24"/>
          <w:lang w:eastAsia="en-GB"/>
        </w:rPr>
      </w:pPr>
    </w:p>
    <w:p w14:paraId="292C131C" w14:textId="5070A259" w:rsidR="000E75E3" w:rsidRPr="00782B80" w:rsidRDefault="00E01B12" w:rsidP="009B69FB">
      <w:pPr>
        <w:pStyle w:val="Heading1"/>
        <w:shd w:val="clear" w:color="auto" w:fill="DEEAF6" w:themeFill="accent1" w:themeFillTint="33"/>
        <w:ind w:left="720" w:hanging="720"/>
        <w:rPr>
          <w:color w:val="auto"/>
          <w:lang w:val="en-GB"/>
        </w:rPr>
      </w:pPr>
      <w:bookmarkStart w:id="8" w:name="_Toc52534941"/>
      <w:r>
        <w:rPr>
          <w:color w:val="auto"/>
          <w:lang w:val="en-GB"/>
        </w:rPr>
        <w:t>6</w:t>
      </w:r>
      <w:r w:rsidR="009B69FB">
        <w:rPr>
          <w:color w:val="auto"/>
          <w:lang w:val="en-GB"/>
        </w:rPr>
        <w:t>.</w:t>
      </w:r>
      <w:r w:rsidR="009B69FB">
        <w:rPr>
          <w:color w:val="auto"/>
          <w:lang w:val="en-GB"/>
        </w:rPr>
        <w:tab/>
      </w:r>
      <w:r w:rsidR="00667565">
        <w:rPr>
          <w:color w:val="auto"/>
          <w:lang w:val="en-GB"/>
        </w:rPr>
        <w:t>Report</w:t>
      </w:r>
      <w:r w:rsidR="006E3522">
        <w:rPr>
          <w:color w:val="auto"/>
          <w:lang w:val="en-GB"/>
        </w:rPr>
        <w:t xml:space="preserve"> on contracts that were overpaid by R4 billion</w:t>
      </w:r>
      <w:bookmarkEnd w:id="8"/>
    </w:p>
    <w:p w14:paraId="1AE5D544" w14:textId="77777777" w:rsidR="00383A0A" w:rsidRPr="00782B80" w:rsidRDefault="00383A0A" w:rsidP="000B205E">
      <w:pPr>
        <w:ind w:hanging="720"/>
        <w:rPr>
          <w:rFonts w:ascii="Arial" w:hAnsi="Arial" w:cs="Arial"/>
          <w:sz w:val="24"/>
          <w:lang w:val="en-GB"/>
        </w:rPr>
      </w:pPr>
    </w:p>
    <w:p w14:paraId="7E335F1A" w14:textId="54C46A30" w:rsidR="006E3522" w:rsidRDefault="006E3522" w:rsidP="006E3522">
      <w:pPr>
        <w:spacing w:after="0" w:line="360" w:lineRule="auto"/>
        <w:jc w:val="both"/>
        <w:rPr>
          <w:rFonts w:ascii="Arial" w:hAnsi="Arial" w:cs="Arial"/>
          <w:sz w:val="24"/>
          <w:szCs w:val="24"/>
        </w:rPr>
      </w:pPr>
      <w:r w:rsidRPr="007441FE">
        <w:rPr>
          <w:rFonts w:ascii="Arial" w:hAnsi="Arial" w:cs="Arial"/>
          <w:sz w:val="24"/>
          <w:szCs w:val="24"/>
        </w:rPr>
        <w:t xml:space="preserve">The verbal feedback regarding the possible overpayment was stated by the Chief Operating Officer (COO) during the discussions with SCOA during </w:t>
      </w:r>
      <w:r w:rsidR="001A2A17">
        <w:rPr>
          <w:rFonts w:ascii="Arial" w:hAnsi="Arial" w:cs="Arial"/>
          <w:sz w:val="24"/>
          <w:szCs w:val="24"/>
        </w:rPr>
        <w:t xml:space="preserve">the </w:t>
      </w:r>
      <w:r w:rsidRPr="007441FE">
        <w:rPr>
          <w:rFonts w:ascii="Arial" w:hAnsi="Arial" w:cs="Arial"/>
          <w:sz w:val="24"/>
          <w:szCs w:val="24"/>
        </w:rPr>
        <w:t xml:space="preserve">14-16 October 2019 visits to Eskom. No formal detailed report has been submitted </w:t>
      </w:r>
      <w:r>
        <w:rPr>
          <w:rFonts w:ascii="Arial" w:hAnsi="Arial" w:cs="Arial"/>
          <w:sz w:val="24"/>
          <w:szCs w:val="24"/>
        </w:rPr>
        <w:t>to DPE or</w:t>
      </w:r>
      <w:r w:rsidRPr="006D1A1B">
        <w:rPr>
          <w:rFonts w:ascii="Arial" w:hAnsi="Arial" w:cs="Arial"/>
          <w:sz w:val="24"/>
          <w:szCs w:val="24"/>
        </w:rPr>
        <w:t xml:space="preserve"> SCOA </w:t>
      </w:r>
      <w:r>
        <w:rPr>
          <w:rFonts w:ascii="Arial" w:hAnsi="Arial" w:cs="Arial"/>
          <w:sz w:val="24"/>
          <w:szCs w:val="24"/>
        </w:rPr>
        <w:t>with regard to contractual overpayments</w:t>
      </w:r>
      <w:r w:rsidR="001A2A17">
        <w:rPr>
          <w:rFonts w:ascii="Arial" w:hAnsi="Arial" w:cs="Arial"/>
          <w:sz w:val="24"/>
          <w:szCs w:val="24"/>
        </w:rPr>
        <w:t>;</w:t>
      </w:r>
      <w:r>
        <w:rPr>
          <w:rFonts w:ascii="Arial" w:hAnsi="Arial" w:cs="Arial"/>
          <w:sz w:val="24"/>
          <w:szCs w:val="24"/>
        </w:rPr>
        <w:t xml:space="preserve"> this being due to the fact that the investigations by the SIU, NPA, Bowman </w:t>
      </w:r>
      <w:r w:rsidRPr="00EA1299">
        <w:rPr>
          <w:rFonts w:ascii="Arial" w:hAnsi="Arial" w:cs="Arial"/>
          <w:sz w:val="24"/>
          <w:szCs w:val="24"/>
        </w:rPr>
        <w:t>Gilfillan</w:t>
      </w:r>
      <w:r>
        <w:rPr>
          <w:rFonts w:ascii="Arial" w:hAnsi="Arial" w:cs="Arial"/>
          <w:sz w:val="24"/>
          <w:szCs w:val="24"/>
        </w:rPr>
        <w:t xml:space="preserve"> and Eskom into these overpayments to the contractors involved </w:t>
      </w:r>
      <w:r w:rsidR="001A2A17">
        <w:rPr>
          <w:rFonts w:ascii="Arial" w:hAnsi="Arial" w:cs="Arial"/>
          <w:sz w:val="24"/>
          <w:szCs w:val="24"/>
        </w:rPr>
        <w:t xml:space="preserve">are </w:t>
      </w:r>
      <w:r>
        <w:rPr>
          <w:rFonts w:ascii="Arial" w:hAnsi="Arial" w:cs="Arial"/>
          <w:sz w:val="24"/>
          <w:szCs w:val="24"/>
        </w:rPr>
        <w:t xml:space="preserve">ongoing and </w:t>
      </w:r>
      <w:r w:rsidR="001A2A17">
        <w:rPr>
          <w:rFonts w:ascii="Arial" w:hAnsi="Arial" w:cs="Arial"/>
          <w:sz w:val="24"/>
          <w:szCs w:val="24"/>
        </w:rPr>
        <w:t xml:space="preserve"> </w:t>
      </w:r>
      <w:r w:rsidRPr="008C4A90">
        <w:rPr>
          <w:rFonts w:ascii="Arial" w:hAnsi="Arial" w:cs="Arial"/>
          <w:b/>
          <w:sz w:val="24"/>
          <w:szCs w:val="24"/>
          <w:u w:val="single"/>
        </w:rPr>
        <w:t>not complete</w:t>
      </w:r>
      <w:r>
        <w:rPr>
          <w:rFonts w:ascii="Arial" w:hAnsi="Arial" w:cs="Arial"/>
          <w:sz w:val="24"/>
          <w:szCs w:val="24"/>
        </w:rPr>
        <w:t xml:space="preserve"> at this stage. The details of the validity of these payments and the quantum </w:t>
      </w:r>
      <w:r w:rsidR="001A2A17">
        <w:rPr>
          <w:rFonts w:ascii="Arial" w:hAnsi="Arial" w:cs="Arial"/>
          <w:sz w:val="24"/>
          <w:szCs w:val="24"/>
        </w:rPr>
        <w:t xml:space="preserve">thereof </w:t>
      </w:r>
      <w:r>
        <w:rPr>
          <w:rFonts w:ascii="Arial" w:hAnsi="Arial" w:cs="Arial"/>
          <w:sz w:val="24"/>
          <w:szCs w:val="24"/>
        </w:rPr>
        <w:t>are being verified.</w:t>
      </w:r>
    </w:p>
    <w:p w14:paraId="13D45AA4" w14:textId="77777777" w:rsidR="006E3522" w:rsidRDefault="006E3522" w:rsidP="006E3522">
      <w:pPr>
        <w:spacing w:after="0" w:line="360" w:lineRule="auto"/>
        <w:jc w:val="both"/>
        <w:rPr>
          <w:rFonts w:ascii="Arial" w:hAnsi="Arial" w:cs="Arial"/>
          <w:sz w:val="24"/>
          <w:szCs w:val="24"/>
        </w:rPr>
      </w:pPr>
    </w:p>
    <w:p w14:paraId="54A5F229" w14:textId="11A2ECA8" w:rsidR="006E3522" w:rsidRPr="007441FE" w:rsidRDefault="006E3522" w:rsidP="006E3522">
      <w:pPr>
        <w:spacing w:after="0" w:line="360" w:lineRule="auto"/>
        <w:jc w:val="both"/>
        <w:rPr>
          <w:rFonts w:ascii="Arial" w:hAnsi="Arial" w:cs="Arial"/>
          <w:sz w:val="24"/>
          <w:szCs w:val="24"/>
        </w:rPr>
      </w:pPr>
      <w:r w:rsidRPr="007441FE">
        <w:rPr>
          <w:rFonts w:ascii="Arial" w:hAnsi="Arial" w:cs="Arial"/>
          <w:sz w:val="24"/>
          <w:szCs w:val="24"/>
        </w:rPr>
        <w:t xml:space="preserve">From the onset, Eskom needs to define clearly what we mean by “overpayment” in these contracts. This refers to contracts that Eskom entered into with these suppliers, whose values the current management team is of the view were inflated above the most realistic prices. By “overpayment” we mean Eskom bound itself into contracts that, in our opinion, paid too much for the services offered. To this end, Eskom has </w:t>
      </w:r>
      <w:r>
        <w:rPr>
          <w:rFonts w:ascii="Arial" w:hAnsi="Arial" w:cs="Arial"/>
          <w:sz w:val="24"/>
          <w:szCs w:val="24"/>
        </w:rPr>
        <w:t>initiated investigations, through the SIU, on these contracts</w:t>
      </w:r>
      <w:r w:rsidRPr="007441FE">
        <w:rPr>
          <w:rFonts w:ascii="Arial" w:hAnsi="Arial" w:cs="Arial"/>
          <w:sz w:val="24"/>
          <w:szCs w:val="24"/>
        </w:rPr>
        <w:t xml:space="preserve">, with a view to amend the contracts in question and to claw back some of the money that we believe </w:t>
      </w:r>
      <w:r w:rsidR="001A2A17" w:rsidRPr="007441FE">
        <w:rPr>
          <w:rFonts w:ascii="Arial" w:hAnsi="Arial" w:cs="Arial"/>
          <w:sz w:val="24"/>
          <w:szCs w:val="24"/>
        </w:rPr>
        <w:t>w</w:t>
      </w:r>
      <w:r w:rsidR="001A2A17">
        <w:rPr>
          <w:rFonts w:ascii="Arial" w:hAnsi="Arial" w:cs="Arial"/>
          <w:sz w:val="24"/>
          <w:szCs w:val="24"/>
        </w:rPr>
        <w:t>as</w:t>
      </w:r>
      <w:r w:rsidR="001A2A17" w:rsidRPr="007441FE">
        <w:rPr>
          <w:rFonts w:ascii="Arial" w:hAnsi="Arial" w:cs="Arial"/>
          <w:sz w:val="24"/>
          <w:szCs w:val="24"/>
        </w:rPr>
        <w:t xml:space="preserve"> </w:t>
      </w:r>
      <w:r w:rsidRPr="007441FE">
        <w:rPr>
          <w:rFonts w:ascii="Arial" w:hAnsi="Arial" w:cs="Arial"/>
          <w:sz w:val="24"/>
          <w:szCs w:val="24"/>
        </w:rPr>
        <w:t xml:space="preserve">inflated.    </w:t>
      </w:r>
    </w:p>
    <w:p w14:paraId="011BFD79" w14:textId="12D50A11" w:rsidR="00257540" w:rsidRDefault="00257540" w:rsidP="006E3522">
      <w:pPr>
        <w:spacing w:after="0" w:line="240" w:lineRule="auto"/>
        <w:jc w:val="both"/>
        <w:rPr>
          <w:rFonts w:ascii="Arial" w:hAnsi="Arial" w:cs="Arial"/>
          <w:sz w:val="24"/>
          <w:szCs w:val="24"/>
        </w:rPr>
      </w:pPr>
    </w:p>
    <w:p w14:paraId="11EFDE0F" w14:textId="41D6E2A7" w:rsidR="0047365E" w:rsidRDefault="0047365E" w:rsidP="006E3522">
      <w:pPr>
        <w:spacing w:after="0" w:line="240" w:lineRule="auto"/>
        <w:jc w:val="both"/>
        <w:rPr>
          <w:rFonts w:ascii="Arial" w:hAnsi="Arial" w:cs="Arial"/>
          <w:sz w:val="24"/>
          <w:szCs w:val="24"/>
        </w:rPr>
      </w:pPr>
    </w:p>
    <w:p w14:paraId="6BC20359" w14:textId="77777777" w:rsidR="0047365E" w:rsidRDefault="0047365E" w:rsidP="006E3522">
      <w:pPr>
        <w:spacing w:after="0" w:line="240" w:lineRule="auto"/>
        <w:jc w:val="both"/>
        <w:rPr>
          <w:rFonts w:ascii="Arial" w:hAnsi="Arial" w:cs="Arial"/>
          <w:sz w:val="24"/>
          <w:szCs w:val="24"/>
        </w:rPr>
      </w:pPr>
    </w:p>
    <w:p w14:paraId="4B2860ED" w14:textId="77777777" w:rsidR="006E3522" w:rsidRDefault="006E3522" w:rsidP="006E3522">
      <w:pPr>
        <w:spacing w:after="0" w:line="240" w:lineRule="auto"/>
        <w:jc w:val="both"/>
        <w:rPr>
          <w:rFonts w:ascii="Arial" w:hAnsi="Arial" w:cs="Arial"/>
          <w:sz w:val="24"/>
          <w:szCs w:val="24"/>
        </w:rPr>
      </w:pPr>
      <w:r>
        <w:rPr>
          <w:rFonts w:ascii="Arial" w:hAnsi="Arial" w:cs="Arial"/>
          <w:sz w:val="24"/>
          <w:szCs w:val="24"/>
        </w:rPr>
        <w:t xml:space="preserve">The contractors involved in these investigations include:  </w:t>
      </w:r>
    </w:p>
    <w:p w14:paraId="671B364B" w14:textId="77777777" w:rsidR="006E3522" w:rsidRDefault="006E3522" w:rsidP="006E3522">
      <w:pPr>
        <w:spacing w:after="0" w:line="240" w:lineRule="auto"/>
        <w:jc w:val="both"/>
        <w:rPr>
          <w:rFonts w:ascii="Arial" w:hAnsi="Arial" w:cs="Arial"/>
          <w:sz w:val="24"/>
          <w:szCs w:val="24"/>
        </w:rPr>
      </w:pPr>
    </w:p>
    <w:tbl>
      <w:tblPr>
        <w:tblStyle w:val="TableGrid"/>
        <w:tblW w:w="5317" w:type="pct"/>
        <w:tblLook w:val="04A0" w:firstRow="1" w:lastRow="0" w:firstColumn="1" w:lastColumn="0" w:noHBand="0" w:noVBand="1"/>
      </w:tblPr>
      <w:tblGrid>
        <w:gridCol w:w="350"/>
        <w:gridCol w:w="7015"/>
        <w:gridCol w:w="1987"/>
        <w:gridCol w:w="236"/>
      </w:tblGrid>
      <w:tr w:rsidR="006E3522" w14:paraId="55679FFF" w14:textId="77777777" w:rsidTr="00A16047">
        <w:trPr>
          <w:gridAfter w:val="1"/>
          <w:wAfter w:w="123" w:type="pct"/>
        </w:trPr>
        <w:tc>
          <w:tcPr>
            <w:tcW w:w="183" w:type="pct"/>
          </w:tcPr>
          <w:p w14:paraId="19FEBF0E" w14:textId="77777777" w:rsidR="006E3522" w:rsidRDefault="006E3522" w:rsidP="00A16047">
            <w:pPr>
              <w:jc w:val="center"/>
              <w:rPr>
                <w:rFonts w:ascii="Arial" w:hAnsi="Arial" w:cs="Arial"/>
                <w:sz w:val="24"/>
                <w:szCs w:val="24"/>
              </w:rPr>
            </w:pPr>
          </w:p>
        </w:tc>
        <w:tc>
          <w:tcPr>
            <w:tcW w:w="3658" w:type="pct"/>
          </w:tcPr>
          <w:p w14:paraId="5CF42D76" w14:textId="77777777" w:rsidR="006E3522" w:rsidRPr="00CF0173" w:rsidRDefault="006E3522" w:rsidP="00A16047">
            <w:pPr>
              <w:rPr>
                <w:rFonts w:ascii="Arial" w:hAnsi="Arial" w:cs="Arial"/>
                <w:sz w:val="24"/>
                <w:szCs w:val="24"/>
              </w:rPr>
            </w:pPr>
            <w:r>
              <w:rPr>
                <w:rFonts w:ascii="Arial" w:hAnsi="Arial" w:cs="Arial"/>
                <w:sz w:val="24"/>
                <w:szCs w:val="24"/>
              </w:rPr>
              <w:t>Contract</w:t>
            </w:r>
          </w:p>
        </w:tc>
        <w:tc>
          <w:tcPr>
            <w:tcW w:w="1036" w:type="pct"/>
          </w:tcPr>
          <w:p w14:paraId="1E80FC9C" w14:textId="77777777" w:rsidR="006E3522" w:rsidRPr="00CF0173" w:rsidRDefault="006E3522" w:rsidP="00A16047">
            <w:pPr>
              <w:rPr>
                <w:rFonts w:ascii="Arial" w:hAnsi="Arial" w:cs="Arial"/>
                <w:sz w:val="24"/>
                <w:szCs w:val="24"/>
              </w:rPr>
            </w:pPr>
            <w:r>
              <w:rPr>
                <w:rFonts w:ascii="Arial" w:hAnsi="Arial" w:cs="Arial"/>
                <w:sz w:val="24"/>
                <w:szCs w:val="24"/>
              </w:rPr>
              <w:t>Estimated Overpayment</w:t>
            </w:r>
          </w:p>
        </w:tc>
      </w:tr>
      <w:tr w:rsidR="006E3522" w14:paraId="25DBA8FC" w14:textId="77777777" w:rsidTr="00A16047">
        <w:trPr>
          <w:gridAfter w:val="1"/>
          <w:wAfter w:w="123" w:type="pct"/>
        </w:trPr>
        <w:tc>
          <w:tcPr>
            <w:tcW w:w="183" w:type="pct"/>
          </w:tcPr>
          <w:p w14:paraId="0371E3BD" w14:textId="77777777" w:rsidR="006E3522" w:rsidRDefault="006E3522" w:rsidP="00A16047">
            <w:pPr>
              <w:jc w:val="center"/>
              <w:rPr>
                <w:rFonts w:ascii="Arial" w:hAnsi="Arial" w:cs="Arial"/>
                <w:sz w:val="24"/>
                <w:szCs w:val="24"/>
              </w:rPr>
            </w:pPr>
            <w:r>
              <w:rPr>
                <w:rFonts w:ascii="Arial" w:hAnsi="Arial" w:cs="Arial"/>
                <w:sz w:val="24"/>
                <w:szCs w:val="24"/>
              </w:rPr>
              <w:t>1</w:t>
            </w:r>
          </w:p>
        </w:tc>
        <w:tc>
          <w:tcPr>
            <w:tcW w:w="3658" w:type="pct"/>
          </w:tcPr>
          <w:p w14:paraId="433A84EE" w14:textId="77777777" w:rsidR="006E3522" w:rsidRPr="00CF0173" w:rsidRDefault="006E3522" w:rsidP="00A16047">
            <w:pPr>
              <w:rPr>
                <w:rFonts w:ascii="Arial" w:hAnsi="Arial" w:cs="Arial"/>
                <w:sz w:val="24"/>
                <w:szCs w:val="24"/>
              </w:rPr>
            </w:pPr>
            <w:r w:rsidRPr="00CF0173">
              <w:rPr>
                <w:rFonts w:ascii="Arial" w:hAnsi="Arial" w:cs="Arial"/>
                <w:sz w:val="24"/>
                <w:szCs w:val="24"/>
              </w:rPr>
              <w:t>ABB</w:t>
            </w:r>
            <w:r>
              <w:rPr>
                <w:rFonts w:ascii="Arial" w:hAnsi="Arial" w:cs="Arial"/>
                <w:sz w:val="24"/>
                <w:szCs w:val="24"/>
              </w:rPr>
              <w:t xml:space="preserve"> South Africa (Package 21A)</w:t>
            </w:r>
          </w:p>
        </w:tc>
        <w:tc>
          <w:tcPr>
            <w:tcW w:w="1036" w:type="pct"/>
          </w:tcPr>
          <w:p w14:paraId="370A6BF0" w14:textId="77777777" w:rsidR="006E3522" w:rsidRPr="00CF0173" w:rsidRDefault="006E3522" w:rsidP="00A16047">
            <w:pPr>
              <w:rPr>
                <w:rFonts w:ascii="Arial" w:hAnsi="Arial" w:cs="Arial"/>
                <w:sz w:val="24"/>
                <w:szCs w:val="24"/>
              </w:rPr>
            </w:pPr>
            <w:r>
              <w:rPr>
                <w:rFonts w:ascii="Arial" w:hAnsi="Arial" w:cs="Arial"/>
                <w:sz w:val="24"/>
                <w:szCs w:val="24"/>
              </w:rPr>
              <w:t>R1bn</w:t>
            </w:r>
          </w:p>
        </w:tc>
      </w:tr>
      <w:tr w:rsidR="006E3522" w14:paraId="29D5A099" w14:textId="77777777" w:rsidTr="00A16047">
        <w:trPr>
          <w:gridAfter w:val="1"/>
          <w:wAfter w:w="123" w:type="pct"/>
        </w:trPr>
        <w:tc>
          <w:tcPr>
            <w:tcW w:w="183" w:type="pct"/>
          </w:tcPr>
          <w:p w14:paraId="76EE9A5E" w14:textId="77777777" w:rsidR="006E3522" w:rsidRDefault="006E3522" w:rsidP="00A16047">
            <w:pPr>
              <w:jc w:val="center"/>
              <w:rPr>
                <w:rFonts w:ascii="Arial" w:hAnsi="Arial" w:cs="Arial"/>
                <w:sz w:val="24"/>
                <w:szCs w:val="24"/>
              </w:rPr>
            </w:pPr>
            <w:r>
              <w:rPr>
                <w:rFonts w:ascii="Arial" w:hAnsi="Arial" w:cs="Arial"/>
                <w:sz w:val="24"/>
                <w:szCs w:val="24"/>
              </w:rPr>
              <w:t>2</w:t>
            </w:r>
          </w:p>
        </w:tc>
        <w:tc>
          <w:tcPr>
            <w:tcW w:w="3658" w:type="pct"/>
          </w:tcPr>
          <w:p w14:paraId="3AA50BA6" w14:textId="77777777" w:rsidR="006E3522" w:rsidRPr="00CF0173" w:rsidRDefault="006E3522" w:rsidP="00A16047">
            <w:pPr>
              <w:rPr>
                <w:rFonts w:ascii="Arial" w:hAnsi="Arial" w:cs="Arial"/>
                <w:sz w:val="24"/>
                <w:szCs w:val="24"/>
              </w:rPr>
            </w:pPr>
            <w:r w:rsidRPr="009811EE">
              <w:rPr>
                <w:rFonts w:ascii="Arial" w:hAnsi="Arial" w:cs="Arial"/>
                <w:sz w:val="24"/>
                <w:szCs w:val="24"/>
              </w:rPr>
              <w:t>Tenova Mining and Minerals SA (Pty) Ltd</w:t>
            </w:r>
            <w:r>
              <w:rPr>
                <w:rFonts w:ascii="Arial" w:hAnsi="Arial" w:cs="Arial"/>
                <w:sz w:val="24"/>
                <w:szCs w:val="24"/>
              </w:rPr>
              <w:t xml:space="preserve"> (Package 24B, 24C and 24E)</w:t>
            </w:r>
          </w:p>
        </w:tc>
        <w:tc>
          <w:tcPr>
            <w:tcW w:w="1036" w:type="pct"/>
          </w:tcPr>
          <w:p w14:paraId="68BCB0C0" w14:textId="77777777" w:rsidR="006E3522" w:rsidRPr="009811EE" w:rsidRDefault="006E3522" w:rsidP="00A16047">
            <w:pPr>
              <w:rPr>
                <w:rFonts w:ascii="Arial" w:hAnsi="Arial" w:cs="Arial"/>
                <w:sz w:val="24"/>
                <w:szCs w:val="24"/>
              </w:rPr>
            </w:pPr>
            <w:r>
              <w:rPr>
                <w:rFonts w:ascii="Arial" w:hAnsi="Arial" w:cs="Arial"/>
                <w:sz w:val="24"/>
                <w:szCs w:val="24"/>
              </w:rPr>
              <w:t>R735m</w:t>
            </w:r>
          </w:p>
        </w:tc>
      </w:tr>
      <w:tr w:rsidR="006E3522" w14:paraId="7B7342BC" w14:textId="77777777" w:rsidTr="00A16047">
        <w:trPr>
          <w:gridAfter w:val="1"/>
          <w:wAfter w:w="123" w:type="pct"/>
        </w:trPr>
        <w:tc>
          <w:tcPr>
            <w:tcW w:w="183" w:type="pct"/>
          </w:tcPr>
          <w:p w14:paraId="037EE82D" w14:textId="77777777" w:rsidR="006E3522" w:rsidRDefault="006E3522" w:rsidP="00A16047">
            <w:pPr>
              <w:jc w:val="center"/>
              <w:rPr>
                <w:rFonts w:ascii="Arial" w:hAnsi="Arial" w:cs="Arial"/>
                <w:sz w:val="24"/>
                <w:szCs w:val="24"/>
              </w:rPr>
            </w:pPr>
            <w:r>
              <w:rPr>
                <w:rFonts w:ascii="Arial" w:hAnsi="Arial" w:cs="Arial"/>
                <w:sz w:val="24"/>
                <w:szCs w:val="24"/>
              </w:rPr>
              <w:t>3</w:t>
            </w:r>
          </w:p>
        </w:tc>
        <w:tc>
          <w:tcPr>
            <w:tcW w:w="3658" w:type="pct"/>
          </w:tcPr>
          <w:p w14:paraId="369DAA9D" w14:textId="325DAF17" w:rsidR="006E3522" w:rsidRPr="00CF0173" w:rsidRDefault="006E3522" w:rsidP="00A16047">
            <w:pPr>
              <w:rPr>
                <w:rFonts w:ascii="Arial" w:hAnsi="Arial" w:cs="Arial"/>
                <w:sz w:val="24"/>
                <w:szCs w:val="24"/>
              </w:rPr>
            </w:pPr>
            <w:r>
              <w:rPr>
                <w:rFonts w:ascii="Arial" w:hAnsi="Arial" w:cs="Arial"/>
                <w:sz w:val="24"/>
                <w:szCs w:val="24"/>
              </w:rPr>
              <w:t>Tubular Construction P</w:t>
            </w:r>
            <w:r w:rsidRPr="00E96D4E">
              <w:rPr>
                <w:rFonts w:ascii="Arial" w:hAnsi="Arial" w:cs="Arial"/>
                <w:sz w:val="24"/>
                <w:szCs w:val="24"/>
              </w:rPr>
              <w:t>rojects (P</w:t>
            </w:r>
            <w:r w:rsidR="001A2A17">
              <w:rPr>
                <w:rFonts w:ascii="Arial" w:hAnsi="Arial" w:cs="Arial"/>
                <w:sz w:val="24"/>
                <w:szCs w:val="24"/>
              </w:rPr>
              <w:t>ty</w:t>
            </w:r>
            <w:r w:rsidRPr="00E96D4E">
              <w:rPr>
                <w:rFonts w:ascii="Arial" w:hAnsi="Arial" w:cs="Arial"/>
                <w:sz w:val="24"/>
                <w:szCs w:val="24"/>
              </w:rPr>
              <w:t>) Ltd</w:t>
            </w:r>
            <w:r>
              <w:rPr>
                <w:rFonts w:ascii="Arial" w:hAnsi="Arial" w:cs="Arial"/>
                <w:sz w:val="24"/>
                <w:szCs w:val="24"/>
              </w:rPr>
              <w:t xml:space="preserve"> (Package 11A &amp;17A)</w:t>
            </w:r>
          </w:p>
        </w:tc>
        <w:tc>
          <w:tcPr>
            <w:tcW w:w="1036" w:type="pct"/>
          </w:tcPr>
          <w:p w14:paraId="59A71F93" w14:textId="77777777" w:rsidR="006E3522" w:rsidRDefault="006E3522" w:rsidP="00A16047">
            <w:pPr>
              <w:rPr>
                <w:rFonts w:ascii="Arial" w:hAnsi="Arial" w:cs="Arial"/>
                <w:sz w:val="24"/>
                <w:szCs w:val="24"/>
              </w:rPr>
            </w:pPr>
            <w:r>
              <w:rPr>
                <w:rFonts w:ascii="Arial" w:hAnsi="Arial" w:cs="Arial"/>
                <w:sz w:val="24"/>
                <w:szCs w:val="24"/>
              </w:rPr>
              <w:t>R1bn</w:t>
            </w:r>
          </w:p>
        </w:tc>
      </w:tr>
      <w:tr w:rsidR="006E3522" w14:paraId="2BA6A863" w14:textId="77777777" w:rsidTr="00A16047">
        <w:trPr>
          <w:gridAfter w:val="1"/>
          <w:wAfter w:w="123" w:type="pct"/>
        </w:trPr>
        <w:tc>
          <w:tcPr>
            <w:tcW w:w="183" w:type="pct"/>
          </w:tcPr>
          <w:p w14:paraId="0FD41B90" w14:textId="77777777" w:rsidR="006E3522" w:rsidRDefault="006E3522" w:rsidP="00A16047">
            <w:pPr>
              <w:jc w:val="center"/>
              <w:rPr>
                <w:rFonts w:ascii="Arial" w:hAnsi="Arial" w:cs="Arial"/>
                <w:sz w:val="24"/>
                <w:szCs w:val="24"/>
              </w:rPr>
            </w:pPr>
            <w:r>
              <w:rPr>
                <w:rFonts w:ascii="Arial" w:hAnsi="Arial" w:cs="Arial"/>
                <w:sz w:val="24"/>
                <w:szCs w:val="24"/>
              </w:rPr>
              <w:t>4</w:t>
            </w:r>
          </w:p>
        </w:tc>
        <w:tc>
          <w:tcPr>
            <w:tcW w:w="3658" w:type="pct"/>
          </w:tcPr>
          <w:p w14:paraId="57322121" w14:textId="77777777" w:rsidR="006E3522" w:rsidRPr="00CF0173" w:rsidRDefault="006E3522" w:rsidP="00A16047">
            <w:pPr>
              <w:rPr>
                <w:rFonts w:ascii="Arial" w:hAnsi="Arial" w:cs="Arial"/>
                <w:sz w:val="24"/>
                <w:szCs w:val="24"/>
              </w:rPr>
            </w:pPr>
            <w:r w:rsidRPr="00CF0173">
              <w:rPr>
                <w:rFonts w:ascii="Arial" w:hAnsi="Arial" w:cs="Arial"/>
                <w:sz w:val="24"/>
                <w:szCs w:val="24"/>
              </w:rPr>
              <w:t>S</w:t>
            </w:r>
            <w:r>
              <w:rPr>
                <w:rFonts w:ascii="Arial" w:hAnsi="Arial" w:cs="Arial"/>
                <w:sz w:val="24"/>
                <w:szCs w:val="24"/>
              </w:rPr>
              <w:t xml:space="preserve">tefanutti </w:t>
            </w:r>
            <w:r w:rsidRPr="00CF0173">
              <w:rPr>
                <w:rFonts w:ascii="Arial" w:hAnsi="Arial" w:cs="Arial"/>
                <w:sz w:val="24"/>
                <w:szCs w:val="24"/>
              </w:rPr>
              <w:t>S</w:t>
            </w:r>
            <w:r>
              <w:rPr>
                <w:rFonts w:ascii="Arial" w:hAnsi="Arial" w:cs="Arial"/>
                <w:sz w:val="24"/>
                <w:szCs w:val="24"/>
              </w:rPr>
              <w:t xml:space="preserve">tocks </w:t>
            </w:r>
            <w:r w:rsidRPr="00CF0173">
              <w:rPr>
                <w:rFonts w:ascii="Arial" w:hAnsi="Arial" w:cs="Arial"/>
                <w:sz w:val="24"/>
                <w:szCs w:val="24"/>
              </w:rPr>
              <w:t>B</w:t>
            </w:r>
            <w:r>
              <w:rPr>
                <w:rFonts w:ascii="Arial" w:hAnsi="Arial" w:cs="Arial"/>
                <w:sz w:val="24"/>
                <w:szCs w:val="24"/>
              </w:rPr>
              <w:t xml:space="preserve">asil </w:t>
            </w:r>
            <w:r w:rsidRPr="00CF0173">
              <w:rPr>
                <w:rFonts w:ascii="Arial" w:hAnsi="Arial" w:cs="Arial"/>
                <w:sz w:val="24"/>
                <w:szCs w:val="24"/>
              </w:rPr>
              <w:t>R</w:t>
            </w:r>
            <w:r>
              <w:rPr>
                <w:rFonts w:ascii="Arial" w:hAnsi="Arial" w:cs="Arial"/>
                <w:sz w:val="24"/>
                <w:szCs w:val="24"/>
              </w:rPr>
              <w:t>ead JV (Package 16) and Stefanutti</w:t>
            </w:r>
            <w:r w:rsidRPr="00CF0173">
              <w:rPr>
                <w:rFonts w:ascii="Arial" w:hAnsi="Arial" w:cs="Arial"/>
                <w:sz w:val="24"/>
                <w:szCs w:val="24"/>
              </w:rPr>
              <w:t xml:space="preserve"> Stocks</w:t>
            </w:r>
            <w:r>
              <w:rPr>
                <w:rFonts w:ascii="Arial" w:hAnsi="Arial" w:cs="Arial"/>
                <w:sz w:val="24"/>
                <w:szCs w:val="24"/>
              </w:rPr>
              <w:t xml:space="preserve"> Izazi JV (Package </w:t>
            </w:r>
            <w:r w:rsidRPr="00F431CD">
              <w:rPr>
                <w:rFonts w:ascii="Arial" w:hAnsi="Arial" w:cs="Arial"/>
                <w:sz w:val="24"/>
                <w:szCs w:val="24"/>
              </w:rPr>
              <w:t>28</w:t>
            </w:r>
            <w:r>
              <w:rPr>
                <w:rFonts w:ascii="Arial" w:hAnsi="Arial" w:cs="Arial"/>
                <w:sz w:val="24"/>
                <w:szCs w:val="24"/>
              </w:rPr>
              <w:t>)</w:t>
            </w:r>
          </w:p>
        </w:tc>
        <w:tc>
          <w:tcPr>
            <w:tcW w:w="1036" w:type="pct"/>
            <w:tcBorders>
              <w:bottom w:val="single" w:sz="4" w:space="0" w:color="auto"/>
            </w:tcBorders>
          </w:tcPr>
          <w:p w14:paraId="392DC335" w14:textId="77777777" w:rsidR="006E3522" w:rsidRPr="00CF0173" w:rsidRDefault="006E3522" w:rsidP="00A16047">
            <w:pPr>
              <w:rPr>
                <w:rFonts w:ascii="Arial" w:hAnsi="Arial" w:cs="Arial"/>
                <w:sz w:val="24"/>
                <w:szCs w:val="24"/>
              </w:rPr>
            </w:pPr>
            <w:r>
              <w:rPr>
                <w:rFonts w:ascii="Arial" w:hAnsi="Arial" w:cs="Arial"/>
                <w:sz w:val="24"/>
                <w:szCs w:val="24"/>
              </w:rPr>
              <w:t>R1bn</w:t>
            </w:r>
          </w:p>
        </w:tc>
      </w:tr>
      <w:tr w:rsidR="006E3522" w14:paraId="2B87995E" w14:textId="77777777" w:rsidTr="00A16047">
        <w:tc>
          <w:tcPr>
            <w:tcW w:w="183" w:type="pct"/>
          </w:tcPr>
          <w:p w14:paraId="3396B987" w14:textId="77777777" w:rsidR="006E3522" w:rsidRDefault="006E3522" w:rsidP="00A16047">
            <w:pPr>
              <w:jc w:val="center"/>
              <w:rPr>
                <w:rFonts w:ascii="Arial" w:hAnsi="Arial" w:cs="Arial"/>
                <w:sz w:val="24"/>
                <w:szCs w:val="24"/>
              </w:rPr>
            </w:pPr>
            <w:r>
              <w:rPr>
                <w:rFonts w:ascii="Arial" w:hAnsi="Arial" w:cs="Arial"/>
                <w:sz w:val="24"/>
                <w:szCs w:val="24"/>
              </w:rPr>
              <w:t>5</w:t>
            </w:r>
          </w:p>
        </w:tc>
        <w:tc>
          <w:tcPr>
            <w:tcW w:w="3658" w:type="pct"/>
          </w:tcPr>
          <w:p w14:paraId="38584889" w14:textId="77777777" w:rsidR="006E3522" w:rsidRPr="00CF0173" w:rsidRDefault="006E3522" w:rsidP="00A16047">
            <w:pPr>
              <w:rPr>
                <w:rFonts w:ascii="Arial" w:hAnsi="Arial" w:cs="Arial"/>
                <w:sz w:val="24"/>
                <w:szCs w:val="24"/>
              </w:rPr>
            </w:pPr>
            <w:r>
              <w:rPr>
                <w:rFonts w:ascii="Arial" w:hAnsi="Arial" w:cs="Arial"/>
                <w:sz w:val="24"/>
                <w:szCs w:val="24"/>
              </w:rPr>
              <w:t xml:space="preserve"> Various site service contracts (Not in SIU scope)</w:t>
            </w:r>
          </w:p>
        </w:tc>
        <w:tc>
          <w:tcPr>
            <w:tcW w:w="1036" w:type="pct"/>
            <w:tcBorders>
              <w:right w:val="single" w:sz="4" w:space="0" w:color="auto"/>
            </w:tcBorders>
          </w:tcPr>
          <w:p w14:paraId="2DE3771A" w14:textId="77777777" w:rsidR="006E3522" w:rsidRDefault="006E3522" w:rsidP="00A16047">
            <w:pPr>
              <w:rPr>
                <w:rFonts w:ascii="Arial" w:hAnsi="Arial" w:cs="Arial"/>
                <w:sz w:val="24"/>
                <w:szCs w:val="24"/>
              </w:rPr>
            </w:pPr>
            <w:r>
              <w:rPr>
                <w:rFonts w:ascii="Arial" w:hAnsi="Arial" w:cs="Arial"/>
                <w:sz w:val="24"/>
                <w:szCs w:val="24"/>
              </w:rPr>
              <w:t>R180m</w:t>
            </w:r>
          </w:p>
        </w:tc>
        <w:tc>
          <w:tcPr>
            <w:tcW w:w="123" w:type="pct"/>
            <w:tcBorders>
              <w:top w:val="nil"/>
              <w:left w:val="single" w:sz="4" w:space="0" w:color="auto"/>
              <w:bottom w:val="nil"/>
              <w:right w:val="nil"/>
            </w:tcBorders>
          </w:tcPr>
          <w:p w14:paraId="0A5CF74A" w14:textId="77777777" w:rsidR="006E3522" w:rsidRDefault="006E3522" w:rsidP="00A16047">
            <w:pPr>
              <w:rPr>
                <w:rFonts w:ascii="Arial" w:hAnsi="Arial" w:cs="Arial"/>
                <w:sz w:val="24"/>
                <w:szCs w:val="24"/>
              </w:rPr>
            </w:pPr>
          </w:p>
        </w:tc>
      </w:tr>
    </w:tbl>
    <w:p w14:paraId="0C136991" w14:textId="77777777" w:rsidR="006E3522" w:rsidRPr="00CD2A44" w:rsidRDefault="006E3522" w:rsidP="006E3522">
      <w:pPr>
        <w:spacing w:after="0" w:line="240" w:lineRule="auto"/>
        <w:jc w:val="both"/>
        <w:rPr>
          <w:rFonts w:ascii="Arial" w:hAnsi="Arial" w:cs="Arial"/>
          <w:i/>
          <w:sz w:val="24"/>
          <w:szCs w:val="24"/>
        </w:rPr>
      </w:pPr>
    </w:p>
    <w:p w14:paraId="5FC59EEA" w14:textId="77777777" w:rsidR="006E3522" w:rsidRPr="00CD2A44" w:rsidRDefault="006E3522" w:rsidP="00FF67FD">
      <w:pPr>
        <w:pStyle w:val="ListParagraph"/>
        <w:numPr>
          <w:ilvl w:val="0"/>
          <w:numId w:val="1"/>
        </w:numPr>
        <w:spacing w:after="0" w:line="240" w:lineRule="auto"/>
        <w:rPr>
          <w:rFonts w:ascii="Arial" w:hAnsi="Arial" w:cs="Arial"/>
          <w:b/>
          <w:i/>
          <w:u w:val="single"/>
        </w:rPr>
      </w:pPr>
      <w:r w:rsidRPr="00CD2A44">
        <w:rPr>
          <w:rFonts w:ascii="Arial" w:hAnsi="Arial" w:cs="Arial"/>
          <w:b/>
          <w:i/>
          <w:u w:val="single"/>
        </w:rPr>
        <w:t>ABB – Estimated overpayment - &gt;R1billion</w:t>
      </w:r>
      <w:r>
        <w:rPr>
          <w:rFonts w:ascii="Arial" w:hAnsi="Arial" w:cs="Arial"/>
          <w:b/>
          <w:i/>
          <w:u w:val="single"/>
        </w:rPr>
        <w:t>.</w:t>
      </w:r>
      <w:r w:rsidRPr="00CD2A44">
        <w:rPr>
          <w:rFonts w:ascii="Arial" w:hAnsi="Arial" w:cs="Arial"/>
          <w:b/>
          <w:i/>
          <w:u w:val="single"/>
        </w:rPr>
        <w:t xml:space="preserve"> </w:t>
      </w:r>
    </w:p>
    <w:p w14:paraId="3B6E5C89" w14:textId="77777777" w:rsidR="006E3522" w:rsidRDefault="006E3522" w:rsidP="006E3522">
      <w:pPr>
        <w:spacing w:after="0" w:line="240" w:lineRule="auto"/>
        <w:ind w:left="360"/>
        <w:rPr>
          <w:rFonts w:ascii="Arial" w:hAnsi="Arial" w:cs="Arial"/>
          <w:b/>
          <w:sz w:val="24"/>
          <w:szCs w:val="24"/>
        </w:rPr>
      </w:pPr>
    </w:p>
    <w:p w14:paraId="13E0D255" w14:textId="77777777" w:rsidR="006E3522" w:rsidRPr="005801F0" w:rsidRDefault="006E3522" w:rsidP="00FF67FD">
      <w:pPr>
        <w:pStyle w:val="ListParagraph"/>
        <w:numPr>
          <w:ilvl w:val="0"/>
          <w:numId w:val="3"/>
        </w:numPr>
        <w:spacing w:after="0" w:line="240" w:lineRule="auto"/>
        <w:ind w:left="360"/>
        <w:rPr>
          <w:rFonts w:ascii="Arial" w:hAnsi="Arial" w:cs="Arial"/>
          <w:b/>
        </w:rPr>
      </w:pPr>
      <w:r w:rsidRPr="005801F0">
        <w:rPr>
          <w:rFonts w:ascii="Arial" w:hAnsi="Arial" w:cs="Arial"/>
          <w:b/>
        </w:rPr>
        <w:t>The circumstances which led to the overpayment</w:t>
      </w:r>
    </w:p>
    <w:p w14:paraId="32F1C333" w14:textId="77777777" w:rsidR="006E3522" w:rsidRDefault="006E3522" w:rsidP="006E3522">
      <w:pPr>
        <w:spacing w:after="0" w:line="240" w:lineRule="auto"/>
        <w:ind w:left="360"/>
        <w:jc w:val="both"/>
        <w:rPr>
          <w:rFonts w:ascii="Arial" w:hAnsi="Arial" w:cs="Arial"/>
          <w:sz w:val="24"/>
          <w:szCs w:val="24"/>
        </w:rPr>
      </w:pPr>
    </w:p>
    <w:p w14:paraId="7FDA3777" w14:textId="55CA0657" w:rsidR="006E3522" w:rsidRDefault="006E3522" w:rsidP="006E3522">
      <w:pPr>
        <w:spacing w:after="0" w:line="360" w:lineRule="auto"/>
        <w:ind w:left="360"/>
        <w:jc w:val="both"/>
        <w:rPr>
          <w:rFonts w:ascii="Arial" w:hAnsi="Arial" w:cs="Arial"/>
          <w:sz w:val="24"/>
          <w:szCs w:val="24"/>
        </w:rPr>
      </w:pPr>
      <w:r>
        <w:rPr>
          <w:rFonts w:ascii="Arial" w:hAnsi="Arial" w:cs="Arial"/>
          <w:sz w:val="24"/>
          <w:szCs w:val="24"/>
        </w:rPr>
        <w:t xml:space="preserve">ABB was appointed using a closed procurement tender strategy. The strategy included </w:t>
      </w:r>
      <w:r w:rsidR="001A2A17">
        <w:rPr>
          <w:rFonts w:ascii="Arial" w:hAnsi="Arial" w:cs="Arial"/>
          <w:sz w:val="24"/>
          <w:szCs w:val="24"/>
        </w:rPr>
        <w:t xml:space="preserve">three </w:t>
      </w:r>
      <w:r w:rsidR="00F34462">
        <w:rPr>
          <w:rFonts w:ascii="Arial" w:hAnsi="Arial" w:cs="Arial"/>
          <w:sz w:val="24"/>
          <w:szCs w:val="24"/>
        </w:rPr>
        <w:t xml:space="preserve">(3) </w:t>
      </w:r>
      <w:r>
        <w:rPr>
          <w:rFonts w:ascii="Arial" w:hAnsi="Arial" w:cs="Arial"/>
          <w:sz w:val="24"/>
          <w:szCs w:val="24"/>
        </w:rPr>
        <w:t xml:space="preserve">suppliers who had previous experience with the Hitachi Boiler and Alstom Turbine combination. The </w:t>
      </w:r>
      <w:r w:rsidR="001A2A17">
        <w:rPr>
          <w:rFonts w:ascii="Arial" w:hAnsi="Arial" w:cs="Arial"/>
          <w:sz w:val="24"/>
          <w:szCs w:val="24"/>
        </w:rPr>
        <w:t xml:space="preserve">three </w:t>
      </w:r>
      <w:r w:rsidR="00F34462">
        <w:rPr>
          <w:rFonts w:ascii="Arial" w:hAnsi="Arial" w:cs="Arial"/>
          <w:sz w:val="24"/>
          <w:szCs w:val="24"/>
        </w:rPr>
        <w:t xml:space="preserve">(3) </w:t>
      </w:r>
      <w:r>
        <w:rPr>
          <w:rFonts w:ascii="Arial" w:hAnsi="Arial" w:cs="Arial"/>
          <w:sz w:val="24"/>
          <w:szCs w:val="24"/>
        </w:rPr>
        <w:t xml:space="preserve">suppliers that were qualified and listed by Eskom Engineering were ABB, Siemens and Maul Bilfinger. </w:t>
      </w:r>
    </w:p>
    <w:p w14:paraId="718EDC6B" w14:textId="77777777" w:rsidR="006E3522" w:rsidRDefault="006E3522" w:rsidP="006E3522">
      <w:pPr>
        <w:spacing w:after="0" w:line="360" w:lineRule="auto"/>
        <w:ind w:left="360"/>
        <w:jc w:val="both"/>
        <w:rPr>
          <w:rFonts w:ascii="Arial" w:hAnsi="Arial" w:cs="Arial"/>
          <w:sz w:val="24"/>
          <w:szCs w:val="24"/>
        </w:rPr>
      </w:pPr>
    </w:p>
    <w:p w14:paraId="10AAEF62" w14:textId="52E66A68" w:rsidR="006E3522" w:rsidRDefault="006E3522" w:rsidP="006E3522">
      <w:pPr>
        <w:spacing w:after="0" w:line="360" w:lineRule="auto"/>
        <w:ind w:left="360"/>
        <w:jc w:val="both"/>
        <w:rPr>
          <w:rFonts w:ascii="Arial" w:hAnsi="Arial" w:cs="Arial"/>
          <w:sz w:val="24"/>
          <w:szCs w:val="24"/>
        </w:rPr>
      </w:pPr>
      <w:r>
        <w:rPr>
          <w:rFonts w:ascii="Arial" w:hAnsi="Arial" w:cs="Arial"/>
          <w:sz w:val="24"/>
          <w:szCs w:val="24"/>
        </w:rPr>
        <w:t xml:space="preserve">All </w:t>
      </w:r>
      <w:r w:rsidR="001A2A17">
        <w:rPr>
          <w:rFonts w:ascii="Arial" w:hAnsi="Arial" w:cs="Arial"/>
          <w:sz w:val="24"/>
          <w:szCs w:val="24"/>
        </w:rPr>
        <w:t>three</w:t>
      </w:r>
      <w:r w:rsidR="00F34462">
        <w:rPr>
          <w:rFonts w:ascii="Arial" w:hAnsi="Arial" w:cs="Arial"/>
          <w:sz w:val="24"/>
          <w:szCs w:val="24"/>
        </w:rPr>
        <w:t xml:space="preserve"> (3)</w:t>
      </w:r>
      <w:r>
        <w:rPr>
          <w:rFonts w:ascii="Arial" w:hAnsi="Arial" w:cs="Arial"/>
          <w:sz w:val="24"/>
          <w:szCs w:val="24"/>
        </w:rPr>
        <w:t xml:space="preserve"> companies sent information on reference plants and these were visited by Eskom Engineering and a mini Factory Acceptance Test (FAT) was done and witnessed on the product. During this phase Maul Bilfinger did not meet the FAT and withdrew.</w:t>
      </w:r>
    </w:p>
    <w:p w14:paraId="6C8CE721" w14:textId="77777777" w:rsidR="001308AC" w:rsidRDefault="001308AC" w:rsidP="006E3522">
      <w:pPr>
        <w:spacing w:after="0" w:line="360" w:lineRule="auto"/>
        <w:ind w:left="360"/>
        <w:jc w:val="both"/>
        <w:rPr>
          <w:rFonts w:ascii="Arial" w:hAnsi="Arial" w:cs="Arial"/>
          <w:sz w:val="24"/>
          <w:szCs w:val="24"/>
        </w:rPr>
      </w:pPr>
    </w:p>
    <w:p w14:paraId="08AE357B" w14:textId="69724C33" w:rsidR="006E3522" w:rsidRDefault="006E3522" w:rsidP="006E3522">
      <w:pPr>
        <w:spacing w:after="0" w:line="360" w:lineRule="auto"/>
        <w:ind w:left="360"/>
        <w:jc w:val="both"/>
        <w:rPr>
          <w:rFonts w:ascii="Arial" w:hAnsi="Arial" w:cs="Arial"/>
          <w:sz w:val="24"/>
          <w:szCs w:val="24"/>
        </w:rPr>
      </w:pPr>
      <w:r>
        <w:rPr>
          <w:rFonts w:ascii="Arial" w:hAnsi="Arial" w:cs="Arial"/>
          <w:sz w:val="24"/>
          <w:szCs w:val="24"/>
        </w:rPr>
        <w:t xml:space="preserve">During the tender between Siemens and ABB, the ABB price was higher than the price submitted by Siemens, however due to technical price adjustments made to the Siemens tender, ABB emerged as the cheaper option. The adjustment on Siemens was due to the fact that Siemens could not meet the synchronisation date for Kusile </w:t>
      </w:r>
      <w:r w:rsidR="001A2A17">
        <w:rPr>
          <w:rFonts w:ascii="Arial" w:hAnsi="Arial" w:cs="Arial"/>
          <w:sz w:val="24"/>
          <w:szCs w:val="24"/>
        </w:rPr>
        <w:t>U</w:t>
      </w:r>
      <w:r>
        <w:rPr>
          <w:rFonts w:ascii="Arial" w:hAnsi="Arial" w:cs="Arial"/>
          <w:sz w:val="24"/>
          <w:szCs w:val="24"/>
        </w:rPr>
        <w:t>nit 1. This is being tested and a forensic investigation of these adjustments is in progress and not complete. It is suspected that the dates used by Eskom during tender stage were never realistically achievable but this</w:t>
      </w:r>
      <w:r w:rsidR="00F86799">
        <w:rPr>
          <w:rFonts w:ascii="Arial" w:hAnsi="Arial" w:cs="Arial"/>
          <w:sz w:val="24"/>
          <w:szCs w:val="24"/>
        </w:rPr>
        <w:t xml:space="preserve"> </w:t>
      </w:r>
      <w:r w:rsidR="001A2A17">
        <w:rPr>
          <w:rFonts w:ascii="Arial" w:hAnsi="Arial" w:cs="Arial"/>
          <w:sz w:val="24"/>
          <w:szCs w:val="24"/>
        </w:rPr>
        <w:t xml:space="preserve">criterion </w:t>
      </w:r>
      <w:r>
        <w:rPr>
          <w:rFonts w:ascii="Arial" w:hAnsi="Arial" w:cs="Arial"/>
          <w:sz w:val="24"/>
          <w:szCs w:val="24"/>
        </w:rPr>
        <w:t>was used to award the contract to ABB.</w:t>
      </w:r>
    </w:p>
    <w:p w14:paraId="60E241DA" w14:textId="77777777" w:rsidR="001308AC" w:rsidRDefault="001308AC" w:rsidP="006E3522">
      <w:pPr>
        <w:spacing w:after="0" w:line="360" w:lineRule="auto"/>
        <w:ind w:left="360"/>
        <w:jc w:val="both"/>
        <w:rPr>
          <w:rFonts w:ascii="Arial" w:hAnsi="Arial" w:cs="Arial"/>
          <w:sz w:val="24"/>
          <w:szCs w:val="24"/>
        </w:rPr>
      </w:pPr>
    </w:p>
    <w:p w14:paraId="0F427774" w14:textId="00FB8EEB" w:rsidR="006E3522" w:rsidRDefault="006E3522" w:rsidP="006E3522">
      <w:pPr>
        <w:spacing w:after="0" w:line="360" w:lineRule="auto"/>
        <w:ind w:left="360"/>
        <w:jc w:val="both"/>
        <w:rPr>
          <w:rFonts w:ascii="Arial" w:hAnsi="Arial" w:cs="Arial"/>
          <w:sz w:val="24"/>
          <w:szCs w:val="24"/>
        </w:rPr>
      </w:pPr>
      <w:r>
        <w:rPr>
          <w:rFonts w:ascii="Arial" w:hAnsi="Arial" w:cs="Arial"/>
          <w:sz w:val="24"/>
          <w:szCs w:val="24"/>
        </w:rPr>
        <w:lastRenderedPageBreak/>
        <w:t xml:space="preserve">Once the execution of the works commenced ABB were issued </w:t>
      </w:r>
      <w:r w:rsidR="001A2A17">
        <w:rPr>
          <w:rFonts w:ascii="Arial" w:hAnsi="Arial" w:cs="Arial"/>
          <w:sz w:val="24"/>
          <w:szCs w:val="24"/>
        </w:rPr>
        <w:t>with four (</w:t>
      </w:r>
      <w:r>
        <w:rPr>
          <w:rFonts w:ascii="Arial" w:hAnsi="Arial" w:cs="Arial"/>
          <w:sz w:val="24"/>
          <w:szCs w:val="24"/>
        </w:rPr>
        <w:t>4</w:t>
      </w:r>
      <w:r w:rsidR="001A2A17">
        <w:rPr>
          <w:rFonts w:ascii="Arial" w:hAnsi="Arial" w:cs="Arial"/>
          <w:sz w:val="24"/>
          <w:szCs w:val="24"/>
        </w:rPr>
        <w:t>)</w:t>
      </w:r>
      <w:r>
        <w:rPr>
          <w:rFonts w:ascii="Arial" w:hAnsi="Arial" w:cs="Arial"/>
          <w:sz w:val="24"/>
          <w:szCs w:val="24"/>
        </w:rPr>
        <w:t xml:space="preserve"> major variation orders (VO)) with no substantiation documentation or records. These variation orders include:</w:t>
      </w:r>
    </w:p>
    <w:p w14:paraId="03ED685F" w14:textId="1836FD09" w:rsidR="006E3522" w:rsidRDefault="006E3522" w:rsidP="006E3522">
      <w:pPr>
        <w:spacing w:after="0" w:line="360" w:lineRule="auto"/>
        <w:ind w:left="360"/>
        <w:jc w:val="both"/>
        <w:rPr>
          <w:rFonts w:ascii="Arial" w:hAnsi="Arial" w:cs="Arial"/>
          <w:sz w:val="24"/>
          <w:szCs w:val="24"/>
        </w:rPr>
      </w:pPr>
    </w:p>
    <w:p w14:paraId="45C9C613" w14:textId="24C5060E" w:rsidR="006E3522" w:rsidRPr="00DE2F4E" w:rsidRDefault="006E3522" w:rsidP="00FF67FD">
      <w:pPr>
        <w:numPr>
          <w:ilvl w:val="0"/>
          <w:numId w:val="2"/>
        </w:numPr>
        <w:spacing w:after="0" w:line="360" w:lineRule="auto"/>
        <w:ind w:left="567" w:hanging="218"/>
        <w:contextualSpacing/>
        <w:rPr>
          <w:rFonts w:ascii="Arial" w:hAnsi="Arial" w:cs="Arial"/>
          <w:sz w:val="24"/>
          <w:szCs w:val="24"/>
        </w:rPr>
      </w:pPr>
      <w:r w:rsidRPr="00DE2F4E">
        <w:rPr>
          <w:rFonts w:ascii="Arial" w:hAnsi="Arial" w:cs="Arial"/>
          <w:sz w:val="24"/>
          <w:szCs w:val="24"/>
        </w:rPr>
        <w:t xml:space="preserve">Kusile </w:t>
      </w:r>
      <w:r w:rsidR="001A2A17">
        <w:rPr>
          <w:rFonts w:ascii="Arial" w:hAnsi="Arial" w:cs="Arial"/>
          <w:sz w:val="24"/>
          <w:szCs w:val="24"/>
        </w:rPr>
        <w:t>U</w:t>
      </w:r>
      <w:r w:rsidRPr="00DE2F4E">
        <w:rPr>
          <w:rFonts w:ascii="Arial" w:hAnsi="Arial" w:cs="Arial"/>
          <w:sz w:val="24"/>
          <w:szCs w:val="24"/>
        </w:rPr>
        <w:t xml:space="preserve">nit 1 - Acceleration – R251m </w:t>
      </w:r>
      <w:r w:rsidR="001A2A17" w:rsidRPr="00DE2F4E">
        <w:rPr>
          <w:rFonts w:ascii="Arial" w:hAnsi="Arial" w:cs="Arial"/>
          <w:sz w:val="24"/>
          <w:szCs w:val="24"/>
        </w:rPr>
        <w:t>–</w:t>
      </w:r>
      <w:r w:rsidRPr="00DE2F4E">
        <w:rPr>
          <w:rFonts w:ascii="Arial" w:hAnsi="Arial" w:cs="Arial"/>
          <w:sz w:val="24"/>
          <w:szCs w:val="24"/>
        </w:rPr>
        <w:t xml:space="preserve"> VO was issued in February 2016</w:t>
      </w:r>
    </w:p>
    <w:p w14:paraId="68C09E44" w14:textId="35861BAE" w:rsidR="006E3522" w:rsidRPr="00DE2F4E" w:rsidRDefault="006E3522" w:rsidP="00FF67FD">
      <w:pPr>
        <w:numPr>
          <w:ilvl w:val="0"/>
          <w:numId w:val="2"/>
        </w:numPr>
        <w:spacing w:after="0" w:line="360" w:lineRule="auto"/>
        <w:ind w:left="567" w:hanging="218"/>
        <w:contextualSpacing/>
        <w:rPr>
          <w:rFonts w:ascii="Arial" w:hAnsi="Arial" w:cs="Arial"/>
          <w:sz w:val="24"/>
          <w:szCs w:val="24"/>
        </w:rPr>
      </w:pPr>
      <w:r w:rsidRPr="00DE2F4E">
        <w:rPr>
          <w:rFonts w:ascii="Arial" w:hAnsi="Arial" w:cs="Arial"/>
          <w:sz w:val="24"/>
          <w:szCs w:val="24"/>
        </w:rPr>
        <w:t xml:space="preserve">Kusile </w:t>
      </w:r>
      <w:r w:rsidR="001A2A17">
        <w:rPr>
          <w:rFonts w:ascii="Arial" w:hAnsi="Arial" w:cs="Arial"/>
          <w:sz w:val="24"/>
          <w:szCs w:val="24"/>
        </w:rPr>
        <w:t>U</w:t>
      </w:r>
      <w:r w:rsidRPr="00DE2F4E">
        <w:rPr>
          <w:rFonts w:ascii="Arial" w:hAnsi="Arial" w:cs="Arial"/>
          <w:sz w:val="24"/>
          <w:szCs w:val="24"/>
        </w:rPr>
        <w:t>nit 1 - Demobilisation Claim- R179m – VO was issued in October 2017</w:t>
      </w:r>
    </w:p>
    <w:p w14:paraId="40848EF7" w14:textId="74E0BED2" w:rsidR="006E3522" w:rsidRPr="00DE2F4E" w:rsidRDefault="006E3522" w:rsidP="00FF67FD">
      <w:pPr>
        <w:numPr>
          <w:ilvl w:val="0"/>
          <w:numId w:val="2"/>
        </w:numPr>
        <w:spacing w:after="0" w:line="360" w:lineRule="auto"/>
        <w:ind w:left="567" w:hanging="218"/>
        <w:contextualSpacing/>
        <w:rPr>
          <w:rFonts w:ascii="Arial" w:hAnsi="Arial" w:cs="Arial"/>
          <w:sz w:val="24"/>
          <w:szCs w:val="24"/>
        </w:rPr>
      </w:pPr>
      <w:r w:rsidRPr="00DE2F4E">
        <w:rPr>
          <w:rFonts w:ascii="Arial" w:hAnsi="Arial" w:cs="Arial"/>
          <w:sz w:val="24"/>
          <w:szCs w:val="24"/>
        </w:rPr>
        <w:t xml:space="preserve">Kusile </w:t>
      </w:r>
      <w:r w:rsidR="001A2A17">
        <w:rPr>
          <w:rFonts w:ascii="Arial" w:hAnsi="Arial" w:cs="Arial"/>
          <w:sz w:val="24"/>
          <w:szCs w:val="24"/>
        </w:rPr>
        <w:t>U</w:t>
      </w:r>
      <w:r w:rsidRPr="00DE2F4E">
        <w:rPr>
          <w:rFonts w:ascii="Arial" w:hAnsi="Arial" w:cs="Arial"/>
          <w:sz w:val="24"/>
          <w:szCs w:val="24"/>
        </w:rPr>
        <w:t xml:space="preserve">nit 2 - Cabling – R311m </w:t>
      </w:r>
      <w:r w:rsidR="001A2A17" w:rsidRPr="00DE2F4E">
        <w:rPr>
          <w:rFonts w:ascii="Arial" w:hAnsi="Arial" w:cs="Arial"/>
          <w:sz w:val="24"/>
          <w:szCs w:val="24"/>
        </w:rPr>
        <w:t>–</w:t>
      </w:r>
      <w:r w:rsidR="001A2A17">
        <w:rPr>
          <w:rFonts w:ascii="Arial" w:hAnsi="Arial" w:cs="Arial"/>
          <w:sz w:val="24"/>
          <w:szCs w:val="24"/>
        </w:rPr>
        <w:t xml:space="preserve"> </w:t>
      </w:r>
      <w:r w:rsidRPr="00DE2F4E">
        <w:rPr>
          <w:rFonts w:ascii="Arial" w:hAnsi="Arial" w:cs="Arial"/>
          <w:sz w:val="24"/>
          <w:szCs w:val="24"/>
        </w:rPr>
        <w:t>VO was issued in October 2016</w:t>
      </w:r>
    </w:p>
    <w:p w14:paraId="386D61AA" w14:textId="6D056B9B" w:rsidR="006E3522" w:rsidRPr="00DE2F4E" w:rsidRDefault="006E3522" w:rsidP="00FF67FD">
      <w:pPr>
        <w:numPr>
          <w:ilvl w:val="0"/>
          <w:numId w:val="2"/>
        </w:numPr>
        <w:spacing w:after="0" w:line="360" w:lineRule="auto"/>
        <w:ind w:left="567" w:hanging="218"/>
        <w:contextualSpacing/>
        <w:rPr>
          <w:rFonts w:ascii="Arial" w:hAnsi="Arial" w:cs="Arial"/>
          <w:sz w:val="24"/>
          <w:szCs w:val="24"/>
        </w:rPr>
      </w:pPr>
      <w:r w:rsidRPr="00DE2F4E">
        <w:rPr>
          <w:rFonts w:ascii="Arial" w:hAnsi="Arial" w:cs="Arial"/>
          <w:sz w:val="24"/>
          <w:szCs w:val="24"/>
        </w:rPr>
        <w:t xml:space="preserve">Kusile </w:t>
      </w:r>
      <w:r w:rsidR="001A2A17">
        <w:rPr>
          <w:rFonts w:ascii="Arial" w:hAnsi="Arial" w:cs="Arial"/>
          <w:sz w:val="24"/>
          <w:szCs w:val="24"/>
        </w:rPr>
        <w:t>U</w:t>
      </w:r>
      <w:r w:rsidRPr="00DE2F4E">
        <w:rPr>
          <w:rFonts w:ascii="Arial" w:hAnsi="Arial" w:cs="Arial"/>
          <w:sz w:val="24"/>
          <w:szCs w:val="24"/>
        </w:rPr>
        <w:t>nit 2 - Acceleration – R290m – VO was issued on February 2017</w:t>
      </w:r>
    </w:p>
    <w:p w14:paraId="5748789E" w14:textId="77777777" w:rsidR="006E3522" w:rsidRDefault="006E3522" w:rsidP="006E3522">
      <w:pPr>
        <w:spacing w:after="0" w:line="360" w:lineRule="auto"/>
        <w:ind w:left="360"/>
        <w:rPr>
          <w:rFonts w:ascii="Arial" w:hAnsi="Arial" w:cs="Arial"/>
          <w:b/>
          <w:sz w:val="24"/>
          <w:szCs w:val="24"/>
        </w:rPr>
      </w:pPr>
    </w:p>
    <w:p w14:paraId="124838A4" w14:textId="77777777" w:rsidR="006E3522" w:rsidRDefault="006E3522" w:rsidP="006E3522">
      <w:pPr>
        <w:spacing w:after="0" w:line="360" w:lineRule="auto"/>
        <w:ind w:left="360"/>
        <w:rPr>
          <w:rFonts w:ascii="Arial" w:hAnsi="Arial" w:cs="Arial"/>
          <w:sz w:val="24"/>
          <w:szCs w:val="24"/>
        </w:rPr>
      </w:pPr>
      <w:r w:rsidRPr="00037809">
        <w:rPr>
          <w:rFonts w:ascii="Arial" w:hAnsi="Arial" w:cs="Arial"/>
          <w:sz w:val="24"/>
          <w:szCs w:val="24"/>
        </w:rPr>
        <w:t xml:space="preserve">These variation orders do not have all the requisite particulars </w:t>
      </w:r>
      <w:r>
        <w:rPr>
          <w:rFonts w:ascii="Arial" w:hAnsi="Arial" w:cs="Arial"/>
          <w:sz w:val="24"/>
          <w:szCs w:val="24"/>
        </w:rPr>
        <w:t>to assess or verify the delays or costs claimed and were grossly inflated.</w:t>
      </w:r>
    </w:p>
    <w:p w14:paraId="77B1ACFD" w14:textId="77777777" w:rsidR="006E3522" w:rsidRPr="00193A44" w:rsidRDefault="006E3522" w:rsidP="006E3522">
      <w:pPr>
        <w:spacing w:after="0" w:line="240" w:lineRule="auto"/>
        <w:ind w:left="360"/>
        <w:jc w:val="both"/>
        <w:rPr>
          <w:rFonts w:ascii="Arial" w:hAnsi="Arial" w:cs="Arial"/>
          <w:sz w:val="24"/>
          <w:szCs w:val="24"/>
        </w:rPr>
      </w:pPr>
    </w:p>
    <w:p w14:paraId="764655B3" w14:textId="14C7CA1C" w:rsidR="006E3522" w:rsidRPr="002D0777" w:rsidRDefault="006E3522" w:rsidP="006E3522">
      <w:pPr>
        <w:spacing w:after="0" w:line="360" w:lineRule="auto"/>
        <w:ind w:left="360"/>
        <w:jc w:val="both"/>
        <w:rPr>
          <w:rFonts w:ascii="Arial" w:hAnsi="Arial" w:cs="Arial"/>
          <w:sz w:val="24"/>
          <w:szCs w:val="24"/>
        </w:rPr>
      </w:pPr>
      <w:r w:rsidRPr="00193A44">
        <w:rPr>
          <w:rFonts w:ascii="Arial" w:hAnsi="Arial" w:cs="Arial"/>
          <w:sz w:val="24"/>
          <w:szCs w:val="24"/>
        </w:rPr>
        <w:t>The SIU first met with representatives of ABB and their legal team</w:t>
      </w:r>
      <w:r w:rsidR="00555940">
        <w:rPr>
          <w:rFonts w:ascii="Arial" w:hAnsi="Arial" w:cs="Arial"/>
          <w:sz w:val="24"/>
          <w:szCs w:val="24"/>
        </w:rPr>
        <w:t xml:space="preserve"> on 6 August </w:t>
      </w:r>
      <w:r w:rsidRPr="00193A44">
        <w:rPr>
          <w:rFonts w:ascii="Arial" w:hAnsi="Arial" w:cs="Arial"/>
          <w:sz w:val="24"/>
          <w:szCs w:val="24"/>
        </w:rPr>
        <w:t>2018</w:t>
      </w:r>
      <w:r>
        <w:rPr>
          <w:rFonts w:ascii="Arial" w:hAnsi="Arial" w:cs="Arial"/>
          <w:sz w:val="24"/>
          <w:szCs w:val="24"/>
        </w:rPr>
        <w:t xml:space="preserve"> at which time the SIU was informed that ABB was conducting an internal investigation following information that came to their attention through the media. </w:t>
      </w:r>
      <w:r w:rsidRPr="00193A44">
        <w:rPr>
          <w:rFonts w:ascii="Arial" w:hAnsi="Arial" w:cs="Arial"/>
          <w:sz w:val="24"/>
          <w:szCs w:val="24"/>
        </w:rPr>
        <w:t>On 15</w:t>
      </w:r>
      <w:r w:rsidR="00555940">
        <w:rPr>
          <w:rFonts w:ascii="Arial" w:hAnsi="Arial" w:cs="Arial"/>
          <w:sz w:val="24"/>
          <w:szCs w:val="24"/>
        </w:rPr>
        <w:t xml:space="preserve"> January </w:t>
      </w:r>
      <w:r w:rsidRPr="00193A44">
        <w:rPr>
          <w:rFonts w:ascii="Arial" w:hAnsi="Arial" w:cs="Arial"/>
          <w:sz w:val="24"/>
          <w:szCs w:val="24"/>
        </w:rPr>
        <w:t>2019 the SIU met with representativ</w:t>
      </w:r>
      <w:r>
        <w:rPr>
          <w:rFonts w:ascii="Arial" w:hAnsi="Arial" w:cs="Arial"/>
          <w:sz w:val="24"/>
          <w:szCs w:val="24"/>
        </w:rPr>
        <w:t>es of ABB and their legal team</w:t>
      </w:r>
      <w:r w:rsidRPr="00193A44">
        <w:rPr>
          <w:rFonts w:ascii="Arial" w:hAnsi="Arial" w:cs="Arial"/>
          <w:sz w:val="24"/>
          <w:szCs w:val="24"/>
        </w:rPr>
        <w:t xml:space="preserve"> to discuss ABB’s findings at that point in time</w:t>
      </w:r>
      <w:r>
        <w:rPr>
          <w:rFonts w:ascii="Arial" w:hAnsi="Arial" w:cs="Arial"/>
          <w:sz w:val="24"/>
          <w:szCs w:val="24"/>
        </w:rPr>
        <w:t>. The SIU is in the process of finalising its own investigation. A number of meetings took place during 2019 and 2020 during which the parties discussed the process for establishing the value of the overpayment made to ABB</w:t>
      </w:r>
      <w:r w:rsidRPr="00193A44">
        <w:rPr>
          <w:rFonts w:ascii="Arial" w:hAnsi="Arial" w:cs="Arial"/>
          <w:sz w:val="24"/>
          <w:szCs w:val="24"/>
        </w:rPr>
        <w:t>.</w:t>
      </w:r>
      <w:r>
        <w:rPr>
          <w:rFonts w:ascii="Arial" w:hAnsi="Arial" w:cs="Arial"/>
          <w:sz w:val="24"/>
          <w:szCs w:val="24"/>
        </w:rPr>
        <w:t xml:space="preserve"> </w:t>
      </w:r>
      <w:r w:rsidRPr="008015BE">
        <w:rPr>
          <w:rFonts w:ascii="Arial" w:hAnsi="Arial" w:cs="Arial"/>
          <w:sz w:val="24"/>
          <w:szCs w:val="24"/>
        </w:rPr>
        <w:t>Initial</w:t>
      </w:r>
      <w:r>
        <w:rPr>
          <w:rFonts w:ascii="Arial" w:hAnsi="Arial" w:cs="Arial"/>
          <w:sz w:val="24"/>
          <w:szCs w:val="24"/>
        </w:rPr>
        <w:t xml:space="preserve"> engagements </w:t>
      </w:r>
      <w:r w:rsidRPr="008015BE">
        <w:rPr>
          <w:rFonts w:ascii="Arial" w:hAnsi="Arial" w:cs="Arial"/>
          <w:sz w:val="24"/>
          <w:szCs w:val="24"/>
        </w:rPr>
        <w:t xml:space="preserve">with ABB have resulted in ABB </w:t>
      </w:r>
      <w:r>
        <w:rPr>
          <w:rFonts w:ascii="Arial" w:hAnsi="Arial" w:cs="Arial"/>
          <w:sz w:val="24"/>
          <w:szCs w:val="24"/>
        </w:rPr>
        <w:t xml:space="preserve">verbally </w:t>
      </w:r>
      <w:r w:rsidRPr="008015BE">
        <w:rPr>
          <w:rFonts w:ascii="Arial" w:hAnsi="Arial" w:cs="Arial"/>
          <w:sz w:val="24"/>
          <w:szCs w:val="24"/>
        </w:rPr>
        <w:t>offering to pay back</w:t>
      </w:r>
      <w:r>
        <w:rPr>
          <w:rFonts w:ascii="Arial" w:hAnsi="Arial" w:cs="Arial"/>
          <w:sz w:val="24"/>
          <w:szCs w:val="24"/>
        </w:rPr>
        <w:t xml:space="preserve"> approximately</w:t>
      </w:r>
      <w:r w:rsidRPr="008015BE">
        <w:rPr>
          <w:rFonts w:ascii="Arial" w:hAnsi="Arial" w:cs="Arial"/>
          <w:sz w:val="24"/>
          <w:szCs w:val="24"/>
        </w:rPr>
        <w:t xml:space="preserve"> R240m.</w:t>
      </w:r>
      <w:r w:rsidRPr="00BE6579">
        <w:rPr>
          <w:rFonts w:ascii="Arial" w:hAnsi="Arial" w:cs="Arial"/>
          <w:sz w:val="24"/>
          <w:szCs w:val="24"/>
        </w:rPr>
        <w:t xml:space="preserve"> </w:t>
      </w:r>
      <w:r w:rsidR="001308AC">
        <w:rPr>
          <w:rFonts w:ascii="Arial" w:hAnsi="Arial" w:cs="Arial"/>
          <w:sz w:val="24"/>
          <w:szCs w:val="24"/>
        </w:rPr>
        <w:t>Further discussions are ongoing.</w:t>
      </w:r>
    </w:p>
    <w:p w14:paraId="0352B489" w14:textId="77777777" w:rsidR="006E3522" w:rsidRPr="00193A44" w:rsidRDefault="006E3522" w:rsidP="006E3522">
      <w:pPr>
        <w:spacing w:after="0" w:line="360" w:lineRule="auto"/>
        <w:ind w:left="360"/>
        <w:rPr>
          <w:rFonts w:ascii="Arial" w:hAnsi="Arial" w:cs="Arial"/>
          <w:sz w:val="24"/>
          <w:szCs w:val="24"/>
        </w:rPr>
      </w:pPr>
    </w:p>
    <w:p w14:paraId="16E48CAA" w14:textId="77777777" w:rsidR="006E3522" w:rsidRPr="005801F0" w:rsidRDefault="006E3522" w:rsidP="00FF67FD">
      <w:pPr>
        <w:pStyle w:val="ListParagraph"/>
        <w:numPr>
          <w:ilvl w:val="0"/>
          <w:numId w:val="3"/>
        </w:numPr>
        <w:spacing w:after="0" w:line="240" w:lineRule="auto"/>
        <w:ind w:left="360"/>
        <w:rPr>
          <w:rFonts w:ascii="Arial" w:hAnsi="Arial" w:cs="Arial"/>
          <w:b/>
        </w:rPr>
      </w:pPr>
      <w:r w:rsidRPr="005801F0">
        <w:rPr>
          <w:rFonts w:ascii="Arial" w:hAnsi="Arial" w:cs="Arial"/>
          <w:b/>
        </w:rPr>
        <w:t>The officials involved</w:t>
      </w:r>
    </w:p>
    <w:p w14:paraId="58F525A2" w14:textId="77777777" w:rsidR="006E3522" w:rsidRDefault="006E3522" w:rsidP="006E3522">
      <w:pPr>
        <w:spacing w:after="0" w:line="240" w:lineRule="auto"/>
        <w:ind w:left="360"/>
        <w:jc w:val="both"/>
        <w:rPr>
          <w:rFonts w:ascii="Arial" w:hAnsi="Arial" w:cs="Arial"/>
          <w:sz w:val="24"/>
          <w:szCs w:val="24"/>
        </w:rPr>
      </w:pPr>
    </w:p>
    <w:p w14:paraId="4FB19A75" w14:textId="03FE1A1D" w:rsidR="006E3522" w:rsidRDefault="006E3522" w:rsidP="006E3522">
      <w:pPr>
        <w:spacing w:after="0" w:line="360" w:lineRule="auto"/>
        <w:ind w:left="360"/>
        <w:jc w:val="both"/>
        <w:rPr>
          <w:rFonts w:ascii="Arial" w:hAnsi="Arial" w:cs="Arial"/>
          <w:sz w:val="24"/>
          <w:szCs w:val="24"/>
        </w:rPr>
      </w:pPr>
      <w:r>
        <w:rPr>
          <w:rFonts w:ascii="Arial" w:hAnsi="Arial" w:cs="Arial"/>
          <w:sz w:val="24"/>
          <w:szCs w:val="24"/>
        </w:rPr>
        <w:t xml:space="preserve">Numerous employees including the then project director, employer representative and contracts managers are being investigated by the SIU. </w:t>
      </w:r>
    </w:p>
    <w:p w14:paraId="6B7F55D7" w14:textId="77777777" w:rsidR="006E3522" w:rsidRPr="00424756" w:rsidRDefault="006E3522" w:rsidP="006E3522">
      <w:pPr>
        <w:pStyle w:val="ListParagraph"/>
        <w:ind w:left="360"/>
        <w:rPr>
          <w:rFonts w:ascii="Arial" w:hAnsi="Arial" w:cs="Arial"/>
          <w:b/>
          <w:u w:val="single"/>
        </w:rPr>
      </w:pPr>
    </w:p>
    <w:p w14:paraId="0F0D030F" w14:textId="77777777" w:rsidR="006E3522" w:rsidRPr="005801F0" w:rsidRDefault="006E3522" w:rsidP="00FF67FD">
      <w:pPr>
        <w:pStyle w:val="ListParagraph"/>
        <w:numPr>
          <w:ilvl w:val="0"/>
          <w:numId w:val="3"/>
        </w:numPr>
        <w:spacing w:after="0" w:line="240" w:lineRule="auto"/>
        <w:ind w:left="360"/>
        <w:rPr>
          <w:rFonts w:ascii="Arial" w:hAnsi="Arial" w:cs="Arial"/>
          <w:b/>
        </w:rPr>
      </w:pPr>
      <w:r w:rsidRPr="005801F0">
        <w:rPr>
          <w:rFonts w:ascii="Arial" w:hAnsi="Arial" w:cs="Arial"/>
          <w:b/>
        </w:rPr>
        <w:t>The names of the contractors and the nature of contracts</w:t>
      </w:r>
    </w:p>
    <w:p w14:paraId="013B03EF" w14:textId="77777777" w:rsidR="006E3522" w:rsidRPr="00424756" w:rsidRDefault="006E3522" w:rsidP="006E3522">
      <w:pPr>
        <w:pStyle w:val="ListParagraph"/>
        <w:ind w:left="360"/>
        <w:rPr>
          <w:rFonts w:ascii="Arial" w:hAnsi="Arial" w:cs="Arial"/>
          <w:b/>
          <w:u w:val="single"/>
        </w:rPr>
      </w:pPr>
    </w:p>
    <w:p w14:paraId="5012A51D" w14:textId="1D3BFB04" w:rsidR="006E3522" w:rsidRDefault="006E3522" w:rsidP="006E3522">
      <w:pPr>
        <w:spacing w:after="0" w:line="360" w:lineRule="auto"/>
        <w:ind w:left="360"/>
        <w:jc w:val="both"/>
        <w:rPr>
          <w:rFonts w:ascii="Arial" w:hAnsi="Arial" w:cs="Arial"/>
          <w:sz w:val="24"/>
          <w:szCs w:val="24"/>
        </w:rPr>
      </w:pPr>
      <w:r>
        <w:rPr>
          <w:rFonts w:ascii="Arial" w:hAnsi="Arial" w:cs="Arial"/>
          <w:sz w:val="24"/>
          <w:szCs w:val="24"/>
        </w:rPr>
        <w:t xml:space="preserve">Contract number 4600056682 with ABB South Africa (Reg No 1965/002429 /07) is for the Control and Instrument (C &amp; I) system for Units 1 - 6 and </w:t>
      </w:r>
      <w:r w:rsidR="00F21AAE">
        <w:rPr>
          <w:rFonts w:ascii="Arial" w:hAnsi="Arial" w:cs="Arial"/>
          <w:sz w:val="24"/>
          <w:szCs w:val="24"/>
        </w:rPr>
        <w:t xml:space="preserve">the </w:t>
      </w:r>
      <w:r>
        <w:rPr>
          <w:rFonts w:ascii="Arial" w:hAnsi="Arial" w:cs="Arial"/>
          <w:sz w:val="24"/>
          <w:szCs w:val="24"/>
        </w:rPr>
        <w:t xml:space="preserve">balance of plant at Kusile Power Station. Impulse </w:t>
      </w:r>
      <w:r w:rsidR="00F21AAE">
        <w:rPr>
          <w:rFonts w:ascii="Arial" w:hAnsi="Arial" w:cs="Arial"/>
          <w:sz w:val="24"/>
          <w:szCs w:val="24"/>
        </w:rPr>
        <w:t>I</w:t>
      </w:r>
      <w:r>
        <w:rPr>
          <w:rFonts w:ascii="Arial" w:hAnsi="Arial" w:cs="Arial"/>
          <w:sz w:val="24"/>
          <w:szCs w:val="24"/>
        </w:rPr>
        <w:t xml:space="preserve">nternational </w:t>
      </w:r>
      <w:r w:rsidR="00F21AAE">
        <w:rPr>
          <w:rFonts w:ascii="Arial" w:hAnsi="Arial" w:cs="Arial"/>
          <w:sz w:val="24"/>
          <w:szCs w:val="24"/>
        </w:rPr>
        <w:t xml:space="preserve">was </w:t>
      </w:r>
      <w:r>
        <w:rPr>
          <w:rFonts w:ascii="Arial" w:hAnsi="Arial" w:cs="Arial"/>
          <w:sz w:val="24"/>
          <w:szCs w:val="24"/>
        </w:rPr>
        <w:t xml:space="preserve">the main subcontractor for ABB on Units 1 </w:t>
      </w:r>
      <w:r w:rsidR="00F86799">
        <w:rPr>
          <w:rFonts w:ascii="Arial" w:hAnsi="Arial" w:cs="Arial"/>
          <w:sz w:val="24"/>
          <w:szCs w:val="24"/>
        </w:rPr>
        <w:t>and</w:t>
      </w:r>
      <w:r>
        <w:rPr>
          <w:rFonts w:ascii="Arial" w:hAnsi="Arial" w:cs="Arial"/>
          <w:sz w:val="24"/>
          <w:szCs w:val="24"/>
        </w:rPr>
        <w:t xml:space="preserve"> 2. Leago EPC (Pty) Ltd</w:t>
      </w:r>
      <w:r w:rsidRPr="008C4A90">
        <w:rPr>
          <w:rFonts w:ascii="Arial" w:hAnsi="Arial" w:cs="Arial"/>
          <w:sz w:val="24"/>
          <w:szCs w:val="24"/>
        </w:rPr>
        <w:t xml:space="preserve"> </w:t>
      </w:r>
      <w:r>
        <w:rPr>
          <w:rFonts w:ascii="Arial" w:hAnsi="Arial" w:cs="Arial"/>
          <w:sz w:val="24"/>
          <w:szCs w:val="24"/>
        </w:rPr>
        <w:t xml:space="preserve">was ABB’s industrialisation partner until 2019. </w:t>
      </w:r>
    </w:p>
    <w:p w14:paraId="3E939079" w14:textId="77777777" w:rsidR="006E3522" w:rsidRPr="005801F0" w:rsidRDefault="006E3522" w:rsidP="00FF67FD">
      <w:pPr>
        <w:pStyle w:val="ListParagraph"/>
        <w:numPr>
          <w:ilvl w:val="0"/>
          <w:numId w:val="3"/>
        </w:numPr>
        <w:spacing w:after="0" w:line="240" w:lineRule="auto"/>
        <w:ind w:left="360"/>
        <w:rPr>
          <w:rFonts w:ascii="Arial" w:hAnsi="Arial" w:cs="Arial"/>
          <w:b/>
        </w:rPr>
      </w:pPr>
      <w:r w:rsidRPr="005801F0">
        <w:rPr>
          <w:rFonts w:ascii="Arial" w:hAnsi="Arial" w:cs="Arial"/>
          <w:b/>
        </w:rPr>
        <w:lastRenderedPageBreak/>
        <w:t>The consequences of these actions</w:t>
      </w:r>
    </w:p>
    <w:p w14:paraId="3E1A42F4" w14:textId="77777777" w:rsidR="006E3522" w:rsidRDefault="006E3522" w:rsidP="006E3522">
      <w:pPr>
        <w:spacing w:after="0" w:line="240" w:lineRule="auto"/>
        <w:ind w:left="360"/>
        <w:rPr>
          <w:rFonts w:ascii="Arial" w:hAnsi="Arial" w:cs="Arial"/>
          <w:sz w:val="24"/>
          <w:szCs w:val="24"/>
        </w:rPr>
      </w:pPr>
    </w:p>
    <w:p w14:paraId="1087720B" w14:textId="0E32B5E8" w:rsidR="006E3522" w:rsidRDefault="006E3522" w:rsidP="006E3522">
      <w:pPr>
        <w:spacing w:after="0" w:line="360" w:lineRule="auto"/>
        <w:ind w:left="360"/>
        <w:jc w:val="both"/>
        <w:rPr>
          <w:rFonts w:ascii="Arial" w:hAnsi="Arial" w:cs="Arial"/>
          <w:sz w:val="24"/>
          <w:szCs w:val="24"/>
        </w:rPr>
      </w:pPr>
      <w:r>
        <w:rPr>
          <w:rFonts w:ascii="Arial" w:hAnsi="Arial" w:cs="Arial"/>
          <w:sz w:val="24"/>
          <w:szCs w:val="24"/>
        </w:rPr>
        <w:t xml:space="preserve">No consequences or actions have been meted out as yet as the investigation by the SIU and the NPA </w:t>
      </w:r>
      <w:r w:rsidR="00F21AAE">
        <w:rPr>
          <w:rFonts w:ascii="Arial" w:hAnsi="Arial" w:cs="Arial"/>
          <w:sz w:val="24"/>
          <w:szCs w:val="24"/>
        </w:rPr>
        <w:t xml:space="preserve">are </w:t>
      </w:r>
      <w:r>
        <w:rPr>
          <w:rFonts w:ascii="Arial" w:hAnsi="Arial" w:cs="Arial"/>
          <w:sz w:val="24"/>
          <w:szCs w:val="24"/>
        </w:rPr>
        <w:t>incomplete. N</w:t>
      </w:r>
      <w:r w:rsidRPr="005173BB">
        <w:rPr>
          <w:rFonts w:ascii="Arial" w:hAnsi="Arial" w:cs="Arial"/>
          <w:sz w:val="24"/>
          <w:szCs w:val="24"/>
        </w:rPr>
        <w:t xml:space="preserve">one of the main role players </w:t>
      </w:r>
      <w:r>
        <w:rPr>
          <w:rFonts w:ascii="Arial" w:hAnsi="Arial" w:cs="Arial"/>
          <w:sz w:val="24"/>
          <w:szCs w:val="24"/>
        </w:rPr>
        <w:t xml:space="preserve">are </w:t>
      </w:r>
      <w:r w:rsidRPr="005173BB">
        <w:rPr>
          <w:rFonts w:ascii="Arial" w:hAnsi="Arial" w:cs="Arial"/>
          <w:sz w:val="24"/>
          <w:szCs w:val="24"/>
        </w:rPr>
        <w:t>currently working</w:t>
      </w:r>
      <w:r>
        <w:rPr>
          <w:rFonts w:ascii="Arial" w:hAnsi="Arial" w:cs="Arial"/>
          <w:sz w:val="24"/>
          <w:szCs w:val="24"/>
        </w:rPr>
        <w:t xml:space="preserve"> </w:t>
      </w:r>
      <w:r w:rsidRPr="005173BB">
        <w:rPr>
          <w:rFonts w:ascii="Arial" w:hAnsi="Arial" w:cs="Arial"/>
          <w:sz w:val="24"/>
          <w:szCs w:val="24"/>
        </w:rPr>
        <w:t>for Eskom</w:t>
      </w:r>
      <w:r>
        <w:rPr>
          <w:rFonts w:ascii="Arial" w:hAnsi="Arial" w:cs="Arial"/>
          <w:sz w:val="24"/>
          <w:szCs w:val="24"/>
        </w:rPr>
        <w:t>.</w:t>
      </w:r>
    </w:p>
    <w:p w14:paraId="4FBD073F" w14:textId="77777777" w:rsidR="00935B8C" w:rsidRDefault="00935B8C" w:rsidP="006E3522">
      <w:pPr>
        <w:spacing w:after="0" w:line="360" w:lineRule="auto"/>
        <w:ind w:left="360"/>
        <w:jc w:val="both"/>
        <w:rPr>
          <w:rFonts w:ascii="Arial" w:hAnsi="Arial" w:cs="Arial"/>
          <w:sz w:val="24"/>
          <w:szCs w:val="24"/>
        </w:rPr>
      </w:pPr>
    </w:p>
    <w:p w14:paraId="1BDF1EA9" w14:textId="77777777" w:rsidR="006E3522" w:rsidRPr="00DE2F4E" w:rsidRDefault="006E3522" w:rsidP="006E3522">
      <w:pPr>
        <w:spacing w:after="0" w:line="360" w:lineRule="auto"/>
        <w:ind w:left="360"/>
        <w:jc w:val="both"/>
        <w:rPr>
          <w:rFonts w:ascii="Arial" w:hAnsi="Arial" w:cs="Arial"/>
          <w:sz w:val="24"/>
          <w:szCs w:val="24"/>
        </w:rPr>
      </w:pPr>
      <w:r w:rsidRPr="00DE2F4E">
        <w:rPr>
          <w:rFonts w:ascii="Arial" w:hAnsi="Arial" w:cs="Arial"/>
          <w:sz w:val="24"/>
          <w:szCs w:val="24"/>
        </w:rPr>
        <w:t>The SIU has briefed counsel to institute proceedings to:</w:t>
      </w:r>
    </w:p>
    <w:p w14:paraId="59A7FEB4" w14:textId="77777777" w:rsidR="006E3522" w:rsidRPr="00DE2F4E" w:rsidRDefault="006E3522" w:rsidP="006E3522">
      <w:pPr>
        <w:spacing w:after="0" w:line="360" w:lineRule="auto"/>
        <w:ind w:left="360"/>
        <w:jc w:val="both"/>
        <w:rPr>
          <w:rFonts w:ascii="Arial" w:hAnsi="Arial" w:cs="Arial"/>
          <w:sz w:val="24"/>
          <w:szCs w:val="24"/>
        </w:rPr>
      </w:pPr>
    </w:p>
    <w:p w14:paraId="1CE319E8" w14:textId="77777777" w:rsidR="006E3522" w:rsidRPr="00DE2F4E" w:rsidRDefault="006E3522" w:rsidP="006E3522">
      <w:pPr>
        <w:spacing w:after="0" w:line="360" w:lineRule="auto"/>
        <w:ind w:left="720" w:hanging="294"/>
        <w:jc w:val="both"/>
        <w:rPr>
          <w:rFonts w:ascii="Arial" w:hAnsi="Arial" w:cs="Arial"/>
          <w:sz w:val="24"/>
          <w:szCs w:val="24"/>
        </w:rPr>
      </w:pPr>
      <w:r w:rsidRPr="00DE2F4E">
        <w:rPr>
          <w:rFonts w:ascii="Arial" w:hAnsi="Arial" w:cs="Arial"/>
          <w:sz w:val="24"/>
          <w:szCs w:val="24"/>
        </w:rPr>
        <w:t xml:space="preserve">(1) set aside the contract concluded between Eskom and ABB on the basis that it was corruptly procured; and </w:t>
      </w:r>
    </w:p>
    <w:p w14:paraId="4F659CF1" w14:textId="77777777" w:rsidR="006E3522" w:rsidRDefault="006E3522" w:rsidP="006E3522">
      <w:pPr>
        <w:spacing w:after="0" w:line="360" w:lineRule="auto"/>
        <w:ind w:left="720" w:hanging="294"/>
        <w:jc w:val="both"/>
        <w:rPr>
          <w:rFonts w:ascii="Arial" w:hAnsi="Arial" w:cs="Arial"/>
          <w:sz w:val="24"/>
          <w:szCs w:val="24"/>
        </w:rPr>
      </w:pPr>
      <w:r w:rsidRPr="00DE2F4E">
        <w:rPr>
          <w:rFonts w:ascii="Arial" w:hAnsi="Arial" w:cs="Arial"/>
          <w:sz w:val="24"/>
          <w:szCs w:val="24"/>
        </w:rPr>
        <w:t xml:space="preserve">(2) request an order for just and equitable relief, which will include repayment by ABB of all overpayments made to them by Eskom as a result of the C&amp;I Contract and Variations Orders (“VOs”) thereto. </w:t>
      </w:r>
    </w:p>
    <w:p w14:paraId="0842A438" w14:textId="77777777" w:rsidR="006E3522" w:rsidRPr="00DE2F4E" w:rsidRDefault="006E3522" w:rsidP="006E3522">
      <w:pPr>
        <w:spacing w:after="0" w:line="360" w:lineRule="auto"/>
        <w:ind w:left="720" w:hanging="294"/>
        <w:jc w:val="both"/>
        <w:rPr>
          <w:rFonts w:ascii="Arial" w:hAnsi="Arial" w:cs="Arial"/>
          <w:sz w:val="24"/>
          <w:szCs w:val="24"/>
        </w:rPr>
      </w:pPr>
    </w:p>
    <w:p w14:paraId="7FA2A393" w14:textId="77777777" w:rsidR="006E3522" w:rsidRPr="001A0090" w:rsidRDefault="006E3522" w:rsidP="00FF67FD">
      <w:pPr>
        <w:pStyle w:val="ListParagraph"/>
        <w:numPr>
          <w:ilvl w:val="0"/>
          <w:numId w:val="1"/>
        </w:numPr>
        <w:spacing w:after="0" w:line="360" w:lineRule="auto"/>
        <w:jc w:val="both"/>
        <w:rPr>
          <w:rFonts w:ascii="Arial" w:hAnsi="Arial" w:cs="Arial"/>
          <w:b/>
          <w:i/>
          <w:sz w:val="24"/>
          <w:szCs w:val="24"/>
          <w:u w:val="single"/>
        </w:rPr>
      </w:pPr>
      <w:r w:rsidRPr="001A0090">
        <w:rPr>
          <w:rFonts w:ascii="Arial" w:hAnsi="Arial" w:cs="Arial"/>
          <w:b/>
          <w:i/>
          <w:sz w:val="24"/>
          <w:szCs w:val="24"/>
          <w:u w:val="single"/>
        </w:rPr>
        <w:t>Tenova Mining and Minerals SA (Pty) Ltd – estimated overpayment - R735m.</w:t>
      </w:r>
    </w:p>
    <w:p w14:paraId="1D6A3730" w14:textId="77777777" w:rsidR="006E3522" w:rsidRPr="001A0090" w:rsidRDefault="006E3522" w:rsidP="006E3522">
      <w:pPr>
        <w:pStyle w:val="ListParagraph"/>
        <w:spacing w:line="360" w:lineRule="auto"/>
        <w:ind w:left="360"/>
        <w:jc w:val="both"/>
        <w:rPr>
          <w:rFonts w:ascii="Arial" w:hAnsi="Arial" w:cs="Arial"/>
          <w:b/>
          <w:sz w:val="24"/>
          <w:szCs w:val="24"/>
          <w:u w:val="single"/>
        </w:rPr>
      </w:pPr>
    </w:p>
    <w:p w14:paraId="0ED3FEC9" w14:textId="77777777" w:rsidR="006E3522" w:rsidRPr="001A0090" w:rsidRDefault="006E3522" w:rsidP="00FF67FD">
      <w:pPr>
        <w:pStyle w:val="ListParagraph"/>
        <w:numPr>
          <w:ilvl w:val="0"/>
          <w:numId w:val="4"/>
        </w:numPr>
        <w:spacing w:after="0" w:line="360" w:lineRule="auto"/>
        <w:ind w:left="360"/>
        <w:rPr>
          <w:rFonts w:ascii="Arial" w:hAnsi="Arial" w:cs="Arial"/>
          <w:b/>
          <w:sz w:val="24"/>
          <w:szCs w:val="24"/>
        </w:rPr>
      </w:pPr>
      <w:r w:rsidRPr="001A0090">
        <w:rPr>
          <w:rFonts w:ascii="Arial" w:hAnsi="Arial" w:cs="Arial"/>
          <w:b/>
          <w:sz w:val="24"/>
          <w:szCs w:val="24"/>
        </w:rPr>
        <w:t>The circumstances which led to the overpayment</w:t>
      </w:r>
    </w:p>
    <w:p w14:paraId="75E23065" w14:textId="77777777" w:rsidR="006E3522" w:rsidRPr="001A0090" w:rsidRDefault="006E3522" w:rsidP="006E3522">
      <w:pPr>
        <w:spacing w:after="0" w:line="360" w:lineRule="auto"/>
        <w:ind w:left="360"/>
        <w:rPr>
          <w:rFonts w:ascii="Arial" w:hAnsi="Arial" w:cs="Arial"/>
          <w:b/>
          <w:sz w:val="24"/>
          <w:szCs w:val="24"/>
          <w:u w:val="single"/>
        </w:rPr>
      </w:pPr>
    </w:p>
    <w:p w14:paraId="0167888F" w14:textId="77777777" w:rsidR="006E3522" w:rsidRPr="001A0090" w:rsidRDefault="006E3522" w:rsidP="006E3522">
      <w:pPr>
        <w:spacing w:after="0" w:line="360" w:lineRule="auto"/>
        <w:ind w:left="360"/>
        <w:jc w:val="both"/>
        <w:rPr>
          <w:rFonts w:ascii="Arial" w:hAnsi="Arial" w:cs="Arial"/>
          <w:sz w:val="24"/>
          <w:szCs w:val="24"/>
        </w:rPr>
      </w:pPr>
      <w:r w:rsidRPr="001A0090">
        <w:rPr>
          <w:rFonts w:ascii="Arial" w:hAnsi="Arial" w:cs="Arial"/>
          <w:sz w:val="24"/>
          <w:szCs w:val="24"/>
        </w:rPr>
        <w:t>Tenova Mining and Minerals SA (Pty) Ltd had claims for extension to the Time for Completion due to the delayed access to site and disruptions. In September 2015 the Contractor and the Employer engaged in a series of negotiations and both parties settled at R700m in 2016. Due to cash flow constraints from the Contractor, the Employer confirmed entitlement of R400m on 4 March 2016 while continuing with the assessment of the claim and R300m on 18 March 2016 was later confirmed.</w:t>
      </w:r>
    </w:p>
    <w:p w14:paraId="7BEE7EC8" w14:textId="77777777" w:rsidR="006E3522" w:rsidRPr="001A0090" w:rsidRDefault="006E3522" w:rsidP="006E3522">
      <w:pPr>
        <w:spacing w:after="0" w:line="360" w:lineRule="auto"/>
        <w:ind w:left="360"/>
        <w:jc w:val="both"/>
        <w:rPr>
          <w:rFonts w:ascii="Arial" w:hAnsi="Arial" w:cs="Arial"/>
          <w:sz w:val="24"/>
          <w:szCs w:val="24"/>
        </w:rPr>
      </w:pPr>
    </w:p>
    <w:p w14:paraId="0782BEA4" w14:textId="4A793A2E" w:rsidR="006E3522" w:rsidRPr="001A0090" w:rsidRDefault="006E3522" w:rsidP="006E3522">
      <w:pPr>
        <w:spacing w:after="0" w:line="360" w:lineRule="auto"/>
        <w:ind w:left="360"/>
        <w:jc w:val="both"/>
        <w:rPr>
          <w:rFonts w:ascii="Arial" w:hAnsi="Arial" w:cs="Arial"/>
          <w:sz w:val="24"/>
          <w:szCs w:val="24"/>
        </w:rPr>
      </w:pPr>
      <w:r w:rsidRPr="001A0090">
        <w:rPr>
          <w:rFonts w:ascii="Arial" w:hAnsi="Arial" w:cs="Arial"/>
          <w:sz w:val="24"/>
          <w:szCs w:val="24"/>
        </w:rPr>
        <w:t xml:space="preserve">During the approval of a global settlement there were claims that were excluded from the settlement since the events </w:t>
      </w:r>
      <w:r w:rsidR="00F21AAE">
        <w:rPr>
          <w:rFonts w:ascii="Arial" w:hAnsi="Arial" w:cs="Arial"/>
          <w:sz w:val="24"/>
          <w:szCs w:val="24"/>
        </w:rPr>
        <w:t>were</w:t>
      </w:r>
      <w:r w:rsidR="00F21AAE" w:rsidRPr="001A0090">
        <w:rPr>
          <w:rFonts w:ascii="Arial" w:hAnsi="Arial" w:cs="Arial"/>
          <w:sz w:val="24"/>
          <w:szCs w:val="24"/>
        </w:rPr>
        <w:t xml:space="preserve"> </w:t>
      </w:r>
      <w:r w:rsidRPr="001A0090">
        <w:rPr>
          <w:rFonts w:ascii="Arial" w:hAnsi="Arial" w:cs="Arial"/>
          <w:sz w:val="24"/>
          <w:szCs w:val="24"/>
        </w:rPr>
        <w:t xml:space="preserve">still on-going and the Contractor was unable to quantify the impact. All these claims were settled at a value of R35m in January 2017. </w:t>
      </w:r>
    </w:p>
    <w:p w14:paraId="3DD83B85" w14:textId="77777777" w:rsidR="006E3522" w:rsidRPr="001A0090" w:rsidRDefault="006E3522" w:rsidP="006E3522">
      <w:pPr>
        <w:spacing w:after="0" w:line="360" w:lineRule="auto"/>
        <w:ind w:left="360"/>
        <w:jc w:val="both"/>
        <w:rPr>
          <w:rFonts w:ascii="Arial" w:hAnsi="Arial" w:cs="Arial"/>
          <w:sz w:val="24"/>
          <w:szCs w:val="24"/>
        </w:rPr>
      </w:pPr>
    </w:p>
    <w:p w14:paraId="2B704206" w14:textId="27B9D9B1" w:rsidR="006E3522" w:rsidRPr="001A0090" w:rsidRDefault="006E3522" w:rsidP="006E3522">
      <w:pPr>
        <w:spacing w:after="0" w:line="360" w:lineRule="auto"/>
        <w:ind w:left="360"/>
        <w:jc w:val="both"/>
        <w:rPr>
          <w:rFonts w:ascii="Arial" w:hAnsi="Arial" w:cs="Arial"/>
          <w:sz w:val="24"/>
          <w:szCs w:val="24"/>
        </w:rPr>
      </w:pPr>
      <w:r w:rsidRPr="001A0090">
        <w:rPr>
          <w:rFonts w:ascii="Arial" w:hAnsi="Arial" w:cs="Arial"/>
          <w:sz w:val="24"/>
          <w:szCs w:val="24"/>
        </w:rPr>
        <w:t>This settlement agreement does not have all the requisite particulars to assess or verify the</w:t>
      </w:r>
      <w:r w:rsidR="00555940">
        <w:rPr>
          <w:rFonts w:ascii="Arial" w:hAnsi="Arial" w:cs="Arial"/>
          <w:sz w:val="24"/>
          <w:szCs w:val="24"/>
        </w:rPr>
        <w:t xml:space="preserve"> delays or costs claimed. On 23 August </w:t>
      </w:r>
      <w:r w:rsidRPr="001A0090">
        <w:rPr>
          <w:rFonts w:ascii="Arial" w:hAnsi="Arial" w:cs="Arial"/>
          <w:sz w:val="24"/>
          <w:szCs w:val="24"/>
        </w:rPr>
        <w:t xml:space="preserve">2019 the SIU informed Eskom via a letter that they </w:t>
      </w:r>
      <w:r w:rsidR="00F21AAE">
        <w:rPr>
          <w:rFonts w:ascii="Arial" w:hAnsi="Arial" w:cs="Arial"/>
          <w:sz w:val="24"/>
          <w:szCs w:val="24"/>
        </w:rPr>
        <w:t>were</w:t>
      </w:r>
      <w:r w:rsidR="00F21AAE" w:rsidRPr="001A0090">
        <w:rPr>
          <w:rFonts w:ascii="Arial" w:hAnsi="Arial" w:cs="Arial"/>
          <w:sz w:val="24"/>
          <w:szCs w:val="24"/>
        </w:rPr>
        <w:t xml:space="preserve"> </w:t>
      </w:r>
      <w:r w:rsidRPr="001A0090">
        <w:rPr>
          <w:rFonts w:ascii="Arial" w:hAnsi="Arial" w:cs="Arial"/>
          <w:sz w:val="24"/>
          <w:szCs w:val="24"/>
        </w:rPr>
        <w:t xml:space="preserve">investigating the Tenova contract for potential overpayment. </w:t>
      </w:r>
      <w:r w:rsidRPr="001A0090">
        <w:rPr>
          <w:rFonts w:ascii="Arial" w:hAnsi="Arial" w:cs="Arial"/>
          <w:sz w:val="24"/>
          <w:szCs w:val="24"/>
        </w:rPr>
        <w:lastRenderedPageBreak/>
        <w:t xml:space="preserve">The SIU further confirmed that on 1 October 2019, evidence in support of criminal charges against the relevant role players was referred to the NPA. </w:t>
      </w:r>
    </w:p>
    <w:p w14:paraId="0CA19874" w14:textId="77777777" w:rsidR="006E3522" w:rsidRPr="001A0090" w:rsidRDefault="006E3522" w:rsidP="006E3522">
      <w:pPr>
        <w:spacing w:after="0" w:line="360" w:lineRule="auto"/>
        <w:ind w:left="360"/>
        <w:rPr>
          <w:rFonts w:ascii="Arial" w:hAnsi="Arial" w:cs="Arial"/>
          <w:sz w:val="24"/>
          <w:szCs w:val="24"/>
          <w:u w:val="single"/>
        </w:rPr>
      </w:pPr>
    </w:p>
    <w:p w14:paraId="2E625D6D" w14:textId="271B7621" w:rsidR="006E3522" w:rsidRPr="00DE2F4E" w:rsidRDefault="006E3522" w:rsidP="006E3522">
      <w:pPr>
        <w:spacing w:after="0" w:line="360" w:lineRule="auto"/>
        <w:ind w:left="360"/>
        <w:jc w:val="both"/>
        <w:rPr>
          <w:rFonts w:ascii="Arial" w:hAnsi="Arial" w:cs="Arial"/>
          <w:sz w:val="24"/>
          <w:szCs w:val="24"/>
        </w:rPr>
      </w:pPr>
      <w:r w:rsidRPr="001A0090">
        <w:rPr>
          <w:rFonts w:ascii="Arial" w:hAnsi="Arial" w:cs="Arial"/>
          <w:sz w:val="24"/>
          <w:szCs w:val="24"/>
        </w:rPr>
        <w:t xml:space="preserve">On 3 December 2019 Eskom’s </w:t>
      </w:r>
      <w:r w:rsidR="00F21AAE">
        <w:rPr>
          <w:rFonts w:ascii="Arial" w:hAnsi="Arial" w:cs="Arial"/>
          <w:sz w:val="24"/>
          <w:szCs w:val="24"/>
        </w:rPr>
        <w:t>s</w:t>
      </w:r>
      <w:r w:rsidRPr="001A0090">
        <w:rPr>
          <w:rFonts w:ascii="Arial" w:hAnsi="Arial" w:cs="Arial"/>
          <w:sz w:val="24"/>
          <w:szCs w:val="24"/>
        </w:rPr>
        <w:t xml:space="preserve">enior officials met with the </w:t>
      </w:r>
      <w:r w:rsidR="00F21AAE">
        <w:rPr>
          <w:rFonts w:ascii="Arial" w:hAnsi="Arial" w:cs="Arial"/>
          <w:sz w:val="24"/>
          <w:szCs w:val="24"/>
        </w:rPr>
        <w:t>s</w:t>
      </w:r>
      <w:r w:rsidRPr="001A0090">
        <w:rPr>
          <w:rFonts w:ascii="Arial" w:hAnsi="Arial" w:cs="Arial"/>
          <w:sz w:val="24"/>
          <w:szCs w:val="24"/>
        </w:rPr>
        <w:t xml:space="preserve">enior management team of Tenova including Tenova’s external </w:t>
      </w:r>
      <w:r w:rsidR="00F21AAE">
        <w:rPr>
          <w:rFonts w:ascii="Arial" w:hAnsi="Arial" w:cs="Arial"/>
          <w:sz w:val="24"/>
          <w:szCs w:val="24"/>
        </w:rPr>
        <w:t>l</w:t>
      </w:r>
      <w:r w:rsidRPr="001A0090">
        <w:rPr>
          <w:rFonts w:ascii="Arial" w:hAnsi="Arial" w:cs="Arial"/>
          <w:sz w:val="24"/>
          <w:szCs w:val="24"/>
        </w:rPr>
        <w:t>egal representative and Eskom tabled that the global settlement agreement did not follow the correct contractual processes and was inflated. Tenova management stated that they were not aware and indicated that they will start an independent investigation on the</w:t>
      </w:r>
      <w:r w:rsidRPr="00DE2F4E">
        <w:rPr>
          <w:rFonts w:ascii="Arial" w:hAnsi="Arial" w:cs="Arial"/>
          <w:sz w:val="24"/>
          <w:szCs w:val="24"/>
        </w:rPr>
        <w:t xml:space="preserve"> matter. On 31 July 2020 Tenova responded that their investigation have found no form of any overpayment. </w:t>
      </w:r>
    </w:p>
    <w:p w14:paraId="0EA6FCC9" w14:textId="77777777" w:rsidR="006E3522" w:rsidRDefault="006E3522" w:rsidP="006E3522">
      <w:pPr>
        <w:spacing w:after="0" w:line="240" w:lineRule="auto"/>
        <w:ind w:left="360"/>
        <w:jc w:val="both"/>
        <w:rPr>
          <w:rFonts w:ascii="Arial" w:hAnsi="Arial" w:cs="Arial"/>
          <w:sz w:val="24"/>
          <w:szCs w:val="24"/>
        </w:rPr>
      </w:pPr>
    </w:p>
    <w:p w14:paraId="373C6ADC" w14:textId="77777777" w:rsidR="006E3522" w:rsidRPr="001A0090" w:rsidRDefault="006E3522" w:rsidP="00FF67FD">
      <w:pPr>
        <w:pStyle w:val="ListParagraph"/>
        <w:numPr>
          <w:ilvl w:val="0"/>
          <w:numId w:val="4"/>
        </w:numPr>
        <w:spacing w:after="0" w:line="360" w:lineRule="auto"/>
        <w:ind w:left="360"/>
        <w:rPr>
          <w:rFonts w:ascii="Arial" w:hAnsi="Arial" w:cs="Arial"/>
          <w:b/>
          <w:sz w:val="24"/>
          <w:szCs w:val="24"/>
        </w:rPr>
      </w:pPr>
      <w:r w:rsidRPr="001A0090">
        <w:rPr>
          <w:rFonts w:ascii="Arial" w:hAnsi="Arial" w:cs="Arial"/>
          <w:b/>
          <w:sz w:val="24"/>
          <w:szCs w:val="24"/>
        </w:rPr>
        <w:t>The officials involved</w:t>
      </w:r>
    </w:p>
    <w:p w14:paraId="23DC4A79" w14:textId="77777777" w:rsidR="006E3522" w:rsidRPr="001A0090" w:rsidRDefault="006E3522" w:rsidP="006E3522">
      <w:pPr>
        <w:spacing w:after="0" w:line="360" w:lineRule="auto"/>
        <w:ind w:left="360"/>
        <w:rPr>
          <w:rFonts w:ascii="Arial" w:hAnsi="Arial" w:cs="Arial"/>
          <w:b/>
          <w:sz w:val="24"/>
          <w:szCs w:val="24"/>
          <w:u w:val="single"/>
        </w:rPr>
      </w:pPr>
    </w:p>
    <w:p w14:paraId="5521C18C" w14:textId="77777777" w:rsidR="006E3522" w:rsidRPr="001A0090" w:rsidRDefault="006E3522" w:rsidP="006E3522">
      <w:pPr>
        <w:spacing w:after="0" w:line="360" w:lineRule="auto"/>
        <w:ind w:left="360"/>
        <w:jc w:val="both"/>
        <w:rPr>
          <w:rFonts w:ascii="Arial" w:hAnsi="Arial" w:cs="Arial"/>
          <w:sz w:val="24"/>
          <w:szCs w:val="24"/>
        </w:rPr>
      </w:pPr>
      <w:r w:rsidRPr="001A0090">
        <w:rPr>
          <w:rFonts w:ascii="Arial" w:hAnsi="Arial" w:cs="Arial"/>
          <w:sz w:val="24"/>
          <w:szCs w:val="24"/>
        </w:rPr>
        <w:t>The project director, the projects employer representative and the project senior contracts manager at the time were involved with the settlement and negotiations. Two of the then contracts managers resigned with immediate effect when the investigations were initiated.</w:t>
      </w:r>
    </w:p>
    <w:p w14:paraId="0B0AFD8A" w14:textId="77777777" w:rsidR="006E3522" w:rsidRPr="001A0090" w:rsidRDefault="006E3522" w:rsidP="006E3522">
      <w:pPr>
        <w:spacing w:after="0" w:line="360" w:lineRule="auto"/>
        <w:ind w:left="360"/>
        <w:rPr>
          <w:rFonts w:ascii="Arial" w:hAnsi="Arial" w:cs="Arial"/>
          <w:b/>
          <w:sz w:val="24"/>
          <w:szCs w:val="24"/>
          <w:u w:val="single"/>
        </w:rPr>
      </w:pPr>
    </w:p>
    <w:p w14:paraId="3FAD5D44" w14:textId="77777777" w:rsidR="006E3522" w:rsidRPr="001A0090" w:rsidRDefault="006E3522" w:rsidP="00FF67FD">
      <w:pPr>
        <w:pStyle w:val="ListParagraph"/>
        <w:numPr>
          <w:ilvl w:val="0"/>
          <w:numId w:val="4"/>
        </w:numPr>
        <w:spacing w:after="0" w:line="360" w:lineRule="auto"/>
        <w:ind w:left="360"/>
        <w:rPr>
          <w:rFonts w:ascii="Arial" w:hAnsi="Arial" w:cs="Arial"/>
          <w:b/>
          <w:sz w:val="24"/>
          <w:szCs w:val="24"/>
        </w:rPr>
      </w:pPr>
      <w:r w:rsidRPr="001A0090">
        <w:rPr>
          <w:rFonts w:ascii="Arial" w:hAnsi="Arial" w:cs="Arial"/>
          <w:b/>
          <w:sz w:val="24"/>
          <w:szCs w:val="24"/>
        </w:rPr>
        <w:t>The names of the contractors and the nature of contracts</w:t>
      </w:r>
    </w:p>
    <w:p w14:paraId="78DFD423" w14:textId="77777777" w:rsidR="006E3522" w:rsidRPr="001A0090" w:rsidRDefault="006E3522" w:rsidP="006E3522">
      <w:pPr>
        <w:spacing w:after="0" w:line="360" w:lineRule="auto"/>
        <w:ind w:left="360"/>
        <w:jc w:val="both"/>
        <w:rPr>
          <w:rFonts w:ascii="Arial" w:hAnsi="Arial" w:cs="Arial"/>
          <w:sz w:val="24"/>
          <w:szCs w:val="24"/>
        </w:rPr>
      </w:pPr>
    </w:p>
    <w:p w14:paraId="3DDA4C22" w14:textId="14823498" w:rsidR="006E3522" w:rsidRPr="001A0090" w:rsidRDefault="006E3522" w:rsidP="006E3522">
      <w:pPr>
        <w:autoSpaceDE w:val="0"/>
        <w:autoSpaceDN w:val="0"/>
        <w:adjustRightInd w:val="0"/>
        <w:spacing w:after="0" w:line="360" w:lineRule="auto"/>
        <w:ind w:left="426"/>
        <w:jc w:val="both"/>
        <w:rPr>
          <w:rFonts w:ascii="Arial" w:hAnsi="Arial" w:cs="Arial"/>
          <w:sz w:val="24"/>
          <w:szCs w:val="24"/>
        </w:rPr>
      </w:pPr>
      <w:r w:rsidRPr="001A0090">
        <w:rPr>
          <w:rFonts w:ascii="Arial" w:hAnsi="Arial" w:cs="Arial"/>
          <w:sz w:val="24"/>
          <w:szCs w:val="24"/>
        </w:rPr>
        <w:t xml:space="preserve">Contract </w:t>
      </w:r>
      <w:r w:rsidR="00F21AAE" w:rsidRPr="001A0090">
        <w:rPr>
          <w:rFonts w:ascii="Arial" w:hAnsi="Arial" w:cs="Arial"/>
          <w:sz w:val="24"/>
          <w:szCs w:val="24"/>
        </w:rPr>
        <w:t>N</w:t>
      </w:r>
      <w:r w:rsidR="00F21AAE">
        <w:rPr>
          <w:rFonts w:ascii="Arial" w:hAnsi="Arial" w:cs="Arial"/>
          <w:sz w:val="24"/>
          <w:szCs w:val="24"/>
        </w:rPr>
        <w:t>umber</w:t>
      </w:r>
      <w:r w:rsidR="00F21AAE" w:rsidRPr="001A0090">
        <w:rPr>
          <w:rFonts w:ascii="Arial" w:hAnsi="Arial" w:cs="Arial"/>
          <w:sz w:val="24"/>
          <w:szCs w:val="24"/>
        </w:rPr>
        <w:t>s</w:t>
      </w:r>
      <w:r w:rsidRPr="001A0090">
        <w:rPr>
          <w:rFonts w:ascii="Arial" w:hAnsi="Arial" w:cs="Arial"/>
          <w:sz w:val="24"/>
          <w:szCs w:val="24"/>
        </w:rPr>
        <w:t xml:space="preserve">. 4600011975, 4600012597 and 4600012166 with Tenova Mining and Minerals SA (Pty) Ltd </w:t>
      </w:r>
      <w:r w:rsidR="00F21AAE">
        <w:rPr>
          <w:rFonts w:ascii="Arial" w:hAnsi="Arial" w:cs="Arial"/>
          <w:sz w:val="24"/>
          <w:szCs w:val="24"/>
        </w:rPr>
        <w:t>are</w:t>
      </w:r>
      <w:r w:rsidR="00F21AAE" w:rsidRPr="001A0090">
        <w:rPr>
          <w:rFonts w:ascii="Arial" w:hAnsi="Arial" w:cs="Arial"/>
          <w:sz w:val="24"/>
          <w:szCs w:val="24"/>
        </w:rPr>
        <w:t xml:space="preserve"> </w:t>
      </w:r>
      <w:r w:rsidRPr="001A0090">
        <w:rPr>
          <w:rFonts w:ascii="Arial" w:hAnsi="Arial" w:cs="Arial"/>
          <w:sz w:val="24"/>
          <w:szCs w:val="24"/>
        </w:rPr>
        <w:t>for the complete design, procurement, delivery to site, erection, cold and hot commissioning of the Terrace Materials Handling Systems for</w:t>
      </w:r>
      <w:r w:rsidR="00F21AAE">
        <w:rPr>
          <w:rFonts w:ascii="Arial" w:hAnsi="Arial" w:cs="Arial"/>
          <w:sz w:val="24"/>
          <w:szCs w:val="24"/>
        </w:rPr>
        <w:t xml:space="preserve"> the</w:t>
      </w:r>
      <w:r w:rsidRPr="001A0090">
        <w:rPr>
          <w:rFonts w:ascii="Arial" w:hAnsi="Arial" w:cs="Arial"/>
          <w:sz w:val="24"/>
          <w:szCs w:val="24"/>
        </w:rPr>
        <w:t xml:space="preserve"> Kusile Power Station Project.</w:t>
      </w:r>
    </w:p>
    <w:p w14:paraId="09CA36AF" w14:textId="77777777" w:rsidR="001B74F3" w:rsidRPr="001A0090" w:rsidRDefault="001B74F3" w:rsidP="006E3522">
      <w:pPr>
        <w:pStyle w:val="ListParagraph"/>
        <w:spacing w:line="360" w:lineRule="auto"/>
        <w:ind w:left="360"/>
        <w:rPr>
          <w:rFonts w:ascii="Arial" w:hAnsi="Arial" w:cs="Arial"/>
          <w:sz w:val="24"/>
          <w:szCs w:val="24"/>
        </w:rPr>
      </w:pPr>
    </w:p>
    <w:p w14:paraId="2DA07F10" w14:textId="77777777" w:rsidR="006E3522" w:rsidRPr="001A0090" w:rsidRDefault="006E3522" w:rsidP="00FF67FD">
      <w:pPr>
        <w:pStyle w:val="ListParagraph"/>
        <w:numPr>
          <w:ilvl w:val="0"/>
          <w:numId w:val="4"/>
        </w:numPr>
        <w:spacing w:after="0" w:line="360" w:lineRule="auto"/>
        <w:ind w:left="360"/>
        <w:rPr>
          <w:rFonts w:ascii="Arial" w:hAnsi="Arial" w:cs="Arial"/>
          <w:b/>
          <w:sz w:val="24"/>
          <w:szCs w:val="24"/>
        </w:rPr>
      </w:pPr>
      <w:r w:rsidRPr="001A0090">
        <w:rPr>
          <w:rFonts w:ascii="Arial" w:hAnsi="Arial" w:cs="Arial"/>
          <w:b/>
          <w:sz w:val="24"/>
          <w:szCs w:val="24"/>
        </w:rPr>
        <w:t>The consequences of these actions</w:t>
      </w:r>
    </w:p>
    <w:p w14:paraId="01375817" w14:textId="77777777" w:rsidR="006E3522" w:rsidRPr="001A0090" w:rsidRDefault="006E3522" w:rsidP="006E3522">
      <w:pPr>
        <w:spacing w:after="0" w:line="360" w:lineRule="auto"/>
        <w:ind w:left="360"/>
        <w:rPr>
          <w:rFonts w:ascii="Arial" w:hAnsi="Arial" w:cs="Arial"/>
          <w:sz w:val="24"/>
          <w:szCs w:val="24"/>
        </w:rPr>
      </w:pPr>
    </w:p>
    <w:p w14:paraId="433B2493" w14:textId="02C301AC" w:rsidR="006E3522" w:rsidRPr="001A0090" w:rsidRDefault="006E3522" w:rsidP="006E3522">
      <w:pPr>
        <w:spacing w:after="0" w:line="360" w:lineRule="auto"/>
        <w:ind w:left="360"/>
        <w:jc w:val="both"/>
        <w:rPr>
          <w:rFonts w:ascii="Arial" w:hAnsi="Arial" w:cs="Arial"/>
          <w:sz w:val="24"/>
          <w:szCs w:val="24"/>
        </w:rPr>
      </w:pPr>
      <w:r w:rsidRPr="001A0090">
        <w:rPr>
          <w:rFonts w:ascii="Arial" w:hAnsi="Arial" w:cs="Arial"/>
          <w:sz w:val="24"/>
          <w:szCs w:val="24"/>
        </w:rPr>
        <w:t xml:space="preserve">Two of the contract managers involved resigned in the face of disciplinary action by Eskom, based on the SIU’s findings. The other two Eskom officials involved resigned prior to the investigation. The SIU’s investigation revealed substantial amounts of gratification paid by Tenova via </w:t>
      </w:r>
      <w:r>
        <w:rPr>
          <w:rFonts w:ascii="Arial" w:hAnsi="Arial" w:cs="Arial"/>
          <w:sz w:val="24"/>
          <w:szCs w:val="24"/>
        </w:rPr>
        <w:t xml:space="preserve">a “sub-contractor” (to whom R46 242 </w:t>
      </w:r>
      <w:r w:rsidRPr="001A0090">
        <w:rPr>
          <w:rFonts w:ascii="Arial" w:hAnsi="Arial" w:cs="Arial"/>
          <w:sz w:val="24"/>
          <w:szCs w:val="24"/>
        </w:rPr>
        <w:t xml:space="preserve">000.00 was paid by Tenova) to Eskom officials and/or persons/entities connected to them. Tenova also self-reported to South African authorities that it found evidence of payments related to overseas travels of an Eskom employee. The SIU </w:t>
      </w:r>
      <w:r w:rsidRPr="001A0090">
        <w:rPr>
          <w:rFonts w:ascii="Arial" w:hAnsi="Arial" w:cs="Arial"/>
          <w:sz w:val="24"/>
          <w:szCs w:val="24"/>
        </w:rPr>
        <w:lastRenderedPageBreak/>
        <w:t xml:space="preserve">has referred the evidence collected, pointing towards the commission of the crimes of, </w:t>
      </w:r>
      <w:r w:rsidRPr="004E559D">
        <w:rPr>
          <w:rFonts w:ascii="Arial" w:hAnsi="Arial" w:cs="Arial"/>
          <w:i/>
          <w:iCs/>
          <w:sz w:val="24"/>
          <w:szCs w:val="24"/>
        </w:rPr>
        <w:t>inter alia</w:t>
      </w:r>
      <w:r w:rsidRPr="001A0090">
        <w:rPr>
          <w:rFonts w:ascii="Arial" w:hAnsi="Arial" w:cs="Arial"/>
          <w:sz w:val="24"/>
          <w:szCs w:val="24"/>
        </w:rPr>
        <w:t xml:space="preserve">, money laundering, grand corruption and racketeering by the </w:t>
      </w:r>
      <w:r w:rsidR="001A367A">
        <w:rPr>
          <w:rFonts w:ascii="Arial" w:hAnsi="Arial" w:cs="Arial"/>
          <w:sz w:val="24"/>
          <w:szCs w:val="24"/>
        </w:rPr>
        <w:t>seven (</w:t>
      </w:r>
      <w:r w:rsidRPr="001A0090">
        <w:rPr>
          <w:rFonts w:ascii="Arial" w:hAnsi="Arial" w:cs="Arial"/>
          <w:sz w:val="24"/>
          <w:szCs w:val="24"/>
        </w:rPr>
        <w:t>7</w:t>
      </w:r>
      <w:r w:rsidR="001A367A">
        <w:rPr>
          <w:rFonts w:ascii="Arial" w:hAnsi="Arial" w:cs="Arial"/>
          <w:sz w:val="24"/>
          <w:szCs w:val="24"/>
        </w:rPr>
        <w:t>)</w:t>
      </w:r>
      <w:r w:rsidRPr="001A0090">
        <w:rPr>
          <w:rFonts w:ascii="Arial" w:hAnsi="Arial" w:cs="Arial"/>
          <w:sz w:val="24"/>
          <w:szCs w:val="24"/>
        </w:rPr>
        <w:t xml:space="preserve"> individuals to the NPA for the institution of criminal proceedings. </w:t>
      </w:r>
    </w:p>
    <w:p w14:paraId="4EF6FA69" w14:textId="77777777" w:rsidR="006E3522" w:rsidRPr="001A0090" w:rsidRDefault="006E3522" w:rsidP="006E3522">
      <w:pPr>
        <w:spacing w:after="0" w:line="360" w:lineRule="auto"/>
        <w:ind w:left="360"/>
        <w:jc w:val="both"/>
        <w:rPr>
          <w:rFonts w:ascii="Arial" w:hAnsi="Arial" w:cs="Arial"/>
          <w:sz w:val="24"/>
          <w:szCs w:val="24"/>
        </w:rPr>
      </w:pPr>
    </w:p>
    <w:p w14:paraId="73F17FBC" w14:textId="77777777" w:rsidR="006E3522" w:rsidRDefault="006E3522" w:rsidP="006E3522">
      <w:pPr>
        <w:spacing w:after="0" w:line="360" w:lineRule="auto"/>
        <w:ind w:left="360"/>
        <w:jc w:val="both"/>
        <w:rPr>
          <w:rFonts w:ascii="Arial" w:hAnsi="Arial" w:cs="Arial"/>
          <w:sz w:val="24"/>
          <w:szCs w:val="24"/>
        </w:rPr>
      </w:pPr>
      <w:r w:rsidRPr="001A0090">
        <w:rPr>
          <w:rFonts w:ascii="Arial" w:hAnsi="Arial" w:cs="Arial"/>
          <w:sz w:val="24"/>
          <w:szCs w:val="24"/>
        </w:rPr>
        <w:t>Eskom has initiated the re-evaluation of the previously approved extension of time with forensic planning experts to ascertain actual entitlement. The findings in this regard will inform the SIU’s civil proceedings.</w:t>
      </w:r>
    </w:p>
    <w:p w14:paraId="55CE273B" w14:textId="77777777" w:rsidR="009E2512" w:rsidRPr="001A0090" w:rsidRDefault="009E2512" w:rsidP="006E3522">
      <w:pPr>
        <w:spacing w:after="0" w:line="360" w:lineRule="auto"/>
        <w:ind w:left="360"/>
        <w:jc w:val="both"/>
        <w:rPr>
          <w:rFonts w:ascii="Arial" w:hAnsi="Arial" w:cs="Arial"/>
          <w:sz w:val="24"/>
          <w:szCs w:val="24"/>
        </w:rPr>
      </w:pPr>
    </w:p>
    <w:p w14:paraId="26595D26" w14:textId="77777777" w:rsidR="006E3522" w:rsidRPr="001A0090" w:rsidRDefault="006E3522" w:rsidP="00FF67FD">
      <w:pPr>
        <w:pStyle w:val="ListParagraph"/>
        <w:numPr>
          <w:ilvl w:val="0"/>
          <w:numId w:val="1"/>
        </w:numPr>
        <w:spacing w:after="0" w:line="360" w:lineRule="auto"/>
        <w:jc w:val="both"/>
        <w:rPr>
          <w:rFonts w:ascii="Arial" w:hAnsi="Arial" w:cs="Arial"/>
          <w:b/>
          <w:i/>
          <w:sz w:val="24"/>
          <w:szCs w:val="24"/>
          <w:u w:val="single"/>
        </w:rPr>
      </w:pPr>
      <w:r w:rsidRPr="001A0090">
        <w:rPr>
          <w:rFonts w:ascii="Arial" w:hAnsi="Arial" w:cs="Arial"/>
          <w:b/>
          <w:i/>
          <w:sz w:val="24"/>
          <w:szCs w:val="24"/>
          <w:u w:val="single"/>
        </w:rPr>
        <w:t>Tubular Construction Projects (Pty) Ltd estimated overpayment of R450m and R163m. General Electric (GE) estimated overpayment of R400m.</w:t>
      </w:r>
    </w:p>
    <w:p w14:paraId="4D5753AB" w14:textId="77777777" w:rsidR="006E3522" w:rsidRPr="001A0090" w:rsidRDefault="006E3522" w:rsidP="006E3522">
      <w:pPr>
        <w:pStyle w:val="ListParagraph"/>
        <w:spacing w:line="360" w:lineRule="auto"/>
        <w:ind w:left="360"/>
        <w:jc w:val="both"/>
        <w:rPr>
          <w:rFonts w:ascii="Arial" w:hAnsi="Arial" w:cs="Arial"/>
          <w:b/>
          <w:sz w:val="24"/>
          <w:szCs w:val="24"/>
          <w:u w:val="single"/>
        </w:rPr>
      </w:pPr>
    </w:p>
    <w:p w14:paraId="2A31B14C" w14:textId="77777777" w:rsidR="006E3522" w:rsidRPr="001A0090" w:rsidRDefault="006E3522" w:rsidP="00FF67FD">
      <w:pPr>
        <w:pStyle w:val="ListParagraph"/>
        <w:numPr>
          <w:ilvl w:val="0"/>
          <w:numId w:val="6"/>
        </w:numPr>
        <w:spacing w:after="0" w:line="360" w:lineRule="auto"/>
        <w:ind w:left="360"/>
        <w:jc w:val="both"/>
        <w:rPr>
          <w:rFonts w:ascii="Arial" w:hAnsi="Arial" w:cs="Arial"/>
          <w:b/>
          <w:sz w:val="24"/>
          <w:szCs w:val="24"/>
        </w:rPr>
      </w:pPr>
      <w:r w:rsidRPr="001A0090">
        <w:rPr>
          <w:rFonts w:ascii="Arial" w:hAnsi="Arial" w:cs="Arial"/>
          <w:b/>
          <w:sz w:val="24"/>
          <w:szCs w:val="24"/>
        </w:rPr>
        <w:t>The circumstances which led to the overpayment</w:t>
      </w:r>
    </w:p>
    <w:p w14:paraId="4F6B72D8" w14:textId="77777777" w:rsidR="006E3522" w:rsidRPr="001A0090" w:rsidRDefault="006E3522" w:rsidP="006E3522">
      <w:pPr>
        <w:spacing w:after="0" w:line="360" w:lineRule="auto"/>
        <w:ind w:left="360"/>
        <w:jc w:val="both"/>
        <w:rPr>
          <w:rFonts w:ascii="Arial" w:hAnsi="Arial" w:cs="Arial"/>
          <w:sz w:val="24"/>
          <w:szCs w:val="24"/>
        </w:rPr>
      </w:pPr>
    </w:p>
    <w:p w14:paraId="6821B82F" w14:textId="353051A2" w:rsidR="006E3522" w:rsidRPr="001A0090" w:rsidRDefault="006E3522" w:rsidP="006E3522">
      <w:pPr>
        <w:spacing w:after="0" w:line="360" w:lineRule="auto"/>
        <w:ind w:left="360"/>
        <w:jc w:val="both"/>
        <w:rPr>
          <w:rFonts w:ascii="Arial" w:hAnsi="Arial" w:cs="Arial"/>
          <w:sz w:val="24"/>
          <w:szCs w:val="24"/>
        </w:rPr>
      </w:pPr>
      <w:r w:rsidRPr="001A0090">
        <w:rPr>
          <w:rFonts w:ascii="Arial" w:hAnsi="Arial" w:cs="Arial"/>
          <w:sz w:val="24"/>
          <w:szCs w:val="24"/>
        </w:rPr>
        <w:t xml:space="preserve">The Contractor submitted a value engineering proposal, which when evaluated led to Modification # 1. This </w:t>
      </w:r>
      <w:r w:rsidR="001A367A">
        <w:rPr>
          <w:rFonts w:ascii="Arial" w:hAnsi="Arial" w:cs="Arial"/>
          <w:sz w:val="24"/>
          <w:szCs w:val="24"/>
        </w:rPr>
        <w:t>m</w:t>
      </w:r>
      <w:r w:rsidRPr="001A0090">
        <w:rPr>
          <w:rFonts w:ascii="Arial" w:hAnsi="Arial" w:cs="Arial"/>
          <w:sz w:val="24"/>
          <w:szCs w:val="24"/>
        </w:rPr>
        <w:t>odification was approved throughout Eskom governance structures including National Treasury</w:t>
      </w:r>
      <w:r w:rsidR="001A367A">
        <w:rPr>
          <w:rFonts w:ascii="Arial" w:hAnsi="Arial" w:cs="Arial"/>
          <w:sz w:val="24"/>
          <w:szCs w:val="24"/>
        </w:rPr>
        <w:t>. A</w:t>
      </w:r>
      <w:r w:rsidRPr="001A0090">
        <w:rPr>
          <w:rFonts w:ascii="Arial" w:hAnsi="Arial" w:cs="Arial"/>
          <w:sz w:val="24"/>
          <w:szCs w:val="24"/>
        </w:rPr>
        <w:t>s part of National Treasury’s approval they requested</w:t>
      </w:r>
      <w:r w:rsidR="001A367A">
        <w:rPr>
          <w:rFonts w:ascii="Arial" w:hAnsi="Arial" w:cs="Arial"/>
          <w:sz w:val="24"/>
          <w:szCs w:val="24"/>
        </w:rPr>
        <w:t xml:space="preserve"> that</w:t>
      </w:r>
      <w:r w:rsidRPr="001A0090">
        <w:rPr>
          <w:rFonts w:ascii="Arial" w:hAnsi="Arial" w:cs="Arial"/>
          <w:sz w:val="24"/>
          <w:szCs w:val="24"/>
        </w:rPr>
        <w:t xml:space="preserve"> an independent audit be conducted</w:t>
      </w:r>
      <w:r w:rsidR="001A367A">
        <w:rPr>
          <w:rFonts w:ascii="Arial" w:hAnsi="Arial" w:cs="Arial"/>
          <w:sz w:val="24"/>
          <w:szCs w:val="24"/>
        </w:rPr>
        <w:t>.</w:t>
      </w:r>
      <w:r w:rsidRPr="001A0090">
        <w:rPr>
          <w:rFonts w:ascii="Arial" w:hAnsi="Arial" w:cs="Arial"/>
          <w:sz w:val="24"/>
          <w:szCs w:val="24"/>
        </w:rPr>
        <w:t xml:space="preserve"> </w:t>
      </w:r>
      <w:r w:rsidR="001A367A">
        <w:rPr>
          <w:rFonts w:ascii="Arial" w:hAnsi="Arial" w:cs="Arial"/>
          <w:sz w:val="24"/>
          <w:szCs w:val="24"/>
        </w:rPr>
        <w:t>T</w:t>
      </w:r>
      <w:r w:rsidRPr="001A0090">
        <w:rPr>
          <w:rFonts w:ascii="Arial" w:hAnsi="Arial" w:cs="Arial"/>
          <w:sz w:val="24"/>
          <w:szCs w:val="24"/>
        </w:rPr>
        <w:t>his was duly undertaken by Harvest. However, the items included in the modification remain questionable as to whether they provided Eskom any value and/or if the Contractor was really entitled to the additional monies.</w:t>
      </w:r>
    </w:p>
    <w:p w14:paraId="70A3DC9B" w14:textId="77777777" w:rsidR="006E3522" w:rsidRPr="001A0090" w:rsidRDefault="006E3522" w:rsidP="006E3522">
      <w:pPr>
        <w:spacing w:after="0" w:line="360" w:lineRule="auto"/>
        <w:ind w:left="360"/>
        <w:jc w:val="both"/>
        <w:rPr>
          <w:rFonts w:ascii="Arial" w:hAnsi="Arial" w:cs="Arial"/>
          <w:sz w:val="24"/>
          <w:szCs w:val="24"/>
        </w:rPr>
      </w:pPr>
    </w:p>
    <w:p w14:paraId="595317F9" w14:textId="1EAFB852" w:rsidR="006E3522" w:rsidRPr="001A0090" w:rsidRDefault="006E3522" w:rsidP="006E3522">
      <w:pPr>
        <w:spacing w:after="0" w:line="360" w:lineRule="auto"/>
        <w:ind w:left="360"/>
        <w:jc w:val="both"/>
        <w:rPr>
          <w:rFonts w:ascii="Arial" w:hAnsi="Arial" w:cs="Arial"/>
          <w:sz w:val="24"/>
          <w:szCs w:val="24"/>
        </w:rPr>
      </w:pPr>
      <w:r w:rsidRPr="001A0090">
        <w:rPr>
          <w:rFonts w:ascii="Arial" w:hAnsi="Arial" w:cs="Arial"/>
          <w:sz w:val="24"/>
          <w:szCs w:val="24"/>
        </w:rPr>
        <w:t>Th</w:t>
      </w:r>
      <w:r w:rsidR="001A367A">
        <w:rPr>
          <w:rFonts w:ascii="Arial" w:hAnsi="Arial" w:cs="Arial"/>
          <w:sz w:val="24"/>
          <w:szCs w:val="24"/>
        </w:rPr>
        <w:t>e</w:t>
      </w:r>
      <w:r w:rsidRPr="001A0090">
        <w:rPr>
          <w:rFonts w:ascii="Arial" w:hAnsi="Arial" w:cs="Arial"/>
          <w:sz w:val="24"/>
          <w:szCs w:val="24"/>
        </w:rPr>
        <w:t xml:space="preserve"> Tubular Construction Projects (Pty) Ltd contract was also an outcome of a de-scoping exercise concluded through a settlement</w:t>
      </w:r>
      <w:r w:rsidR="00555940">
        <w:rPr>
          <w:rFonts w:ascii="Arial" w:hAnsi="Arial" w:cs="Arial"/>
          <w:sz w:val="24"/>
          <w:szCs w:val="24"/>
        </w:rPr>
        <w:t xml:space="preserve"> agreement in February </w:t>
      </w:r>
      <w:r w:rsidRPr="001A0090">
        <w:rPr>
          <w:rFonts w:ascii="Arial" w:hAnsi="Arial" w:cs="Arial"/>
          <w:sz w:val="24"/>
          <w:szCs w:val="24"/>
        </w:rPr>
        <w:t xml:space="preserve">2017 with Alstom </w:t>
      </w:r>
      <w:r w:rsidR="001A367A">
        <w:rPr>
          <w:rFonts w:ascii="Arial" w:hAnsi="Arial" w:cs="Arial"/>
          <w:sz w:val="24"/>
          <w:szCs w:val="24"/>
        </w:rPr>
        <w:t>(</w:t>
      </w:r>
      <w:r w:rsidRPr="001A0090">
        <w:rPr>
          <w:rFonts w:ascii="Arial" w:hAnsi="Arial" w:cs="Arial"/>
          <w:sz w:val="24"/>
          <w:szCs w:val="24"/>
        </w:rPr>
        <w:t>now G</w:t>
      </w:r>
      <w:r w:rsidR="00A824EB">
        <w:rPr>
          <w:rFonts w:ascii="Arial" w:hAnsi="Arial" w:cs="Arial"/>
          <w:sz w:val="24"/>
          <w:szCs w:val="24"/>
        </w:rPr>
        <w:t xml:space="preserve">eneral </w:t>
      </w:r>
      <w:r w:rsidRPr="001A0090">
        <w:rPr>
          <w:rFonts w:ascii="Arial" w:hAnsi="Arial" w:cs="Arial"/>
          <w:sz w:val="24"/>
          <w:szCs w:val="24"/>
        </w:rPr>
        <w:t>E</w:t>
      </w:r>
      <w:r w:rsidR="00A824EB">
        <w:rPr>
          <w:rFonts w:ascii="Arial" w:hAnsi="Arial" w:cs="Arial"/>
          <w:sz w:val="24"/>
          <w:szCs w:val="24"/>
        </w:rPr>
        <w:t>lectric</w:t>
      </w:r>
      <w:r w:rsidR="001A367A">
        <w:rPr>
          <w:rFonts w:ascii="Arial" w:hAnsi="Arial" w:cs="Arial"/>
          <w:sz w:val="24"/>
          <w:szCs w:val="24"/>
        </w:rPr>
        <w:t>)</w:t>
      </w:r>
      <w:r w:rsidRPr="001A0090">
        <w:rPr>
          <w:rFonts w:ascii="Arial" w:hAnsi="Arial" w:cs="Arial"/>
          <w:sz w:val="24"/>
          <w:szCs w:val="24"/>
        </w:rPr>
        <w:t xml:space="preserve">, the main contractor originally appointed for the execution of the </w:t>
      </w:r>
      <w:r w:rsidR="001A367A">
        <w:rPr>
          <w:rFonts w:ascii="Arial" w:hAnsi="Arial" w:cs="Arial"/>
          <w:sz w:val="24"/>
          <w:szCs w:val="24"/>
        </w:rPr>
        <w:t>a</w:t>
      </w:r>
      <w:r w:rsidRPr="001A0090">
        <w:rPr>
          <w:rFonts w:ascii="Arial" w:hAnsi="Arial" w:cs="Arial"/>
          <w:sz w:val="24"/>
          <w:szCs w:val="24"/>
        </w:rPr>
        <w:t xml:space="preserve">ir </w:t>
      </w:r>
      <w:r w:rsidR="001A367A">
        <w:rPr>
          <w:rFonts w:ascii="Arial" w:hAnsi="Arial" w:cs="Arial"/>
          <w:sz w:val="24"/>
          <w:szCs w:val="24"/>
        </w:rPr>
        <w:t>c</w:t>
      </w:r>
      <w:r w:rsidRPr="001A0090">
        <w:rPr>
          <w:rFonts w:ascii="Arial" w:hAnsi="Arial" w:cs="Arial"/>
          <w:sz w:val="24"/>
          <w:szCs w:val="24"/>
        </w:rPr>
        <w:t xml:space="preserve">ooled </w:t>
      </w:r>
      <w:r w:rsidR="001A367A">
        <w:rPr>
          <w:rFonts w:ascii="Arial" w:hAnsi="Arial" w:cs="Arial"/>
          <w:sz w:val="24"/>
          <w:szCs w:val="24"/>
        </w:rPr>
        <w:t>c</w:t>
      </w:r>
      <w:r w:rsidRPr="001A0090">
        <w:rPr>
          <w:rFonts w:ascii="Arial" w:hAnsi="Arial" w:cs="Arial"/>
          <w:sz w:val="24"/>
          <w:szCs w:val="24"/>
        </w:rPr>
        <w:t xml:space="preserve">ondenser scope of work. </w:t>
      </w:r>
    </w:p>
    <w:p w14:paraId="63CB9A6D" w14:textId="77777777" w:rsidR="006E3522" w:rsidRPr="001A0090" w:rsidRDefault="006E3522" w:rsidP="006E3522">
      <w:pPr>
        <w:spacing w:after="0" w:line="360" w:lineRule="auto"/>
        <w:ind w:left="360"/>
        <w:jc w:val="both"/>
        <w:rPr>
          <w:rFonts w:ascii="Arial" w:hAnsi="Arial" w:cs="Arial"/>
          <w:sz w:val="24"/>
          <w:szCs w:val="24"/>
        </w:rPr>
      </w:pPr>
    </w:p>
    <w:p w14:paraId="14F021D0" w14:textId="3FA39C9C" w:rsidR="006E3522" w:rsidRDefault="006E3522" w:rsidP="006E3522">
      <w:pPr>
        <w:spacing w:after="0" w:line="360" w:lineRule="auto"/>
        <w:ind w:left="360"/>
        <w:jc w:val="both"/>
        <w:rPr>
          <w:rFonts w:ascii="Arial" w:hAnsi="Arial" w:cs="Arial"/>
          <w:sz w:val="24"/>
          <w:szCs w:val="24"/>
        </w:rPr>
      </w:pPr>
      <w:r>
        <w:rPr>
          <w:rFonts w:ascii="Arial" w:hAnsi="Arial" w:cs="Arial"/>
          <w:sz w:val="24"/>
          <w:szCs w:val="24"/>
        </w:rPr>
        <w:t>The employer’s representative and contracts manager at the time did not recover the advance payment made to the contractor due to there being a R495m claim being lodged by the contractor. The advance payment would have been offset against this claim if the adjudication went against Eskom. Eskom was successful in defending this claim and the advance payment bond</w:t>
      </w:r>
      <w:r w:rsidRPr="00BD2E05">
        <w:rPr>
          <w:rFonts w:ascii="Arial" w:hAnsi="Arial" w:cs="Arial"/>
          <w:sz w:val="24"/>
          <w:szCs w:val="24"/>
        </w:rPr>
        <w:t xml:space="preserve"> </w:t>
      </w:r>
      <w:r w:rsidR="00555940">
        <w:rPr>
          <w:rFonts w:ascii="Arial" w:hAnsi="Arial" w:cs="Arial"/>
          <w:sz w:val="24"/>
          <w:szCs w:val="24"/>
        </w:rPr>
        <w:t>for a value of R163 701</w:t>
      </w:r>
      <w:r w:rsidR="00A824EB">
        <w:rPr>
          <w:rFonts w:ascii="Arial" w:hAnsi="Arial" w:cs="Arial"/>
          <w:sz w:val="24"/>
          <w:szCs w:val="24"/>
        </w:rPr>
        <w:t xml:space="preserve"> </w:t>
      </w:r>
      <w:r w:rsidRPr="00506FF4">
        <w:rPr>
          <w:rFonts w:ascii="Arial" w:hAnsi="Arial" w:cs="Arial"/>
          <w:sz w:val="24"/>
          <w:szCs w:val="24"/>
        </w:rPr>
        <w:t>263</w:t>
      </w:r>
      <w:r w:rsidR="001A367A">
        <w:rPr>
          <w:rFonts w:ascii="Arial" w:hAnsi="Arial" w:cs="Arial"/>
          <w:sz w:val="24"/>
          <w:szCs w:val="24"/>
        </w:rPr>
        <w:t>,</w:t>
      </w:r>
      <w:r w:rsidRPr="00506FF4">
        <w:rPr>
          <w:rFonts w:ascii="Arial" w:hAnsi="Arial" w:cs="Arial"/>
          <w:sz w:val="24"/>
          <w:szCs w:val="24"/>
        </w:rPr>
        <w:t>0</w:t>
      </w:r>
      <w:r w:rsidR="0024762E">
        <w:rPr>
          <w:rFonts w:ascii="Arial" w:hAnsi="Arial" w:cs="Arial"/>
          <w:sz w:val="24"/>
          <w:szCs w:val="24"/>
        </w:rPr>
        <w:t>0</w:t>
      </w:r>
      <w:r>
        <w:rPr>
          <w:rFonts w:ascii="Arial" w:hAnsi="Arial" w:cs="Arial"/>
          <w:sz w:val="24"/>
          <w:szCs w:val="24"/>
        </w:rPr>
        <w:t xml:space="preserve"> was encashed in April 2020.</w:t>
      </w:r>
    </w:p>
    <w:p w14:paraId="5B4DF6B6" w14:textId="77777777" w:rsidR="006E3522" w:rsidRDefault="006E3522" w:rsidP="006E3522">
      <w:pPr>
        <w:spacing w:after="0" w:line="360" w:lineRule="auto"/>
        <w:ind w:left="360"/>
        <w:jc w:val="both"/>
        <w:rPr>
          <w:rFonts w:ascii="Arial" w:hAnsi="Arial" w:cs="Arial"/>
          <w:sz w:val="24"/>
          <w:szCs w:val="24"/>
        </w:rPr>
      </w:pPr>
    </w:p>
    <w:p w14:paraId="58FE8F43" w14:textId="6779A076" w:rsidR="006E3522" w:rsidRDefault="006E3522" w:rsidP="006E3522">
      <w:pPr>
        <w:spacing w:after="0" w:line="360" w:lineRule="auto"/>
        <w:ind w:left="360"/>
        <w:jc w:val="both"/>
        <w:rPr>
          <w:rFonts w:ascii="Arial" w:hAnsi="Arial" w:cs="Arial"/>
          <w:sz w:val="24"/>
          <w:szCs w:val="24"/>
        </w:rPr>
      </w:pPr>
      <w:r>
        <w:rPr>
          <w:rFonts w:ascii="Arial" w:hAnsi="Arial" w:cs="Arial"/>
          <w:sz w:val="24"/>
          <w:szCs w:val="24"/>
        </w:rPr>
        <w:lastRenderedPageBreak/>
        <w:t xml:space="preserve">An investigation into the settlements reached and paid to </w:t>
      </w:r>
      <w:r w:rsidRPr="00555940">
        <w:rPr>
          <w:rFonts w:ascii="Arial" w:hAnsi="Arial" w:cs="Arial"/>
          <w:sz w:val="24"/>
          <w:szCs w:val="24"/>
        </w:rPr>
        <w:t>GE</w:t>
      </w:r>
      <w:r w:rsidRPr="00186EF6">
        <w:rPr>
          <w:rFonts w:ascii="Arial" w:hAnsi="Arial" w:cs="Arial"/>
          <w:color w:val="FF0000"/>
          <w:sz w:val="24"/>
          <w:szCs w:val="24"/>
        </w:rPr>
        <w:t xml:space="preserve"> </w:t>
      </w:r>
      <w:r>
        <w:rPr>
          <w:rFonts w:ascii="Arial" w:hAnsi="Arial" w:cs="Arial"/>
          <w:sz w:val="24"/>
          <w:szCs w:val="24"/>
        </w:rPr>
        <w:t>in the de-scoping exercise has also been initiated</w:t>
      </w:r>
      <w:r w:rsidR="001A367A">
        <w:rPr>
          <w:rFonts w:ascii="Arial" w:hAnsi="Arial" w:cs="Arial"/>
          <w:sz w:val="24"/>
          <w:szCs w:val="24"/>
        </w:rPr>
        <w:t>.</w:t>
      </w:r>
      <w:r>
        <w:rPr>
          <w:rFonts w:ascii="Arial" w:hAnsi="Arial" w:cs="Arial"/>
          <w:sz w:val="24"/>
          <w:szCs w:val="24"/>
        </w:rPr>
        <w:t xml:space="preserve"> </w:t>
      </w:r>
      <w:r w:rsidR="001A367A">
        <w:rPr>
          <w:rFonts w:ascii="Arial" w:hAnsi="Arial" w:cs="Arial"/>
          <w:sz w:val="24"/>
          <w:szCs w:val="24"/>
        </w:rPr>
        <w:t>T</w:t>
      </w:r>
      <w:r>
        <w:rPr>
          <w:rFonts w:ascii="Arial" w:hAnsi="Arial" w:cs="Arial"/>
          <w:sz w:val="24"/>
          <w:szCs w:val="24"/>
        </w:rPr>
        <w:t xml:space="preserve">he amount under </w:t>
      </w:r>
      <w:r w:rsidRPr="00A67F1B">
        <w:rPr>
          <w:rFonts w:ascii="Arial" w:hAnsi="Arial" w:cs="Arial"/>
          <w:sz w:val="24"/>
          <w:szCs w:val="24"/>
        </w:rPr>
        <w:t>investigation is R400m.</w:t>
      </w:r>
      <w:r>
        <w:rPr>
          <w:rFonts w:ascii="Arial" w:hAnsi="Arial" w:cs="Arial"/>
          <w:sz w:val="24"/>
          <w:szCs w:val="24"/>
        </w:rPr>
        <w:t xml:space="preserve"> </w:t>
      </w:r>
    </w:p>
    <w:p w14:paraId="7D144565" w14:textId="77777777" w:rsidR="0047365E" w:rsidRDefault="0047365E" w:rsidP="006E3522">
      <w:pPr>
        <w:spacing w:after="0" w:line="240" w:lineRule="auto"/>
        <w:ind w:left="360"/>
        <w:jc w:val="both"/>
        <w:rPr>
          <w:rFonts w:ascii="Arial" w:hAnsi="Arial" w:cs="Arial"/>
          <w:sz w:val="24"/>
          <w:szCs w:val="24"/>
        </w:rPr>
      </w:pPr>
    </w:p>
    <w:p w14:paraId="5CF7DFFB" w14:textId="77777777" w:rsidR="006E3522" w:rsidRPr="001A0090" w:rsidRDefault="006E3522" w:rsidP="006E3522">
      <w:pPr>
        <w:spacing w:after="0" w:line="360" w:lineRule="auto"/>
        <w:ind w:left="360"/>
        <w:jc w:val="both"/>
        <w:rPr>
          <w:rFonts w:ascii="Arial" w:hAnsi="Arial" w:cs="Arial"/>
          <w:sz w:val="24"/>
          <w:szCs w:val="24"/>
        </w:rPr>
      </w:pPr>
      <w:r w:rsidRPr="001A0090">
        <w:rPr>
          <w:rFonts w:ascii="Arial" w:hAnsi="Arial" w:cs="Arial"/>
          <w:sz w:val="24"/>
          <w:szCs w:val="24"/>
        </w:rPr>
        <w:t xml:space="preserve">Tubular Construction Projects (Pty) Ltd was also awarded a contract (P17A) for the Waste Water Treatment Plant in December 2012 after a de-scoping exercise from the contract originally awarded to Mott McDonald/PDNA. This contract and the circumstances around the de-scoping are also being investigated.  </w:t>
      </w:r>
    </w:p>
    <w:p w14:paraId="7859B7DB" w14:textId="77777777" w:rsidR="009E2512" w:rsidRPr="001A0090" w:rsidRDefault="009E2512" w:rsidP="006E3522">
      <w:pPr>
        <w:spacing w:after="0" w:line="360" w:lineRule="auto"/>
        <w:ind w:left="360"/>
        <w:jc w:val="both"/>
        <w:rPr>
          <w:rFonts w:ascii="Arial" w:hAnsi="Arial" w:cs="Arial"/>
          <w:sz w:val="24"/>
          <w:szCs w:val="24"/>
        </w:rPr>
      </w:pPr>
    </w:p>
    <w:p w14:paraId="59090CF4" w14:textId="77777777" w:rsidR="006E3522" w:rsidRPr="001A0090" w:rsidRDefault="006E3522" w:rsidP="00FF67FD">
      <w:pPr>
        <w:pStyle w:val="ListParagraph"/>
        <w:numPr>
          <w:ilvl w:val="0"/>
          <w:numId w:val="6"/>
        </w:numPr>
        <w:spacing w:after="0" w:line="360" w:lineRule="auto"/>
        <w:ind w:left="360"/>
        <w:jc w:val="both"/>
        <w:rPr>
          <w:rFonts w:ascii="Arial" w:hAnsi="Arial" w:cs="Arial"/>
          <w:b/>
          <w:sz w:val="24"/>
          <w:szCs w:val="24"/>
        </w:rPr>
      </w:pPr>
      <w:r w:rsidRPr="001A0090">
        <w:rPr>
          <w:rFonts w:ascii="Arial" w:hAnsi="Arial" w:cs="Arial"/>
          <w:b/>
          <w:sz w:val="24"/>
          <w:szCs w:val="24"/>
        </w:rPr>
        <w:t>The officials involved</w:t>
      </w:r>
    </w:p>
    <w:p w14:paraId="4B42DC35" w14:textId="77777777" w:rsidR="006E3522" w:rsidRPr="001A0090" w:rsidRDefault="006E3522" w:rsidP="006E3522">
      <w:pPr>
        <w:spacing w:after="0" w:line="360" w:lineRule="auto"/>
        <w:ind w:left="360"/>
        <w:jc w:val="both"/>
        <w:rPr>
          <w:rFonts w:ascii="Arial" w:hAnsi="Arial" w:cs="Arial"/>
          <w:b/>
          <w:sz w:val="24"/>
          <w:szCs w:val="24"/>
          <w:u w:val="single"/>
        </w:rPr>
      </w:pPr>
    </w:p>
    <w:p w14:paraId="5F06C8D9" w14:textId="77777777" w:rsidR="006E3522" w:rsidRPr="001A0090" w:rsidRDefault="006E3522" w:rsidP="006E3522">
      <w:pPr>
        <w:spacing w:after="0" w:line="360" w:lineRule="auto"/>
        <w:ind w:left="360"/>
        <w:jc w:val="both"/>
        <w:rPr>
          <w:rFonts w:ascii="Arial" w:hAnsi="Arial" w:cs="Arial"/>
          <w:sz w:val="24"/>
          <w:szCs w:val="24"/>
        </w:rPr>
      </w:pPr>
      <w:r w:rsidRPr="001A0090">
        <w:rPr>
          <w:rFonts w:ascii="Arial" w:hAnsi="Arial" w:cs="Arial"/>
          <w:sz w:val="24"/>
          <w:szCs w:val="24"/>
        </w:rPr>
        <w:t>The project director and project employer’s representative were involved with the negotiations and approval of this modification</w:t>
      </w:r>
      <w:r w:rsidRPr="001A0090">
        <w:rPr>
          <w:sz w:val="24"/>
          <w:szCs w:val="24"/>
        </w:rPr>
        <w:t xml:space="preserve"> </w:t>
      </w:r>
      <w:r w:rsidRPr="001A0090">
        <w:rPr>
          <w:rFonts w:ascii="Arial" w:hAnsi="Arial" w:cs="Arial"/>
          <w:sz w:val="24"/>
          <w:szCs w:val="24"/>
        </w:rPr>
        <w:t>at that time.</w:t>
      </w:r>
    </w:p>
    <w:p w14:paraId="225426BE" w14:textId="77777777" w:rsidR="006E3522" w:rsidRPr="001A0090" w:rsidRDefault="006E3522" w:rsidP="006E3522">
      <w:pPr>
        <w:spacing w:after="0" w:line="360" w:lineRule="auto"/>
        <w:ind w:left="360"/>
        <w:jc w:val="both"/>
        <w:rPr>
          <w:rFonts w:ascii="Arial" w:hAnsi="Arial" w:cs="Arial"/>
          <w:b/>
          <w:sz w:val="24"/>
          <w:szCs w:val="24"/>
        </w:rPr>
      </w:pPr>
    </w:p>
    <w:p w14:paraId="115F0ECF" w14:textId="77777777" w:rsidR="006E3522" w:rsidRPr="001A0090" w:rsidRDefault="006E3522" w:rsidP="00FF67FD">
      <w:pPr>
        <w:pStyle w:val="ListParagraph"/>
        <w:numPr>
          <w:ilvl w:val="0"/>
          <w:numId w:val="6"/>
        </w:numPr>
        <w:spacing w:after="0" w:line="360" w:lineRule="auto"/>
        <w:ind w:left="360"/>
        <w:jc w:val="both"/>
        <w:rPr>
          <w:rFonts w:ascii="Arial" w:hAnsi="Arial" w:cs="Arial"/>
          <w:b/>
          <w:sz w:val="24"/>
          <w:szCs w:val="24"/>
        </w:rPr>
      </w:pPr>
      <w:r w:rsidRPr="001A0090">
        <w:rPr>
          <w:rFonts w:ascii="Arial" w:hAnsi="Arial" w:cs="Arial"/>
          <w:b/>
          <w:sz w:val="24"/>
          <w:szCs w:val="24"/>
        </w:rPr>
        <w:t>The names of the contractors and the nature of contracts</w:t>
      </w:r>
    </w:p>
    <w:p w14:paraId="06C7CF21" w14:textId="77777777" w:rsidR="006E3522" w:rsidRPr="001A0090" w:rsidRDefault="006E3522" w:rsidP="006E3522">
      <w:pPr>
        <w:spacing w:after="0" w:line="360" w:lineRule="auto"/>
        <w:ind w:left="360"/>
        <w:jc w:val="both"/>
        <w:rPr>
          <w:rFonts w:ascii="Arial" w:hAnsi="Arial" w:cs="Arial"/>
          <w:b/>
          <w:sz w:val="24"/>
          <w:szCs w:val="24"/>
          <w:u w:val="single"/>
        </w:rPr>
      </w:pPr>
    </w:p>
    <w:p w14:paraId="3A61D3BF" w14:textId="400DC6AE" w:rsidR="006E3522" w:rsidRPr="001A0090" w:rsidRDefault="006E3522" w:rsidP="006E3522">
      <w:pPr>
        <w:spacing w:after="0" w:line="360" w:lineRule="auto"/>
        <w:ind w:left="360"/>
        <w:jc w:val="both"/>
        <w:rPr>
          <w:rFonts w:ascii="Arial" w:hAnsi="Arial" w:cs="Arial"/>
          <w:sz w:val="24"/>
          <w:szCs w:val="24"/>
        </w:rPr>
      </w:pPr>
      <w:r w:rsidRPr="001A0090">
        <w:rPr>
          <w:rFonts w:ascii="Arial" w:hAnsi="Arial" w:cs="Arial"/>
          <w:sz w:val="24"/>
          <w:szCs w:val="24"/>
        </w:rPr>
        <w:t>Tubular Construction Projects (</w:t>
      </w:r>
      <w:r w:rsidR="001A367A" w:rsidRPr="001A0090">
        <w:rPr>
          <w:rFonts w:ascii="Arial" w:hAnsi="Arial" w:cs="Arial"/>
          <w:sz w:val="24"/>
          <w:szCs w:val="24"/>
        </w:rPr>
        <w:t>P</w:t>
      </w:r>
      <w:r w:rsidR="001A367A">
        <w:rPr>
          <w:rFonts w:ascii="Arial" w:hAnsi="Arial" w:cs="Arial"/>
          <w:sz w:val="24"/>
          <w:szCs w:val="24"/>
        </w:rPr>
        <w:t>ty</w:t>
      </w:r>
      <w:r w:rsidRPr="001A0090">
        <w:rPr>
          <w:rFonts w:ascii="Arial" w:hAnsi="Arial" w:cs="Arial"/>
          <w:sz w:val="24"/>
          <w:szCs w:val="24"/>
        </w:rPr>
        <w:t>) Ltd.</w:t>
      </w:r>
    </w:p>
    <w:p w14:paraId="5605070C" w14:textId="77777777" w:rsidR="00555940" w:rsidRPr="001A0090" w:rsidRDefault="00555940" w:rsidP="006E3522">
      <w:pPr>
        <w:spacing w:after="0" w:line="360" w:lineRule="auto"/>
        <w:ind w:left="360"/>
        <w:jc w:val="both"/>
        <w:rPr>
          <w:rFonts w:ascii="Arial" w:hAnsi="Arial" w:cs="Arial"/>
          <w:sz w:val="24"/>
          <w:szCs w:val="24"/>
        </w:rPr>
      </w:pPr>
    </w:p>
    <w:p w14:paraId="19EC4E33" w14:textId="77777777" w:rsidR="006E3522" w:rsidRPr="001A0090" w:rsidRDefault="006E3522" w:rsidP="00FF67FD">
      <w:pPr>
        <w:pStyle w:val="ListParagraph"/>
        <w:numPr>
          <w:ilvl w:val="0"/>
          <w:numId w:val="6"/>
        </w:numPr>
        <w:spacing w:after="0" w:line="360" w:lineRule="auto"/>
        <w:ind w:left="360"/>
        <w:jc w:val="both"/>
        <w:rPr>
          <w:rFonts w:ascii="Arial" w:hAnsi="Arial" w:cs="Arial"/>
          <w:b/>
          <w:sz w:val="24"/>
          <w:szCs w:val="24"/>
        </w:rPr>
      </w:pPr>
      <w:r w:rsidRPr="001A0090">
        <w:rPr>
          <w:rFonts w:ascii="Arial" w:hAnsi="Arial" w:cs="Arial"/>
          <w:b/>
          <w:sz w:val="24"/>
          <w:szCs w:val="24"/>
        </w:rPr>
        <w:t>The consequences of these actions</w:t>
      </w:r>
    </w:p>
    <w:p w14:paraId="1980B127" w14:textId="77777777" w:rsidR="006E3522" w:rsidRPr="001A0090" w:rsidRDefault="006E3522" w:rsidP="006E3522">
      <w:pPr>
        <w:spacing w:after="0" w:line="360" w:lineRule="auto"/>
        <w:ind w:left="360"/>
        <w:jc w:val="both"/>
        <w:rPr>
          <w:rFonts w:ascii="Arial" w:hAnsi="Arial" w:cs="Arial"/>
          <w:sz w:val="24"/>
          <w:szCs w:val="24"/>
        </w:rPr>
      </w:pPr>
    </w:p>
    <w:p w14:paraId="7918E89A" w14:textId="6C2C1840" w:rsidR="006E3522" w:rsidRDefault="006E3522" w:rsidP="006E3522">
      <w:pPr>
        <w:spacing w:after="0" w:line="360" w:lineRule="auto"/>
        <w:ind w:left="360"/>
        <w:jc w:val="both"/>
        <w:rPr>
          <w:rFonts w:ascii="Arial" w:hAnsi="Arial" w:cs="Arial"/>
          <w:sz w:val="24"/>
          <w:szCs w:val="24"/>
        </w:rPr>
      </w:pPr>
      <w:r w:rsidRPr="001A0090">
        <w:rPr>
          <w:rFonts w:ascii="Arial" w:hAnsi="Arial" w:cs="Arial"/>
          <w:sz w:val="24"/>
          <w:szCs w:val="24"/>
        </w:rPr>
        <w:t xml:space="preserve">The Eskom staff involved with this investigation have resigned from Eskom. The SIU has referred evidence to support charges against the relevant role players to the NPA, resulting in the arrest of four individuals (including two former Eskom officials) The SIU is considering the institution of </w:t>
      </w:r>
      <w:r w:rsidR="001A367A">
        <w:rPr>
          <w:rFonts w:ascii="Arial" w:hAnsi="Arial" w:cs="Arial"/>
          <w:sz w:val="24"/>
          <w:szCs w:val="24"/>
        </w:rPr>
        <w:t>c</w:t>
      </w:r>
      <w:r w:rsidRPr="001A0090">
        <w:rPr>
          <w:rFonts w:ascii="Arial" w:hAnsi="Arial" w:cs="Arial"/>
          <w:sz w:val="24"/>
          <w:szCs w:val="24"/>
        </w:rPr>
        <w:t xml:space="preserve">ivil </w:t>
      </w:r>
      <w:r w:rsidR="001A367A">
        <w:rPr>
          <w:rFonts w:ascii="Arial" w:hAnsi="Arial" w:cs="Arial"/>
          <w:sz w:val="24"/>
          <w:szCs w:val="24"/>
        </w:rPr>
        <w:t>p</w:t>
      </w:r>
      <w:r w:rsidRPr="001A0090">
        <w:rPr>
          <w:rFonts w:ascii="Arial" w:hAnsi="Arial" w:cs="Arial"/>
          <w:sz w:val="24"/>
          <w:szCs w:val="24"/>
        </w:rPr>
        <w:t>roceedings and has requested the appointment of experts to assist in the quantification of losses incurred by Eskom.</w:t>
      </w:r>
    </w:p>
    <w:p w14:paraId="4BA04811" w14:textId="77777777" w:rsidR="006E3522" w:rsidRPr="00186EF6" w:rsidRDefault="006E3522" w:rsidP="006E3522">
      <w:pPr>
        <w:spacing w:after="0" w:line="360" w:lineRule="auto"/>
        <w:ind w:left="360"/>
        <w:jc w:val="both"/>
        <w:rPr>
          <w:rFonts w:ascii="Arial" w:hAnsi="Arial" w:cs="Arial"/>
          <w:sz w:val="24"/>
          <w:szCs w:val="24"/>
        </w:rPr>
      </w:pPr>
    </w:p>
    <w:p w14:paraId="5EF99236" w14:textId="77777777" w:rsidR="006E3522" w:rsidRPr="00186EF6" w:rsidRDefault="006E3522" w:rsidP="00FF67FD">
      <w:pPr>
        <w:pStyle w:val="ListParagraph"/>
        <w:numPr>
          <w:ilvl w:val="0"/>
          <w:numId w:val="1"/>
        </w:numPr>
        <w:spacing w:after="0" w:line="360" w:lineRule="auto"/>
        <w:jc w:val="both"/>
        <w:rPr>
          <w:rFonts w:ascii="Arial" w:hAnsi="Arial" w:cs="Arial"/>
          <w:b/>
          <w:i/>
          <w:sz w:val="24"/>
          <w:szCs w:val="24"/>
          <w:u w:val="single"/>
        </w:rPr>
      </w:pPr>
      <w:r w:rsidRPr="00186EF6">
        <w:rPr>
          <w:rFonts w:ascii="Arial" w:hAnsi="Arial" w:cs="Arial"/>
          <w:b/>
          <w:i/>
          <w:sz w:val="24"/>
          <w:szCs w:val="24"/>
          <w:u w:val="single"/>
        </w:rPr>
        <w:t xml:space="preserve">Stefanutti Stocks Basil Read (SSBR) - (P16) &amp; Stefanutti Stocks Izazi JV (SSIJV) - (P28) – estimated overpayment of R1bn. </w:t>
      </w:r>
    </w:p>
    <w:p w14:paraId="276AF9E2" w14:textId="77777777" w:rsidR="006E3522" w:rsidRPr="00186EF6" w:rsidRDefault="006E3522" w:rsidP="006E3522">
      <w:pPr>
        <w:pStyle w:val="ListParagraph"/>
        <w:spacing w:line="360" w:lineRule="auto"/>
        <w:ind w:left="360"/>
        <w:jc w:val="both"/>
        <w:rPr>
          <w:rFonts w:ascii="Arial" w:hAnsi="Arial" w:cs="Arial"/>
          <w:b/>
          <w:sz w:val="24"/>
          <w:szCs w:val="24"/>
          <w:u w:val="single"/>
        </w:rPr>
      </w:pPr>
    </w:p>
    <w:p w14:paraId="4E012BE4" w14:textId="77777777" w:rsidR="006E3522" w:rsidRPr="00186EF6" w:rsidRDefault="006E3522" w:rsidP="00FF67FD">
      <w:pPr>
        <w:pStyle w:val="ListParagraph"/>
        <w:numPr>
          <w:ilvl w:val="0"/>
          <w:numId w:val="5"/>
        </w:numPr>
        <w:spacing w:after="0" w:line="360" w:lineRule="auto"/>
        <w:ind w:left="360"/>
        <w:jc w:val="both"/>
        <w:rPr>
          <w:rFonts w:ascii="Arial" w:hAnsi="Arial" w:cs="Arial"/>
          <w:b/>
          <w:sz w:val="24"/>
          <w:szCs w:val="24"/>
        </w:rPr>
      </w:pPr>
      <w:r w:rsidRPr="00186EF6">
        <w:rPr>
          <w:rFonts w:ascii="Arial" w:hAnsi="Arial" w:cs="Arial"/>
          <w:b/>
          <w:sz w:val="24"/>
          <w:szCs w:val="24"/>
        </w:rPr>
        <w:t>The circumstances which led to the overpayment</w:t>
      </w:r>
    </w:p>
    <w:p w14:paraId="1DFDAD09" w14:textId="77777777" w:rsidR="006E3522" w:rsidRPr="00186EF6" w:rsidRDefault="006E3522" w:rsidP="006E3522">
      <w:pPr>
        <w:pStyle w:val="ListParagraph"/>
        <w:spacing w:line="360" w:lineRule="auto"/>
        <w:ind w:left="360"/>
        <w:jc w:val="both"/>
        <w:rPr>
          <w:rFonts w:ascii="Arial" w:hAnsi="Arial" w:cs="Arial"/>
          <w:sz w:val="24"/>
          <w:szCs w:val="24"/>
        </w:rPr>
      </w:pPr>
    </w:p>
    <w:p w14:paraId="27E3F8A1" w14:textId="63CBD6DA" w:rsidR="006E3522" w:rsidRPr="00186EF6" w:rsidRDefault="002C2C88" w:rsidP="006E3522">
      <w:pPr>
        <w:pStyle w:val="ListParagraph"/>
        <w:spacing w:line="360" w:lineRule="auto"/>
        <w:ind w:left="360"/>
        <w:jc w:val="both"/>
        <w:rPr>
          <w:rFonts w:ascii="Arial" w:hAnsi="Arial" w:cs="Arial"/>
          <w:sz w:val="24"/>
          <w:szCs w:val="24"/>
        </w:rPr>
      </w:pPr>
      <w:r w:rsidRPr="002C2C88">
        <w:rPr>
          <w:rFonts w:ascii="Arial" w:hAnsi="Arial" w:cs="Arial"/>
          <w:sz w:val="24"/>
          <w:szCs w:val="24"/>
        </w:rPr>
        <w:t>Stefanutti Stocks Basil Read</w:t>
      </w:r>
      <w:r>
        <w:rPr>
          <w:rFonts w:ascii="Arial" w:hAnsi="Arial" w:cs="Arial"/>
          <w:sz w:val="24"/>
          <w:szCs w:val="24"/>
        </w:rPr>
        <w:t xml:space="preserve"> (SSBR) P16</w:t>
      </w:r>
      <w:r w:rsidR="006E3522" w:rsidRPr="00186EF6">
        <w:rPr>
          <w:rFonts w:ascii="Arial" w:hAnsi="Arial" w:cs="Arial"/>
          <w:sz w:val="24"/>
          <w:szCs w:val="24"/>
        </w:rPr>
        <w:t xml:space="preserve"> put in claims for additional preliminaries and general (P &amp; G) due to prolongation and stacking - working in multiple areas at the same time. These claims were not substantiated as required by the contract. </w:t>
      </w:r>
    </w:p>
    <w:p w14:paraId="6FC60177" w14:textId="77777777" w:rsidR="006E3522" w:rsidRPr="00186EF6" w:rsidRDefault="006E3522" w:rsidP="006E3522">
      <w:pPr>
        <w:pStyle w:val="ListParagraph"/>
        <w:spacing w:line="360" w:lineRule="auto"/>
        <w:ind w:left="360"/>
        <w:jc w:val="both"/>
        <w:rPr>
          <w:rFonts w:ascii="Arial" w:hAnsi="Arial" w:cs="Arial"/>
          <w:sz w:val="24"/>
          <w:szCs w:val="24"/>
        </w:rPr>
      </w:pPr>
    </w:p>
    <w:p w14:paraId="1A332F4A" w14:textId="5FFDE4FB" w:rsidR="006E3522" w:rsidRPr="00186EF6" w:rsidRDefault="006E3522" w:rsidP="006E3522">
      <w:pPr>
        <w:pStyle w:val="ListParagraph"/>
        <w:spacing w:line="360" w:lineRule="auto"/>
        <w:ind w:left="360"/>
        <w:jc w:val="both"/>
        <w:rPr>
          <w:rFonts w:ascii="Arial" w:hAnsi="Arial" w:cs="Arial"/>
          <w:sz w:val="24"/>
          <w:szCs w:val="24"/>
        </w:rPr>
      </w:pPr>
      <w:r w:rsidRPr="00186EF6">
        <w:rPr>
          <w:rFonts w:ascii="Arial" w:hAnsi="Arial" w:cs="Arial"/>
          <w:sz w:val="24"/>
          <w:szCs w:val="24"/>
        </w:rPr>
        <w:t>The employer’s representative and contracts manager at the time (2015 to 2018) made interim payments to the contractor without the requisite substantiation</w:t>
      </w:r>
      <w:r w:rsidR="00F34462">
        <w:rPr>
          <w:rFonts w:ascii="Arial" w:hAnsi="Arial" w:cs="Arial"/>
          <w:sz w:val="24"/>
          <w:szCs w:val="24"/>
        </w:rPr>
        <w:t>.</w:t>
      </w:r>
      <w:r w:rsidRPr="00186EF6">
        <w:rPr>
          <w:rFonts w:ascii="Arial" w:hAnsi="Arial" w:cs="Arial"/>
          <w:sz w:val="24"/>
          <w:szCs w:val="24"/>
        </w:rPr>
        <w:t xml:space="preserve"> </w:t>
      </w:r>
      <w:r w:rsidR="00F34462">
        <w:rPr>
          <w:rFonts w:ascii="Arial" w:hAnsi="Arial" w:cs="Arial"/>
          <w:sz w:val="24"/>
          <w:szCs w:val="24"/>
        </w:rPr>
        <w:t>T</w:t>
      </w:r>
      <w:r w:rsidRPr="00186EF6">
        <w:rPr>
          <w:rFonts w:ascii="Arial" w:hAnsi="Arial" w:cs="Arial"/>
          <w:sz w:val="24"/>
          <w:szCs w:val="24"/>
        </w:rPr>
        <w:t>his was done on the basis that they would conclude an overall “settlement agreement”. There was no consistency or verification of the actual P &amp; Gs being paid on a monthly basis. The monthly payments varied between R15m to R50m per month.</w:t>
      </w:r>
    </w:p>
    <w:p w14:paraId="38A9E381" w14:textId="77777777" w:rsidR="006E3522" w:rsidRPr="00186EF6" w:rsidRDefault="006E3522" w:rsidP="006E3522">
      <w:pPr>
        <w:pStyle w:val="ListParagraph"/>
        <w:spacing w:line="360" w:lineRule="auto"/>
        <w:ind w:left="360"/>
        <w:jc w:val="both"/>
        <w:rPr>
          <w:rFonts w:ascii="Arial" w:hAnsi="Arial" w:cs="Arial"/>
          <w:sz w:val="24"/>
          <w:szCs w:val="24"/>
        </w:rPr>
      </w:pPr>
    </w:p>
    <w:p w14:paraId="6889997D" w14:textId="77777777" w:rsidR="006E3522" w:rsidRPr="00186EF6" w:rsidRDefault="006E3522" w:rsidP="006E3522">
      <w:pPr>
        <w:pStyle w:val="ListParagraph"/>
        <w:spacing w:line="360" w:lineRule="auto"/>
        <w:ind w:left="360"/>
        <w:jc w:val="both"/>
        <w:rPr>
          <w:rFonts w:ascii="Arial" w:hAnsi="Arial" w:cs="Arial"/>
          <w:sz w:val="24"/>
          <w:szCs w:val="24"/>
        </w:rPr>
      </w:pPr>
      <w:r w:rsidRPr="00186EF6">
        <w:rPr>
          <w:rFonts w:ascii="Arial" w:hAnsi="Arial" w:cs="Arial"/>
          <w:sz w:val="24"/>
          <w:szCs w:val="24"/>
        </w:rPr>
        <w:t>No settlement agreement was reached and in early 2018 the new project director stopped the interim payments that were being made. SSBR referred this action (non-payment) to the dispute adjudication board (DAB).</w:t>
      </w:r>
    </w:p>
    <w:p w14:paraId="01D23126" w14:textId="77777777" w:rsidR="006E3522" w:rsidRPr="00186EF6" w:rsidRDefault="006E3522" w:rsidP="006E3522">
      <w:pPr>
        <w:pStyle w:val="ListParagraph"/>
        <w:spacing w:line="360" w:lineRule="auto"/>
        <w:ind w:left="360"/>
        <w:jc w:val="both"/>
        <w:rPr>
          <w:rFonts w:ascii="Arial" w:hAnsi="Arial" w:cs="Arial"/>
          <w:sz w:val="24"/>
          <w:szCs w:val="24"/>
        </w:rPr>
      </w:pPr>
    </w:p>
    <w:p w14:paraId="77B41F05" w14:textId="77777777" w:rsidR="006E3522" w:rsidRPr="00186EF6" w:rsidRDefault="006E3522" w:rsidP="006E3522">
      <w:pPr>
        <w:pStyle w:val="ListParagraph"/>
        <w:spacing w:line="360" w:lineRule="auto"/>
        <w:ind w:left="360"/>
        <w:jc w:val="both"/>
        <w:rPr>
          <w:rFonts w:ascii="Arial" w:hAnsi="Arial" w:cs="Arial"/>
          <w:sz w:val="24"/>
          <w:szCs w:val="24"/>
        </w:rPr>
      </w:pPr>
      <w:r w:rsidRPr="00186EF6">
        <w:rPr>
          <w:rFonts w:ascii="Arial" w:hAnsi="Arial" w:cs="Arial"/>
          <w:sz w:val="24"/>
          <w:szCs w:val="24"/>
        </w:rPr>
        <w:t xml:space="preserve">Eskom successfully defended this adjudication and is now in mutually agreed discussions with SSBR and the standing DAB about the process to determine the actual claim entitlement. Progress has recently been made in relation to the delay analysis between the contractor and Eskom experts. The quantum analysis will begin once adequate progress is made to the delay analysis. </w:t>
      </w:r>
    </w:p>
    <w:p w14:paraId="54170711" w14:textId="77777777" w:rsidR="006E3522" w:rsidRPr="00186EF6" w:rsidRDefault="006E3522" w:rsidP="006E3522">
      <w:pPr>
        <w:spacing w:after="0" w:line="360" w:lineRule="auto"/>
        <w:ind w:left="426"/>
        <w:jc w:val="both"/>
        <w:rPr>
          <w:rFonts w:ascii="Arial" w:hAnsi="Arial" w:cs="Arial"/>
          <w:b/>
          <w:sz w:val="24"/>
          <w:szCs w:val="24"/>
          <w:u w:val="single"/>
        </w:rPr>
      </w:pPr>
    </w:p>
    <w:p w14:paraId="1276F883" w14:textId="13FE6637" w:rsidR="006E3522" w:rsidRPr="00186EF6" w:rsidRDefault="002C2C88" w:rsidP="006E3522">
      <w:pPr>
        <w:pStyle w:val="ListParagraph"/>
        <w:spacing w:line="360" w:lineRule="auto"/>
        <w:ind w:left="360"/>
        <w:jc w:val="both"/>
        <w:rPr>
          <w:rFonts w:ascii="Arial" w:hAnsi="Arial" w:cs="Arial"/>
          <w:sz w:val="24"/>
          <w:szCs w:val="24"/>
        </w:rPr>
      </w:pPr>
      <w:r w:rsidRPr="002C2C88">
        <w:rPr>
          <w:rFonts w:ascii="Arial" w:hAnsi="Arial" w:cs="Arial"/>
          <w:sz w:val="24"/>
          <w:szCs w:val="24"/>
        </w:rPr>
        <w:t xml:space="preserve">Stefanutti Stocks Izazi </w:t>
      </w:r>
      <w:r w:rsidRPr="00186EF6">
        <w:rPr>
          <w:rFonts w:ascii="Arial" w:hAnsi="Arial" w:cs="Arial"/>
          <w:sz w:val="24"/>
          <w:szCs w:val="24"/>
        </w:rPr>
        <w:t xml:space="preserve">Joint Venture </w:t>
      </w:r>
      <w:r>
        <w:rPr>
          <w:rFonts w:ascii="Arial" w:hAnsi="Arial" w:cs="Arial"/>
          <w:sz w:val="24"/>
          <w:szCs w:val="24"/>
        </w:rPr>
        <w:t>(</w:t>
      </w:r>
      <w:r w:rsidR="006E3522" w:rsidRPr="00186EF6">
        <w:rPr>
          <w:rFonts w:ascii="Arial" w:hAnsi="Arial" w:cs="Arial"/>
          <w:sz w:val="24"/>
          <w:szCs w:val="24"/>
        </w:rPr>
        <w:t>SSI</w:t>
      </w:r>
      <w:r>
        <w:rPr>
          <w:rFonts w:ascii="Arial" w:hAnsi="Arial" w:cs="Arial"/>
          <w:sz w:val="24"/>
          <w:szCs w:val="24"/>
        </w:rPr>
        <w:t>-</w:t>
      </w:r>
      <w:r w:rsidR="006E3522" w:rsidRPr="00186EF6">
        <w:rPr>
          <w:rFonts w:ascii="Arial" w:hAnsi="Arial" w:cs="Arial"/>
          <w:sz w:val="24"/>
          <w:szCs w:val="24"/>
        </w:rPr>
        <w:t>JV</w:t>
      </w:r>
      <w:r>
        <w:rPr>
          <w:rFonts w:ascii="Arial" w:hAnsi="Arial" w:cs="Arial"/>
          <w:sz w:val="24"/>
          <w:szCs w:val="24"/>
        </w:rPr>
        <w:t>) P28</w:t>
      </w:r>
      <w:r w:rsidR="006E3522" w:rsidRPr="00186EF6">
        <w:rPr>
          <w:rFonts w:ascii="Arial" w:hAnsi="Arial" w:cs="Arial"/>
          <w:sz w:val="24"/>
          <w:szCs w:val="24"/>
        </w:rPr>
        <w:t xml:space="preserve"> - during the execution of the contract, certain compensation events (CE’s) were agreed and paid without the final measurements being done. The contractor has also submitted various other deemed accepted CEs claiming that the work was done and needs to be paid for at the contractor’s CE values. These disputes are currently in adjudication.</w:t>
      </w:r>
    </w:p>
    <w:p w14:paraId="3EE66508" w14:textId="77777777" w:rsidR="0024762E" w:rsidRDefault="0024762E" w:rsidP="006E3522">
      <w:pPr>
        <w:pStyle w:val="ListParagraph"/>
        <w:spacing w:line="360" w:lineRule="auto"/>
        <w:ind w:left="360"/>
        <w:jc w:val="both"/>
        <w:rPr>
          <w:rFonts w:ascii="Arial" w:hAnsi="Arial" w:cs="Arial"/>
          <w:sz w:val="24"/>
          <w:szCs w:val="24"/>
        </w:rPr>
      </w:pPr>
    </w:p>
    <w:p w14:paraId="27BEAFBC" w14:textId="77777777" w:rsidR="006E3522" w:rsidRPr="00186EF6" w:rsidRDefault="006E3522" w:rsidP="00FF67FD">
      <w:pPr>
        <w:pStyle w:val="ListParagraph"/>
        <w:numPr>
          <w:ilvl w:val="0"/>
          <w:numId w:val="5"/>
        </w:numPr>
        <w:spacing w:after="0" w:line="360" w:lineRule="auto"/>
        <w:ind w:left="360"/>
        <w:jc w:val="both"/>
        <w:rPr>
          <w:rFonts w:ascii="Arial" w:hAnsi="Arial" w:cs="Arial"/>
          <w:b/>
          <w:sz w:val="24"/>
          <w:szCs w:val="24"/>
        </w:rPr>
      </w:pPr>
      <w:r w:rsidRPr="00186EF6">
        <w:rPr>
          <w:rFonts w:ascii="Arial" w:hAnsi="Arial" w:cs="Arial"/>
          <w:b/>
          <w:sz w:val="24"/>
          <w:szCs w:val="24"/>
        </w:rPr>
        <w:t>The officials involved</w:t>
      </w:r>
    </w:p>
    <w:p w14:paraId="5968923E" w14:textId="77777777" w:rsidR="006E3522" w:rsidRPr="00186EF6" w:rsidRDefault="006E3522" w:rsidP="006E3522">
      <w:pPr>
        <w:spacing w:after="0" w:line="360" w:lineRule="auto"/>
        <w:ind w:left="360"/>
        <w:jc w:val="both"/>
        <w:rPr>
          <w:rFonts w:ascii="Arial" w:hAnsi="Arial" w:cs="Arial"/>
          <w:b/>
          <w:sz w:val="24"/>
          <w:szCs w:val="24"/>
        </w:rPr>
      </w:pPr>
    </w:p>
    <w:p w14:paraId="1BBF314A" w14:textId="6A50A1F4" w:rsidR="006E3522" w:rsidRPr="00186EF6" w:rsidRDefault="006E3522" w:rsidP="006E3522">
      <w:pPr>
        <w:spacing w:after="0" w:line="360" w:lineRule="auto"/>
        <w:ind w:left="360"/>
        <w:jc w:val="both"/>
        <w:rPr>
          <w:rFonts w:ascii="Arial" w:hAnsi="Arial" w:cs="Arial"/>
          <w:sz w:val="24"/>
          <w:szCs w:val="24"/>
        </w:rPr>
      </w:pPr>
      <w:r w:rsidRPr="00186EF6">
        <w:rPr>
          <w:rFonts w:ascii="Arial" w:hAnsi="Arial" w:cs="Arial"/>
          <w:sz w:val="24"/>
          <w:szCs w:val="24"/>
        </w:rPr>
        <w:t>The project director, project employer representative and contracts manager at the time were involved with the management of these compensation events.</w:t>
      </w:r>
    </w:p>
    <w:p w14:paraId="0460F62B" w14:textId="77777777" w:rsidR="004D4CEE" w:rsidRPr="00186EF6" w:rsidRDefault="004D4CEE" w:rsidP="006E3522">
      <w:pPr>
        <w:spacing w:after="0" w:line="360" w:lineRule="auto"/>
        <w:ind w:left="360"/>
        <w:jc w:val="both"/>
        <w:rPr>
          <w:rFonts w:ascii="Arial" w:hAnsi="Arial" w:cs="Arial"/>
          <w:sz w:val="24"/>
          <w:szCs w:val="24"/>
        </w:rPr>
      </w:pPr>
    </w:p>
    <w:p w14:paraId="7947BEA0" w14:textId="77777777" w:rsidR="006E3522" w:rsidRPr="00186EF6" w:rsidRDefault="006E3522" w:rsidP="00FF67FD">
      <w:pPr>
        <w:pStyle w:val="ListParagraph"/>
        <w:numPr>
          <w:ilvl w:val="0"/>
          <w:numId w:val="5"/>
        </w:numPr>
        <w:spacing w:after="0" w:line="360" w:lineRule="auto"/>
        <w:ind w:left="360"/>
        <w:jc w:val="both"/>
        <w:rPr>
          <w:rFonts w:ascii="Arial" w:hAnsi="Arial" w:cs="Arial"/>
          <w:b/>
          <w:sz w:val="24"/>
          <w:szCs w:val="24"/>
        </w:rPr>
      </w:pPr>
      <w:r w:rsidRPr="00186EF6">
        <w:rPr>
          <w:rFonts w:ascii="Arial" w:hAnsi="Arial" w:cs="Arial"/>
          <w:b/>
          <w:sz w:val="24"/>
          <w:szCs w:val="24"/>
        </w:rPr>
        <w:t>The names of the contractors and the nature of contracts</w:t>
      </w:r>
    </w:p>
    <w:p w14:paraId="50690353" w14:textId="77777777" w:rsidR="006E3522" w:rsidRPr="00186EF6" w:rsidRDefault="006E3522" w:rsidP="006E3522">
      <w:pPr>
        <w:spacing w:after="0" w:line="360" w:lineRule="auto"/>
        <w:ind w:left="360"/>
        <w:jc w:val="both"/>
        <w:rPr>
          <w:rFonts w:ascii="Arial" w:hAnsi="Arial" w:cs="Arial"/>
          <w:b/>
          <w:sz w:val="24"/>
          <w:szCs w:val="24"/>
          <w:u w:val="single"/>
        </w:rPr>
      </w:pPr>
    </w:p>
    <w:p w14:paraId="67B16316" w14:textId="1A99FF2F" w:rsidR="006E3522" w:rsidRPr="00186EF6" w:rsidRDefault="006E3522" w:rsidP="006E3522">
      <w:pPr>
        <w:spacing w:after="0" w:line="360" w:lineRule="auto"/>
        <w:ind w:left="360"/>
        <w:jc w:val="both"/>
        <w:rPr>
          <w:rFonts w:ascii="Arial" w:hAnsi="Arial" w:cs="Arial"/>
          <w:sz w:val="24"/>
          <w:szCs w:val="24"/>
        </w:rPr>
      </w:pPr>
      <w:r w:rsidRPr="00186EF6">
        <w:rPr>
          <w:rFonts w:ascii="Arial" w:hAnsi="Arial" w:cs="Arial"/>
          <w:sz w:val="24"/>
          <w:szCs w:val="24"/>
        </w:rPr>
        <w:t xml:space="preserve">Contract No. 4600013202 with Stefanutti Stocks Basil Read Joint Venture (SSBR-JV) for the construction of miscellaneous structures (81 buildings including the unit auxiliary bays) at </w:t>
      </w:r>
      <w:r w:rsidR="00F34462">
        <w:rPr>
          <w:rFonts w:ascii="Arial" w:hAnsi="Arial" w:cs="Arial"/>
          <w:sz w:val="24"/>
          <w:szCs w:val="24"/>
        </w:rPr>
        <w:t xml:space="preserve">the </w:t>
      </w:r>
      <w:r w:rsidRPr="00186EF6">
        <w:rPr>
          <w:rFonts w:ascii="Arial" w:hAnsi="Arial" w:cs="Arial"/>
          <w:sz w:val="24"/>
          <w:szCs w:val="24"/>
        </w:rPr>
        <w:t xml:space="preserve">Kusile Power Station Project (P16) and </w:t>
      </w:r>
    </w:p>
    <w:p w14:paraId="1B333E54" w14:textId="77777777" w:rsidR="006E3522" w:rsidRPr="00186EF6" w:rsidRDefault="006E3522" w:rsidP="006E3522">
      <w:pPr>
        <w:spacing w:after="0" w:line="360" w:lineRule="auto"/>
        <w:ind w:left="360"/>
        <w:jc w:val="both"/>
        <w:rPr>
          <w:rFonts w:ascii="Arial" w:hAnsi="Arial" w:cs="Arial"/>
          <w:sz w:val="24"/>
          <w:szCs w:val="24"/>
        </w:rPr>
      </w:pPr>
    </w:p>
    <w:p w14:paraId="17EACF3F" w14:textId="7F4B330E" w:rsidR="006E3522" w:rsidRPr="00186EF6" w:rsidRDefault="006E3522" w:rsidP="006E3522">
      <w:pPr>
        <w:spacing w:after="0" w:line="360" w:lineRule="auto"/>
        <w:ind w:left="360"/>
        <w:jc w:val="both"/>
        <w:rPr>
          <w:rFonts w:ascii="Arial" w:hAnsi="Arial" w:cs="Arial"/>
          <w:sz w:val="24"/>
          <w:szCs w:val="24"/>
        </w:rPr>
      </w:pPr>
      <w:r w:rsidRPr="00186EF6">
        <w:rPr>
          <w:rFonts w:ascii="Arial" w:hAnsi="Arial" w:cs="Arial"/>
          <w:sz w:val="24"/>
          <w:szCs w:val="24"/>
        </w:rPr>
        <w:t xml:space="preserve">Contract No. 4600054179 with Stefanutti Stocks &amp; Izazi Joint Venture (SSI-JV) for the construction of site finishes (roads, paving and landscaping) at </w:t>
      </w:r>
      <w:r w:rsidR="00F34462">
        <w:rPr>
          <w:rFonts w:ascii="Arial" w:hAnsi="Arial" w:cs="Arial"/>
          <w:sz w:val="24"/>
          <w:szCs w:val="24"/>
        </w:rPr>
        <w:t xml:space="preserve">the </w:t>
      </w:r>
      <w:r w:rsidRPr="00186EF6">
        <w:rPr>
          <w:rFonts w:ascii="Arial" w:hAnsi="Arial" w:cs="Arial"/>
          <w:sz w:val="24"/>
          <w:szCs w:val="24"/>
        </w:rPr>
        <w:t>Kusile Power Station Project.</w:t>
      </w:r>
    </w:p>
    <w:p w14:paraId="396B583F" w14:textId="77777777" w:rsidR="009E2512" w:rsidRPr="00186EF6" w:rsidRDefault="009E2512" w:rsidP="006E3522">
      <w:pPr>
        <w:spacing w:after="0" w:line="360" w:lineRule="auto"/>
        <w:ind w:left="360"/>
        <w:jc w:val="both"/>
        <w:rPr>
          <w:rFonts w:ascii="Arial" w:hAnsi="Arial" w:cs="Arial"/>
          <w:b/>
          <w:sz w:val="24"/>
          <w:szCs w:val="24"/>
          <w:u w:val="single"/>
        </w:rPr>
      </w:pPr>
    </w:p>
    <w:p w14:paraId="4E823E65" w14:textId="77777777" w:rsidR="006E3522" w:rsidRPr="00186EF6" w:rsidRDefault="006E3522" w:rsidP="00FF67FD">
      <w:pPr>
        <w:pStyle w:val="ListParagraph"/>
        <w:numPr>
          <w:ilvl w:val="0"/>
          <w:numId w:val="5"/>
        </w:numPr>
        <w:spacing w:after="0" w:line="360" w:lineRule="auto"/>
        <w:ind w:left="360"/>
        <w:jc w:val="both"/>
        <w:rPr>
          <w:rFonts w:ascii="Arial" w:hAnsi="Arial" w:cs="Arial"/>
          <w:b/>
          <w:sz w:val="24"/>
          <w:szCs w:val="24"/>
        </w:rPr>
      </w:pPr>
      <w:r w:rsidRPr="00186EF6">
        <w:rPr>
          <w:rFonts w:ascii="Arial" w:hAnsi="Arial" w:cs="Arial"/>
          <w:b/>
          <w:sz w:val="24"/>
          <w:szCs w:val="24"/>
        </w:rPr>
        <w:t>The consequences of these actions</w:t>
      </w:r>
    </w:p>
    <w:p w14:paraId="75A09988" w14:textId="77777777" w:rsidR="006E3522" w:rsidRPr="00186EF6" w:rsidRDefault="006E3522" w:rsidP="006E3522">
      <w:pPr>
        <w:spacing w:after="0" w:line="360" w:lineRule="auto"/>
        <w:ind w:left="360"/>
        <w:rPr>
          <w:rFonts w:ascii="Arial" w:hAnsi="Arial" w:cs="Arial"/>
          <w:b/>
          <w:sz w:val="24"/>
          <w:szCs w:val="24"/>
        </w:rPr>
      </w:pPr>
    </w:p>
    <w:p w14:paraId="2D2EE560" w14:textId="4EFCB64B" w:rsidR="006E3522" w:rsidRPr="00186EF6" w:rsidRDefault="006E3522" w:rsidP="006E3522">
      <w:pPr>
        <w:spacing w:after="0" w:line="360" w:lineRule="auto"/>
        <w:ind w:left="360"/>
        <w:jc w:val="both"/>
        <w:rPr>
          <w:rFonts w:ascii="Arial" w:hAnsi="Arial" w:cs="Arial"/>
          <w:sz w:val="24"/>
          <w:szCs w:val="24"/>
        </w:rPr>
      </w:pPr>
      <w:r w:rsidRPr="00186EF6">
        <w:rPr>
          <w:rFonts w:ascii="Arial" w:hAnsi="Arial" w:cs="Arial"/>
          <w:sz w:val="24"/>
          <w:szCs w:val="24"/>
        </w:rPr>
        <w:t xml:space="preserve">The Eskom staff involved </w:t>
      </w:r>
      <w:r w:rsidR="00F34462">
        <w:rPr>
          <w:rFonts w:ascii="Arial" w:hAnsi="Arial" w:cs="Arial"/>
          <w:sz w:val="24"/>
          <w:szCs w:val="24"/>
        </w:rPr>
        <w:t>in</w:t>
      </w:r>
      <w:r w:rsidR="00F34462" w:rsidRPr="00186EF6">
        <w:rPr>
          <w:rFonts w:ascii="Arial" w:hAnsi="Arial" w:cs="Arial"/>
          <w:sz w:val="24"/>
          <w:szCs w:val="24"/>
        </w:rPr>
        <w:t xml:space="preserve"> </w:t>
      </w:r>
      <w:r w:rsidRPr="00186EF6">
        <w:rPr>
          <w:rFonts w:ascii="Arial" w:hAnsi="Arial" w:cs="Arial"/>
          <w:sz w:val="24"/>
          <w:szCs w:val="24"/>
        </w:rPr>
        <w:t xml:space="preserve">this investigation have resigned from Eskom. The contracts are currently under investigation by the SIU. The SIU has to date referred evidence in support of criminal charges against 11 role players involved in Package 28 to the NPA in June 2020. Progress on the investigations may conclude that additional Eskom staff were involved. Action will be </w:t>
      </w:r>
      <w:r w:rsidR="00F34462" w:rsidRPr="00186EF6">
        <w:rPr>
          <w:rFonts w:ascii="Arial" w:hAnsi="Arial" w:cs="Arial"/>
          <w:sz w:val="24"/>
          <w:szCs w:val="24"/>
        </w:rPr>
        <w:t>tak</w:t>
      </w:r>
      <w:r w:rsidR="00F34462">
        <w:rPr>
          <w:rFonts w:ascii="Arial" w:hAnsi="Arial" w:cs="Arial"/>
          <w:sz w:val="24"/>
          <w:szCs w:val="24"/>
        </w:rPr>
        <w:t>en</w:t>
      </w:r>
      <w:r w:rsidR="00F34462" w:rsidRPr="00186EF6">
        <w:rPr>
          <w:rFonts w:ascii="Arial" w:hAnsi="Arial" w:cs="Arial"/>
          <w:sz w:val="24"/>
          <w:szCs w:val="24"/>
        </w:rPr>
        <w:t xml:space="preserve"> </w:t>
      </w:r>
      <w:r w:rsidRPr="00186EF6">
        <w:rPr>
          <w:rFonts w:ascii="Arial" w:hAnsi="Arial" w:cs="Arial"/>
          <w:sz w:val="24"/>
          <w:szCs w:val="24"/>
        </w:rPr>
        <w:t xml:space="preserve">as soon as the investigation results become available. The SIU is considering the institution of </w:t>
      </w:r>
      <w:r w:rsidR="00F34462">
        <w:rPr>
          <w:rFonts w:ascii="Arial" w:hAnsi="Arial" w:cs="Arial"/>
          <w:sz w:val="24"/>
          <w:szCs w:val="24"/>
        </w:rPr>
        <w:t>c</w:t>
      </w:r>
      <w:r w:rsidRPr="00186EF6">
        <w:rPr>
          <w:rFonts w:ascii="Arial" w:hAnsi="Arial" w:cs="Arial"/>
          <w:sz w:val="24"/>
          <w:szCs w:val="24"/>
        </w:rPr>
        <w:t xml:space="preserve">ivil </w:t>
      </w:r>
      <w:r w:rsidR="00F34462">
        <w:rPr>
          <w:rFonts w:ascii="Arial" w:hAnsi="Arial" w:cs="Arial"/>
          <w:sz w:val="24"/>
          <w:szCs w:val="24"/>
        </w:rPr>
        <w:t>p</w:t>
      </w:r>
      <w:r w:rsidRPr="00186EF6">
        <w:rPr>
          <w:rFonts w:ascii="Arial" w:hAnsi="Arial" w:cs="Arial"/>
          <w:sz w:val="24"/>
          <w:szCs w:val="24"/>
        </w:rPr>
        <w:t xml:space="preserve">roceedings and has requested the appointment of experts to assist in the quantification of losses incurred by Eskom. The investigation in respect of Package 16 is ongoing. </w:t>
      </w:r>
    </w:p>
    <w:p w14:paraId="7B226E29" w14:textId="77777777" w:rsidR="006E3522" w:rsidRPr="00186EF6" w:rsidRDefault="006E3522" w:rsidP="006E3522">
      <w:pPr>
        <w:spacing w:after="0" w:line="360" w:lineRule="auto"/>
        <w:ind w:left="360"/>
        <w:jc w:val="both"/>
        <w:rPr>
          <w:rFonts w:ascii="Arial" w:hAnsi="Arial" w:cs="Arial"/>
          <w:sz w:val="24"/>
          <w:szCs w:val="24"/>
        </w:rPr>
      </w:pPr>
    </w:p>
    <w:p w14:paraId="72E91660" w14:textId="67E95451" w:rsidR="006E3522" w:rsidRPr="00186EF6" w:rsidRDefault="006E3522" w:rsidP="006E3522">
      <w:pPr>
        <w:spacing w:after="0" w:line="360" w:lineRule="auto"/>
        <w:ind w:left="426" w:right="-96"/>
        <w:jc w:val="both"/>
        <w:rPr>
          <w:rFonts w:ascii="Arial" w:hAnsi="Arial" w:cs="Arial"/>
          <w:sz w:val="24"/>
          <w:szCs w:val="24"/>
        </w:rPr>
      </w:pPr>
      <w:r w:rsidRPr="00186EF6">
        <w:rPr>
          <w:rFonts w:ascii="Arial" w:hAnsi="Arial" w:cs="Arial"/>
          <w:sz w:val="24"/>
          <w:szCs w:val="24"/>
        </w:rPr>
        <w:t>An expert review and analysis, between the parties started in November 2019 and is being conducted</w:t>
      </w:r>
      <w:r w:rsidR="00F34462">
        <w:rPr>
          <w:rFonts w:ascii="Arial" w:hAnsi="Arial" w:cs="Arial"/>
          <w:sz w:val="24"/>
          <w:szCs w:val="24"/>
        </w:rPr>
        <w:t xml:space="preserve"> on</w:t>
      </w:r>
      <w:r w:rsidRPr="00186EF6">
        <w:rPr>
          <w:rFonts w:ascii="Arial" w:hAnsi="Arial" w:cs="Arial"/>
          <w:sz w:val="24"/>
          <w:szCs w:val="24"/>
        </w:rPr>
        <w:t xml:space="preserve"> all payments made to Stefanutti Stocks under Packages 16 and 28 as well as Package </w:t>
      </w:r>
      <w:r w:rsidR="00F34462" w:rsidRPr="00186EF6">
        <w:rPr>
          <w:rFonts w:ascii="Arial" w:hAnsi="Arial" w:cs="Arial"/>
          <w:sz w:val="24"/>
          <w:szCs w:val="24"/>
        </w:rPr>
        <w:t>10. The</w:t>
      </w:r>
      <w:r w:rsidRPr="00186EF6">
        <w:rPr>
          <w:rFonts w:ascii="Arial" w:hAnsi="Arial" w:cs="Arial"/>
          <w:sz w:val="24"/>
          <w:szCs w:val="24"/>
        </w:rPr>
        <w:t xml:space="preserve"> expert reviews are required in order to identify and quantify overpayments. </w:t>
      </w:r>
    </w:p>
    <w:p w14:paraId="63BC6E42" w14:textId="77777777" w:rsidR="0024762E" w:rsidRDefault="0024762E" w:rsidP="006E3522">
      <w:pPr>
        <w:spacing w:after="0" w:line="360" w:lineRule="auto"/>
        <w:ind w:left="360"/>
        <w:rPr>
          <w:rFonts w:ascii="Arial" w:hAnsi="Arial" w:cs="Arial"/>
          <w:b/>
          <w:i/>
          <w:sz w:val="24"/>
          <w:szCs w:val="24"/>
        </w:rPr>
      </w:pPr>
    </w:p>
    <w:p w14:paraId="4EDEC69F" w14:textId="77777777" w:rsidR="006E3522" w:rsidRPr="00186EF6" w:rsidRDefault="006E3522" w:rsidP="00FF67FD">
      <w:pPr>
        <w:pStyle w:val="ListParagraph"/>
        <w:numPr>
          <w:ilvl w:val="0"/>
          <w:numId w:val="1"/>
        </w:numPr>
        <w:spacing w:after="0" w:line="360" w:lineRule="auto"/>
        <w:jc w:val="both"/>
        <w:rPr>
          <w:rFonts w:ascii="Arial" w:hAnsi="Arial" w:cs="Arial"/>
          <w:b/>
          <w:sz w:val="24"/>
          <w:szCs w:val="24"/>
          <w:u w:val="single"/>
        </w:rPr>
      </w:pPr>
      <w:r w:rsidRPr="00186EF6">
        <w:rPr>
          <w:rFonts w:ascii="Arial" w:hAnsi="Arial" w:cs="Arial"/>
          <w:b/>
          <w:i/>
          <w:sz w:val="24"/>
          <w:szCs w:val="24"/>
          <w:u w:val="single"/>
        </w:rPr>
        <w:t>General – (&gt; R180m)</w:t>
      </w:r>
    </w:p>
    <w:p w14:paraId="5376AA23" w14:textId="77777777" w:rsidR="006E3522" w:rsidRPr="00186EF6" w:rsidRDefault="006E3522" w:rsidP="006E3522">
      <w:pPr>
        <w:spacing w:after="0" w:line="360" w:lineRule="auto"/>
        <w:ind w:left="360"/>
        <w:jc w:val="both"/>
        <w:rPr>
          <w:rFonts w:ascii="Arial" w:hAnsi="Arial" w:cs="Arial"/>
          <w:sz w:val="24"/>
          <w:szCs w:val="24"/>
        </w:rPr>
      </w:pPr>
    </w:p>
    <w:p w14:paraId="0A69DB88" w14:textId="023CE76E" w:rsidR="006E3522" w:rsidRPr="00186EF6" w:rsidRDefault="006E3522" w:rsidP="006E3522">
      <w:pPr>
        <w:spacing w:after="0" w:line="360" w:lineRule="auto"/>
        <w:ind w:left="360"/>
        <w:jc w:val="both"/>
        <w:rPr>
          <w:rFonts w:ascii="Arial" w:hAnsi="Arial" w:cs="Arial"/>
          <w:sz w:val="24"/>
          <w:szCs w:val="24"/>
        </w:rPr>
      </w:pPr>
      <w:r w:rsidRPr="00186EF6">
        <w:rPr>
          <w:rFonts w:ascii="Arial" w:hAnsi="Arial" w:cs="Arial"/>
          <w:sz w:val="24"/>
          <w:szCs w:val="24"/>
        </w:rPr>
        <w:t xml:space="preserve">There are numerous other </w:t>
      </w:r>
      <w:r w:rsidR="00F34462">
        <w:rPr>
          <w:rFonts w:ascii="Arial" w:hAnsi="Arial" w:cs="Arial"/>
          <w:sz w:val="24"/>
          <w:szCs w:val="24"/>
        </w:rPr>
        <w:t>s</w:t>
      </w:r>
      <w:r w:rsidRPr="00186EF6">
        <w:rPr>
          <w:rFonts w:ascii="Arial" w:hAnsi="Arial" w:cs="Arial"/>
          <w:sz w:val="24"/>
          <w:szCs w:val="24"/>
        </w:rPr>
        <w:t>ervice</w:t>
      </w:r>
      <w:r>
        <w:rPr>
          <w:rFonts w:ascii="Arial" w:hAnsi="Arial" w:cs="Arial"/>
          <w:sz w:val="24"/>
          <w:szCs w:val="24"/>
        </w:rPr>
        <w:t>s</w:t>
      </w:r>
      <w:r w:rsidRPr="00186EF6">
        <w:rPr>
          <w:rFonts w:ascii="Arial" w:hAnsi="Arial" w:cs="Arial"/>
          <w:sz w:val="24"/>
          <w:szCs w:val="24"/>
        </w:rPr>
        <w:t xml:space="preserve">, </w:t>
      </w:r>
      <w:r w:rsidR="00A824EB">
        <w:rPr>
          <w:rFonts w:ascii="Arial" w:hAnsi="Arial" w:cs="Arial"/>
          <w:sz w:val="24"/>
          <w:szCs w:val="24"/>
        </w:rPr>
        <w:t>corporate social investment</w:t>
      </w:r>
      <w:r w:rsidRPr="00186EF6">
        <w:rPr>
          <w:rFonts w:ascii="Arial" w:hAnsi="Arial" w:cs="Arial"/>
          <w:sz w:val="24"/>
          <w:szCs w:val="24"/>
        </w:rPr>
        <w:t xml:space="preserve"> and Panel contracts that have been “red flagged” in multiple audits and reviews done on the project. Although these findings do not fall within the ambit of overpayment, these findings have been referred to Eskom Assurance and Forensic, Eskom Legal or possibly the SIU for further investigation.</w:t>
      </w:r>
    </w:p>
    <w:p w14:paraId="1A17A994" w14:textId="77777777" w:rsidR="006E3522" w:rsidRPr="00186EF6" w:rsidRDefault="006E3522" w:rsidP="006E3522">
      <w:pPr>
        <w:spacing w:after="0" w:line="360" w:lineRule="auto"/>
        <w:ind w:left="360"/>
        <w:jc w:val="both"/>
        <w:rPr>
          <w:rFonts w:ascii="Arial" w:hAnsi="Arial" w:cs="Arial"/>
          <w:sz w:val="24"/>
          <w:szCs w:val="24"/>
        </w:rPr>
      </w:pPr>
    </w:p>
    <w:p w14:paraId="18D15CF3" w14:textId="77777777" w:rsidR="006E3522" w:rsidRPr="00186EF6" w:rsidRDefault="006E3522" w:rsidP="006E3522">
      <w:pPr>
        <w:spacing w:after="0" w:line="360" w:lineRule="auto"/>
        <w:ind w:left="360"/>
        <w:jc w:val="both"/>
        <w:rPr>
          <w:rFonts w:ascii="Arial" w:hAnsi="Arial" w:cs="Arial"/>
          <w:sz w:val="24"/>
          <w:szCs w:val="24"/>
        </w:rPr>
      </w:pPr>
      <w:r w:rsidRPr="00186EF6">
        <w:rPr>
          <w:rFonts w:ascii="Arial" w:hAnsi="Arial" w:cs="Arial"/>
          <w:sz w:val="24"/>
          <w:szCs w:val="24"/>
        </w:rPr>
        <w:t>The project experienced problems in extending contracts to conclude the forensic, delay and quantum investigations. These problems are now mostly resolved and progress is evident.</w:t>
      </w:r>
    </w:p>
    <w:p w14:paraId="32E78303" w14:textId="77777777" w:rsidR="006E3522" w:rsidRPr="00186EF6" w:rsidRDefault="006E3522" w:rsidP="006E3522">
      <w:pPr>
        <w:spacing w:after="0" w:line="360" w:lineRule="auto"/>
        <w:ind w:left="360"/>
        <w:jc w:val="both"/>
        <w:rPr>
          <w:rFonts w:ascii="Arial" w:hAnsi="Arial" w:cs="Arial"/>
          <w:sz w:val="24"/>
          <w:szCs w:val="24"/>
        </w:rPr>
      </w:pPr>
    </w:p>
    <w:p w14:paraId="7699CE6C" w14:textId="77777777" w:rsidR="006E3522" w:rsidRPr="00186EF6" w:rsidRDefault="006E3522" w:rsidP="006E3522">
      <w:pPr>
        <w:spacing w:after="0" w:line="360" w:lineRule="auto"/>
        <w:ind w:left="360"/>
        <w:jc w:val="both"/>
        <w:rPr>
          <w:rFonts w:ascii="Arial" w:hAnsi="Arial" w:cs="Arial"/>
          <w:sz w:val="24"/>
          <w:szCs w:val="24"/>
        </w:rPr>
      </w:pPr>
      <w:r w:rsidRPr="00186EF6">
        <w:rPr>
          <w:rFonts w:ascii="Arial" w:hAnsi="Arial" w:cs="Arial"/>
          <w:sz w:val="24"/>
          <w:szCs w:val="24"/>
        </w:rPr>
        <w:lastRenderedPageBreak/>
        <w:t xml:space="preserve">For the purpose of clarification, it must be noted that once an Eskom employee resigns, he or she is outside Eskom’s scope, and the law enforcement agencies then need to take over the process. Additionally, Eskom is supporting the law enforcement agencies to pursue civil claims against former employees involved in all the contracts mentioned above. </w:t>
      </w:r>
    </w:p>
    <w:p w14:paraId="0590F841" w14:textId="77777777" w:rsidR="006E3522" w:rsidRPr="000C6A1B" w:rsidRDefault="006E3522" w:rsidP="006E3522">
      <w:pPr>
        <w:spacing w:after="0" w:line="360" w:lineRule="auto"/>
        <w:ind w:left="360"/>
        <w:jc w:val="both"/>
        <w:rPr>
          <w:rFonts w:ascii="Arial" w:hAnsi="Arial" w:cs="Arial"/>
          <w:sz w:val="24"/>
          <w:szCs w:val="24"/>
        </w:rPr>
      </w:pPr>
    </w:p>
    <w:p w14:paraId="25908233" w14:textId="77777777" w:rsidR="006E3522" w:rsidRPr="000C6A1B" w:rsidRDefault="006E3522" w:rsidP="00FF67FD">
      <w:pPr>
        <w:pStyle w:val="ListParagraph"/>
        <w:numPr>
          <w:ilvl w:val="0"/>
          <w:numId w:val="1"/>
        </w:numPr>
        <w:spacing w:after="0" w:line="360" w:lineRule="auto"/>
        <w:jc w:val="both"/>
        <w:rPr>
          <w:rFonts w:ascii="Arial" w:hAnsi="Arial" w:cs="Arial"/>
          <w:b/>
          <w:i/>
          <w:sz w:val="24"/>
          <w:szCs w:val="24"/>
          <w:u w:val="single"/>
        </w:rPr>
      </w:pPr>
      <w:r w:rsidRPr="000C6A1B">
        <w:rPr>
          <w:rFonts w:ascii="Arial" w:hAnsi="Arial" w:cs="Arial"/>
          <w:b/>
          <w:i/>
          <w:sz w:val="24"/>
          <w:szCs w:val="24"/>
          <w:u w:val="single"/>
        </w:rPr>
        <w:t xml:space="preserve">Current strategies being adopted </w:t>
      </w:r>
    </w:p>
    <w:p w14:paraId="33DF94ED" w14:textId="77777777" w:rsidR="006E3522" w:rsidRPr="000C6A1B" w:rsidRDefault="006E3522" w:rsidP="006E3522">
      <w:pPr>
        <w:tabs>
          <w:tab w:val="num" w:pos="720"/>
        </w:tabs>
        <w:spacing w:after="0" w:line="360" w:lineRule="auto"/>
        <w:ind w:left="430"/>
        <w:jc w:val="both"/>
        <w:rPr>
          <w:rFonts w:ascii="Arial" w:hAnsi="Arial" w:cs="Arial"/>
          <w:sz w:val="24"/>
          <w:szCs w:val="24"/>
        </w:rPr>
      </w:pPr>
    </w:p>
    <w:p w14:paraId="23611CFE" w14:textId="30348541" w:rsidR="006E3522" w:rsidRPr="000C6A1B" w:rsidRDefault="006E3522" w:rsidP="006E3522">
      <w:pPr>
        <w:tabs>
          <w:tab w:val="num" w:pos="720"/>
        </w:tabs>
        <w:spacing w:after="0" w:line="360" w:lineRule="auto"/>
        <w:ind w:left="430"/>
        <w:jc w:val="both"/>
        <w:rPr>
          <w:rFonts w:ascii="Arial" w:hAnsi="Arial" w:cs="Arial"/>
          <w:sz w:val="24"/>
          <w:szCs w:val="24"/>
        </w:rPr>
      </w:pPr>
      <w:r w:rsidRPr="000C6A1B">
        <w:rPr>
          <w:rFonts w:ascii="Arial" w:hAnsi="Arial" w:cs="Arial"/>
          <w:sz w:val="24"/>
          <w:szCs w:val="24"/>
        </w:rPr>
        <w:t>Eskom management’s strategies (supported by other agencies i</w:t>
      </w:r>
      <w:r w:rsidR="00F34462">
        <w:rPr>
          <w:rFonts w:ascii="Arial" w:hAnsi="Arial" w:cs="Arial"/>
          <w:sz w:val="24"/>
          <w:szCs w:val="24"/>
        </w:rPr>
        <w:t>.</w:t>
      </w:r>
      <w:r w:rsidRPr="000C6A1B">
        <w:rPr>
          <w:rFonts w:ascii="Arial" w:hAnsi="Arial" w:cs="Arial"/>
          <w:sz w:val="24"/>
          <w:szCs w:val="24"/>
        </w:rPr>
        <w:t>e</w:t>
      </w:r>
      <w:r w:rsidR="00F34462">
        <w:rPr>
          <w:rFonts w:ascii="Arial" w:hAnsi="Arial" w:cs="Arial"/>
          <w:sz w:val="24"/>
          <w:szCs w:val="24"/>
        </w:rPr>
        <w:t>.</w:t>
      </w:r>
      <w:r w:rsidRPr="000C6A1B">
        <w:rPr>
          <w:rFonts w:ascii="Arial" w:hAnsi="Arial" w:cs="Arial"/>
          <w:sz w:val="24"/>
          <w:szCs w:val="24"/>
        </w:rPr>
        <w:t xml:space="preserve"> SIU, NPA and Bowman Gilfillan in respect of contract investigations include:</w:t>
      </w:r>
    </w:p>
    <w:p w14:paraId="5FA20E65" w14:textId="77777777" w:rsidR="006E3522" w:rsidRPr="000C6A1B" w:rsidRDefault="006E3522" w:rsidP="006E3522">
      <w:pPr>
        <w:tabs>
          <w:tab w:val="num" w:pos="720"/>
        </w:tabs>
        <w:spacing w:after="0" w:line="360" w:lineRule="auto"/>
        <w:ind w:left="430"/>
        <w:jc w:val="both"/>
        <w:rPr>
          <w:rFonts w:ascii="Arial" w:hAnsi="Arial" w:cs="Arial"/>
          <w:sz w:val="24"/>
          <w:szCs w:val="24"/>
        </w:rPr>
      </w:pPr>
    </w:p>
    <w:p w14:paraId="670F1587" w14:textId="77777777" w:rsidR="006E3522" w:rsidRPr="000C6A1B" w:rsidRDefault="00A839F2" w:rsidP="00FF67FD">
      <w:pPr>
        <w:pStyle w:val="ListParagraph"/>
        <w:numPr>
          <w:ilvl w:val="0"/>
          <w:numId w:val="7"/>
        </w:numPr>
        <w:tabs>
          <w:tab w:val="num" w:pos="720"/>
        </w:tabs>
        <w:spacing w:after="0" w:line="360" w:lineRule="auto"/>
        <w:jc w:val="both"/>
        <w:rPr>
          <w:rFonts w:ascii="Arial" w:hAnsi="Arial" w:cs="Arial"/>
          <w:sz w:val="24"/>
          <w:szCs w:val="24"/>
        </w:rPr>
      </w:pPr>
      <w:r>
        <w:rPr>
          <w:rFonts w:ascii="Arial" w:hAnsi="Arial" w:cs="Arial"/>
          <w:sz w:val="24"/>
          <w:szCs w:val="24"/>
        </w:rPr>
        <w:t>S</w:t>
      </w:r>
      <w:r w:rsidR="006E3522" w:rsidRPr="000C6A1B">
        <w:rPr>
          <w:rFonts w:ascii="Arial" w:hAnsi="Arial" w:cs="Arial"/>
          <w:sz w:val="24"/>
          <w:szCs w:val="24"/>
        </w:rPr>
        <w:t>topping the ‘bleeding’</w:t>
      </w:r>
    </w:p>
    <w:p w14:paraId="7E989514" w14:textId="77777777" w:rsidR="00494103" w:rsidRDefault="00A839F2" w:rsidP="00FF67FD">
      <w:pPr>
        <w:pStyle w:val="ListParagraph"/>
        <w:numPr>
          <w:ilvl w:val="0"/>
          <w:numId w:val="7"/>
        </w:numPr>
        <w:tabs>
          <w:tab w:val="num" w:pos="720"/>
        </w:tabs>
        <w:spacing w:after="0" w:line="360" w:lineRule="auto"/>
        <w:jc w:val="both"/>
        <w:rPr>
          <w:rFonts w:ascii="Arial" w:hAnsi="Arial" w:cs="Arial"/>
          <w:sz w:val="24"/>
          <w:szCs w:val="24"/>
        </w:rPr>
      </w:pPr>
      <w:r>
        <w:rPr>
          <w:rFonts w:ascii="Arial" w:hAnsi="Arial" w:cs="Arial"/>
          <w:sz w:val="24"/>
          <w:szCs w:val="24"/>
        </w:rPr>
        <w:t>P</w:t>
      </w:r>
      <w:r w:rsidR="006E3522" w:rsidRPr="000C6A1B">
        <w:rPr>
          <w:rFonts w:ascii="Arial" w:hAnsi="Arial" w:cs="Arial"/>
          <w:sz w:val="24"/>
          <w:szCs w:val="24"/>
        </w:rPr>
        <w:t xml:space="preserve">reventative control measures implemented, now managed on a daily basis to prevent a reoccurrence; </w:t>
      </w:r>
    </w:p>
    <w:p w14:paraId="48B9B7E8" w14:textId="421CFDC5" w:rsidR="006E3522" w:rsidRPr="000C6A1B" w:rsidRDefault="00494103" w:rsidP="00FF67FD">
      <w:pPr>
        <w:pStyle w:val="ListParagraph"/>
        <w:numPr>
          <w:ilvl w:val="0"/>
          <w:numId w:val="7"/>
        </w:numPr>
        <w:tabs>
          <w:tab w:val="num" w:pos="720"/>
        </w:tabs>
        <w:spacing w:after="0" w:line="360" w:lineRule="auto"/>
        <w:jc w:val="both"/>
        <w:rPr>
          <w:rFonts w:ascii="Arial" w:hAnsi="Arial" w:cs="Arial"/>
          <w:sz w:val="24"/>
          <w:szCs w:val="24"/>
        </w:rPr>
      </w:pPr>
      <w:r>
        <w:rPr>
          <w:rFonts w:ascii="Arial" w:hAnsi="Arial" w:cs="Arial"/>
          <w:sz w:val="24"/>
          <w:szCs w:val="24"/>
        </w:rPr>
        <w:t xml:space="preserve">Recovering unlawful payments through legal processes, </w:t>
      </w:r>
      <w:r w:rsidR="006E3522" w:rsidRPr="000C6A1B">
        <w:rPr>
          <w:rFonts w:ascii="Arial" w:hAnsi="Arial" w:cs="Arial"/>
          <w:sz w:val="24"/>
          <w:szCs w:val="24"/>
        </w:rPr>
        <w:t xml:space="preserve">and </w:t>
      </w:r>
    </w:p>
    <w:p w14:paraId="17D10D49" w14:textId="77777777" w:rsidR="006E3522" w:rsidRPr="000C6A1B" w:rsidRDefault="00A839F2" w:rsidP="00FF67FD">
      <w:pPr>
        <w:pStyle w:val="ListParagraph"/>
        <w:numPr>
          <w:ilvl w:val="0"/>
          <w:numId w:val="7"/>
        </w:numPr>
        <w:tabs>
          <w:tab w:val="num" w:pos="720"/>
        </w:tabs>
        <w:spacing w:after="0" w:line="360" w:lineRule="auto"/>
        <w:jc w:val="both"/>
        <w:rPr>
          <w:rFonts w:ascii="Arial" w:hAnsi="Arial" w:cs="Arial"/>
          <w:sz w:val="24"/>
          <w:szCs w:val="24"/>
        </w:rPr>
      </w:pPr>
      <w:r>
        <w:rPr>
          <w:rFonts w:ascii="Arial" w:hAnsi="Arial" w:cs="Arial"/>
          <w:sz w:val="24"/>
          <w:szCs w:val="24"/>
        </w:rPr>
        <w:t>T</w:t>
      </w:r>
      <w:r w:rsidR="006E3522" w:rsidRPr="000C6A1B">
        <w:rPr>
          <w:rFonts w:ascii="Arial" w:hAnsi="Arial" w:cs="Arial"/>
          <w:sz w:val="24"/>
          <w:szCs w:val="24"/>
        </w:rPr>
        <w:t xml:space="preserve">he recouping of historical overpayments. </w:t>
      </w:r>
    </w:p>
    <w:p w14:paraId="49F7605E" w14:textId="77777777" w:rsidR="006E3522" w:rsidRDefault="006E3522" w:rsidP="006E3522">
      <w:pPr>
        <w:spacing w:after="0" w:line="240" w:lineRule="auto"/>
        <w:jc w:val="both"/>
        <w:rPr>
          <w:rFonts w:ascii="Arial" w:hAnsi="Arial" w:cs="Arial"/>
          <w:sz w:val="24"/>
          <w:szCs w:val="24"/>
        </w:rPr>
      </w:pPr>
    </w:p>
    <w:sectPr w:rsidR="006E3522" w:rsidSect="002068C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BD40C" w16cex:dateUtc="2020-08-22T15:27:00Z"/>
  <w16cex:commentExtensible w16cex:durableId="22EBD4B4" w16cex:dateUtc="2020-08-22T15: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E3D5C8" w16cid:durableId="22EBD40C"/>
  <w16cid:commentId w16cid:paraId="5214C9AA" w16cid:durableId="22EBD4B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DCC34" w14:textId="77777777" w:rsidR="00A742DD" w:rsidRDefault="00A742DD" w:rsidP="00FC1A76">
      <w:pPr>
        <w:spacing w:after="0" w:line="240" w:lineRule="auto"/>
      </w:pPr>
      <w:r>
        <w:separator/>
      </w:r>
    </w:p>
  </w:endnote>
  <w:endnote w:type="continuationSeparator" w:id="0">
    <w:p w14:paraId="029A566E" w14:textId="77777777" w:rsidR="00A742DD" w:rsidRDefault="00A742DD" w:rsidP="00FC1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839135"/>
      <w:docPartObj>
        <w:docPartGallery w:val="Page Numbers (Bottom of Page)"/>
        <w:docPartUnique/>
      </w:docPartObj>
    </w:sdtPr>
    <w:sdtEndPr/>
    <w:sdtContent>
      <w:sdt>
        <w:sdtPr>
          <w:id w:val="-1705238520"/>
          <w:docPartObj>
            <w:docPartGallery w:val="Page Numbers (Top of Page)"/>
            <w:docPartUnique/>
          </w:docPartObj>
        </w:sdtPr>
        <w:sdtEndPr/>
        <w:sdtContent>
          <w:p w14:paraId="2C92CCA2" w14:textId="3ACCF3B4" w:rsidR="00C75335" w:rsidRDefault="00C75335" w:rsidP="00DB22B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A320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3203">
              <w:rPr>
                <w:b/>
                <w:bCs/>
                <w:noProof/>
              </w:rPr>
              <w:t>26</w:t>
            </w:r>
            <w:r>
              <w:rPr>
                <w:b/>
                <w:bCs/>
                <w:sz w:val="24"/>
                <w:szCs w:val="24"/>
              </w:rPr>
              <w:fldChar w:fldCharType="end"/>
            </w:r>
          </w:p>
        </w:sdtContent>
      </w:sdt>
    </w:sdtContent>
  </w:sdt>
  <w:p w14:paraId="16C13F51" w14:textId="77777777" w:rsidR="00C75335" w:rsidRDefault="00C753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33FFC" w14:textId="77777777" w:rsidR="00A742DD" w:rsidRDefault="00A742DD" w:rsidP="00FC1A76">
      <w:pPr>
        <w:spacing w:after="0" w:line="240" w:lineRule="auto"/>
      </w:pPr>
      <w:r>
        <w:separator/>
      </w:r>
    </w:p>
  </w:footnote>
  <w:footnote w:type="continuationSeparator" w:id="0">
    <w:p w14:paraId="22BD8612" w14:textId="77777777" w:rsidR="00A742DD" w:rsidRDefault="00A742DD" w:rsidP="00FC1A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1719"/>
    <w:multiLevelType w:val="hybridMultilevel"/>
    <w:tmpl w:val="331AF21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CE598D"/>
    <w:multiLevelType w:val="hybridMultilevel"/>
    <w:tmpl w:val="5C3CC0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3B57E67"/>
    <w:multiLevelType w:val="hybridMultilevel"/>
    <w:tmpl w:val="1FC8A5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3E006EC"/>
    <w:multiLevelType w:val="hybridMultilevel"/>
    <w:tmpl w:val="53204F9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76F5E91"/>
    <w:multiLevelType w:val="hybridMultilevel"/>
    <w:tmpl w:val="997831F0"/>
    <w:lvl w:ilvl="0" w:tplc="954C30DA">
      <w:start w:val="1"/>
      <w:numFmt w:val="lowerLetter"/>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88C209F"/>
    <w:multiLevelType w:val="hybridMultilevel"/>
    <w:tmpl w:val="886C21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1FE0031"/>
    <w:multiLevelType w:val="hybridMultilevel"/>
    <w:tmpl w:val="00DEA450"/>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7ED0D88"/>
    <w:multiLevelType w:val="hybridMultilevel"/>
    <w:tmpl w:val="743A4588"/>
    <w:lvl w:ilvl="0" w:tplc="D9B23E7C">
      <w:start w:val="42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DFB5438"/>
    <w:multiLevelType w:val="hybridMultilevel"/>
    <w:tmpl w:val="81946DD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5F964D1E"/>
    <w:multiLevelType w:val="hybridMultilevel"/>
    <w:tmpl w:val="5C187BDA"/>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624E1F6C"/>
    <w:multiLevelType w:val="hybridMultilevel"/>
    <w:tmpl w:val="56D218E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2D07EBB"/>
    <w:multiLevelType w:val="hybridMultilevel"/>
    <w:tmpl w:val="1688A156"/>
    <w:lvl w:ilvl="0" w:tplc="FC644E48">
      <w:start w:val="1"/>
      <w:numFmt w:val="decimal"/>
      <w:lvlText w:val="%1."/>
      <w:lvlJc w:val="left"/>
      <w:pPr>
        <w:ind w:left="360" w:hanging="360"/>
      </w:pPr>
      <w:rPr>
        <w:rFonts w:hint="default"/>
        <w:i/>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67B43E95"/>
    <w:multiLevelType w:val="hybridMultilevel"/>
    <w:tmpl w:val="50EAA9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A8E1B3C"/>
    <w:multiLevelType w:val="hybridMultilevel"/>
    <w:tmpl w:val="EB64DE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5243336"/>
    <w:multiLevelType w:val="hybridMultilevel"/>
    <w:tmpl w:val="F2925D8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758B2334"/>
    <w:multiLevelType w:val="hybridMultilevel"/>
    <w:tmpl w:val="9D066EF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83563CE"/>
    <w:multiLevelType w:val="hybridMultilevel"/>
    <w:tmpl w:val="8FD450D6"/>
    <w:lvl w:ilvl="0" w:tplc="DB26E3B0">
      <w:start w:val="2"/>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4"/>
  </w:num>
  <w:num w:numId="4">
    <w:abstractNumId w:val="3"/>
  </w:num>
  <w:num w:numId="5">
    <w:abstractNumId w:val="10"/>
  </w:num>
  <w:num w:numId="6">
    <w:abstractNumId w:val="0"/>
  </w:num>
  <w:num w:numId="7">
    <w:abstractNumId w:val="9"/>
  </w:num>
  <w:num w:numId="8">
    <w:abstractNumId w:val="1"/>
  </w:num>
  <w:num w:numId="9">
    <w:abstractNumId w:val="8"/>
  </w:num>
  <w:num w:numId="10">
    <w:abstractNumId w:val="2"/>
  </w:num>
  <w:num w:numId="11">
    <w:abstractNumId w:val="14"/>
  </w:num>
  <w:num w:numId="12">
    <w:abstractNumId w:val="15"/>
  </w:num>
  <w:num w:numId="13">
    <w:abstractNumId w:val="5"/>
  </w:num>
  <w:num w:numId="14">
    <w:abstractNumId w:val="12"/>
  </w:num>
  <w:num w:numId="15">
    <w:abstractNumId w:val="13"/>
  </w:num>
  <w:num w:numId="16">
    <w:abstractNumId w:val="7"/>
  </w:num>
  <w:num w:numId="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81"/>
    <w:rsid w:val="0000713A"/>
    <w:rsid w:val="00017B33"/>
    <w:rsid w:val="00017CEE"/>
    <w:rsid w:val="0003039F"/>
    <w:rsid w:val="00043825"/>
    <w:rsid w:val="00045B2B"/>
    <w:rsid w:val="00056F7C"/>
    <w:rsid w:val="000640D2"/>
    <w:rsid w:val="00072ED8"/>
    <w:rsid w:val="00075E28"/>
    <w:rsid w:val="000804BC"/>
    <w:rsid w:val="00081D29"/>
    <w:rsid w:val="00083659"/>
    <w:rsid w:val="00091693"/>
    <w:rsid w:val="000947B6"/>
    <w:rsid w:val="000972CF"/>
    <w:rsid w:val="000A1213"/>
    <w:rsid w:val="000A7119"/>
    <w:rsid w:val="000B205E"/>
    <w:rsid w:val="000B27EB"/>
    <w:rsid w:val="000C6F62"/>
    <w:rsid w:val="000D01A2"/>
    <w:rsid w:val="000D3012"/>
    <w:rsid w:val="000E3D98"/>
    <w:rsid w:val="000E75E3"/>
    <w:rsid w:val="00103687"/>
    <w:rsid w:val="001249C9"/>
    <w:rsid w:val="00126F6C"/>
    <w:rsid w:val="001308AC"/>
    <w:rsid w:val="00140534"/>
    <w:rsid w:val="001508B5"/>
    <w:rsid w:val="0015577F"/>
    <w:rsid w:val="00156867"/>
    <w:rsid w:val="00157BBB"/>
    <w:rsid w:val="00163A66"/>
    <w:rsid w:val="00176B12"/>
    <w:rsid w:val="00181A21"/>
    <w:rsid w:val="001923B0"/>
    <w:rsid w:val="0019432D"/>
    <w:rsid w:val="00197C07"/>
    <w:rsid w:val="001A2A17"/>
    <w:rsid w:val="001A367A"/>
    <w:rsid w:val="001B441B"/>
    <w:rsid w:val="001B4D78"/>
    <w:rsid w:val="001B74F3"/>
    <w:rsid w:val="001B7AC3"/>
    <w:rsid w:val="001D4D65"/>
    <w:rsid w:val="001F7F7F"/>
    <w:rsid w:val="00202D57"/>
    <w:rsid w:val="00205B77"/>
    <w:rsid w:val="002068C8"/>
    <w:rsid w:val="00222666"/>
    <w:rsid w:val="0022597C"/>
    <w:rsid w:val="00243825"/>
    <w:rsid w:val="00246D8C"/>
    <w:rsid w:val="0024762E"/>
    <w:rsid w:val="002522A1"/>
    <w:rsid w:val="002569B1"/>
    <w:rsid w:val="0025738A"/>
    <w:rsid w:val="00257540"/>
    <w:rsid w:val="00260785"/>
    <w:rsid w:val="00277D07"/>
    <w:rsid w:val="00283269"/>
    <w:rsid w:val="002A3203"/>
    <w:rsid w:val="002B7EDC"/>
    <w:rsid w:val="002C2C88"/>
    <w:rsid w:val="002C4822"/>
    <w:rsid w:val="002C541D"/>
    <w:rsid w:val="002D2709"/>
    <w:rsid w:val="002E030F"/>
    <w:rsid w:val="002E23AA"/>
    <w:rsid w:val="002E378B"/>
    <w:rsid w:val="002E3A3C"/>
    <w:rsid w:val="002E5946"/>
    <w:rsid w:val="002F3E39"/>
    <w:rsid w:val="003066E9"/>
    <w:rsid w:val="0031099A"/>
    <w:rsid w:val="00324F19"/>
    <w:rsid w:val="003342C0"/>
    <w:rsid w:val="0034085B"/>
    <w:rsid w:val="0034776F"/>
    <w:rsid w:val="00354408"/>
    <w:rsid w:val="0037084A"/>
    <w:rsid w:val="00370C58"/>
    <w:rsid w:val="00383941"/>
    <w:rsid w:val="00383A0A"/>
    <w:rsid w:val="003859D4"/>
    <w:rsid w:val="00385E4E"/>
    <w:rsid w:val="00393932"/>
    <w:rsid w:val="003A3755"/>
    <w:rsid w:val="003A61D3"/>
    <w:rsid w:val="003A675C"/>
    <w:rsid w:val="003C0AF2"/>
    <w:rsid w:val="003C2B2E"/>
    <w:rsid w:val="003C3994"/>
    <w:rsid w:val="003C46CB"/>
    <w:rsid w:val="003C6D4D"/>
    <w:rsid w:val="003E436C"/>
    <w:rsid w:val="003E4674"/>
    <w:rsid w:val="003F3C1A"/>
    <w:rsid w:val="0040461F"/>
    <w:rsid w:val="00426908"/>
    <w:rsid w:val="00426F57"/>
    <w:rsid w:val="0043441E"/>
    <w:rsid w:val="00434C79"/>
    <w:rsid w:val="004438EF"/>
    <w:rsid w:val="00464833"/>
    <w:rsid w:val="00464CA1"/>
    <w:rsid w:val="0047176C"/>
    <w:rsid w:val="0047365E"/>
    <w:rsid w:val="00487DE9"/>
    <w:rsid w:val="00494103"/>
    <w:rsid w:val="004A07AD"/>
    <w:rsid w:val="004A2F9C"/>
    <w:rsid w:val="004A52E4"/>
    <w:rsid w:val="004B0C9E"/>
    <w:rsid w:val="004B5AC6"/>
    <w:rsid w:val="004C3A44"/>
    <w:rsid w:val="004C7A71"/>
    <w:rsid w:val="004D4CEE"/>
    <w:rsid w:val="004D6BAF"/>
    <w:rsid w:val="004E0303"/>
    <w:rsid w:val="004E559D"/>
    <w:rsid w:val="004F514A"/>
    <w:rsid w:val="004F67A5"/>
    <w:rsid w:val="005103FD"/>
    <w:rsid w:val="0051781C"/>
    <w:rsid w:val="00521029"/>
    <w:rsid w:val="005325DB"/>
    <w:rsid w:val="00545134"/>
    <w:rsid w:val="00551D5F"/>
    <w:rsid w:val="0055502A"/>
    <w:rsid w:val="00555940"/>
    <w:rsid w:val="00562894"/>
    <w:rsid w:val="00571ADC"/>
    <w:rsid w:val="005935D5"/>
    <w:rsid w:val="00596568"/>
    <w:rsid w:val="005A2E13"/>
    <w:rsid w:val="005A5E28"/>
    <w:rsid w:val="005B782D"/>
    <w:rsid w:val="005C5928"/>
    <w:rsid w:val="005C5974"/>
    <w:rsid w:val="005D0405"/>
    <w:rsid w:val="005E70AB"/>
    <w:rsid w:val="005F634F"/>
    <w:rsid w:val="0060302E"/>
    <w:rsid w:val="0065428D"/>
    <w:rsid w:val="00664C9A"/>
    <w:rsid w:val="00667565"/>
    <w:rsid w:val="00674998"/>
    <w:rsid w:val="00674C12"/>
    <w:rsid w:val="0067668D"/>
    <w:rsid w:val="00683809"/>
    <w:rsid w:val="006914B1"/>
    <w:rsid w:val="006A38A9"/>
    <w:rsid w:val="006C0603"/>
    <w:rsid w:val="006D7AD5"/>
    <w:rsid w:val="006E06EC"/>
    <w:rsid w:val="006E3522"/>
    <w:rsid w:val="006E4CD2"/>
    <w:rsid w:val="006F724D"/>
    <w:rsid w:val="00725064"/>
    <w:rsid w:val="00753386"/>
    <w:rsid w:val="00765B12"/>
    <w:rsid w:val="00771227"/>
    <w:rsid w:val="00782B80"/>
    <w:rsid w:val="00792C73"/>
    <w:rsid w:val="007948FD"/>
    <w:rsid w:val="007E6AFE"/>
    <w:rsid w:val="007F1C62"/>
    <w:rsid w:val="007F1C91"/>
    <w:rsid w:val="007F37ED"/>
    <w:rsid w:val="00805589"/>
    <w:rsid w:val="00830ED2"/>
    <w:rsid w:val="0084495B"/>
    <w:rsid w:val="0084541A"/>
    <w:rsid w:val="00852F54"/>
    <w:rsid w:val="008539E4"/>
    <w:rsid w:val="00870185"/>
    <w:rsid w:val="00880275"/>
    <w:rsid w:val="00881796"/>
    <w:rsid w:val="008873AE"/>
    <w:rsid w:val="00887B27"/>
    <w:rsid w:val="008A5172"/>
    <w:rsid w:val="008B7122"/>
    <w:rsid w:val="008C6031"/>
    <w:rsid w:val="008F2E34"/>
    <w:rsid w:val="008F3FD4"/>
    <w:rsid w:val="009029C8"/>
    <w:rsid w:val="00904624"/>
    <w:rsid w:val="009137FC"/>
    <w:rsid w:val="0092078D"/>
    <w:rsid w:val="009232E4"/>
    <w:rsid w:val="00923EDE"/>
    <w:rsid w:val="00935B8C"/>
    <w:rsid w:val="00967CB5"/>
    <w:rsid w:val="00974907"/>
    <w:rsid w:val="009766C0"/>
    <w:rsid w:val="00980F77"/>
    <w:rsid w:val="00995691"/>
    <w:rsid w:val="009957B3"/>
    <w:rsid w:val="00996DBD"/>
    <w:rsid w:val="009A13CF"/>
    <w:rsid w:val="009B69FB"/>
    <w:rsid w:val="009C0CC3"/>
    <w:rsid w:val="009D2DF9"/>
    <w:rsid w:val="009D496D"/>
    <w:rsid w:val="009E2512"/>
    <w:rsid w:val="009F0A07"/>
    <w:rsid w:val="00A16047"/>
    <w:rsid w:val="00A35660"/>
    <w:rsid w:val="00A37C63"/>
    <w:rsid w:val="00A42694"/>
    <w:rsid w:val="00A427D7"/>
    <w:rsid w:val="00A4467D"/>
    <w:rsid w:val="00A50297"/>
    <w:rsid w:val="00A52EAF"/>
    <w:rsid w:val="00A54ACC"/>
    <w:rsid w:val="00A63BE1"/>
    <w:rsid w:val="00A64907"/>
    <w:rsid w:val="00A742DD"/>
    <w:rsid w:val="00A7595F"/>
    <w:rsid w:val="00A824EB"/>
    <w:rsid w:val="00A83477"/>
    <w:rsid w:val="00A839F2"/>
    <w:rsid w:val="00A94F33"/>
    <w:rsid w:val="00AA39E8"/>
    <w:rsid w:val="00AA568A"/>
    <w:rsid w:val="00AA69F1"/>
    <w:rsid w:val="00AB425E"/>
    <w:rsid w:val="00AC5E3A"/>
    <w:rsid w:val="00B02DB1"/>
    <w:rsid w:val="00B051D7"/>
    <w:rsid w:val="00B25C61"/>
    <w:rsid w:val="00B32AEE"/>
    <w:rsid w:val="00B409CC"/>
    <w:rsid w:val="00B4757F"/>
    <w:rsid w:val="00B52C49"/>
    <w:rsid w:val="00B6484B"/>
    <w:rsid w:val="00B65318"/>
    <w:rsid w:val="00B66E4C"/>
    <w:rsid w:val="00B772E2"/>
    <w:rsid w:val="00B87CBD"/>
    <w:rsid w:val="00B92860"/>
    <w:rsid w:val="00BA2E16"/>
    <w:rsid w:val="00BA724B"/>
    <w:rsid w:val="00BB3DA0"/>
    <w:rsid w:val="00BC59CA"/>
    <w:rsid w:val="00BC66BA"/>
    <w:rsid w:val="00BD4837"/>
    <w:rsid w:val="00BE04F0"/>
    <w:rsid w:val="00BE4763"/>
    <w:rsid w:val="00BE65E5"/>
    <w:rsid w:val="00BF7A08"/>
    <w:rsid w:val="00C023D5"/>
    <w:rsid w:val="00C15B83"/>
    <w:rsid w:val="00C54A86"/>
    <w:rsid w:val="00C635A6"/>
    <w:rsid w:val="00C75335"/>
    <w:rsid w:val="00C904D6"/>
    <w:rsid w:val="00C92546"/>
    <w:rsid w:val="00CA4B6E"/>
    <w:rsid w:val="00CC5545"/>
    <w:rsid w:val="00CD50B7"/>
    <w:rsid w:val="00CF07E5"/>
    <w:rsid w:val="00CF0912"/>
    <w:rsid w:val="00CF5B5B"/>
    <w:rsid w:val="00CF60DC"/>
    <w:rsid w:val="00D044C3"/>
    <w:rsid w:val="00D07D81"/>
    <w:rsid w:val="00D20786"/>
    <w:rsid w:val="00D258A0"/>
    <w:rsid w:val="00D27005"/>
    <w:rsid w:val="00D315B2"/>
    <w:rsid w:val="00D32059"/>
    <w:rsid w:val="00D33573"/>
    <w:rsid w:val="00D3719E"/>
    <w:rsid w:val="00D372C1"/>
    <w:rsid w:val="00D4448E"/>
    <w:rsid w:val="00D4547F"/>
    <w:rsid w:val="00D54408"/>
    <w:rsid w:val="00D63352"/>
    <w:rsid w:val="00D71D31"/>
    <w:rsid w:val="00D76B3E"/>
    <w:rsid w:val="00D76D21"/>
    <w:rsid w:val="00D8412D"/>
    <w:rsid w:val="00DA0800"/>
    <w:rsid w:val="00DA5446"/>
    <w:rsid w:val="00DB0C8C"/>
    <w:rsid w:val="00DB22BA"/>
    <w:rsid w:val="00DB5F96"/>
    <w:rsid w:val="00DC2659"/>
    <w:rsid w:val="00DC4D81"/>
    <w:rsid w:val="00DC71EF"/>
    <w:rsid w:val="00DD2278"/>
    <w:rsid w:val="00DF21ED"/>
    <w:rsid w:val="00E01B12"/>
    <w:rsid w:val="00E02A8F"/>
    <w:rsid w:val="00E274A8"/>
    <w:rsid w:val="00E402F4"/>
    <w:rsid w:val="00E50371"/>
    <w:rsid w:val="00E55C32"/>
    <w:rsid w:val="00E57F34"/>
    <w:rsid w:val="00E6050D"/>
    <w:rsid w:val="00E66C1D"/>
    <w:rsid w:val="00E71DEB"/>
    <w:rsid w:val="00E9277A"/>
    <w:rsid w:val="00EA6A2E"/>
    <w:rsid w:val="00EC41DE"/>
    <w:rsid w:val="00EC79D6"/>
    <w:rsid w:val="00ED2333"/>
    <w:rsid w:val="00ED3014"/>
    <w:rsid w:val="00ED6421"/>
    <w:rsid w:val="00EE639E"/>
    <w:rsid w:val="00F15F9E"/>
    <w:rsid w:val="00F21AAE"/>
    <w:rsid w:val="00F260EB"/>
    <w:rsid w:val="00F34462"/>
    <w:rsid w:val="00F47F31"/>
    <w:rsid w:val="00F66D50"/>
    <w:rsid w:val="00F86799"/>
    <w:rsid w:val="00FA269B"/>
    <w:rsid w:val="00FA2DCE"/>
    <w:rsid w:val="00FA489B"/>
    <w:rsid w:val="00FA640E"/>
    <w:rsid w:val="00FB3C53"/>
    <w:rsid w:val="00FB55C6"/>
    <w:rsid w:val="00FC1A76"/>
    <w:rsid w:val="00FC478F"/>
    <w:rsid w:val="00FC51AA"/>
    <w:rsid w:val="00FD62A9"/>
    <w:rsid w:val="00FE06CD"/>
    <w:rsid w:val="00FF30AD"/>
    <w:rsid w:val="00FF67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F841D"/>
  <w15:docId w15:val="{34A21C68-D9BB-4D6B-AB23-29001D67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0303"/>
    <w:pPr>
      <w:keepNext/>
      <w:keepLines/>
      <w:spacing w:before="480" w:after="0"/>
      <w:outlineLvl w:val="0"/>
    </w:pPr>
    <w:rPr>
      <w:rFonts w:ascii="Arial" w:eastAsiaTheme="majorEastAsia" w:hAnsi="Arial"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980F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Bullet List,TOC style,Bulleted text,Bullet OSM,FooterText,numbered,List Paragraph1,Paragraphe de liste1,Bulletr List Paragraph,列出段落,列出段落1,List Paragraph2,List Paragraph21,Párrafo de lista1,Parágrafo da Lista1,リスト段落1,Listeafsnit1,LIST"/>
    <w:basedOn w:val="Normal"/>
    <w:link w:val="ListParagraphChar"/>
    <w:uiPriority w:val="34"/>
    <w:qFormat/>
    <w:rsid w:val="00DC4D81"/>
    <w:pPr>
      <w:ind w:left="720"/>
      <w:contextualSpacing/>
    </w:pPr>
  </w:style>
  <w:style w:type="character" w:customStyle="1" w:styleId="Heading1Char">
    <w:name w:val="Heading 1 Char"/>
    <w:basedOn w:val="DefaultParagraphFont"/>
    <w:link w:val="Heading1"/>
    <w:uiPriority w:val="9"/>
    <w:rsid w:val="004E0303"/>
    <w:rPr>
      <w:rFonts w:ascii="Arial" w:eastAsiaTheme="majorEastAsia" w:hAnsi="Arial" w:cstheme="majorBidi"/>
      <w:b/>
      <w:bCs/>
      <w:color w:val="2E74B5" w:themeColor="accent1" w:themeShade="BF"/>
      <w:sz w:val="28"/>
      <w:szCs w:val="28"/>
    </w:rPr>
  </w:style>
  <w:style w:type="paragraph" w:styleId="TOCHeading">
    <w:name w:val="TOC Heading"/>
    <w:basedOn w:val="Heading1"/>
    <w:next w:val="Normal"/>
    <w:uiPriority w:val="39"/>
    <w:unhideWhenUsed/>
    <w:qFormat/>
    <w:rsid w:val="00F260EB"/>
    <w:pPr>
      <w:spacing w:line="276" w:lineRule="auto"/>
      <w:outlineLvl w:val="9"/>
    </w:pPr>
    <w:rPr>
      <w:lang w:val="en-US" w:eastAsia="ja-JP"/>
    </w:rPr>
  </w:style>
  <w:style w:type="paragraph" w:styleId="TOC2">
    <w:name w:val="toc 2"/>
    <w:basedOn w:val="Normal"/>
    <w:next w:val="Normal"/>
    <w:autoRedefine/>
    <w:uiPriority w:val="39"/>
    <w:unhideWhenUsed/>
    <w:qFormat/>
    <w:rsid w:val="00F260EB"/>
    <w:pPr>
      <w:spacing w:after="100" w:line="276" w:lineRule="auto"/>
      <w:ind w:left="220"/>
    </w:pPr>
    <w:rPr>
      <w:rFonts w:eastAsiaTheme="minorEastAsia"/>
      <w:lang w:val="en-US" w:eastAsia="ja-JP"/>
    </w:rPr>
  </w:style>
  <w:style w:type="paragraph" w:styleId="TOC1">
    <w:name w:val="toc 1"/>
    <w:basedOn w:val="Normal"/>
    <w:next w:val="Normal"/>
    <w:autoRedefine/>
    <w:uiPriority w:val="39"/>
    <w:unhideWhenUsed/>
    <w:qFormat/>
    <w:rsid w:val="00E71DEB"/>
    <w:pPr>
      <w:tabs>
        <w:tab w:val="left" w:pos="440"/>
        <w:tab w:val="right" w:leader="dot" w:pos="9016"/>
      </w:tabs>
      <w:spacing w:after="100" w:line="360" w:lineRule="auto"/>
    </w:pPr>
    <w:rPr>
      <w:rFonts w:eastAsiaTheme="minorEastAsia"/>
      <w:lang w:val="en-US" w:eastAsia="ja-JP"/>
    </w:rPr>
  </w:style>
  <w:style w:type="paragraph" w:styleId="TOC3">
    <w:name w:val="toc 3"/>
    <w:basedOn w:val="Normal"/>
    <w:next w:val="Normal"/>
    <w:autoRedefine/>
    <w:uiPriority w:val="39"/>
    <w:unhideWhenUsed/>
    <w:qFormat/>
    <w:rsid w:val="00F260EB"/>
    <w:pPr>
      <w:spacing w:after="100" w:line="276" w:lineRule="auto"/>
      <w:ind w:left="440"/>
    </w:pPr>
    <w:rPr>
      <w:rFonts w:eastAsiaTheme="minorEastAsia"/>
      <w:lang w:val="en-US" w:eastAsia="ja-JP"/>
    </w:rPr>
  </w:style>
  <w:style w:type="paragraph" w:styleId="BalloonText">
    <w:name w:val="Balloon Text"/>
    <w:basedOn w:val="Normal"/>
    <w:link w:val="BalloonTextChar"/>
    <w:uiPriority w:val="99"/>
    <w:semiHidden/>
    <w:unhideWhenUsed/>
    <w:rsid w:val="00F26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0EB"/>
    <w:rPr>
      <w:rFonts w:ascii="Tahoma" w:hAnsi="Tahoma" w:cs="Tahoma"/>
      <w:sz w:val="16"/>
      <w:szCs w:val="16"/>
    </w:rPr>
  </w:style>
  <w:style w:type="paragraph" w:styleId="Header">
    <w:name w:val="header"/>
    <w:basedOn w:val="Normal"/>
    <w:link w:val="HeaderChar"/>
    <w:uiPriority w:val="99"/>
    <w:unhideWhenUsed/>
    <w:rsid w:val="00FC1A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A76"/>
  </w:style>
  <w:style w:type="paragraph" w:styleId="Footer">
    <w:name w:val="footer"/>
    <w:basedOn w:val="Normal"/>
    <w:link w:val="FooterChar"/>
    <w:uiPriority w:val="99"/>
    <w:unhideWhenUsed/>
    <w:rsid w:val="00FC1A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A76"/>
  </w:style>
  <w:style w:type="table" w:styleId="TableGrid">
    <w:name w:val="Table Grid"/>
    <w:basedOn w:val="TableNormal"/>
    <w:uiPriority w:val="39"/>
    <w:rsid w:val="005E70AB"/>
    <w:pPr>
      <w:spacing w:after="0" w:line="240" w:lineRule="auto"/>
      <w:jc w:val="both"/>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p1 Char,Bullet List Char,TOC style Char,Bulleted text Char,Bullet OSM Char,FooterText Char,numbered Char,List Paragraph1 Char,Paragraphe de liste1 Char,Bulletr List Paragraph Char,列出段落 Char,列出段落1 Char,List Paragraph2 Char,LIST Char"/>
    <w:basedOn w:val="DefaultParagraphFont"/>
    <w:link w:val="ListParagraph"/>
    <w:uiPriority w:val="34"/>
    <w:qFormat/>
    <w:rsid w:val="00980F77"/>
  </w:style>
  <w:style w:type="character" w:customStyle="1" w:styleId="Heading3Char">
    <w:name w:val="Heading 3 Char"/>
    <w:basedOn w:val="DefaultParagraphFont"/>
    <w:link w:val="Heading3"/>
    <w:uiPriority w:val="9"/>
    <w:semiHidden/>
    <w:rsid w:val="00980F7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A4467D"/>
    <w:rPr>
      <w:color w:val="0563C1" w:themeColor="hyperlink"/>
      <w:u w:val="single"/>
    </w:rPr>
  </w:style>
  <w:style w:type="table" w:customStyle="1" w:styleId="TableGrid1">
    <w:name w:val="Table Grid1"/>
    <w:basedOn w:val="TableNormal"/>
    <w:next w:val="TableGrid"/>
    <w:uiPriority w:val="39"/>
    <w:rsid w:val="00BC6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A07AD"/>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725064"/>
    <w:rPr>
      <w:sz w:val="16"/>
      <w:szCs w:val="16"/>
    </w:rPr>
  </w:style>
  <w:style w:type="paragraph" w:styleId="CommentText">
    <w:name w:val="annotation text"/>
    <w:basedOn w:val="Normal"/>
    <w:link w:val="CommentTextChar"/>
    <w:uiPriority w:val="99"/>
    <w:semiHidden/>
    <w:unhideWhenUsed/>
    <w:rsid w:val="00725064"/>
    <w:pPr>
      <w:spacing w:line="240" w:lineRule="auto"/>
    </w:pPr>
    <w:rPr>
      <w:sz w:val="20"/>
      <w:szCs w:val="20"/>
    </w:rPr>
  </w:style>
  <w:style w:type="character" w:customStyle="1" w:styleId="CommentTextChar">
    <w:name w:val="Comment Text Char"/>
    <w:basedOn w:val="DefaultParagraphFont"/>
    <w:link w:val="CommentText"/>
    <w:uiPriority w:val="99"/>
    <w:semiHidden/>
    <w:rsid w:val="00725064"/>
    <w:rPr>
      <w:sz w:val="20"/>
      <w:szCs w:val="20"/>
    </w:rPr>
  </w:style>
  <w:style w:type="paragraph" w:styleId="CommentSubject">
    <w:name w:val="annotation subject"/>
    <w:basedOn w:val="CommentText"/>
    <w:next w:val="CommentText"/>
    <w:link w:val="CommentSubjectChar"/>
    <w:uiPriority w:val="99"/>
    <w:semiHidden/>
    <w:unhideWhenUsed/>
    <w:rsid w:val="00725064"/>
    <w:rPr>
      <w:b/>
      <w:bCs/>
    </w:rPr>
  </w:style>
  <w:style w:type="character" w:customStyle="1" w:styleId="CommentSubjectChar">
    <w:name w:val="Comment Subject Char"/>
    <w:basedOn w:val="CommentTextChar"/>
    <w:link w:val="CommentSubject"/>
    <w:uiPriority w:val="99"/>
    <w:semiHidden/>
    <w:rsid w:val="00725064"/>
    <w:rPr>
      <w:b/>
      <w:bCs/>
      <w:sz w:val="20"/>
      <w:szCs w:val="20"/>
    </w:rPr>
  </w:style>
  <w:style w:type="paragraph" w:styleId="NormalWeb">
    <w:name w:val="Normal (Web)"/>
    <w:basedOn w:val="Normal"/>
    <w:uiPriority w:val="99"/>
    <w:semiHidden/>
    <w:unhideWhenUsed/>
    <w:rsid w:val="0000713A"/>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Default">
    <w:name w:val="Default"/>
    <w:rsid w:val="00B653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09436">
      <w:bodyDiv w:val="1"/>
      <w:marLeft w:val="0"/>
      <w:marRight w:val="0"/>
      <w:marTop w:val="0"/>
      <w:marBottom w:val="0"/>
      <w:divBdr>
        <w:top w:val="none" w:sz="0" w:space="0" w:color="auto"/>
        <w:left w:val="none" w:sz="0" w:space="0" w:color="auto"/>
        <w:bottom w:val="none" w:sz="0" w:space="0" w:color="auto"/>
        <w:right w:val="none" w:sz="0" w:space="0" w:color="auto"/>
      </w:divBdr>
    </w:div>
    <w:div w:id="347144945">
      <w:bodyDiv w:val="1"/>
      <w:marLeft w:val="0"/>
      <w:marRight w:val="0"/>
      <w:marTop w:val="0"/>
      <w:marBottom w:val="0"/>
      <w:divBdr>
        <w:top w:val="none" w:sz="0" w:space="0" w:color="auto"/>
        <w:left w:val="none" w:sz="0" w:space="0" w:color="auto"/>
        <w:bottom w:val="none" w:sz="0" w:space="0" w:color="auto"/>
        <w:right w:val="none" w:sz="0" w:space="0" w:color="auto"/>
      </w:divBdr>
      <w:divsChild>
        <w:div w:id="1089349827">
          <w:marLeft w:val="144"/>
          <w:marRight w:val="0"/>
          <w:marTop w:val="0"/>
          <w:marBottom w:val="0"/>
          <w:divBdr>
            <w:top w:val="none" w:sz="0" w:space="0" w:color="auto"/>
            <w:left w:val="none" w:sz="0" w:space="0" w:color="auto"/>
            <w:bottom w:val="none" w:sz="0" w:space="0" w:color="auto"/>
            <w:right w:val="none" w:sz="0" w:space="0" w:color="auto"/>
          </w:divBdr>
        </w:div>
        <w:div w:id="2025403986">
          <w:marLeft w:val="144"/>
          <w:marRight w:val="0"/>
          <w:marTop w:val="0"/>
          <w:marBottom w:val="0"/>
          <w:divBdr>
            <w:top w:val="none" w:sz="0" w:space="0" w:color="auto"/>
            <w:left w:val="none" w:sz="0" w:space="0" w:color="auto"/>
            <w:bottom w:val="none" w:sz="0" w:space="0" w:color="auto"/>
            <w:right w:val="none" w:sz="0" w:space="0" w:color="auto"/>
          </w:divBdr>
        </w:div>
        <w:div w:id="1201085999">
          <w:marLeft w:val="144"/>
          <w:marRight w:val="0"/>
          <w:marTop w:val="0"/>
          <w:marBottom w:val="0"/>
          <w:divBdr>
            <w:top w:val="none" w:sz="0" w:space="0" w:color="auto"/>
            <w:left w:val="none" w:sz="0" w:space="0" w:color="auto"/>
            <w:bottom w:val="none" w:sz="0" w:space="0" w:color="auto"/>
            <w:right w:val="none" w:sz="0" w:space="0" w:color="auto"/>
          </w:divBdr>
        </w:div>
      </w:divsChild>
    </w:div>
    <w:div w:id="412050318">
      <w:bodyDiv w:val="1"/>
      <w:marLeft w:val="0"/>
      <w:marRight w:val="0"/>
      <w:marTop w:val="0"/>
      <w:marBottom w:val="0"/>
      <w:divBdr>
        <w:top w:val="none" w:sz="0" w:space="0" w:color="auto"/>
        <w:left w:val="none" w:sz="0" w:space="0" w:color="auto"/>
        <w:bottom w:val="none" w:sz="0" w:space="0" w:color="auto"/>
        <w:right w:val="none" w:sz="0" w:space="0" w:color="auto"/>
      </w:divBdr>
      <w:divsChild>
        <w:div w:id="1047149155">
          <w:marLeft w:val="446"/>
          <w:marRight w:val="0"/>
          <w:marTop w:val="0"/>
          <w:marBottom w:val="0"/>
          <w:divBdr>
            <w:top w:val="none" w:sz="0" w:space="0" w:color="auto"/>
            <w:left w:val="none" w:sz="0" w:space="0" w:color="auto"/>
            <w:bottom w:val="none" w:sz="0" w:space="0" w:color="auto"/>
            <w:right w:val="none" w:sz="0" w:space="0" w:color="auto"/>
          </w:divBdr>
        </w:div>
        <w:div w:id="558899640">
          <w:marLeft w:val="446"/>
          <w:marRight w:val="0"/>
          <w:marTop w:val="0"/>
          <w:marBottom w:val="0"/>
          <w:divBdr>
            <w:top w:val="none" w:sz="0" w:space="0" w:color="auto"/>
            <w:left w:val="none" w:sz="0" w:space="0" w:color="auto"/>
            <w:bottom w:val="none" w:sz="0" w:space="0" w:color="auto"/>
            <w:right w:val="none" w:sz="0" w:space="0" w:color="auto"/>
          </w:divBdr>
        </w:div>
      </w:divsChild>
    </w:div>
    <w:div w:id="517084048">
      <w:bodyDiv w:val="1"/>
      <w:marLeft w:val="0"/>
      <w:marRight w:val="0"/>
      <w:marTop w:val="0"/>
      <w:marBottom w:val="0"/>
      <w:divBdr>
        <w:top w:val="none" w:sz="0" w:space="0" w:color="auto"/>
        <w:left w:val="none" w:sz="0" w:space="0" w:color="auto"/>
        <w:bottom w:val="none" w:sz="0" w:space="0" w:color="auto"/>
        <w:right w:val="none" w:sz="0" w:space="0" w:color="auto"/>
      </w:divBdr>
      <w:divsChild>
        <w:div w:id="1059089553">
          <w:marLeft w:val="144"/>
          <w:marRight w:val="0"/>
          <w:marTop w:val="0"/>
          <w:marBottom w:val="0"/>
          <w:divBdr>
            <w:top w:val="none" w:sz="0" w:space="0" w:color="auto"/>
            <w:left w:val="none" w:sz="0" w:space="0" w:color="auto"/>
            <w:bottom w:val="none" w:sz="0" w:space="0" w:color="auto"/>
            <w:right w:val="none" w:sz="0" w:space="0" w:color="auto"/>
          </w:divBdr>
        </w:div>
      </w:divsChild>
    </w:div>
    <w:div w:id="772171165">
      <w:bodyDiv w:val="1"/>
      <w:marLeft w:val="0"/>
      <w:marRight w:val="0"/>
      <w:marTop w:val="0"/>
      <w:marBottom w:val="0"/>
      <w:divBdr>
        <w:top w:val="none" w:sz="0" w:space="0" w:color="auto"/>
        <w:left w:val="none" w:sz="0" w:space="0" w:color="auto"/>
        <w:bottom w:val="none" w:sz="0" w:space="0" w:color="auto"/>
        <w:right w:val="none" w:sz="0" w:space="0" w:color="auto"/>
      </w:divBdr>
    </w:div>
    <w:div w:id="785152427">
      <w:bodyDiv w:val="1"/>
      <w:marLeft w:val="0"/>
      <w:marRight w:val="0"/>
      <w:marTop w:val="0"/>
      <w:marBottom w:val="0"/>
      <w:divBdr>
        <w:top w:val="none" w:sz="0" w:space="0" w:color="auto"/>
        <w:left w:val="none" w:sz="0" w:space="0" w:color="auto"/>
        <w:bottom w:val="none" w:sz="0" w:space="0" w:color="auto"/>
        <w:right w:val="none" w:sz="0" w:space="0" w:color="auto"/>
      </w:divBdr>
      <w:divsChild>
        <w:div w:id="854415724">
          <w:marLeft w:val="144"/>
          <w:marRight w:val="0"/>
          <w:marTop w:val="0"/>
          <w:marBottom w:val="0"/>
          <w:divBdr>
            <w:top w:val="none" w:sz="0" w:space="0" w:color="auto"/>
            <w:left w:val="none" w:sz="0" w:space="0" w:color="auto"/>
            <w:bottom w:val="none" w:sz="0" w:space="0" w:color="auto"/>
            <w:right w:val="none" w:sz="0" w:space="0" w:color="auto"/>
          </w:divBdr>
        </w:div>
        <w:div w:id="1666934771">
          <w:marLeft w:val="144"/>
          <w:marRight w:val="0"/>
          <w:marTop w:val="0"/>
          <w:marBottom w:val="0"/>
          <w:divBdr>
            <w:top w:val="none" w:sz="0" w:space="0" w:color="auto"/>
            <w:left w:val="none" w:sz="0" w:space="0" w:color="auto"/>
            <w:bottom w:val="none" w:sz="0" w:space="0" w:color="auto"/>
            <w:right w:val="none" w:sz="0" w:space="0" w:color="auto"/>
          </w:divBdr>
        </w:div>
        <w:div w:id="1202597292">
          <w:marLeft w:val="144"/>
          <w:marRight w:val="0"/>
          <w:marTop w:val="0"/>
          <w:marBottom w:val="0"/>
          <w:divBdr>
            <w:top w:val="none" w:sz="0" w:space="0" w:color="auto"/>
            <w:left w:val="none" w:sz="0" w:space="0" w:color="auto"/>
            <w:bottom w:val="none" w:sz="0" w:space="0" w:color="auto"/>
            <w:right w:val="none" w:sz="0" w:space="0" w:color="auto"/>
          </w:divBdr>
        </w:div>
      </w:divsChild>
    </w:div>
    <w:div w:id="926769917">
      <w:bodyDiv w:val="1"/>
      <w:marLeft w:val="0"/>
      <w:marRight w:val="0"/>
      <w:marTop w:val="0"/>
      <w:marBottom w:val="0"/>
      <w:divBdr>
        <w:top w:val="none" w:sz="0" w:space="0" w:color="auto"/>
        <w:left w:val="none" w:sz="0" w:space="0" w:color="auto"/>
        <w:bottom w:val="none" w:sz="0" w:space="0" w:color="auto"/>
        <w:right w:val="none" w:sz="0" w:space="0" w:color="auto"/>
      </w:divBdr>
      <w:divsChild>
        <w:div w:id="642739919">
          <w:marLeft w:val="446"/>
          <w:marRight w:val="0"/>
          <w:marTop w:val="0"/>
          <w:marBottom w:val="0"/>
          <w:divBdr>
            <w:top w:val="none" w:sz="0" w:space="0" w:color="auto"/>
            <w:left w:val="none" w:sz="0" w:space="0" w:color="auto"/>
            <w:bottom w:val="none" w:sz="0" w:space="0" w:color="auto"/>
            <w:right w:val="none" w:sz="0" w:space="0" w:color="auto"/>
          </w:divBdr>
        </w:div>
      </w:divsChild>
    </w:div>
    <w:div w:id="1045643267">
      <w:bodyDiv w:val="1"/>
      <w:marLeft w:val="0"/>
      <w:marRight w:val="0"/>
      <w:marTop w:val="0"/>
      <w:marBottom w:val="0"/>
      <w:divBdr>
        <w:top w:val="none" w:sz="0" w:space="0" w:color="auto"/>
        <w:left w:val="none" w:sz="0" w:space="0" w:color="auto"/>
        <w:bottom w:val="none" w:sz="0" w:space="0" w:color="auto"/>
        <w:right w:val="none" w:sz="0" w:space="0" w:color="auto"/>
      </w:divBdr>
    </w:div>
    <w:div w:id="1130630705">
      <w:bodyDiv w:val="1"/>
      <w:marLeft w:val="0"/>
      <w:marRight w:val="0"/>
      <w:marTop w:val="0"/>
      <w:marBottom w:val="0"/>
      <w:divBdr>
        <w:top w:val="none" w:sz="0" w:space="0" w:color="auto"/>
        <w:left w:val="none" w:sz="0" w:space="0" w:color="auto"/>
        <w:bottom w:val="none" w:sz="0" w:space="0" w:color="auto"/>
        <w:right w:val="none" w:sz="0" w:space="0" w:color="auto"/>
      </w:divBdr>
    </w:div>
    <w:div w:id="1217006571">
      <w:bodyDiv w:val="1"/>
      <w:marLeft w:val="0"/>
      <w:marRight w:val="0"/>
      <w:marTop w:val="0"/>
      <w:marBottom w:val="0"/>
      <w:divBdr>
        <w:top w:val="none" w:sz="0" w:space="0" w:color="auto"/>
        <w:left w:val="none" w:sz="0" w:space="0" w:color="auto"/>
        <w:bottom w:val="none" w:sz="0" w:space="0" w:color="auto"/>
        <w:right w:val="none" w:sz="0" w:space="0" w:color="auto"/>
      </w:divBdr>
    </w:div>
    <w:div w:id="1329020783">
      <w:bodyDiv w:val="1"/>
      <w:marLeft w:val="0"/>
      <w:marRight w:val="0"/>
      <w:marTop w:val="0"/>
      <w:marBottom w:val="0"/>
      <w:divBdr>
        <w:top w:val="none" w:sz="0" w:space="0" w:color="auto"/>
        <w:left w:val="none" w:sz="0" w:space="0" w:color="auto"/>
        <w:bottom w:val="none" w:sz="0" w:space="0" w:color="auto"/>
        <w:right w:val="none" w:sz="0" w:space="0" w:color="auto"/>
      </w:divBdr>
      <w:divsChild>
        <w:div w:id="22636267">
          <w:marLeft w:val="144"/>
          <w:marRight w:val="0"/>
          <w:marTop w:val="0"/>
          <w:marBottom w:val="0"/>
          <w:divBdr>
            <w:top w:val="none" w:sz="0" w:space="0" w:color="auto"/>
            <w:left w:val="none" w:sz="0" w:space="0" w:color="auto"/>
            <w:bottom w:val="none" w:sz="0" w:space="0" w:color="auto"/>
            <w:right w:val="none" w:sz="0" w:space="0" w:color="auto"/>
          </w:divBdr>
        </w:div>
        <w:div w:id="775322634">
          <w:marLeft w:val="144"/>
          <w:marRight w:val="0"/>
          <w:marTop w:val="0"/>
          <w:marBottom w:val="0"/>
          <w:divBdr>
            <w:top w:val="none" w:sz="0" w:space="0" w:color="auto"/>
            <w:left w:val="none" w:sz="0" w:space="0" w:color="auto"/>
            <w:bottom w:val="none" w:sz="0" w:space="0" w:color="auto"/>
            <w:right w:val="none" w:sz="0" w:space="0" w:color="auto"/>
          </w:divBdr>
        </w:div>
        <w:div w:id="571282769">
          <w:marLeft w:val="144"/>
          <w:marRight w:val="0"/>
          <w:marTop w:val="0"/>
          <w:marBottom w:val="0"/>
          <w:divBdr>
            <w:top w:val="none" w:sz="0" w:space="0" w:color="auto"/>
            <w:left w:val="none" w:sz="0" w:space="0" w:color="auto"/>
            <w:bottom w:val="none" w:sz="0" w:space="0" w:color="auto"/>
            <w:right w:val="none" w:sz="0" w:space="0" w:color="auto"/>
          </w:divBdr>
        </w:div>
      </w:divsChild>
    </w:div>
    <w:div w:id="1343166514">
      <w:bodyDiv w:val="1"/>
      <w:marLeft w:val="0"/>
      <w:marRight w:val="0"/>
      <w:marTop w:val="0"/>
      <w:marBottom w:val="0"/>
      <w:divBdr>
        <w:top w:val="none" w:sz="0" w:space="0" w:color="auto"/>
        <w:left w:val="none" w:sz="0" w:space="0" w:color="auto"/>
        <w:bottom w:val="none" w:sz="0" w:space="0" w:color="auto"/>
        <w:right w:val="none" w:sz="0" w:space="0" w:color="auto"/>
      </w:divBdr>
      <w:divsChild>
        <w:div w:id="715356647">
          <w:marLeft w:val="446"/>
          <w:marRight w:val="0"/>
          <w:marTop w:val="0"/>
          <w:marBottom w:val="0"/>
          <w:divBdr>
            <w:top w:val="none" w:sz="0" w:space="0" w:color="auto"/>
            <w:left w:val="none" w:sz="0" w:space="0" w:color="auto"/>
            <w:bottom w:val="none" w:sz="0" w:space="0" w:color="auto"/>
            <w:right w:val="none" w:sz="0" w:space="0" w:color="auto"/>
          </w:divBdr>
        </w:div>
      </w:divsChild>
    </w:div>
    <w:div w:id="1627000599">
      <w:bodyDiv w:val="1"/>
      <w:marLeft w:val="0"/>
      <w:marRight w:val="0"/>
      <w:marTop w:val="0"/>
      <w:marBottom w:val="0"/>
      <w:divBdr>
        <w:top w:val="none" w:sz="0" w:space="0" w:color="auto"/>
        <w:left w:val="none" w:sz="0" w:space="0" w:color="auto"/>
        <w:bottom w:val="none" w:sz="0" w:space="0" w:color="auto"/>
        <w:right w:val="none" w:sz="0" w:space="0" w:color="auto"/>
      </w:divBdr>
    </w:div>
    <w:div w:id="1729189179">
      <w:bodyDiv w:val="1"/>
      <w:marLeft w:val="0"/>
      <w:marRight w:val="0"/>
      <w:marTop w:val="0"/>
      <w:marBottom w:val="0"/>
      <w:divBdr>
        <w:top w:val="none" w:sz="0" w:space="0" w:color="auto"/>
        <w:left w:val="none" w:sz="0" w:space="0" w:color="auto"/>
        <w:bottom w:val="none" w:sz="0" w:space="0" w:color="auto"/>
        <w:right w:val="none" w:sz="0" w:space="0" w:color="auto"/>
      </w:divBdr>
      <w:divsChild>
        <w:div w:id="358316733">
          <w:marLeft w:val="446"/>
          <w:marRight w:val="0"/>
          <w:marTop w:val="0"/>
          <w:marBottom w:val="0"/>
          <w:divBdr>
            <w:top w:val="none" w:sz="0" w:space="0" w:color="auto"/>
            <w:left w:val="none" w:sz="0" w:space="0" w:color="auto"/>
            <w:bottom w:val="none" w:sz="0" w:space="0" w:color="auto"/>
            <w:right w:val="none" w:sz="0" w:space="0" w:color="auto"/>
          </w:divBdr>
        </w:div>
        <w:div w:id="400522675">
          <w:marLeft w:val="446"/>
          <w:marRight w:val="0"/>
          <w:marTop w:val="0"/>
          <w:marBottom w:val="0"/>
          <w:divBdr>
            <w:top w:val="none" w:sz="0" w:space="0" w:color="auto"/>
            <w:left w:val="none" w:sz="0" w:space="0" w:color="auto"/>
            <w:bottom w:val="none" w:sz="0" w:space="0" w:color="auto"/>
            <w:right w:val="none" w:sz="0" w:space="0" w:color="auto"/>
          </w:divBdr>
        </w:div>
      </w:divsChild>
    </w:div>
    <w:div w:id="1739982406">
      <w:bodyDiv w:val="1"/>
      <w:marLeft w:val="0"/>
      <w:marRight w:val="0"/>
      <w:marTop w:val="0"/>
      <w:marBottom w:val="0"/>
      <w:divBdr>
        <w:top w:val="none" w:sz="0" w:space="0" w:color="auto"/>
        <w:left w:val="none" w:sz="0" w:space="0" w:color="auto"/>
        <w:bottom w:val="none" w:sz="0" w:space="0" w:color="auto"/>
        <w:right w:val="none" w:sz="0" w:space="0" w:color="auto"/>
      </w:divBdr>
      <w:divsChild>
        <w:div w:id="1285189624">
          <w:marLeft w:val="144"/>
          <w:marRight w:val="0"/>
          <w:marTop w:val="0"/>
          <w:marBottom w:val="0"/>
          <w:divBdr>
            <w:top w:val="none" w:sz="0" w:space="0" w:color="auto"/>
            <w:left w:val="none" w:sz="0" w:space="0" w:color="auto"/>
            <w:bottom w:val="none" w:sz="0" w:space="0" w:color="auto"/>
            <w:right w:val="none" w:sz="0" w:space="0" w:color="auto"/>
          </w:divBdr>
        </w:div>
        <w:div w:id="553808961">
          <w:marLeft w:val="144"/>
          <w:marRight w:val="0"/>
          <w:marTop w:val="0"/>
          <w:marBottom w:val="0"/>
          <w:divBdr>
            <w:top w:val="none" w:sz="0" w:space="0" w:color="auto"/>
            <w:left w:val="none" w:sz="0" w:space="0" w:color="auto"/>
            <w:bottom w:val="none" w:sz="0" w:space="0" w:color="auto"/>
            <w:right w:val="none" w:sz="0" w:space="0" w:color="auto"/>
          </w:divBdr>
        </w:div>
        <w:div w:id="1353453997">
          <w:marLeft w:val="144"/>
          <w:marRight w:val="0"/>
          <w:marTop w:val="0"/>
          <w:marBottom w:val="0"/>
          <w:divBdr>
            <w:top w:val="none" w:sz="0" w:space="0" w:color="auto"/>
            <w:left w:val="none" w:sz="0" w:space="0" w:color="auto"/>
            <w:bottom w:val="none" w:sz="0" w:space="0" w:color="auto"/>
            <w:right w:val="none" w:sz="0" w:space="0" w:color="auto"/>
          </w:divBdr>
        </w:div>
        <w:div w:id="1700620585">
          <w:marLeft w:val="144"/>
          <w:marRight w:val="0"/>
          <w:marTop w:val="0"/>
          <w:marBottom w:val="0"/>
          <w:divBdr>
            <w:top w:val="none" w:sz="0" w:space="0" w:color="auto"/>
            <w:left w:val="none" w:sz="0" w:space="0" w:color="auto"/>
            <w:bottom w:val="none" w:sz="0" w:space="0" w:color="auto"/>
            <w:right w:val="none" w:sz="0" w:space="0" w:color="auto"/>
          </w:divBdr>
        </w:div>
      </w:divsChild>
    </w:div>
    <w:div w:id="2067993783">
      <w:bodyDiv w:val="1"/>
      <w:marLeft w:val="0"/>
      <w:marRight w:val="0"/>
      <w:marTop w:val="0"/>
      <w:marBottom w:val="0"/>
      <w:divBdr>
        <w:top w:val="none" w:sz="0" w:space="0" w:color="auto"/>
        <w:left w:val="none" w:sz="0" w:space="0" w:color="auto"/>
        <w:bottom w:val="none" w:sz="0" w:space="0" w:color="auto"/>
        <w:right w:val="none" w:sz="0" w:space="0" w:color="auto"/>
      </w:divBdr>
      <w:divsChild>
        <w:div w:id="973759101">
          <w:marLeft w:val="144"/>
          <w:marRight w:val="0"/>
          <w:marTop w:val="0"/>
          <w:marBottom w:val="0"/>
          <w:divBdr>
            <w:top w:val="none" w:sz="0" w:space="0" w:color="auto"/>
            <w:left w:val="none" w:sz="0" w:space="0" w:color="auto"/>
            <w:bottom w:val="none" w:sz="0" w:space="0" w:color="auto"/>
            <w:right w:val="none" w:sz="0" w:space="0" w:color="auto"/>
          </w:divBdr>
        </w:div>
        <w:div w:id="429159690">
          <w:marLeft w:val="144"/>
          <w:marRight w:val="0"/>
          <w:marTop w:val="0"/>
          <w:marBottom w:val="0"/>
          <w:divBdr>
            <w:top w:val="none" w:sz="0" w:space="0" w:color="auto"/>
            <w:left w:val="none" w:sz="0" w:space="0" w:color="auto"/>
            <w:bottom w:val="none" w:sz="0" w:space="0" w:color="auto"/>
            <w:right w:val="none" w:sz="0" w:space="0" w:color="auto"/>
          </w:divBdr>
        </w:div>
        <w:div w:id="862137316">
          <w:marLeft w:val="144"/>
          <w:marRight w:val="0"/>
          <w:marTop w:val="0"/>
          <w:marBottom w:val="0"/>
          <w:divBdr>
            <w:top w:val="none" w:sz="0" w:space="0" w:color="auto"/>
            <w:left w:val="none" w:sz="0" w:space="0" w:color="auto"/>
            <w:bottom w:val="none" w:sz="0" w:space="0" w:color="auto"/>
            <w:right w:val="none" w:sz="0" w:space="0" w:color="auto"/>
          </w:divBdr>
        </w:div>
        <w:div w:id="1374691150">
          <w:marLeft w:val="144"/>
          <w:marRight w:val="0"/>
          <w:marTop w:val="0"/>
          <w:marBottom w:val="0"/>
          <w:divBdr>
            <w:top w:val="none" w:sz="0" w:space="0" w:color="auto"/>
            <w:left w:val="none" w:sz="0" w:space="0" w:color="auto"/>
            <w:bottom w:val="none" w:sz="0" w:space="0" w:color="auto"/>
            <w:right w:val="none" w:sz="0" w:space="0" w:color="auto"/>
          </w:divBdr>
        </w:div>
        <w:div w:id="371922532">
          <w:marLeft w:val="144"/>
          <w:marRight w:val="0"/>
          <w:marTop w:val="0"/>
          <w:marBottom w:val="0"/>
          <w:divBdr>
            <w:top w:val="none" w:sz="0" w:space="0" w:color="auto"/>
            <w:left w:val="none" w:sz="0" w:space="0" w:color="auto"/>
            <w:bottom w:val="none" w:sz="0" w:space="0" w:color="auto"/>
            <w:right w:val="none" w:sz="0" w:space="0" w:color="auto"/>
          </w:divBdr>
        </w:div>
      </w:divsChild>
    </w:div>
    <w:div w:id="2087265627">
      <w:bodyDiv w:val="1"/>
      <w:marLeft w:val="0"/>
      <w:marRight w:val="0"/>
      <w:marTop w:val="0"/>
      <w:marBottom w:val="0"/>
      <w:divBdr>
        <w:top w:val="none" w:sz="0" w:space="0" w:color="auto"/>
        <w:left w:val="none" w:sz="0" w:space="0" w:color="auto"/>
        <w:bottom w:val="none" w:sz="0" w:space="0" w:color="auto"/>
        <w:right w:val="none" w:sz="0" w:space="0" w:color="auto"/>
      </w:divBdr>
      <w:divsChild>
        <w:div w:id="121264678">
          <w:marLeft w:val="446"/>
          <w:marRight w:val="0"/>
          <w:marTop w:val="0"/>
          <w:marBottom w:val="0"/>
          <w:divBdr>
            <w:top w:val="none" w:sz="0" w:space="0" w:color="auto"/>
            <w:left w:val="none" w:sz="0" w:space="0" w:color="auto"/>
            <w:bottom w:val="none" w:sz="0" w:space="0" w:color="auto"/>
            <w:right w:val="none" w:sz="0" w:space="0" w:color="auto"/>
          </w:divBdr>
        </w:div>
        <w:div w:id="3091825">
          <w:marLeft w:val="446"/>
          <w:marRight w:val="0"/>
          <w:marTop w:val="0"/>
          <w:marBottom w:val="0"/>
          <w:divBdr>
            <w:top w:val="none" w:sz="0" w:space="0" w:color="auto"/>
            <w:left w:val="none" w:sz="0" w:space="0" w:color="auto"/>
            <w:bottom w:val="none" w:sz="0" w:space="0" w:color="auto"/>
            <w:right w:val="none" w:sz="0" w:space="0" w:color="auto"/>
          </w:divBdr>
        </w:div>
        <w:div w:id="2096659109">
          <w:marLeft w:val="446"/>
          <w:marRight w:val="0"/>
          <w:marTop w:val="0"/>
          <w:marBottom w:val="0"/>
          <w:divBdr>
            <w:top w:val="none" w:sz="0" w:space="0" w:color="auto"/>
            <w:left w:val="none" w:sz="0" w:space="0" w:color="auto"/>
            <w:bottom w:val="none" w:sz="0" w:space="0" w:color="auto"/>
            <w:right w:val="none" w:sz="0" w:space="0" w:color="auto"/>
          </w:divBdr>
        </w:div>
        <w:div w:id="1146554699">
          <w:marLeft w:val="446"/>
          <w:marRight w:val="0"/>
          <w:marTop w:val="0"/>
          <w:marBottom w:val="0"/>
          <w:divBdr>
            <w:top w:val="none" w:sz="0" w:space="0" w:color="auto"/>
            <w:left w:val="none" w:sz="0" w:space="0" w:color="auto"/>
            <w:bottom w:val="none" w:sz="0" w:space="0" w:color="auto"/>
            <w:right w:val="none" w:sz="0" w:space="0" w:color="auto"/>
          </w:divBdr>
        </w:div>
      </w:divsChild>
    </w:div>
    <w:div w:id="2124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3DDDA9D-7A5C-4079-A242-7406B708B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5627</Words>
  <Characters>32076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Eskom</Company>
  <LinksUpToDate>false</LinksUpToDate>
  <CharactersWithSpaces>37628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 Sithole</dc:creator>
  <cp:lastModifiedBy>Faith Ndenze</cp:lastModifiedBy>
  <cp:revision>2</cp:revision>
  <cp:lastPrinted>2020-03-26T13:46:00Z</cp:lastPrinted>
  <dcterms:created xsi:type="dcterms:W3CDTF">2020-10-16T07:40:00Z</dcterms:created>
  <dcterms:modified xsi:type="dcterms:W3CDTF">2020-10-16T07:40:00Z</dcterms:modified>
</cp:coreProperties>
</file>