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F" w:rsidRDefault="00CF2830" w:rsidP="004F7D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 August</w:t>
      </w:r>
      <w:r w:rsidR="00AF437F">
        <w:rPr>
          <w:rFonts w:ascii="Arial" w:hAnsi="Arial" w:cs="Arial"/>
        </w:rPr>
        <w:t xml:space="preserve"> 2020</w:t>
      </w:r>
    </w:p>
    <w:p w:rsidR="00AF437F" w:rsidRDefault="00AF437F" w:rsidP="004F7D6F">
      <w:pPr>
        <w:jc w:val="both"/>
        <w:rPr>
          <w:rFonts w:ascii="Arial" w:hAnsi="Arial" w:cs="Arial"/>
        </w:rPr>
      </w:pPr>
    </w:p>
    <w:p w:rsidR="00AF437F" w:rsidRPr="00AF437F" w:rsidRDefault="00AF437F" w:rsidP="004F7D6F">
      <w:pPr>
        <w:jc w:val="both"/>
        <w:rPr>
          <w:rFonts w:ascii="Arial" w:hAnsi="Arial" w:cs="Arial"/>
          <w:b/>
        </w:rPr>
      </w:pPr>
      <w:r w:rsidRPr="00AF437F">
        <w:rPr>
          <w:rFonts w:ascii="Arial" w:hAnsi="Arial" w:cs="Arial"/>
          <w:b/>
        </w:rPr>
        <w:t>ISSUES AND QUESTIONS FOR POSSIBLE CONSIDERATIONS FOR T</w:t>
      </w:r>
      <w:r w:rsidR="00F11FDE">
        <w:rPr>
          <w:rFonts w:ascii="Arial" w:hAnsi="Arial" w:cs="Arial"/>
          <w:b/>
        </w:rPr>
        <w:t xml:space="preserve">HE </w:t>
      </w:r>
      <w:r w:rsidR="00E115C9">
        <w:rPr>
          <w:rFonts w:ascii="Arial" w:hAnsi="Arial" w:cs="Arial"/>
          <w:b/>
        </w:rPr>
        <w:t>FINANCIAL</w:t>
      </w:r>
      <w:r w:rsidR="00CF2830">
        <w:rPr>
          <w:rFonts w:ascii="Arial" w:hAnsi="Arial" w:cs="Arial"/>
          <w:b/>
        </w:rPr>
        <w:t xml:space="preserve"> AND FISCAL COMMISSION (FFC</w:t>
      </w:r>
      <w:r w:rsidR="00FC344F">
        <w:rPr>
          <w:rFonts w:ascii="Arial" w:hAnsi="Arial" w:cs="Arial"/>
          <w:b/>
        </w:rPr>
        <w:t>)</w:t>
      </w:r>
    </w:p>
    <w:p w:rsidR="00AF437F" w:rsidRDefault="00AF437F" w:rsidP="004F7D6F">
      <w:pPr>
        <w:jc w:val="both"/>
        <w:rPr>
          <w:rFonts w:ascii="Arial" w:hAnsi="Arial" w:cs="Arial"/>
        </w:rPr>
      </w:pPr>
    </w:p>
    <w:p w:rsidR="00AF437F" w:rsidRPr="00E115C9" w:rsidRDefault="00AF437F" w:rsidP="00E115C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E115C9">
        <w:rPr>
          <w:rFonts w:ascii="Arial" w:hAnsi="Arial" w:cs="Arial"/>
          <w:b/>
        </w:rPr>
        <w:t>Introduction</w:t>
      </w:r>
    </w:p>
    <w:p w:rsidR="00AF437F" w:rsidRDefault="00AF437F" w:rsidP="004F7D6F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brief provides a list of issues and questions for possible c</w:t>
      </w:r>
      <w:r w:rsidRPr="00AF437F">
        <w:rPr>
          <w:rFonts w:ascii="Arial" w:hAnsi="Arial" w:cs="Arial"/>
        </w:rPr>
        <w:t>onsiderations</w:t>
      </w:r>
      <w:r>
        <w:rPr>
          <w:rFonts w:ascii="Arial" w:hAnsi="Arial" w:cs="Arial"/>
        </w:rPr>
        <w:t xml:space="preserve"> during the deliberation with the </w:t>
      </w:r>
      <w:r w:rsidR="005E60F9">
        <w:rPr>
          <w:rFonts w:ascii="Arial" w:hAnsi="Arial" w:cs="Arial"/>
        </w:rPr>
        <w:t>Financial</w:t>
      </w:r>
      <w:r w:rsidR="00CF2830">
        <w:rPr>
          <w:rFonts w:ascii="Arial" w:hAnsi="Arial" w:cs="Arial"/>
        </w:rPr>
        <w:t xml:space="preserve"> and Fiscal Commission (FFC) on its Submission on the 2021</w:t>
      </w:r>
      <w:r w:rsidR="00E115C9">
        <w:rPr>
          <w:rFonts w:ascii="Arial" w:hAnsi="Arial" w:cs="Arial"/>
        </w:rPr>
        <w:t>/22</w:t>
      </w:r>
      <w:r w:rsidR="00CF2830">
        <w:rPr>
          <w:rFonts w:ascii="Arial" w:hAnsi="Arial" w:cs="Arial"/>
        </w:rPr>
        <w:t xml:space="preserve"> Division of Revenue</w:t>
      </w:r>
      <w:r>
        <w:rPr>
          <w:rFonts w:ascii="Arial" w:hAnsi="Arial" w:cs="Arial"/>
        </w:rPr>
        <w:t>. This is part of the Money Bills Amendment Procedures and Related Matters Act (2009, as amended).</w:t>
      </w:r>
    </w:p>
    <w:p w:rsidR="00E115C9" w:rsidRDefault="00E115C9" w:rsidP="004F7D6F">
      <w:pPr>
        <w:spacing w:line="280" w:lineRule="exact"/>
        <w:jc w:val="both"/>
        <w:rPr>
          <w:rFonts w:ascii="Arial" w:hAnsi="Arial" w:cs="Arial"/>
        </w:rPr>
      </w:pPr>
    </w:p>
    <w:p w:rsidR="00E115C9" w:rsidRDefault="00E115C9" w:rsidP="00E115C9">
      <w:pPr>
        <w:pStyle w:val="ListParagraph"/>
        <w:numPr>
          <w:ilvl w:val="0"/>
          <w:numId w:val="10"/>
        </w:numPr>
        <w:spacing w:line="280" w:lineRule="exact"/>
        <w:jc w:val="both"/>
        <w:rPr>
          <w:rFonts w:ascii="Arial" w:hAnsi="Arial" w:cs="Arial"/>
          <w:b/>
        </w:rPr>
      </w:pPr>
      <w:r w:rsidRPr="00E115C9">
        <w:rPr>
          <w:rFonts w:ascii="Arial" w:hAnsi="Arial" w:cs="Arial"/>
          <w:b/>
        </w:rPr>
        <w:t>Summary of Key Themes in the Submission</w:t>
      </w:r>
    </w:p>
    <w:p w:rsidR="00E115C9" w:rsidRPr="00E115C9" w:rsidRDefault="00E115C9" w:rsidP="00E115C9">
      <w:pPr>
        <w:pStyle w:val="ListParagraph"/>
        <w:spacing w:line="280" w:lineRule="exact"/>
        <w:jc w:val="both"/>
        <w:rPr>
          <w:rFonts w:ascii="Arial" w:hAnsi="Arial" w:cs="Arial"/>
          <w:b/>
        </w:rPr>
      </w:pPr>
    </w:p>
    <w:p w:rsidR="00E115C9" w:rsidRDefault="00E115C9" w:rsidP="00E115C9">
      <w:pPr>
        <w:pStyle w:val="ListParagraph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E115C9">
        <w:rPr>
          <w:rFonts w:ascii="Arial" w:hAnsi="Arial" w:cs="Arial"/>
        </w:rPr>
        <w:t>Intergovernmental Fiscal System in the Context of Social Services</w:t>
      </w:r>
    </w:p>
    <w:p w:rsidR="00E115C9" w:rsidRDefault="00E115C9" w:rsidP="00E115C9">
      <w:pPr>
        <w:pStyle w:val="ListParagraph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E115C9">
        <w:rPr>
          <w:rFonts w:ascii="Arial" w:hAnsi="Arial" w:cs="Arial"/>
        </w:rPr>
        <w:t>Economic and Social</w:t>
      </w:r>
      <w:r>
        <w:rPr>
          <w:rFonts w:ascii="Arial" w:hAnsi="Arial" w:cs="Arial"/>
        </w:rPr>
        <w:t xml:space="preserve"> </w:t>
      </w:r>
      <w:r w:rsidRPr="00E115C9">
        <w:rPr>
          <w:rFonts w:ascii="Arial" w:hAnsi="Arial" w:cs="Arial"/>
        </w:rPr>
        <w:t>Development in the Context of</w:t>
      </w:r>
      <w:r>
        <w:rPr>
          <w:rFonts w:ascii="Arial" w:hAnsi="Arial" w:cs="Arial"/>
        </w:rPr>
        <w:t xml:space="preserve"> </w:t>
      </w:r>
      <w:r w:rsidRPr="00E115C9">
        <w:rPr>
          <w:rFonts w:ascii="Arial" w:hAnsi="Arial" w:cs="Arial"/>
        </w:rPr>
        <w:t>Covid-19</w:t>
      </w:r>
    </w:p>
    <w:p w:rsidR="00E115C9" w:rsidRDefault="00E115C9" w:rsidP="00E115C9">
      <w:pPr>
        <w:pStyle w:val="ListParagraph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E115C9">
        <w:rPr>
          <w:rFonts w:ascii="Arial" w:hAnsi="Arial" w:cs="Arial"/>
        </w:rPr>
        <w:t>Sustainable Financing of</w:t>
      </w:r>
      <w:r>
        <w:rPr>
          <w:rFonts w:ascii="Arial" w:hAnsi="Arial" w:cs="Arial"/>
        </w:rPr>
        <w:t xml:space="preserve"> </w:t>
      </w:r>
      <w:r w:rsidRPr="00E115C9">
        <w:rPr>
          <w:rFonts w:ascii="Arial" w:hAnsi="Arial" w:cs="Arial"/>
        </w:rPr>
        <w:t>South Africa’s Public Health Care System</w:t>
      </w:r>
      <w:r>
        <w:rPr>
          <w:rFonts w:ascii="Arial" w:hAnsi="Arial" w:cs="Arial"/>
        </w:rPr>
        <w:t xml:space="preserve"> </w:t>
      </w:r>
      <w:r w:rsidRPr="00E115C9">
        <w:rPr>
          <w:rFonts w:ascii="Arial" w:hAnsi="Arial" w:cs="Arial"/>
        </w:rPr>
        <w:t>and National Health Insurance</w:t>
      </w:r>
    </w:p>
    <w:p w:rsidR="00E115C9" w:rsidRPr="00E115C9" w:rsidRDefault="00E115C9" w:rsidP="00E115C9">
      <w:pPr>
        <w:pStyle w:val="ListParagraph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E115C9">
        <w:rPr>
          <w:rFonts w:ascii="Arial" w:hAnsi="Arial" w:cs="Arial"/>
        </w:rPr>
        <w:t>Putting the Last First:</w:t>
      </w:r>
      <w:r>
        <w:rPr>
          <w:rFonts w:ascii="Arial" w:hAnsi="Arial" w:cs="Arial"/>
        </w:rPr>
        <w:t xml:space="preserve"> </w:t>
      </w:r>
      <w:r w:rsidRPr="00E115C9">
        <w:rPr>
          <w:rFonts w:ascii="Arial" w:hAnsi="Arial" w:cs="Arial"/>
        </w:rPr>
        <w:t>Vulnerability and Access to Quality and</w:t>
      </w:r>
      <w:r>
        <w:rPr>
          <w:rFonts w:ascii="Arial" w:hAnsi="Arial" w:cs="Arial"/>
        </w:rPr>
        <w:t xml:space="preserve"> </w:t>
      </w:r>
      <w:r w:rsidRPr="00E115C9">
        <w:rPr>
          <w:rFonts w:ascii="Arial" w:hAnsi="Arial" w:cs="Arial"/>
        </w:rPr>
        <w:t>Inclusive Social Services</w:t>
      </w:r>
    </w:p>
    <w:p w:rsidR="00AF437F" w:rsidRPr="00E115C9" w:rsidRDefault="00AF437F" w:rsidP="00E115C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/>
      </w:tblPr>
      <w:tblGrid>
        <w:gridCol w:w="8737"/>
      </w:tblGrid>
      <w:tr w:rsidR="004F7D6F" w:rsidTr="003C2BCE">
        <w:tc>
          <w:tcPr>
            <w:tcW w:w="8737" w:type="dxa"/>
            <w:shd w:val="clear" w:color="auto" w:fill="DEEAF6" w:themeFill="accent1" w:themeFillTint="33"/>
          </w:tcPr>
          <w:p w:rsidR="004F7D6F" w:rsidRDefault="004F7D6F" w:rsidP="004F7D6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4F7D6F" w:rsidRPr="004F7D6F" w:rsidRDefault="004F7D6F" w:rsidP="004F7D6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F7D6F">
              <w:rPr>
                <w:rFonts w:ascii="Arial" w:hAnsi="Arial" w:cs="Arial"/>
                <w:b/>
              </w:rPr>
              <w:t>Issues and Questions for Possible Considerations</w:t>
            </w:r>
          </w:p>
          <w:p w:rsidR="004F7D6F" w:rsidRPr="004F7D6F" w:rsidRDefault="004F7D6F" w:rsidP="004F7D6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C36A67" w:rsidRDefault="003F1112" w:rsidP="008270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slide 5 th</w:t>
            </w:r>
            <w:r w:rsidR="008270D5">
              <w:rPr>
                <w:rFonts w:ascii="Arial" w:hAnsi="Arial" w:cs="Arial"/>
              </w:rPr>
              <w:t>e FFC argues that an u</w:t>
            </w:r>
            <w:r w:rsidR="008270D5" w:rsidRPr="008270D5">
              <w:rPr>
                <w:rFonts w:ascii="Arial" w:hAnsi="Arial" w:cs="Arial"/>
              </w:rPr>
              <w:t>nprecedented fiscal and monetary policy interventions will be required to boost the South African economy to its pre- Covid-19 growth trajectory</w:t>
            </w:r>
            <w:r w:rsidR="008270D5">
              <w:rPr>
                <w:rFonts w:ascii="Arial" w:hAnsi="Arial" w:cs="Arial"/>
              </w:rPr>
              <w:t>:</w:t>
            </w:r>
          </w:p>
          <w:p w:rsidR="005E60F9" w:rsidRDefault="008270D5" w:rsidP="008270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Beyond the interventions that</w:t>
            </w:r>
            <w:r w:rsidR="005E60F9">
              <w:rPr>
                <w:rFonts w:ascii="Arial" w:hAnsi="Arial" w:cs="Arial"/>
              </w:rPr>
              <w:t xml:space="preserve"> National </w:t>
            </w:r>
            <w:r>
              <w:rPr>
                <w:rFonts w:ascii="Arial" w:hAnsi="Arial" w:cs="Arial"/>
              </w:rPr>
              <w:t xml:space="preserve">Treasury and South African </w:t>
            </w:r>
            <w:r w:rsidR="005E60F9">
              <w:rPr>
                <w:rFonts w:ascii="Arial" w:hAnsi="Arial" w:cs="Arial"/>
              </w:rPr>
              <w:t>Reserve Bank has taken in response to the COVID-19 induced economic crisis, is there enough scope for unprecedented policy interventions?</w:t>
            </w:r>
          </w:p>
          <w:p w:rsidR="008270D5" w:rsidRDefault="005E60F9" w:rsidP="005E60F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is enough scope for further monetary and fiscal interventions, how should these interventions supposed to look like and do they possibly include quantitative easing?</w:t>
            </w:r>
          </w:p>
          <w:p w:rsidR="005E60F9" w:rsidRPr="005E60F9" w:rsidRDefault="005E60F9" w:rsidP="005E60F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3F1112" w:rsidRDefault="00563EC9" w:rsidP="00563EC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slide 15</w:t>
            </w:r>
            <w:r w:rsidR="005E60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one of the findings suggest that there is l</w:t>
            </w:r>
            <w:r w:rsidRPr="00563EC9">
              <w:rPr>
                <w:rFonts w:ascii="Arial" w:hAnsi="Arial" w:cs="Arial"/>
              </w:rPr>
              <w:t>ack of clarity on the division of responsibilities for concurrent functions</w:t>
            </w:r>
            <w:r>
              <w:rPr>
                <w:rFonts w:ascii="Arial" w:hAnsi="Arial" w:cs="Arial"/>
              </w:rPr>
              <w:t xml:space="preserve"> and this</w:t>
            </w:r>
            <w:r w:rsidRPr="00563EC9">
              <w:rPr>
                <w:rFonts w:ascii="Arial" w:hAnsi="Arial" w:cs="Arial"/>
              </w:rPr>
              <w:t xml:space="preserve"> create tensions in the delivery of social services</w:t>
            </w:r>
            <w:r>
              <w:rPr>
                <w:rFonts w:ascii="Arial" w:hAnsi="Arial" w:cs="Arial"/>
              </w:rPr>
              <w:t>:</w:t>
            </w:r>
          </w:p>
          <w:p w:rsidR="00563EC9" w:rsidRDefault="00563EC9" w:rsidP="00563EC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very concerning because the Intergovernmental fiscal relations system has been in place for a long time</w:t>
            </w:r>
          </w:p>
          <w:p w:rsidR="00563EC9" w:rsidRDefault="00563EC9" w:rsidP="00563EC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563EC9" w:rsidRDefault="00563EC9" w:rsidP="00563EC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563EC9">
              <w:rPr>
                <w:rFonts w:ascii="Arial" w:hAnsi="Arial" w:cs="Arial"/>
              </w:rPr>
              <w:t>On slide 15</w:t>
            </w:r>
            <w:r>
              <w:rPr>
                <w:rFonts w:ascii="Arial" w:hAnsi="Arial" w:cs="Arial"/>
              </w:rPr>
              <w:t>, another finding suggests that the Intergovernmental</w:t>
            </w:r>
            <w:r w:rsidR="005E60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563EC9"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t>tions (IGR) structures for</w:t>
            </w:r>
            <w:r w:rsidRPr="00563EC9">
              <w:rPr>
                <w:rFonts w:ascii="Arial" w:hAnsi="Arial" w:cs="Arial"/>
              </w:rPr>
              <w:t xml:space="preserve"> coordination, good governance and improved delivery are ineffective</w:t>
            </w:r>
            <w:r>
              <w:rPr>
                <w:rFonts w:ascii="Arial" w:hAnsi="Arial" w:cs="Arial"/>
              </w:rPr>
              <w:t>:</w:t>
            </w:r>
          </w:p>
          <w:p w:rsidR="00563EC9" w:rsidRDefault="00563EC9" w:rsidP="00563EC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these structures ineffective and how could they be improved?</w:t>
            </w:r>
          </w:p>
          <w:p w:rsidR="00E115C9" w:rsidRDefault="00E115C9" w:rsidP="00E115C9">
            <w:pPr>
              <w:jc w:val="both"/>
              <w:rPr>
                <w:rFonts w:ascii="Arial" w:hAnsi="Arial" w:cs="Arial"/>
              </w:rPr>
            </w:pPr>
          </w:p>
          <w:p w:rsidR="00E115C9" w:rsidRPr="00E115C9" w:rsidRDefault="00E115C9" w:rsidP="00E115C9">
            <w:pPr>
              <w:jc w:val="both"/>
              <w:rPr>
                <w:rFonts w:ascii="Arial" w:hAnsi="Arial" w:cs="Arial"/>
              </w:rPr>
            </w:pPr>
          </w:p>
          <w:p w:rsidR="00563EC9" w:rsidRDefault="00563EC9" w:rsidP="00563EC9">
            <w:pPr>
              <w:jc w:val="both"/>
              <w:rPr>
                <w:rFonts w:ascii="Arial" w:hAnsi="Arial" w:cs="Arial"/>
              </w:rPr>
            </w:pPr>
          </w:p>
          <w:p w:rsidR="00563EC9" w:rsidRDefault="00563EC9" w:rsidP="00563EC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16, on the finding that suggests that there is i</w:t>
            </w:r>
            <w:r w:rsidRPr="00563EC9">
              <w:rPr>
                <w:rFonts w:ascii="Arial" w:hAnsi="Arial" w:cs="Arial"/>
              </w:rPr>
              <w:t>nsufficient credible data available to enable systematic and holistic evaluation of social services performance</w:t>
            </w:r>
            <w:r>
              <w:rPr>
                <w:rFonts w:ascii="Arial" w:hAnsi="Arial" w:cs="Arial"/>
              </w:rPr>
              <w:t>:</w:t>
            </w:r>
          </w:p>
          <w:p w:rsidR="00563EC9" w:rsidRDefault="00563EC9" w:rsidP="00563EC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563EC9" w:rsidRDefault="00DE546B" w:rsidP="00563E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holistic evaluation of social services performance not the </w:t>
            </w:r>
            <w:r w:rsidR="00563EC9">
              <w:rPr>
                <w:rFonts w:ascii="Arial" w:hAnsi="Arial" w:cs="Arial"/>
              </w:rPr>
              <w:t>role of the Department of Performance Monitoring and Evaluation (DPME)</w:t>
            </w:r>
            <w:r>
              <w:rPr>
                <w:rFonts w:ascii="Arial" w:hAnsi="Arial" w:cs="Arial"/>
              </w:rPr>
              <w:t xml:space="preserve"> together with Statistics South Africa?</w:t>
            </w:r>
          </w:p>
          <w:p w:rsidR="00DE546B" w:rsidRDefault="00DE546B" w:rsidP="00DE546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E546B" w:rsidRDefault="00DE546B" w:rsidP="00DE54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slide 25, the FFC recommends that South Africa puts emphasis on structural changes in the economy:</w:t>
            </w:r>
          </w:p>
          <w:p w:rsidR="00DE546B" w:rsidRDefault="00E971C7" w:rsidP="00DE546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Whilst </w:t>
            </w:r>
            <w:r w:rsidR="005E60F9">
              <w:rPr>
                <w:rFonts w:ascii="Arial" w:hAnsi="Arial" w:cs="Arial"/>
              </w:rPr>
              <w:t>various role players have mentioned the importance of</w:t>
            </w:r>
            <w:r>
              <w:rPr>
                <w:rFonts w:ascii="Arial" w:hAnsi="Arial" w:cs="Arial"/>
              </w:rPr>
              <w:t xml:space="preserve"> structural changes</w:t>
            </w:r>
            <w:r w:rsidR="005E60F9">
              <w:rPr>
                <w:rFonts w:ascii="Arial" w:hAnsi="Arial" w:cs="Arial"/>
              </w:rPr>
              <w:t xml:space="preserve"> in the economy</w:t>
            </w:r>
            <w:r>
              <w:rPr>
                <w:rFonts w:ascii="Arial" w:hAnsi="Arial" w:cs="Arial"/>
              </w:rPr>
              <w:t>, perhaps the FFC could be more specific about</w:t>
            </w:r>
            <w:r w:rsidR="005E60F9">
              <w:rPr>
                <w:rFonts w:ascii="Arial" w:hAnsi="Arial" w:cs="Arial"/>
              </w:rPr>
              <w:t xml:space="preserve"> what is meant</w:t>
            </w:r>
            <w:bookmarkStart w:id="0" w:name="_GoBack"/>
            <w:bookmarkEnd w:id="0"/>
            <w:r w:rsidR="005E60F9">
              <w:rPr>
                <w:rFonts w:ascii="Arial" w:hAnsi="Arial" w:cs="Arial"/>
              </w:rPr>
              <w:t xml:space="preserve"> by</w:t>
            </w:r>
            <w:r>
              <w:rPr>
                <w:rFonts w:ascii="Arial" w:hAnsi="Arial" w:cs="Arial"/>
              </w:rPr>
              <w:t xml:space="preserve"> structural changes in the economy.</w:t>
            </w:r>
          </w:p>
          <w:p w:rsidR="00E971C7" w:rsidRDefault="00E971C7" w:rsidP="00E971C7">
            <w:pPr>
              <w:jc w:val="both"/>
              <w:rPr>
                <w:rFonts w:ascii="Arial" w:hAnsi="Arial" w:cs="Arial"/>
              </w:rPr>
            </w:pPr>
          </w:p>
          <w:p w:rsidR="00E971C7" w:rsidRDefault="008364D1" w:rsidP="008364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slide 31, regarding the motivation for a greater need for the </w:t>
            </w:r>
            <w:r w:rsidRPr="008364D1">
              <w:rPr>
                <w:rFonts w:ascii="Arial" w:hAnsi="Arial" w:cs="Arial"/>
              </w:rPr>
              <w:t>sustainable and affordable universal access to quality health care services through the National Health Insurance Bill</w:t>
            </w:r>
            <w:r>
              <w:rPr>
                <w:rFonts w:ascii="Arial" w:hAnsi="Arial" w:cs="Arial"/>
              </w:rPr>
              <w:t>:</w:t>
            </w:r>
          </w:p>
          <w:p w:rsidR="008364D1" w:rsidRPr="008364D1" w:rsidRDefault="008364D1" w:rsidP="008364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has been intense debates </w:t>
            </w:r>
            <w:r w:rsidRPr="008364D1">
              <w:rPr>
                <w:rFonts w:ascii="Arial" w:hAnsi="Arial" w:cs="Arial"/>
              </w:rPr>
              <w:t>about the cost and affordability of the National Health Insurance, what is the view of the FFC in this, especially given the financial stress caused by COVID-19?</w:t>
            </w:r>
          </w:p>
          <w:p w:rsidR="00563EC9" w:rsidRPr="00563EC9" w:rsidRDefault="00563EC9" w:rsidP="00563EC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7D6F" w:rsidRDefault="004F7D6F" w:rsidP="004F7D6F">
      <w:pPr>
        <w:jc w:val="both"/>
        <w:rPr>
          <w:rFonts w:ascii="Arial" w:hAnsi="Arial" w:cs="Arial"/>
          <w:b/>
        </w:rPr>
      </w:pPr>
    </w:p>
    <w:p w:rsidR="00AF437F" w:rsidRPr="00AF437F" w:rsidRDefault="00AF437F" w:rsidP="004F7D6F">
      <w:pPr>
        <w:jc w:val="both"/>
        <w:rPr>
          <w:rFonts w:ascii="Arial" w:hAnsi="Arial" w:cs="Arial"/>
          <w:b/>
        </w:rPr>
      </w:pPr>
      <w:r w:rsidRPr="00AF437F">
        <w:rPr>
          <w:rFonts w:ascii="Arial" w:hAnsi="Arial" w:cs="Arial"/>
          <w:b/>
        </w:rPr>
        <w:t>Source:</w:t>
      </w:r>
    </w:p>
    <w:p w:rsidR="00AF437F" w:rsidRPr="00E115C9" w:rsidRDefault="003F1112" w:rsidP="0057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FFC</w:t>
      </w:r>
      <w:r w:rsidR="00E115C9">
        <w:rPr>
          <w:rFonts w:ascii="Arial" w:hAnsi="Arial" w:cs="Arial"/>
        </w:rPr>
        <w:t xml:space="preserve"> (2020) </w:t>
      </w:r>
      <w:r w:rsidR="00E115C9" w:rsidRPr="00E115C9">
        <w:rPr>
          <w:rFonts w:ascii="Arial" w:hAnsi="Arial" w:cs="Arial"/>
          <w:i/>
        </w:rPr>
        <w:t>Submission for the 2021/22 Division of Revenue</w:t>
      </w:r>
      <w:r w:rsidR="00E115C9">
        <w:rPr>
          <w:rFonts w:ascii="Arial" w:hAnsi="Arial" w:cs="Arial"/>
          <w:i/>
        </w:rPr>
        <w:t>,</w:t>
      </w:r>
    </w:p>
    <w:p w:rsidR="00AF58FD" w:rsidRPr="00E115C9" w:rsidRDefault="00AF58FD" w:rsidP="004F7D6F">
      <w:pPr>
        <w:jc w:val="both"/>
        <w:rPr>
          <w:i/>
        </w:rPr>
      </w:pPr>
    </w:p>
    <w:sectPr w:rsidR="00AF58FD" w:rsidRPr="00E115C9" w:rsidSect="00A07C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52" w:rsidRDefault="00091152" w:rsidP="00AF437F">
      <w:pPr>
        <w:spacing w:after="0" w:line="240" w:lineRule="auto"/>
      </w:pPr>
      <w:r>
        <w:separator/>
      </w:r>
    </w:p>
  </w:endnote>
  <w:endnote w:type="continuationSeparator" w:id="0">
    <w:p w:rsidR="00091152" w:rsidRDefault="00091152" w:rsidP="00A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4190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AF437F" w:rsidRDefault="00A07C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07C2F">
          <w:fldChar w:fldCharType="begin"/>
        </w:r>
        <w:r w:rsidR="00AF437F">
          <w:instrText xml:space="preserve"> PAGE   \* MERGEFORMAT </w:instrText>
        </w:r>
        <w:r w:rsidRPr="00A07C2F">
          <w:fldChar w:fldCharType="separate"/>
        </w:r>
        <w:r w:rsidR="00873D6C" w:rsidRPr="00873D6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AF437F">
          <w:rPr>
            <w:b/>
            <w:bCs/>
          </w:rPr>
          <w:t xml:space="preserve"> | </w:t>
        </w:r>
        <w:r w:rsidR="00AF437F">
          <w:rPr>
            <w:color w:val="7F7F7F" w:themeColor="background1" w:themeShade="7F"/>
            <w:spacing w:val="60"/>
          </w:rPr>
          <w:t>Page</w:t>
        </w:r>
      </w:p>
    </w:sdtContent>
  </w:sdt>
  <w:p w:rsidR="00AF437F" w:rsidRPr="004F7D6F" w:rsidRDefault="00093C35">
    <w:pPr>
      <w:pStyle w:val="Footer"/>
      <w:rPr>
        <w:rFonts w:ascii="Arial" w:hAnsi="Arial" w:cs="Arial"/>
        <w:sz w:val="20"/>
        <w:szCs w:val="20"/>
      </w:rPr>
    </w:pPr>
    <w:r w:rsidRPr="004F7D6F">
      <w:rPr>
        <w:rFonts w:ascii="Arial" w:hAnsi="Arial" w:cs="Arial"/>
        <w:sz w:val="20"/>
        <w:szCs w:val="20"/>
      </w:rPr>
      <w:t>Author</w:t>
    </w:r>
    <w:r w:rsidR="00AF437F" w:rsidRPr="004F7D6F">
      <w:rPr>
        <w:rFonts w:ascii="Arial" w:hAnsi="Arial" w:cs="Arial"/>
        <w:sz w:val="20"/>
        <w:szCs w:val="20"/>
      </w:rPr>
      <w:t>: Musa Zamisa</w:t>
    </w:r>
    <w:r w:rsidRPr="004F7D6F">
      <w:rPr>
        <w:rFonts w:ascii="Arial" w:hAnsi="Arial" w:cs="Arial"/>
        <w:sz w:val="20"/>
        <w:szCs w:val="20"/>
      </w:rPr>
      <w:t xml:space="preserve"> </w:t>
    </w:r>
    <w:r w:rsidR="004F7D6F" w:rsidRPr="004F7D6F">
      <w:rPr>
        <w:rFonts w:ascii="Arial" w:hAnsi="Arial" w:cs="Arial"/>
        <w:sz w:val="20"/>
        <w:szCs w:val="20"/>
      </w:rPr>
      <w:tab/>
      <w:t xml:space="preserve">               </w:t>
    </w:r>
    <w:r w:rsidR="004F7D6F">
      <w:rPr>
        <w:rFonts w:ascii="Arial" w:hAnsi="Arial" w:cs="Arial"/>
        <w:sz w:val="20"/>
        <w:szCs w:val="20"/>
      </w:rPr>
      <w:t xml:space="preserve">                          </w:t>
    </w:r>
    <w:r w:rsidR="004F7D6F" w:rsidRPr="004F7D6F">
      <w:rPr>
        <w:rFonts w:ascii="Arial" w:hAnsi="Arial" w:cs="Arial"/>
        <w:sz w:val="20"/>
        <w:szCs w:val="20"/>
      </w:rPr>
      <w:t xml:space="preserve">Contact: 021 403 </w:t>
    </w:r>
    <w:hyperlink r:id="rId1" w:history="1">
      <w:r w:rsidR="004F7D6F" w:rsidRPr="004F7D6F">
        <w:rPr>
          <w:rStyle w:val="Hyperlink"/>
          <w:rFonts w:ascii="Arial" w:hAnsi="Arial" w:cs="Arial"/>
          <w:sz w:val="20"/>
          <w:szCs w:val="20"/>
        </w:rPr>
        <w:t>8201/mzamisa@parliament.gov.za</w:t>
      </w:r>
    </w:hyperlink>
    <w:r w:rsidR="004F7D6F" w:rsidRPr="004F7D6F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52" w:rsidRDefault="00091152" w:rsidP="00AF437F">
      <w:pPr>
        <w:spacing w:after="0" w:line="240" w:lineRule="auto"/>
      </w:pPr>
      <w:r>
        <w:separator/>
      </w:r>
    </w:p>
  </w:footnote>
  <w:footnote w:type="continuationSeparator" w:id="0">
    <w:p w:rsidR="00091152" w:rsidRDefault="00091152" w:rsidP="00AF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7F" w:rsidRDefault="00AF437F">
    <w:pPr>
      <w:pStyle w:val="Header"/>
    </w:pPr>
    <w:r w:rsidRPr="00CD57A3">
      <w:rPr>
        <w:rFonts w:ascii="Arial" w:eastAsia="Times New Roman" w:hAnsi="Arial" w:cs="Times New Roman"/>
        <w:noProof/>
        <w:color w:val="000000"/>
        <w:spacing w:val="6"/>
        <w:szCs w:val="1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3561381</wp:posOffset>
          </wp:positionH>
          <wp:positionV relativeFrom="topMargin">
            <wp:posOffset>470359</wp:posOffset>
          </wp:positionV>
          <wp:extent cx="2279650" cy="718834"/>
          <wp:effectExtent l="0" t="0" r="6350" b="5080"/>
          <wp:wrapNone/>
          <wp:docPr id="40" name="Picture 40" descr="RESEARCH-UNIT-RGB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EARCH-UNIT-RGB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1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2542540" cy="792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437F" w:rsidRDefault="00AF43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018"/>
    <w:multiLevelType w:val="hybridMultilevel"/>
    <w:tmpl w:val="7C2E8CBA"/>
    <w:lvl w:ilvl="0" w:tplc="9E105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292"/>
    <w:multiLevelType w:val="hybridMultilevel"/>
    <w:tmpl w:val="4C8AD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904"/>
    <w:multiLevelType w:val="hybridMultilevel"/>
    <w:tmpl w:val="5568F9BE"/>
    <w:lvl w:ilvl="0" w:tplc="92B6B7E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467C"/>
    <w:multiLevelType w:val="hybridMultilevel"/>
    <w:tmpl w:val="83361BC4"/>
    <w:lvl w:ilvl="0" w:tplc="96C695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B2E4B"/>
    <w:multiLevelType w:val="hybridMultilevel"/>
    <w:tmpl w:val="0414E1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33102"/>
    <w:multiLevelType w:val="hybridMultilevel"/>
    <w:tmpl w:val="03CE5EA4"/>
    <w:lvl w:ilvl="0" w:tplc="C9488A9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162E7"/>
    <w:multiLevelType w:val="hybridMultilevel"/>
    <w:tmpl w:val="280CC9CC"/>
    <w:lvl w:ilvl="0" w:tplc="96C69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7080B"/>
    <w:multiLevelType w:val="hybridMultilevel"/>
    <w:tmpl w:val="997E0C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A5BEB"/>
    <w:multiLevelType w:val="hybridMultilevel"/>
    <w:tmpl w:val="43CEA4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3DA7"/>
    <w:multiLevelType w:val="hybridMultilevel"/>
    <w:tmpl w:val="A91621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73126"/>
    <w:multiLevelType w:val="hybridMultilevel"/>
    <w:tmpl w:val="8DE40D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223F"/>
    <w:rsid w:val="00091152"/>
    <w:rsid w:val="00093C35"/>
    <w:rsid w:val="00143F70"/>
    <w:rsid w:val="00196EFB"/>
    <w:rsid w:val="003C2BCE"/>
    <w:rsid w:val="003C7388"/>
    <w:rsid w:val="003F1112"/>
    <w:rsid w:val="004116DA"/>
    <w:rsid w:val="004C4722"/>
    <w:rsid w:val="004F7D6F"/>
    <w:rsid w:val="00563EC9"/>
    <w:rsid w:val="005766B0"/>
    <w:rsid w:val="005E60F9"/>
    <w:rsid w:val="008270D5"/>
    <w:rsid w:val="008364D1"/>
    <w:rsid w:val="00870B99"/>
    <w:rsid w:val="00873D6C"/>
    <w:rsid w:val="009C1465"/>
    <w:rsid w:val="00A07C2F"/>
    <w:rsid w:val="00AB039D"/>
    <w:rsid w:val="00AF437F"/>
    <w:rsid w:val="00AF58FD"/>
    <w:rsid w:val="00B456EC"/>
    <w:rsid w:val="00BB223F"/>
    <w:rsid w:val="00C36A67"/>
    <w:rsid w:val="00CF2830"/>
    <w:rsid w:val="00D36AC1"/>
    <w:rsid w:val="00D4174B"/>
    <w:rsid w:val="00DE546B"/>
    <w:rsid w:val="00E115C9"/>
    <w:rsid w:val="00E73100"/>
    <w:rsid w:val="00E81435"/>
    <w:rsid w:val="00E971C7"/>
    <w:rsid w:val="00F11FDE"/>
    <w:rsid w:val="00F51CE4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F"/>
  </w:style>
  <w:style w:type="paragraph" w:styleId="Footer">
    <w:name w:val="footer"/>
    <w:basedOn w:val="Normal"/>
    <w:link w:val="FooterChar"/>
    <w:uiPriority w:val="99"/>
    <w:unhideWhenUsed/>
    <w:rsid w:val="00AF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F"/>
  </w:style>
  <w:style w:type="character" w:styleId="Hyperlink">
    <w:name w:val="Hyperlink"/>
    <w:basedOn w:val="DefaultParagraphFont"/>
    <w:uiPriority w:val="99"/>
    <w:unhideWhenUsed/>
    <w:rsid w:val="004F7D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8201/mzamisa@parliament.gov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Zamisa</dc:creator>
  <cp:lastModifiedBy>Monique</cp:lastModifiedBy>
  <cp:revision>2</cp:revision>
  <dcterms:created xsi:type="dcterms:W3CDTF">2020-08-26T05:39:00Z</dcterms:created>
  <dcterms:modified xsi:type="dcterms:W3CDTF">2020-08-26T05:39:00Z</dcterms:modified>
</cp:coreProperties>
</file>