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2D8" w:rsidRPr="004076DB" w:rsidRDefault="00EC02D8">
      <w:pPr>
        <w:rPr>
          <w:b/>
          <w:sz w:val="24"/>
          <w:szCs w:val="24"/>
        </w:rPr>
      </w:pPr>
    </w:p>
    <w:tbl>
      <w:tblPr>
        <w:tblStyle w:val="TableGrid"/>
        <w:tblW w:w="0" w:type="auto"/>
        <w:tblLook w:val="04A0"/>
      </w:tblPr>
      <w:tblGrid>
        <w:gridCol w:w="1668"/>
        <w:gridCol w:w="1408"/>
        <w:gridCol w:w="11098"/>
      </w:tblGrid>
      <w:tr w:rsidR="00EC02D8" w:rsidRPr="004076DB" w:rsidTr="009D2A2D">
        <w:tc>
          <w:tcPr>
            <w:tcW w:w="1664" w:type="dxa"/>
          </w:tcPr>
          <w:p w:rsidR="00EC02D8" w:rsidRPr="004076DB" w:rsidRDefault="00EC02D8">
            <w:pPr>
              <w:rPr>
                <w:b/>
                <w:sz w:val="24"/>
                <w:szCs w:val="24"/>
              </w:rPr>
            </w:pPr>
            <w:r w:rsidRPr="004076DB">
              <w:rPr>
                <w:b/>
                <w:sz w:val="24"/>
                <w:szCs w:val="24"/>
              </w:rPr>
              <w:t>ISSUE</w:t>
            </w:r>
          </w:p>
        </w:tc>
        <w:tc>
          <w:tcPr>
            <w:tcW w:w="1437" w:type="dxa"/>
          </w:tcPr>
          <w:p w:rsidR="00EC02D8" w:rsidRPr="004076DB" w:rsidRDefault="00EC02D8">
            <w:pPr>
              <w:rPr>
                <w:b/>
                <w:sz w:val="24"/>
                <w:szCs w:val="24"/>
              </w:rPr>
            </w:pPr>
            <w:r w:rsidRPr="004076DB">
              <w:rPr>
                <w:b/>
                <w:sz w:val="24"/>
                <w:szCs w:val="24"/>
              </w:rPr>
              <w:t>RESPONSIBLE PERSON</w:t>
            </w:r>
          </w:p>
        </w:tc>
        <w:tc>
          <w:tcPr>
            <w:tcW w:w="11073" w:type="dxa"/>
          </w:tcPr>
          <w:p w:rsidR="00EC02D8" w:rsidRPr="004076DB" w:rsidRDefault="007572F4">
            <w:pPr>
              <w:rPr>
                <w:b/>
                <w:sz w:val="24"/>
                <w:szCs w:val="24"/>
              </w:rPr>
            </w:pPr>
            <w:r>
              <w:rPr>
                <w:b/>
                <w:sz w:val="24"/>
                <w:szCs w:val="24"/>
              </w:rPr>
              <w:t>PROGRESS</w:t>
            </w:r>
          </w:p>
        </w:tc>
      </w:tr>
      <w:tr w:rsidR="00EC02D8" w:rsidRPr="004076DB" w:rsidTr="009D2A2D">
        <w:tc>
          <w:tcPr>
            <w:tcW w:w="1664" w:type="dxa"/>
          </w:tcPr>
          <w:p w:rsidR="00EC02D8" w:rsidRPr="004076DB" w:rsidRDefault="00EC02D8">
            <w:pPr>
              <w:rPr>
                <w:rFonts w:ascii="Arial" w:hAnsi="Arial" w:cs="Arial"/>
                <w:b/>
              </w:rPr>
            </w:pPr>
            <w:r w:rsidRPr="004076DB">
              <w:rPr>
                <w:rFonts w:ascii="Arial" w:hAnsi="Arial" w:cs="Arial"/>
              </w:rPr>
              <w:t>Progress on the appointment of DDG: Information Services</w:t>
            </w:r>
          </w:p>
        </w:tc>
        <w:tc>
          <w:tcPr>
            <w:tcW w:w="1437" w:type="dxa"/>
          </w:tcPr>
          <w:p w:rsidR="00EC02D8" w:rsidRPr="004076DB" w:rsidRDefault="00EC02D8">
            <w:pPr>
              <w:rPr>
                <w:rFonts w:ascii="Arial" w:hAnsi="Arial" w:cs="Arial"/>
                <w:b/>
              </w:rPr>
            </w:pPr>
            <w:r w:rsidRPr="004076DB">
              <w:rPr>
                <w:rFonts w:ascii="Arial" w:hAnsi="Arial" w:cs="Arial"/>
                <w:b/>
              </w:rPr>
              <w:t>DG/DDG: HRM&amp;D</w:t>
            </w:r>
          </w:p>
        </w:tc>
        <w:tc>
          <w:tcPr>
            <w:tcW w:w="11073" w:type="dxa"/>
          </w:tcPr>
          <w:p w:rsidR="00436A56" w:rsidRDefault="00436A56" w:rsidP="00436A56">
            <w:pPr>
              <w:rPr>
                <w:rFonts w:ascii="Arial" w:hAnsi="Arial" w:cs="Arial"/>
              </w:rPr>
            </w:pPr>
            <w:r>
              <w:rPr>
                <w:rFonts w:ascii="Arial" w:hAnsi="Arial" w:cs="Arial"/>
              </w:rPr>
              <w:t xml:space="preserve">The post of DDG: Information Services was most recently advertised on 30 August 2019, with a closing date of 13 September 2019. Selection was scheduled to unfold during March 2020, but was overtaken by the National Lockdown which came into effect on 27 March 2020. Shortlisting was subsequently undertaken on 2 July 2020, and interviews on 10 July 2020. Regrettably no suitable candidates were found. Direction on the re-advertisement of the post is presently being awaited from the Minister. </w:t>
            </w:r>
          </w:p>
          <w:p w:rsidR="00EC02D8" w:rsidRPr="004076DB" w:rsidRDefault="00EC02D8">
            <w:pPr>
              <w:rPr>
                <w:rFonts w:ascii="Arial" w:hAnsi="Arial" w:cs="Arial"/>
                <w:b/>
              </w:rPr>
            </w:pPr>
          </w:p>
        </w:tc>
      </w:tr>
      <w:tr w:rsidR="00EC02D8" w:rsidRPr="004076DB" w:rsidTr="009D2A2D">
        <w:tc>
          <w:tcPr>
            <w:tcW w:w="1664" w:type="dxa"/>
          </w:tcPr>
          <w:p w:rsidR="00EC02D8" w:rsidRPr="004076DB" w:rsidRDefault="00EC02D8" w:rsidP="00EC02D8">
            <w:pPr>
              <w:rPr>
                <w:rFonts w:ascii="Arial" w:hAnsi="Arial" w:cs="Arial"/>
              </w:rPr>
            </w:pPr>
            <w:r w:rsidRPr="004076DB">
              <w:rPr>
                <w:rFonts w:ascii="Arial" w:hAnsi="Arial" w:cs="Arial"/>
              </w:rPr>
              <w:t>Detail report and plan to respond to ID queries similar to “Legwase, Dakari and others”</w:t>
            </w:r>
          </w:p>
          <w:p w:rsidR="00EC02D8" w:rsidRPr="004076DB" w:rsidRDefault="00EC02D8">
            <w:pPr>
              <w:rPr>
                <w:rFonts w:ascii="Arial" w:hAnsi="Arial" w:cs="Arial"/>
              </w:rPr>
            </w:pPr>
          </w:p>
        </w:tc>
        <w:tc>
          <w:tcPr>
            <w:tcW w:w="1437" w:type="dxa"/>
          </w:tcPr>
          <w:p w:rsidR="00EC02D8" w:rsidRPr="004076DB" w:rsidRDefault="00EC02D8">
            <w:pPr>
              <w:rPr>
                <w:rFonts w:ascii="Arial" w:hAnsi="Arial" w:cs="Arial"/>
                <w:b/>
              </w:rPr>
            </w:pPr>
            <w:r w:rsidRPr="004076DB">
              <w:rPr>
                <w:rFonts w:ascii="Arial" w:hAnsi="Arial" w:cs="Arial"/>
                <w:b/>
              </w:rPr>
              <w:t>DDG: CS</w:t>
            </w:r>
          </w:p>
        </w:tc>
        <w:tc>
          <w:tcPr>
            <w:tcW w:w="11073" w:type="dxa"/>
          </w:tcPr>
          <w:p w:rsidR="00BA726F" w:rsidRPr="00BA726F" w:rsidRDefault="00BA726F" w:rsidP="00655DEF">
            <w:pPr>
              <w:spacing w:before="100" w:beforeAutospacing="1" w:after="160" w:afterAutospacing="1" w:line="280" w:lineRule="atLeast"/>
              <w:ind w:right="100"/>
              <w:rPr>
                <w:rFonts w:ascii="Arial" w:eastAsia="Times New Roman" w:hAnsi="Arial" w:cs="Arial"/>
                <w:sz w:val="24"/>
                <w:szCs w:val="24"/>
                <w:lang w:eastAsia="en-ZA"/>
              </w:rPr>
            </w:pPr>
            <w:r w:rsidRPr="00655DEF">
              <w:rPr>
                <w:rFonts w:ascii="Arial" w:eastAsia="Times New Roman" w:hAnsi="Arial" w:cs="Arial"/>
                <w:sz w:val="24"/>
                <w:szCs w:val="24"/>
                <w:lang w:eastAsia="en-ZA"/>
              </w:rPr>
              <w:t>Letters to be written to all portfolio committee members explaining the submitting process of all queries relating to Civic Services per constituency</w:t>
            </w:r>
          </w:p>
          <w:p w:rsidR="00BA726F" w:rsidRPr="00BA726F" w:rsidRDefault="00BA726F" w:rsidP="00655DEF">
            <w:pPr>
              <w:spacing w:before="100" w:beforeAutospacing="1" w:after="160" w:afterAutospacing="1" w:line="280" w:lineRule="atLeast"/>
              <w:ind w:right="100"/>
              <w:rPr>
                <w:rFonts w:ascii="Arial" w:eastAsia="Times New Roman" w:hAnsi="Arial" w:cs="Arial"/>
                <w:sz w:val="24"/>
                <w:szCs w:val="24"/>
                <w:lang w:eastAsia="en-ZA"/>
              </w:rPr>
            </w:pPr>
            <w:r w:rsidRPr="00655DEF">
              <w:rPr>
                <w:rFonts w:ascii="Arial" w:eastAsia="Times New Roman" w:hAnsi="Arial" w:cs="Arial"/>
                <w:sz w:val="24"/>
                <w:szCs w:val="24"/>
                <w:lang w:eastAsia="en-ZA"/>
              </w:rPr>
              <w:t xml:space="preserve">All Civic Service related queries to be coordinated through Intergovernmental Relations (IGR)who will disseminate to  the identified query project coordinator </w:t>
            </w:r>
          </w:p>
          <w:p w:rsidR="00EC02D8" w:rsidRPr="00655DEF" w:rsidRDefault="00EC02D8">
            <w:pPr>
              <w:rPr>
                <w:rFonts w:ascii="Arial" w:hAnsi="Arial" w:cs="Arial"/>
                <w:b/>
                <w:sz w:val="24"/>
                <w:szCs w:val="24"/>
              </w:rPr>
            </w:pPr>
          </w:p>
        </w:tc>
      </w:tr>
      <w:tr w:rsidR="008C3EAF" w:rsidRPr="004076DB" w:rsidTr="00B81290">
        <w:tc>
          <w:tcPr>
            <w:tcW w:w="4077" w:type="dxa"/>
          </w:tcPr>
          <w:p w:rsidR="008C3EAF" w:rsidRPr="004076DB" w:rsidRDefault="008C3EAF" w:rsidP="00032846">
            <w:pPr>
              <w:rPr>
                <w:rFonts w:ascii="Arial" w:hAnsi="Arial" w:cs="Arial"/>
              </w:rPr>
            </w:pPr>
            <w:r w:rsidRPr="004076DB">
              <w:rPr>
                <w:rFonts w:ascii="Arial" w:hAnsi="Arial" w:cs="Arial"/>
              </w:rPr>
              <w:t>List of Mobile trucks per province and their capacity.</w:t>
            </w:r>
          </w:p>
          <w:p w:rsidR="008C3EAF" w:rsidRPr="004076DB" w:rsidRDefault="008C3EAF" w:rsidP="00EC02D8">
            <w:pPr>
              <w:rPr>
                <w:rFonts w:ascii="Arial" w:hAnsi="Arial" w:cs="Arial"/>
              </w:rPr>
            </w:pPr>
          </w:p>
        </w:tc>
        <w:tc>
          <w:tcPr>
            <w:tcW w:w="2694" w:type="dxa"/>
          </w:tcPr>
          <w:p w:rsidR="008C3EAF" w:rsidRPr="004076DB" w:rsidRDefault="008C3EAF">
            <w:pPr>
              <w:rPr>
                <w:rFonts w:ascii="Arial" w:hAnsi="Arial" w:cs="Arial"/>
                <w:b/>
              </w:rPr>
            </w:pPr>
            <w:r w:rsidRPr="004076DB">
              <w:rPr>
                <w:rFonts w:ascii="Arial" w:hAnsi="Arial" w:cs="Arial"/>
                <w:b/>
              </w:rPr>
              <w:t>DDG: CS</w:t>
            </w:r>
          </w:p>
        </w:tc>
        <w:tc>
          <w:tcPr>
            <w:tcW w:w="4536" w:type="dxa"/>
          </w:tcPr>
          <w:p w:rsidR="008C3EAF" w:rsidRPr="00085DFA" w:rsidRDefault="008C3EAF" w:rsidP="00006D09">
            <w:pPr>
              <w:spacing w:after="160" w:line="259" w:lineRule="auto"/>
              <w:rPr>
                <w:sz w:val="28"/>
                <w:szCs w:val="28"/>
              </w:rPr>
            </w:pPr>
            <w:r w:rsidRPr="00085DFA">
              <w:rPr>
                <w:sz w:val="28"/>
                <w:szCs w:val="28"/>
              </w:rPr>
              <w:t>Depart has a total of 100 mobile units. Out of this figure</w:t>
            </w:r>
            <w:r>
              <w:rPr>
                <w:sz w:val="28"/>
                <w:szCs w:val="28"/>
              </w:rPr>
              <w:t xml:space="preserve">, </w:t>
            </w:r>
            <w:r w:rsidRPr="00085DFA">
              <w:rPr>
                <w:sz w:val="28"/>
                <w:szCs w:val="28"/>
              </w:rPr>
              <w:t>4 mobile</w:t>
            </w:r>
            <w:r>
              <w:rPr>
                <w:sz w:val="28"/>
                <w:szCs w:val="28"/>
              </w:rPr>
              <w:t xml:space="preserve"> units are at Head Office and are</w:t>
            </w:r>
            <w:r w:rsidRPr="00085DFA">
              <w:rPr>
                <w:sz w:val="28"/>
                <w:szCs w:val="28"/>
              </w:rPr>
              <w:t xml:space="preserve"> used for special project</w:t>
            </w:r>
            <w:r>
              <w:rPr>
                <w:sz w:val="28"/>
                <w:szCs w:val="28"/>
              </w:rPr>
              <w:t>s</w:t>
            </w:r>
            <w:r w:rsidRPr="00085DFA">
              <w:rPr>
                <w:sz w:val="28"/>
                <w:szCs w:val="28"/>
              </w:rPr>
              <w:t xml:space="preserve"> or to strengthen capacity in provinces where needed. 96 of the units are deployed to province as follows:</w:t>
            </w:r>
          </w:p>
          <w:p w:rsidR="008C3EAF" w:rsidRPr="00085DFA" w:rsidRDefault="008C3EAF" w:rsidP="00006D09">
            <w:pPr>
              <w:spacing w:after="160" w:line="259" w:lineRule="auto"/>
              <w:rPr>
                <w:sz w:val="28"/>
                <w:szCs w:val="28"/>
              </w:rPr>
            </w:pPr>
            <w:r w:rsidRPr="00085DFA">
              <w:rPr>
                <w:sz w:val="28"/>
                <w:szCs w:val="28"/>
              </w:rPr>
              <w:t>EC  = 14</w:t>
            </w:r>
          </w:p>
          <w:p w:rsidR="008C3EAF" w:rsidRPr="00085DFA" w:rsidRDefault="008C3EAF" w:rsidP="00006D09">
            <w:pPr>
              <w:spacing w:after="160" w:line="259" w:lineRule="auto"/>
              <w:rPr>
                <w:sz w:val="28"/>
                <w:szCs w:val="28"/>
              </w:rPr>
            </w:pPr>
            <w:r w:rsidRPr="00085DFA">
              <w:rPr>
                <w:sz w:val="28"/>
                <w:szCs w:val="28"/>
              </w:rPr>
              <w:t>FS   = 9</w:t>
            </w:r>
          </w:p>
          <w:p w:rsidR="008C3EAF" w:rsidRPr="00085DFA" w:rsidRDefault="008C3EAF" w:rsidP="00006D09">
            <w:pPr>
              <w:spacing w:after="160" w:line="259" w:lineRule="auto"/>
              <w:rPr>
                <w:sz w:val="28"/>
                <w:szCs w:val="28"/>
              </w:rPr>
            </w:pPr>
            <w:r w:rsidRPr="00085DFA">
              <w:rPr>
                <w:sz w:val="28"/>
                <w:szCs w:val="28"/>
              </w:rPr>
              <w:t>GP  = 8</w:t>
            </w:r>
          </w:p>
          <w:p w:rsidR="008C3EAF" w:rsidRPr="00085DFA" w:rsidRDefault="008C3EAF" w:rsidP="00006D09">
            <w:pPr>
              <w:spacing w:after="160" w:line="259" w:lineRule="auto"/>
              <w:rPr>
                <w:sz w:val="28"/>
                <w:szCs w:val="28"/>
              </w:rPr>
            </w:pPr>
            <w:r w:rsidRPr="00085DFA">
              <w:rPr>
                <w:sz w:val="28"/>
                <w:szCs w:val="28"/>
              </w:rPr>
              <w:t>KZN = 13</w:t>
            </w:r>
          </w:p>
          <w:p w:rsidR="008C3EAF" w:rsidRPr="00085DFA" w:rsidRDefault="008C3EAF" w:rsidP="00006D09">
            <w:pPr>
              <w:spacing w:after="160" w:line="259" w:lineRule="auto"/>
              <w:rPr>
                <w:sz w:val="28"/>
                <w:szCs w:val="28"/>
              </w:rPr>
            </w:pPr>
            <w:r w:rsidRPr="00085DFA">
              <w:rPr>
                <w:sz w:val="28"/>
                <w:szCs w:val="28"/>
              </w:rPr>
              <w:t>LP   = 12</w:t>
            </w:r>
          </w:p>
          <w:p w:rsidR="008C3EAF" w:rsidRPr="00085DFA" w:rsidRDefault="008C3EAF" w:rsidP="00006D09">
            <w:pPr>
              <w:spacing w:after="160" w:line="259" w:lineRule="auto"/>
              <w:rPr>
                <w:sz w:val="28"/>
                <w:szCs w:val="28"/>
              </w:rPr>
            </w:pPr>
            <w:r w:rsidRPr="00085DFA">
              <w:rPr>
                <w:sz w:val="28"/>
                <w:szCs w:val="28"/>
              </w:rPr>
              <w:lastRenderedPageBreak/>
              <w:t>MP  = 10</w:t>
            </w:r>
          </w:p>
          <w:p w:rsidR="008C3EAF" w:rsidRPr="00085DFA" w:rsidRDefault="008C3EAF" w:rsidP="00006D09">
            <w:pPr>
              <w:spacing w:after="160" w:line="259" w:lineRule="auto"/>
              <w:rPr>
                <w:sz w:val="28"/>
                <w:szCs w:val="28"/>
              </w:rPr>
            </w:pPr>
            <w:r w:rsidRPr="00085DFA">
              <w:rPr>
                <w:sz w:val="28"/>
                <w:szCs w:val="28"/>
              </w:rPr>
              <w:t>NC  = 10</w:t>
            </w:r>
          </w:p>
          <w:p w:rsidR="008C3EAF" w:rsidRPr="00085DFA" w:rsidRDefault="008C3EAF" w:rsidP="00006D09">
            <w:pPr>
              <w:spacing w:after="160" w:line="259" w:lineRule="auto"/>
              <w:rPr>
                <w:sz w:val="28"/>
                <w:szCs w:val="28"/>
              </w:rPr>
            </w:pPr>
            <w:r w:rsidRPr="00085DFA">
              <w:rPr>
                <w:sz w:val="28"/>
                <w:szCs w:val="28"/>
              </w:rPr>
              <w:t>NW  = 9</w:t>
            </w:r>
          </w:p>
          <w:p w:rsidR="008C3EAF" w:rsidRPr="00085DFA" w:rsidRDefault="008C3EAF" w:rsidP="00006D09">
            <w:pPr>
              <w:spacing w:after="160" w:line="259" w:lineRule="auto"/>
              <w:rPr>
                <w:sz w:val="28"/>
                <w:szCs w:val="28"/>
              </w:rPr>
            </w:pPr>
            <w:r w:rsidRPr="00085DFA">
              <w:rPr>
                <w:sz w:val="28"/>
                <w:szCs w:val="28"/>
              </w:rPr>
              <w:t>WC  = 11</w:t>
            </w:r>
          </w:p>
          <w:p w:rsidR="008C3EAF" w:rsidRDefault="008C3EAF" w:rsidP="00006D09">
            <w:pPr>
              <w:spacing w:after="160" w:line="259" w:lineRule="auto"/>
              <w:rPr>
                <w:sz w:val="28"/>
                <w:szCs w:val="28"/>
              </w:rPr>
            </w:pPr>
            <w:r w:rsidRPr="00085DFA">
              <w:rPr>
                <w:sz w:val="28"/>
                <w:szCs w:val="28"/>
              </w:rPr>
              <w:t xml:space="preserve">The mobile units can be used </w:t>
            </w:r>
            <w:r>
              <w:rPr>
                <w:sz w:val="28"/>
                <w:szCs w:val="28"/>
              </w:rPr>
              <w:t xml:space="preserve">for </w:t>
            </w:r>
            <w:r w:rsidRPr="00085DFA">
              <w:rPr>
                <w:sz w:val="28"/>
                <w:szCs w:val="28"/>
              </w:rPr>
              <w:t xml:space="preserve">taking Smart ID Card </w:t>
            </w:r>
            <w:r>
              <w:rPr>
                <w:sz w:val="28"/>
                <w:szCs w:val="28"/>
              </w:rPr>
              <w:t>and</w:t>
            </w:r>
            <w:r w:rsidRPr="00085DFA">
              <w:rPr>
                <w:sz w:val="28"/>
                <w:szCs w:val="28"/>
              </w:rPr>
              <w:t xml:space="preserve"> Passport Applications, perform both births and deaths registration.</w:t>
            </w:r>
            <w:r>
              <w:rPr>
                <w:sz w:val="28"/>
                <w:szCs w:val="28"/>
              </w:rPr>
              <w:t xml:space="preserve"> However, the department is struggling to maintain a consistent 100% functionality thereof due to the following challenges:</w:t>
            </w:r>
          </w:p>
          <w:tbl>
            <w:tblPr>
              <w:tblpPr w:leftFromText="180" w:rightFromText="180" w:vertAnchor="page" w:horzAnchor="margin" w:tblpXSpec="center" w:tblpY="2041"/>
              <w:tblW w:w="12185" w:type="dxa"/>
              <w:tblCellMar>
                <w:left w:w="0" w:type="dxa"/>
                <w:right w:w="0" w:type="dxa"/>
              </w:tblCellMar>
              <w:tblLook w:val="0420"/>
            </w:tblPr>
            <w:tblGrid>
              <w:gridCol w:w="4243"/>
              <w:gridCol w:w="7942"/>
            </w:tblGrid>
            <w:tr w:rsidR="008C3EAF" w:rsidRPr="003B7C1C" w:rsidTr="00006D09">
              <w:trPr>
                <w:trHeight w:val="334"/>
              </w:trPr>
              <w:tc>
                <w:tcPr>
                  <w:tcW w:w="42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C3EAF" w:rsidRPr="003B7C1C" w:rsidRDefault="008C3EAF" w:rsidP="00006D09">
                  <w:r w:rsidRPr="003B7C1C">
                    <w:rPr>
                      <w:b/>
                      <w:bCs/>
                      <w:lang w:val="en-US"/>
                    </w:rPr>
                    <w:t>CHALLENGE</w:t>
                  </w:r>
                </w:p>
              </w:tc>
              <w:tc>
                <w:tcPr>
                  <w:tcW w:w="79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C3EAF" w:rsidRPr="003B7C1C" w:rsidRDefault="008C3EAF" w:rsidP="00006D09">
                  <w:r w:rsidRPr="003B7C1C">
                    <w:rPr>
                      <w:b/>
                      <w:bCs/>
                    </w:rPr>
                    <w:t>MITIGATION</w:t>
                  </w:r>
                </w:p>
              </w:tc>
            </w:tr>
            <w:tr w:rsidR="008C3EAF" w:rsidRPr="003B7C1C" w:rsidTr="00006D09">
              <w:trPr>
                <w:trHeight w:val="5608"/>
              </w:trPr>
              <w:tc>
                <w:tcPr>
                  <w:tcW w:w="4243" w:type="dxa"/>
                  <w:tcBorders>
                    <w:top w:val="single" w:sz="8" w:space="0" w:color="000000"/>
                    <w:left w:val="single" w:sz="8" w:space="0" w:color="000000"/>
                    <w:right w:val="single" w:sz="8" w:space="0" w:color="000000"/>
                  </w:tcBorders>
                  <w:shd w:val="clear" w:color="auto" w:fill="FFFFFF"/>
                  <w:tcMar>
                    <w:top w:w="72" w:type="dxa"/>
                    <w:left w:w="144" w:type="dxa"/>
                    <w:bottom w:w="72" w:type="dxa"/>
                    <w:right w:w="144" w:type="dxa"/>
                  </w:tcMar>
                </w:tcPr>
                <w:p w:rsidR="008C3EAF" w:rsidRPr="006729BD" w:rsidRDefault="008C3EAF" w:rsidP="00006D09">
                  <w:pPr>
                    <w:spacing w:line="256" w:lineRule="auto"/>
                    <w:rPr>
                      <w:rFonts w:ascii="Arial" w:hAnsi="Arial" w:cs="Arial"/>
                      <w:b/>
                    </w:rPr>
                  </w:pPr>
                  <w:r w:rsidRPr="006729BD">
                    <w:rPr>
                      <w:b/>
                      <w:sz w:val="28"/>
                      <w:szCs w:val="28"/>
                    </w:rPr>
                    <w:lastRenderedPageBreak/>
                    <w:t>System Related</w:t>
                  </w:r>
                </w:p>
                <w:p w:rsidR="008C3EAF" w:rsidRDefault="008C3EAF" w:rsidP="008C3EAF">
                  <w:pPr>
                    <w:pStyle w:val="ListParagraph"/>
                    <w:numPr>
                      <w:ilvl w:val="0"/>
                      <w:numId w:val="12"/>
                    </w:numPr>
                    <w:rPr>
                      <w:rFonts w:ascii="Arial" w:hAnsi="Arial" w:cs="Arial"/>
                      <w:sz w:val="24"/>
                      <w:szCs w:val="24"/>
                    </w:rPr>
                  </w:pPr>
                  <w:r w:rsidRPr="00FC48D7">
                    <w:rPr>
                      <w:rFonts w:ascii="Arial" w:hAnsi="Arial" w:cs="Arial"/>
                      <w:sz w:val="24"/>
                      <w:szCs w:val="24"/>
                    </w:rPr>
                    <w:t xml:space="preserve">Weak connectivity on mobiles when deployed to deep rural areas or farming communities </w:t>
                  </w:r>
                </w:p>
                <w:p w:rsidR="008C3EAF" w:rsidRDefault="008C3EAF" w:rsidP="00006D09">
                  <w:pPr>
                    <w:pStyle w:val="ListParagraph"/>
                    <w:rPr>
                      <w:rFonts w:ascii="Arial" w:hAnsi="Arial" w:cs="Arial"/>
                      <w:sz w:val="24"/>
                      <w:szCs w:val="24"/>
                    </w:rPr>
                  </w:pPr>
                </w:p>
                <w:p w:rsidR="008C3EAF" w:rsidRPr="00686CB3" w:rsidRDefault="008C3EAF" w:rsidP="00006D09">
                  <w:pPr>
                    <w:rPr>
                      <w:rFonts w:ascii="Arial" w:hAnsi="Arial" w:cs="Arial"/>
                      <w:sz w:val="24"/>
                      <w:szCs w:val="24"/>
                    </w:rPr>
                  </w:pPr>
                </w:p>
                <w:p w:rsidR="008C3EAF" w:rsidRDefault="008C3EAF" w:rsidP="008C3EAF">
                  <w:pPr>
                    <w:pStyle w:val="ListParagraph"/>
                    <w:numPr>
                      <w:ilvl w:val="0"/>
                      <w:numId w:val="12"/>
                    </w:numPr>
                    <w:rPr>
                      <w:rFonts w:ascii="Arial" w:hAnsi="Arial" w:cs="Arial"/>
                      <w:sz w:val="24"/>
                      <w:szCs w:val="24"/>
                    </w:rPr>
                  </w:pPr>
                  <w:r w:rsidRPr="00FC48D7">
                    <w:rPr>
                      <w:rFonts w:ascii="Arial" w:hAnsi="Arial" w:cs="Arial"/>
                      <w:sz w:val="24"/>
                      <w:szCs w:val="24"/>
                    </w:rPr>
                    <w:t xml:space="preserve">System downtimes </w:t>
                  </w:r>
                </w:p>
                <w:p w:rsidR="008C3EAF" w:rsidRDefault="008C3EAF" w:rsidP="00006D09">
                  <w:pPr>
                    <w:rPr>
                      <w:rFonts w:ascii="Arial" w:hAnsi="Arial" w:cs="Arial"/>
                      <w:sz w:val="24"/>
                      <w:szCs w:val="24"/>
                    </w:rPr>
                  </w:pPr>
                </w:p>
                <w:p w:rsidR="008C3EAF" w:rsidRDefault="008C3EAF" w:rsidP="00006D09">
                  <w:pPr>
                    <w:rPr>
                      <w:rFonts w:ascii="Arial" w:hAnsi="Arial" w:cs="Arial"/>
                      <w:sz w:val="24"/>
                      <w:szCs w:val="24"/>
                    </w:rPr>
                  </w:pPr>
                </w:p>
                <w:p w:rsidR="008C3EAF" w:rsidRPr="00FC48D7" w:rsidRDefault="008C3EAF" w:rsidP="008C3EAF">
                  <w:pPr>
                    <w:pStyle w:val="ListParagraph"/>
                    <w:numPr>
                      <w:ilvl w:val="0"/>
                      <w:numId w:val="12"/>
                    </w:numPr>
                    <w:rPr>
                      <w:rFonts w:ascii="Arial" w:hAnsi="Arial" w:cs="Arial"/>
                      <w:sz w:val="24"/>
                      <w:szCs w:val="24"/>
                    </w:rPr>
                  </w:pPr>
                  <w:r w:rsidRPr="00FC48D7">
                    <w:rPr>
                      <w:rFonts w:ascii="Arial" w:hAnsi="Arial" w:cs="Arial"/>
                      <w:sz w:val="24"/>
                      <w:szCs w:val="24"/>
                    </w:rPr>
                    <w:t>Two mobiles of the hundred mobiles are without point of sale (PoS) accident and write offs (one in Western Cape and KZN)</w:t>
                  </w:r>
                </w:p>
              </w:tc>
              <w:tc>
                <w:tcPr>
                  <w:tcW w:w="7942" w:type="dxa"/>
                  <w:tcBorders>
                    <w:top w:val="single" w:sz="8" w:space="0" w:color="000000"/>
                    <w:left w:val="single" w:sz="8" w:space="0" w:color="000000"/>
                    <w:right w:val="single" w:sz="8" w:space="0" w:color="000000"/>
                  </w:tcBorders>
                  <w:shd w:val="clear" w:color="auto" w:fill="FFFFFF"/>
                  <w:tcMar>
                    <w:top w:w="72" w:type="dxa"/>
                    <w:left w:w="144" w:type="dxa"/>
                    <w:bottom w:w="72" w:type="dxa"/>
                    <w:right w:w="144" w:type="dxa"/>
                  </w:tcMar>
                </w:tcPr>
                <w:p w:rsidR="008C3EAF" w:rsidRPr="003C0E65" w:rsidRDefault="008C3EAF" w:rsidP="00006D09">
                  <w:pPr>
                    <w:rPr>
                      <w:rFonts w:ascii="Arial" w:hAnsi="Arial" w:cs="Arial"/>
                      <w:sz w:val="24"/>
                      <w:szCs w:val="24"/>
                    </w:rPr>
                  </w:pPr>
                </w:p>
                <w:p w:rsidR="008C3EAF" w:rsidRDefault="008C3EAF" w:rsidP="008C3EAF">
                  <w:pPr>
                    <w:pStyle w:val="ListParagraph"/>
                    <w:numPr>
                      <w:ilvl w:val="0"/>
                      <w:numId w:val="12"/>
                    </w:numPr>
                    <w:rPr>
                      <w:rFonts w:ascii="Arial" w:hAnsi="Arial" w:cs="Arial"/>
                      <w:sz w:val="24"/>
                      <w:szCs w:val="24"/>
                    </w:rPr>
                  </w:pPr>
                  <w:r w:rsidRPr="003C0E65">
                    <w:rPr>
                      <w:rFonts w:ascii="Arial" w:hAnsi="Arial" w:cs="Arial"/>
                      <w:sz w:val="24"/>
                      <w:szCs w:val="24"/>
                    </w:rPr>
                    <w:t xml:space="preserve">The department is currently conducting an assessment through its information services to improve connectivity in mobile </w:t>
                  </w:r>
                  <w:r>
                    <w:rPr>
                      <w:rFonts w:ascii="Arial" w:hAnsi="Arial" w:cs="Arial"/>
                      <w:sz w:val="24"/>
                      <w:szCs w:val="24"/>
                    </w:rPr>
                    <w:t>offices</w:t>
                  </w:r>
                  <w:r w:rsidRPr="003C0E65">
                    <w:rPr>
                      <w:rFonts w:ascii="Arial" w:hAnsi="Arial" w:cs="Arial"/>
                      <w:sz w:val="24"/>
                      <w:szCs w:val="24"/>
                    </w:rPr>
                    <w:t xml:space="preserve"> </w:t>
                  </w:r>
                </w:p>
                <w:p w:rsidR="008C3EAF" w:rsidRDefault="008C3EAF" w:rsidP="00006D09">
                  <w:pPr>
                    <w:pStyle w:val="ListParagraph"/>
                    <w:rPr>
                      <w:rFonts w:ascii="Arial" w:hAnsi="Arial" w:cs="Arial"/>
                      <w:sz w:val="24"/>
                      <w:szCs w:val="24"/>
                    </w:rPr>
                  </w:pPr>
                </w:p>
                <w:p w:rsidR="008C3EAF" w:rsidRDefault="008C3EAF" w:rsidP="00006D09">
                  <w:pPr>
                    <w:pStyle w:val="ListParagraph"/>
                    <w:rPr>
                      <w:rFonts w:ascii="Arial" w:hAnsi="Arial" w:cs="Arial"/>
                      <w:sz w:val="24"/>
                      <w:szCs w:val="24"/>
                    </w:rPr>
                  </w:pPr>
                </w:p>
                <w:p w:rsidR="008C3EAF" w:rsidRDefault="008C3EAF" w:rsidP="00006D09">
                  <w:pPr>
                    <w:pStyle w:val="ListParagraph"/>
                    <w:rPr>
                      <w:rFonts w:ascii="Arial" w:hAnsi="Arial" w:cs="Arial"/>
                      <w:sz w:val="24"/>
                      <w:szCs w:val="24"/>
                    </w:rPr>
                  </w:pPr>
                </w:p>
                <w:p w:rsidR="008C3EAF" w:rsidRDefault="008C3EAF" w:rsidP="00006D09">
                  <w:pPr>
                    <w:pStyle w:val="ListParagraph"/>
                    <w:rPr>
                      <w:rFonts w:ascii="Arial" w:hAnsi="Arial" w:cs="Arial"/>
                      <w:sz w:val="24"/>
                      <w:szCs w:val="24"/>
                    </w:rPr>
                  </w:pPr>
                </w:p>
                <w:p w:rsidR="008C3EAF" w:rsidRDefault="008C3EAF" w:rsidP="008C3EAF">
                  <w:pPr>
                    <w:pStyle w:val="ListParagraph"/>
                    <w:numPr>
                      <w:ilvl w:val="0"/>
                      <w:numId w:val="12"/>
                    </w:numPr>
                    <w:rPr>
                      <w:rFonts w:ascii="Arial" w:hAnsi="Arial" w:cs="Arial"/>
                      <w:sz w:val="24"/>
                      <w:szCs w:val="24"/>
                    </w:rPr>
                  </w:pPr>
                  <w:r w:rsidRPr="003C0E65">
                    <w:rPr>
                      <w:rFonts w:ascii="Arial" w:hAnsi="Arial" w:cs="Arial"/>
                      <w:sz w:val="24"/>
                      <w:szCs w:val="24"/>
                    </w:rPr>
                    <w:t xml:space="preserve">The department to fast track the appointment of the chief information officer  (CIO) to assist in resolving system glitches </w:t>
                  </w:r>
                </w:p>
                <w:p w:rsidR="008C3EAF" w:rsidRDefault="008C3EAF" w:rsidP="00006D09">
                  <w:pPr>
                    <w:pStyle w:val="ListParagraph"/>
                    <w:rPr>
                      <w:rFonts w:ascii="Arial" w:hAnsi="Arial" w:cs="Arial"/>
                      <w:sz w:val="24"/>
                      <w:szCs w:val="24"/>
                    </w:rPr>
                  </w:pPr>
                </w:p>
                <w:p w:rsidR="008C3EAF" w:rsidRDefault="008C3EAF" w:rsidP="00006D09">
                  <w:pPr>
                    <w:pStyle w:val="ListParagraph"/>
                    <w:rPr>
                      <w:rFonts w:ascii="Arial" w:hAnsi="Arial" w:cs="Arial"/>
                      <w:sz w:val="24"/>
                      <w:szCs w:val="24"/>
                    </w:rPr>
                  </w:pPr>
                </w:p>
                <w:p w:rsidR="008C3EAF" w:rsidRDefault="008C3EAF" w:rsidP="00006D09">
                  <w:pPr>
                    <w:pStyle w:val="ListParagraph"/>
                    <w:rPr>
                      <w:rFonts w:ascii="Arial" w:hAnsi="Arial" w:cs="Arial"/>
                      <w:sz w:val="24"/>
                      <w:szCs w:val="24"/>
                    </w:rPr>
                  </w:pPr>
                </w:p>
                <w:p w:rsidR="008C3EAF" w:rsidRPr="003C0E65" w:rsidRDefault="008C3EAF" w:rsidP="008C3EAF">
                  <w:pPr>
                    <w:pStyle w:val="ListParagraph"/>
                    <w:numPr>
                      <w:ilvl w:val="0"/>
                      <w:numId w:val="12"/>
                    </w:numPr>
                    <w:rPr>
                      <w:rFonts w:ascii="Arial" w:hAnsi="Arial" w:cs="Arial"/>
                      <w:sz w:val="24"/>
                      <w:szCs w:val="24"/>
                    </w:rPr>
                  </w:pPr>
                  <w:r w:rsidRPr="003C0E65">
                    <w:rPr>
                      <w:rFonts w:ascii="Arial" w:hAnsi="Arial" w:cs="Arial"/>
                      <w:sz w:val="24"/>
                      <w:szCs w:val="24"/>
                    </w:rPr>
                    <w:t xml:space="preserve">The two Provinces to inform finance for the installation of PoS once the two mobile units are ready for service </w:t>
                  </w:r>
                </w:p>
              </w:tc>
            </w:tr>
            <w:tr w:rsidR="008C3EAF" w:rsidRPr="003B7C1C" w:rsidTr="00006D09">
              <w:trPr>
                <w:trHeight w:val="652"/>
              </w:trPr>
              <w:tc>
                <w:tcPr>
                  <w:tcW w:w="42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C3EAF" w:rsidRPr="006729BD" w:rsidRDefault="008C3EAF" w:rsidP="00006D09">
                  <w:pPr>
                    <w:rPr>
                      <w:rFonts w:ascii="Arial" w:hAnsi="Arial" w:cs="Arial"/>
                      <w:b/>
                      <w:sz w:val="24"/>
                      <w:szCs w:val="24"/>
                    </w:rPr>
                  </w:pPr>
                  <w:r w:rsidRPr="006729BD">
                    <w:rPr>
                      <w:rFonts w:ascii="Arial" w:hAnsi="Arial" w:cs="Arial"/>
                      <w:b/>
                      <w:sz w:val="24"/>
                      <w:szCs w:val="24"/>
                    </w:rPr>
                    <w:t>Technical Related</w:t>
                  </w:r>
                </w:p>
                <w:p w:rsidR="008C3EAF" w:rsidRDefault="008C3EAF" w:rsidP="008C3EAF">
                  <w:pPr>
                    <w:pStyle w:val="ListParagraph"/>
                    <w:numPr>
                      <w:ilvl w:val="0"/>
                      <w:numId w:val="12"/>
                    </w:numPr>
                    <w:rPr>
                      <w:rFonts w:ascii="Arial" w:hAnsi="Arial" w:cs="Arial"/>
                      <w:sz w:val="24"/>
                      <w:szCs w:val="24"/>
                    </w:rPr>
                  </w:pPr>
                  <w:r w:rsidRPr="006729BD">
                    <w:rPr>
                      <w:rFonts w:ascii="Arial" w:hAnsi="Arial" w:cs="Arial"/>
                      <w:sz w:val="24"/>
                      <w:szCs w:val="24"/>
                    </w:rPr>
                    <w:t xml:space="preserve">The office equipment installed in the units sometimes malfunctions which could be ascribed to the terrain where these mobile units work when. </w:t>
                  </w:r>
                  <w:r w:rsidRPr="006729BD">
                    <w:rPr>
                      <w:rFonts w:ascii="Arial" w:hAnsi="Arial" w:cs="Arial"/>
                      <w:sz w:val="24"/>
                      <w:szCs w:val="24"/>
                    </w:rPr>
                    <w:lastRenderedPageBreak/>
                    <w:t>Equipment become loose and often need to be reinstalled.</w:t>
                  </w:r>
                </w:p>
              </w:tc>
              <w:tc>
                <w:tcPr>
                  <w:tcW w:w="79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C3EAF" w:rsidRDefault="008C3EAF" w:rsidP="00006D09">
                  <w:pPr>
                    <w:pStyle w:val="ListParagraph"/>
                    <w:rPr>
                      <w:rFonts w:ascii="Arial" w:hAnsi="Arial" w:cs="Arial"/>
                      <w:sz w:val="24"/>
                      <w:szCs w:val="24"/>
                    </w:rPr>
                  </w:pPr>
                </w:p>
                <w:p w:rsidR="008C3EAF" w:rsidRPr="003C0E65" w:rsidRDefault="008C3EAF" w:rsidP="008C3EAF">
                  <w:pPr>
                    <w:pStyle w:val="ListParagraph"/>
                    <w:numPr>
                      <w:ilvl w:val="0"/>
                      <w:numId w:val="12"/>
                    </w:numPr>
                    <w:rPr>
                      <w:rFonts w:ascii="Arial" w:hAnsi="Arial" w:cs="Arial"/>
                      <w:sz w:val="24"/>
                      <w:szCs w:val="24"/>
                    </w:rPr>
                  </w:pPr>
                  <w:r w:rsidRPr="003C0E65">
                    <w:rPr>
                      <w:rFonts w:ascii="Arial" w:hAnsi="Arial" w:cs="Arial"/>
                      <w:sz w:val="24"/>
                      <w:szCs w:val="24"/>
                    </w:rPr>
                    <w:t>Regular inspections before and after each deployment</w:t>
                  </w:r>
                </w:p>
              </w:tc>
            </w:tr>
            <w:tr w:rsidR="008C3EAF" w:rsidRPr="003B7C1C" w:rsidTr="00006D09">
              <w:trPr>
                <w:trHeight w:val="652"/>
              </w:trPr>
              <w:tc>
                <w:tcPr>
                  <w:tcW w:w="42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8C3EAF" w:rsidRDefault="008C3EAF" w:rsidP="00006D09">
                  <w:pPr>
                    <w:spacing w:line="256" w:lineRule="auto"/>
                    <w:rPr>
                      <w:b/>
                      <w:sz w:val="28"/>
                      <w:szCs w:val="28"/>
                    </w:rPr>
                  </w:pPr>
                  <w:r w:rsidRPr="006729BD">
                    <w:rPr>
                      <w:b/>
                      <w:sz w:val="28"/>
                      <w:szCs w:val="28"/>
                    </w:rPr>
                    <w:lastRenderedPageBreak/>
                    <w:t>Mechanical Related</w:t>
                  </w:r>
                </w:p>
                <w:p w:rsidR="008C3EAF" w:rsidRPr="003B7C1C" w:rsidRDefault="008C3EAF" w:rsidP="008C3EAF">
                  <w:pPr>
                    <w:pStyle w:val="ListParagraph"/>
                    <w:numPr>
                      <w:ilvl w:val="0"/>
                      <w:numId w:val="12"/>
                    </w:numPr>
                    <w:rPr>
                      <w:rFonts w:ascii="Arial" w:hAnsi="Arial" w:cs="Arial"/>
                      <w:sz w:val="24"/>
                      <w:szCs w:val="24"/>
                    </w:rPr>
                  </w:pPr>
                  <w:r>
                    <w:rPr>
                      <w:rFonts w:ascii="Arial" w:hAnsi="Arial" w:cs="Arial"/>
                      <w:sz w:val="24"/>
                      <w:szCs w:val="24"/>
                    </w:rPr>
                    <w:t>Old fleet generation mobile offices experience mechanical breakdown more often due to their lifespan</w:t>
                  </w:r>
                  <w:r w:rsidRPr="003C0E65">
                    <w:rPr>
                      <w:rFonts w:ascii="Arial" w:hAnsi="Arial" w:cs="Arial"/>
                      <w:sz w:val="24"/>
                      <w:szCs w:val="24"/>
                    </w:rPr>
                    <w:t>. The breakdowns range from engine to back office generator and electrical wiring</w:t>
                  </w:r>
                  <w:r>
                    <w:rPr>
                      <w:rFonts w:ascii="Arial" w:hAnsi="Arial" w:cs="Arial"/>
                      <w:sz w:val="24"/>
                      <w:szCs w:val="24"/>
                    </w:rPr>
                    <w:t>.</w:t>
                  </w:r>
                </w:p>
              </w:tc>
              <w:tc>
                <w:tcPr>
                  <w:tcW w:w="79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8C3EAF" w:rsidRDefault="008C3EAF" w:rsidP="00006D09">
                  <w:pPr>
                    <w:pStyle w:val="ListParagraph"/>
                    <w:rPr>
                      <w:rFonts w:ascii="Arial" w:hAnsi="Arial" w:cs="Arial"/>
                      <w:sz w:val="24"/>
                      <w:szCs w:val="24"/>
                    </w:rPr>
                  </w:pPr>
                </w:p>
                <w:p w:rsidR="008C3EAF" w:rsidRDefault="008C3EAF" w:rsidP="00006D09">
                  <w:pPr>
                    <w:pStyle w:val="ListParagraph"/>
                    <w:rPr>
                      <w:rFonts w:ascii="Arial" w:hAnsi="Arial" w:cs="Arial"/>
                      <w:sz w:val="24"/>
                      <w:szCs w:val="24"/>
                    </w:rPr>
                  </w:pPr>
                </w:p>
                <w:p w:rsidR="008C3EAF" w:rsidRDefault="008C3EAF" w:rsidP="008C3EAF">
                  <w:pPr>
                    <w:pStyle w:val="ListParagraph"/>
                    <w:numPr>
                      <w:ilvl w:val="0"/>
                      <w:numId w:val="12"/>
                    </w:numPr>
                    <w:rPr>
                      <w:rFonts w:ascii="Arial" w:hAnsi="Arial" w:cs="Arial"/>
                      <w:sz w:val="24"/>
                      <w:szCs w:val="24"/>
                    </w:rPr>
                  </w:pPr>
                  <w:r>
                    <w:rPr>
                      <w:rFonts w:ascii="Arial" w:hAnsi="Arial" w:cs="Arial"/>
                      <w:sz w:val="24"/>
                      <w:szCs w:val="24"/>
                    </w:rPr>
                    <w:t xml:space="preserve">Decentralisation of fleet services to  directors finance in provinces  </w:t>
                  </w:r>
                </w:p>
                <w:p w:rsidR="008C3EAF" w:rsidRPr="003B7C1C" w:rsidRDefault="008C3EAF" w:rsidP="00006D09">
                  <w:pPr>
                    <w:rPr>
                      <w:rFonts w:ascii="Arial" w:hAnsi="Arial" w:cs="Arial"/>
                      <w:sz w:val="24"/>
                      <w:szCs w:val="24"/>
                    </w:rPr>
                  </w:pPr>
                </w:p>
              </w:tc>
            </w:tr>
          </w:tbl>
          <w:p w:rsidR="008C3EAF" w:rsidRPr="004076DB" w:rsidRDefault="008C3EAF" w:rsidP="00006D09">
            <w:pPr>
              <w:pStyle w:val="ListParagraph"/>
              <w:spacing w:after="160" w:line="259" w:lineRule="auto"/>
              <w:ind w:left="61"/>
              <w:rPr>
                <w:rFonts w:ascii="Arial" w:hAnsi="Arial" w:cs="Arial"/>
                <w:b/>
              </w:rPr>
            </w:pPr>
          </w:p>
        </w:tc>
      </w:tr>
      <w:tr w:rsidR="008C3EAF" w:rsidRPr="004076DB" w:rsidTr="00B81290">
        <w:tc>
          <w:tcPr>
            <w:tcW w:w="4077" w:type="dxa"/>
          </w:tcPr>
          <w:p w:rsidR="008C3EAF" w:rsidRPr="004076DB" w:rsidRDefault="008C3EAF" w:rsidP="00032846">
            <w:pPr>
              <w:rPr>
                <w:rFonts w:ascii="Arial" w:hAnsi="Arial" w:cs="Arial"/>
              </w:rPr>
            </w:pPr>
            <w:r w:rsidRPr="004076DB">
              <w:rPr>
                <w:rFonts w:ascii="Arial" w:hAnsi="Arial" w:cs="Arial"/>
              </w:rPr>
              <w:lastRenderedPageBreak/>
              <w:t>Report on Lindela Repatriation Centre investigation and the deadline of November 2020</w:t>
            </w:r>
          </w:p>
          <w:p w:rsidR="008C3EAF" w:rsidRPr="004076DB" w:rsidRDefault="008C3EAF" w:rsidP="00032846">
            <w:pPr>
              <w:rPr>
                <w:rFonts w:ascii="Arial" w:hAnsi="Arial" w:cs="Arial"/>
              </w:rPr>
            </w:pPr>
          </w:p>
        </w:tc>
        <w:tc>
          <w:tcPr>
            <w:tcW w:w="2694" w:type="dxa"/>
            <w:vMerge w:val="restart"/>
          </w:tcPr>
          <w:p w:rsidR="008C3EAF" w:rsidRPr="004076DB" w:rsidRDefault="008C3EAF">
            <w:pPr>
              <w:rPr>
                <w:rFonts w:ascii="Arial" w:hAnsi="Arial" w:cs="Arial"/>
                <w:b/>
              </w:rPr>
            </w:pPr>
            <w:r w:rsidRPr="004076DB">
              <w:rPr>
                <w:rFonts w:ascii="Arial" w:hAnsi="Arial" w:cs="Arial"/>
                <w:b/>
              </w:rPr>
              <w:t>DDG: IMS</w:t>
            </w:r>
          </w:p>
        </w:tc>
        <w:tc>
          <w:tcPr>
            <w:tcW w:w="4536" w:type="dxa"/>
          </w:tcPr>
          <w:p w:rsidR="008C3EAF" w:rsidRPr="008340C3" w:rsidRDefault="008C3EAF" w:rsidP="008340C3">
            <w:pPr>
              <w:ind w:left="100" w:right="100"/>
              <w:jc w:val="both"/>
              <w:rPr>
                <w:rFonts w:ascii="Times New Roman" w:eastAsia="Times New Roman" w:hAnsi="Times New Roman" w:cs="Times New Roman"/>
                <w:sz w:val="24"/>
                <w:szCs w:val="24"/>
                <w:lang w:eastAsia="en-ZA"/>
              </w:rPr>
            </w:pPr>
            <w:r w:rsidRPr="008340C3">
              <w:rPr>
                <w:rFonts w:ascii="Arial" w:eastAsia="Times New Roman" w:hAnsi="Arial" w:cs="Arial"/>
                <w:sz w:val="24"/>
                <w:szCs w:val="24"/>
                <w:lang w:eastAsia="en-ZA"/>
              </w:rPr>
              <w:t>The nine security guards who were suspended by Enviromongz were charged with “aiding and abetting”, subsequent to the escapes on 2 May 2020. However, the charges were withdrawn, and the security guards were subsequently dismissed.</w:t>
            </w:r>
          </w:p>
          <w:p w:rsidR="008C3EAF" w:rsidRPr="008340C3" w:rsidRDefault="008C3EAF" w:rsidP="008340C3">
            <w:pPr>
              <w:ind w:left="100" w:right="100"/>
              <w:rPr>
                <w:rFonts w:ascii="Times New Roman" w:eastAsia="Times New Roman" w:hAnsi="Times New Roman" w:cs="Times New Roman"/>
                <w:sz w:val="24"/>
                <w:szCs w:val="24"/>
                <w:lang w:eastAsia="en-ZA"/>
              </w:rPr>
            </w:pPr>
            <w:r w:rsidRPr="008340C3">
              <w:rPr>
                <w:rFonts w:ascii="Times New Roman" w:eastAsia="Times New Roman" w:hAnsi="Times New Roman" w:cs="Times New Roman"/>
                <w:sz w:val="24"/>
                <w:szCs w:val="24"/>
                <w:lang w:eastAsia="en-ZA"/>
              </w:rPr>
              <w:t> </w:t>
            </w:r>
          </w:p>
          <w:p w:rsidR="008C3EAF" w:rsidRPr="008340C3" w:rsidRDefault="008C3EAF" w:rsidP="008340C3">
            <w:pPr>
              <w:ind w:left="100" w:right="100"/>
              <w:jc w:val="both"/>
              <w:rPr>
                <w:rFonts w:ascii="Times New Roman" w:eastAsia="Times New Roman" w:hAnsi="Times New Roman" w:cs="Times New Roman"/>
                <w:sz w:val="24"/>
                <w:szCs w:val="24"/>
                <w:lang w:eastAsia="en-ZA"/>
              </w:rPr>
            </w:pPr>
            <w:r w:rsidRPr="008340C3">
              <w:rPr>
                <w:rFonts w:ascii="Arial" w:eastAsia="Times New Roman" w:hAnsi="Arial" w:cs="Arial"/>
                <w:sz w:val="24"/>
                <w:szCs w:val="24"/>
                <w:lang w:eastAsia="en-ZA"/>
              </w:rPr>
              <w:t xml:space="preserve">The criminal investigation proceeded against one former security guard who was allegedly seen talking to the deportees. He allegedly informed them that there was a lesser number of security guards, and therefore they could leave the facility. A total </w:t>
            </w:r>
            <w:r w:rsidRPr="008340C3">
              <w:rPr>
                <w:rFonts w:ascii="Arial" w:eastAsia="Times New Roman" w:hAnsi="Arial" w:cs="Arial"/>
                <w:lang w:eastAsia="en-ZA"/>
              </w:rPr>
              <w:t xml:space="preserve">of 37 deportees escaped. </w:t>
            </w:r>
          </w:p>
          <w:p w:rsidR="008C3EAF" w:rsidRPr="008340C3" w:rsidRDefault="008C3EAF" w:rsidP="008340C3">
            <w:pPr>
              <w:ind w:left="100" w:right="100"/>
              <w:rPr>
                <w:rFonts w:ascii="Times New Roman" w:eastAsia="Times New Roman" w:hAnsi="Times New Roman" w:cs="Times New Roman"/>
                <w:sz w:val="24"/>
                <w:szCs w:val="24"/>
                <w:lang w:eastAsia="en-ZA"/>
              </w:rPr>
            </w:pPr>
            <w:r w:rsidRPr="008340C3">
              <w:rPr>
                <w:rFonts w:ascii="Times New Roman" w:eastAsia="Times New Roman" w:hAnsi="Times New Roman" w:cs="Times New Roman"/>
                <w:sz w:val="24"/>
                <w:szCs w:val="24"/>
                <w:lang w:eastAsia="en-ZA"/>
              </w:rPr>
              <w:t> </w:t>
            </w:r>
          </w:p>
          <w:p w:rsidR="008C3EAF" w:rsidRPr="008340C3" w:rsidRDefault="008C3EAF" w:rsidP="008340C3">
            <w:pPr>
              <w:ind w:left="100" w:right="100"/>
              <w:jc w:val="both"/>
              <w:rPr>
                <w:rFonts w:ascii="Times New Roman" w:eastAsia="Times New Roman" w:hAnsi="Times New Roman" w:cs="Times New Roman"/>
                <w:sz w:val="24"/>
                <w:szCs w:val="24"/>
                <w:lang w:eastAsia="en-ZA"/>
              </w:rPr>
            </w:pPr>
            <w:r w:rsidRPr="008340C3">
              <w:rPr>
                <w:rFonts w:ascii="Arial" w:eastAsia="Times New Roman" w:hAnsi="Arial" w:cs="Arial"/>
                <w:sz w:val="24"/>
                <w:szCs w:val="24"/>
                <w:lang w:eastAsia="en-ZA"/>
              </w:rPr>
              <w:t xml:space="preserve">A forensic investigation on his identity was initiated in May 2020, but, he was not pointed </w:t>
            </w:r>
            <w:r w:rsidRPr="008340C3">
              <w:rPr>
                <w:rFonts w:ascii="Arial" w:eastAsia="Times New Roman" w:hAnsi="Arial" w:cs="Arial"/>
                <w:lang w:eastAsia="en-ZA"/>
              </w:rPr>
              <w:t xml:space="preserve">out at an identity parade in August 2020. The NPA will guide the investigation further. </w:t>
            </w:r>
          </w:p>
          <w:p w:rsidR="008C3EAF" w:rsidRPr="008340C3" w:rsidRDefault="008C3EAF" w:rsidP="008340C3">
            <w:pPr>
              <w:ind w:left="100" w:right="100"/>
              <w:rPr>
                <w:rFonts w:ascii="Times New Roman" w:eastAsia="Times New Roman" w:hAnsi="Times New Roman" w:cs="Times New Roman"/>
                <w:sz w:val="24"/>
                <w:szCs w:val="24"/>
                <w:lang w:eastAsia="en-ZA"/>
              </w:rPr>
            </w:pPr>
            <w:r w:rsidRPr="008340C3">
              <w:rPr>
                <w:rFonts w:ascii="Times New Roman" w:eastAsia="Times New Roman" w:hAnsi="Times New Roman" w:cs="Times New Roman"/>
                <w:sz w:val="24"/>
                <w:szCs w:val="24"/>
                <w:lang w:eastAsia="en-ZA"/>
              </w:rPr>
              <w:t> </w:t>
            </w:r>
          </w:p>
          <w:p w:rsidR="008C3EAF" w:rsidRPr="008340C3" w:rsidRDefault="008C3EAF" w:rsidP="008340C3">
            <w:pPr>
              <w:ind w:left="100" w:right="100"/>
              <w:jc w:val="both"/>
              <w:rPr>
                <w:rFonts w:ascii="Times New Roman" w:eastAsia="Times New Roman" w:hAnsi="Times New Roman" w:cs="Times New Roman"/>
                <w:sz w:val="24"/>
                <w:szCs w:val="24"/>
                <w:lang w:eastAsia="en-ZA"/>
              </w:rPr>
            </w:pPr>
            <w:r w:rsidRPr="008340C3">
              <w:rPr>
                <w:rFonts w:ascii="Arial" w:eastAsia="Times New Roman" w:hAnsi="Arial" w:cs="Arial"/>
                <w:sz w:val="24"/>
                <w:szCs w:val="24"/>
                <w:lang w:eastAsia="en-ZA"/>
              </w:rPr>
              <w:t xml:space="preserve">In relation to the deadline of 10 November 2020, the tender for a facility management company was advertised on 10 July 2020, after the property had been purchase by the National Department of Public Works on behalf of the Department of Home Affairs.  </w:t>
            </w:r>
          </w:p>
          <w:p w:rsidR="008C3EAF" w:rsidRPr="008340C3" w:rsidRDefault="008C3EAF" w:rsidP="008340C3">
            <w:pPr>
              <w:ind w:left="100" w:right="100"/>
              <w:rPr>
                <w:rFonts w:ascii="Times New Roman" w:eastAsia="Times New Roman" w:hAnsi="Times New Roman" w:cs="Times New Roman"/>
                <w:sz w:val="24"/>
                <w:szCs w:val="24"/>
                <w:lang w:eastAsia="en-ZA"/>
              </w:rPr>
            </w:pPr>
            <w:r w:rsidRPr="008340C3">
              <w:rPr>
                <w:rFonts w:ascii="Times New Roman" w:eastAsia="Times New Roman" w:hAnsi="Times New Roman" w:cs="Times New Roman"/>
                <w:sz w:val="24"/>
                <w:szCs w:val="24"/>
                <w:lang w:eastAsia="en-ZA"/>
              </w:rPr>
              <w:t> </w:t>
            </w:r>
          </w:p>
          <w:p w:rsidR="008C3EAF" w:rsidRPr="008340C3" w:rsidRDefault="008C3EAF" w:rsidP="008340C3">
            <w:pPr>
              <w:ind w:left="100" w:right="100"/>
              <w:jc w:val="both"/>
              <w:rPr>
                <w:rFonts w:ascii="Times New Roman" w:eastAsia="Times New Roman" w:hAnsi="Times New Roman" w:cs="Times New Roman"/>
                <w:sz w:val="24"/>
                <w:szCs w:val="24"/>
                <w:lang w:eastAsia="en-ZA"/>
              </w:rPr>
            </w:pPr>
            <w:r w:rsidRPr="008340C3">
              <w:rPr>
                <w:rFonts w:ascii="Arial" w:eastAsia="Times New Roman" w:hAnsi="Arial" w:cs="Arial"/>
                <w:sz w:val="24"/>
                <w:szCs w:val="24"/>
                <w:lang w:eastAsia="en-ZA"/>
              </w:rPr>
              <w:t xml:space="preserve">A virtual non-compulsory briefing session was held on 17 July 2020, followed by a voluntary site visit </w:t>
            </w:r>
            <w:r w:rsidRPr="008340C3">
              <w:rPr>
                <w:rFonts w:ascii="Arial" w:eastAsia="Times New Roman" w:hAnsi="Arial" w:cs="Arial"/>
                <w:sz w:val="24"/>
                <w:szCs w:val="24"/>
                <w:lang w:eastAsia="en-ZA"/>
              </w:rPr>
              <w:lastRenderedPageBreak/>
              <w:t xml:space="preserve">on 20 July 2020. Requests from prospective bidders for an extension of the tender closing date were granted by the Bid Adjudication Committee on 12 August 2020. </w:t>
            </w:r>
          </w:p>
          <w:p w:rsidR="008C3EAF" w:rsidRPr="008340C3" w:rsidRDefault="008C3EAF" w:rsidP="008340C3">
            <w:pPr>
              <w:ind w:left="100" w:right="100"/>
              <w:rPr>
                <w:rFonts w:ascii="Times New Roman" w:eastAsia="Times New Roman" w:hAnsi="Times New Roman" w:cs="Times New Roman"/>
                <w:sz w:val="24"/>
                <w:szCs w:val="24"/>
                <w:lang w:eastAsia="en-ZA"/>
              </w:rPr>
            </w:pPr>
            <w:r w:rsidRPr="008340C3">
              <w:rPr>
                <w:rFonts w:ascii="Times New Roman" w:eastAsia="Times New Roman" w:hAnsi="Times New Roman" w:cs="Times New Roman"/>
                <w:sz w:val="24"/>
                <w:szCs w:val="24"/>
                <w:lang w:eastAsia="en-ZA"/>
              </w:rPr>
              <w:t> </w:t>
            </w:r>
          </w:p>
          <w:p w:rsidR="008C3EAF" w:rsidRPr="008340C3" w:rsidRDefault="008C3EAF" w:rsidP="008340C3">
            <w:pPr>
              <w:ind w:left="100" w:right="100"/>
              <w:jc w:val="both"/>
              <w:rPr>
                <w:rFonts w:ascii="Times New Roman" w:eastAsia="Times New Roman" w:hAnsi="Times New Roman" w:cs="Times New Roman"/>
                <w:sz w:val="24"/>
                <w:szCs w:val="24"/>
                <w:lang w:eastAsia="en-ZA"/>
              </w:rPr>
            </w:pPr>
            <w:r w:rsidRPr="008340C3">
              <w:rPr>
                <w:rFonts w:ascii="Arial" w:eastAsia="Times New Roman" w:hAnsi="Arial" w:cs="Arial"/>
                <w:sz w:val="24"/>
                <w:szCs w:val="24"/>
                <w:lang w:eastAsia="en-ZA"/>
              </w:rPr>
              <w:t>This was on the basis of the size of the five-year tender, and that it would most probable require the formation of joint ventures amongst companies to deal with the range of services required, viz. security, cleaning, catering, laundry and health.</w:t>
            </w:r>
          </w:p>
          <w:p w:rsidR="008C3EAF" w:rsidRPr="008340C3" w:rsidRDefault="008C3EAF" w:rsidP="008340C3">
            <w:pPr>
              <w:ind w:left="100" w:right="100"/>
              <w:rPr>
                <w:rFonts w:ascii="Times New Roman" w:eastAsia="Times New Roman" w:hAnsi="Times New Roman" w:cs="Times New Roman"/>
                <w:sz w:val="24"/>
                <w:szCs w:val="24"/>
                <w:lang w:eastAsia="en-ZA"/>
              </w:rPr>
            </w:pPr>
            <w:r w:rsidRPr="008340C3">
              <w:rPr>
                <w:rFonts w:ascii="Times New Roman" w:eastAsia="Times New Roman" w:hAnsi="Times New Roman" w:cs="Times New Roman"/>
                <w:sz w:val="24"/>
                <w:szCs w:val="24"/>
                <w:lang w:eastAsia="en-ZA"/>
              </w:rPr>
              <w:t> </w:t>
            </w:r>
          </w:p>
          <w:p w:rsidR="008C3EAF" w:rsidRPr="008340C3" w:rsidRDefault="008C3EAF" w:rsidP="008340C3">
            <w:pPr>
              <w:ind w:left="100" w:right="100"/>
              <w:jc w:val="both"/>
              <w:rPr>
                <w:rFonts w:ascii="Times New Roman" w:eastAsia="Times New Roman" w:hAnsi="Times New Roman" w:cs="Times New Roman"/>
                <w:sz w:val="24"/>
                <w:szCs w:val="24"/>
                <w:lang w:eastAsia="en-ZA"/>
              </w:rPr>
            </w:pPr>
            <w:r w:rsidRPr="008340C3">
              <w:rPr>
                <w:rFonts w:ascii="Arial" w:eastAsia="Times New Roman" w:hAnsi="Arial" w:cs="Arial"/>
                <w:sz w:val="24"/>
                <w:szCs w:val="24"/>
                <w:lang w:eastAsia="en-ZA"/>
              </w:rPr>
              <w:t xml:space="preserve">The closing date has been extended from 14 August 2020 to 21 August 2020. </w:t>
            </w:r>
          </w:p>
          <w:p w:rsidR="008C3EAF" w:rsidRPr="008340C3" w:rsidRDefault="008C3EAF" w:rsidP="008340C3">
            <w:pPr>
              <w:ind w:left="100" w:right="100"/>
              <w:rPr>
                <w:rFonts w:ascii="Times New Roman" w:eastAsia="Times New Roman" w:hAnsi="Times New Roman" w:cs="Times New Roman"/>
                <w:sz w:val="24"/>
                <w:szCs w:val="24"/>
                <w:lang w:eastAsia="en-ZA"/>
              </w:rPr>
            </w:pPr>
            <w:r w:rsidRPr="008340C3">
              <w:rPr>
                <w:rFonts w:ascii="Times New Roman" w:eastAsia="Times New Roman" w:hAnsi="Times New Roman" w:cs="Times New Roman"/>
                <w:sz w:val="24"/>
                <w:szCs w:val="24"/>
                <w:lang w:eastAsia="en-ZA"/>
              </w:rPr>
              <w:t> </w:t>
            </w:r>
          </w:p>
          <w:p w:rsidR="008C3EAF" w:rsidRPr="008340C3" w:rsidRDefault="008C3EAF" w:rsidP="008340C3">
            <w:pPr>
              <w:ind w:left="100" w:right="100"/>
              <w:jc w:val="both"/>
              <w:rPr>
                <w:rFonts w:ascii="Times New Roman" w:eastAsia="Times New Roman" w:hAnsi="Times New Roman" w:cs="Times New Roman"/>
                <w:sz w:val="24"/>
                <w:szCs w:val="24"/>
                <w:lang w:eastAsia="en-ZA"/>
              </w:rPr>
            </w:pPr>
            <w:r w:rsidRPr="008340C3">
              <w:rPr>
                <w:rFonts w:ascii="Arial" w:eastAsia="Times New Roman" w:hAnsi="Arial" w:cs="Arial"/>
                <w:sz w:val="24"/>
                <w:szCs w:val="24"/>
                <w:lang w:eastAsia="en-ZA"/>
              </w:rPr>
              <w:t>The evaluation period is targeted for completion by 30 September 2020, to allow for a transitional period from 1 to 31 October 2020 before the assumption of the contract by the successful bidders.</w:t>
            </w:r>
          </w:p>
          <w:p w:rsidR="008C3EAF" w:rsidRPr="004076DB" w:rsidRDefault="008C3EAF">
            <w:pPr>
              <w:rPr>
                <w:rFonts w:ascii="Arial" w:hAnsi="Arial" w:cs="Arial"/>
                <w:b/>
              </w:rPr>
            </w:pPr>
          </w:p>
        </w:tc>
      </w:tr>
      <w:tr w:rsidR="008C3EAF" w:rsidRPr="004076DB" w:rsidTr="00B81290">
        <w:tc>
          <w:tcPr>
            <w:tcW w:w="4077" w:type="dxa"/>
          </w:tcPr>
          <w:p w:rsidR="008C3EAF" w:rsidRPr="004076DB" w:rsidRDefault="008C3EAF" w:rsidP="00032846">
            <w:pPr>
              <w:rPr>
                <w:rFonts w:ascii="Arial" w:hAnsi="Arial" w:cs="Arial"/>
              </w:rPr>
            </w:pPr>
            <w:r w:rsidRPr="004076DB">
              <w:rPr>
                <w:rFonts w:ascii="Arial" w:hAnsi="Arial" w:cs="Arial"/>
              </w:rPr>
              <w:lastRenderedPageBreak/>
              <w:t>Report on the extension of VFS Contract.</w:t>
            </w:r>
          </w:p>
        </w:tc>
        <w:tc>
          <w:tcPr>
            <w:tcW w:w="2694" w:type="dxa"/>
            <w:vMerge/>
          </w:tcPr>
          <w:p w:rsidR="008C3EAF" w:rsidRPr="004076DB" w:rsidRDefault="008C3EAF">
            <w:pPr>
              <w:rPr>
                <w:rFonts w:ascii="Arial" w:hAnsi="Arial" w:cs="Arial"/>
                <w:b/>
              </w:rPr>
            </w:pPr>
          </w:p>
        </w:tc>
        <w:tc>
          <w:tcPr>
            <w:tcW w:w="4536" w:type="dxa"/>
          </w:tcPr>
          <w:p w:rsidR="008C3EAF" w:rsidRPr="00AA2B44" w:rsidRDefault="008C3EAF" w:rsidP="00AA2B44">
            <w:pPr>
              <w:ind w:left="100" w:right="100"/>
              <w:jc w:val="both"/>
              <w:rPr>
                <w:rFonts w:ascii="Times New Roman" w:eastAsia="Times New Roman" w:hAnsi="Times New Roman" w:cs="Times New Roman"/>
                <w:sz w:val="24"/>
                <w:szCs w:val="24"/>
                <w:lang w:eastAsia="en-ZA"/>
              </w:rPr>
            </w:pPr>
            <w:r w:rsidRPr="00AA2B44">
              <w:rPr>
                <w:rFonts w:ascii="Arial" w:eastAsia="Times New Roman" w:hAnsi="Arial" w:cs="Arial"/>
                <w:sz w:val="24"/>
                <w:szCs w:val="24"/>
                <w:lang w:eastAsia="en-ZA"/>
              </w:rPr>
              <w:t>Subsequent to the submission of the Department to the Portfolio Committee and the advice received from the Committee, the Department met with VFS Global during June 2020 to inform them of the Department’s intention to extend the contract and to discuss the way forward. VFS is currently consulting with their Top Management as part of their governance structure to review the terms and conditions of the contract. The contract provides the Department with the right to extend the contract for a successive renewal period of 36 months each. “This agreement may be renewed by DHA upon written notice to VFS Global at least 60 (Sixty) calendar days prior to the expiry of this agreement for successive renewal periods of 36 (thirty six) months each or such shorter period as DHA may deem necessary on the same terms and conditions then in effect under this agreement (the “Renewal Term”).”</w:t>
            </w:r>
          </w:p>
          <w:p w:rsidR="008C3EAF" w:rsidRPr="00AA2B44" w:rsidRDefault="008C3EAF" w:rsidP="00AA2B44">
            <w:pPr>
              <w:ind w:left="100" w:right="100"/>
              <w:rPr>
                <w:rFonts w:ascii="Times New Roman" w:eastAsia="Times New Roman" w:hAnsi="Times New Roman" w:cs="Times New Roman"/>
                <w:sz w:val="24"/>
                <w:szCs w:val="24"/>
                <w:lang w:eastAsia="en-ZA"/>
              </w:rPr>
            </w:pPr>
            <w:r w:rsidRPr="00AA2B44">
              <w:rPr>
                <w:rFonts w:ascii="Times New Roman" w:eastAsia="Times New Roman" w:hAnsi="Times New Roman" w:cs="Times New Roman"/>
                <w:sz w:val="24"/>
                <w:szCs w:val="24"/>
                <w:lang w:eastAsia="en-ZA"/>
              </w:rPr>
              <w:t> </w:t>
            </w:r>
          </w:p>
          <w:p w:rsidR="008C3EAF" w:rsidRPr="00AA2B44" w:rsidRDefault="008C3EAF" w:rsidP="00AA2B44">
            <w:pPr>
              <w:ind w:left="100" w:right="100"/>
              <w:jc w:val="both"/>
              <w:rPr>
                <w:rFonts w:ascii="Times New Roman" w:eastAsia="Times New Roman" w:hAnsi="Times New Roman" w:cs="Times New Roman"/>
                <w:sz w:val="24"/>
                <w:szCs w:val="24"/>
                <w:lang w:eastAsia="en-ZA"/>
              </w:rPr>
            </w:pPr>
            <w:r w:rsidRPr="00AA2B44">
              <w:rPr>
                <w:rFonts w:ascii="Arial" w:eastAsia="Times New Roman" w:hAnsi="Arial" w:cs="Arial"/>
                <w:sz w:val="24"/>
                <w:szCs w:val="24"/>
                <w:lang w:eastAsia="en-ZA"/>
              </w:rPr>
              <w:t>Both parties (DHA and VFS) will further consult with their respective Legal Departments to work on the addendum to the contract. The addendum will set the conditions for extension.</w:t>
            </w:r>
          </w:p>
          <w:p w:rsidR="008C3EAF" w:rsidRPr="00AA2B44" w:rsidRDefault="008C3EAF" w:rsidP="00AA2B44">
            <w:pPr>
              <w:ind w:left="100" w:right="100"/>
              <w:rPr>
                <w:rFonts w:ascii="Times New Roman" w:eastAsia="Times New Roman" w:hAnsi="Times New Roman" w:cs="Times New Roman"/>
                <w:sz w:val="24"/>
                <w:szCs w:val="24"/>
                <w:lang w:eastAsia="en-ZA"/>
              </w:rPr>
            </w:pPr>
            <w:r w:rsidRPr="00AA2B44">
              <w:rPr>
                <w:rFonts w:ascii="Times New Roman" w:eastAsia="Times New Roman" w:hAnsi="Times New Roman" w:cs="Times New Roman"/>
                <w:sz w:val="24"/>
                <w:szCs w:val="24"/>
                <w:lang w:eastAsia="en-ZA"/>
              </w:rPr>
              <w:t> </w:t>
            </w:r>
          </w:p>
          <w:p w:rsidR="008C3EAF" w:rsidRPr="00AA2B44" w:rsidRDefault="008C3EAF" w:rsidP="00AA2B44">
            <w:pPr>
              <w:ind w:left="100" w:right="100"/>
              <w:jc w:val="both"/>
              <w:rPr>
                <w:rFonts w:ascii="Times New Roman" w:eastAsia="Times New Roman" w:hAnsi="Times New Roman" w:cs="Times New Roman"/>
                <w:sz w:val="24"/>
                <w:szCs w:val="24"/>
                <w:lang w:eastAsia="en-ZA"/>
              </w:rPr>
            </w:pPr>
            <w:r w:rsidRPr="00AA2B44">
              <w:rPr>
                <w:rFonts w:ascii="Arial" w:eastAsia="Times New Roman" w:hAnsi="Arial" w:cs="Arial"/>
                <w:sz w:val="24"/>
                <w:szCs w:val="24"/>
                <w:lang w:eastAsia="en-ZA"/>
              </w:rPr>
              <w:t>DHA will meet with VFS during the month of August 2020 for updates on consultations.</w:t>
            </w:r>
          </w:p>
          <w:p w:rsidR="008C3EAF" w:rsidRPr="00AA2B44" w:rsidRDefault="008C3EAF" w:rsidP="00AA2B44">
            <w:pPr>
              <w:ind w:left="100" w:right="100"/>
              <w:rPr>
                <w:rFonts w:ascii="Times New Roman" w:eastAsia="Times New Roman" w:hAnsi="Times New Roman" w:cs="Times New Roman"/>
                <w:sz w:val="24"/>
                <w:szCs w:val="24"/>
                <w:lang w:eastAsia="en-ZA"/>
              </w:rPr>
            </w:pPr>
            <w:r w:rsidRPr="00AA2B44">
              <w:rPr>
                <w:rFonts w:ascii="Times New Roman" w:eastAsia="Times New Roman" w:hAnsi="Times New Roman" w:cs="Times New Roman"/>
                <w:sz w:val="24"/>
                <w:szCs w:val="24"/>
                <w:lang w:eastAsia="en-ZA"/>
              </w:rPr>
              <w:t> </w:t>
            </w:r>
          </w:p>
          <w:p w:rsidR="008C3EAF" w:rsidRPr="00AA2B44" w:rsidRDefault="008C3EAF" w:rsidP="00AA2B44">
            <w:pPr>
              <w:ind w:left="100" w:right="100"/>
              <w:jc w:val="both"/>
              <w:rPr>
                <w:rFonts w:ascii="Times New Roman" w:eastAsia="Times New Roman" w:hAnsi="Times New Roman" w:cs="Times New Roman"/>
                <w:sz w:val="24"/>
                <w:szCs w:val="24"/>
                <w:lang w:eastAsia="en-ZA"/>
              </w:rPr>
            </w:pPr>
            <w:r w:rsidRPr="00AA2B44">
              <w:rPr>
                <w:rFonts w:ascii="Arial" w:eastAsia="Times New Roman" w:hAnsi="Arial" w:cs="Arial"/>
                <w:sz w:val="24"/>
                <w:szCs w:val="24"/>
                <w:lang w:eastAsia="en-ZA"/>
              </w:rPr>
              <w:t>Since this contract expires on 31 December 2020, it is expected that the current process to extend the contract will be concluded on or before 30 September 2020, which is in compliance with contract conditions between the two Parties.</w:t>
            </w:r>
          </w:p>
          <w:p w:rsidR="008C3EAF" w:rsidRPr="00655DEF" w:rsidRDefault="008C3EAF">
            <w:pPr>
              <w:rPr>
                <w:rFonts w:ascii="Arial" w:hAnsi="Arial" w:cs="Arial"/>
                <w:b/>
                <w:sz w:val="24"/>
                <w:szCs w:val="24"/>
              </w:rPr>
            </w:pPr>
          </w:p>
        </w:tc>
      </w:tr>
      <w:tr w:rsidR="008C3EAF" w:rsidRPr="004076DB" w:rsidTr="00B81290">
        <w:tc>
          <w:tcPr>
            <w:tcW w:w="4077" w:type="dxa"/>
          </w:tcPr>
          <w:p w:rsidR="008C3EAF" w:rsidRPr="004076DB" w:rsidRDefault="008C3EAF" w:rsidP="00032846">
            <w:pPr>
              <w:rPr>
                <w:rFonts w:ascii="Arial" w:hAnsi="Arial" w:cs="Arial"/>
              </w:rPr>
            </w:pPr>
            <w:r w:rsidRPr="004076DB">
              <w:rPr>
                <w:rFonts w:ascii="Arial" w:hAnsi="Arial" w:cs="Arial"/>
              </w:rPr>
              <w:lastRenderedPageBreak/>
              <w:t>Plans on the Cape Town Refugees (How long will they stay at the site)</w:t>
            </w:r>
          </w:p>
        </w:tc>
        <w:tc>
          <w:tcPr>
            <w:tcW w:w="2694" w:type="dxa"/>
            <w:vMerge/>
          </w:tcPr>
          <w:p w:rsidR="008C3EAF" w:rsidRPr="004076DB" w:rsidRDefault="008C3EAF">
            <w:pPr>
              <w:rPr>
                <w:rFonts w:ascii="Arial" w:hAnsi="Arial" w:cs="Arial"/>
                <w:b/>
              </w:rPr>
            </w:pPr>
          </w:p>
        </w:tc>
        <w:tc>
          <w:tcPr>
            <w:tcW w:w="4536" w:type="dxa"/>
          </w:tcPr>
          <w:p w:rsidR="008C3EAF" w:rsidRPr="003741B9" w:rsidRDefault="008C3EAF" w:rsidP="003741B9">
            <w:pPr>
              <w:ind w:left="100" w:right="100"/>
              <w:jc w:val="both"/>
              <w:rPr>
                <w:rFonts w:ascii="Times New Roman" w:eastAsia="Times New Roman" w:hAnsi="Times New Roman" w:cs="Times New Roman"/>
                <w:sz w:val="24"/>
                <w:szCs w:val="24"/>
                <w:lang w:eastAsia="en-ZA"/>
              </w:rPr>
            </w:pPr>
            <w:r w:rsidRPr="003741B9">
              <w:rPr>
                <w:rFonts w:ascii="Arial" w:eastAsia="Times New Roman" w:hAnsi="Arial" w:cs="Arial"/>
                <w:sz w:val="24"/>
                <w:szCs w:val="24"/>
                <w:lang w:eastAsia="en-ZA"/>
              </w:rPr>
              <w:t>Cases of Refugee Protestors who were based at Green Market Square in Cape Town are still been processed by the Refugee Appeals Board (RAB).  Those that need an appeal outcome are awaiting a hearing opportunity, which we were unable to conduct due to lockdown regulations and the closure of the Refugee Reception Centre.</w:t>
            </w:r>
          </w:p>
          <w:p w:rsidR="008C3EAF" w:rsidRPr="003741B9" w:rsidRDefault="008C3EAF" w:rsidP="003741B9">
            <w:pPr>
              <w:ind w:left="100" w:right="100"/>
              <w:rPr>
                <w:rFonts w:ascii="Times New Roman" w:eastAsia="Times New Roman" w:hAnsi="Times New Roman" w:cs="Times New Roman"/>
                <w:sz w:val="24"/>
                <w:szCs w:val="24"/>
                <w:lang w:eastAsia="en-ZA"/>
              </w:rPr>
            </w:pPr>
            <w:r w:rsidRPr="003741B9">
              <w:rPr>
                <w:rFonts w:ascii="Times New Roman" w:eastAsia="Times New Roman" w:hAnsi="Times New Roman" w:cs="Times New Roman"/>
                <w:sz w:val="24"/>
                <w:szCs w:val="24"/>
                <w:lang w:eastAsia="en-ZA"/>
              </w:rPr>
              <w:t> </w:t>
            </w:r>
          </w:p>
          <w:p w:rsidR="008C3EAF" w:rsidRPr="003741B9" w:rsidRDefault="008C3EAF" w:rsidP="003741B9">
            <w:pPr>
              <w:ind w:left="100" w:right="100"/>
              <w:jc w:val="both"/>
              <w:rPr>
                <w:rFonts w:ascii="Times New Roman" w:eastAsia="Times New Roman" w:hAnsi="Times New Roman" w:cs="Times New Roman"/>
                <w:sz w:val="24"/>
                <w:szCs w:val="24"/>
                <w:lang w:eastAsia="en-ZA"/>
              </w:rPr>
            </w:pPr>
            <w:r w:rsidRPr="003741B9">
              <w:rPr>
                <w:rFonts w:ascii="Arial" w:eastAsia="Times New Roman" w:hAnsi="Arial" w:cs="Arial"/>
                <w:sz w:val="24"/>
                <w:szCs w:val="24"/>
                <w:lang w:eastAsia="en-ZA"/>
              </w:rPr>
              <w:t xml:space="preserve">Prior to the outbreak of the Coronavirus it was agreed between the City of Cape Town and the Premiers Office that the reintegration process would start immediately after the verification was concluded. Resources to reintegrate were offered by the City of Cape Town but none of the Refugee protestors came forward to take up the offer. </w:t>
            </w:r>
          </w:p>
          <w:p w:rsidR="008C3EAF" w:rsidRPr="003741B9" w:rsidRDefault="008C3EAF" w:rsidP="003741B9">
            <w:pPr>
              <w:ind w:left="100" w:right="100"/>
              <w:rPr>
                <w:rFonts w:ascii="Times New Roman" w:eastAsia="Times New Roman" w:hAnsi="Times New Roman" w:cs="Times New Roman"/>
                <w:sz w:val="24"/>
                <w:szCs w:val="24"/>
                <w:lang w:eastAsia="en-ZA"/>
              </w:rPr>
            </w:pPr>
            <w:r w:rsidRPr="003741B9">
              <w:rPr>
                <w:rFonts w:ascii="Times New Roman" w:eastAsia="Times New Roman" w:hAnsi="Times New Roman" w:cs="Times New Roman"/>
                <w:sz w:val="24"/>
                <w:szCs w:val="24"/>
                <w:lang w:eastAsia="en-ZA"/>
              </w:rPr>
              <w:t> </w:t>
            </w:r>
          </w:p>
          <w:p w:rsidR="008C3EAF" w:rsidRPr="003741B9" w:rsidRDefault="008C3EAF" w:rsidP="003741B9">
            <w:pPr>
              <w:ind w:left="100" w:right="100"/>
              <w:jc w:val="both"/>
              <w:rPr>
                <w:rFonts w:ascii="Times New Roman" w:eastAsia="Times New Roman" w:hAnsi="Times New Roman" w:cs="Times New Roman"/>
                <w:sz w:val="24"/>
                <w:szCs w:val="24"/>
                <w:lang w:eastAsia="en-ZA"/>
              </w:rPr>
            </w:pPr>
            <w:r w:rsidRPr="003741B9">
              <w:rPr>
                <w:rFonts w:ascii="Arial" w:eastAsia="Times New Roman" w:hAnsi="Arial" w:cs="Arial"/>
                <w:sz w:val="24"/>
                <w:szCs w:val="24"/>
                <w:lang w:eastAsia="en-ZA"/>
              </w:rPr>
              <w:t xml:space="preserve">The risk of the loss of life and the uncontrolled spread of the Coronavirus resulted in the establishment of a temporary shelter by the City of Cape Town in collaboration with Department of Public Works in Bellville and Wingfield. The centres were established to provide shelter to destitute South Africans and Refugees living on the streets of Cape Town as well as the Refugees illegally occupying the Methodist Church. These centres were intended to serve as processing centres for reintegration once the Coronavirus lock-down risk levels were lifted. </w:t>
            </w:r>
          </w:p>
          <w:p w:rsidR="008C3EAF" w:rsidRPr="003741B9" w:rsidRDefault="008C3EAF" w:rsidP="003741B9">
            <w:pPr>
              <w:ind w:left="100" w:right="100"/>
              <w:rPr>
                <w:rFonts w:ascii="Times New Roman" w:eastAsia="Times New Roman" w:hAnsi="Times New Roman" w:cs="Times New Roman"/>
                <w:sz w:val="24"/>
                <w:szCs w:val="24"/>
                <w:lang w:eastAsia="en-ZA"/>
              </w:rPr>
            </w:pPr>
            <w:r w:rsidRPr="003741B9">
              <w:rPr>
                <w:rFonts w:ascii="Times New Roman" w:eastAsia="Times New Roman" w:hAnsi="Times New Roman" w:cs="Times New Roman"/>
                <w:sz w:val="24"/>
                <w:szCs w:val="24"/>
                <w:lang w:eastAsia="en-ZA"/>
              </w:rPr>
              <w:t> </w:t>
            </w:r>
          </w:p>
          <w:p w:rsidR="008C3EAF" w:rsidRPr="003741B9" w:rsidRDefault="008C3EAF" w:rsidP="003741B9">
            <w:pPr>
              <w:ind w:left="100" w:right="100"/>
              <w:jc w:val="both"/>
              <w:rPr>
                <w:rFonts w:ascii="Times New Roman" w:eastAsia="Times New Roman" w:hAnsi="Times New Roman" w:cs="Times New Roman"/>
                <w:sz w:val="24"/>
                <w:szCs w:val="24"/>
                <w:lang w:eastAsia="en-ZA"/>
              </w:rPr>
            </w:pPr>
            <w:r w:rsidRPr="003741B9">
              <w:rPr>
                <w:rFonts w:ascii="Arial" w:eastAsia="Times New Roman" w:hAnsi="Arial" w:cs="Arial"/>
                <w:sz w:val="24"/>
                <w:szCs w:val="24"/>
                <w:lang w:eastAsia="en-ZA"/>
              </w:rPr>
              <w:t xml:space="preserve">In various meetings with state organs and stakeholders it was agreed that the reintegration of Refugee protestors back into their communities in which they were staying before is the only way forward and failure to do so will leave the Minister of Home Affairs with no option to consult with the relevant embassies in order to repatriate the asylum seekers and refugees to their countries of origin.  </w:t>
            </w:r>
          </w:p>
          <w:p w:rsidR="008C3EAF" w:rsidRPr="00E20131" w:rsidRDefault="008C3EAF">
            <w:pPr>
              <w:rPr>
                <w:rFonts w:ascii="Arial" w:hAnsi="Arial" w:cs="Arial"/>
                <w:b/>
                <w:sz w:val="24"/>
                <w:szCs w:val="24"/>
              </w:rPr>
            </w:pPr>
          </w:p>
        </w:tc>
      </w:tr>
      <w:tr w:rsidR="008C3EAF" w:rsidRPr="004076DB" w:rsidTr="00B81290">
        <w:tc>
          <w:tcPr>
            <w:tcW w:w="4077" w:type="dxa"/>
          </w:tcPr>
          <w:p w:rsidR="008C3EAF" w:rsidRPr="004076DB" w:rsidRDefault="008C3EAF" w:rsidP="00032846">
            <w:pPr>
              <w:rPr>
                <w:rFonts w:ascii="Arial" w:hAnsi="Arial" w:cs="Arial"/>
              </w:rPr>
            </w:pPr>
            <w:r w:rsidRPr="004076DB">
              <w:rPr>
                <w:rFonts w:ascii="Arial" w:hAnsi="Arial" w:cs="Arial"/>
              </w:rPr>
              <w:t>Progress on the Asylum Seeker processing facilities</w:t>
            </w:r>
          </w:p>
        </w:tc>
        <w:tc>
          <w:tcPr>
            <w:tcW w:w="2694" w:type="dxa"/>
            <w:vMerge/>
          </w:tcPr>
          <w:p w:rsidR="008C3EAF" w:rsidRPr="004076DB" w:rsidRDefault="008C3EAF">
            <w:pPr>
              <w:rPr>
                <w:rFonts w:ascii="Arial" w:hAnsi="Arial" w:cs="Arial"/>
                <w:b/>
              </w:rPr>
            </w:pPr>
          </w:p>
        </w:tc>
        <w:tc>
          <w:tcPr>
            <w:tcW w:w="4536" w:type="dxa"/>
          </w:tcPr>
          <w:p w:rsidR="008C3EAF" w:rsidRPr="003741B9" w:rsidRDefault="008C3EAF" w:rsidP="003741B9">
            <w:pPr>
              <w:ind w:left="100" w:right="100"/>
              <w:rPr>
                <w:rFonts w:ascii="Times New Roman" w:eastAsia="Times New Roman" w:hAnsi="Times New Roman" w:cs="Times New Roman"/>
                <w:sz w:val="24"/>
                <w:szCs w:val="24"/>
                <w:lang w:eastAsia="en-ZA"/>
              </w:rPr>
            </w:pPr>
            <w:r w:rsidRPr="003741B9">
              <w:rPr>
                <w:rFonts w:ascii="Arial" w:eastAsia="Times New Roman" w:hAnsi="Arial" w:cs="Arial"/>
                <w:sz w:val="24"/>
                <w:szCs w:val="24"/>
                <w:lang w:eastAsia="en-ZA"/>
              </w:rPr>
              <w:t xml:space="preserve">The feasibility study </w:t>
            </w:r>
            <w:r w:rsidRPr="003741B9">
              <w:rPr>
                <w:rFonts w:ascii="Arial" w:eastAsia="Times New Roman" w:hAnsi="Arial" w:cs="Arial"/>
                <w:lang w:eastAsia="en-ZA"/>
              </w:rPr>
              <w:t>was finalised and submitted to National Treasury (NT) for approval as part of the PPP process. It then emerged that the department does not have funds in its  baseline to fund the construction of such a facility and the matter has been placed in abeyance since then.</w:t>
            </w:r>
          </w:p>
          <w:p w:rsidR="008C3EAF" w:rsidRPr="004076DB" w:rsidRDefault="008C3EAF">
            <w:pPr>
              <w:rPr>
                <w:rFonts w:ascii="Arial" w:hAnsi="Arial" w:cs="Arial"/>
                <w:b/>
              </w:rPr>
            </w:pPr>
          </w:p>
        </w:tc>
      </w:tr>
      <w:tr w:rsidR="008C3EAF" w:rsidRPr="004076DB" w:rsidTr="00B81290">
        <w:tc>
          <w:tcPr>
            <w:tcW w:w="4077" w:type="dxa"/>
          </w:tcPr>
          <w:p w:rsidR="008C3EAF" w:rsidRPr="004076DB" w:rsidRDefault="008C3EAF" w:rsidP="00032846">
            <w:pPr>
              <w:rPr>
                <w:rFonts w:ascii="Arial" w:hAnsi="Arial" w:cs="Arial"/>
              </w:rPr>
            </w:pPr>
            <w:r w:rsidRPr="004076DB">
              <w:rPr>
                <w:rFonts w:ascii="Arial" w:hAnsi="Arial" w:cs="Arial"/>
              </w:rPr>
              <w:t xml:space="preserve">Roadmap of BMA and </w:t>
            </w:r>
            <w:r w:rsidRPr="004076DB">
              <w:rPr>
                <w:rFonts w:ascii="Arial" w:hAnsi="Arial" w:cs="Arial"/>
              </w:rPr>
              <w:lastRenderedPageBreak/>
              <w:t>process for the appointment of Commissioners</w:t>
            </w:r>
          </w:p>
        </w:tc>
        <w:tc>
          <w:tcPr>
            <w:tcW w:w="2694" w:type="dxa"/>
          </w:tcPr>
          <w:p w:rsidR="008C3EAF" w:rsidRPr="004076DB" w:rsidRDefault="008C3EAF">
            <w:pPr>
              <w:rPr>
                <w:rFonts w:ascii="Arial" w:hAnsi="Arial" w:cs="Arial"/>
                <w:b/>
              </w:rPr>
            </w:pPr>
            <w:r w:rsidRPr="004076DB">
              <w:rPr>
                <w:rFonts w:ascii="Arial" w:hAnsi="Arial" w:cs="Arial"/>
                <w:b/>
              </w:rPr>
              <w:lastRenderedPageBreak/>
              <w:t>PM:BMA</w:t>
            </w:r>
          </w:p>
        </w:tc>
        <w:tc>
          <w:tcPr>
            <w:tcW w:w="4536" w:type="dxa"/>
          </w:tcPr>
          <w:p w:rsidR="008C3EAF" w:rsidRPr="00655DEF" w:rsidRDefault="008C3EAF" w:rsidP="00D479C7">
            <w:pPr>
              <w:rPr>
                <w:rFonts w:ascii="Arial" w:hAnsi="Arial" w:cs="Arial"/>
                <w:b/>
                <w:sz w:val="24"/>
                <w:szCs w:val="24"/>
              </w:rPr>
            </w:pPr>
            <w:r w:rsidRPr="00655DEF">
              <w:rPr>
                <w:rFonts w:ascii="Arial" w:hAnsi="Arial" w:cs="Arial"/>
                <w:b/>
                <w:sz w:val="24"/>
                <w:szCs w:val="24"/>
              </w:rPr>
              <w:t>BMA Road Map:</w:t>
            </w:r>
          </w:p>
          <w:p w:rsidR="008C3EAF" w:rsidRPr="00655DEF" w:rsidRDefault="008C3EAF" w:rsidP="00D479C7">
            <w:pPr>
              <w:rPr>
                <w:rFonts w:ascii="Arial" w:hAnsi="Arial" w:cs="Arial"/>
                <w:b/>
                <w:sz w:val="24"/>
                <w:szCs w:val="24"/>
              </w:rPr>
            </w:pPr>
          </w:p>
          <w:p w:rsidR="008C3EAF" w:rsidRPr="00655DEF" w:rsidRDefault="008C3EAF" w:rsidP="00D479C7">
            <w:pPr>
              <w:rPr>
                <w:rFonts w:ascii="Arial" w:hAnsi="Arial" w:cs="Arial"/>
                <w:sz w:val="24"/>
                <w:szCs w:val="24"/>
              </w:rPr>
            </w:pPr>
            <w:r w:rsidRPr="00655DEF">
              <w:rPr>
                <w:rFonts w:ascii="Arial" w:hAnsi="Arial" w:cs="Arial"/>
                <w:sz w:val="24"/>
                <w:szCs w:val="24"/>
              </w:rPr>
              <w:lastRenderedPageBreak/>
              <w:t xml:space="preserve">A BMA Road Map is in place, which will guide the roll-out of the BMA over the short-, medium- and long-term. This 15- year road map is being implemented in an incremental manner over of six (6) phases </w:t>
            </w:r>
            <w:r w:rsidRPr="00655DEF">
              <w:rPr>
                <w:rFonts w:ascii="Arial" w:hAnsi="Arial" w:cs="Arial"/>
                <w:b/>
                <w:i/>
                <w:sz w:val="24"/>
                <w:szCs w:val="24"/>
              </w:rPr>
              <w:t>(please see the diagram below)</w:t>
            </w:r>
            <w:r w:rsidRPr="00655DEF">
              <w:rPr>
                <w:rFonts w:ascii="Arial" w:hAnsi="Arial" w:cs="Arial"/>
                <w:sz w:val="24"/>
                <w:szCs w:val="24"/>
              </w:rPr>
              <w:t>.</w:t>
            </w:r>
          </w:p>
          <w:p w:rsidR="008C3EAF" w:rsidRPr="00655DEF" w:rsidRDefault="008C3EAF" w:rsidP="00D479C7">
            <w:pPr>
              <w:rPr>
                <w:rFonts w:ascii="Arial" w:hAnsi="Arial" w:cs="Arial"/>
                <w:sz w:val="24"/>
                <w:szCs w:val="24"/>
              </w:rPr>
            </w:pPr>
          </w:p>
          <w:p w:rsidR="008C3EAF" w:rsidRPr="00655DEF" w:rsidRDefault="008C3EAF" w:rsidP="00D479C7">
            <w:pPr>
              <w:rPr>
                <w:rFonts w:ascii="Arial" w:hAnsi="Arial" w:cs="Arial"/>
                <w:sz w:val="24"/>
                <w:szCs w:val="24"/>
              </w:rPr>
            </w:pPr>
            <w:r w:rsidRPr="00655DEF">
              <w:rPr>
                <w:rFonts w:ascii="Arial" w:hAnsi="Arial" w:cs="Arial"/>
                <w:sz w:val="24"/>
                <w:szCs w:val="24"/>
              </w:rPr>
              <w:t>The immediate focus in 2020/21 and 2021/22 will be on the first three (3) phases that address:</w:t>
            </w:r>
          </w:p>
          <w:p w:rsidR="008C3EAF" w:rsidRPr="00655DEF" w:rsidRDefault="008C3EAF" w:rsidP="00D479C7">
            <w:pPr>
              <w:pStyle w:val="ListParagraph"/>
              <w:numPr>
                <w:ilvl w:val="0"/>
                <w:numId w:val="11"/>
              </w:numPr>
              <w:ind w:left="346" w:hanging="284"/>
              <w:rPr>
                <w:rFonts w:ascii="Arial" w:hAnsi="Arial" w:cs="Arial"/>
                <w:sz w:val="24"/>
                <w:szCs w:val="24"/>
              </w:rPr>
            </w:pPr>
            <w:r w:rsidRPr="00655DEF">
              <w:rPr>
                <w:rFonts w:ascii="Arial" w:hAnsi="Arial" w:cs="Arial"/>
                <w:sz w:val="24"/>
                <w:szCs w:val="24"/>
              </w:rPr>
              <w:t>Phase 1: Completing tasks from the Pre-Establishment Phase;</w:t>
            </w:r>
          </w:p>
          <w:p w:rsidR="008C3EAF" w:rsidRPr="00655DEF" w:rsidRDefault="008C3EAF" w:rsidP="00D479C7">
            <w:pPr>
              <w:pStyle w:val="ListParagraph"/>
              <w:numPr>
                <w:ilvl w:val="0"/>
                <w:numId w:val="11"/>
              </w:numPr>
              <w:ind w:left="346" w:hanging="284"/>
              <w:rPr>
                <w:rFonts w:ascii="Arial" w:hAnsi="Arial" w:cs="Arial"/>
                <w:sz w:val="24"/>
                <w:szCs w:val="24"/>
              </w:rPr>
            </w:pPr>
            <w:r w:rsidRPr="00655DEF">
              <w:rPr>
                <w:rFonts w:ascii="Arial" w:hAnsi="Arial" w:cs="Arial"/>
                <w:sz w:val="24"/>
                <w:szCs w:val="24"/>
              </w:rPr>
              <w:t>Phase 2: Undertaking tasks linked to the Planning and Establishment Phase; and</w:t>
            </w:r>
          </w:p>
          <w:p w:rsidR="008C3EAF" w:rsidRPr="00655DEF" w:rsidRDefault="008C3EAF" w:rsidP="00D479C7">
            <w:pPr>
              <w:pStyle w:val="ListParagraph"/>
              <w:numPr>
                <w:ilvl w:val="0"/>
                <w:numId w:val="11"/>
              </w:numPr>
              <w:ind w:left="346" w:hanging="284"/>
              <w:rPr>
                <w:rFonts w:ascii="Arial" w:hAnsi="Arial" w:cs="Arial"/>
                <w:sz w:val="24"/>
                <w:szCs w:val="24"/>
              </w:rPr>
            </w:pPr>
            <w:r w:rsidRPr="00655DEF">
              <w:rPr>
                <w:rFonts w:ascii="Arial" w:hAnsi="Arial" w:cs="Arial"/>
                <w:sz w:val="24"/>
                <w:szCs w:val="24"/>
              </w:rPr>
              <w:t>Phase 3: Commencing implementation of the Phase dealing with Initial Roll-Out of the BMA.</w:t>
            </w:r>
          </w:p>
          <w:p w:rsidR="008C3EAF" w:rsidRPr="00655DEF" w:rsidRDefault="008C3EAF" w:rsidP="00D479C7">
            <w:pPr>
              <w:rPr>
                <w:rFonts w:ascii="Arial" w:hAnsi="Arial" w:cs="Arial"/>
                <w:sz w:val="24"/>
                <w:szCs w:val="24"/>
              </w:rPr>
            </w:pPr>
          </w:p>
          <w:p w:rsidR="008C3EAF" w:rsidRPr="00655DEF" w:rsidRDefault="008C3EAF" w:rsidP="00D479C7">
            <w:pPr>
              <w:rPr>
                <w:rFonts w:ascii="Arial" w:hAnsi="Arial" w:cs="Arial"/>
                <w:sz w:val="24"/>
                <w:szCs w:val="24"/>
              </w:rPr>
            </w:pPr>
            <w:r w:rsidRPr="00655DEF">
              <w:rPr>
                <w:rFonts w:ascii="Arial" w:hAnsi="Arial" w:cs="Arial"/>
                <w:sz w:val="24"/>
                <w:szCs w:val="24"/>
              </w:rPr>
              <w:t>Each of these phases have specific identified tasks. Within the context of the limited funding made available to the BMA over the current 2020 MTEF of R109,5m, these priorities and tasks will be flexibly executed. The objective over the current term of government, i.e. 2020 – 2024, is to roll-out the BMA to eighteen (18) Ports of Entry and five (5) segments of the land border enforcement area.</w:t>
            </w:r>
          </w:p>
          <w:p w:rsidR="008C3EAF" w:rsidRPr="00655DEF" w:rsidRDefault="008C3EAF" w:rsidP="00D479C7">
            <w:pPr>
              <w:rPr>
                <w:rFonts w:ascii="Arial" w:hAnsi="Arial" w:cs="Arial"/>
                <w:b/>
                <w:sz w:val="24"/>
                <w:szCs w:val="24"/>
              </w:rPr>
            </w:pPr>
          </w:p>
          <w:p w:rsidR="008C3EAF" w:rsidRPr="00655DEF" w:rsidRDefault="008C3EAF" w:rsidP="00D479C7">
            <w:pPr>
              <w:rPr>
                <w:rFonts w:ascii="Arial" w:hAnsi="Arial" w:cs="Arial"/>
                <w:b/>
                <w:sz w:val="24"/>
                <w:szCs w:val="24"/>
              </w:rPr>
            </w:pPr>
            <w:r w:rsidRPr="00655DEF">
              <w:rPr>
                <w:rFonts w:ascii="Arial" w:hAnsi="Arial" w:cs="Arial"/>
                <w:b/>
                <w:sz w:val="24"/>
                <w:szCs w:val="24"/>
              </w:rPr>
              <w:t>Appointment of Commissioners:</w:t>
            </w:r>
          </w:p>
          <w:p w:rsidR="008C3EAF" w:rsidRPr="00655DEF" w:rsidRDefault="008C3EAF" w:rsidP="00D479C7">
            <w:pPr>
              <w:rPr>
                <w:rFonts w:ascii="Arial" w:hAnsi="Arial" w:cs="Arial"/>
                <w:b/>
                <w:sz w:val="24"/>
                <w:szCs w:val="24"/>
              </w:rPr>
            </w:pPr>
          </w:p>
          <w:p w:rsidR="008C3EAF" w:rsidRPr="00655DEF" w:rsidRDefault="008C3EAF" w:rsidP="00D479C7">
            <w:pPr>
              <w:rPr>
                <w:rFonts w:ascii="Arial" w:hAnsi="Arial" w:cs="Arial"/>
                <w:sz w:val="24"/>
                <w:szCs w:val="24"/>
              </w:rPr>
            </w:pPr>
            <w:r w:rsidRPr="00655DEF">
              <w:rPr>
                <w:rFonts w:ascii="Arial" w:hAnsi="Arial" w:cs="Arial"/>
                <w:sz w:val="24"/>
                <w:szCs w:val="24"/>
              </w:rPr>
              <w:t>The BMA Act needs to be brought into operation to enable the appointment of a Commissioner for the BMA. In this regard, a draft BMA Commencement Proclamation has been signed by the Minister of Home Affairs for submission to the Presidency. The earmarked date for the operationalization of the BMA Act, 2020 is 15 September 2020.</w:t>
            </w:r>
          </w:p>
          <w:p w:rsidR="008C3EAF" w:rsidRPr="00655DEF" w:rsidRDefault="008C3EAF" w:rsidP="00D479C7">
            <w:pPr>
              <w:rPr>
                <w:rFonts w:ascii="Arial" w:hAnsi="Arial" w:cs="Arial"/>
                <w:sz w:val="24"/>
                <w:szCs w:val="24"/>
              </w:rPr>
            </w:pPr>
          </w:p>
          <w:p w:rsidR="008C3EAF" w:rsidRPr="00655DEF" w:rsidRDefault="008C3EAF" w:rsidP="00D479C7">
            <w:pPr>
              <w:rPr>
                <w:rFonts w:ascii="Arial" w:hAnsi="Arial" w:cs="Arial"/>
                <w:sz w:val="24"/>
                <w:szCs w:val="24"/>
              </w:rPr>
            </w:pPr>
            <w:r w:rsidRPr="00655DEF">
              <w:rPr>
                <w:rFonts w:ascii="Arial" w:hAnsi="Arial" w:cs="Arial"/>
                <w:sz w:val="24"/>
                <w:szCs w:val="24"/>
              </w:rPr>
              <w:t>The Department is currently undertaking HR related matters pertaining to the appointment of a Commissioner for the BMA. Tasks in this regard include, inter alia, the finalisation of job profiles and grades. Once all recruitment pre-requisites have been finalised, the relevant documentation will be submitted to the Minister of Home Affairs and the President for consideration.</w:t>
            </w:r>
          </w:p>
          <w:p w:rsidR="008C3EAF" w:rsidRPr="00655DEF" w:rsidRDefault="008C3EAF">
            <w:pPr>
              <w:rPr>
                <w:rFonts w:ascii="Arial" w:hAnsi="Arial" w:cs="Arial"/>
                <w:b/>
                <w:sz w:val="24"/>
                <w:szCs w:val="24"/>
              </w:rPr>
            </w:pPr>
          </w:p>
        </w:tc>
      </w:tr>
      <w:tr w:rsidR="009D2A2D" w:rsidRPr="004076DB" w:rsidTr="009D2A2D">
        <w:tc>
          <w:tcPr>
            <w:tcW w:w="1664" w:type="dxa"/>
          </w:tcPr>
          <w:p w:rsidR="009D2A2D" w:rsidRPr="004076DB" w:rsidRDefault="009D2A2D" w:rsidP="009B2672">
            <w:pPr>
              <w:rPr>
                <w:rFonts w:ascii="Arial" w:hAnsi="Arial" w:cs="Arial"/>
              </w:rPr>
            </w:pPr>
            <w:r w:rsidRPr="004076DB">
              <w:rPr>
                <w:rFonts w:ascii="Arial" w:hAnsi="Arial" w:cs="Arial"/>
              </w:rPr>
              <w:lastRenderedPageBreak/>
              <w:t xml:space="preserve">Progress on the correction of signed illegal immigration </w:t>
            </w:r>
            <w:r w:rsidRPr="004076DB">
              <w:rPr>
                <w:rFonts w:ascii="Arial" w:hAnsi="Arial" w:cs="Arial"/>
              </w:rPr>
              <w:lastRenderedPageBreak/>
              <w:t>regulation which came to effect January 2020</w:t>
            </w:r>
          </w:p>
        </w:tc>
        <w:tc>
          <w:tcPr>
            <w:tcW w:w="1437" w:type="dxa"/>
          </w:tcPr>
          <w:p w:rsidR="009D2A2D" w:rsidRDefault="009D2A2D">
            <w:pPr>
              <w:rPr>
                <w:rFonts w:ascii="Arial" w:hAnsi="Arial" w:cs="Arial"/>
                <w:b/>
              </w:rPr>
            </w:pPr>
            <w:r>
              <w:rPr>
                <w:rFonts w:ascii="Arial" w:hAnsi="Arial" w:cs="Arial"/>
                <w:b/>
              </w:rPr>
              <w:lastRenderedPageBreak/>
              <w:t>CD: LS</w:t>
            </w:r>
          </w:p>
        </w:tc>
        <w:tc>
          <w:tcPr>
            <w:tcW w:w="11073" w:type="dxa"/>
          </w:tcPr>
          <w:p w:rsidR="009D2A2D" w:rsidRPr="001942F9" w:rsidRDefault="009D2A2D" w:rsidP="009D2A2D">
            <w:pPr>
              <w:spacing w:after="200" w:line="276" w:lineRule="auto"/>
              <w:rPr>
                <w:rFonts w:ascii="Arial" w:eastAsia="Calibri" w:hAnsi="Arial" w:cs="Arial"/>
                <w:sz w:val="24"/>
                <w:szCs w:val="24"/>
              </w:rPr>
            </w:pPr>
            <w:r w:rsidRPr="001942F9">
              <w:rPr>
                <w:rFonts w:ascii="Arial" w:eastAsia="Calibri" w:hAnsi="Arial" w:cs="Arial"/>
                <w:sz w:val="24"/>
                <w:szCs w:val="24"/>
              </w:rPr>
              <w:t xml:space="preserve">The Department received a legal opinion and has instructed Counsel to prepare an application for self-review in the High Court for certain specific areas of the Refugees Regulations </w:t>
            </w:r>
          </w:p>
          <w:p w:rsidR="009D2A2D" w:rsidRPr="001942F9" w:rsidRDefault="009D2A2D" w:rsidP="001942F9">
            <w:pPr>
              <w:tabs>
                <w:tab w:val="num" w:pos="720"/>
              </w:tabs>
              <w:rPr>
                <w:rFonts w:ascii="Arial" w:hAnsi="Arial" w:cs="Arial"/>
                <w:sz w:val="24"/>
                <w:szCs w:val="24"/>
                <w:lang w:val="en-US"/>
              </w:rPr>
            </w:pPr>
          </w:p>
        </w:tc>
      </w:tr>
      <w:tr w:rsidR="009D2A2D" w:rsidRPr="004076DB" w:rsidTr="009D2A2D">
        <w:tc>
          <w:tcPr>
            <w:tcW w:w="1664" w:type="dxa"/>
          </w:tcPr>
          <w:p w:rsidR="009D2A2D" w:rsidRPr="004076DB" w:rsidRDefault="009D2A2D" w:rsidP="00032846">
            <w:pPr>
              <w:rPr>
                <w:rFonts w:ascii="Arial" w:hAnsi="Arial" w:cs="Arial"/>
              </w:rPr>
            </w:pPr>
            <w:r>
              <w:rPr>
                <w:rFonts w:ascii="Arial" w:hAnsi="Arial" w:cs="Arial"/>
              </w:rPr>
              <w:lastRenderedPageBreak/>
              <w:t>Constitutional Judgment</w:t>
            </w:r>
          </w:p>
        </w:tc>
        <w:tc>
          <w:tcPr>
            <w:tcW w:w="1437" w:type="dxa"/>
          </w:tcPr>
          <w:p w:rsidR="009D2A2D" w:rsidRPr="004076DB" w:rsidRDefault="009D2A2D">
            <w:pPr>
              <w:rPr>
                <w:rFonts w:ascii="Arial" w:hAnsi="Arial" w:cs="Arial"/>
                <w:b/>
              </w:rPr>
            </w:pPr>
            <w:r>
              <w:rPr>
                <w:rFonts w:ascii="Arial" w:hAnsi="Arial" w:cs="Arial"/>
                <w:b/>
              </w:rPr>
              <w:t>CD: LS</w:t>
            </w:r>
          </w:p>
        </w:tc>
        <w:tc>
          <w:tcPr>
            <w:tcW w:w="11073" w:type="dxa"/>
          </w:tcPr>
          <w:p w:rsidR="009D2A2D" w:rsidRPr="001942F9" w:rsidRDefault="009D2A2D" w:rsidP="001942F9">
            <w:pPr>
              <w:tabs>
                <w:tab w:val="num" w:pos="720"/>
              </w:tabs>
              <w:rPr>
                <w:rFonts w:ascii="Arial" w:hAnsi="Arial" w:cs="Arial"/>
                <w:sz w:val="24"/>
                <w:szCs w:val="24"/>
              </w:rPr>
            </w:pPr>
            <w:r w:rsidRPr="001942F9">
              <w:rPr>
                <w:rFonts w:ascii="Arial" w:hAnsi="Arial" w:cs="Arial"/>
                <w:sz w:val="24"/>
                <w:szCs w:val="24"/>
                <w:lang w:val="en-US"/>
              </w:rPr>
              <w:t>Minister constituted a Multi-disciplinary Electoral Reform Team (“MDERT”), including a respected international expert in electoral systems (political scientist). The MDERT will present a proposed electoral system in line with the CC’s judgment and Electoral Amendment Bill. The MDERT will also present timeframes for the legislative reform. The preliminary views of the MDERT are that matters involving electoral systems are complex and will require extensive consultations with all the stakeholders.</w:t>
            </w:r>
          </w:p>
          <w:p w:rsidR="009D2A2D" w:rsidRPr="001942F9" w:rsidRDefault="009D2A2D" w:rsidP="001942F9">
            <w:pPr>
              <w:rPr>
                <w:rFonts w:ascii="Arial" w:hAnsi="Arial" w:cs="Arial"/>
                <w:sz w:val="24"/>
                <w:szCs w:val="24"/>
              </w:rPr>
            </w:pPr>
          </w:p>
          <w:p w:rsidR="009D2A2D" w:rsidRPr="001942F9" w:rsidRDefault="009D2A2D" w:rsidP="001942F9">
            <w:pPr>
              <w:rPr>
                <w:rFonts w:ascii="Arial" w:hAnsi="Arial" w:cs="Arial"/>
                <w:sz w:val="24"/>
                <w:szCs w:val="24"/>
              </w:rPr>
            </w:pPr>
          </w:p>
          <w:p w:rsidR="009D2A2D" w:rsidRPr="001942F9" w:rsidRDefault="009D2A2D" w:rsidP="001942F9">
            <w:pPr>
              <w:rPr>
                <w:rFonts w:ascii="Arial" w:eastAsia="Calibri" w:hAnsi="Arial" w:cs="Arial"/>
                <w:sz w:val="24"/>
                <w:szCs w:val="24"/>
              </w:rPr>
            </w:pPr>
          </w:p>
        </w:tc>
      </w:tr>
      <w:tr w:rsidR="009D2A2D" w:rsidRPr="009D2A2D" w:rsidTr="009D2A2D">
        <w:tc>
          <w:tcPr>
            <w:tcW w:w="1664" w:type="dxa"/>
          </w:tcPr>
          <w:p w:rsidR="009D2A2D" w:rsidRPr="009D2A2D" w:rsidRDefault="009D2A2D" w:rsidP="00032846">
            <w:pPr>
              <w:rPr>
                <w:rFonts w:ascii="Arial" w:hAnsi="Arial" w:cs="Arial"/>
                <w:b/>
                <w:color w:val="FF0000"/>
              </w:rPr>
            </w:pPr>
            <w:r w:rsidRPr="009D2A2D">
              <w:rPr>
                <w:rFonts w:ascii="Arial" w:hAnsi="Arial" w:cs="Arial"/>
                <w:b/>
                <w:color w:val="FF0000"/>
              </w:rPr>
              <w:t>Report on ANC NEC approach on this matter and draft Bill to Cabinet.</w:t>
            </w:r>
          </w:p>
        </w:tc>
        <w:tc>
          <w:tcPr>
            <w:tcW w:w="1437" w:type="dxa"/>
          </w:tcPr>
          <w:p w:rsidR="009D2A2D" w:rsidRPr="009D2A2D" w:rsidRDefault="009D2A2D">
            <w:pPr>
              <w:rPr>
                <w:rFonts w:ascii="Arial" w:hAnsi="Arial" w:cs="Arial"/>
                <w:b/>
                <w:color w:val="FF0000"/>
              </w:rPr>
            </w:pPr>
            <w:r w:rsidRPr="009D2A2D">
              <w:rPr>
                <w:rFonts w:ascii="Arial" w:hAnsi="Arial" w:cs="Arial"/>
                <w:b/>
                <w:color w:val="FF0000"/>
              </w:rPr>
              <w:t>CD: LS</w:t>
            </w:r>
          </w:p>
        </w:tc>
        <w:tc>
          <w:tcPr>
            <w:tcW w:w="11073" w:type="dxa"/>
          </w:tcPr>
          <w:p w:rsidR="009D2A2D" w:rsidRPr="009D2A2D" w:rsidRDefault="009D2A2D">
            <w:pPr>
              <w:rPr>
                <w:rFonts w:ascii="Arial" w:hAnsi="Arial" w:cs="Arial"/>
                <w:b/>
                <w:color w:val="FF0000"/>
              </w:rPr>
            </w:pPr>
          </w:p>
        </w:tc>
      </w:tr>
      <w:tr w:rsidR="009D2A2D" w:rsidRPr="004076DB" w:rsidTr="009D2A2D">
        <w:tc>
          <w:tcPr>
            <w:tcW w:w="1664" w:type="dxa"/>
          </w:tcPr>
          <w:p w:rsidR="009D2A2D" w:rsidRPr="004076DB" w:rsidRDefault="009D2A2D" w:rsidP="004A1BD0">
            <w:pPr>
              <w:rPr>
                <w:rFonts w:ascii="Arial" w:hAnsi="Arial" w:cs="Arial"/>
              </w:rPr>
            </w:pPr>
            <w:r w:rsidRPr="004076DB">
              <w:rPr>
                <w:rFonts w:ascii="Arial" w:hAnsi="Arial" w:cs="Arial"/>
              </w:rPr>
              <w:t>Department employment percentage on Youth and People living with disability at Head Quarter and per Province.</w:t>
            </w:r>
          </w:p>
        </w:tc>
        <w:tc>
          <w:tcPr>
            <w:tcW w:w="1437" w:type="dxa"/>
          </w:tcPr>
          <w:p w:rsidR="009D2A2D" w:rsidRPr="004076DB" w:rsidRDefault="009D2A2D">
            <w:pPr>
              <w:rPr>
                <w:rFonts w:ascii="Arial" w:hAnsi="Arial" w:cs="Arial"/>
                <w:b/>
              </w:rPr>
            </w:pPr>
            <w:r w:rsidRPr="004076DB">
              <w:rPr>
                <w:rFonts w:ascii="Arial" w:hAnsi="Arial" w:cs="Arial"/>
                <w:b/>
              </w:rPr>
              <w:t>DDG: HRM&amp;D</w:t>
            </w:r>
          </w:p>
        </w:tc>
        <w:tc>
          <w:tcPr>
            <w:tcW w:w="11073" w:type="dxa"/>
          </w:tcPr>
          <w:p w:rsidR="009D2A2D" w:rsidRPr="00655DEF" w:rsidRDefault="009D2A2D" w:rsidP="00D479C7">
            <w:pPr>
              <w:rPr>
                <w:rFonts w:ascii="Arial" w:hAnsi="Arial" w:cs="Arial"/>
                <w:color w:val="000000"/>
                <w:sz w:val="24"/>
                <w:szCs w:val="24"/>
                <w:shd w:val="clear" w:color="auto" w:fill="FFFFFF"/>
              </w:rPr>
            </w:pPr>
            <w:r w:rsidRPr="00655DEF">
              <w:rPr>
                <w:rFonts w:ascii="Arial" w:hAnsi="Arial" w:cs="Arial"/>
                <w:color w:val="000000"/>
                <w:sz w:val="24"/>
                <w:szCs w:val="24"/>
                <w:shd w:val="clear" w:color="auto" w:fill="FFFFFF"/>
              </w:rPr>
              <w:t>At 31 July 2020, the Department’s employment percentage on Youth (employees aged 35 and younger) was 16% (1393 out of 8704 employees). The breakdown per Head Office and Provinces has been attached (</w:t>
            </w:r>
            <w:r w:rsidRPr="00655DEF">
              <w:rPr>
                <w:rFonts w:ascii="Arial" w:hAnsi="Arial" w:cs="Arial"/>
                <w:b/>
                <w:color w:val="000000"/>
                <w:sz w:val="24"/>
                <w:szCs w:val="24"/>
                <w:shd w:val="clear" w:color="auto" w:fill="FFFFFF"/>
              </w:rPr>
              <w:t>Annexure A</w:t>
            </w:r>
            <w:r w:rsidRPr="00655DEF">
              <w:rPr>
                <w:rFonts w:ascii="Arial" w:hAnsi="Arial" w:cs="Arial"/>
                <w:color w:val="000000"/>
                <w:sz w:val="24"/>
                <w:szCs w:val="24"/>
                <w:shd w:val="clear" w:color="auto" w:fill="FFFFFF"/>
              </w:rPr>
              <w:t xml:space="preserve">). </w:t>
            </w:r>
          </w:p>
          <w:p w:rsidR="009D2A2D" w:rsidRPr="00655DEF" w:rsidRDefault="009D2A2D" w:rsidP="00D479C7">
            <w:pPr>
              <w:rPr>
                <w:rFonts w:ascii="Arial" w:hAnsi="Arial" w:cs="Arial"/>
                <w:color w:val="000000"/>
                <w:sz w:val="24"/>
                <w:szCs w:val="24"/>
                <w:shd w:val="clear" w:color="auto" w:fill="FFFFFF"/>
              </w:rPr>
            </w:pPr>
          </w:p>
          <w:p w:rsidR="009D2A2D" w:rsidRPr="00655DEF" w:rsidRDefault="009D2A2D" w:rsidP="00D479C7">
            <w:pPr>
              <w:rPr>
                <w:rFonts w:ascii="Arial" w:hAnsi="Arial" w:cs="Arial"/>
                <w:b/>
                <w:sz w:val="24"/>
                <w:szCs w:val="24"/>
              </w:rPr>
            </w:pPr>
            <w:r w:rsidRPr="00655DEF">
              <w:rPr>
                <w:rFonts w:ascii="Arial" w:hAnsi="Arial" w:cs="Arial"/>
                <w:color w:val="000000"/>
                <w:sz w:val="24"/>
                <w:szCs w:val="24"/>
                <w:shd w:val="clear" w:color="auto" w:fill="FFFFFF"/>
              </w:rPr>
              <w:t>At 31 July 2020, the Department’s employment percentage on People with Disability was 1.80% (157 out of 8704 employees). The breakdown per Head Office and Provinces has been attached (</w:t>
            </w:r>
            <w:r w:rsidRPr="00655DEF">
              <w:rPr>
                <w:rFonts w:ascii="Arial" w:hAnsi="Arial" w:cs="Arial"/>
                <w:b/>
                <w:color w:val="000000"/>
                <w:sz w:val="24"/>
                <w:szCs w:val="24"/>
                <w:shd w:val="clear" w:color="auto" w:fill="FFFFFF"/>
              </w:rPr>
              <w:t>Annexure B</w:t>
            </w:r>
            <w:r w:rsidRPr="00655DEF">
              <w:rPr>
                <w:rFonts w:ascii="Arial" w:hAnsi="Arial" w:cs="Arial"/>
                <w:color w:val="000000"/>
                <w:sz w:val="24"/>
                <w:szCs w:val="24"/>
                <w:shd w:val="clear" w:color="auto" w:fill="FFFFFF"/>
              </w:rPr>
              <w:t xml:space="preserve">). </w:t>
            </w:r>
          </w:p>
        </w:tc>
      </w:tr>
      <w:tr w:rsidR="009D2A2D" w:rsidRPr="004076DB" w:rsidTr="009D2A2D">
        <w:tc>
          <w:tcPr>
            <w:tcW w:w="1664" w:type="dxa"/>
          </w:tcPr>
          <w:p w:rsidR="009D2A2D" w:rsidRPr="004076DB" w:rsidRDefault="009D2A2D" w:rsidP="00032846">
            <w:pPr>
              <w:rPr>
                <w:rFonts w:ascii="Arial" w:hAnsi="Arial" w:cs="Arial"/>
              </w:rPr>
            </w:pPr>
            <w:bookmarkStart w:id="0" w:name="_GoBack"/>
            <w:bookmarkEnd w:id="0"/>
            <w:r w:rsidRPr="004076DB">
              <w:rPr>
                <w:rFonts w:ascii="Arial" w:hAnsi="Arial" w:cs="Arial"/>
              </w:rPr>
              <w:t xml:space="preserve">Number of Women employed at Senior </w:t>
            </w:r>
            <w:r w:rsidRPr="004076DB">
              <w:rPr>
                <w:rFonts w:ascii="Arial" w:hAnsi="Arial" w:cs="Arial"/>
              </w:rPr>
              <w:lastRenderedPageBreak/>
              <w:t>management level at HQ and per province</w:t>
            </w:r>
          </w:p>
        </w:tc>
        <w:tc>
          <w:tcPr>
            <w:tcW w:w="1437" w:type="dxa"/>
          </w:tcPr>
          <w:p w:rsidR="009D2A2D" w:rsidRPr="004076DB" w:rsidRDefault="009D2A2D">
            <w:pPr>
              <w:rPr>
                <w:rFonts w:ascii="Arial" w:hAnsi="Arial" w:cs="Arial"/>
                <w:b/>
              </w:rPr>
            </w:pPr>
            <w:r w:rsidRPr="004076DB">
              <w:rPr>
                <w:rFonts w:ascii="Arial" w:hAnsi="Arial" w:cs="Arial"/>
                <w:b/>
              </w:rPr>
              <w:lastRenderedPageBreak/>
              <w:t>DDG: HRM&amp;D</w:t>
            </w:r>
          </w:p>
        </w:tc>
        <w:tc>
          <w:tcPr>
            <w:tcW w:w="11073" w:type="dxa"/>
          </w:tcPr>
          <w:p w:rsidR="009D2A2D" w:rsidRPr="00A24829" w:rsidRDefault="009D2A2D" w:rsidP="00D479C7">
            <w:pPr>
              <w:shd w:val="clear" w:color="auto" w:fill="FFFFFF"/>
              <w:rPr>
                <w:rFonts w:ascii="Arial" w:hAnsi="Arial" w:cs="Arial"/>
                <w:sz w:val="24"/>
                <w:szCs w:val="24"/>
              </w:rPr>
            </w:pPr>
            <w:r w:rsidRPr="00A24829">
              <w:rPr>
                <w:rFonts w:ascii="Arial" w:hAnsi="Arial" w:cs="Arial"/>
                <w:sz w:val="24"/>
                <w:szCs w:val="24"/>
              </w:rPr>
              <w:t xml:space="preserve">At 31 July 2020, the Department’s employment number (and percentage) of Women at Senior Management level was </w:t>
            </w:r>
            <w:r w:rsidRPr="00A24829">
              <w:rPr>
                <w:rFonts w:ascii="Helvetica" w:eastAsia="Times New Roman" w:hAnsi="Helvetica" w:cs="Helvetica"/>
                <w:color w:val="000000"/>
                <w:sz w:val="24"/>
                <w:szCs w:val="24"/>
                <w:lang w:val="en-US"/>
              </w:rPr>
              <w:t>59 Female = 46%. Males at a Senior Management level are 69 Males = 54%. The breakdown per Head Office and Provinces has been attached (</w:t>
            </w:r>
            <w:r w:rsidRPr="00A24829">
              <w:rPr>
                <w:rFonts w:ascii="Helvetica" w:eastAsia="Times New Roman" w:hAnsi="Helvetica" w:cs="Helvetica"/>
                <w:b/>
                <w:color w:val="000000"/>
                <w:sz w:val="24"/>
                <w:szCs w:val="24"/>
                <w:lang w:val="en-US"/>
              </w:rPr>
              <w:t>Annexure C</w:t>
            </w:r>
            <w:r w:rsidRPr="00A24829">
              <w:rPr>
                <w:rFonts w:ascii="Helvetica" w:eastAsia="Times New Roman" w:hAnsi="Helvetica" w:cs="Helvetica"/>
                <w:color w:val="000000"/>
                <w:sz w:val="24"/>
                <w:szCs w:val="24"/>
                <w:lang w:val="en-US"/>
              </w:rPr>
              <w:t xml:space="preserve">). </w:t>
            </w:r>
          </w:p>
          <w:p w:rsidR="009D2A2D" w:rsidRPr="00A24829" w:rsidRDefault="009D2A2D">
            <w:pPr>
              <w:rPr>
                <w:rFonts w:ascii="Arial" w:hAnsi="Arial" w:cs="Arial"/>
                <w:b/>
                <w:sz w:val="24"/>
                <w:szCs w:val="24"/>
              </w:rPr>
            </w:pPr>
          </w:p>
        </w:tc>
      </w:tr>
      <w:tr w:rsidR="009D2A2D" w:rsidRPr="004076DB" w:rsidTr="009D2A2D">
        <w:tc>
          <w:tcPr>
            <w:tcW w:w="1664" w:type="dxa"/>
          </w:tcPr>
          <w:p w:rsidR="009D2A2D" w:rsidRPr="004076DB" w:rsidRDefault="009D2A2D" w:rsidP="00032846">
            <w:pPr>
              <w:rPr>
                <w:rFonts w:ascii="Arial" w:hAnsi="Arial" w:cs="Arial"/>
                <w:b/>
              </w:rPr>
            </w:pPr>
            <w:r w:rsidRPr="004076DB">
              <w:rPr>
                <w:rFonts w:ascii="Arial" w:hAnsi="Arial" w:cs="Arial"/>
              </w:rPr>
              <w:lastRenderedPageBreak/>
              <w:t>Number of offices under Public Work property</w:t>
            </w:r>
          </w:p>
        </w:tc>
        <w:tc>
          <w:tcPr>
            <w:tcW w:w="1437" w:type="dxa"/>
            <w:vMerge w:val="restart"/>
          </w:tcPr>
          <w:p w:rsidR="009D2A2D" w:rsidRPr="004076DB" w:rsidRDefault="009D2A2D">
            <w:pPr>
              <w:rPr>
                <w:rFonts w:ascii="Arial" w:hAnsi="Arial" w:cs="Arial"/>
                <w:b/>
              </w:rPr>
            </w:pPr>
            <w:r w:rsidRPr="004076DB">
              <w:rPr>
                <w:rFonts w:ascii="Arial" w:hAnsi="Arial" w:cs="Arial"/>
                <w:b/>
              </w:rPr>
              <w:t>CFO</w:t>
            </w:r>
          </w:p>
        </w:tc>
        <w:tc>
          <w:tcPr>
            <w:tcW w:w="11073" w:type="dxa"/>
          </w:tcPr>
          <w:p w:rsidR="009D2A2D" w:rsidRPr="00BA726F" w:rsidRDefault="009D2A2D" w:rsidP="00BA726F">
            <w:pPr>
              <w:ind w:left="100" w:right="100"/>
              <w:rPr>
                <w:rFonts w:ascii="Times New Roman" w:eastAsia="Times New Roman" w:hAnsi="Times New Roman" w:cs="Times New Roman"/>
                <w:sz w:val="24"/>
                <w:szCs w:val="24"/>
                <w:lang w:eastAsia="en-ZA"/>
              </w:rPr>
            </w:pPr>
            <w:r w:rsidRPr="00BA726F">
              <w:rPr>
                <w:rFonts w:ascii="Arial" w:eastAsia="Times New Roman" w:hAnsi="Arial" w:cs="Arial"/>
                <w:bCs/>
                <w:sz w:val="24"/>
                <w:szCs w:val="24"/>
                <w:lang w:eastAsia="en-ZA"/>
              </w:rPr>
              <w:t>The department currently occupies 212 State owned properties. Please see attached schedule.</w:t>
            </w:r>
            <w:r>
              <w:rPr>
                <w:rFonts w:ascii="Arial" w:eastAsia="Times New Roman" w:hAnsi="Arial" w:cs="Arial"/>
                <w:bCs/>
                <w:sz w:val="24"/>
                <w:szCs w:val="24"/>
                <w:lang w:eastAsia="en-ZA"/>
              </w:rPr>
              <w:t xml:space="preserve"> </w:t>
            </w:r>
            <w:r w:rsidRPr="00D266AE">
              <w:rPr>
                <w:rFonts w:ascii="Arial" w:eastAsia="Times New Roman" w:hAnsi="Arial" w:cs="Arial"/>
                <w:b/>
                <w:bCs/>
                <w:sz w:val="24"/>
                <w:szCs w:val="24"/>
                <w:lang w:eastAsia="en-ZA"/>
              </w:rPr>
              <w:t>Annexure D</w:t>
            </w:r>
          </w:p>
          <w:p w:rsidR="009D2A2D" w:rsidRPr="00A24829" w:rsidRDefault="009D2A2D" w:rsidP="00C5623D">
            <w:pPr>
              <w:rPr>
                <w:rFonts w:ascii="Arial" w:hAnsi="Arial" w:cs="Arial"/>
                <w:sz w:val="24"/>
                <w:szCs w:val="24"/>
              </w:rPr>
            </w:pPr>
          </w:p>
        </w:tc>
      </w:tr>
      <w:tr w:rsidR="009D2A2D" w:rsidRPr="004076DB" w:rsidTr="009D2A2D">
        <w:tc>
          <w:tcPr>
            <w:tcW w:w="1664" w:type="dxa"/>
          </w:tcPr>
          <w:p w:rsidR="009D2A2D" w:rsidRPr="004076DB" w:rsidRDefault="009D2A2D" w:rsidP="00032846">
            <w:pPr>
              <w:rPr>
                <w:rFonts w:ascii="Arial" w:hAnsi="Arial" w:cs="Arial"/>
              </w:rPr>
            </w:pPr>
            <w:r w:rsidRPr="004076DB">
              <w:rPr>
                <w:rFonts w:ascii="Arial" w:hAnsi="Arial" w:cs="Arial"/>
              </w:rPr>
              <w:t>Number of office which Department is renting, period of rental and owners of properties.</w:t>
            </w:r>
          </w:p>
        </w:tc>
        <w:tc>
          <w:tcPr>
            <w:tcW w:w="1437" w:type="dxa"/>
            <w:vMerge/>
          </w:tcPr>
          <w:p w:rsidR="009D2A2D" w:rsidRPr="004076DB" w:rsidRDefault="009D2A2D">
            <w:pPr>
              <w:rPr>
                <w:rFonts w:ascii="Arial" w:hAnsi="Arial" w:cs="Arial"/>
                <w:b/>
              </w:rPr>
            </w:pPr>
          </w:p>
        </w:tc>
        <w:tc>
          <w:tcPr>
            <w:tcW w:w="11073" w:type="dxa"/>
          </w:tcPr>
          <w:p w:rsidR="009D2A2D" w:rsidRPr="00436A56" w:rsidRDefault="009D2A2D" w:rsidP="00436A56">
            <w:pPr>
              <w:ind w:left="100" w:right="100"/>
              <w:rPr>
                <w:rFonts w:ascii="Times New Roman" w:eastAsia="Times New Roman" w:hAnsi="Times New Roman" w:cs="Times New Roman"/>
                <w:sz w:val="24"/>
                <w:szCs w:val="24"/>
                <w:lang w:eastAsia="en-ZA"/>
              </w:rPr>
            </w:pPr>
            <w:r w:rsidRPr="00436A56">
              <w:rPr>
                <w:rFonts w:ascii="Arial" w:eastAsia="Times New Roman" w:hAnsi="Arial" w:cs="Arial"/>
                <w:bCs/>
                <w:sz w:val="24"/>
                <w:szCs w:val="24"/>
                <w:lang w:eastAsia="en-ZA"/>
              </w:rPr>
              <w:t>The department currently rents 230 privately owned properties. Please see attached schedule</w:t>
            </w:r>
            <w:r>
              <w:rPr>
                <w:rFonts w:ascii="Arial" w:eastAsia="Times New Roman" w:hAnsi="Arial" w:cs="Arial"/>
                <w:bCs/>
                <w:sz w:val="24"/>
                <w:szCs w:val="24"/>
                <w:lang w:eastAsia="en-ZA"/>
              </w:rPr>
              <w:t xml:space="preserve">. </w:t>
            </w:r>
            <w:r w:rsidRPr="00D266AE">
              <w:rPr>
                <w:rFonts w:ascii="Arial" w:eastAsia="Times New Roman" w:hAnsi="Arial" w:cs="Arial"/>
                <w:b/>
                <w:bCs/>
                <w:sz w:val="24"/>
                <w:szCs w:val="24"/>
                <w:lang w:eastAsia="en-ZA"/>
              </w:rPr>
              <w:t>Annexure D</w:t>
            </w:r>
          </w:p>
          <w:p w:rsidR="009D2A2D" w:rsidRPr="00A24829" w:rsidRDefault="009D2A2D">
            <w:pPr>
              <w:rPr>
                <w:rFonts w:ascii="Arial" w:hAnsi="Arial" w:cs="Arial"/>
                <w:sz w:val="24"/>
                <w:szCs w:val="24"/>
              </w:rPr>
            </w:pPr>
          </w:p>
        </w:tc>
      </w:tr>
      <w:tr w:rsidR="009D2A2D" w:rsidRPr="004076DB" w:rsidTr="009D2A2D">
        <w:tc>
          <w:tcPr>
            <w:tcW w:w="1664" w:type="dxa"/>
          </w:tcPr>
          <w:p w:rsidR="009D2A2D" w:rsidRPr="004076DB" w:rsidRDefault="009D2A2D" w:rsidP="00032846">
            <w:pPr>
              <w:rPr>
                <w:rFonts w:ascii="Arial" w:hAnsi="Arial" w:cs="Arial"/>
              </w:rPr>
            </w:pPr>
            <w:r w:rsidRPr="004076DB">
              <w:rPr>
                <w:rFonts w:ascii="Arial" w:hAnsi="Arial" w:cs="Arial"/>
              </w:rPr>
              <w:t>Commitments to support SMME’s in particular Women and Youth, progress report on procurement service in response to this commitment.</w:t>
            </w:r>
          </w:p>
        </w:tc>
        <w:tc>
          <w:tcPr>
            <w:tcW w:w="1437" w:type="dxa"/>
            <w:vMerge/>
          </w:tcPr>
          <w:p w:rsidR="009D2A2D" w:rsidRPr="004076DB" w:rsidRDefault="009D2A2D">
            <w:pPr>
              <w:rPr>
                <w:rFonts w:ascii="Arial" w:hAnsi="Arial" w:cs="Arial"/>
                <w:b/>
              </w:rPr>
            </w:pPr>
          </w:p>
        </w:tc>
        <w:tc>
          <w:tcPr>
            <w:tcW w:w="11073" w:type="dxa"/>
          </w:tcPr>
          <w:p w:rsidR="009D2A2D" w:rsidRPr="00A24829" w:rsidRDefault="009D2A2D">
            <w:pPr>
              <w:rPr>
                <w:rFonts w:ascii="Arial" w:hAnsi="Arial" w:cs="Arial"/>
                <w:sz w:val="24"/>
                <w:szCs w:val="24"/>
              </w:rPr>
            </w:pPr>
            <w:r w:rsidRPr="00A24829">
              <w:rPr>
                <w:rFonts w:ascii="Arial" w:hAnsi="Arial" w:cs="Arial"/>
                <w:sz w:val="24"/>
                <w:szCs w:val="24"/>
              </w:rPr>
              <w:t>Report on support to EME’s and QMEs in respect of bids issued enclosed.</w:t>
            </w:r>
          </w:p>
        </w:tc>
      </w:tr>
      <w:tr w:rsidR="009D2A2D" w:rsidRPr="004076DB" w:rsidTr="009D2A2D">
        <w:tc>
          <w:tcPr>
            <w:tcW w:w="1664" w:type="dxa"/>
          </w:tcPr>
          <w:p w:rsidR="009D2A2D" w:rsidRPr="004076DB" w:rsidRDefault="009D2A2D" w:rsidP="00032846">
            <w:pPr>
              <w:rPr>
                <w:rFonts w:ascii="Arial" w:hAnsi="Arial" w:cs="Arial"/>
              </w:rPr>
            </w:pPr>
            <w:r w:rsidRPr="004076DB">
              <w:rPr>
                <w:rFonts w:ascii="Arial" w:hAnsi="Arial" w:cs="Arial"/>
              </w:rPr>
              <w:t xml:space="preserve">Progress and implementation of all recommendation as per your </w:t>
            </w:r>
            <w:r w:rsidRPr="004076DB">
              <w:rPr>
                <w:rFonts w:ascii="Arial" w:hAnsi="Arial" w:cs="Arial"/>
              </w:rPr>
              <w:lastRenderedPageBreak/>
              <w:t xml:space="preserve">action plan. </w:t>
            </w:r>
          </w:p>
        </w:tc>
        <w:tc>
          <w:tcPr>
            <w:tcW w:w="1437" w:type="dxa"/>
            <w:vMerge/>
          </w:tcPr>
          <w:p w:rsidR="009D2A2D" w:rsidRPr="004076DB" w:rsidRDefault="009D2A2D">
            <w:pPr>
              <w:rPr>
                <w:rFonts w:ascii="Arial" w:hAnsi="Arial" w:cs="Arial"/>
                <w:b/>
              </w:rPr>
            </w:pPr>
          </w:p>
        </w:tc>
        <w:tc>
          <w:tcPr>
            <w:tcW w:w="11073" w:type="dxa"/>
          </w:tcPr>
          <w:p w:rsidR="009D2A2D" w:rsidRPr="00A24829" w:rsidRDefault="009D2A2D" w:rsidP="00C5623D">
            <w:pPr>
              <w:rPr>
                <w:rFonts w:ascii="Arial" w:hAnsi="Arial" w:cs="Arial"/>
                <w:sz w:val="24"/>
                <w:szCs w:val="24"/>
              </w:rPr>
            </w:pPr>
            <w:r w:rsidRPr="00A24829">
              <w:rPr>
                <w:rFonts w:ascii="Arial" w:hAnsi="Arial" w:cs="Arial"/>
                <w:sz w:val="24"/>
                <w:szCs w:val="24"/>
              </w:rPr>
              <w:t>Updated audit action plan enclosed. Please note that Internal Audit is validating the actions taken. The report from Internal Audit will be submitted once the validation process is complete.</w:t>
            </w:r>
          </w:p>
        </w:tc>
      </w:tr>
      <w:tr w:rsidR="009D2A2D" w:rsidRPr="004076DB" w:rsidTr="009D2A2D">
        <w:tc>
          <w:tcPr>
            <w:tcW w:w="1664" w:type="dxa"/>
          </w:tcPr>
          <w:p w:rsidR="009D2A2D" w:rsidRPr="004076DB" w:rsidRDefault="009D2A2D" w:rsidP="007A534E">
            <w:pPr>
              <w:rPr>
                <w:rFonts w:ascii="Arial" w:hAnsi="Arial" w:cs="Arial"/>
                <w:b/>
              </w:rPr>
            </w:pPr>
            <w:r w:rsidRPr="004076DB">
              <w:rPr>
                <w:rFonts w:ascii="Arial" w:hAnsi="Arial" w:cs="Arial"/>
              </w:rPr>
              <w:lastRenderedPageBreak/>
              <w:t>Implementation for Legal Services</w:t>
            </w:r>
          </w:p>
        </w:tc>
        <w:tc>
          <w:tcPr>
            <w:tcW w:w="1437" w:type="dxa"/>
          </w:tcPr>
          <w:p w:rsidR="009D2A2D" w:rsidRPr="004076DB" w:rsidRDefault="009D2A2D" w:rsidP="007A534E">
            <w:pPr>
              <w:rPr>
                <w:rFonts w:ascii="Arial" w:hAnsi="Arial" w:cs="Arial"/>
                <w:b/>
              </w:rPr>
            </w:pPr>
            <w:r w:rsidRPr="004076DB">
              <w:rPr>
                <w:rFonts w:ascii="Arial" w:hAnsi="Arial" w:cs="Arial"/>
                <w:b/>
              </w:rPr>
              <w:t>DG/DDG: HR/CFO</w:t>
            </w:r>
          </w:p>
        </w:tc>
        <w:tc>
          <w:tcPr>
            <w:tcW w:w="11073" w:type="dxa"/>
          </w:tcPr>
          <w:p w:rsidR="009D2A2D" w:rsidRDefault="009D2A2D" w:rsidP="007A534E">
            <w:pPr>
              <w:rPr>
                <w:rFonts w:ascii="Arial" w:hAnsi="Arial" w:cs="Arial"/>
              </w:rPr>
            </w:pPr>
            <w:r>
              <w:rPr>
                <w:rFonts w:ascii="Arial" w:hAnsi="Arial" w:cs="Arial"/>
              </w:rPr>
              <w:t xml:space="preserve">13 Posts (8 Legal Administration Officers (MR 5) and 5 Senior Legal Administration Officer (MR 6)) were funded and advertised with a closing date of 10 July 2020. Shortlisting is scheduled to take place on 12 August 2020. On conclusion of such, the date for interviews will be determined by the Selection Committee. </w:t>
            </w:r>
          </w:p>
          <w:p w:rsidR="009D2A2D" w:rsidRDefault="009D2A2D" w:rsidP="007A534E">
            <w:pPr>
              <w:rPr>
                <w:rFonts w:ascii="Arial" w:hAnsi="Arial" w:cs="Arial"/>
              </w:rPr>
            </w:pPr>
          </w:p>
          <w:p w:rsidR="009D2A2D" w:rsidRDefault="009D2A2D" w:rsidP="007A534E">
            <w:pPr>
              <w:rPr>
                <w:rFonts w:ascii="Arial" w:hAnsi="Arial" w:cs="Arial"/>
              </w:rPr>
            </w:pPr>
            <w:r>
              <w:rPr>
                <w:rFonts w:ascii="Arial" w:hAnsi="Arial" w:cs="Arial"/>
              </w:rPr>
              <w:t xml:space="preserve">The report on the procurement of customised Case Management System for Litigation is attached as </w:t>
            </w:r>
            <w:r w:rsidRPr="00D266AE">
              <w:rPr>
                <w:rFonts w:ascii="Arial" w:hAnsi="Arial" w:cs="Arial"/>
                <w:b/>
              </w:rPr>
              <w:t>Annexure E</w:t>
            </w:r>
          </w:p>
          <w:p w:rsidR="009D2A2D" w:rsidRPr="004076DB" w:rsidRDefault="009D2A2D" w:rsidP="007A534E">
            <w:pPr>
              <w:rPr>
                <w:rFonts w:ascii="Arial" w:hAnsi="Arial" w:cs="Arial"/>
                <w:b/>
              </w:rPr>
            </w:pPr>
          </w:p>
        </w:tc>
      </w:tr>
      <w:tr w:rsidR="009D2A2D" w:rsidRPr="004076DB" w:rsidTr="009D2A2D">
        <w:tc>
          <w:tcPr>
            <w:tcW w:w="1664" w:type="dxa"/>
          </w:tcPr>
          <w:p w:rsidR="009D2A2D" w:rsidRPr="004076DB" w:rsidRDefault="009D2A2D" w:rsidP="004A1BD0">
            <w:pPr>
              <w:rPr>
                <w:rFonts w:ascii="Arial" w:hAnsi="Arial" w:cs="Arial"/>
              </w:rPr>
            </w:pPr>
            <w:r w:rsidRPr="004076DB">
              <w:rPr>
                <w:rFonts w:ascii="Arial" w:hAnsi="Arial" w:cs="Arial"/>
              </w:rPr>
              <w:t>Plans on alternative measures to mitigate poor network in DHA office.</w:t>
            </w:r>
          </w:p>
          <w:p w:rsidR="009D2A2D" w:rsidRPr="004076DB" w:rsidRDefault="009D2A2D" w:rsidP="00032846">
            <w:pPr>
              <w:rPr>
                <w:rFonts w:ascii="Arial" w:hAnsi="Arial" w:cs="Arial"/>
              </w:rPr>
            </w:pPr>
          </w:p>
        </w:tc>
        <w:tc>
          <w:tcPr>
            <w:tcW w:w="1437" w:type="dxa"/>
          </w:tcPr>
          <w:p w:rsidR="009D2A2D" w:rsidRPr="004076DB" w:rsidRDefault="009D2A2D">
            <w:pPr>
              <w:rPr>
                <w:rFonts w:ascii="Arial" w:hAnsi="Arial" w:cs="Arial"/>
                <w:b/>
              </w:rPr>
            </w:pPr>
            <w:r w:rsidRPr="004076DB">
              <w:rPr>
                <w:rFonts w:ascii="Arial" w:hAnsi="Arial" w:cs="Arial"/>
                <w:b/>
              </w:rPr>
              <w:t>CIO</w:t>
            </w:r>
          </w:p>
        </w:tc>
        <w:tc>
          <w:tcPr>
            <w:tcW w:w="11073" w:type="dxa"/>
          </w:tcPr>
          <w:p w:rsidR="009D2A2D" w:rsidRPr="00E91AE2" w:rsidRDefault="009D2A2D" w:rsidP="00E91AE2">
            <w:pPr>
              <w:rPr>
                <w:rFonts w:ascii="Arial" w:eastAsia="Times New Roman" w:hAnsi="Arial" w:cs="Arial"/>
                <w:sz w:val="24"/>
                <w:szCs w:val="24"/>
                <w:lang w:eastAsia="en-ZA"/>
              </w:rPr>
            </w:pPr>
            <w:r w:rsidRPr="00E91AE2">
              <w:rPr>
                <w:rFonts w:ascii="Arial" w:eastAsia="Times New Roman" w:hAnsi="Arial" w:cs="Arial"/>
                <w:sz w:val="24"/>
                <w:szCs w:val="24"/>
                <w:lang w:eastAsia="en-ZA"/>
              </w:rPr>
              <w:t>SITA has developed an improvement plan for DHA end to end service delivery. This was as a result of the assessment that revealed shortcomings in the SITA core network, the network design has multiple single points of failure, both from an infrastructure and transmission link perspective. A remedial plan with a schedule and activities for the core network has been developed and will be presented to the DHA EXCO </w:t>
            </w:r>
          </w:p>
          <w:p w:rsidR="009D2A2D" w:rsidRPr="00E91AE2" w:rsidRDefault="009D2A2D">
            <w:pPr>
              <w:rPr>
                <w:rFonts w:ascii="Arial" w:hAnsi="Arial" w:cs="Arial"/>
                <w:b/>
                <w:sz w:val="24"/>
                <w:szCs w:val="24"/>
              </w:rPr>
            </w:pPr>
          </w:p>
        </w:tc>
      </w:tr>
      <w:tr w:rsidR="009D2A2D" w:rsidRPr="004076DB" w:rsidTr="009D2A2D">
        <w:tc>
          <w:tcPr>
            <w:tcW w:w="1664" w:type="dxa"/>
          </w:tcPr>
          <w:p w:rsidR="009D2A2D" w:rsidRPr="004076DB" w:rsidRDefault="009D2A2D" w:rsidP="004A1BD0">
            <w:pPr>
              <w:rPr>
                <w:rFonts w:ascii="Arial" w:hAnsi="Arial" w:cs="Arial"/>
              </w:rPr>
            </w:pPr>
            <w:r w:rsidRPr="004076DB">
              <w:rPr>
                <w:rFonts w:ascii="Arial" w:hAnsi="Arial" w:cs="Arial"/>
              </w:rPr>
              <w:t xml:space="preserve">Progress report on internal EOH investigation.     </w:t>
            </w:r>
          </w:p>
          <w:p w:rsidR="009D2A2D" w:rsidRPr="004076DB" w:rsidRDefault="009D2A2D" w:rsidP="00032846">
            <w:pPr>
              <w:rPr>
                <w:rFonts w:ascii="Arial" w:hAnsi="Arial" w:cs="Arial"/>
              </w:rPr>
            </w:pPr>
          </w:p>
        </w:tc>
        <w:tc>
          <w:tcPr>
            <w:tcW w:w="1437" w:type="dxa"/>
          </w:tcPr>
          <w:p w:rsidR="009D2A2D" w:rsidRPr="004076DB" w:rsidRDefault="009D2A2D">
            <w:pPr>
              <w:rPr>
                <w:rFonts w:ascii="Arial" w:hAnsi="Arial" w:cs="Arial"/>
                <w:b/>
              </w:rPr>
            </w:pPr>
            <w:r>
              <w:rPr>
                <w:rFonts w:ascii="Arial" w:hAnsi="Arial" w:cs="Arial"/>
                <w:b/>
              </w:rPr>
              <w:t>CF</w:t>
            </w:r>
            <w:r w:rsidRPr="004076DB">
              <w:rPr>
                <w:rFonts w:ascii="Arial" w:hAnsi="Arial" w:cs="Arial"/>
                <w:b/>
              </w:rPr>
              <w:t>O</w:t>
            </w:r>
          </w:p>
        </w:tc>
        <w:tc>
          <w:tcPr>
            <w:tcW w:w="11073" w:type="dxa"/>
          </w:tcPr>
          <w:p w:rsidR="009D2A2D" w:rsidRPr="00A24829" w:rsidRDefault="009D2A2D">
            <w:pPr>
              <w:rPr>
                <w:rFonts w:ascii="Arial" w:hAnsi="Arial" w:cs="Arial"/>
              </w:rPr>
            </w:pPr>
            <w:r w:rsidRPr="00A24829">
              <w:rPr>
                <w:rFonts w:ascii="Arial" w:hAnsi="Arial" w:cs="Arial"/>
              </w:rPr>
              <w:t>Nexia SAB&amp;T was appointed to conduct a forensic investigation into the appointment of EOH Mthombo for the provision of the ABIS system. Phase 1 of the investigation was concluded on 31 July 2020 and a draft preliminary investigation report was submitted. Management comments on the draft preliminary report were submitted to Nexia SAB&amp;T. The next phase of the investigation is to answer the question of value for money</w:t>
            </w:r>
            <w:r w:rsidR="00BF6752">
              <w:rPr>
                <w:rFonts w:ascii="Arial" w:hAnsi="Arial" w:cs="Arial"/>
              </w:rPr>
              <w:t xml:space="preserve">. The report on ABIS is attached as </w:t>
            </w:r>
            <w:r w:rsidR="00BF6752" w:rsidRPr="00BF6752">
              <w:rPr>
                <w:rFonts w:ascii="Arial" w:hAnsi="Arial" w:cs="Arial"/>
                <w:b/>
              </w:rPr>
              <w:t>Annexure F</w:t>
            </w:r>
          </w:p>
        </w:tc>
      </w:tr>
    </w:tbl>
    <w:p w:rsidR="00F26CDC" w:rsidRPr="004076DB" w:rsidRDefault="00F26CDC" w:rsidP="004A1BD0">
      <w:pPr>
        <w:rPr>
          <w:rFonts w:ascii="Arial" w:hAnsi="Arial" w:cs="Arial"/>
          <w:b/>
        </w:rPr>
      </w:pPr>
    </w:p>
    <w:p w:rsidR="00280371" w:rsidRPr="004076DB" w:rsidRDefault="00280371">
      <w:pPr>
        <w:rPr>
          <w:rFonts w:ascii="Arial" w:hAnsi="Arial" w:cs="Arial"/>
        </w:rPr>
      </w:pPr>
    </w:p>
    <w:p w:rsidR="00280371" w:rsidRPr="004076DB" w:rsidRDefault="00280371">
      <w:pPr>
        <w:rPr>
          <w:rFonts w:ascii="Arial" w:hAnsi="Arial" w:cs="Arial"/>
        </w:rPr>
      </w:pPr>
    </w:p>
    <w:sectPr w:rsidR="00280371" w:rsidRPr="004076DB" w:rsidSect="00B81290">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1CE" w:rsidRDefault="00B651CE" w:rsidP="00655DEF">
      <w:pPr>
        <w:spacing w:after="0" w:line="240" w:lineRule="auto"/>
      </w:pPr>
      <w:r>
        <w:separator/>
      </w:r>
    </w:p>
  </w:endnote>
  <w:endnote w:type="continuationSeparator" w:id="0">
    <w:p w:rsidR="00B651CE" w:rsidRDefault="00B651CE" w:rsidP="00655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3661"/>
      <w:docPartObj>
        <w:docPartGallery w:val="Page Numbers (Bottom of Page)"/>
        <w:docPartUnique/>
      </w:docPartObj>
    </w:sdtPr>
    <w:sdtEndPr>
      <w:rPr>
        <w:noProof/>
      </w:rPr>
    </w:sdtEndPr>
    <w:sdtContent>
      <w:p w:rsidR="00D36A9D" w:rsidRDefault="00A87515">
        <w:pPr>
          <w:pStyle w:val="Footer"/>
          <w:jc w:val="right"/>
        </w:pPr>
        <w:r>
          <w:fldChar w:fldCharType="begin"/>
        </w:r>
        <w:r w:rsidR="00D36A9D">
          <w:instrText xml:space="preserve"> PAGE   \* MERGEFORMAT </w:instrText>
        </w:r>
        <w:r>
          <w:fldChar w:fldCharType="separate"/>
        </w:r>
        <w:r w:rsidR="00C170BA">
          <w:rPr>
            <w:noProof/>
          </w:rPr>
          <w:t>10</w:t>
        </w:r>
        <w:r>
          <w:rPr>
            <w:noProof/>
          </w:rPr>
          <w:fldChar w:fldCharType="end"/>
        </w:r>
      </w:p>
    </w:sdtContent>
  </w:sdt>
  <w:p w:rsidR="00D36A9D" w:rsidRDefault="00D36A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1CE" w:rsidRDefault="00B651CE" w:rsidP="00655DEF">
      <w:pPr>
        <w:spacing w:after="0" w:line="240" w:lineRule="auto"/>
      </w:pPr>
      <w:r>
        <w:separator/>
      </w:r>
    </w:p>
  </w:footnote>
  <w:footnote w:type="continuationSeparator" w:id="0">
    <w:p w:rsidR="00B651CE" w:rsidRDefault="00B651CE" w:rsidP="00655D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DEF" w:rsidRDefault="00655DEF" w:rsidP="00655DEF">
    <w:pPr>
      <w:pStyle w:val="Header"/>
      <w:ind w:firstLine="720"/>
    </w:pPr>
    <w:r>
      <w:tab/>
    </w:r>
    <w:r>
      <w:rPr>
        <w:rFonts w:ascii="Arial Narrow" w:hAnsi="Arial Narrow"/>
        <w:noProof/>
        <w:lang w:val="en-US"/>
      </w:rPr>
      <w:drawing>
        <wp:inline distT="0" distB="0" distL="0" distR="0">
          <wp:extent cx="1554480" cy="731520"/>
          <wp:effectExtent l="0" t="0" r="7620" b="0"/>
          <wp:docPr id="1" name="Picture 1" descr="home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 affairs"/>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1363" cy="767700"/>
                  </a:xfrm>
                  <a:prstGeom prst="rect">
                    <a:avLst/>
                  </a:prstGeom>
                  <a:noFill/>
                  <a:ln>
                    <a:noFill/>
                  </a:ln>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78BA"/>
    <w:multiLevelType w:val="hybridMultilevel"/>
    <w:tmpl w:val="88E8A2B0"/>
    <w:lvl w:ilvl="0" w:tplc="FD2667B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D9D2ECF"/>
    <w:multiLevelType w:val="hybridMultilevel"/>
    <w:tmpl w:val="C728C314"/>
    <w:lvl w:ilvl="0" w:tplc="0D38A0BE">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34474E36"/>
    <w:multiLevelType w:val="hybridMultilevel"/>
    <w:tmpl w:val="CC8C928E"/>
    <w:lvl w:ilvl="0" w:tplc="3ABE0AA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B7A4078"/>
    <w:multiLevelType w:val="hybridMultilevel"/>
    <w:tmpl w:val="AD78665A"/>
    <w:lvl w:ilvl="0" w:tplc="5B00A3D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82C5BE8"/>
    <w:multiLevelType w:val="multilevel"/>
    <w:tmpl w:val="16BA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AD7AAB"/>
    <w:multiLevelType w:val="hybridMultilevel"/>
    <w:tmpl w:val="8BB414D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5B604D96"/>
    <w:multiLevelType w:val="hybridMultilevel"/>
    <w:tmpl w:val="10E69FF6"/>
    <w:lvl w:ilvl="0" w:tplc="CB1EDD08">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63E05E41"/>
    <w:multiLevelType w:val="hybridMultilevel"/>
    <w:tmpl w:val="84E6F8EC"/>
    <w:lvl w:ilvl="0" w:tplc="8E62ED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A1B4A91"/>
    <w:multiLevelType w:val="hybridMultilevel"/>
    <w:tmpl w:val="760C1536"/>
    <w:lvl w:ilvl="0" w:tplc="5B00A3D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B29590B"/>
    <w:multiLevelType w:val="hybridMultilevel"/>
    <w:tmpl w:val="18720B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70AF3684"/>
    <w:multiLevelType w:val="hybridMultilevel"/>
    <w:tmpl w:val="A0D8F2A6"/>
    <w:lvl w:ilvl="0" w:tplc="8BEC66B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C355E38"/>
    <w:multiLevelType w:val="hybridMultilevel"/>
    <w:tmpl w:val="DFF8D8A8"/>
    <w:lvl w:ilvl="0" w:tplc="A38A647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7"/>
  </w:num>
  <w:num w:numId="3">
    <w:abstractNumId w:val="11"/>
  </w:num>
  <w:num w:numId="4">
    <w:abstractNumId w:val="10"/>
  </w:num>
  <w:num w:numId="5">
    <w:abstractNumId w:val="2"/>
  </w:num>
  <w:num w:numId="6">
    <w:abstractNumId w:val="3"/>
  </w:num>
  <w:num w:numId="7">
    <w:abstractNumId w:val="6"/>
  </w:num>
  <w:num w:numId="8">
    <w:abstractNumId w:val="1"/>
  </w:num>
  <w:num w:numId="9">
    <w:abstractNumId w:val="8"/>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80371"/>
    <w:rsid w:val="00032846"/>
    <w:rsid w:val="001942F9"/>
    <w:rsid w:val="001C2258"/>
    <w:rsid w:val="00280371"/>
    <w:rsid w:val="00322A9C"/>
    <w:rsid w:val="003741B9"/>
    <w:rsid w:val="004076DB"/>
    <w:rsid w:val="00436A56"/>
    <w:rsid w:val="004A1BD0"/>
    <w:rsid w:val="004E4365"/>
    <w:rsid w:val="00596F0E"/>
    <w:rsid w:val="00655DEF"/>
    <w:rsid w:val="00665B60"/>
    <w:rsid w:val="007572F4"/>
    <w:rsid w:val="007D5B52"/>
    <w:rsid w:val="008340C3"/>
    <w:rsid w:val="008C3EAF"/>
    <w:rsid w:val="008E489E"/>
    <w:rsid w:val="009A1D6F"/>
    <w:rsid w:val="009D2A2D"/>
    <w:rsid w:val="00A12FB8"/>
    <w:rsid w:val="00A24829"/>
    <w:rsid w:val="00A87515"/>
    <w:rsid w:val="00AA2B44"/>
    <w:rsid w:val="00B00F5C"/>
    <w:rsid w:val="00B07A65"/>
    <w:rsid w:val="00B651CE"/>
    <w:rsid w:val="00B81290"/>
    <w:rsid w:val="00BA4995"/>
    <w:rsid w:val="00BA726F"/>
    <w:rsid w:val="00BF6752"/>
    <w:rsid w:val="00C170BA"/>
    <w:rsid w:val="00C96C26"/>
    <w:rsid w:val="00CD75A4"/>
    <w:rsid w:val="00D266AE"/>
    <w:rsid w:val="00D36A9D"/>
    <w:rsid w:val="00D479C7"/>
    <w:rsid w:val="00E20131"/>
    <w:rsid w:val="00E64AD8"/>
    <w:rsid w:val="00E733A6"/>
    <w:rsid w:val="00E91AE2"/>
    <w:rsid w:val="00EB3D56"/>
    <w:rsid w:val="00EC02D8"/>
    <w:rsid w:val="00F16969"/>
    <w:rsid w:val="00F26CDC"/>
    <w:rsid w:val="00F75B8C"/>
    <w:rsid w:val="00F95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371"/>
    <w:pPr>
      <w:ind w:left="720"/>
      <w:contextualSpacing/>
    </w:pPr>
  </w:style>
  <w:style w:type="table" w:styleId="TableGrid">
    <w:name w:val="Table Grid"/>
    <w:basedOn w:val="TableNormal"/>
    <w:uiPriority w:val="59"/>
    <w:rsid w:val="00EC0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5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DEF"/>
  </w:style>
  <w:style w:type="paragraph" w:styleId="Footer">
    <w:name w:val="footer"/>
    <w:basedOn w:val="Normal"/>
    <w:link w:val="FooterChar"/>
    <w:uiPriority w:val="99"/>
    <w:unhideWhenUsed/>
    <w:rsid w:val="00655D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DEF"/>
  </w:style>
  <w:style w:type="paragraph" w:styleId="BalloonText">
    <w:name w:val="Balloon Text"/>
    <w:basedOn w:val="Normal"/>
    <w:link w:val="BalloonTextChar"/>
    <w:uiPriority w:val="99"/>
    <w:semiHidden/>
    <w:unhideWhenUsed/>
    <w:rsid w:val="00655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371"/>
    <w:pPr>
      <w:ind w:left="720"/>
      <w:contextualSpacing/>
    </w:pPr>
  </w:style>
  <w:style w:type="table" w:styleId="TableGrid">
    <w:name w:val="Table Grid"/>
    <w:basedOn w:val="TableNormal"/>
    <w:uiPriority w:val="59"/>
    <w:rsid w:val="00EC0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5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DEF"/>
  </w:style>
  <w:style w:type="paragraph" w:styleId="Footer">
    <w:name w:val="footer"/>
    <w:basedOn w:val="Normal"/>
    <w:link w:val="FooterChar"/>
    <w:uiPriority w:val="99"/>
    <w:unhideWhenUsed/>
    <w:rsid w:val="00655D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DEF"/>
  </w:style>
  <w:style w:type="paragraph" w:styleId="BalloonText">
    <w:name w:val="Balloon Text"/>
    <w:basedOn w:val="Normal"/>
    <w:link w:val="BalloonTextChar"/>
    <w:uiPriority w:val="99"/>
    <w:semiHidden/>
    <w:unhideWhenUsed/>
    <w:rsid w:val="00655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56986">
      <w:bodyDiv w:val="1"/>
      <w:marLeft w:val="0"/>
      <w:marRight w:val="0"/>
      <w:marTop w:val="0"/>
      <w:marBottom w:val="0"/>
      <w:divBdr>
        <w:top w:val="none" w:sz="0" w:space="0" w:color="auto"/>
        <w:left w:val="none" w:sz="0" w:space="0" w:color="auto"/>
        <w:bottom w:val="none" w:sz="0" w:space="0" w:color="auto"/>
        <w:right w:val="none" w:sz="0" w:space="0" w:color="auto"/>
      </w:divBdr>
    </w:div>
    <w:div w:id="592008316">
      <w:bodyDiv w:val="1"/>
      <w:marLeft w:val="0"/>
      <w:marRight w:val="0"/>
      <w:marTop w:val="0"/>
      <w:marBottom w:val="0"/>
      <w:divBdr>
        <w:top w:val="none" w:sz="0" w:space="0" w:color="auto"/>
        <w:left w:val="none" w:sz="0" w:space="0" w:color="auto"/>
        <w:bottom w:val="none" w:sz="0" w:space="0" w:color="auto"/>
        <w:right w:val="none" w:sz="0" w:space="0" w:color="auto"/>
      </w:divBdr>
    </w:div>
    <w:div w:id="686369759">
      <w:bodyDiv w:val="1"/>
      <w:marLeft w:val="0"/>
      <w:marRight w:val="0"/>
      <w:marTop w:val="0"/>
      <w:marBottom w:val="0"/>
      <w:divBdr>
        <w:top w:val="none" w:sz="0" w:space="0" w:color="auto"/>
        <w:left w:val="none" w:sz="0" w:space="0" w:color="auto"/>
        <w:bottom w:val="none" w:sz="0" w:space="0" w:color="auto"/>
        <w:right w:val="none" w:sz="0" w:space="0" w:color="auto"/>
      </w:divBdr>
    </w:div>
    <w:div w:id="945187659">
      <w:bodyDiv w:val="1"/>
      <w:marLeft w:val="0"/>
      <w:marRight w:val="0"/>
      <w:marTop w:val="0"/>
      <w:marBottom w:val="0"/>
      <w:divBdr>
        <w:top w:val="none" w:sz="0" w:space="0" w:color="auto"/>
        <w:left w:val="none" w:sz="0" w:space="0" w:color="auto"/>
        <w:bottom w:val="none" w:sz="0" w:space="0" w:color="auto"/>
        <w:right w:val="none" w:sz="0" w:space="0" w:color="auto"/>
      </w:divBdr>
      <w:divsChild>
        <w:div w:id="207642866">
          <w:marLeft w:val="0"/>
          <w:marRight w:val="0"/>
          <w:marTop w:val="0"/>
          <w:marBottom w:val="0"/>
          <w:divBdr>
            <w:top w:val="none" w:sz="0" w:space="0" w:color="auto"/>
            <w:left w:val="none" w:sz="0" w:space="0" w:color="auto"/>
            <w:bottom w:val="none" w:sz="0" w:space="0" w:color="auto"/>
            <w:right w:val="none" w:sz="0" w:space="0" w:color="auto"/>
          </w:divBdr>
        </w:div>
      </w:divsChild>
    </w:div>
    <w:div w:id="1027563882">
      <w:bodyDiv w:val="1"/>
      <w:marLeft w:val="0"/>
      <w:marRight w:val="0"/>
      <w:marTop w:val="0"/>
      <w:marBottom w:val="0"/>
      <w:divBdr>
        <w:top w:val="none" w:sz="0" w:space="0" w:color="auto"/>
        <w:left w:val="none" w:sz="0" w:space="0" w:color="auto"/>
        <w:bottom w:val="none" w:sz="0" w:space="0" w:color="auto"/>
        <w:right w:val="none" w:sz="0" w:space="0" w:color="auto"/>
      </w:divBdr>
    </w:div>
    <w:div w:id="1086685182">
      <w:bodyDiv w:val="1"/>
      <w:marLeft w:val="0"/>
      <w:marRight w:val="0"/>
      <w:marTop w:val="0"/>
      <w:marBottom w:val="0"/>
      <w:divBdr>
        <w:top w:val="none" w:sz="0" w:space="0" w:color="auto"/>
        <w:left w:val="none" w:sz="0" w:space="0" w:color="auto"/>
        <w:bottom w:val="none" w:sz="0" w:space="0" w:color="auto"/>
        <w:right w:val="none" w:sz="0" w:space="0" w:color="auto"/>
      </w:divBdr>
    </w:div>
    <w:div w:id="1330671767">
      <w:bodyDiv w:val="1"/>
      <w:marLeft w:val="0"/>
      <w:marRight w:val="0"/>
      <w:marTop w:val="0"/>
      <w:marBottom w:val="0"/>
      <w:divBdr>
        <w:top w:val="none" w:sz="0" w:space="0" w:color="auto"/>
        <w:left w:val="none" w:sz="0" w:space="0" w:color="auto"/>
        <w:bottom w:val="none" w:sz="0" w:space="0" w:color="auto"/>
        <w:right w:val="none" w:sz="0" w:space="0" w:color="auto"/>
      </w:divBdr>
    </w:div>
    <w:div w:id="1397970596">
      <w:bodyDiv w:val="1"/>
      <w:marLeft w:val="0"/>
      <w:marRight w:val="0"/>
      <w:marTop w:val="0"/>
      <w:marBottom w:val="0"/>
      <w:divBdr>
        <w:top w:val="none" w:sz="0" w:space="0" w:color="auto"/>
        <w:left w:val="none" w:sz="0" w:space="0" w:color="auto"/>
        <w:bottom w:val="none" w:sz="0" w:space="0" w:color="auto"/>
        <w:right w:val="none" w:sz="0" w:space="0" w:color="auto"/>
      </w:divBdr>
    </w:div>
    <w:div w:id="150359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Aphane</dc:creator>
  <cp:lastModifiedBy>Monique</cp:lastModifiedBy>
  <cp:revision>2</cp:revision>
  <dcterms:created xsi:type="dcterms:W3CDTF">2020-08-24T16:12:00Z</dcterms:created>
  <dcterms:modified xsi:type="dcterms:W3CDTF">2020-08-24T16:12:00Z</dcterms:modified>
</cp:coreProperties>
</file>