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5EF" w:rsidRDefault="000050BF">
      <w:pPr>
        <w:spacing w:after="232" w:line="259" w:lineRule="auto"/>
        <w:ind w:left="6" w:firstLine="0"/>
        <w:jc w:val="center"/>
      </w:pPr>
      <w:bookmarkStart w:id="0" w:name="_GoBack"/>
      <w:bookmarkEnd w:id="0"/>
      <w:r>
        <w:rPr>
          <w:b/>
          <w:sz w:val="28"/>
        </w:rPr>
        <w:t xml:space="preserve">ORGANISED LABOUR PRESENTATION (SABC)  </w:t>
      </w:r>
    </w:p>
    <w:p w:rsidR="00F865EF" w:rsidRDefault="000050BF">
      <w:pPr>
        <w:spacing w:after="290"/>
        <w:ind w:left="-5"/>
      </w:pPr>
      <w:r>
        <w:t>Communication Workers Union (CWU) remain committed in engaging all key stakeholders on a turnaround strategy that will take the SABC forward. We believe that the Public broadcaster stands a chance of being one of the lucrative assets of the public; through</w:t>
      </w:r>
      <w:r>
        <w:t xml:space="preserve"> content, finances and administration. The union equally acknowledges that there are historical challenges that need to be corrected going forward. As a union, we confirm to have met on the 11</w:t>
      </w:r>
      <w:r>
        <w:rPr>
          <w:sz w:val="16"/>
        </w:rPr>
        <w:t>th</w:t>
      </w:r>
      <w:r>
        <w:t xml:space="preserve"> of June 2020 with the SABC executive management and the Chair</w:t>
      </w:r>
      <w:r>
        <w:t>person of the Board.  At the meeting, we asked about the progress of the skills audit process, precisely to deal broadly with the turnaround strategy. The Public Broadcaster management informed CWU that the process is not yet concluded and as a result, ret</w:t>
      </w:r>
      <w:r>
        <w:t xml:space="preserve">renchments or any other matter related to human capital was never discussed. Furthermore, the turnaround strategy of the public broadcaster cannot be concluded without incorporating all role players in the industry. </w:t>
      </w:r>
      <w:r>
        <w:t xml:space="preserve"> </w:t>
      </w:r>
    </w:p>
    <w:p w:rsidR="00F865EF" w:rsidRDefault="000050BF">
      <w:pPr>
        <w:pStyle w:val="Heading1"/>
        <w:spacing w:after="256"/>
        <w:ind w:left="-5"/>
      </w:pPr>
      <w:r>
        <w:t xml:space="preserve">Turnaround Strategy  </w:t>
      </w:r>
    </w:p>
    <w:p w:rsidR="00F865EF" w:rsidRDefault="000050BF">
      <w:pPr>
        <w:spacing w:after="79"/>
        <w:ind w:left="-5"/>
      </w:pPr>
      <w:r>
        <w:t>We think it is c</w:t>
      </w:r>
      <w:r>
        <w:t>ritical that we deal with the turnaround strategy looking into these priorities as pillars of the turnaround strategy:</w:t>
      </w:r>
      <w:r>
        <w:t xml:space="preserve"> </w:t>
      </w:r>
    </w:p>
    <w:p w:rsidR="00F865EF" w:rsidRDefault="000050BF">
      <w:pPr>
        <w:numPr>
          <w:ilvl w:val="0"/>
          <w:numId w:val="1"/>
        </w:numPr>
        <w:spacing w:after="50"/>
        <w:ind w:hanging="360"/>
      </w:pPr>
      <w:r>
        <w:t xml:space="preserve">Digital Migration </w:t>
      </w:r>
      <w:r>
        <w:t xml:space="preserve"> </w:t>
      </w:r>
    </w:p>
    <w:p w:rsidR="00F865EF" w:rsidRDefault="000050BF">
      <w:pPr>
        <w:numPr>
          <w:ilvl w:val="0"/>
          <w:numId w:val="1"/>
        </w:numPr>
        <w:spacing w:after="50"/>
        <w:ind w:hanging="360"/>
      </w:pPr>
      <w:r>
        <w:t xml:space="preserve">Online revenue stream </w:t>
      </w:r>
      <w:r>
        <w:t xml:space="preserve"> </w:t>
      </w:r>
    </w:p>
    <w:p w:rsidR="00F865EF" w:rsidRDefault="000050BF">
      <w:pPr>
        <w:numPr>
          <w:ilvl w:val="0"/>
          <w:numId w:val="1"/>
        </w:numPr>
        <w:spacing w:after="49"/>
        <w:ind w:hanging="360"/>
      </w:pPr>
      <w:r>
        <w:t xml:space="preserve">Public Broadcaster Funding Model </w:t>
      </w:r>
      <w:r>
        <w:t xml:space="preserve"> </w:t>
      </w:r>
    </w:p>
    <w:p w:rsidR="00F865EF" w:rsidRDefault="000050BF">
      <w:pPr>
        <w:numPr>
          <w:ilvl w:val="0"/>
          <w:numId w:val="1"/>
        </w:numPr>
        <w:spacing w:after="49"/>
        <w:ind w:hanging="360"/>
      </w:pPr>
      <w:r>
        <w:t>Unfunded (broadcasting) mandate</w:t>
      </w:r>
      <w:r>
        <w:t xml:space="preserve"> </w:t>
      </w:r>
    </w:p>
    <w:p w:rsidR="00F865EF" w:rsidRDefault="000050BF">
      <w:pPr>
        <w:numPr>
          <w:ilvl w:val="0"/>
          <w:numId w:val="1"/>
        </w:numPr>
        <w:spacing w:after="461"/>
        <w:ind w:hanging="360"/>
      </w:pPr>
      <w:r>
        <w:t>Stringent regulations on</w:t>
      </w:r>
      <w:r>
        <w:t xml:space="preserve"> the broadcaster </w:t>
      </w:r>
      <w:r>
        <w:t xml:space="preserve"> </w:t>
      </w:r>
    </w:p>
    <w:p w:rsidR="00F865EF" w:rsidRDefault="000050BF">
      <w:pPr>
        <w:pStyle w:val="Heading1"/>
        <w:ind w:left="-5"/>
      </w:pPr>
      <w:r>
        <w:t xml:space="preserve">On Digital Migration  </w:t>
      </w:r>
    </w:p>
    <w:p w:rsidR="00F865EF" w:rsidRDefault="000050BF">
      <w:pPr>
        <w:spacing w:after="490"/>
        <w:ind w:left="-5"/>
      </w:pPr>
      <w:r>
        <w:t>With the COVID-19 pandemic, it presents a new opportunity for us to fast track the process of the digital migration. Our view is that digital migration should be an integral part of the turnaround strategy. This in</w:t>
      </w:r>
      <w:r>
        <w:t>cludes establishment of new channels for both radio, television and incorporating a partnership with community based broadcasters. This may as well mean that there is a need to expand on human capital in order to broaden the broadcasting scope, *re-skillin</w:t>
      </w:r>
      <w:r>
        <w:t>g and upskilling.”</w:t>
      </w:r>
      <w:r>
        <w:t xml:space="preserve"> </w:t>
      </w:r>
    </w:p>
    <w:p w:rsidR="00F865EF" w:rsidRDefault="000050BF">
      <w:pPr>
        <w:pStyle w:val="Heading1"/>
        <w:ind w:left="-5"/>
      </w:pPr>
      <w:r>
        <w:t xml:space="preserve">Online Revenue Stream  </w:t>
      </w:r>
    </w:p>
    <w:p w:rsidR="00F865EF" w:rsidRDefault="000050BF">
      <w:pPr>
        <w:ind w:left="-5"/>
      </w:pPr>
      <w:r>
        <w:t>The reports are indicating that close to 70% of advertisers (trends) are now moving to the online content and lesser interest on conventional broadcaster. The SABC must be commended to have swiftly expanded on th</w:t>
      </w:r>
      <w:r>
        <w:t xml:space="preserve">e online content broadcasting. The weaknesses however, is that the Public Broadcaster has not been able to accumulate revenue on these platforms. </w:t>
      </w:r>
      <w:r>
        <w:t xml:space="preserve"> </w:t>
      </w:r>
    </w:p>
    <w:p w:rsidR="00F865EF" w:rsidRDefault="000050BF">
      <w:pPr>
        <w:pStyle w:val="Heading1"/>
        <w:ind w:left="-5"/>
      </w:pPr>
      <w:r>
        <w:lastRenderedPageBreak/>
        <w:t xml:space="preserve">Funding Model     </w:t>
      </w:r>
    </w:p>
    <w:p w:rsidR="00F865EF" w:rsidRDefault="000050BF">
      <w:pPr>
        <w:spacing w:after="490"/>
        <w:ind w:left="-5"/>
      </w:pPr>
      <w:r>
        <w:t>We look into this area inclusive of the “online revenue stream,” and we then expand to th</w:t>
      </w:r>
      <w:r>
        <w:t>e question of the “Over the top services” (OTT) i.e. Netflix, Facebook and others. These have to be regulated and should pay the broadcasting levy as part of the funding model of the SABC. To further empower the public broadcaster not to entirely rely on t</w:t>
      </w:r>
      <w:r>
        <w:t xml:space="preserve">he private sector for funding (advertising), the government must contribute to the broadcasting grant. The TV licensing has been an unworkable mechanism. </w:t>
      </w:r>
      <w:r>
        <w:t xml:space="preserve"> </w:t>
      </w:r>
    </w:p>
    <w:p w:rsidR="00F865EF" w:rsidRDefault="000050BF">
      <w:pPr>
        <w:pStyle w:val="Heading1"/>
        <w:ind w:left="-5"/>
      </w:pPr>
      <w:r>
        <w:t xml:space="preserve">Unfunded (Broadcasting) Mandate  </w:t>
      </w:r>
    </w:p>
    <w:p w:rsidR="00F865EF" w:rsidRDefault="000050BF">
      <w:pPr>
        <w:spacing w:after="490"/>
        <w:ind w:left="-5"/>
      </w:pPr>
      <w:r>
        <w:t xml:space="preserve">This is another opportunity missed, the unfunded mandate includes </w:t>
      </w:r>
      <w:r>
        <w:t>but not limited to announcements by the government or the President, funerals of public figures, educational, health and others. The SABC is crying foul that this area is crippling the Public Broadcaster financially, however on the contrary, these are amon</w:t>
      </w:r>
      <w:r>
        <w:t xml:space="preserve">gst the most watched programs. We expect the marketing strategy to expose these programs to investors, the indications are that the SABC does not value this opportunity. </w:t>
      </w:r>
      <w:r>
        <w:t xml:space="preserve"> </w:t>
      </w:r>
    </w:p>
    <w:p w:rsidR="00F865EF" w:rsidRDefault="000050BF">
      <w:pPr>
        <w:pStyle w:val="Heading1"/>
        <w:ind w:left="-5"/>
      </w:pPr>
      <w:r>
        <w:t xml:space="preserve">The Stringent Regulations  </w:t>
      </w:r>
    </w:p>
    <w:p w:rsidR="00F865EF" w:rsidRDefault="000050BF">
      <w:pPr>
        <w:spacing w:after="470"/>
        <w:ind w:left="-5"/>
      </w:pPr>
      <w:r>
        <w:t>The conventional broadcasters are highly regulated including the private sector, however, the OTT’s are not regulated.</w:t>
      </w:r>
      <w:r>
        <w:t xml:space="preserve"> </w:t>
      </w:r>
    </w:p>
    <w:p w:rsidR="00F865EF" w:rsidRDefault="000050BF">
      <w:pPr>
        <w:spacing w:after="90"/>
        <w:ind w:left="-5"/>
      </w:pPr>
      <w:r>
        <w:t>We need to engage extensively on the local content on how DTI can expand its funding on the local content production. We need to acceler</w:t>
      </w:r>
      <w:r>
        <w:t xml:space="preserve">ate the implementation of Digital Migration. </w:t>
      </w:r>
      <w:r>
        <w:t xml:space="preserve"> </w:t>
      </w:r>
    </w:p>
    <w:p w:rsidR="00F865EF" w:rsidRDefault="000050BF">
      <w:pPr>
        <w:spacing w:after="102" w:line="259" w:lineRule="auto"/>
        <w:ind w:left="0" w:firstLine="0"/>
      </w:pPr>
      <w:r>
        <w:t xml:space="preserve">  </w:t>
      </w:r>
      <w:r>
        <w:t xml:space="preserve"> </w:t>
      </w:r>
    </w:p>
    <w:p w:rsidR="00F865EF" w:rsidRDefault="000050BF">
      <w:pPr>
        <w:pStyle w:val="Heading1"/>
        <w:spacing w:after="256"/>
        <w:ind w:left="-5"/>
      </w:pPr>
      <w:r>
        <w:t xml:space="preserve">Advertising Score Cards  </w:t>
      </w:r>
    </w:p>
    <w:p w:rsidR="00F865EF" w:rsidRDefault="000050BF">
      <w:pPr>
        <w:ind w:left="-5"/>
      </w:pPr>
      <w:r>
        <w:t xml:space="preserve">The private sector is not innocent in the SABC </w:t>
      </w:r>
      <w:proofErr w:type="gramStart"/>
      <w:r>
        <w:t>woes,</w:t>
      </w:r>
      <w:proofErr w:type="gramEnd"/>
      <w:r>
        <w:t xml:space="preserve"> a probe must be done on how the advertising slots are paid. Out of the top 10 radio stations in the country, SABC occupies 8 r</w:t>
      </w:r>
      <w:r>
        <w:t xml:space="preserve">adio station spots with </w:t>
      </w:r>
      <w:proofErr w:type="spellStart"/>
      <w:r>
        <w:t>Ukhozi</w:t>
      </w:r>
      <w:proofErr w:type="spellEnd"/>
      <w:r>
        <w:t xml:space="preserve"> FM boasting with over 7 million listenership and </w:t>
      </w:r>
      <w:proofErr w:type="spellStart"/>
      <w:r>
        <w:t>Umhlobo</w:t>
      </w:r>
      <w:proofErr w:type="spellEnd"/>
      <w:r>
        <w:t xml:space="preserve"> </w:t>
      </w:r>
      <w:proofErr w:type="spellStart"/>
      <w:r>
        <w:t>Wenene</w:t>
      </w:r>
      <w:proofErr w:type="spellEnd"/>
      <w:r>
        <w:t xml:space="preserve"> with over 5 million listenership: (stats by BRC/ RAM – March 2019 to March 2020) </w:t>
      </w:r>
      <w:r>
        <w:t xml:space="preserve"> </w:t>
      </w:r>
    </w:p>
    <w:p w:rsidR="00F865EF" w:rsidRDefault="000050BF">
      <w:pPr>
        <w:spacing w:after="6"/>
        <w:ind w:left="-5"/>
      </w:pPr>
      <w:r>
        <w:t xml:space="preserve">*Radio Audience Measurement (RAM) </w:t>
      </w:r>
      <w:r>
        <w:t xml:space="preserve"> </w:t>
      </w:r>
    </w:p>
    <w:p w:rsidR="00F865EF" w:rsidRDefault="000050BF">
      <w:pPr>
        <w:ind w:left="-5"/>
      </w:pPr>
      <w:r>
        <w:t>*Broadcasting Research Council (BRC)</w:t>
      </w:r>
      <w:r>
        <w:t xml:space="preserve"> </w:t>
      </w:r>
    </w:p>
    <w:tbl>
      <w:tblPr>
        <w:tblStyle w:val="TableGrid"/>
        <w:tblW w:w="5253" w:type="dxa"/>
        <w:tblInd w:w="3" w:type="dxa"/>
        <w:tblCellMar>
          <w:top w:w="81" w:type="dxa"/>
          <w:left w:w="78" w:type="dxa"/>
          <w:bottom w:w="73" w:type="dxa"/>
          <w:right w:w="115" w:type="dxa"/>
        </w:tblCellMar>
        <w:tblLook w:val="04A0" w:firstRow="1" w:lastRow="0" w:firstColumn="1" w:lastColumn="0" w:noHBand="0" w:noVBand="1"/>
      </w:tblPr>
      <w:tblGrid>
        <w:gridCol w:w="2117"/>
        <w:gridCol w:w="3136"/>
      </w:tblGrid>
      <w:tr w:rsidR="00F865EF">
        <w:trPr>
          <w:trHeight w:val="758"/>
        </w:trPr>
        <w:tc>
          <w:tcPr>
            <w:tcW w:w="2117" w:type="dxa"/>
            <w:tcBorders>
              <w:top w:val="single" w:sz="2" w:space="0" w:color="F6F6F6"/>
              <w:left w:val="single" w:sz="2" w:space="0" w:color="F6F6F6"/>
              <w:bottom w:val="single" w:sz="2" w:space="0" w:color="F6F6F6"/>
              <w:right w:val="single" w:sz="2" w:space="0" w:color="F6F6F6"/>
            </w:tcBorders>
            <w:shd w:val="clear" w:color="auto" w:fill="4471C4"/>
          </w:tcPr>
          <w:p w:rsidR="00F865EF" w:rsidRDefault="000050BF">
            <w:pPr>
              <w:spacing w:after="2" w:line="259" w:lineRule="auto"/>
              <w:ind w:left="0" w:firstLine="0"/>
            </w:pPr>
            <w:r>
              <w:rPr>
                <w:b/>
              </w:rPr>
              <w:lastRenderedPageBreak/>
              <w:t> </w:t>
            </w:r>
          </w:p>
          <w:p w:rsidR="00F865EF" w:rsidRDefault="000050BF">
            <w:pPr>
              <w:spacing w:after="0" w:line="259" w:lineRule="auto"/>
              <w:ind w:left="0" w:firstLine="0"/>
            </w:pPr>
            <w:r>
              <w:rPr>
                <w:b/>
              </w:rPr>
              <w:t>Ra</w:t>
            </w:r>
            <w:r>
              <w:rPr>
                <w:b/>
              </w:rPr>
              <w:t xml:space="preserve">nk </w:t>
            </w:r>
          </w:p>
        </w:tc>
        <w:tc>
          <w:tcPr>
            <w:tcW w:w="3136" w:type="dxa"/>
            <w:tcBorders>
              <w:top w:val="single" w:sz="2" w:space="0" w:color="F6F6F6"/>
              <w:left w:val="single" w:sz="2" w:space="0" w:color="F6F6F6"/>
              <w:bottom w:val="single" w:sz="2" w:space="0" w:color="F6F6F6"/>
              <w:right w:val="single" w:sz="6" w:space="0" w:color="E5E5E5"/>
            </w:tcBorders>
            <w:shd w:val="clear" w:color="auto" w:fill="4471C4"/>
            <w:vAlign w:val="bottom"/>
          </w:tcPr>
          <w:p w:rsidR="00F865EF" w:rsidRDefault="000050BF">
            <w:pPr>
              <w:spacing w:after="0" w:line="259" w:lineRule="auto"/>
              <w:ind w:left="3" w:firstLine="0"/>
            </w:pPr>
            <w:r>
              <w:rPr>
                <w:b/>
              </w:rPr>
              <w:t xml:space="preserve">Radio Station </w:t>
            </w:r>
          </w:p>
        </w:tc>
      </w:tr>
      <w:tr w:rsidR="00F865EF">
        <w:trPr>
          <w:trHeight w:val="458"/>
        </w:trPr>
        <w:tc>
          <w:tcPr>
            <w:tcW w:w="2117" w:type="dxa"/>
            <w:tcBorders>
              <w:top w:val="single" w:sz="2" w:space="0" w:color="F6F6F6"/>
              <w:left w:val="single" w:sz="2" w:space="0" w:color="F6F6F6"/>
              <w:bottom w:val="single" w:sz="2" w:space="0" w:color="F6F6F6"/>
              <w:right w:val="single" w:sz="2" w:space="0" w:color="F6F6F6"/>
            </w:tcBorders>
            <w:shd w:val="clear" w:color="auto" w:fill="EDEDED"/>
          </w:tcPr>
          <w:p w:rsidR="00F865EF" w:rsidRDefault="000050BF">
            <w:pPr>
              <w:spacing w:after="0" w:line="259" w:lineRule="auto"/>
              <w:ind w:left="0" w:firstLine="0"/>
            </w:pPr>
            <w:r>
              <w:rPr>
                <w:b/>
              </w:rPr>
              <w:t>1</w:t>
            </w:r>
          </w:p>
        </w:tc>
        <w:tc>
          <w:tcPr>
            <w:tcW w:w="3136" w:type="dxa"/>
            <w:tcBorders>
              <w:top w:val="single" w:sz="2" w:space="0" w:color="F6F6F6"/>
              <w:left w:val="single" w:sz="2" w:space="0" w:color="F6F6F6"/>
              <w:bottom w:val="single" w:sz="2" w:space="0" w:color="F6F6F6"/>
              <w:right w:val="single" w:sz="6" w:space="0" w:color="E5E5E5"/>
            </w:tcBorders>
            <w:shd w:val="clear" w:color="auto" w:fill="EDEDED"/>
          </w:tcPr>
          <w:p w:rsidR="00F865EF" w:rsidRDefault="000050BF">
            <w:pPr>
              <w:spacing w:after="0" w:line="259" w:lineRule="auto"/>
              <w:ind w:left="3" w:firstLine="0"/>
            </w:pPr>
            <w:proofErr w:type="spellStart"/>
            <w:r>
              <w:rPr>
                <w:b/>
              </w:rPr>
              <w:t>Ukhozi</w:t>
            </w:r>
            <w:proofErr w:type="spellEnd"/>
            <w:r>
              <w:rPr>
                <w:b/>
              </w:rPr>
              <w:t xml:space="preserve"> FM</w:t>
            </w:r>
          </w:p>
        </w:tc>
      </w:tr>
      <w:tr w:rsidR="00F865EF">
        <w:trPr>
          <w:trHeight w:val="458"/>
        </w:trPr>
        <w:tc>
          <w:tcPr>
            <w:tcW w:w="2117" w:type="dxa"/>
            <w:tcBorders>
              <w:top w:val="single" w:sz="2" w:space="0" w:color="F6F6F6"/>
              <w:left w:val="single" w:sz="2" w:space="0" w:color="F6F6F6"/>
              <w:bottom w:val="single" w:sz="2" w:space="0" w:color="F6F6F6"/>
              <w:right w:val="single" w:sz="2" w:space="0" w:color="F6F6F6"/>
            </w:tcBorders>
            <w:shd w:val="clear" w:color="auto" w:fill="F5F5F5"/>
          </w:tcPr>
          <w:p w:rsidR="00F865EF" w:rsidRDefault="000050BF">
            <w:pPr>
              <w:spacing w:after="0" w:line="259" w:lineRule="auto"/>
              <w:ind w:left="0" w:firstLine="0"/>
            </w:pPr>
            <w:r>
              <w:rPr>
                <w:b/>
              </w:rPr>
              <w:t>2</w:t>
            </w:r>
          </w:p>
        </w:tc>
        <w:tc>
          <w:tcPr>
            <w:tcW w:w="3136" w:type="dxa"/>
            <w:tcBorders>
              <w:top w:val="single" w:sz="2" w:space="0" w:color="F6F6F6"/>
              <w:left w:val="single" w:sz="2" w:space="0" w:color="F6F6F6"/>
              <w:bottom w:val="single" w:sz="2" w:space="0" w:color="F6F6F6"/>
              <w:right w:val="single" w:sz="6" w:space="0" w:color="E5E5E5"/>
            </w:tcBorders>
            <w:shd w:val="clear" w:color="auto" w:fill="F5F5F5"/>
          </w:tcPr>
          <w:p w:rsidR="00F865EF" w:rsidRDefault="000050BF">
            <w:pPr>
              <w:spacing w:after="0" w:line="259" w:lineRule="auto"/>
              <w:ind w:left="3" w:firstLine="0"/>
            </w:pPr>
            <w:proofErr w:type="spellStart"/>
            <w:r>
              <w:rPr>
                <w:b/>
              </w:rPr>
              <w:t>Umhlobo</w:t>
            </w:r>
            <w:proofErr w:type="spellEnd"/>
            <w:r>
              <w:rPr>
                <w:b/>
              </w:rPr>
              <w:t xml:space="preserve"> </w:t>
            </w:r>
            <w:proofErr w:type="spellStart"/>
            <w:r>
              <w:rPr>
                <w:b/>
              </w:rPr>
              <w:t>Wenene</w:t>
            </w:r>
            <w:proofErr w:type="spellEnd"/>
            <w:r>
              <w:rPr>
                <w:b/>
              </w:rPr>
              <w:t xml:space="preserve"> FM</w:t>
            </w:r>
          </w:p>
        </w:tc>
      </w:tr>
      <w:tr w:rsidR="00F865EF">
        <w:trPr>
          <w:trHeight w:val="458"/>
        </w:trPr>
        <w:tc>
          <w:tcPr>
            <w:tcW w:w="2117" w:type="dxa"/>
            <w:tcBorders>
              <w:top w:val="single" w:sz="2" w:space="0" w:color="F6F6F6"/>
              <w:left w:val="single" w:sz="2" w:space="0" w:color="F6F6F6"/>
              <w:bottom w:val="single" w:sz="2" w:space="0" w:color="F6F6F6"/>
              <w:right w:val="single" w:sz="2" w:space="0" w:color="F6F6F6"/>
            </w:tcBorders>
            <w:shd w:val="clear" w:color="auto" w:fill="EDEDED"/>
          </w:tcPr>
          <w:p w:rsidR="00F865EF" w:rsidRDefault="000050BF">
            <w:pPr>
              <w:spacing w:after="0" w:line="259" w:lineRule="auto"/>
              <w:ind w:left="0" w:firstLine="0"/>
            </w:pPr>
            <w:r>
              <w:rPr>
                <w:b/>
              </w:rPr>
              <w:t>3</w:t>
            </w:r>
          </w:p>
        </w:tc>
        <w:tc>
          <w:tcPr>
            <w:tcW w:w="3136" w:type="dxa"/>
            <w:tcBorders>
              <w:top w:val="single" w:sz="2" w:space="0" w:color="F6F6F6"/>
              <w:left w:val="single" w:sz="2" w:space="0" w:color="F6F6F6"/>
              <w:bottom w:val="single" w:sz="2" w:space="0" w:color="F6F6F6"/>
              <w:right w:val="single" w:sz="6" w:space="0" w:color="E5E5E5"/>
            </w:tcBorders>
            <w:shd w:val="clear" w:color="auto" w:fill="EDEDED"/>
          </w:tcPr>
          <w:p w:rsidR="00F865EF" w:rsidRDefault="000050BF">
            <w:pPr>
              <w:spacing w:after="0" w:line="259" w:lineRule="auto"/>
              <w:ind w:left="3" w:firstLine="0"/>
            </w:pPr>
            <w:r>
              <w:rPr>
                <w:b/>
              </w:rPr>
              <w:t>Metro FM</w:t>
            </w:r>
          </w:p>
        </w:tc>
      </w:tr>
      <w:tr w:rsidR="00F865EF">
        <w:trPr>
          <w:trHeight w:val="458"/>
        </w:trPr>
        <w:tc>
          <w:tcPr>
            <w:tcW w:w="2117" w:type="dxa"/>
            <w:tcBorders>
              <w:top w:val="single" w:sz="2" w:space="0" w:color="F6F6F6"/>
              <w:left w:val="single" w:sz="2" w:space="0" w:color="F6F6F6"/>
              <w:bottom w:val="single" w:sz="2" w:space="0" w:color="F6F6F6"/>
              <w:right w:val="single" w:sz="2" w:space="0" w:color="F6F6F6"/>
            </w:tcBorders>
            <w:shd w:val="clear" w:color="auto" w:fill="F5F5F5"/>
          </w:tcPr>
          <w:p w:rsidR="00F865EF" w:rsidRDefault="000050BF">
            <w:pPr>
              <w:spacing w:after="0" w:line="259" w:lineRule="auto"/>
              <w:ind w:left="0" w:firstLine="0"/>
            </w:pPr>
            <w:r>
              <w:rPr>
                <w:b/>
              </w:rPr>
              <w:t>4</w:t>
            </w:r>
          </w:p>
        </w:tc>
        <w:tc>
          <w:tcPr>
            <w:tcW w:w="3136" w:type="dxa"/>
            <w:tcBorders>
              <w:top w:val="single" w:sz="2" w:space="0" w:color="F6F6F6"/>
              <w:left w:val="single" w:sz="2" w:space="0" w:color="F6F6F6"/>
              <w:bottom w:val="single" w:sz="2" w:space="0" w:color="F6F6F6"/>
              <w:right w:val="single" w:sz="6" w:space="0" w:color="E5E5E5"/>
            </w:tcBorders>
            <w:shd w:val="clear" w:color="auto" w:fill="F5F5F5"/>
          </w:tcPr>
          <w:p w:rsidR="00F865EF" w:rsidRDefault="000050BF">
            <w:pPr>
              <w:spacing w:after="0" w:line="259" w:lineRule="auto"/>
              <w:ind w:left="3" w:firstLine="0"/>
            </w:pPr>
            <w:proofErr w:type="spellStart"/>
            <w:r>
              <w:rPr>
                <w:b/>
              </w:rPr>
              <w:t>Lesedi</w:t>
            </w:r>
            <w:proofErr w:type="spellEnd"/>
            <w:r>
              <w:rPr>
                <w:b/>
              </w:rPr>
              <w:t xml:space="preserve"> FM</w:t>
            </w:r>
          </w:p>
        </w:tc>
      </w:tr>
      <w:tr w:rsidR="00F865EF">
        <w:trPr>
          <w:trHeight w:val="458"/>
        </w:trPr>
        <w:tc>
          <w:tcPr>
            <w:tcW w:w="2117" w:type="dxa"/>
            <w:tcBorders>
              <w:top w:val="single" w:sz="2" w:space="0" w:color="F6F6F6"/>
              <w:left w:val="single" w:sz="2" w:space="0" w:color="F6F6F6"/>
              <w:bottom w:val="single" w:sz="2" w:space="0" w:color="F6F6F6"/>
              <w:right w:val="single" w:sz="2" w:space="0" w:color="F6F6F6"/>
            </w:tcBorders>
            <w:shd w:val="clear" w:color="auto" w:fill="EDEDED"/>
          </w:tcPr>
          <w:p w:rsidR="00F865EF" w:rsidRDefault="000050BF">
            <w:pPr>
              <w:spacing w:after="0" w:line="259" w:lineRule="auto"/>
              <w:ind w:left="0" w:firstLine="0"/>
            </w:pPr>
            <w:r>
              <w:rPr>
                <w:b/>
              </w:rPr>
              <w:t>5</w:t>
            </w:r>
          </w:p>
        </w:tc>
        <w:tc>
          <w:tcPr>
            <w:tcW w:w="3136" w:type="dxa"/>
            <w:tcBorders>
              <w:top w:val="single" w:sz="2" w:space="0" w:color="F6F6F6"/>
              <w:left w:val="single" w:sz="2" w:space="0" w:color="F6F6F6"/>
              <w:bottom w:val="single" w:sz="2" w:space="0" w:color="F6F6F6"/>
              <w:right w:val="single" w:sz="6" w:space="0" w:color="E5E5E5"/>
            </w:tcBorders>
            <w:shd w:val="clear" w:color="auto" w:fill="EDEDED"/>
          </w:tcPr>
          <w:p w:rsidR="00F865EF" w:rsidRDefault="000050BF">
            <w:pPr>
              <w:spacing w:after="0" w:line="259" w:lineRule="auto"/>
              <w:ind w:left="3" w:firstLine="0"/>
            </w:pPr>
            <w:proofErr w:type="spellStart"/>
            <w:r>
              <w:rPr>
                <w:b/>
              </w:rPr>
              <w:t>Thobela</w:t>
            </w:r>
            <w:proofErr w:type="spellEnd"/>
            <w:r>
              <w:rPr>
                <w:b/>
              </w:rPr>
              <w:t xml:space="preserve"> FM</w:t>
            </w:r>
          </w:p>
        </w:tc>
      </w:tr>
      <w:tr w:rsidR="00F865EF">
        <w:trPr>
          <w:trHeight w:val="458"/>
        </w:trPr>
        <w:tc>
          <w:tcPr>
            <w:tcW w:w="2117" w:type="dxa"/>
            <w:tcBorders>
              <w:top w:val="single" w:sz="2" w:space="0" w:color="F6F6F6"/>
              <w:left w:val="single" w:sz="2" w:space="0" w:color="F6F6F6"/>
              <w:bottom w:val="single" w:sz="2" w:space="0" w:color="F6F6F6"/>
              <w:right w:val="single" w:sz="2" w:space="0" w:color="F6F6F6"/>
            </w:tcBorders>
            <w:shd w:val="clear" w:color="auto" w:fill="F5F5F5"/>
          </w:tcPr>
          <w:p w:rsidR="00F865EF" w:rsidRDefault="000050BF">
            <w:pPr>
              <w:spacing w:after="0" w:line="259" w:lineRule="auto"/>
              <w:ind w:left="0" w:firstLine="0"/>
            </w:pPr>
            <w:r>
              <w:rPr>
                <w:b/>
              </w:rPr>
              <w:t>6</w:t>
            </w:r>
          </w:p>
        </w:tc>
        <w:tc>
          <w:tcPr>
            <w:tcW w:w="3136" w:type="dxa"/>
            <w:tcBorders>
              <w:top w:val="single" w:sz="2" w:space="0" w:color="F6F6F6"/>
              <w:left w:val="single" w:sz="2" w:space="0" w:color="F6F6F6"/>
              <w:bottom w:val="single" w:sz="2" w:space="0" w:color="F6F6F6"/>
              <w:right w:val="single" w:sz="6" w:space="0" w:color="E5E5E5"/>
            </w:tcBorders>
            <w:shd w:val="clear" w:color="auto" w:fill="F5F5F5"/>
          </w:tcPr>
          <w:p w:rsidR="00F865EF" w:rsidRDefault="000050BF">
            <w:pPr>
              <w:spacing w:after="0" w:line="259" w:lineRule="auto"/>
              <w:ind w:left="3" w:firstLine="0"/>
            </w:pPr>
            <w:proofErr w:type="spellStart"/>
            <w:r>
              <w:rPr>
                <w:b/>
              </w:rPr>
              <w:t>Motsweding</w:t>
            </w:r>
            <w:proofErr w:type="spellEnd"/>
            <w:r>
              <w:rPr>
                <w:b/>
              </w:rPr>
              <w:t xml:space="preserve"> FM</w:t>
            </w:r>
          </w:p>
        </w:tc>
      </w:tr>
      <w:tr w:rsidR="00F865EF">
        <w:trPr>
          <w:trHeight w:val="458"/>
        </w:trPr>
        <w:tc>
          <w:tcPr>
            <w:tcW w:w="2117" w:type="dxa"/>
            <w:tcBorders>
              <w:top w:val="single" w:sz="2" w:space="0" w:color="F6F6F6"/>
              <w:left w:val="single" w:sz="2" w:space="0" w:color="F6F6F6"/>
              <w:bottom w:val="single" w:sz="2" w:space="0" w:color="F6F6F6"/>
              <w:right w:val="single" w:sz="2" w:space="0" w:color="F6F6F6"/>
            </w:tcBorders>
            <w:shd w:val="clear" w:color="auto" w:fill="EDEDED"/>
          </w:tcPr>
          <w:p w:rsidR="00F865EF" w:rsidRDefault="000050BF">
            <w:pPr>
              <w:spacing w:after="0" w:line="259" w:lineRule="auto"/>
              <w:ind w:left="0" w:firstLine="0"/>
            </w:pPr>
            <w:r>
              <w:rPr>
                <w:b/>
              </w:rPr>
              <w:t>7</w:t>
            </w:r>
          </w:p>
        </w:tc>
        <w:tc>
          <w:tcPr>
            <w:tcW w:w="3136" w:type="dxa"/>
            <w:tcBorders>
              <w:top w:val="single" w:sz="2" w:space="0" w:color="F6F6F6"/>
              <w:left w:val="single" w:sz="2" w:space="0" w:color="F6F6F6"/>
              <w:bottom w:val="single" w:sz="2" w:space="0" w:color="F6F6F6"/>
              <w:right w:val="single" w:sz="6" w:space="0" w:color="E5E5E5"/>
            </w:tcBorders>
            <w:shd w:val="clear" w:color="auto" w:fill="EDEDED"/>
          </w:tcPr>
          <w:p w:rsidR="00F865EF" w:rsidRDefault="000050BF">
            <w:pPr>
              <w:spacing w:after="0" w:line="259" w:lineRule="auto"/>
              <w:ind w:left="3" w:firstLine="0"/>
            </w:pPr>
            <w:r>
              <w:rPr>
                <w:b/>
              </w:rPr>
              <w:t>RSG FM</w:t>
            </w:r>
          </w:p>
        </w:tc>
      </w:tr>
      <w:tr w:rsidR="00F865EF">
        <w:trPr>
          <w:trHeight w:val="458"/>
        </w:trPr>
        <w:tc>
          <w:tcPr>
            <w:tcW w:w="2117" w:type="dxa"/>
            <w:tcBorders>
              <w:top w:val="single" w:sz="2" w:space="0" w:color="F6F6F6"/>
              <w:left w:val="single" w:sz="2" w:space="0" w:color="F6F6F6"/>
              <w:bottom w:val="single" w:sz="2" w:space="0" w:color="F6F6F6"/>
              <w:right w:val="single" w:sz="2" w:space="0" w:color="F6F6F6"/>
            </w:tcBorders>
            <w:shd w:val="clear" w:color="auto" w:fill="F5F5F5"/>
          </w:tcPr>
          <w:p w:rsidR="00F865EF" w:rsidRDefault="000050BF">
            <w:pPr>
              <w:spacing w:after="0" w:line="259" w:lineRule="auto"/>
              <w:ind w:left="0" w:firstLine="0"/>
            </w:pPr>
            <w:r>
              <w:rPr>
                <w:b/>
              </w:rPr>
              <w:t>8</w:t>
            </w:r>
          </w:p>
        </w:tc>
        <w:tc>
          <w:tcPr>
            <w:tcW w:w="3136" w:type="dxa"/>
            <w:tcBorders>
              <w:top w:val="single" w:sz="2" w:space="0" w:color="F6F6F6"/>
              <w:left w:val="single" w:sz="2" w:space="0" w:color="F6F6F6"/>
              <w:bottom w:val="single" w:sz="2" w:space="0" w:color="F6F6F6"/>
              <w:right w:val="single" w:sz="6" w:space="0" w:color="E5E5E5"/>
            </w:tcBorders>
            <w:shd w:val="clear" w:color="auto" w:fill="F5F5F5"/>
          </w:tcPr>
          <w:p w:rsidR="00F865EF" w:rsidRDefault="000050BF">
            <w:pPr>
              <w:spacing w:after="0" w:line="259" w:lineRule="auto"/>
              <w:ind w:left="3" w:firstLine="0"/>
            </w:pPr>
            <w:proofErr w:type="spellStart"/>
            <w:r>
              <w:rPr>
                <w:b/>
              </w:rPr>
              <w:t>Munghana</w:t>
            </w:r>
            <w:proofErr w:type="spellEnd"/>
            <w:r>
              <w:rPr>
                <w:b/>
              </w:rPr>
              <w:t xml:space="preserve"> </w:t>
            </w:r>
            <w:proofErr w:type="spellStart"/>
            <w:r>
              <w:rPr>
                <w:b/>
              </w:rPr>
              <w:t>Lonene</w:t>
            </w:r>
            <w:proofErr w:type="spellEnd"/>
            <w:r>
              <w:rPr>
                <w:b/>
              </w:rPr>
              <w:t xml:space="preserve"> FM</w:t>
            </w:r>
          </w:p>
        </w:tc>
      </w:tr>
      <w:tr w:rsidR="00F865EF">
        <w:trPr>
          <w:trHeight w:val="458"/>
        </w:trPr>
        <w:tc>
          <w:tcPr>
            <w:tcW w:w="2117" w:type="dxa"/>
            <w:tcBorders>
              <w:top w:val="single" w:sz="2" w:space="0" w:color="F6F6F6"/>
              <w:left w:val="single" w:sz="2" w:space="0" w:color="F6F6F6"/>
              <w:bottom w:val="single" w:sz="2" w:space="0" w:color="F6F6F6"/>
              <w:right w:val="single" w:sz="2" w:space="0" w:color="F6F6F6"/>
            </w:tcBorders>
            <w:shd w:val="clear" w:color="auto" w:fill="EDEDED"/>
          </w:tcPr>
          <w:p w:rsidR="00F865EF" w:rsidRDefault="000050BF">
            <w:pPr>
              <w:spacing w:after="0" w:line="259" w:lineRule="auto"/>
              <w:ind w:left="0" w:firstLine="0"/>
            </w:pPr>
            <w:r>
              <w:rPr>
                <w:b/>
              </w:rPr>
              <w:t>9</w:t>
            </w:r>
          </w:p>
        </w:tc>
        <w:tc>
          <w:tcPr>
            <w:tcW w:w="3136" w:type="dxa"/>
            <w:tcBorders>
              <w:top w:val="single" w:sz="2" w:space="0" w:color="F6F6F6"/>
              <w:left w:val="single" w:sz="2" w:space="0" w:color="F6F6F6"/>
              <w:bottom w:val="single" w:sz="2" w:space="0" w:color="F6F6F6"/>
              <w:right w:val="single" w:sz="6" w:space="0" w:color="E5E5E5"/>
            </w:tcBorders>
            <w:shd w:val="clear" w:color="auto" w:fill="EDEDED"/>
          </w:tcPr>
          <w:p w:rsidR="00F865EF" w:rsidRDefault="000050BF">
            <w:pPr>
              <w:spacing w:after="0" w:line="259" w:lineRule="auto"/>
              <w:ind w:left="3" w:firstLine="0"/>
            </w:pPr>
            <w:proofErr w:type="spellStart"/>
            <w:r>
              <w:rPr>
                <w:b/>
              </w:rPr>
              <w:t>Gagasi</w:t>
            </w:r>
            <w:proofErr w:type="spellEnd"/>
            <w:r>
              <w:rPr>
                <w:b/>
              </w:rPr>
              <w:t xml:space="preserve"> FM</w:t>
            </w:r>
          </w:p>
        </w:tc>
      </w:tr>
      <w:tr w:rsidR="00F865EF">
        <w:trPr>
          <w:trHeight w:val="463"/>
        </w:trPr>
        <w:tc>
          <w:tcPr>
            <w:tcW w:w="2117" w:type="dxa"/>
            <w:tcBorders>
              <w:top w:val="single" w:sz="2" w:space="0" w:color="F6F6F6"/>
              <w:left w:val="single" w:sz="2" w:space="0" w:color="F6F6F6"/>
              <w:bottom w:val="single" w:sz="6" w:space="0" w:color="E5E5E5"/>
              <w:right w:val="single" w:sz="2" w:space="0" w:color="F6F6F6"/>
            </w:tcBorders>
            <w:shd w:val="clear" w:color="auto" w:fill="F5F5F5"/>
          </w:tcPr>
          <w:p w:rsidR="00F865EF" w:rsidRDefault="000050BF">
            <w:pPr>
              <w:spacing w:after="0" w:line="259" w:lineRule="auto"/>
              <w:ind w:left="0" w:firstLine="0"/>
            </w:pPr>
            <w:r>
              <w:rPr>
                <w:b/>
              </w:rPr>
              <w:t>10</w:t>
            </w:r>
          </w:p>
        </w:tc>
        <w:tc>
          <w:tcPr>
            <w:tcW w:w="3136" w:type="dxa"/>
            <w:tcBorders>
              <w:top w:val="single" w:sz="2" w:space="0" w:color="F6F6F6"/>
              <w:left w:val="single" w:sz="2" w:space="0" w:color="F6F6F6"/>
              <w:bottom w:val="single" w:sz="6" w:space="0" w:color="E5E5E5"/>
              <w:right w:val="single" w:sz="6" w:space="0" w:color="E5E5E5"/>
            </w:tcBorders>
            <w:shd w:val="clear" w:color="auto" w:fill="F5F5F5"/>
          </w:tcPr>
          <w:p w:rsidR="00F865EF" w:rsidRDefault="000050BF">
            <w:pPr>
              <w:spacing w:after="0" w:line="259" w:lineRule="auto"/>
              <w:ind w:left="3" w:firstLine="0"/>
            </w:pPr>
            <w:r>
              <w:rPr>
                <w:b/>
              </w:rPr>
              <w:t>Jacaranda FM</w:t>
            </w:r>
          </w:p>
        </w:tc>
      </w:tr>
    </w:tbl>
    <w:p w:rsidR="00F865EF" w:rsidRDefault="000050BF">
      <w:pPr>
        <w:spacing w:after="17"/>
        <w:ind w:left="-5"/>
      </w:pPr>
      <w:r>
        <w:t>However, we need to study the amount paid for the same slots on a previously white listenership (private-owned) radio station and the pre-dominated indigenous language radio station that has millions of listeners compared to a few thousands, you will reali</w:t>
      </w:r>
      <w:r>
        <w:t xml:space="preserve">se that the previously disadvantaged are still marginalised. These are imbalances of the past that are still yet to be addressed. Below are the 2018 stats by RAM </w:t>
      </w:r>
      <w:r>
        <w:t xml:space="preserve"> </w:t>
      </w:r>
    </w:p>
    <w:tbl>
      <w:tblPr>
        <w:tblStyle w:val="TableGrid"/>
        <w:tblW w:w="9005" w:type="dxa"/>
        <w:tblInd w:w="8" w:type="dxa"/>
        <w:tblCellMar>
          <w:top w:w="85" w:type="dxa"/>
          <w:left w:w="93" w:type="dxa"/>
          <w:bottom w:w="0" w:type="dxa"/>
          <w:right w:w="115" w:type="dxa"/>
        </w:tblCellMar>
        <w:tblLook w:val="04A0" w:firstRow="1" w:lastRow="0" w:firstColumn="1" w:lastColumn="0" w:noHBand="0" w:noVBand="1"/>
      </w:tblPr>
      <w:tblGrid>
        <w:gridCol w:w="4916"/>
        <w:gridCol w:w="4089"/>
      </w:tblGrid>
      <w:tr w:rsidR="00F865EF">
        <w:trPr>
          <w:trHeight w:val="468"/>
        </w:trPr>
        <w:tc>
          <w:tcPr>
            <w:tcW w:w="4916" w:type="dxa"/>
            <w:tcBorders>
              <w:top w:val="single" w:sz="6" w:space="0" w:color="EBEBEB"/>
              <w:left w:val="single" w:sz="6" w:space="0" w:color="EBEBEB"/>
              <w:bottom w:val="single" w:sz="6" w:space="0" w:color="EBEBEB"/>
              <w:right w:val="single" w:sz="6" w:space="0" w:color="EBEBEB"/>
            </w:tcBorders>
            <w:shd w:val="clear" w:color="auto" w:fill="4471C4"/>
          </w:tcPr>
          <w:p w:rsidR="00F865EF" w:rsidRDefault="000050BF">
            <w:pPr>
              <w:spacing w:after="0" w:line="259" w:lineRule="auto"/>
              <w:ind w:left="0" w:firstLine="0"/>
            </w:pPr>
            <w:r>
              <w:rPr>
                <w:b/>
              </w:rPr>
              <w:t>Station</w:t>
            </w:r>
          </w:p>
        </w:tc>
        <w:tc>
          <w:tcPr>
            <w:tcW w:w="4089" w:type="dxa"/>
            <w:tcBorders>
              <w:top w:val="single" w:sz="6" w:space="0" w:color="EBEBEB"/>
              <w:left w:val="single" w:sz="6" w:space="0" w:color="EBEBEB"/>
              <w:bottom w:val="single" w:sz="6" w:space="0" w:color="EBEBEB"/>
              <w:right w:val="single" w:sz="6" w:space="0" w:color="EBEBEB"/>
            </w:tcBorders>
            <w:shd w:val="clear" w:color="auto" w:fill="4471C4"/>
          </w:tcPr>
          <w:p w:rsidR="00F865EF" w:rsidRDefault="000050BF">
            <w:pPr>
              <w:spacing w:after="0" w:line="259" w:lineRule="auto"/>
              <w:ind w:left="4" w:firstLine="0"/>
            </w:pPr>
            <w:r>
              <w:rPr>
                <w:b/>
              </w:rPr>
              <w:t>Time Spent Listening</w:t>
            </w:r>
          </w:p>
        </w:tc>
      </w:tr>
      <w:tr w:rsidR="00F865EF">
        <w:trPr>
          <w:trHeight w:val="468"/>
        </w:trPr>
        <w:tc>
          <w:tcPr>
            <w:tcW w:w="4916" w:type="dxa"/>
            <w:tcBorders>
              <w:top w:val="single" w:sz="6" w:space="0" w:color="EBEBEB"/>
              <w:left w:val="single" w:sz="6" w:space="0" w:color="EBEBEB"/>
              <w:bottom w:val="single" w:sz="6" w:space="0" w:color="EBEBEB"/>
              <w:right w:val="single" w:sz="6" w:space="0" w:color="EBEBEB"/>
            </w:tcBorders>
            <w:shd w:val="clear" w:color="auto" w:fill="FFFFFF"/>
          </w:tcPr>
          <w:p w:rsidR="00F865EF" w:rsidRDefault="000050BF">
            <w:pPr>
              <w:spacing w:after="0" w:line="259" w:lineRule="auto"/>
              <w:ind w:left="0" w:firstLine="0"/>
            </w:pPr>
            <w:proofErr w:type="spellStart"/>
            <w:r>
              <w:rPr>
                <w:b/>
              </w:rPr>
              <w:t>Phalaphala</w:t>
            </w:r>
            <w:proofErr w:type="spellEnd"/>
            <w:r>
              <w:rPr>
                <w:b/>
              </w:rPr>
              <w:t xml:space="preserve"> FM</w:t>
            </w:r>
          </w:p>
        </w:tc>
        <w:tc>
          <w:tcPr>
            <w:tcW w:w="4089" w:type="dxa"/>
            <w:tcBorders>
              <w:top w:val="single" w:sz="6" w:space="0" w:color="EBEBEB"/>
              <w:left w:val="single" w:sz="6" w:space="0" w:color="EBEBEB"/>
              <w:bottom w:val="single" w:sz="6" w:space="0" w:color="EBEBEB"/>
              <w:right w:val="single" w:sz="6" w:space="0" w:color="EBEBEB"/>
            </w:tcBorders>
            <w:shd w:val="clear" w:color="auto" w:fill="FFFFFF"/>
          </w:tcPr>
          <w:p w:rsidR="00F865EF" w:rsidRDefault="000050BF">
            <w:pPr>
              <w:spacing w:after="0" w:line="259" w:lineRule="auto"/>
              <w:ind w:left="4" w:firstLine="0"/>
            </w:pPr>
            <w:r>
              <w:rPr>
                <w:b/>
              </w:rPr>
              <w:t>3h42</w:t>
            </w:r>
          </w:p>
        </w:tc>
      </w:tr>
      <w:tr w:rsidR="00F865EF">
        <w:trPr>
          <w:trHeight w:val="468"/>
        </w:trPr>
        <w:tc>
          <w:tcPr>
            <w:tcW w:w="4916" w:type="dxa"/>
            <w:tcBorders>
              <w:top w:val="single" w:sz="6" w:space="0" w:color="EBEBEB"/>
              <w:left w:val="single" w:sz="6" w:space="0" w:color="EBEBEB"/>
              <w:bottom w:val="single" w:sz="6" w:space="0" w:color="EBEBEB"/>
              <w:right w:val="single" w:sz="6" w:space="0" w:color="EBEBEB"/>
            </w:tcBorders>
          </w:tcPr>
          <w:p w:rsidR="00F865EF" w:rsidRDefault="000050BF">
            <w:pPr>
              <w:spacing w:after="0" w:line="259" w:lineRule="auto"/>
              <w:ind w:left="0" w:firstLine="0"/>
            </w:pPr>
            <w:proofErr w:type="spellStart"/>
            <w:r>
              <w:rPr>
                <w:b/>
              </w:rPr>
              <w:t>Thobela</w:t>
            </w:r>
            <w:proofErr w:type="spellEnd"/>
            <w:r>
              <w:rPr>
                <w:b/>
              </w:rPr>
              <w:t xml:space="preserve"> FM</w:t>
            </w:r>
          </w:p>
        </w:tc>
        <w:tc>
          <w:tcPr>
            <w:tcW w:w="4089" w:type="dxa"/>
            <w:tcBorders>
              <w:top w:val="single" w:sz="6" w:space="0" w:color="EBEBEB"/>
              <w:left w:val="single" w:sz="6" w:space="0" w:color="EBEBEB"/>
              <w:bottom w:val="single" w:sz="6" w:space="0" w:color="EBEBEB"/>
              <w:right w:val="single" w:sz="6" w:space="0" w:color="EBEBEB"/>
            </w:tcBorders>
          </w:tcPr>
          <w:p w:rsidR="00F865EF" w:rsidRDefault="000050BF">
            <w:pPr>
              <w:spacing w:after="0" w:line="259" w:lineRule="auto"/>
              <w:ind w:left="4" w:firstLine="0"/>
            </w:pPr>
            <w:r>
              <w:rPr>
                <w:b/>
              </w:rPr>
              <w:t>3h24</w:t>
            </w:r>
          </w:p>
        </w:tc>
      </w:tr>
      <w:tr w:rsidR="00F865EF">
        <w:trPr>
          <w:trHeight w:val="468"/>
        </w:trPr>
        <w:tc>
          <w:tcPr>
            <w:tcW w:w="4916" w:type="dxa"/>
            <w:tcBorders>
              <w:top w:val="single" w:sz="6" w:space="0" w:color="EBEBEB"/>
              <w:left w:val="single" w:sz="6" w:space="0" w:color="EBEBEB"/>
              <w:bottom w:val="single" w:sz="6" w:space="0" w:color="EBEBEB"/>
              <w:right w:val="single" w:sz="6" w:space="0" w:color="EBEBEB"/>
            </w:tcBorders>
          </w:tcPr>
          <w:p w:rsidR="00F865EF" w:rsidRDefault="000050BF">
            <w:pPr>
              <w:spacing w:after="0" w:line="259" w:lineRule="auto"/>
              <w:ind w:left="0" w:firstLine="0"/>
            </w:pPr>
            <w:proofErr w:type="spellStart"/>
            <w:r>
              <w:rPr>
                <w:b/>
              </w:rPr>
              <w:t>Munghana</w:t>
            </w:r>
            <w:proofErr w:type="spellEnd"/>
            <w:r>
              <w:rPr>
                <w:b/>
              </w:rPr>
              <w:t xml:space="preserve"> </w:t>
            </w:r>
            <w:proofErr w:type="spellStart"/>
            <w:r>
              <w:rPr>
                <w:b/>
              </w:rPr>
              <w:t>Lonene</w:t>
            </w:r>
            <w:proofErr w:type="spellEnd"/>
          </w:p>
        </w:tc>
        <w:tc>
          <w:tcPr>
            <w:tcW w:w="4089" w:type="dxa"/>
            <w:tcBorders>
              <w:top w:val="single" w:sz="6" w:space="0" w:color="EBEBEB"/>
              <w:left w:val="single" w:sz="6" w:space="0" w:color="EBEBEB"/>
              <w:bottom w:val="single" w:sz="6" w:space="0" w:color="EBEBEB"/>
              <w:right w:val="single" w:sz="6" w:space="0" w:color="EBEBEB"/>
            </w:tcBorders>
          </w:tcPr>
          <w:p w:rsidR="00F865EF" w:rsidRDefault="000050BF">
            <w:pPr>
              <w:spacing w:after="0" w:line="259" w:lineRule="auto"/>
              <w:ind w:left="4" w:firstLine="0"/>
            </w:pPr>
            <w:r>
              <w:rPr>
                <w:b/>
              </w:rPr>
              <w:t>3h18</w:t>
            </w:r>
          </w:p>
        </w:tc>
      </w:tr>
      <w:tr w:rsidR="00F865EF">
        <w:trPr>
          <w:trHeight w:val="468"/>
        </w:trPr>
        <w:tc>
          <w:tcPr>
            <w:tcW w:w="4916" w:type="dxa"/>
            <w:tcBorders>
              <w:top w:val="single" w:sz="6" w:space="0" w:color="EBEBEB"/>
              <w:left w:val="single" w:sz="6" w:space="0" w:color="EBEBEB"/>
              <w:bottom w:val="single" w:sz="6" w:space="0" w:color="EBEBEB"/>
              <w:right w:val="single" w:sz="6" w:space="0" w:color="EBEBEB"/>
            </w:tcBorders>
          </w:tcPr>
          <w:p w:rsidR="00F865EF" w:rsidRDefault="000050BF">
            <w:pPr>
              <w:spacing w:after="0" w:line="259" w:lineRule="auto"/>
              <w:ind w:left="0" w:firstLine="0"/>
            </w:pPr>
            <w:proofErr w:type="spellStart"/>
            <w:r>
              <w:rPr>
                <w:b/>
              </w:rPr>
              <w:t>iKwekwezi</w:t>
            </w:r>
            <w:proofErr w:type="spellEnd"/>
            <w:r>
              <w:rPr>
                <w:b/>
              </w:rPr>
              <w:t xml:space="preserve"> FM</w:t>
            </w:r>
          </w:p>
        </w:tc>
        <w:tc>
          <w:tcPr>
            <w:tcW w:w="4089" w:type="dxa"/>
            <w:tcBorders>
              <w:top w:val="single" w:sz="6" w:space="0" w:color="EBEBEB"/>
              <w:left w:val="single" w:sz="6" w:space="0" w:color="EBEBEB"/>
              <w:bottom w:val="single" w:sz="6" w:space="0" w:color="EBEBEB"/>
              <w:right w:val="single" w:sz="6" w:space="0" w:color="EBEBEB"/>
            </w:tcBorders>
          </w:tcPr>
          <w:p w:rsidR="00F865EF" w:rsidRDefault="000050BF">
            <w:pPr>
              <w:spacing w:after="0" w:line="259" w:lineRule="auto"/>
              <w:ind w:left="4" w:firstLine="0"/>
            </w:pPr>
            <w:r>
              <w:rPr>
                <w:b/>
              </w:rPr>
              <w:t>3h12</w:t>
            </w:r>
          </w:p>
        </w:tc>
      </w:tr>
      <w:tr w:rsidR="00F865EF">
        <w:trPr>
          <w:trHeight w:val="468"/>
        </w:trPr>
        <w:tc>
          <w:tcPr>
            <w:tcW w:w="4916" w:type="dxa"/>
            <w:tcBorders>
              <w:top w:val="single" w:sz="6" w:space="0" w:color="EBEBEB"/>
              <w:left w:val="single" w:sz="6" w:space="0" w:color="EBEBEB"/>
              <w:bottom w:val="single" w:sz="6" w:space="0" w:color="EBEBEB"/>
              <w:right w:val="single" w:sz="6" w:space="0" w:color="EBEBEB"/>
            </w:tcBorders>
          </w:tcPr>
          <w:p w:rsidR="00F865EF" w:rsidRDefault="000050BF">
            <w:pPr>
              <w:spacing w:after="0" w:line="259" w:lineRule="auto"/>
              <w:ind w:left="0" w:firstLine="0"/>
            </w:pPr>
            <w:proofErr w:type="spellStart"/>
            <w:r>
              <w:rPr>
                <w:b/>
              </w:rPr>
              <w:t>Ukhozi</w:t>
            </w:r>
            <w:proofErr w:type="spellEnd"/>
            <w:r>
              <w:rPr>
                <w:b/>
              </w:rPr>
              <w:t xml:space="preserve"> FM</w:t>
            </w:r>
          </w:p>
        </w:tc>
        <w:tc>
          <w:tcPr>
            <w:tcW w:w="4089" w:type="dxa"/>
            <w:tcBorders>
              <w:top w:val="single" w:sz="6" w:space="0" w:color="EBEBEB"/>
              <w:left w:val="single" w:sz="6" w:space="0" w:color="EBEBEB"/>
              <w:bottom w:val="single" w:sz="6" w:space="0" w:color="EBEBEB"/>
              <w:right w:val="single" w:sz="6" w:space="0" w:color="EBEBEB"/>
            </w:tcBorders>
          </w:tcPr>
          <w:p w:rsidR="00F865EF" w:rsidRDefault="000050BF">
            <w:pPr>
              <w:spacing w:after="0" w:line="259" w:lineRule="auto"/>
              <w:ind w:left="4" w:firstLine="0"/>
            </w:pPr>
            <w:r>
              <w:rPr>
                <w:b/>
              </w:rPr>
              <w:t>3h12</w:t>
            </w:r>
          </w:p>
        </w:tc>
      </w:tr>
      <w:tr w:rsidR="00F865EF">
        <w:trPr>
          <w:trHeight w:val="468"/>
        </w:trPr>
        <w:tc>
          <w:tcPr>
            <w:tcW w:w="4916" w:type="dxa"/>
            <w:tcBorders>
              <w:top w:val="single" w:sz="6" w:space="0" w:color="EBEBEB"/>
              <w:left w:val="single" w:sz="6" w:space="0" w:color="EBEBEB"/>
              <w:bottom w:val="single" w:sz="6" w:space="0" w:color="EBEBEB"/>
              <w:right w:val="single" w:sz="6" w:space="0" w:color="EBEBEB"/>
            </w:tcBorders>
          </w:tcPr>
          <w:p w:rsidR="00F865EF" w:rsidRDefault="000050BF">
            <w:pPr>
              <w:spacing w:after="0" w:line="259" w:lineRule="auto"/>
              <w:ind w:left="0" w:firstLine="0"/>
            </w:pPr>
            <w:proofErr w:type="spellStart"/>
            <w:r>
              <w:rPr>
                <w:b/>
              </w:rPr>
              <w:t>Umhlobo</w:t>
            </w:r>
            <w:proofErr w:type="spellEnd"/>
            <w:r>
              <w:rPr>
                <w:b/>
              </w:rPr>
              <w:t xml:space="preserve"> </w:t>
            </w:r>
            <w:proofErr w:type="spellStart"/>
            <w:r>
              <w:rPr>
                <w:b/>
              </w:rPr>
              <w:t>Wenene</w:t>
            </w:r>
            <w:proofErr w:type="spellEnd"/>
          </w:p>
        </w:tc>
        <w:tc>
          <w:tcPr>
            <w:tcW w:w="4089" w:type="dxa"/>
            <w:tcBorders>
              <w:top w:val="single" w:sz="6" w:space="0" w:color="EBEBEB"/>
              <w:left w:val="single" w:sz="6" w:space="0" w:color="EBEBEB"/>
              <w:bottom w:val="single" w:sz="6" w:space="0" w:color="EBEBEB"/>
              <w:right w:val="single" w:sz="6" w:space="0" w:color="EBEBEB"/>
            </w:tcBorders>
          </w:tcPr>
          <w:p w:rsidR="00F865EF" w:rsidRDefault="000050BF">
            <w:pPr>
              <w:spacing w:after="0" w:line="259" w:lineRule="auto"/>
              <w:ind w:left="4" w:firstLine="0"/>
            </w:pPr>
            <w:r>
              <w:rPr>
                <w:b/>
              </w:rPr>
              <w:t>3h06</w:t>
            </w:r>
          </w:p>
        </w:tc>
      </w:tr>
      <w:tr w:rsidR="00F865EF">
        <w:trPr>
          <w:trHeight w:val="468"/>
        </w:trPr>
        <w:tc>
          <w:tcPr>
            <w:tcW w:w="4916" w:type="dxa"/>
            <w:tcBorders>
              <w:top w:val="single" w:sz="6" w:space="0" w:color="EBEBEB"/>
              <w:left w:val="single" w:sz="6" w:space="0" w:color="EBEBEB"/>
              <w:bottom w:val="single" w:sz="6" w:space="0" w:color="EBEBEB"/>
              <w:right w:val="single" w:sz="6" w:space="0" w:color="EBEBEB"/>
            </w:tcBorders>
          </w:tcPr>
          <w:p w:rsidR="00F865EF" w:rsidRDefault="000050BF">
            <w:pPr>
              <w:spacing w:after="0" w:line="259" w:lineRule="auto"/>
              <w:ind w:left="0" w:firstLine="0"/>
            </w:pPr>
            <w:proofErr w:type="spellStart"/>
            <w:r>
              <w:rPr>
                <w:b/>
              </w:rPr>
              <w:t>Lesedi</w:t>
            </w:r>
            <w:proofErr w:type="spellEnd"/>
            <w:r>
              <w:rPr>
                <w:b/>
              </w:rPr>
              <w:t xml:space="preserve"> FM</w:t>
            </w:r>
          </w:p>
        </w:tc>
        <w:tc>
          <w:tcPr>
            <w:tcW w:w="4089" w:type="dxa"/>
            <w:tcBorders>
              <w:top w:val="single" w:sz="6" w:space="0" w:color="EBEBEB"/>
              <w:left w:val="single" w:sz="6" w:space="0" w:color="EBEBEB"/>
              <w:bottom w:val="single" w:sz="6" w:space="0" w:color="EBEBEB"/>
              <w:right w:val="single" w:sz="6" w:space="0" w:color="EBEBEB"/>
            </w:tcBorders>
          </w:tcPr>
          <w:p w:rsidR="00F865EF" w:rsidRDefault="000050BF">
            <w:pPr>
              <w:spacing w:after="0" w:line="259" w:lineRule="auto"/>
              <w:ind w:left="4" w:firstLine="0"/>
            </w:pPr>
            <w:r>
              <w:rPr>
                <w:b/>
              </w:rPr>
              <w:t>3h00</w:t>
            </w:r>
          </w:p>
        </w:tc>
      </w:tr>
    </w:tbl>
    <w:p w:rsidR="00F865EF" w:rsidRDefault="000050BF">
      <w:pPr>
        <w:ind w:left="-5"/>
      </w:pPr>
      <w:r>
        <w:rPr>
          <w:b/>
        </w:rPr>
        <w:lastRenderedPageBreak/>
        <w:t>The Public Broadcaster TV News Channe</w:t>
      </w:r>
      <w:r>
        <w:t xml:space="preserve">l – 404 has leaped to the top of the pyramid in so far as news channels are concerned. This is a clear demonstration of the talent that the SABC has which now is endangered due to retrenchments. </w:t>
      </w:r>
      <w:r>
        <w:t xml:space="preserve"> </w:t>
      </w:r>
      <w:r>
        <w:rPr>
          <w:b/>
        </w:rPr>
        <w:t xml:space="preserve">Retrenchments are pre-matured  </w:t>
      </w:r>
    </w:p>
    <w:p w:rsidR="00F865EF" w:rsidRDefault="000050BF">
      <w:pPr>
        <w:ind w:left="-5"/>
      </w:pPr>
      <w:r>
        <w:t>Without a fully flashed skil</w:t>
      </w:r>
      <w:r>
        <w:t>ls audit - retrenchments are pre-matured and are not responding to the short and long-term challenges faced by the broadcaster, as pointed out in our 5 pillars.  We therefore insist that the process of the skills audit be concluded, and the outcomes will g</w:t>
      </w:r>
      <w:r>
        <w:t xml:space="preserve">uide us on a proper restructuring thus including re-skilling and redeployment to new avenues such as new channels and online streaming. </w:t>
      </w:r>
      <w:r>
        <w:t xml:space="preserve"> </w:t>
      </w:r>
    </w:p>
    <w:p w:rsidR="00F865EF" w:rsidRDefault="000050BF">
      <w:pPr>
        <w:ind w:left="-5"/>
      </w:pPr>
      <w:r>
        <w:t xml:space="preserve">We are also in a position of evidence where SABC attempt to manipulate the skills audit process to justify their plan </w:t>
      </w:r>
      <w:r>
        <w:t xml:space="preserve">of retrenchments.  </w:t>
      </w:r>
      <w:r>
        <w:t xml:space="preserve"> </w:t>
      </w:r>
    </w:p>
    <w:p w:rsidR="00F865EF" w:rsidRDefault="000050BF">
      <w:pPr>
        <w:ind w:left="-5"/>
      </w:pPr>
      <w:r>
        <w:t>We have a history at the SABC of engaging on premature retrenchments. In 1997, the SABC embarked on retrenchments and later on they had to re-employ the same workers that were retrenched at a high salary scale.</w:t>
      </w:r>
      <w:r>
        <w:t xml:space="preserve"> </w:t>
      </w:r>
    </w:p>
    <w:p w:rsidR="00F865EF" w:rsidRDefault="000050BF">
      <w:pPr>
        <w:spacing w:after="510"/>
        <w:ind w:left="-5"/>
      </w:pPr>
      <w:r>
        <w:t xml:space="preserve">On page 45 of the SABC </w:t>
      </w:r>
      <w:r>
        <w:t xml:space="preserve">Corporate Plan, demonstrates how </w:t>
      </w:r>
      <w:proofErr w:type="spellStart"/>
      <w:r>
        <w:t>shortsighted</w:t>
      </w:r>
      <w:proofErr w:type="spellEnd"/>
      <w:r>
        <w:t xml:space="preserve"> SABC is on retrenchments: </w:t>
      </w:r>
      <w:r>
        <w:t xml:space="preserve"> </w:t>
      </w:r>
    </w:p>
    <w:p w:rsidR="00F865EF" w:rsidRDefault="000050BF">
      <w:pPr>
        <w:spacing w:after="840" w:line="259" w:lineRule="auto"/>
        <w:ind w:left="0" w:right="588" w:firstLine="0"/>
        <w:jc w:val="right"/>
      </w:pPr>
      <w:r>
        <w:rPr>
          <w:noProof/>
        </w:rPr>
        <w:drawing>
          <wp:inline distT="0" distB="0" distL="0" distR="0">
            <wp:extent cx="5310505" cy="3188970"/>
            <wp:effectExtent l="0" t="0" r="0" b="0"/>
            <wp:docPr id="275" name="Picture 275"/>
            <wp:cNvGraphicFramePr/>
            <a:graphic xmlns:a="http://schemas.openxmlformats.org/drawingml/2006/main">
              <a:graphicData uri="http://schemas.openxmlformats.org/drawingml/2006/picture">
                <pic:pic xmlns:pic="http://schemas.openxmlformats.org/drawingml/2006/picture">
                  <pic:nvPicPr>
                    <pic:cNvPr id="275" name="Picture 275"/>
                    <pic:cNvPicPr/>
                  </pic:nvPicPr>
                  <pic:blipFill>
                    <a:blip r:embed="rId5"/>
                    <a:stretch>
                      <a:fillRect/>
                    </a:stretch>
                  </pic:blipFill>
                  <pic:spPr>
                    <a:xfrm>
                      <a:off x="0" y="0"/>
                      <a:ext cx="5310505" cy="3188970"/>
                    </a:xfrm>
                    <a:prstGeom prst="rect">
                      <a:avLst/>
                    </a:prstGeom>
                  </pic:spPr>
                </pic:pic>
              </a:graphicData>
            </a:graphic>
          </wp:inline>
        </w:drawing>
      </w:r>
      <w:r>
        <w:rPr>
          <w:rFonts w:ascii="Times New Roman" w:eastAsia="Times New Roman" w:hAnsi="Times New Roman" w:cs="Times New Roman"/>
        </w:rPr>
        <w:t xml:space="preserve"> </w:t>
      </w:r>
    </w:p>
    <w:p w:rsidR="00F865EF" w:rsidRDefault="000050BF">
      <w:pPr>
        <w:pStyle w:val="Heading1"/>
        <w:spacing w:after="248"/>
        <w:ind w:left="-5"/>
      </w:pPr>
      <w:r>
        <w:lastRenderedPageBreak/>
        <w:t xml:space="preserve">Other issues to be considered </w:t>
      </w:r>
    </w:p>
    <w:p w:rsidR="00F865EF" w:rsidRDefault="000050BF">
      <w:pPr>
        <w:numPr>
          <w:ilvl w:val="0"/>
          <w:numId w:val="2"/>
        </w:numPr>
        <w:ind w:hanging="360"/>
      </w:pPr>
      <w:r>
        <w:t>The developments at SABC suggest that there is concerted e</w:t>
      </w:r>
      <w:r>
        <w:t>ff</w:t>
      </w:r>
      <w:r>
        <w:t>orts to commercialize the Public Broadcaster. With the influx of the new sta</w:t>
      </w:r>
      <w:r>
        <w:t>ff</w:t>
      </w:r>
      <w:r>
        <w:t xml:space="preserve"> </w:t>
      </w:r>
      <w:r>
        <w:t xml:space="preserve">employed in the last 8 months (newly employed), then simultaneously move for retrenchments.  </w:t>
      </w:r>
      <w:r>
        <w:t xml:space="preserve"> </w:t>
      </w:r>
    </w:p>
    <w:p w:rsidR="00F865EF" w:rsidRDefault="000050BF">
      <w:pPr>
        <w:numPr>
          <w:ilvl w:val="0"/>
          <w:numId w:val="2"/>
        </w:numPr>
        <w:ind w:hanging="360"/>
      </w:pPr>
      <w:r>
        <w:t>The expenditure on the outsource (service providers) must be cut and utilize internal resources. The Public Broadcaster has employed highly qualified and are pay</w:t>
      </w:r>
      <w:r>
        <w:t>ing the Employee Relations O</w:t>
      </w:r>
      <w:r>
        <w:t>ffi</w:t>
      </w:r>
      <w:r>
        <w:t xml:space="preserve">cers (ER) handsomely, however the work of their ER is done by law firms. </w:t>
      </w:r>
      <w:r>
        <w:t xml:space="preserve"> </w:t>
      </w:r>
    </w:p>
    <w:p w:rsidR="00F865EF" w:rsidRDefault="000050BF">
      <w:pPr>
        <w:numPr>
          <w:ilvl w:val="0"/>
          <w:numId w:val="2"/>
        </w:numPr>
        <w:ind w:hanging="360"/>
      </w:pPr>
      <w:r>
        <w:t>The bailout conditions include investing on content, however; SABC has not demonstrated on how it has opened up the production line with the current i</w:t>
      </w:r>
      <w:r>
        <w:t>ndependent producers. For the SABC to be contracted to the same independent producer’s, limits competition and weakens the content.</w:t>
      </w:r>
      <w:r>
        <w:t xml:space="preserve"> </w:t>
      </w:r>
    </w:p>
    <w:p w:rsidR="00F865EF" w:rsidRDefault="000050BF">
      <w:pPr>
        <w:numPr>
          <w:ilvl w:val="0"/>
          <w:numId w:val="2"/>
        </w:numPr>
        <w:spacing w:after="0"/>
        <w:ind w:hanging="360"/>
      </w:pPr>
      <w:r>
        <w:t>The SABC made serious allegations about sta</w:t>
      </w:r>
      <w:r>
        <w:t>ff</w:t>
      </w:r>
      <w:r>
        <w:t xml:space="preserve"> members sabotaging the State, when a wrong clip of the President of the repub</w:t>
      </w:r>
      <w:r>
        <w:t xml:space="preserve">lic was played. To date, the management of SABC failed to report back on the matter to the public and parliament. Instead, they indicated in their last appearance at the Portfolio Committee that the matter is sub </w:t>
      </w:r>
      <w:proofErr w:type="spellStart"/>
      <w:r>
        <w:t>judice</w:t>
      </w:r>
      <w:proofErr w:type="spellEnd"/>
      <w:r>
        <w:t>, however; the truth is they have alr</w:t>
      </w:r>
      <w:r>
        <w:t xml:space="preserve">eady conducted internal disciplinary hearings. (1) The senior person – Executive Producer (not guilty) (2) Bulletin Editor (final written warning) (3) Producer (dismissed). This demonstrates inconsistency and a poor worker was used as a sacrificed lamb.  </w:t>
      </w:r>
      <w:r>
        <w:t xml:space="preserve"> </w:t>
      </w:r>
    </w:p>
    <w:p w:rsidR="00F865EF" w:rsidRDefault="000050BF">
      <w:pPr>
        <w:spacing w:after="562" w:line="259" w:lineRule="auto"/>
        <w:ind w:left="0" w:firstLine="0"/>
      </w:pPr>
      <w:r>
        <w:t xml:space="preserve">  </w:t>
      </w:r>
      <w:r>
        <w:t xml:space="preserve"> </w:t>
      </w:r>
    </w:p>
    <w:p w:rsidR="00F865EF" w:rsidRDefault="000050BF">
      <w:pPr>
        <w:pStyle w:val="Heading1"/>
        <w:spacing w:after="256"/>
        <w:ind w:left="-5"/>
      </w:pPr>
      <w:r>
        <w:t xml:space="preserve">Way – forward  </w:t>
      </w:r>
    </w:p>
    <w:p w:rsidR="00F865EF" w:rsidRDefault="000050BF">
      <w:pPr>
        <w:spacing w:after="201" w:line="307" w:lineRule="auto"/>
        <w:ind w:left="-5"/>
      </w:pPr>
      <w:r>
        <w:t>Organised labour remains committed in turning things around at the SABC, and to take the public broadcaster forward. We calling for the SABC to abandon its premature call to retrench workers and engage labour in good faith for amicable outcomes, with a vie</w:t>
      </w:r>
      <w:r>
        <w:t xml:space="preserve">w to grow revenue and build a stronger public broadcaster.  </w:t>
      </w:r>
      <w:r>
        <w:rPr>
          <w:sz w:val="22"/>
        </w:rPr>
        <w:t xml:space="preserve"> </w:t>
      </w:r>
      <w:r>
        <w:rPr>
          <w:rFonts w:ascii="Trebuchet MS" w:eastAsia="Trebuchet MS" w:hAnsi="Trebuchet MS" w:cs="Trebuchet MS"/>
        </w:rPr>
        <w:t xml:space="preserve">End  </w:t>
      </w:r>
    </w:p>
    <w:p w:rsidR="00F865EF" w:rsidRDefault="000050BF">
      <w:pPr>
        <w:spacing w:after="0" w:line="259" w:lineRule="auto"/>
        <w:ind w:left="-5"/>
      </w:pPr>
      <w:r>
        <w:rPr>
          <w:rFonts w:ascii="Trebuchet MS" w:eastAsia="Trebuchet MS" w:hAnsi="Trebuchet MS" w:cs="Trebuchet MS"/>
        </w:rPr>
        <w:t xml:space="preserve">CWU General Secretary obo </w:t>
      </w:r>
    </w:p>
    <w:p w:rsidR="00F865EF" w:rsidRDefault="000050BF">
      <w:pPr>
        <w:spacing w:after="257" w:line="259" w:lineRule="auto"/>
        <w:ind w:left="-5"/>
      </w:pPr>
      <w:r>
        <w:rPr>
          <w:rFonts w:ascii="Trebuchet MS" w:eastAsia="Trebuchet MS" w:hAnsi="Trebuchet MS" w:cs="Trebuchet MS"/>
        </w:rPr>
        <w:t xml:space="preserve">Communication Workers Union  </w:t>
      </w:r>
    </w:p>
    <w:p w:rsidR="00F865EF" w:rsidRDefault="000050BF">
      <w:pPr>
        <w:spacing w:after="0" w:line="259" w:lineRule="auto"/>
        <w:ind w:left="0" w:firstLine="0"/>
      </w:pPr>
      <w:r>
        <w:rPr>
          <w:rFonts w:ascii="Trebuchet MS" w:eastAsia="Trebuchet MS" w:hAnsi="Trebuchet MS" w:cs="Trebuchet MS"/>
        </w:rPr>
        <w:t xml:space="preserve"> </w:t>
      </w:r>
    </w:p>
    <w:sectPr w:rsidR="00F865EF">
      <w:pgSz w:w="11900" w:h="16840"/>
      <w:pgMar w:top="1432" w:right="1449" w:bottom="192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C533A"/>
    <w:multiLevelType w:val="hybridMultilevel"/>
    <w:tmpl w:val="43EE7694"/>
    <w:lvl w:ilvl="0" w:tplc="765E8E40">
      <w:start w:val="1"/>
      <w:numFmt w:val="bullet"/>
      <w:lvlText w:val="•"/>
      <w:lvlJc w:val="left"/>
      <w:pPr>
        <w:ind w:left="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E04640">
      <w:start w:val="1"/>
      <w:numFmt w:val="bullet"/>
      <w:lvlText w:val="o"/>
      <w:lvlJc w:val="left"/>
      <w:pPr>
        <w:ind w:left="1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269620">
      <w:start w:val="1"/>
      <w:numFmt w:val="bullet"/>
      <w:lvlText w:val="▪"/>
      <w:lvlJc w:val="left"/>
      <w:pPr>
        <w:ind w:left="2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6C9F0E">
      <w:start w:val="1"/>
      <w:numFmt w:val="bullet"/>
      <w:lvlText w:val="•"/>
      <w:lvlJc w:val="left"/>
      <w:pPr>
        <w:ind w:left="2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72293A">
      <w:start w:val="1"/>
      <w:numFmt w:val="bullet"/>
      <w:lvlText w:val="o"/>
      <w:lvlJc w:val="left"/>
      <w:pPr>
        <w:ind w:left="3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C45A06">
      <w:start w:val="1"/>
      <w:numFmt w:val="bullet"/>
      <w:lvlText w:val="▪"/>
      <w:lvlJc w:val="left"/>
      <w:pPr>
        <w:ind w:left="4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62A476">
      <w:start w:val="1"/>
      <w:numFmt w:val="bullet"/>
      <w:lvlText w:val="•"/>
      <w:lvlJc w:val="left"/>
      <w:pPr>
        <w:ind w:left="5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0CBAC8">
      <w:start w:val="1"/>
      <w:numFmt w:val="bullet"/>
      <w:lvlText w:val="o"/>
      <w:lvlJc w:val="left"/>
      <w:pPr>
        <w:ind w:left="5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62A2E6">
      <w:start w:val="1"/>
      <w:numFmt w:val="bullet"/>
      <w:lvlText w:val="▪"/>
      <w:lvlJc w:val="left"/>
      <w:pPr>
        <w:ind w:left="6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5E40742"/>
    <w:multiLevelType w:val="hybridMultilevel"/>
    <w:tmpl w:val="298C5920"/>
    <w:lvl w:ilvl="0" w:tplc="9AE851D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A267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1C73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8E09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2E7C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5804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1402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CC7F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C8EF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EF"/>
    <w:rsid w:val="000050BF"/>
    <w:rsid w:val="00F865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07C1E-F257-4807-80FD-3B1A4460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5" w:line="253"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456" w:line="265"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ORGANISED LABOUR PRESENTATION (SABC)</vt:lpstr>
    </vt:vector>
  </TitlesOfParts>
  <Company>Parliament of the Republic  of South Africa</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ORGANISED LABOUR PRESENTATION (SABC)</dc:title>
  <dc:subject/>
  <dc:creator>Hajiera Salie</dc:creator>
  <cp:keywords/>
  <cp:lastModifiedBy>Hajiera Salie</cp:lastModifiedBy>
  <cp:revision>2</cp:revision>
  <dcterms:created xsi:type="dcterms:W3CDTF">2020-07-22T11:15:00Z</dcterms:created>
  <dcterms:modified xsi:type="dcterms:W3CDTF">2020-07-22T11:15:00Z</dcterms:modified>
</cp:coreProperties>
</file>