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10" w:rsidRPr="000036C7" w:rsidRDefault="00F82710" w:rsidP="008C009E">
      <w:pPr>
        <w:spacing w:after="120"/>
        <w:rPr>
          <w:rFonts w:ascii="Century Gothic" w:hAnsi="Century Gothic"/>
          <w:b/>
          <w:sz w:val="28"/>
          <w:szCs w:val="28"/>
          <w:lang w:val="en-GB"/>
        </w:rPr>
      </w:pPr>
      <w:bookmarkStart w:id="0" w:name="_GoBack"/>
      <w:bookmarkEnd w:id="0"/>
      <w:r w:rsidRPr="000036C7">
        <w:rPr>
          <w:rFonts w:ascii="Century Gothic" w:hAnsi="Century Gothic"/>
          <w:b/>
          <w:sz w:val="28"/>
          <w:szCs w:val="28"/>
          <w:lang w:val="en-GB"/>
        </w:rPr>
        <w:t>VIREMENT</w:t>
      </w:r>
    </w:p>
    <w:p w:rsidR="004637B7" w:rsidRPr="004637B7" w:rsidRDefault="004637B7" w:rsidP="004637B7">
      <w:pPr>
        <w:spacing w:after="120"/>
        <w:jc w:val="both"/>
        <w:rPr>
          <w:rFonts w:ascii="Century Gothic" w:hAnsi="Century Gothic"/>
          <w:b/>
          <w:sz w:val="20"/>
          <w:szCs w:val="20"/>
          <w:lang w:val="en-GB"/>
        </w:rPr>
      </w:pPr>
      <w:r w:rsidRPr="004637B7">
        <w:rPr>
          <w:rFonts w:ascii="Century Gothic" w:hAnsi="Century Gothic"/>
          <w:b/>
          <w:sz w:val="20"/>
          <w:szCs w:val="20"/>
          <w:lang w:val="en-GB"/>
        </w:rPr>
        <w:t>Purpose:</w:t>
      </w:r>
    </w:p>
    <w:p w:rsidR="008C009E" w:rsidRPr="008C009E" w:rsidRDefault="008C009E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GB"/>
        </w:rPr>
      </w:pPr>
      <w:r w:rsidRPr="008C009E">
        <w:rPr>
          <w:rFonts w:ascii="Century Gothic" w:hAnsi="Century Gothic"/>
          <w:sz w:val="20"/>
          <w:szCs w:val="20"/>
          <w:lang w:val="en-GB"/>
        </w:rPr>
        <w:t xml:space="preserve">The </w:t>
      </w:r>
      <w:r>
        <w:rPr>
          <w:rFonts w:ascii="Century Gothic" w:hAnsi="Century Gothic"/>
          <w:sz w:val="20"/>
          <w:szCs w:val="20"/>
          <w:lang w:val="en-GB"/>
        </w:rPr>
        <w:t>Provincial Treasury</w:t>
      </w:r>
      <w:r w:rsidRPr="008C009E">
        <w:rPr>
          <w:rFonts w:ascii="Century Gothic" w:hAnsi="Century Gothic"/>
          <w:sz w:val="20"/>
          <w:szCs w:val="20"/>
          <w:lang w:val="en-GB"/>
        </w:rPr>
        <w:t xml:space="preserve"> issued </w:t>
      </w:r>
      <w:r w:rsidRPr="008C009E">
        <w:rPr>
          <w:rFonts w:ascii="Century Gothic" w:hAnsi="Century Gothic"/>
          <w:b/>
          <w:sz w:val="20"/>
          <w:szCs w:val="20"/>
          <w:lang w:val="en-GB"/>
        </w:rPr>
        <w:t>Treasury Circular No. 23/2006</w:t>
      </w:r>
      <w:r w:rsidRPr="008C009E">
        <w:rPr>
          <w:rFonts w:ascii="Century Gothic" w:hAnsi="Century Gothic"/>
          <w:sz w:val="20"/>
          <w:szCs w:val="20"/>
          <w:lang w:val="en-GB"/>
        </w:rPr>
        <w:t xml:space="preserve"> dated 14 September 2006 to provide </w:t>
      </w:r>
      <w:r w:rsidRPr="008C009E">
        <w:rPr>
          <w:rFonts w:ascii="Century Gothic" w:hAnsi="Century Gothic"/>
          <w:sz w:val="20"/>
          <w:szCs w:val="20"/>
          <w:lang w:val="en-US"/>
        </w:rPr>
        <w:t>a uniform interpretation and application of section 43 (clause on virement</w:t>
      </w:r>
      <w:r w:rsidR="004637B7">
        <w:rPr>
          <w:rFonts w:ascii="Century Gothic" w:hAnsi="Century Gothic"/>
          <w:sz w:val="20"/>
          <w:szCs w:val="20"/>
          <w:lang w:val="en-US"/>
        </w:rPr>
        <w:t>) of</w:t>
      </w:r>
      <w:r w:rsidRPr="008C009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637B7">
        <w:rPr>
          <w:rFonts w:ascii="Century Gothic" w:hAnsi="Century Gothic"/>
          <w:sz w:val="20"/>
          <w:szCs w:val="20"/>
          <w:lang w:val="en-US"/>
        </w:rPr>
        <w:t xml:space="preserve">the </w:t>
      </w:r>
      <w:r w:rsidRPr="008C009E">
        <w:rPr>
          <w:rFonts w:ascii="Century Gothic" w:hAnsi="Century Gothic"/>
          <w:sz w:val="20"/>
          <w:szCs w:val="20"/>
          <w:lang w:val="en-US"/>
        </w:rPr>
        <w:t xml:space="preserve">Public Finance Management Act, Act </w:t>
      </w:r>
      <w:r w:rsidR="004637B7">
        <w:rPr>
          <w:rFonts w:ascii="Century Gothic" w:hAnsi="Century Gothic"/>
          <w:sz w:val="20"/>
          <w:szCs w:val="20"/>
          <w:lang w:val="en-US"/>
        </w:rPr>
        <w:t xml:space="preserve">No. </w:t>
      </w:r>
      <w:r w:rsidRPr="008C009E">
        <w:rPr>
          <w:rFonts w:ascii="Century Gothic" w:hAnsi="Century Gothic"/>
          <w:sz w:val="20"/>
          <w:szCs w:val="20"/>
          <w:lang w:val="en-US"/>
        </w:rPr>
        <w:t>1 of 1999 (PFMA), and National Treasury Regulation</w:t>
      </w:r>
      <w:r w:rsidR="004637B7">
        <w:rPr>
          <w:rFonts w:ascii="Century Gothic" w:hAnsi="Century Gothic"/>
          <w:sz w:val="20"/>
          <w:szCs w:val="20"/>
          <w:lang w:val="en-US"/>
        </w:rPr>
        <w:t xml:space="preserve"> 6.3</w:t>
      </w:r>
      <w:r w:rsidRPr="008C009E">
        <w:rPr>
          <w:rFonts w:ascii="Century Gothic" w:hAnsi="Century Gothic"/>
          <w:sz w:val="20"/>
          <w:szCs w:val="20"/>
          <w:lang w:val="en-US"/>
        </w:rPr>
        <w:t xml:space="preserve"> issued in terms thereof, and to assist </w:t>
      </w:r>
      <w:r>
        <w:rPr>
          <w:rFonts w:ascii="Century Gothic" w:hAnsi="Century Gothic"/>
          <w:sz w:val="20"/>
          <w:szCs w:val="20"/>
          <w:lang w:val="en-US"/>
        </w:rPr>
        <w:t>A</w:t>
      </w:r>
      <w:r w:rsidRPr="008C009E">
        <w:rPr>
          <w:rFonts w:ascii="Century Gothic" w:hAnsi="Century Gothic"/>
          <w:sz w:val="20"/>
          <w:szCs w:val="20"/>
          <w:lang w:val="en-US"/>
        </w:rPr>
        <w:t xml:space="preserve">ccounting </w:t>
      </w:r>
      <w:r>
        <w:rPr>
          <w:rFonts w:ascii="Century Gothic" w:hAnsi="Century Gothic"/>
          <w:sz w:val="20"/>
          <w:szCs w:val="20"/>
          <w:lang w:val="en-US"/>
        </w:rPr>
        <w:t>O</w:t>
      </w:r>
      <w:r w:rsidRPr="008C009E">
        <w:rPr>
          <w:rFonts w:ascii="Century Gothic" w:hAnsi="Century Gothic"/>
          <w:sz w:val="20"/>
          <w:szCs w:val="20"/>
          <w:lang w:val="en-US"/>
        </w:rPr>
        <w:t xml:space="preserve">fficers </w:t>
      </w:r>
      <w:r>
        <w:rPr>
          <w:rFonts w:ascii="Century Gothic" w:hAnsi="Century Gothic"/>
          <w:sz w:val="20"/>
          <w:szCs w:val="20"/>
          <w:lang w:val="en-US"/>
        </w:rPr>
        <w:t xml:space="preserve">(AOs) </w:t>
      </w:r>
      <w:r w:rsidRPr="008C009E">
        <w:rPr>
          <w:rFonts w:ascii="Century Gothic" w:hAnsi="Century Gothic"/>
          <w:sz w:val="20"/>
          <w:szCs w:val="20"/>
          <w:lang w:val="en-US"/>
        </w:rPr>
        <w:t>with the interpretation and application of section 43, especially during the Adjustments Budget stage and when formulating departmental Annual Financial Statements.</w:t>
      </w:r>
    </w:p>
    <w:p w:rsidR="003F7573" w:rsidRDefault="003F7573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Virement </w:t>
      </w:r>
      <w:r w:rsidR="008C009E">
        <w:rPr>
          <w:rFonts w:ascii="Century Gothic" w:hAnsi="Century Gothic"/>
          <w:sz w:val="20"/>
          <w:szCs w:val="20"/>
          <w:lang w:val="en-GB"/>
        </w:rPr>
        <w:t>i</w:t>
      </w:r>
      <w:r>
        <w:rPr>
          <w:rFonts w:ascii="Century Gothic" w:hAnsi="Century Gothic"/>
          <w:sz w:val="20"/>
          <w:szCs w:val="20"/>
          <w:lang w:val="en-GB"/>
        </w:rPr>
        <w:t xml:space="preserve">s defined in section 43(1) of the </w:t>
      </w:r>
      <w:r w:rsidRPr="003F7573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Public Finance Management Act, 1999 (Act 1 of 1999) (</w:t>
      </w:r>
      <w:r w:rsidRPr="00450DBE">
        <w:rPr>
          <w:rFonts w:ascii="Century Gothic" w:hAnsi="Century Gothic"/>
          <w:sz w:val="20"/>
          <w:szCs w:val="20"/>
          <w:lang w:val="en-GB"/>
        </w:rPr>
        <w:t>PFMA</w:t>
      </w:r>
      <w:r>
        <w:rPr>
          <w:rFonts w:ascii="Century Gothic" w:hAnsi="Century Gothic"/>
          <w:sz w:val="20"/>
          <w:szCs w:val="20"/>
          <w:lang w:val="en-GB"/>
        </w:rPr>
        <w:t>)</w:t>
      </w:r>
      <w:r w:rsidR="008C009E">
        <w:rPr>
          <w:rFonts w:ascii="Century Gothic" w:hAnsi="Century Gothic"/>
          <w:sz w:val="20"/>
          <w:szCs w:val="20"/>
          <w:lang w:val="en-GB"/>
        </w:rPr>
        <w:t>:</w:t>
      </w:r>
    </w:p>
    <w:p w:rsidR="003F7573" w:rsidRPr="003F7573" w:rsidRDefault="003F7573" w:rsidP="008C00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jc w:val="both"/>
        <w:rPr>
          <w:rFonts w:ascii="Century Gothic" w:hAnsi="Century Gothic"/>
          <w:sz w:val="20"/>
          <w:szCs w:val="20"/>
          <w:lang w:val="en-GB"/>
        </w:rPr>
      </w:pPr>
      <w:r w:rsidRPr="003F7573">
        <w:rPr>
          <w:rFonts w:ascii="Century Gothic" w:hAnsi="Century Gothic"/>
          <w:sz w:val="20"/>
          <w:szCs w:val="20"/>
          <w:lang w:val="en-GB"/>
        </w:rPr>
        <w:t>An accounting officer for a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3F7573">
        <w:rPr>
          <w:rFonts w:ascii="Century Gothic" w:hAnsi="Century Gothic"/>
          <w:sz w:val="20"/>
          <w:szCs w:val="20"/>
          <w:lang w:val="en-GB"/>
        </w:rPr>
        <w:t xml:space="preserve">department may utilise a </w:t>
      </w:r>
      <w:r w:rsidRPr="003F7573">
        <w:rPr>
          <w:rFonts w:ascii="Century Gothic" w:hAnsi="Century Gothic"/>
          <w:b/>
          <w:sz w:val="20"/>
          <w:szCs w:val="20"/>
          <w:lang w:val="en-GB"/>
        </w:rPr>
        <w:t>saving</w:t>
      </w:r>
      <w:r w:rsidRPr="003F7573">
        <w:rPr>
          <w:rFonts w:ascii="Century Gothic" w:hAnsi="Century Gothic"/>
          <w:sz w:val="20"/>
          <w:szCs w:val="20"/>
          <w:lang w:val="en-GB"/>
        </w:rPr>
        <w:t xml:space="preserve"> in the amount appropriated under a </w:t>
      </w:r>
      <w:r w:rsidRPr="003F7573">
        <w:rPr>
          <w:rFonts w:ascii="Century Gothic" w:hAnsi="Century Gothic"/>
          <w:b/>
          <w:sz w:val="20"/>
          <w:szCs w:val="20"/>
          <w:lang w:val="en-GB"/>
        </w:rPr>
        <w:t>main division</w:t>
      </w:r>
      <w:r w:rsidRPr="003F7573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(i.e. a programme) </w:t>
      </w:r>
      <w:r w:rsidRPr="003F7573">
        <w:rPr>
          <w:rFonts w:ascii="Century Gothic" w:hAnsi="Century Gothic"/>
          <w:sz w:val="20"/>
          <w:szCs w:val="20"/>
          <w:lang w:val="en-GB"/>
        </w:rPr>
        <w:t>within a vote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3F7573">
        <w:rPr>
          <w:rFonts w:ascii="Century Gothic" w:hAnsi="Century Gothic"/>
          <w:sz w:val="20"/>
          <w:szCs w:val="20"/>
          <w:lang w:val="en-GB"/>
        </w:rPr>
        <w:t xml:space="preserve">towards the defrayment of </w:t>
      </w:r>
      <w:r w:rsidRPr="003F7573">
        <w:rPr>
          <w:rFonts w:ascii="Century Gothic" w:hAnsi="Century Gothic"/>
          <w:b/>
          <w:sz w:val="20"/>
          <w:szCs w:val="20"/>
          <w:lang w:val="en-GB"/>
        </w:rPr>
        <w:t>excess expenditure</w:t>
      </w:r>
      <w:r w:rsidRPr="003F7573">
        <w:rPr>
          <w:rFonts w:ascii="Century Gothic" w:hAnsi="Century Gothic"/>
          <w:sz w:val="20"/>
          <w:szCs w:val="20"/>
          <w:lang w:val="en-GB"/>
        </w:rPr>
        <w:t xml:space="preserve"> under </w:t>
      </w:r>
      <w:r w:rsidRPr="008713B1">
        <w:rPr>
          <w:rFonts w:ascii="Century Gothic" w:hAnsi="Century Gothic"/>
          <w:b/>
          <w:sz w:val="20"/>
          <w:szCs w:val="20"/>
          <w:lang w:val="en-GB"/>
        </w:rPr>
        <w:t>another main division</w:t>
      </w:r>
      <w:r w:rsidRPr="003F7573">
        <w:rPr>
          <w:rFonts w:ascii="Century Gothic" w:hAnsi="Century Gothic"/>
          <w:sz w:val="20"/>
          <w:szCs w:val="20"/>
          <w:lang w:val="en-GB"/>
        </w:rPr>
        <w:t xml:space="preserve"> within the same vote,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3F7573">
        <w:rPr>
          <w:rFonts w:ascii="Century Gothic" w:hAnsi="Century Gothic"/>
          <w:sz w:val="20"/>
          <w:szCs w:val="20"/>
          <w:lang w:val="en-GB"/>
        </w:rPr>
        <w:t>unless the relevant treasury directs otherwise.</w:t>
      </w:r>
    </w:p>
    <w:p w:rsidR="008F44F1" w:rsidRPr="00450DBE" w:rsidRDefault="008F44F1" w:rsidP="008C009E">
      <w:pPr>
        <w:spacing w:after="120"/>
        <w:rPr>
          <w:rFonts w:ascii="Century Gothic" w:hAnsi="Century Gothic"/>
          <w:sz w:val="20"/>
          <w:szCs w:val="20"/>
          <w:lang w:val="en-GB"/>
        </w:rPr>
      </w:pPr>
      <w:r w:rsidRPr="00450DBE">
        <w:rPr>
          <w:rFonts w:ascii="Century Gothic" w:hAnsi="Century Gothic"/>
          <w:b/>
          <w:sz w:val="20"/>
          <w:szCs w:val="20"/>
          <w:lang w:val="en-GB"/>
        </w:rPr>
        <w:t>Background</w:t>
      </w:r>
      <w:r w:rsidRPr="00450DBE">
        <w:rPr>
          <w:rFonts w:ascii="Century Gothic" w:hAnsi="Century Gothic"/>
          <w:sz w:val="20"/>
          <w:szCs w:val="20"/>
          <w:lang w:val="en-GB"/>
        </w:rPr>
        <w:t>:</w:t>
      </w:r>
    </w:p>
    <w:p w:rsidR="008F44F1" w:rsidRPr="00450DBE" w:rsidRDefault="00450DBE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ZA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The </w:t>
      </w:r>
      <w:r w:rsidR="003F7573">
        <w:rPr>
          <w:rFonts w:ascii="Century Gothic" w:hAnsi="Century Gothic"/>
          <w:sz w:val="20"/>
          <w:szCs w:val="20"/>
          <w:lang w:val="en-GB"/>
        </w:rPr>
        <w:t xml:space="preserve">PFMA </w:t>
      </w:r>
      <w:r w:rsidR="008F44F1" w:rsidRPr="00450DBE">
        <w:rPr>
          <w:rFonts w:ascii="Century Gothic" w:hAnsi="Century Gothic"/>
          <w:sz w:val="20"/>
          <w:szCs w:val="20"/>
          <w:lang w:val="en-GB"/>
        </w:rPr>
        <w:t>place</w:t>
      </w:r>
      <w:r w:rsidR="00F82710">
        <w:rPr>
          <w:rFonts w:ascii="Century Gothic" w:hAnsi="Century Gothic"/>
          <w:sz w:val="20"/>
          <w:szCs w:val="20"/>
          <w:lang w:val="en-GB"/>
        </w:rPr>
        <w:t>s</w:t>
      </w:r>
      <w:r w:rsidR="008F44F1" w:rsidRPr="00450DBE">
        <w:rPr>
          <w:rFonts w:ascii="Century Gothic" w:hAnsi="Century Gothic"/>
          <w:sz w:val="20"/>
          <w:szCs w:val="20"/>
          <w:lang w:val="en-GB"/>
        </w:rPr>
        <w:t xml:space="preserve"> greater responsibility for planning on A</w:t>
      </w:r>
      <w:r>
        <w:rPr>
          <w:rFonts w:ascii="Century Gothic" w:hAnsi="Century Gothic"/>
          <w:sz w:val="20"/>
          <w:szCs w:val="20"/>
          <w:lang w:val="en-GB"/>
        </w:rPr>
        <w:t xml:space="preserve">ccounting </w:t>
      </w:r>
      <w:r w:rsidR="008F44F1" w:rsidRPr="00450DBE">
        <w:rPr>
          <w:rFonts w:ascii="Century Gothic" w:hAnsi="Century Gothic"/>
          <w:sz w:val="20"/>
          <w:szCs w:val="20"/>
          <w:lang w:val="en-GB"/>
        </w:rPr>
        <w:t>O</w:t>
      </w:r>
      <w:r>
        <w:rPr>
          <w:rFonts w:ascii="Century Gothic" w:hAnsi="Century Gothic"/>
          <w:sz w:val="20"/>
          <w:szCs w:val="20"/>
          <w:lang w:val="en-GB"/>
        </w:rPr>
        <w:t>fficer</w:t>
      </w:r>
      <w:r w:rsidR="008F44F1" w:rsidRPr="00450DBE">
        <w:rPr>
          <w:rFonts w:ascii="Century Gothic" w:hAnsi="Century Gothic"/>
          <w:sz w:val="20"/>
          <w:szCs w:val="20"/>
          <w:lang w:val="en-GB"/>
        </w:rPr>
        <w:t>s</w:t>
      </w:r>
      <w:r>
        <w:rPr>
          <w:rFonts w:ascii="Century Gothic" w:hAnsi="Century Gothic"/>
          <w:sz w:val="20"/>
          <w:szCs w:val="20"/>
          <w:lang w:val="en-GB"/>
        </w:rPr>
        <w:t xml:space="preserve"> (AOs)</w:t>
      </w:r>
      <w:r w:rsidR="008F44F1" w:rsidRPr="00450DBE">
        <w:rPr>
          <w:rFonts w:ascii="Century Gothic" w:hAnsi="Century Gothic"/>
          <w:sz w:val="20"/>
          <w:szCs w:val="20"/>
          <w:lang w:val="en-GB"/>
        </w:rPr>
        <w:t>.</w:t>
      </w:r>
    </w:p>
    <w:p w:rsidR="008F44F1" w:rsidRPr="00450DBE" w:rsidRDefault="00450DBE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ZA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During a financial year an </w:t>
      </w:r>
      <w:r w:rsidR="008F44F1" w:rsidRPr="00450DBE">
        <w:rPr>
          <w:rFonts w:ascii="Century Gothic" w:hAnsi="Century Gothic"/>
          <w:sz w:val="20"/>
          <w:szCs w:val="20"/>
          <w:lang w:val="en-GB"/>
        </w:rPr>
        <w:t>AO</w:t>
      </w:r>
      <w:r w:rsidR="00F82710">
        <w:rPr>
          <w:rFonts w:ascii="Century Gothic" w:hAnsi="Century Gothic"/>
          <w:sz w:val="20"/>
          <w:szCs w:val="20"/>
          <w:lang w:val="en-GB"/>
        </w:rPr>
        <w:t>, in terms of section 38 of the PFMA, i</w:t>
      </w:r>
      <w:r w:rsidR="008F44F1" w:rsidRPr="00450DBE">
        <w:rPr>
          <w:rFonts w:ascii="Century Gothic" w:hAnsi="Century Gothic"/>
          <w:sz w:val="20"/>
          <w:szCs w:val="20"/>
          <w:lang w:val="en-GB"/>
        </w:rPr>
        <w:t>s responsible for effective monitoring of expenditure and revenue collection and corrective action when departmental operations do not happen as planned.</w:t>
      </w:r>
    </w:p>
    <w:p w:rsidR="00F727EF" w:rsidRPr="00F83D60" w:rsidRDefault="00F727EF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ZA"/>
        </w:rPr>
      </w:pPr>
      <w:r>
        <w:rPr>
          <w:rFonts w:ascii="Century Gothic" w:hAnsi="Century Gothic"/>
          <w:sz w:val="20"/>
          <w:szCs w:val="20"/>
          <w:lang w:val="en-US"/>
        </w:rPr>
        <w:t>I</w:t>
      </w:r>
      <w:r w:rsidRPr="00F83D60">
        <w:rPr>
          <w:rFonts w:ascii="Century Gothic" w:hAnsi="Century Gothic"/>
          <w:sz w:val="20"/>
          <w:szCs w:val="20"/>
          <w:lang w:val="en-US"/>
        </w:rPr>
        <w:t xml:space="preserve">n terms of section 31(2)(e) of the PFMA, </w:t>
      </w:r>
      <w:r>
        <w:rPr>
          <w:rFonts w:ascii="Century Gothic" w:hAnsi="Century Gothic"/>
          <w:sz w:val="20"/>
          <w:szCs w:val="20"/>
          <w:lang w:val="en-US"/>
        </w:rPr>
        <w:t>an</w:t>
      </w:r>
      <w:r w:rsidRPr="00F83D60">
        <w:rPr>
          <w:rFonts w:ascii="Century Gothic" w:hAnsi="Century Gothic"/>
          <w:sz w:val="20"/>
          <w:szCs w:val="20"/>
          <w:lang w:val="en-US"/>
        </w:rPr>
        <w:t xml:space="preserve"> Adjustments Budget provide</w:t>
      </w:r>
      <w:r>
        <w:rPr>
          <w:rFonts w:ascii="Century Gothic" w:hAnsi="Century Gothic"/>
          <w:sz w:val="20"/>
          <w:szCs w:val="20"/>
          <w:lang w:val="en-US"/>
        </w:rPr>
        <w:t>s</w:t>
      </w:r>
      <w:r w:rsidRPr="00F83D60">
        <w:rPr>
          <w:rFonts w:ascii="Century Gothic" w:hAnsi="Century Gothic"/>
          <w:sz w:val="20"/>
          <w:szCs w:val="20"/>
          <w:lang w:val="en-US"/>
        </w:rPr>
        <w:t xml:space="preserve"> for </w:t>
      </w:r>
      <w:r>
        <w:rPr>
          <w:rFonts w:ascii="Century Gothic" w:hAnsi="Century Gothic"/>
          <w:sz w:val="20"/>
          <w:szCs w:val="20"/>
          <w:lang w:val="en-US"/>
        </w:rPr>
        <w:t>the</w:t>
      </w:r>
      <w:r w:rsidRPr="00F83D60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727EF">
        <w:rPr>
          <w:rFonts w:ascii="Century Gothic" w:hAnsi="Century Gothic"/>
          <w:b/>
          <w:sz w:val="20"/>
          <w:szCs w:val="20"/>
          <w:lang w:val="en-US"/>
        </w:rPr>
        <w:t>shifting of funds</w:t>
      </w:r>
      <w:r w:rsidRPr="00F83D60">
        <w:rPr>
          <w:rFonts w:ascii="Century Gothic" w:hAnsi="Century Gothic"/>
          <w:sz w:val="20"/>
          <w:szCs w:val="20"/>
          <w:lang w:val="en-US"/>
        </w:rPr>
        <w:t xml:space="preserve"> between and within votes, as long as it is approved by </w:t>
      </w:r>
      <w:r w:rsidRPr="00F83D60">
        <w:rPr>
          <w:rFonts w:ascii="Century Gothic" w:hAnsi="Century Gothic"/>
          <w:sz w:val="20"/>
          <w:szCs w:val="20"/>
          <w:u w:val="single"/>
          <w:lang w:val="en-US"/>
        </w:rPr>
        <w:t xml:space="preserve">the Provincial Parliament as </w:t>
      </w:r>
      <w:r>
        <w:rPr>
          <w:rFonts w:ascii="Century Gothic" w:hAnsi="Century Gothic"/>
          <w:sz w:val="20"/>
          <w:szCs w:val="20"/>
          <w:u w:val="single"/>
          <w:lang w:val="en-US"/>
        </w:rPr>
        <w:t xml:space="preserve">part of </w:t>
      </w:r>
      <w:r w:rsidRPr="00F83D60">
        <w:rPr>
          <w:rFonts w:ascii="Century Gothic" w:hAnsi="Century Gothic"/>
          <w:sz w:val="20"/>
          <w:szCs w:val="20"/>
          <w:u w:val="single"/>
          <w:lang w:val="en-US"/>
        </w:rPr>
        <w:t>an A</w:t>
      </w:r>
      <w:r>
        <w:rPr>
          <w:rFonts w:ascii="Century Gothic" w:hAnsi="Century Gothic"/>
          <w:sz w:val="20"/>
          <w:szCs w:val="20"/>
          <w:u w:val="single"/>
          <w:lang w:val="en-US"/>
        </w:rPr>
        <w:t>ppropriation</w:t>
      </w:r>
      <w:r w:rsidRPr="00F83D60">
        <w:rPr>
          <w:rFonts w:ascii="Century Gothic" w:hAnsi="Century Gothic"/>
          <w:sz w:val="20"/>
          <w:szCs w:val="20"/>
          <w:u w:val="single"/>
          <w:lang w:val="en-US"/>
        </w:rPr>
        <w:t xml:space="preserve"> Act</w:t>
      </w:r>
      <w:r w:rsidRPr="00F83D60">
        <w:rPr>
          <w:rFonts w:ascii="Century Gothic" w:hAnsi="Century Gothic"/>
          <w:sz w:val="20"/>
          <w:szCs w:val="20"/>
          <w:lang w:val="en-US"/>
        </w:rPr>
        <w:t xml:space="preserve">.  </w:t>
      </w:r>
      <w:r>
        <w:rPr>
          <w:rFonts w:ascii="Century Gothic" w:hAnsi="Century Gothic"/>
          <w:sz w:val="20"/>
          <w:szCs w:val="20"/>
          <w:lang w:val="en-US"/>
        </w:rPr>
        <w:t xml:space="preserve">Shifts approved by Parliament in an Appropriation Act is not </w:t>
      </w:r>
      <w:r w:rsidR="004637B7">
        <w:rPr>
          <w:rFonts w:ascii="Century Gothic" w:hAnsi="Century Gothic"/>
          <w:sz w:val="20"/>
          <w:szCs w:val="20"/>
          <w:lang w:val="en-US"/>
        </w:rPr>
        <w:t>defined</w:t>
      </w:r>
      <w:r>
        <w:rPr>
          <w:rFonts w:ascii="Century Gothic" w:hAnsi="Century Gothic"/>
          <w:sz w:val="20"/>
          <w:szCs w:val="20"/>
          <w:lang w:val="en-US"/>
        </w:rPr>
        <w:t xml:space="preserve"> as virement</w:t>
      </w:r>
      <w:r w:rsidRPr="00F83D60">
        <w:rPr>
          <w:rFonts w:ascii="Century Gothic" w:hAnsi="Century Gothic"/>
          <w:sz w:val="20"/>
          <w:szCs w:val="20"/>
          <w:lang w:val="en-US"/>
        </w:rPr>
        <w:t>.</w:t>
      </w:r>
    </w:p>
    <w:p w:rsidR="00F83D60" w:rsidRPr="00F727EF" w:rsidRDefault="00F727EF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US"/>
        </w:rPr>
      </w:pPr>
      <w:r w:rsidRPr="00F727EF">
        <w:rPr>
          <w:rFonts w:ascii="Century Gothic" w:hAnsi="Century Gothic"/>
          <w:sz w:val="20"/>
          <w:szCs w:val="20"/>
          <w:lang w:val="en-US"/>
        </w:rPr>
        <w:t xml:space="preserve">However, apart from the aforementioned adjustments, </w:t>
      </w:r>
      <w:r w:rsidR="00F83D60" w:rsidRPr="00F727EF">
        <w:rPr>
          <w:rFonts w:ascii="Century Gothic" w:hAnsi="Century Gothic"/>
          <w:sz w:val="20"/>
          <w:szCs w:val="20"/>
          <w:lang w:val="en-US"/>
        </w:rPr>
        <w:t>Section 43(1) of the PFMA allows for mechanism of corrective action</w:t>
      </w:r>
      <w:r w:rsidRPr="00F727EF">
        <w:rPr>
          <w:rFonts w:ascii="Century Gothic" w:hAnsi="Century Gothic"/>
          <w:sz w:val="20"/>
          <w:szCs w:val="20"/>
          <w:lang w:val="en-US"/>
        </w:rPr>
        <w:t xml:space="preserve"> outside of Appropriation Acts</w:t>
      </w:r>
      <w:r w:rsidR="00F83D60" w:rsidRPr="00F727EF">
        <w:rPr>
          <w:rFonts w:ascii="Century Gothic" w:hAnsi="Century Gothic"/>
          <w:sz w:val="20"/>
          <w:szCs w:val="20"/>
          <w:lang w:val="en-US"/>
        </w:rPr>
        <w:t xml:space="preserve"> -</w:t>
      </w:r>
      <w:r w:rsidRPr="00F727EF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83D60" w:rsidRPr="00F727EF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727EF">
        <w:rPr>
          <w:rFonts w:ascii="Century Gothic" w:hAnsi="Century Gothic"/>
          <w:sz w:val="20"/>
          <w:szCs w:val="20"/>
          <w:lang w:val="en-US"/>
        </w:rPr>
        <w:t xml:space="preserve">An accounting officer for a department may utilise a </w:t>
      </w:r>
      <w:r w:rsidRPr="00F727EF">
        <w:rPr>
          <w:rFonts w:ascii="Century Gothic" w:hAnsi="Century Gothic"/>
          <w:b/>
          <w:sz w:val="20"/>
          <w:szCs w:val="20"/>
          <w:lang w:val="en-US"/>
        </w:rPr>
        <w:t>saving</w:t>
      </w:r>
      <w:r w:rsidRPr="00F727EF">
        <w:rPr>
          <w:rFonts w:ascii="Century Gothic" w:hAnsi="Century Gothic"/>
          <w:sz w:val="20"/>
          <w:szCs w:val="20"/>
          <w:lang w:val="en-US"/>
        </w:rPr>
        <w:t xml:space="preserve"> in the amount appropriated under a </w:t>
      </w:r>
      <w:r w:rsidRPr="00F727EF">
        <w:rPr>
          <w:rFonts w:ascii="Century Gothic" w:hAnsi="Century Gothic"/>
          <w:b/>
          <w:sz w:val="20"/>
          <w:szCs w:val="20"/>
          <w:lang w:val="en-US"/>
        </w:rPr>
        <w:t>main division</w:t>
      </w:r>
      <w:r w:rsidRPr="00F727EF">
        <w:rPr>
          <w:rFonts w:ascii="Century Gothic" w:hAnsi="Century Gothic"/>
          <w:sz w:val="20"/>
          <w:szCs w:val="20"/>
          <w:lang w:val="en-US"/>
        </w:rPr>
        <w:t xml:space="preserve"> (i.e. a programme) within a vote towards the defrayment of </w:t>
      </w:r>
      <w:r w:rsidRPr="00F727EF">
        <w:rPr>
          <w:rFonts w:ascii="Century Gothic" w:hAnsi="Century Gothic"/>
          <w:b/>
          <w:sz w:val="20"/>
          <w:szCs w:val="20"/>
          <w:lang w:val="en-US"/>
        </w:rPr>
        <w:t>excess expenditure</w:t>
      </w:r>
      <w:r w:rsidRPr="00F727EF">
        <w:rPr>
          <w:rFonts w:ascii="Century Gothic" w:hAnsi="Century Gothic"/>
          <w:sz w:val="20"/>
          <w:szCs w:val="20"/>
          <w:lang w:val="en-US"/>
        </w:rPr>
        <w:t xml:space="preserve"> under another main division within the same vote, unless the relevant treasury directs otherwise.</w:t>
      </w:r>
    </w:p>
    <w:p w:rsidR="008F44F1" w:rsidRPr="00F727EF" w:rsidRDefault="008F44F1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ZA"/>
        </w:rPr>
      </w:pPr>
      <w:r w:rsidRPr="00450DBE">
        <w:rPr>
          <w:rFonts w:ascii="Century Gothic" w:hAnsi="Century Gothic"/>
          <w:sz w:val="20"/>
          <w:szCs w:val="20"/>
          <w:lang w:val="en-GB"/>
        </w:rPr>
        <w:t>Weak or no planning is discouraged by limiting the amount to</w:t>
      </w:r>
      <w:r w:rsidR="008713B1">
        <w:rPr>
          <w:rFonts w:ascii="Century Gothic" w:hAnsi="Century Gothic"/>
          <w:sz w:val="20"/>
          <w:szCs w:val="20"/>
          <w:lang w:val="en-GB"/>
        </w:rPr>
        <w:t xml:space="preserve"> be shifted to 8</w:t>
      </w:r>
      <w:r w:rsidRPr="00450DBE">
        <w:rPr>
          <w:rFonts w:ascii="Century Gothic" w:hAnsi="Century Gothic"/>
          <w:sz w:val="20"/>
          <w:szCs w:val="20"/>
          <w:lang w:val="en-GB"/>
        </w:rPr>
        <w:t xml:space="preserve"> per cent</w:t>
      </w:r>
      <w:r w:rsidR="00F82710">
        <w:rPr>
          <w:rFonts w:ascii="Century Gothic" w:hAnsi="Century Gothic"/>
          <w:sz w:val="20"/>
          <w:szCs w:val="20"/>
          <w:lang w:val="en-GB"/>
        </w:rPr>
        <w:t xml:space="preserve"> of the amount appropriated under that main division</w:t>
      </w:r>
      <w:r w:rsidRPr="00450DBE">
        <w:rPr>
          <w:rFonts w:ascii="Century Gothic" w:hAnsi="Century Gothic"/>
          <w:sz w:val="20"/>
          <w:szCs w:val="20"/>
          <w:lang w:val="en-GB"/>
        </w:rPr>
        <w:t>.</w:t>
      </w:r>
      <w:r w:rsidRPr="00450DBE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F727EF" w:rsidRPr="00F727EF" w:rsidRDefault="00F727EF" w:rsidP="008C009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GB"/>
        </w:rPr>
      </w:pPr>
      <w:r w:rsidRPr="00F727EF">
        <w:rPr>
          <w:rFonts w:ascii="Century Gothic" w:hAnsi="Century Gothic"/>
          <w:sz w:val="20"/>
          <w:szCs w:val="20"/>
          <w:lang w:val="en-GB"/>
        </w:rPr>
        <w:t xml:space="preserve">The shifting of funds by </w:t>
      </w:r>
      <w:r>
        <w:rPr>
          <w:rFonts w:ascii="Century Gothic" w:hAnsi="Century Gothic"/>
          <w:sz w:val="20"/>
          <w:szCs w:val="20"/>
          <w:lang w:val="en-GB"/>
        </w:rPr>
        <w:t>an AO</w:t>
      </w:r>
      <w:r w:rsidRPr="00F727EF">
        <w:rPr>
          <w:rFonts w:ascii="Century Gothic" w:hAnsi="Century Gothic"/>
          <w:sz w:val="20"/>
          <w:szCs w:val="20"/>
          <w:lang w:val="en-GB"/>
        </w:rPr>
        <w:t xml:space="preserve"> after the Adjustments Budget </w:t>
      </w:r>
      <w:r>
        <w:rPr>
          <w:rFonts w:ascii="Century Gothic" w:hAnsi="Century Gothic"/>
          <w:sz w:val="20"/>
          <w:szCs w:val="20"/>
          <w:lang w:val="en-GB"/>
        </w:rPr>
        <w:t xml:space="preserve">(i.e. virement) </w:t>
      </w:r>
      <w:r w:rsidRPr="00F727EF">
        <w:rPr>
          <w:rFonts w:ascii="Century Gothic" w:hAnsi="Century Gothic"/>
          <w:sz w:val="20"/>
          <w:szCs w:val="20"/>
          <w:lang w:val="en-GB"/>
        </w:rPr>
        <w:t xml:space="preserve">must be reflected in the </w:t>
      </w:r>
      <w:r w:rsidR="008C009E">
        <w:rPr>
          <w:rFonts w:ascii="Century Gothic" w:hAnsi="Century Gothic"/>
          <w:sz w:val="20"/>
          <w:szCs w:val="20"/>
          <w:lang w:val="en-GB"/>
        </w:rPr>
        <w:t>A</w:t>
      </w:r>
      <w:r w:rsidRPr="00F727EF">
        <w:rPr>
          <w:rFonts w:ascii="Century Gothic" w:hAnsi="Century Gothic"/>
          <w:sz w:val="20"/>
          <w:szCs w:val="20"/>
          <w:lang w:val="en-GB"/>
        </w:rPr>
        <w:t xml:space="preserve">nnual </w:t>
      </w:r>
      <w:r w:rsidR="008C009E">
        <w:rPr>
          <w:rFonts w:ascii="Century Gothic" w:hAnsi="Century Gothic"/>
          <w:sz w:val="20"/>
          <w:szCs w:val="20"/>
          <w:lang w:val="en-GB"/>
        </w:rPr>
        <w:t>F</w:t>
      </w:r>
      <w:r w:rsidRPr="00F727EF">
        <w:rPr>
          <w:rFonts w:ascii="Century Gothic" w:hAnsi="Century Gothic"/>
          <w:sz w:val="20"/>
          <w:szCs w:val="20"/>
          <w:lang w:val="en-GB"/>
        </w:rPr>
        <w:t xml:space="preserve">inancial </w:t>
      </w:r>
      <w:r w:rsidR="008C009E">
        <w:rPr>
          <w:rFonts w:ascii="Century Gothic" w:hAnsi="Century Gothic"/>
          <w:sz w:val="20"/>
          <w:szCs w:val="20"/>
          <w:lang w:val="en-GB"/>
        </w:rPr>
        <w:t>S</w:t>
      </w:r>
      <w:r w:rsidRPr="00F727EF">
        <w:rPr>
          <w:rFonts w:ascii="Century Gothic" w:hAnsi="Century Gothic"/>
          <w:sz w:val="20"/>
          <w:szCs w:val="20"/>
          <w:lang w:val="en-GB"/>
        </w:rPr>
        <w:t>tatements, which must be tabled in the Provincial Parliament for discussion.</w:t>
      </w:r>
    </w:p>
    <w:p w:rsidR="00F727EF" w:rsidRPr="00450DBE" w:rsidRDefault="008713B1" w:rsidP="008C009E">
      <w:pPr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Implication</w:t>
      </w:r>
      <w:r w:rsidR="00F727EF" w:rsidRPr="00450DBE">
        <w:rPr>
          <w:rFonts w:ascii="Century Gothic" w:hAnsi="Century Gothic"/>
          <w:b/>
          <w:sz w:val="20"/>
          <w:szCs w:val="20"/>
        </w:rPr>
        <w:t>:</w:t>
      </w:r>
    </w:p>
    <w:p w:rsidR="006E1979" w:rsidRPr="00F82710" w:rsidRDefault="006E1979" w:rsidP="006E197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  <w:lang w:val="en-GB"/>
        </w:rPr>
      </w:pPr>
      <w:r w:rsidRPr="006E1979">
        <w:rPr>
          <w:rFonts w:ascii="Century Gothic" w:hAnsi="Century Gothic"/>
          <w:b/>
          <w:sz w:val="20"/>
          <w:szCs w:val="20"/>
          <w:lang w:val="en-GB"/>
        </w:rPr>
        <w:t xml:space="preserve">Shifts </w:t>
      </w:r>
      <w:r>
        <w:rPr>
          <w:rFonts w:ascii="Century Gothic" w:hAnsi="Century Gothic"/>
          <w:b/>
          <w:sz w:val="20"/>
          <w:szCs w:val="20"/>
          <w:lang w:val="en-GB"/>
        </w:rPr>
        <w:t>between</w:t>
      </w:r>
      <w:r w:rsidRPr="006E1979">
        <w:rPr>
          <w:rFonts w:ascii="Century Gothic" w:hAnsi="Century Gothic"/>
          <w:b/>
          <w:sz w:val="20"/>
          <w:szCs w:val="20"/>
          <w:lang w:val="en-GB"/>
        </w:rPr>
        <w:t xml:space="preserve"> programmes:</w:t>
      </w:r>
      <w:r w:rsidRPr="006E1979">
        <w:rPr>
          <w:rFonts w:ascii="Century Gothic" w:hAnsi="Century Gothic"/>
          <w:sz w:val="20"/>
          <w:szCs w:val="20"/>
          <w:lang w:val="en-GB"/>
        </w:rPr>
        <w:t xml:space="preserve">  </w:t>
      </w:r>
      <w:r w:rsidRPr="00450DBE">
        <w:rPr>
          <w:rFonts w:ascii="Century Gothic" w:hAnsi="Century Gothic"/>
          <w:sz w:val="20"/>
          <w:szCs w:val="20"/>
          <w:lang w:val="en-GB"/>
        </w:rPr>
        <w:t xml:space="preserve">AOs can exercise </w:t>
      </w:r>
      <w:r>
        <w:rPr>
          <w:rFonts w:ascii="Century Gothic" w:hAnsi="Century Gothic"/>
          <w:sz w:val="20"/>
          <w:szCs w:val="20"/>
          <w:lang w:val="en-GB"/>
        </w:rPr>
        <w:t xml:space="preserve">the </w:t>
      </w:r>
      <w:r w:rsidRPr="00450DBE">
        <w:rPr>
          <w:rFonts w:ascii="Century Gothic" w:hAnsi="Century Gothic"/>
          <w:sz w:val="20"/>
          <w:szCs w:val="20"/>
          <w:lang w:val="en-GB"/>
        </w:rPr>
        <w:t xml:space="preserve">power </w:t>
      </w:r>
      <w:r>
        <w:rPr>
          <w:rFonts w:ascii="Century Gothic" w:hAnsi="Century Gothic"/>
          <w:sz w:val="20"/>
          <w:szCs w:val="20"/>
          <w:lang w:val="en-GB"/>
        </w:rPr>
        <w:t>to do virements</w:t>
      </w:r>
      <w:r w:rsidRPr="00450DBE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ito section 43(1) of the PFMA </w:t>
      </w:r>
      <w:r w:rsidRPr="00450DBE">
        <w:rPr>
          <w:rFonts w:ascii="Century Gothic" w:hAnsi="Century Gothic"/>
          <w:sz w:val="20"/>
          <w:szCs w:val="20"/>
          <w:lang w:val="en-GB"/>
        </w:rPr>
        <w:t xml:space="preserve">independently.  </w:t>
      </w:r>
      <w:r w:rsidRPr="00F82710">
        <w:rPr>
          <w:rFonts w:ascii="Century Gothic" w:hAnsi="Century Gothic"/>
          <w:sz w:val="20"/>
          <w:szCs w:val="20"/>
          <w:lang w:val="en-GB"/>
        </w:rPr>
        <w:t xml:space="preserve">Treasury approval </w:t>
      </w:r>
      <w:r>
        <w:rPr>
          <w:rFonts w:ascii="Century Gothic" w:hAnsi="Century Gothic"/>
          <w:sz w:val="20"/>
          <w:szCs w:val="20"/>
          <w:lang w:val="en-GB"/>
        </w:rPr>
        <w:t xml:space="preserve">is </w:t>
      </w:r>
      <w:r w:rsidRPr="00F82710">
        <w:rPr>
          <w:rFonts w:ascii="Century Gothic" w:hAnsi="Century Gothic"/>
          <w:sz w:val="20"/>
          <w:szCs w:val="20"/>
          <w:lang w:val="en-GB"/>
        </w:rPr>
        <w:t>only needed in certain cases when virement is applied between programmes</w:t>
      </w:r>
      <w:r>
        <w:rPr>
          <w:rFonts w:ascii="Century Gothic" w:hAnsi="Century Gothic"/>
          <w:sz w:val="20"/>
          <w:szCs w:val="20"/>
          <w:lang w:val="en-GB"/>
        </w:rPr>
        <w:t xml:space="preserve"> (see section 43(4) of PFMA, as well as Treasury Regulation 6.3)</w:t>
      </w:r>
      <w:r w:rsidRPr="00F82710">
        <w:rPr>
          <w:rFonts w:ascii="Century Gothic" w:hAnsi="Century Gothic"/>
          <w:sz w:val="20"/>
          <w:szCs w:val="20"/>
          <w:lang w:val="en-GB"/>
        </w:rPr>
        <w:t>.</w:t>
      </w:r>
    </w:p>
    <w:p w:rsidR="00450DBE" w:rsidRPr="008C009E" w:rsidRDefault="003F7573" w:rsidP="00E57EEA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Century Gothic" w:hAnsi="Century Gothic"/>
          <w:sz w:val="20"/>
          <w:szCs w:val="20"/>
        </w:rPr>
      </w:pPr>
      <w:r w:rsidRPr="008C009E">
        <w:rPr>
          <w:rFonts w:ascii="Century Gothic" w:hAnsi="Century Gothic"/>
          <w:b/>
          <w:sz w:val="20"/>
          <w:szCs w:val="20"/>
          <w:lang w:val="en-GB"/>
        </w:rPr>
        <w:t>Shifts within programmes:</w:t>
      </w:r>
      <w:r w:rsidRPr="008C009E">
        <w:rPr>
          <w:rFonts w:ascii="Century Gothic" w:hAnsi="Century Gothic"/>
          <w:sz w:val="20"/>
          <w:szCs w:val="20"/>
          <w:lang w:val="en-GB"/>
        </w:rPr>
        <w:t xml:space="preserve">  Virement d</w:t>
      </w:r>
      <w:r w:rsidR="000036C7" w:rsidRPr="008C009E">
        <w:rPr>
          <w:rFonts w:ascii="Century Gothic" w:hAnsi="Century Gothic"/>
          <w:sz w:val="20"/>
          <w:szCs w:val="20"/>
          <w:lang w:val="en-GB"/>
        </w:rPr>
        <w:t xml:space="preserve">oes not limit the utilisation of savings within </w:t>
      </w:r>
      <w:r w:rsidR="006E1979" w:rsidRPr="00F82710">
        <w:rPr>
          <w:rFonts w:ascii="Century Gothic" w:hAnsi="Century Gothic"/>
          <w:sz w:val="20"/>
          <w:szCs w:val="20"/>
          <w:lang w:val="en-GB"/>
        </w:rPr>
        <w:t>a main division of a vote (e.g. between sub-programmes or economic classifications in same programme)</w:t>
      </w:r>
      <w:r w:rsidR="006E1979">
        <w:rPr>
          <w:rFonts w:ascii="Century Gothic" w:hAnsi="Century Gothic"/>
          <w:sz w:val="20"/>
          <w:szCs w:val="20"/>
          <w:lang w:val="en-GB"/>
        </w:rPr>
        <w:t>.</w:t>
      </w:r>
      <w:r w:rsidR="000036C7" w:rsidRPr="008C009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E197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036C7" w:rsidRPr="008C009E">
        <w:rPr>
          <w:rFonts w:ascii="Century Gothic" w:hAnsi="Century Gothic"/>
          <w:sz w:val="20"/>
          <w:szCs w:val="20"/>
          <w:lang w:val="en-GB"/>
        </w:rPr>
        <w:t>AOs can thus shift funds between sub-programmes and economic classifications within a programme.</w:t>
      </w:r>
      <w:r w:rsidR="008713B1">
        <w:rPr>
          <w:rFonts w:ascii="Century Gothic" w:hAnsi="Century Gothic"/>
          <w:sz w:val="20"/>
          <w:szCs w:val="20"/>
          <w:lang w:val="en-GB"/>
        </w:rPr>
        <w:t xml:space="preserve">  </w:t>
      </w:r>
    </w:p>
    <w:sectPr w:rsidR="00450DBE" w:rsidRPr="008C0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6AC"/>
    <w:multiLevelType w:val="hybridMultilevel"/>
    <w:tmpl w:val="82627D1E"/>
    <w:lvl w:ilvl="0" w:tplc="75444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CB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6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8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C7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E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25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C5E12"/>
    <w:multiLevelType w:val="hybridMultilevel"/>
    <w:tmpl w:val="4F749D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14CB"/>
    <w:multiLevelType w:val="hybridMultilevel"/>
    <w:tmpl w:val="CEA8A380"/>
    <w:lvl w:ilvl="0" w:tplc="CF66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4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6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82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C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8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E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E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601095"/>
    <w:multiLevelType w:val="hybridMultilevel"/>
    <w:tmpl w:val="D3AC2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3D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36AEE4">
      <w:start w:val="1"/>
      <w:numFmt w:val="decimal"/>
      <w:lvlText w:val="20.%3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F1"/>
    <w:rsid w:val="000036C7"/>
    <w:rsid w:val="0017300E"/>
    <w:rsid w:val="003F7573"/>
    <w:rsid w:val="00450DBE"/>
    <w:rsid w:val="004637B7"/>
    <w:rsid w:val="006E1979"/>
    <w:rsid w:val="007222D1"/>
    <w:rsid w:val="008713B1"/>
    <w:rsid w:val="008C009E"/>
    <w:rsid w:val="008F44F1"/>
    <w:rsid w:val="00CF6A9E"/>
    <w:rsid w:val="00F727EF"/>
    <w:rsid w:val="00F82710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6D311-6D34-456A-8965-91F70C4A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45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09E"/>
    <w:rPr>
      <w:noProof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Viljoen Bester</dc:creator>
  <cp:keywords/>
  <dc:description/>
  <cp:lastModifiedBy>Varina Coetzee</cp:lastModifiedBy>
  <cp:revision>2</cp:revision>
  <dcterms:created xsi:type="dcterms:W3CDTF">2020-07-29T09:27:00Z</dcterms:created>
  <dcterms:modified xsi:type="dcterms:W3CDTF">2020-07-29T09:27:00Z</dcterms:modified>
</cp:coreProperties>
</file>