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14" w:rsidRPr="001C6314" w:rsidRDefault="001C6314" w:rsidP="001C6314">
      <w:pPr>
        <w:rPr>
          <w:rFonts w:cs="Arial"/>
        </w:rPr>
      </w:pPr>
      <w:bookmarkStart w:id="0" w:name="_GoBack"/>
      <w:bookmarkEnd w:id="0"/>
    </w:p>
    <w:p w:rsidR="001C6314" w:rsidRPr="001C6314" w:rsidRDefault="00C155B8" w:rsidP="001C6314">
      <w:pPr>
        <w:rPr>
          <w:rFonts w:cs="Arial"/>
        </w:rPr>
      </w:pPr>
      <w:r>
        <w:rPr>
          <w:rFonts w:cs="Arial"/>
        </w:rPr>
        <w:t>1</w:t>
      </w:r>
      <w:r w:rsidR="00895FB3">
        <w:rPr>
          <w:rFonts w:cs="Arial"/>
        </w:rPr>
        <w:t>4</w:t>
      </w:r>
      <w:r w:rsidR="001C6314" w:rsidRPr="001C6314">
        <w:rPr>
          <w:rFonts w:cs="Arial"/>
        </w:rPr>
        <w:t xml:space="preserve"> </w:t>
      </w:r>
      <w:r>
        <w:rPr>
          <w:rFonts w:cs="Arial"/>
        </w:rPr>
        <w:t>July</w:t>
      </w:r>
      <w:r w:rsidR="001C6314" w:rsidRPr="001C6314">
        <w:rPr>
          <w:rFonts w:cs="Arial"/>
        </w:rPr>
        <w:t xml:space="preserve"> 2020  </w:t>
      </w:r>
    </w:p>
    <w:p w:rsidR="001C6314" w:rsidRPr="001C6314" w:rsidRDefault="001C6314" w:rsidP="001C6314">
      <w:pPr>
        <w:pStyle w:val="ResearchTitle"/>
        <w:rPr>
          <w:rFonts w:cs="Arial"/>
          <w:sz w:val="22"/>
        </w:rPr>
      </w:pPr>
    </w:p>
    <w:p w:rsidR="00374D7D" w:rsidRPr="00374D7D" w:rsidRDefault="00374D7D" w:rsidP="00374D7D">
      <w:pPr>
        <w:pStyle w:val="Title"/>
        <w:jc w:val="center"/>
        <w:rPr>
          <w:rFonts w:cs="Arial"/>
          <w:sz w:val="24"/>
          <w:szCs w:val="24"/>
        </w:rPr>
      </w:pPr>
      <w:r w:rsidRPr="00374D7D">
        <w:rPr>
          <w:rFonts w:cs="Arial"/>
          <w:sz w:val="24"/>
          <w:szCs w:val="24"/>
        </w:rPr>
        <w:t xml:space="preserve"> Vote 36 – </w:t>
      </w:r>
      <w:r w:rsidR="000130BD">
        <w:rPr>
          <w:rFonts w:cs="Arial"/>
          <w:sz w:val="24"/>
          <w:szCs w:val="24"/>
        </w:rPr>
        <w:t xml:space="preserve">SUMMARY AND ANALYSIS OF THE </w:t>
      </w:r>
      <w:r w:rsidRPr="00374D7D">
        <w:rPr>
          <w:rFonts w:cs="Arial"/>
          <w:sz w:val="24"/>
          <w:szCs w:val="24"/>
        </w:rPr>
        <w:t>SUPPLEMENTARY BUDGET OF THE DEPARTMENT OF SMALL BUSNESS DEVELOPMENT FOR THE 2020/21 FINANCIAL YEAR</w:t>
      </w:r>
    </w:p>
    <w:p w:rsidR="001C6314" w:rsidRPr="001C6314" w:rsidRDefault="001C6314" w:rsidP="001C6314">
      <w:pPr>
        <w:rPr>
          <w:rFonts w:cs="Arial"/>
        </w:rPr>
      </w:pPr>
    </w:p>
    <w:p w:rsidR="001C6314" w:rsidRPr="001C6314" w:rsidRDefault="001C6314" w:rsidP="001C6314">
      <w:pPr>
        <w:pStyle w:val="ResearchTitle"/>
        <w:rPr>
          <w:rFonts w:cs="Arial"/>
          <w:sz w:val="22"/>
        </w:rPr>
      </w:pP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51"/>
      </w:tblGrid>
      <w:tr w:rsidR="001C6314" w:rsidRPr="001C6314" w:rsidTr="00AB7B90">
        <w:tc>
          <w:tcPr>
            <w:tcW w:w="9351" w:type="dxa"/>
          </w:tcPr>
          <w:p w:rsidR="001C6314" w:rsidRPr="001C6314" w:rsidRDefault="001C6314" w:rsidP="001C6314">
            <w:pPr>
              <w:pStyle w:val="ReseachMainHeading"/>
              <w:rPr>
                <w:rFonts w:cs="Arial"/>
                <w:sz w:val="22"/>
              </w:rPr>
            </w:pPr>
          </w:p>
          <w:sdt>
            <w:sdtPr>
              <w:rPr>
                <w:rFonts w:cstheme="minorBidi"/>
                <w:noProof w:val="0"/>
                <w:color w:val="auto"/>
                <w:sz w:val="24"/>
              </w:rPr>
              <w:id w:val="-1945920670"/>
              <w:docPartObj>
                <w:docPartGallery w:val="Table of Contents"/>
                <w:docPartUnique/>
              </w:docPartObj>
            </w:sdtPr>
            <w:sdtEndPr>
              <w:rPr>
                <w:bCs/>
                <w:color w:val="538135" w:themeColor="accent6" w:themeShade="BF"/>
              </w:rPr>
            </w:sdtEndPr>
            <w:sdtContent>
              <w:p w:rsidR="001C6314" w:rsidRPr="001C6314" w:rsidRDefault="001C6314" w:rsidP="001C6314">
                <w:pPr>
                  <w:pStyle w:val="TOC1"/>
                </w:pPr>
                <w:r w:rsidRPr="001C6314">
                  <w:t>Table of Contents</w:t>
                </w:r>
              </w:p>
              <w:p w:rsidR="00311235" w:rsidRDefault="001C6314">
                <w:pPr>
                  <w:pStyle w:val="TOC1"/>
                  <w:rPr>
                    <w:rFonts w:asciiTheme="minorHAnsi" w:eastAsiaTheme="minorEastAsia" w:hAnsiTheme="minorHAnsi" w:cstheme="minorBidi"/>
                    <w:b w:val="0"/>
                    <w:caps w:val="0"/>
                    <w:color w:val="auto"/>
                    <w:lang w:eastAsia="en-ZA"/>
                  </w:rPr>
                </w:pPr>
                <w:r w:rsidRPr="001C6314">
                  <w:fldChar w:fldCharType="begin"/>
                </w:r>
                <w:r w:rsidRPr="001C6314">
                  <w:instrText xml:space="preserve"> TOC \o "1-3" \h \z \u </w:instrText>
                </w:r>
                <w:r w:rsidRPr="001C6314">
                  <w:fldChar w:fldCharType="separate"/>
                </w:r>
                <w:hyperlink w:anchor="_Toc45609612" w:history="1">
                  <w:r w:rsidR="00311235" w:rsidRPr="00F903D8">
                    <w:rPr>
                      <w:rStyle w:val="Hyperlink"/>
                    </w:rPr>
                    <w:t>1.</w:t>
                  </w:r>
                  <w:r w:rsidR="00311235">
                    <w:rPr>
                      <w:rFonts w:asciiTheme="minorHAnsi" w:eastAsiaTheme="minorEastAsia" w:hAnsiTheme="minorHAnsi" w:cstheme="minorBidi"/>
                      <w:b w:val="0"/>
                      <w:caps w:val="0"/>
                      <w:color w:val="auto"/>
                      <w:lang w:eastAsia="en-ZA"/>
                    </w:rPr>
                    <w:tab/>
                  </w:r>
                  <w:r w:rsidR="00311235" w:rsidRPr="00F903D8">
                    <w:rPr>
                      <w:rStyle w:val="Hyperlink"/>
                    </w:rPr>
                    <w:t>Introduction</w:t>
                  </w:r>
                  <w:r w:rsidR="00311235">
                    <w:rPr>
                      <w:webHidden/>
                    </w:rPr>
                    <w:tab/>
                  </w:r>
                  <w:r w:rsidR="00311235">
                    <w:rPr>
                      <w:webHidden/>
                    </w:rPr>
                    <w:fldChar w:fldCharType="begin"/>
                  </w:r>
                  <w:r w:rsidR="00311235">
                    <w:rPr>
                      <w:webHidden/>
                    </w:rPr>
                    <w:instrText xml:space="preserve"> PAGEREF _Toc45609612 \h </w:instrText>
                  </w:r>
                  <w:r w:rsidR="00311235">
                    <w:rPr>
                      <w:webHidden/>
                    </w:rPr>
                  </w:r>
                  <w:r w:rsidR="00311235">
                    <w:rPr>
                      <w:webHidden/>
                    </w:rPr>
                    <w:fldChar w:fldCharType="separate"/>
                  </w:r>
                  <w:r w:rsidR="00311235">
                    <w:rPr>
                      <w:webHidden/>
                    </w:rPr>
                    <w:t>1</w:t>
                  </w:r>
                  <w:r w:rsidR="00311235">
                    <w:rPr>
                      <w:webHidden/>
                    </w:rPr>
                    <w:fldChar w:fldCharType="end"/>
                  </w:r>
                </w:hyperlink>
              </w:p>
              <w:p w:rsidR="00311235" w:rsidRDefault="0007271F">
                <w:pPr>
                  <w:pStyle w:val="TOC1"/>
                  <w:rPr>
                    <w:rFonts w:asciiTheme="minorHAnsi" w:eastAsiaTheme="minorEastAsia" w:hAnsiTheme="minorHAnsi" w:cstheme="minorBidi"/>
                    <w:b w:val="0"/>
                    <w:caps w:val="0"/>
                    <w:color w:val="auto"/>
                    <w:lang w:eastAsia="en-ZA"/>
                  </w:rPr>
                </w:pPr>
                <w:hyperlink w:anchor="_Toc45609613" w:history="1">
                  <w:r w:rsidR="00311235" w:rsidRPr="00F903D8">
                    <w:rPr>
                      <w:rStyle w:val="Hyperlink"/>
                      <w:rFonts w:eastAsia="Calibri"/>
                      <w:lang w:eastAsia="en-GB"/>
                    </w:rPr>
                    <w:t>2.</w:t>
                  </w:r>
                  <w:r w:rsidR="00311235">
                    <w:rPr>
                      <w:rFonts w:asciiTheme="minorHAnsi" w:eastAsiaTheme="minorEastAsia" w:hAnsiTheme="minorHAnsi" w:cstheme="minorBidi"/>
                      <w:b w:val="0"/>
                      <w:caps w:val="0"/>
                      <w:color w:val="auto"/>
                      <w:lang w:eastAsia="en-ZA"/>
                    </w:rPr>
                    <w:tab/>
                  </w:r>
                  <w:r w:rsidR="00311235" w:rsidRPr="00F903D8">
                    <w:rPr>
                      <w:rStyle w:val="Hyperlink"/>
                      <w:rFonts w:eastAsia="Calibri"/>
                      <w:lang w:eastAsia="en-GB"/>
                    </w:rPr>
                    <w:t>MAIN BUDGET APPROPRIATION FOR 2020/21 – PRE-COVID</w:t>
                  </w:r>
                  <w:r w:rsidR="00311235">
                    <w:rPr>
                      <w:webHidden/>
                    </w:rPr>
                    <w:tab/>
                  </w:r>
                  <w:r w:rsidR="00311235">
                    <w:rPr>
                      <w:webHidden/>
                    </w:rPr>
                    <w:fldChar w:fldCharType="begin"/>
                  </w:r>
                  <w:r w:rsidR="00311235">
                    <w:rPr>
                      <w:webHidden/>
                    </w:rPr>
                    <w:instrText xml:space="preserve"> PAGEREF _Toc45609613 \h </w:instrText>
                  </w:r>
                  <w:r w:rsidR="00311235">
                    <w:rPr>
                      <w:webHidden/>
                    </w:rPr>
                  </w:r>
                  <w:r w:rsidR="00311235">
                    <w:rPr>
                      <w:webHidden/>
                    </w:rPr>
                    <w:fldChar w:fldCharType="separate"/>
                  </w:r>
                  <w:r w:rsidR="00311235">
                    <w:rPr>
                      <w:webHidden/>
                    </w:rPr>
                    <w:t>2</w:t>
                  </w:r>
                  <w:r w:rsidR="00311235">
                    <w:rPr>
                      <w:webHidden/>
                    </w:rPr>
                    <w:fldChar w:fldCharType="end"/>
                  </w:r>
                </w:hyperlink>
              </w:p>
              <w:p w:rsidR="00311235" w:rsidRDefault="0007271F">
                <w:pPr>
                  <w:pStyle w:val="TOC1"/>
                  <w:rPr>
                    <w:rFonts w:asciiTheme="minorHAnsi" w:eastAsiaTheme="minorEastAsia" w:hAnsiTheme="minorHAnsi" w:cstheme="minorBidi"/>
                    <w:b w:val="0"/>
                    <w:caps w:val="0"/>
                    <w:color w:val="auto"/>
                    <w:lang w:eastAsia="en-ZA"/>
                  </w:rPr>
                </w:pPr>
                <w:hyperlink w:anchor="_Toc45609614" w:history="1">
                  <w:r w:rsidR="00311235" w:rsidRPr="00F903D8">
                    <w:rPr>
                      <w:rStyle w:val="Hyperlink"/>
                      <w:rFonts w:eastAsia="Calibri"/>
                      <w:lang w:eastAsia="en-GB"/>
                    </w:rPr>
                    <w:t>3.</w:t>
                  </w:r>
                  <w:r w:rsidR="00311235">
                    <w:rPr>
                      <w:rFonts w:asciiTheme="minorHAnsi" w:eastAsiaTheme="minorEastAsia" w:hAnsiTheme="minorHAnsi" w:cstheme="minorBidi"/>
                      <w:b w:val="0"/>
                      <w:caps w:val="0"/>
                      <w:color w:val="auto"/>
                      <w:lang w:eastAsia="en-ZA"/>
                    </w:rPr>
                    <w:tab/>
                  </w:r>
                  <w:r w:rsidR="00311235" w:rsidRPr="00F903D8">
                    <w:rPr>
                      <w:rStyle w:val="Hyperlink"/>
                      <w:rFonts w:eastAsia="Calibri"/>
                      <w:lang w:eastAsia="en-GB"/>
                    </w:rPr>
                    <w:t>COVID 19 ADJUSTED BUDGET</w:t>
                  </w:r>
                  <w:r w:rsidR="00311235">
                    <w:rPr>
                      <w:webHidden/>
                    </w:rPr>
                    <w:tab/>
                  </w:r>
                  <w:r w:rsidR="00311235">
                    <w:rPr>
                      <w:webHidden/>
                    </w:rPr>
                    <w:fldChar w:fldCharType="begin"/>
                  </w:r>
                  <w:r w:rsidR="00311235">
                    <w:rPr>
                      <w:webHidden/>
                    </w:rPr>
                    <w:instrText xml:space="preserve"> PAGEREF _Toc45609614 \h </w:instrText>
                  </w:r>
                  <w:r w:rsidR="00311235">
                    <w:rPr>
                      <w:webHidden/>
                    </w:rPr>
                  </w:r>
                  <w:r w:rsidR="00311235">
                    <w:rPr>
                      <w:webHidden/>
                    </w:rPr>
                    <w:fldChar w:fldCharType="separate"/>
                  </w:r>
                  <w:r w:rsidR="00311235">
                    <w:rPr>
                      <w:webHidden/>
                    </w:rPr>
                    <w:t>4</w:t>
                  </w:r>
                  <w:r w:rsidR="00311235">
                    <w:rPr>
                      <w:webHidden/>
                    </w:rPr>
                    <w:fldChar w:fldCharType="end"/>
                  </w:r>
                </w:hyperlink>
              </w:p>
              <w:p w:rsidR="00311235" w:rsidRDefault="0007271F">
                <w:pPr>
                  <w:pStyle w:val="TOC2"/>
                  <w:tabs>
                    <w:tab w:val="right" w:leader="dot" w:pos="9016"/>
                  </w:tabs>
                  <w:rPr>
                    <w:rFonts w:asciiTheme="minorHAnsi" w:eastAsiaTheme="minorEastAsia" w:hAnsiTheme="minorHAnsi"/>
                    <w:noProof/>
                    <w:lang w:eastAsia="en-ZA"/>
                  </w:rPr>
                </w:pPr>
                <w:hyperlink w:anchor="_Toc45609615" w:history="1">
                  <w:r w:rsidR="00311235" w:rsidRPr="00F903D8">
                    <w:rPr>
                      <w:rStyle w:val="Hyperlink"/>
                      <w:rFonts w:eastAsia="Calibri" w:cs="Arial"/>
                      <w:b/>
                      <w:noProof/>
                      <w:lang w:eastAsia="en-GB"/>
                    </w:rPr>
                    <w:t>3.1 Suspensions and Virements: Departmental Agencies and Public Cooperation</w:t>
                  </w:r>
                  <w:r w:rsidR="00311235">
                    <w:rPr>
                      <w:noProof/>
                      <w:webHidden/>
                    </w:rPr>
                    <w:tab/>
                  </w:r>
                  <w:r w:rsidR="00311235">
                    <w:rPr>
                      <w:noProof/>
                      <w:webHidden/>
                    </w:rPr>
                    <w:fldChar w:fldCharType="begin"/>
                  </w:r>
                  <w:r w:rsidR="00311235">
                    <w:rPr>
                      <w:noProof/>
                      <w:webHidden/>
                    </w:rPr>
                    <w:instrText xml:space="preserve"> PAGEREF _Toc45609615 \h </w:instrText>
                  </w:r>
                  <w:r w:rsidR="00311235">
                    <w:rPr>
                      <w:noProof/>
                      <w:webHidden/>
                    </w:rPr>
                  </w:r>
                  <w:r w:rsidR="00311235">
                    <w:rPr>
                      <w:noProof/>
                      <w:webHidden/>
                    </w:rPr>
                    <w:fldChar w:fldCharType="separate"/>
                  </w:r>
                  <w:r w:rsidR="00311235">
                    <w:rPr>
                      <w:noProof/>
                      <w:webHidden/>
                    </w:rPr>
                    <w:t>6</w:t>
                  </w:r>
                  <w:r w:rsidR="00311235">
                    <w:rPr>
                      <w:noProof/>
                      <w:webHidden/>
                    </w:rPr>
                    <w:fldChar w:fldCharType="end"/>
                  </w:r>
                </w:hyperlink>
              </w:p>
              <w:p w:rsidR="00311235" w:rsidRDefault="0007271F">
                <w:pPr>
                  <w:pStyle w:val="TOC1"/>
                  <w:rPr>
                    <w:rFonts w:asciiTheme="minorHAnsi" w:eastAsiaTheme="minorEastAsia" w:hAnsiTheme="minorHAnsi" w:cstheme="minorBidi"/>
                    <w:b w:val="0"/>
                    <w:caps w:val="0"/>
                    <w:color w:val="auto"/>
                    <w:lang w:eastAsia="en-ZA"/>
                  </w:rPr>
                </w:pPr>
                <w:hyperlink w:anchor="_Toc45609616" w:history="1">
                  <w:r w:rsidR="00311235" w:rsidRPr="00F903D8">
                    <w:rPr>
                      <w:rStyle w:val="Hyperlink"/>
                      <w:rFonts w:eastAsia="Calibri"/>
                      <w:lang w:val="en-GB" w:eastAsia="en-GB"/>
                    </w:rPr>
                    <w:t>4.</w:t>
                  </w:r>
                  <w:r w:rsidR="00311235">
                    <w:rPr>
                      <w:rFonts w:asciiTheme="minorHAnsi" w:eastAsiaTheme="minorEastAsia" w:hAnsiTheme="minorHAnsi" w:cstheme="minorBidi"/>
                      <w:b w:val="0"/>
                      <w:caps w:val="0"/>
                      <w:color w:val="auto"/>
                      <w:lang w:eastAsia="en-ZA"/>
                    </w:rPr>
                    <w:tab/>
                  </w:r>
                  <w:r w:rsidR="00311235" w:rsidRPr="00F903D8">
                    <w:rPr>
                      <w:rStyle w:val="Hyperlink"/>
                      <w:rFonts w:eastAsia="Calibri"/>
                      <w:lang w:val="en-GB" w:eastAsia="en-GB"/>
                    </w:rPr>
                    <w:t>Key Issues for Consideration by Parliament</w:t>
                  </w:r>
                  <w:r w:rsidR="00311235">
                    <w:rPr>
                      <w:webHidden/>
                    </w:rPr>
                    <w:tab/>
                  </w:r>
                  <w:r w:rsidR="00311235">
                    <w:rPr>
                      <w:webHidden/>
                    </w:rPr>
                    <w:fldChar w:fldCharType="begin"/>
                  </w:r>
                  <w:r w:rsidR="00311235">
                    <w:rPr>
                      <w:webHidden/>
                    </w:rPr>
                    <w:instrText xml:space="preserve"> PAGEREF _Toc45609616 \h </w:instrText>
                  </w:r>
                  <w:r w:rsidR="00311235">
                    <w:rPr>
                      <w:webHidden/>
                    </w:rPr>
                  </w:r>
                  <w:r w:rsidR="00311235">
                    <w:rPr>
                      <w:webHidden/>
                    </w:rPr>
                    <w:fldChar w:fldCharType="separate"/>
                  </w:r>
                  <w:r w:rsidR="00311235">
                    <w:rPr>
                      <w:webHidden/>
                    </w:rPr>
                    <w:t>8</w:t>
                  </w:r>
                  <w:r w:rsidR="00311235">
                    <w:rPr>
                      <w:webHidden/>
                    </w:rPr>
                    <w:fldChar w:fldCharType="end"/>
                  </w:r>
                </w:hyperlink>
              </w:p>
              <w:p w:rsidR="00311235" w:rsidRDefault="0007271F">
                <w:pPr>
                  <w:pStyle w:val="TOC1"/>
                  <w:rPr>
                    <w:rFonts w:asciiTheme="minorHAnsi" w:eastAsiaTheme="minorEastAsia" w:hAnsiTheme="minorHAnsi" w:cstheme="minorBidi"/>
                    <w:b w:val="0"/>
                    <w:caps w:val="0"/>
                    <w:color w:val="auto"/>
                    <w:lang w:eastAsia="en-ZA"/>
                  </w:rPr>
                </w:pPr>
                <w:hyperlink w:anchor="_Toc45609617" w:history="1">
                  <w:r w:rsidR="00311235" w:rsidRPr="00F903D8">
                    <w:rPr>
                      <w:rStyle w:val="Hyperlink"/>
                      <w:rFonts w:eastAsia="Calibri"/>
                      <w:lang w:eastAsia="en-GB"/>
                    </w:rPr>
                    <w:t>5.</w:t>
                  </w:r>
                  <w:r w:rsidR="00311235">
                    <w:rPr>
                      <w:rFonts w:asciiTheme="minorHAnsi" w:eastAsiaTheme="minorEastAsia" w:hAnsiTheme="minorHAnsi" w:cstheme="minorBidi"/>
                      <w:b w:val="0"/>
                      <w:caps w:val="0"/>
                      <w:color w:val="auto"/>
                      <w:lang w:eastAsia="en-ZA"/>
                    </w:rPr>
                    <w:tab/>
                  </w:r>
                  <w:r w:rsidR="00311235" w:rsidRPr="00F903D8">
                    <w:rPr>
                      <w:rStyle w:val="Hyperlink"/>
                      <w:rFonts w:eastAsia="Calibri"/>
                      <w:lang w:eastAsia="en-GB"/>
                    </w:rPr>
                    <w:t>CONCLUSION</w:t>
                  </w:r>
                  <w:r w:rsidR="00311235">
                    <w:rPr>
                      <w:webHidden/>
                    </w:rPr>
                    <w:tab/>
                  </w:r>
                  <w:r w:rsidR="00311235">
                    <w:rPr>
                      <w:webHidden/>
                    </w:rPr>
                    <w:fldChar w:fldCharType="begin"/>
                  </w:r>
                  <w:r w:rsidR="00311235">
                    <w:rPr>
                      <w:webHidden/>
                    </w:rPr>
                    <w:instrText xml:space="preserve"> PAGEREF _Toc45609617 \h </w:instrText>
                  </w:r>
                  <w:r w:rsidR="00311235">
                    <w:rPr>
                      <w:webHidden/>
                    </w:rPr>
                  </w:r>
                  <w:r w:rsidR="00311235">
                    <w:rPr>
                      <w:webHidden/>
                    </w:rPr>
                    <w:fldChar w:fldCharType="separate"/>
                  </w:r>
                  <w:r w:rsidR="00311235">
                    <w:rPr>
                      <w:webHidden/>
                    </w:rPr>
                    <w:t>8</w:t>
                  </w:r>
                  <w:r w:rsidR="00311235">
                    <w:rPr>
                      <w:webHidden/>
                    </w:rPr>
                    <w:fldChar w:fldCharType="end"/>
                  </w:r>
                </w:hyperlink>
              </w:p>
              <w:p w:rsidR="00311235" w:rsidRDefault="0007271F">
                <w:pPr>
                  <w:pStyle w:val="TOC1"/>
                  <w:rPr>
                    <w:rFonts w:asciiTheme="minorHAnsi" w:eastAsiaTheme="minorEastAsia" w:hAnsiTheme="minorHAnsi" w:cstheme="minorBidi"/>
                    <w:b w:val="0"/>
                    <w:caps w:val="0"/>
                    <w:color w:val="auto"/>
                    <w:lang w:eastAsia="en-ZA"/>
                  </w:rPr>
                </w:pPr>
                <w:hyperlink w:anchor="_Toc45609618" w:history="1">
                  <w:r w:rsidR="00311235" w:rsidRPr="00F903D8">
                    <w:rPr>
                      <w:rStyle w:val="Hyperlink"/>
                      <w:rFonts w:eastAsia="Calibri"/>
                      <w:lang w:eastAsia="en-GB"/>
                    </w:rPr>
                    <w:t>REFERENCES</w:t>
                  </w:r>
                  <w:r w:rsidR="00311235">
                    <w:rPr>
                      <w:webHidden/>
                    </w:rPr>
                    <w:tab/>
                  </w:r>
                  <w:r w:rsidR="00311235">
                    <w:rPr>
                      <w:webHidden/>
                    </w:rPr>
                    <w:fldChar w:fldCharType="begin"/>
                  </w:r>
                  <w:r w:rsidR="00311235">
                    <w:rPr>
                      <w:webHidden/>
                    </w:rPr>
                    <w:instrText xml:space="preserve"> PAGEREF _Toc45609618 \h </w:instrText>
                  </w:r>
                  <w:r w:rsidR="00311235">
                    <w:rPr>
                      <w:webHidden/>
                    </w:rPr>
                  </w:r>
                  <w:r w:rsidR="00311235">
                    <w:rPr>
                      <w:webHidden/>
                    </w:rPr>
                    <w:fldChar w:fldCharType="separate"/>
                  </w:r>
                  <w:r w:rsidR="00311235">
                    <w:rPr>
                      <w:webHidden/>
                    </w:rPr>
                    <w:t>9</w:t>
                  </w:r>
                  <w:r w:rsidR="00311235">
                    <w:rPr>
                      <w:webHidden/>
                    </w:rPr>
                    <w:fldChar w:fldCharType="end"/>
                  </w:r>
                </w:hyperlink>
              </w:p>
              <w:p w:rsidR="001C6314" w:rsidRPr="001C6314" w:rsidRDefault="001C6314" w:rsidP="001C6314">
                <w:pPr>
                  <w:pStyle w:val="ResearchTitle"/>
                  <w:rPr>
                    <w:rFonts w:cs="Arial"/>
                    <w:sz w:val="22"/>
                  </w:rPr>
                </w:pPr>
                <w:r w:rsidRPr="001C6314">
                  <w:rPr>
                    <w:rFonts w:cs="Arial"/>
                    <w:sz w:val="22"/>
                  </w:rPr>
                  <w:fldChar w:fldCharType="end"/>
                </w:r>
              </w:p>
            </w:sdtContent>
          </w:sdt>
        </w:tc>
      </w:tr>
    </w:tbl>
    <w:p w:rsidR="00EA20F4" w:rsidRDefault="00EA20F4" w:rsidP="00EA20F4">
      <w:pPr>
        <w:pStyle w:val="Heading1"/>
        <w:ind w:left="360"/>
        <w:rPr>
          <w:rFonts w:cs="Arial"/>
          <w:szCs w:val="22"/>
        </w:rPr>
      </w:pPr>
    </w:p>
    <w:p w:rsidR="001C6314" w:rsidRPr="001C6314" w:rsidRDefault="001C6314" w:rsidP="001C6314">
      <w:pPr>
        <w:pStyle w:val="Heading1"/>
        <w:numPr>
          <w:ilvl w:val="0"/>
          <w:numId w:val="1"/>
        </w:numPr>
        <w:rPr>
          <w:rFonts w:cs="Arial"/>
          <w:szCs w:val="22"/>
        </w:rPr>
      </w:pPr>
      <w:bookmarkStart w:id="1" w:name="_Toc45609612"/>
      <w:r w:rsidRPr="001C6314">
        <w:rPr>
          <w:rFonts w:cs="Arial"/>
          <w:szCs w:val="22"/>
        </w:rPr>
        <w:t>Introduction</w:t>
      </w:r>
      <w:bookmarkEnd w:id="1"/>
    </w:p>
    <w:p w:rsidR="001C6314" w:rsidRPr="001C6314" w:rsidRDefault="001C6314" w:rsidP="001C6314">
      <w:pPr>
        <w:rPr>
          <w:rFonts w:eastAsia="Calibri" w:cs="Arial"/>
          <w:color w:val="000000"/>
          <w:spacing w:val="6"/>
          <w:lang w:val="en-GB" w:eastAsia="en-GB"/>
        </w:rPr>
      </w:pPr>
    </w:p>
    <w:p w:rsidR="001C6314" w:rsidRPr="001C6314" w:rsidRDefault="001C6314" w:rsidP="001C6314">
      <w:pPr>
        <w:rPr>
          <w:rFonts w:eastAsia="Calibri" w:cs="Arial"/>
          <w:color w:val="000000"/>
          <w:spacing w:val="6"/>
          <w:lang w:val="en-GB" w:eastAsia="en-GB"/>
        </w:rPr>
      </w:pPr>
    </w:p>
    <w:p w:rsid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According to the Minister of Finance in South Africa, the aim of the Supplementary Budget is </w:t>
      </w:r>
      <w:r w:rsidR="00895FB3">
        <w:rPr>
          <w:rFonts w:eastAsia="Calibri" w:cs="Arial"/>
          <w:color w:val="000000"/>
          <w:spacing w:val="6"/>
          <w:lang w:eastAsia="en-GB"/>
        </w:rPr>
        <w:t xml:space="preserve">to </w:t>
      </w:r>
      <w:r w:rsidRPr="001C6314">
        <w:rPr>
          <w:rFonts w:eastAsia="Calibri" w:cs="Arial"/>
          <w:color w:val="000000"/>
          <w:spacing w:val="6"/>
          <w:lang w:eastAsia="en-GB"/>
        </w:rPr>
        <w:t>make adjustments to the main budget so as to “set out a strategy to build a bridge to recovery” in the aftermath of the COVID 19 pandemic and its subsequent impact on the country’s economy</w:t>
      </w:r>
      <w:r w:rsidRPr="001C6314">
        <w:rPr>
          <w:rFonts w:eastAsia="Calibri" w:cs="Arial"/>
          <w:color w:val="000000"/>
          <w:spacing w:val="6"/>
          <w:vertAlign w:val="superscript"/>
          <w:lang w:eastAsia="en-GB"/>
        </w:rPr>
        <w:footnoteReference w:id="1"/>
      </w:r>
      <w:r w:rsidRPr="001C6314">
        <w:rPr>
          <w:rFonts w:eastAsia="Calibri" w:cs="Arial"/>
          <w:color w:val="000000"/>
          <w:spacing w:val="6"/>
          <w:lang w:eastAsia="en-GB"/>
        </w:rPr>
        <w:t xml:space="preserve">.  The Public Finance Management Act </w:t>
      </w:r>
      <w:r w:rsidRPr="001C6314">
        <w:rPr>
          <w:rFonts w:eastAsia="Calibri" w:cs="Arial"/>
          <w:color w:val="000000"/>
          <w:spacing w:val="6"/>
          <w:lang w:val="en-GB" w:eastAsia="en-GB"/>
        </w:rPr>
        <w:t>No. 1 of 1999</w:t>
      </w:r>
      <w:r w:rsidRPr="001C6314">
        <w:rPr>
          <w:rFonts w:eastAsia="Calibri" w:cs="Arial"/>
          <w:color w:val="000000"/>
          <w:spacing w:val="6"/>
          <w:lang w:eastAsia="en-GB"/>
        </w:rPr>
        <w:t xml:space="preserve">, together with the Money Bills Amendment Procedure and Related Matters Act No.9 of 2009, </w:t>
      </w:r>
      <w:r w:rsidR="00895FB3">
        <w:rPr>
          <w:rFonts w:eastAsia="Calibri" w:cs="Arial"/>
          <w:color w:val="000000"/>
          <w:spacing w:val="6"/>
          <w:lang w:eastAsia="en-GB"/>
        </w:rPr>
        <w:t>“</w:t>
      </w:r>
      <w:r w:rsidRPr="001C6314">
        <w:rPr>
          <w:rFonts w:eastAsia="Calibri" w:cs="Arial"/>
          <w:color w:val="000000"/>
          <w:spacing w:val="6"/>
          <w:lang w:eastAsia="en-GB"/>
        </w:rPr>
        <w:t>empowers the Minister of Finance, to table an adjustments budget when necessary”</w:t>
      </w:r>
      <w:r w:rsidRPr="001C6314">
        <w:rPr>
          <w:rFonts w:eastAsia="Calibri" w:cs="Arial"/>
          <w:color w:val="000000"/>
          <w:spacing w:val="6"/>
          <w:vertAlign w:val="superscript"/>
          <w:lang w:eastAsia="en-GB"/>
        </w:rPr>
        <w:footnoteReference w:id="2"/>
      </w:r>
      <w:r w:rsidRPr="001C6314">
        <w:rPr>
          <w:rFonts w:eastAsia="Calibri" w:cs="Arial"/>
          <w:color w:val="000000"/>
          <w:spacing w:val="6"/>
          <w:lang w:eastAsia="en-GB"/>
        </w:rPr>
        <w:t>. </w:t>
      </w:r>
    </w:p>
    <w:p w:rsidR="001C6314" w:rsidRDefault="001C6314" w:rsidP="001C6314">
      <w:pPr>
        <w:rPr>
          <w:rFonts w:eastAsia="Calibri" w:cs="Arial"/>
          <w:color w:val="000000"/>
          <w:spacing w:val="6"/>
          <w:lang w:eastAsia="en-GB"/>
        </w:rPr>
      </w:pPr>
    </w:p>
    <w:p w:rsidR="00E24F45" w:rsidRDefault="001C6314" w:rsidP="001C6314">
      <w:pPr>
        <w:rPr>
          <w:rFonts w:eastAsia="Calibri" w:cs="Arial"/>
          <w:bCs/>
          <w:color w:val="000000"/>
          <w:spacing w:val="6"/>
          <w:lang w:eastAsia="en-GB"/>
        </w:rPr>
      </w:pPr>
      <w:r w:rsidRPr="001C6314">
        <w:rPr>
          <w:rFonts w:eastAsia="Calibri" w:cs="Arial"/>
          <w:bCs/>
          <w:color w:val="000000"/>
          <w:spacing w:val="6"/>
          <w:lang w:eastAsia="en-GB"/>
        </w:rPr>
        <w:t>National Treasury</w:t>
      </w:r>
      <w:r>
        <w:rPr>
          <w:rFonts w:eastAsia="Calibri" w:cs="Arial"/>
          <w:bCs/>
          <w:color w:val="000000"/>
          <w:spacing w:val="6"/>
          <w:lang w:eastAsia="en-GB"/>
        </w:rPr>
        <w:t xml:space="preserve"> notes that </w:t>
      </w:r>
      <w:r w:rsidRPr="001C6314">
        <w:rPr>
          <w:rFonts w:eastAsia="Calibri" w:cs="Arial"/>
          <w:bCs/>
          <w:color w:val="000000"/>
          <w:spacing w:val="6"/>
          <w:lang w:eastAsia="en-GB"/>
        </w:rPr>
        <w:t>the pandemic has had a profound impact on South Africa</w:t>
      </w:r>
      <w:r w:rsidR="00895FB3">
        <w:rPr>
          <w:rFonts w:eastAsia="Calibri" w:cs="Arial"/>
          <w:bCs/>
          <w:color w:val="000000"/>
          <w:spacing w:val="6"/>
          <w:lang w:eastAsia="en-GB"/>
        </w:rPr>
        <w:t xml:space="preserve"> and therefore made it necessary to make adjustments</w:t>
      </w:r>
      <w:r w:rsidRPr="001C6314">
        <w:rPr>
          <w:rFonts w:eastAsia="Calibri" w:cs="Arial"/>
          <w:bCs/>
          <w:color w:val="000000"/>
          <w:spacing w:val="6"/>
          <w:lang w:eastAsia="en-GB"/>
        </w:rPr>
        <w:t xml:space="preserve">. </w:t>
      </w:r>
      <w:r w:rsidR="00895FB3">
        <w:rPr>
          <w:rFonts w:eastAsia="Calibri" w:cs="Arial"/>
          <w:bCs/>
          <w:color w:val="000000"/>
          <w:spacing w:val="6"/>
          <w:lang w:eastAsia="en-GB"/>
        </w:rPr>
        <w:t>Treasury notes that t</w:t>
      </w:r>
      <w:r w:rsidRPr="001C6314">
        <w:rPr>
          <w:rFonts w:eastAsia="Calibri" w:cs="Arial"/>
          <w:bCs/>
          <w:color w:val="000000"/>
          <w:spacing w:val="6"/>
          <w:lang w:eastAsia="en-GB"/>
        </w:rPr>
        <w:t xml:space="preserve">he </w:t>
      </w:r>
      <w:r w:rsidR="00895FB3">
        <w:rPr>
          <w:rFonts w:eastAsia="Calibri" w:cs="Arial"/>
          <w:bCs/>
          <w:color w:val="000000"/>
          <w:spacing w:val="6"/>
          <w:lang w:eastAsia="en-GB"/>
        </w:rPr>
        <w:t>“</w:t>
      </w:r>
      <w:r w:rsidRPr="001C6314">
        <w:rPr>
          <w:rFonts w:eastAsia="Calibri" w:cs="Arial"/>
          <w:bCs/>
          <w:color w:val="000000"/>
          <w:spacing w:val="6"/>
          <w:lang w:eastAsia="en-GB"/>
        </w:rPr>
        <w:t>economy is expected to contract by 7.2 per cent this year. All economic sectors have experienced a sharp downturn and small businesses in particular face extreme pressure</w:t>
      </w:r>
      <w:r w:rsidRPr="001C6314">
        <w:rPr>
          <w:rFonts w:eastAsia="Calibri" w:cs="Arial"/>
          <w:bCs/>
          <w:color w:val="000000"/>
          <w:spacing w:val="6"/>
          <w:vertAlign w:val="superscript"/>
          <w:lang w:eastAsia="en-GB"/>
        </w:rPr>
        <w:footnoteReference w:id="3"/>
      </w:r>
      <w:r w:rsidRPr="001C6314">
        <w:rPr>
          <w:rFonts w:eastAsia="Calibri" w:cs="Arial"/>
          <w:bCs/>
          <w:color w:val="000000"/>
          <w:spacing w:val="6"/>
          <w:lang w:eastAsia="en-GB"/>
        </w:rPr>
        <w:t xml:space="preserve">. </w:t>
      </w:r>
    </w:p>
    <w:p w:rsidR="00E24F45" w:rsidRDefault="00E24F45"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Pr>
          <w:rFonts w:eastAsia="Calibri" w:cs="Arial"/>
          <w:bCs/>
          <w:color w:val="000000"/>
          <w:spacing w:val="6"/>
          <w:lang w:eastAsia="en-GB"/>
        </w:rPr>
        <w:t xml:space="preserve">Subsequently </w:t>
      </w:r>
      <w:r w:rsidRPr="001C6314">
        <w:rPr>
          <w:rFonts w:eastAsia="Calibri" w:cs="Arial"/>
          <w:bCs/>
          <w:color w:val="000000"/>
          <w:spacing w:val="6"/>
          <w:lang w:eastAsia="en-GB"/>
        </w:rPr>
        <w:t>spending was adjusted by:</w:t>
      </w:r>
    </w:p>
    <w:p w:rsidR="001C6314" w:rsidRPr="001C6314" w:rsidRDefault="001C6314" w:rsidP="001C6314">
      <w:pPr>
        <w:numPr>
          <w:ilvl w:val="0"/>
          <w:numId w:val="13"/>
        </w:numPr>
        <w:rPr>
          <w:rFonts w:eastAsia="Calibri" w:cs="Arial"/>
          <w:bCs/>
          <w:color w:val="000000"/>
          <w:spacing w:val="6"/>
          <w:lang w:eastAsia="en-GB"/>
        </w:rPr>
      </w:pPr>
      <w:r w:rsidRPr="001C6314">
        <w:rPr>
          <w:rFonts w:eastAsia="Calibri" w:cs="Arial"/>
          <w:bCs/>
          <w:color w:val="000000"/>
          <w:spacing w:val="6"/>
          <w:lang w:eastAsia="en-GB"/>
        </w:rPr>
        <w:t>Removing funds underspent due to delays caused by the lockdown from the baselines of affected departments.</w:t>
      </w:r>
    </w:p>
    <w:p w:rsidR="001C6314" w:rsidRPr="001C6314" w:rsidRDefault="001C6314" w:rsidP="001C6314">
      <w:pPr>
        <w:numPr>
          <w:ilvl w:val="0"/>
          <w:numId w:val="13"/>
        </w:numPr>
        <w:rPr>
          <w:rFonts w:eastAsia="Calibri" w:cs="Arial"/>
          <w:bCs/>
          <w:color w:val="000000"/>
          <w:spacing w:val="6"/>
          <w:lang w:eastAsia="en-GB"/>
        </w:rPr>
      </w:pPr>
      <w:r w:rsidRPr="001C6314">
        <w:rPr>
          <w:rFonts w:eastAsia="Calibri" w:cs="Arial"/>
          <w:bCs/>
          <w:color w:val="000000"/>
          <w:spacing w:val="6"/>
          <w:lang w:eastAsia="en-GB"/>
        </w:rPr>
        <w:t>Suspending allocations for capital and other departmental projects that could be delayed or rescheduled to 2021/22 or later.</w:t>
      </w:r>
    </w:p>
    <w:p w:rsidR="001C6314" w:rsidRPr="001C6314" w:rsidRDefault="001C6314" w:rsidP="001C6314">
      <w:pPr>
        <w:numPr>
          <w:ilvl w:val="0"/>
          <w:numId w:val="13"/>
        </w:numPr>
        <w:rPr>
          <w:rFonts w:eastAsia="Calibri" w:cs="Arial"/>
          <w:bCs/>
          <w:color w:val="000000"/>
          <w:spacing w:val="6"/>
          <w:lang w:eastAsia="en-GB"/>
        </w:rPr>
      </w:pPr>
      <w:r w:rsidRPr="001C6314">
        <w:rPr>
          <w:rFonts w:eastAsia="Calibri" w:cs="Arial"/>
          <w:bCs/>
          <w:color w:val="000000"/>
          <w:spacing w:val="6"/>
          <w:lang w:eastAsia="en-GB"/>
        </w:rPr>
        <w:lastRenderedPageBreak/>
        <w:t>Suspending allocations to programmes with a history of poor performance and/or slow spending.</w:t>
      </w:r>
    </w:p>
    <w:p w:rsidR="001C6314" w:rsidRPr="001C6314" w:rsidRDefault="001C6314" w:rsidP="001C6314">
      <w:pPr>
        <w:numPr>
          <w:ilvl w:val="0"/>
          <w:numId w:val="13"/>
        </w:numPr>
        <w:rPr>
          <w:rFonts w:eastAsia="Calibri" w:cs="Arial"/>
          <w:bCs/>
          <w:color w:val="000000"/>
          <w:spacing w:val="6"/>
          <w:lang w:eastAsia="en-GB"/>
        </w:rPr>
      </w:pPr>
      <w:r w:rsidRPr="001C6314">
        <w:rPr>
          <w:rFonts w:eastAsia="Calibri" w:cs="Arial"/>
          <w:bCs/>
          <w:color w:val="000000"/>
          <w:spacing w:val="6"/>
          <w:lang w:eastAsia="en-GB"/>
        </w:rPr>
        <w:t>Redirecting funds towards the COVID-19 response within functions, or towards government’s fiscal relief package</w:t>
      </w:r>
      <w:r w:rsidRPr="001C6314">
        <w:rPr>
          <w:rFonts w:eastAsia="Calibri" w:cs="Arial"/>
          <w:bCs/>
          <w:color w:val="000000"/>
          <w:spacing w:val="6"/>
          <w:vertAlign w:val="superscript"/>
          <w:lang w:eastAsia="en-GB"/>
        </w:rPr>
        <w:footnoteReference w:id="4"/>
      </w:r>
      <w:r w:rsidRPr="001C6314">
        <w:rPr>
          <w:rFonts w:eastAsia="Calibri" w:cs="Arial"/>
          <w:bCs/>
          <w:color w:val="000000"/>
          <w:spacing w:val="6"/>
          <w:lang w:eastAsia="en-GB"/>
        </w:rPr>
        <w:t>.</w:t>
      </w:r>
    </w:p>
    <w:p w:rsidR="001C6314" w:rsidRDefault="001C6314" w:rsidP="001C6314">
      <w:pPr>
        <w:rPr>
          <w:rFonts w:eastAsia="Calibri" w:cs="Arial"/>
          <w:bCs/>
          <w:color w:val="000000"/>
          <w:spacing w:val="6"/>
          <w:lang w:eastAsia="en-GB"/>
        </w:rPr>
      </w:pPr>
    </w:p>
    <w:p w:rsidR="001C6314" w:rsidRPr="001C6314" w:rsidRDefault="00895FB3" w:rsidP="001C6314">
      <w:pPr>
        <w:rPr>
          <w:rFonts w:eastAsia="Calibri" w:cs="Arial"/>
          <w:bCs/>
          <w:color w:val="000000"/>
          <w:spacing w:val="6"/>
          <w:lang w:eastAsia="en-GB"/>
        </w:rPr>
      </w:pPr>
      <w:r>
        <w:rPr>
          <w:rFonts w:eastAsia="Calibri" w:cs="Arial"/>
          <w:bCs/>
          <w:color w:val="000000"/>
          <w:spacing w:val="6"/>
          <w:lang w:eastAsia="en-GB"/>
        </w:rPr>
        <w:t>Since the lockdown announcement at the end of March 2020, National Treasury highlights that government efforts to bring relief to the economy have yielded some result which include the following</w:t>
      </w:r>
      <w:r w:rsidR="001C6314">
        <w:rPr>
          <w:rFonts w:eastAsia="Calibri" w:cs="Arial"/>
          <w:bCs/>
          <w:color w:val="000000"/>
          <w:spacing w:val="6"/>
          <w:lang w:eastAsia="en-GB"/>
        </w:rPr>
        <w:t>;</w:t>
      </w:r>
      <w:r w:rsidR="001C6314" w:rsidRPr="001C6314">
        <w:rPr>
          <w:rFonts w:eastAsia="Calibri" w:cs="Arial"/>
          <w:bCs/>
          <w:color w:val="000000"/>
          <w:spacing w:val="6"/>
          <w:lang w:eastAsia="en-GB"/>
        </w:rPr>
        <w:t xml:space="preserve"> </w:t>
      </w:r>
    </w:p>
    <w:p w:rsidR="001C6314" w:rsidRPr="001C6314" w:rsidRDefault="001C6314" w:rsidP="001C6314">
      <w:pPr>
        <w:rPr>
          <w:rFonts w:eastAsia="Calibri" w:cs="Arial"/>
          <w:bCs/>
          <w:color w:val="000000"/>
          <w:spacing w:val="6"/>
          <w:lang w:eastAsia="en-GB"/>
        </w:rPr>
      </w:pPr>
    </w:p>
    <w:p w:rsidR="001C6314" w:rsidRPr="001C6314" w:rsidRDefault="001C6314" w:rsidP="001C6314">
      <w:pPr>
        <w:numPr>
          <w:ilvl w:val="0"/>
          <w:numId w:val="9"/>
        </w:numPr>
        <w:rPr>
          <w:rFonts w:eastAsia="Calibri" w:cs="Arial"/>
          <w:bCs/>
          <w:color w:val="000000"/>
          <w:spacing w:val="6"/>
          <w:lang w:eastAsia="en-GB"/>
        </w:rPr>
      </w:pPr>
      <w:r w:rsidRPr="001C6314">
        <w:rPr>
          <w:rFonts w:eastAsia="Calibri" w:cs="Arial"/>
          <w:bCs/>
          <w:color w:val="000000"/>
          <w:spacing w:val="6"/>
          <w:lang w:eastAsia="en-GB"/>
        </w:rPr>
        <w:t xml:space="preserve">In the first few weeks of operation, the COVID-19 loan guarantee scheme provided small businesses with over R10 billion worth of loans. </w:t>
      </w:r>
    </w:p>
    <w:p w:rsidR="001C6314" w:rsidRPr="001C6314" w:rsidRDefault="001C6314" w:rsidP="001C6314">
      <w:pPr>
        <w:numPr>
          <w:ilvl w:val="0"/>
          <w:numId w:val="9"/>
        </w:numPr>
        <w:rPr>
          <w:rFonts w:eastAsia="Calibri" w:cs="Arial"/>
          <w:bCs/>
          <w:color w:val="000000"/>
          <w:spacing w:val="6"/>
          <w:lang w:eastAsia="en-GB"/>
        </w:rPr>
      </w:pPr>
      <w:r w:rsidRPr="001C6314">
        <w:rPr>
          <w:rFonts w:eastAsia="Calibri" w:cs="Arial"/>
          <w:bCs/>
          <w:color w:val="000000"/>
          <w:spacing w:val="6"/>
          <w:lang w:eastAsia="en-GB"/>
        </w:rPr>
        <w:t xml:space="preserve">Nearly R12 billion in debt relief has been extended to over 124000 small and medium-sized enterprises by the banking sector. </w:t>
      </w:r>
    </w:p>
    <w:p w:rsidR="001C6314" w:rsidRPr="001C6314" w:rsidRDefault="001C6314" w:rsidP="001C6314">
      <w:pPr>
        <w:numPr>
          <w:ilvl w:val="0"/>
          <w:numId w:val="9"/>
        </w:numPr>
        <w:rPr>
          <w:rFonts w:eastAsia="Calibri" w:cs="Arial"/>
          <w:bCs/>
          <w:color w:val="000000"/>
          <w:spacing w:val="6"/>
          <w:lang w:eastAsia="en-GB"/>
        </w:rPr>
      </w:pPr>
      <w:r w:rsidRPr="001C6314">
        <w:rPr>
          <w:rFonts w:eastAsia="Calibri" w:cs="Arial"/>
          <w:bCs/>
          <w:color w:val="000000"/>
          <w:spacing w:val="6"/>
          <w:lang w:eastAsia="en-GB"/>
        </w:rPr>
        <w:t xml:space="preserve">Commercial banks have also granted 90-day payment holidays to more than 2 million clients for relief totalling R16.5 billion to date. </w:t>
      </w:r>
    </w:p>
    <w:p w:rsidR="001C6314" w:rsidRPr="001C6314" w:rsidRDefault="001C6314" w:rsidP="001C6314">
      <w:pPr>
        <w:numPr>
          <w:ilvl w:val="0"/>
          <w:numId w:val="9"/>
        </w:numPr>
        <w:rPr>
          <w:rFonts w:eastAsia="Calibri" w:cs="Arial"/>
          <w:bCs/>
          <w:color w:val="000000"/>
          <w:spacing w:val="6"/>
          <w:lang w:eastAsia="en-GB"/>
        </w:rPr>
      </w:pPr>
      <w:r w:rsidRPr="001C6314">
        <w:rPr>
          <w:rFonts w:eastAsia="Calibri" w:cs="Arial"/>
          <w:bCs/>
          <w:color w:val="000000"/>
          <w:spacing w:val="6"/>
          <w:lang w:eastAsia="en-GB"/>
        </w:rPr>
        <w:t>Initiatives such as the Sukuma Relief Programme and the South African Future Trust are providing interest-free loans and grants to small and medium-sized firms</w:t>
      </w:r>
      <w:r w:rsidRPr="001C6314">
        <w:rPr>
          <w:rFonts w:eastAsia="Calibri" w:cs="Arial"/>
          <w:bCs/>
          <w:color w:val="000000"/>
          <w:spacing w:val="6"/>
          <w:vertAlign w:val="superscript"/>
          <w:lang w:eastAsia="en-GB"/>
        </w:rPr>
        <w:footnoteReference w:id="5"/>
      </w:r>
      <w:r w:rsidRPr="001C6314">
        <w:rPr>
          <w:rFonts w:eastAsia="Calibri" w:cs="Arial"/>
          <w:bCs/>
          <w:color w:val="000000"/>
          <w:spacing w:val="6"/>
          <w:lang w:eastAsia="en-GB"/>
        </w:rPr>
        <w:t xml:space="preserve">. </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National Treasury adds that, government has adjusted the budget to respond to new information and related adjustments to policy. Government has reorganised the initial national package and adapted it to the COVID-19 needs</w:t>
      </w:r>
      <w:r w:rsidRPr="001C6314">
        <w:rPr>
          <w:rFonts w:eastAsia="Calibri" w:cs="Arial"/>
          <w:bCs/>
          <w:color w:val="000000"/>
          <w:spacing w:val="6"/>
          <w:vertAlign w:val="superscript"/>
          <w:lang w:eastAsia="en-GB"/>
        </w:rPr>
        <w:footnoteReference w:id="6"/>
      </w:r>
      <w:r w:rsidRPr="001C6314">
        <w:rPr>
          <w:rFonts w:eastAsia="Calibri" w:cs="Arial"/>
          <w:bCs/>
          <w:color w:val="000000"/>
          <w:spacing w:val="6"/>
          <w:lang w:eastAsia="en-GB"/>
        </w:rPr>
        <w:t xml:space="preserve">. </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This paper therefore looks at the COVID 19 budget adjustments in relation to the Department of Small Business Development (DSBD’s) and its agencies</w:t>
      </w:r>
      <w:r w:rsidR="00A07CBF">
        <w:rPr>
          <w:rFonts w:eastAsia="Calibri" w:cs="Arial"/>
          <w:bCs/>
          <w:color w:val="000000"/>
          <w:spacing w:val="6"/>
          <w:lang w:eastAsia="en-GB"/>
        </w:rPr>
        <w:t>, i.e</w:t>
      </w:r>
      <w:r w:rsidR="00835C8B">
        <w:rPr>
          <w:rFonts w:eastAsia="Calibri" w:cs="Arial"/>
          <w:bCs/>
          <w:color w:val="000000"/>
          <w:spacing w:val="6"/>
          <w:lang w:eastAsia="en-GB"/>
        </w:rPr>
        <w:t>.</w:t>
      </w:r>
      <w:r w:rsidR="00A07CBF">
        <w:rPr>
          <w:rFonts w:eastAsia="Calibri" w:cs="Arial"/>
          <w:bCs/>
          <w:color w:val="000000"/>
          <w:spacing w:val="6"/>
          <w:lang w:eastAsia="en-GB"/>
        </w:rPr>
        <w:t xml:space="preserve"> the Small Enterprise Finance Agency (SEFA) and the Small Enterprise Development Agency </w:t>
      </w:r>
      <w:r w:rsidR="00222B04">
        <w:rPr>
          <w:rFonts w:eastAsia="Calibri" w:cs="Arial"/>
          <w:bCs/>
          <w:color w:val="000000"/>
          <w:spacing w:val="6"/>
          <w:lang w:eastAsia="en-GB"/>
        </w:rPr>
        <w:t>(</w:t>
      </w:r>
      <w:r w:rsidR="00A07CBF">
        <w:rPr>
          <w:rFonts w:eastAsia="Calibri" w:cs="Arial"/>
          <w:bCs/>
          <w:color w:val="000000"/>
          <w:spacing w:val="6"/>
          <w:lang w:eastAsia="en-GB"/>
        </w:rPr>
        <w:t>SEDA</w:t>
      </w:r>
      <w:r w:rsidR="00222B04">
        <w:rPr>
          <w:rFonts w:eastAsia="Calibri" w:cs="Arial"/>
          <w:bCs/>
          <w:color w:val="000000"/>
          <w:spacing w:val="6"/>
          <w:lang w:eastAsia="en-GB"/>
        </w:rPr>
        <w:t>)</w:t>
      </w:r>
      <w:r w:rsidRPr="001C6314">
        <w:rPr>
          <w:rFonts w:eastAsia="Calibri" w:cs="Arial"/>
          <w:bCs/>
          <w:color w:val="000000"/>
          <w:spacing w:val="6"/>
          <w:lang w:eastAsia="en-GB"/>
        </w:rPr>
        <w:t>. It gives a brief summary of the main budget as tabled by the Minister of Finance at the beginning of the year</w:t>
      </w:r>
      <w:r w:rsidR="005C73B1">
        <w:rPr>
          <w:rFonts w:eastAsia="Calibri" w:cs="Arial"/>
          <w:bCs/>
          <w:color w:val="000000"/>
          <w:spacing w:val="6"/>
          <w:lang w:eastAsia="en-GB"/>
        </w:rPr>
        <w:t>,</w:t>
      </w:r>
      <w:r w:rsidRPr="001C6314">
        <w:rPr>
          <w:rFonts w:eastAsia="Calibri" w:cs="Arial"/>
          <w:bCs/>
          <w:color w:val="000000"/>
          <w:spacing w:val="6"/>
          <w:lang w:eastAsia="en-GB"/>
        </w:rPr>
        <w:t xml:space="preserve"> before COVID 19 hit the shores of the country. It then outlines the adjustments to the Department’s budget, and </w:t>
      </w:r>
      <w:r w:rsidR="005C73B1">
        <w:rPr>
          <w:rFonts w:eastAsia="Calibri" w:cs="Arial"/>
          <w:bCs/>
          <w:color w:val="000000"/>
          <w:spacing w:val="6"/>
          <w:lang w:eastAsia="en-GB"/>
        </w:rPr>
        <w:t>issues for consideration</w:t>
      </w:r>
      <w:r w:rsidRPr="001C6314">
        <w:rPr>
          <w:rFonts w:eastAsia="Calibri" w:cs="Arial"/>
          <w:bCs/>
          <w:color w:val="000000"/>
          <w:spacing w:val="6"/>
          <w:lang w:eastAsia="en-GB"/>
        </w:rPr>
        <w:t xml:space="preserve">, </w:t>
      </w:r>
      <w:r w:rsidR="005C73B1">
        <w:rPr>
          <w:rFonts w:eastAsia="Calibri" w:cs="Arial"/>
          <w:bCs/>
          <w:color w:val="000000"/>
          <w:spacing w:val="6"/>
          <w:lang w:eastAsia="en-GB"/>
        </w:rPr>
        <w:t xml:space="preserve">for </w:t>
      </w:r>
      <w:r w:rsidRPr="001C6314">
        <w:rPr>
          <w:rFonts w:eastAsia="Calibri" w:cs="Arial"/>
          <w:bCs/>
          <w:color w:val="000000"/>
          <w:spacing w:val="6"/>
          <w:lang w:eastAsia="en-GB"/>
        </w:rPr>
        <w:t>the Parliamentary Portfolio Committee on Small Business Development (PC on SBD).</w:t>
      </w: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  </w:t>
      </w:r>
    </w:p>
    <w:p w:rsidR="001C6314" w:rsidRPr="001C6314" w:rsidRDefault="001C6314" w:rsidP="00E24F45">
      <w:pPr>
        <w:pStyle w:val="Heading1"/>
        <w:numPr>
          <w:ilvl w:val="0"/>
          <w:numId w:val="1"/>
        </w:numPr>
        <w:rPr>
          <w:rFonts w:eastAsia="Calibri"/>
          <w:lang w:eastAsia="en-GB"/>
        </w:rPr>
      </w:pPr>
      <w:bookmarkStart w:id="2" w:name="_Toc45609613"/>
      <w:r w:rsidRPr="001C6314">
        <w:rPr>
          <w:rFonts w:eastAsia="Calibri"/>
          <w:lang w:eastAsia="en-GB"/>
        </w:rPr>
        <w:t>MAIN BUDGET</w:t>
      </w:r>
      <w:r w:rsidR="00371783">
        <w:rPr>
          <w:rFonts w:eastAsia="Calibri"/>
          <w:lang w:eastAsia="en-GB"/>
        </w:rPr>
        <w:t xml:space="preserve"> APPROPRIATION </w:t>
      </w:r>
      <w:r w:rsidRPr="001C6314">
        <w:rPr>
          <w:rFonts w:eastAsia="Calibri"/>
          <w:lang w:eastAsia="en-GB"/>
        </w:rPr>
        <w:t>FOR 2020/21</w:t>
      </w:r>
      <w:r w:rsidR="00371783">
        <w:rPr>
          <w:rFonts w:eastAsia="Calibri"/>
          <w:lang w:eastAsia="en-GB"/>
        </w:rPr>
        <w:t xml:space="preserve"> – PRE-COVID</w:t>
      </w:r>
      <w:bookmarkEnd w:id="2"/>
    </w:p>
    <w:p w:rsidR="001C6314" w:rsidRPr="001C6314" w:rsidRDefault="001C6314" w:rsidP="001C6314">
      <w:pPr>
        <w:rPr>
          <w:rFonts w:eastAsia="Calibri" w:cs="Arial"/>
          <w:bCs/>
          <w:color w:val="000000"/>
          <w:spacing w:val="6"/>
          <w:lang w:val="en-GB" w:eastAsia="en-GB"/>
        </w:rPr>
      </w:pPr>
    </w:p>
    <w:p w:rsidR="00371783" w:rsidRDefault="00371783"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During the February 2020 budget speech, the Minister of Finance stated that the projected </w:t>
      </w:r>
      <w:r w:rsidR="00D745A2">
        <w:rPr>
          <w:rFonts w:eastAsia="Calibri" w:cs="Arial"/>
          <w:bCs/>
          <w:color w:val="000000"/>
          <w:spacing w:val="6"/>
          <w:lang w:eastAsia="en-GB"/>
        </w:rPr>
        <w:t xml:space="preserve">national </w:t>
      </w:r>
      <w:r w:rsidRPr="001C6314">
        <w:rPr>
          <w:rFonts w:eastAsia="Calibri" w:cs="Arial"/>
          <w:bCs/>
          <w:color w:val="000000"/>
          <w:spacing w:val="6"/>
          <w:lang w:eastAsia="en-GB"/>
        </w:rPr>
        <w:t xml:space="preserve">budget expenditure for the 2020/21 financial year was R1.95 trillion. Of this amount, the expected budget expenditure for the Department of Small Business Development was approximately R2.41 billion representing </w:t>
      </w:r>
      <w:r w:rsidR="00D745A2">
        <w:rPr>
          <w:rFonts w:eastAsia="Calibri" w:cs="Arial"/>
          <w:bCs/>
          <w:color w:val="000000"/>
          <w:spacing w:val="6"/>
          <w:lang w:eastAsia="en-GB"/>
        </w:rPr>
        <w:t xml:space="preserve">approximately </w:t>
      </w:r>
      <w:r w:rsidRPr="001C6314">
        <w:rPr>
          <w:rFonts w:eastAsia="Calibri" w:cs="Arial"/>
          <w:bCs/>
          <w:color w:val="000000"/>
          <w:spacing w:val="6"/>
          <w:lang w:eastAsia="en-GB"/>
        </w:rPr>
        <w:t>0.12 per cent of the national budget</w:t>
      </w:r>
      <w:r w:rsidRPr="001C6314">
        <w:rPr>
          <w:rFonts w:eastAsia="Calibri" w:cs="Arial"/>
          <w:bCs/>
          <w:color w:val="000000"/>
          <w:spacing w:val="6"/>
          <w:vertAlign w:val="superscript"/>
          <w:lang w:eastAsia="en-GB"/>
        </w:rPr>
        <w:footnoteReference w:id="7"/>
      </w:r>
      <w:r w:rsidRPr="001C6314">
        <w:rPr>
          <w:rFonts w:eastAsia="Calibri" w:cs="Arial"/>
          <w:bCs/>
          <w:color w:val="000000"/>
          <w:spacing w:val="6"/>
          <w:lang w:eastAsia="en-GB"/>
        </w:rPr>
        <w:t xml:space="preserve">. </w:t>
      </w:r>
    </w:p>
    <w:p w:rsidR="001C6314" w:rsidRDefault="001C6314" w:rsidP="001C6314">
      <w:pPr>
        <w:rPr>
          <w:rFonts w:eastAsia="Calibri" w:cs="Arial"/>
          <w:color w:val="000000"/>
          <w:spacing w:val="6"/>
          <w:lang w:eastAsia="en-GB"/>
        </w:rPr>
      </w:pPr>
    </w:p>
    <w:p w:rsidR="00EA20F4" w:rsidRDefault="00EA20F4" w:rsidP="001C6314">
      <w:pPr>
        <w:rPr>
          <w:rFonts w:eastAsia="Calibri" w:cs="Arial"/>
          <w:color w:val="000000"/>
          <w:spacing w:val="6"/>
          <w:lang w:eastAsia="en-GB"/>
        </w:rPr>
      </w:pPr>
    </w:p>
    <w:p w:rsidR="00EA20F4" w:rsidRPr="001C6314" w:rsidRDefault="00EA20F4" w:rsidP="001C6314">
      <w:pPr>
        <w:rPr>
          <w:rFonts w:eastAsia="Calibri" w:cs="Arial"/>
          <w:color w:val="000000"/>
          <w:spacing w:val="6"/>
          <w:lang w:eastAsia="en-GB"/>
        </w:rPr>
      </w:pPr>
    </w:p>
    <w:p w:rsidR="001C6314" w:rsidRPr="001C6314" w:rsidRDefault="001C6314" w:rsidP="001C6314">
      <w:pPr>
        <w:rPr>
          <w:rFonts w:eastAsia="Calibri" w:cs="Arial"/>
          <w:bCs/>
          <w:color w:val="000000"/>
          <w:spacing w:val="6"/>
          <w:lang w:eastAsia="en-GB"/>
        </w:rPr>
      </w:pPr>
    </w:p>
    <w:tbl>
      <w:tblPr>
        <w:tblpPr w:leftFromText="180" w:rightFromText="180" w:vertAnchor="text" w:horzAnchor="margin" w:tblpXSpec="center" w:tblpY="100"/>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54"/>
        <w:gridCol w:w="1054"/>
        <w:gridCol w:w="1054"/>
        <w:gridCol w:w="1101"/>
        <w:gridCol w:w="1134"/>
        <w:gridCol w:w="1034"/>
        <w:gridCol w:w="1187"/>
        <w:gridCol w:w="1188"/>
      </w:tblGrid>
      <w:tr w:rsidR="001C6314" w:rsidRPr="001C6314" w:rsidTr="001C6314">
        <w:trPr>
          <w:trHeight w:val="810"/>
        </w:trPr>
        <w:tc>
          <w:tcPr>
            <w:tcW w:w="1993" w:type="dxa"/>
            <w:shd w:val="clear" w:color="auto" w:fill="FFFF99"/>
            <w:noWrap/>
            <w:hideMark/>
          </w:tcPr>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Programmes</w:t>
            </w:r>
          </w:p>
        </w:tc>
        <w:tc>
          <w:tcPr>
            <w:tcW w:w="4179" w:type="dxa"/>
            <w:gridSpan w:val="4"/>
            <w:shd w:val="clear" w:color="auto" w:fill="FFFF99"/>
            <w:hideMark/>
          </w:tcPr>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Budget in </w:t>
            </w:r>
            <w:r w:rsidRPr="001C6314">
              <w:rPr>
                <w:rFonts w:eastAsia="Calibri" w:cs="Arial"/>
                <w:color w:val="000000"/>
                <w:spacing w:val="6"/>
                <w:lang w:eastAsia="en-GB"/>
              </w:rPr>
              <w:t xml:space="preserve"> (R millions)</w:t>
            </w:r>
          </w:p>
        </w:tc>
        <w:tc>
          <w:tcPr>
            <w:tcW w:w="1134" w:type="dxa"/>
            <w:shd w:val="clear" w:color="auto" w:fill="FFFF99"/>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Nominal Rand change</w:t>
            </w:r>
          </w:p>
        </w:tc>
        <w:tc>
          <w:tcPr>
            <w:tcW w:w="1033" w:type="dxa"/>
            <w:shd w:val="clear" w:color="auto" w:fill="FFFF99"/>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Real Rand change</w:t>
            </w:r>
          </w:p>
        </w:tc>
        <w:tc>
          <w:tcPr>
            <w:tcW w:w="1187" w:type="dxa"/>
            <w:shd w:val="clear" w:color="auto" w:fill="FFFF99"/>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Nominal % change</w:t>
            </w:r>
          </w:p>
        </w:tc>
        <w:tc>
          <w:tcPr>
            <w:tcW w:w="1188" w:type="dxa"/>
            <w:shd w:val="clear" w:color="auto" w:fill="FFFF99"/>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Real % change</w:t>
            </w:r>
          </w:p>
        </w:tc>
      </w:tr>
      <w:tr w:rsidR="001C6314" w:rsidRPr="001C6314" w:rsidTr="001C6314">
        <w:trPr>
          <w:trHeight w:val="274"/>
        </w:trPr>
        <w:tc>
          <w:tcPr>
            <w:tcW w:w="1993" w:type="dxa"/>
            <w:shd w:val="clear" w:color="auto" w:fill="FFFF99"/>
            <w:noWrap/>
            <w:hideMark/>
          </w:tcPr>
          <w:p w:rsidR="001C6314" w:rsidRPr="001C6314" w:rsidRDefault="001C6314" w:rsidP="001C6314">
            <w:pPr>
              <w:rPr>
                <w:rFonts w:eastAsia="Calibri" w:cs="Arial"/>
                <w:color w:val="000000"/>
                <w:spacing w:val="6"/>
                <w:lang w:eastAsia="en-GB"/>
              </w:rPr>
            </w:pPr>
          </w:p>
        </w:tc>
        <w:tc>
          <w:tcPr>
            <w:tcW w:w="1025" w:type="dxa"/>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2019/20</w:t>
            </w:r>
          </w:p>
        </w:tc>
        <w:tc>
          <w:tcPr>
            <w:tcW w:w="1025" w:type="dxa"/>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2020/21</w:t>
            </w:r>
          </w:p>
        </w:tc>
        <w:tc>
          <w:tcPr>
            <w:tcW w:w="1025" w:type="dxa"/>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2021/22</w:t>
            </w:r>
          </w:p>
        </w:tc>
        <w:tc>
          <w:tcPr>
            <w:tcW w:w="1101" w:type="dxa"/>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2022/23</w:t>
            </w:r>
          </w:p>
        </w:tc>
        <w:tc>
          <w:tcPr>
            <w:tcW w:w="2168" w:type="dxa"/>
            <w:gridSpan w:val="2"/>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2019/20-2020/21</w:t>
            </w:r>
          </w:p>
        </w:tc>
        <w:tc>
          <w:tcPr>
            <w:tcW w:w="2375" w:type="dxa"/>
            <w:gridSpan w:val="2"/>
            <w:shd w:val="clear" w:color="auto" w:fill="D9D9D9"/>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2019/20-2020/21</w:t>
            </w:r>
          </w:p>
        </w:tc>
      </w:tr>
      <w:tr w:rsidR="001C6314" w:rsidRPr="001C6314" w:rsidTr="001C6314">
        <w:trPr>
          <w:trHeight w:val="274"/>
        </w:trPr>
        <w:tc>
          <w:tcPr>
            <w:tcW w:w="1993" w:type="dxa"/>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Programme 1: Administration</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124,4</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129,1</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136,8</w:t>
            </w:r>
          </w:p>
        </w:tc>
        <w:tc>
          <w:tcPr>
            <w:tcW w:w="1101"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143,5</w:t>
            </w:r>
          </w:p>
        </w:tc>
        <w:tc>
          <w:tcPr>
            <w:tcW w:w="1134"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4,7</w:t>
            </w:r>
          </w:p>
        </w:tc>
        <w:tc>
          <w:tcPr>
            <w:tcW w:w="1033"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0,7</w:t>
            </w:r>
          </w:p>
        </w:tc>
        <w:tc>
          <w:tcPr>
            <w:tcW w:w="1187"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3,78 %</w:t>
            </w:r>
          </w:p>
        </w:tc>
        <w:tc>
          <w:tcPr>
            <w:tcW w:w="1188"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-0,60 %</w:t>
            </w:r>
          </w:p>
        </w:tc>
      </w:tr>
      <w:tr w:rsidR="001C6314" w:rsidRPr="001C6314" w:rsidTr="001C6314">
        <w:trPr>
          <w:trHeight w:val="486"/>
        </w:trPr>
        <w:tc>
          <w:tcPr>
            <w:tcW w:w="1993" w:type="dxa"/>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Programme 2: Sector Policy and Research</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32,3</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28,0</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28,7</w:t>
            </w:r>
          </w:p>
        </w:tc>
        <w:tc>
          <w:tcPr>
            <w:tcW w:w="1101"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31,8</w:t>
            </w:r>
          </w:p>
        </w:tc>
        <w:tc>
          <w:tcPr>
            <w:tcW w:w="1134"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4,3</w:t>
            </w:r>
          </w:p>
        </w:tc>
        <w:tc>
          <w:tcPr>
            <w:tcW w:w="1033"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5,5</w:t>
            </w:r>
          </w:p>
        </w:tc>
        <w:tc>
          <w:tcPr>
            <w:tcW w:w="1187"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-13,31 %</w:t>
            </w:r>
          </w:p>
        </w:tc>
        <w:tc>
          <w:tcPr>
            <w:tcW w:w="1188"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-16,97 %</w:t>
            </w:r>
          </w:p>
        </w:tc>
      </w:tr>
      <w:tr w:rsidR="001C6314" w:rsidRPr="001C6314" w:rsidTr="001C6314">
        <w:trPr>
          <w:trHeight w:val="486"/>
        </w:trPr>
        <w:tc>
          <w:tcPr>
            <w:tcW w:w="1993" w:type="dxa"/>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Programme 3: Integrated Cooperative Development</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129,0</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140,0</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147,1</w:t>
            </w:r>
          </w:p>
        </w:tc>
        <w:tc>
          <w:tcPr>
            <w:tcW w:w="1101"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152,9</w:t>
            </w:r>
          </w:p>
        </w:tc>
        <w:tc>
          <w:tcPr>
            <w:tcW w:w="1134"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11,0</w:t>
            </w:r>
          </w:p>
        </w:tc>
        <w:tc>
          <w:tcPr>
            <w:tcW w:w="1033"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5,1</w:t>
            </w:r>
          </w:p>
        </w:tc>
        <w:tc>
          <w:tcPr>
            <w:tcW w:w="1187"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8,53 %</w:t>
            </w:r>
          </w:p>
        </w:tc>
        <w:tc>
          <w:tcPr>
            <w:tcW w:w="1188"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3,95 %</w:t>
            </w:r>
          </w:p>
        </w:tc>
      </w:tr>
      <w:tr w:rsidR="001C6314" w:rsidRPr="001C6314" w:rsidTr="001C6314">
        <w:trPr>
          <w:trHeight w:val="723"/>
        </w:trPr>
        <w:tc>
          <w:tcPr>
            <w:tcW w:w="1993" w:type="dxa"/>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Programme 4: Enterprise Development and</w:t>
            </w:r>
            <w:r w:rsidR="00BE2862">
              <w:rPr>
                <w:rFonts w:eastAsia="Calibri" w:cs="Arial"/>
                <w:color w:val="000000"/>
                <w:spacing w:val="6"/>
                <w:lang w:eastAsia="en-GB"/>
              </w:rPr>
              <w:t xml:space="preserve"> </w:t>
            </w:r>
            <w:r w:rsidRPr="001C6314">
              <w:rPr>
                <w:rFonts w:eastAsia="Calibri" w:cs="Arial"/>
                <w:color w:val="000000"/>
                <w:spacing w:val="6"/>
                <w:lang w:eastAsia="en-GB"/>
              </w:rPr>
              <w:t xml:space="preserve"> Entrepreneurship</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1 982,8</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2 109,7</w:t>
            </w:r>
          </w:p>
        </w:tc>
        <w:tc>
          <w:tcPr>
            <w:tcW w:w="1025"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2 383,6</w:t>
            </w:r>
          </w:p>
        </w:tc>
        <w:tc>
          <w:tcPr>
            <w:tcW w:w="1101"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2 432,5</w:t>
            </w:r>
          </w:p>
        </w:tc>
        <w:tc>
          <w:tcPr>
            <w:tcW w:w="1134"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126,9</w:t>
            </w:r>
          </w:p>
        </w:tc>
        <w:tc>
          <w:tcPr>
            <w:tcW w:w="1033"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38,0</w:t>
            </w:r>
          </w:p>
        </w:tc>
        <w:tc>
          <w:tcPr>
            <w:tcW w:w="1187"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6,40 %</w:t>
            </w:r>
          </w:p>
        </w:tc>
        <w:tc>
          <w:tcPr>
            <w:tcW w:w="1188" w:type="dxa"/>
            <w:noWrap/>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1,92 %</w:t>
            </w:r>
          </w:p>
        </w:tc>
      </w:tr>
      <w:tr w:rsidR="001C6314" w:rsidRPr="001C6314" w:rsidTr="001C6314">
        <w:trPr>
          <w:trHeight w:val="287"/>
        </w:trPr>
        <w:tc>
          <w:tcPr>
            <w:tcW w:w="1993"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TOTAL</w:t>
            </w:r>
          </w:p>
        </w:tc>
        <w:tc>
          <w:tcPr>
            <w:tcW w:w="1025"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2 268,5</w:t>
            </w:r>
          </w:p>
        </w:tc>
        <w:tc>
          <w:tcPr>
            <w:tcW w:w="1025"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2 406,8</w:t>
            </w:r>
          </w:p>
        </w:tc>
        <w:tc>
          <w:tcPr>
            <w:tcW w:w="1025"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2 696,2</w:t>
            </w:r>
          </w:p>
        </w:tc>
        <w:tc>
          <w:tcPr>
            <w:tcW w:w="1101"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2 760,7</w:t>
            </w:r>
          </w:p>
        </w:tc>
        <w:tc>
          <w:tcPr>
            <w:tcW w:w="1134"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138,3</w:t>
            </w:r>
          </w:p>
        </w:tc>
        <w:tc>
          <w:tcPr>
            <w:tcW w:w="1033"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  36,9</w:t>
            </w:r>
          </w:p>
        </w:tc>
        <w:tc>
          <w:tcPr>
            <w:tcW w:w="1187"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6,10 %</w:t>
            </w:r>
          </w:p>
        </w:tc>
        <w:tc>
          <w:tcPr>
            <w:tcW w:w="1188" w:type="dxa"/>
            <w:shd w:val="clear" w:color="auto" w:fill="BFBFBF" w:themeFill="background1" w:themeFillShade="BF"/>
            <w:noWrap/>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1,63 %</w:t>
            </w:r>
          </w:p>
        </w:tc>
      </w:tr>
    </w:tbl>
    <w:p w:rsidR="001C6314" w:rsidRPr="001C6314" w:rsidRDefault="000D29F0" w:rsidP="001C6314">
      <w:pPr>
        <w:rPr>
          <w:rFonts w:eastAsia="Calibri" w:cs="Arial"/>
          <w:bCs/>
          <w:color w:val="000000"/>
          <w:spacing w:val="6"/>
          <w:lang w:eastAsia="en-GB"/>
        </w:rPr>
      </w:pPr>
      <w:proofErr w:type="gramStart"/>
      <w:r>
        <w:rPr>
          <w:rFonts w:eastAsia="Calibri" w:cs="Arial"/>
          <w:bCs/>
          <w:color w:val="000000"/>
          <w:spacing w:val="6"/>
          <w:lang w:eastAsia="en-GB"/>
        </w:rPr>
        <w:t>Source :</w:t>
      </w:r>
      <w:proofErr w:type="gramEnd"/>
      <w:r>
        <w:rPr>
          <w:rFonts w:eastAsia="Calibri" w:cs="Arial"/>
          <w:bCs/>
          <w:color w:val="000000"/>
          <w:spacing w:val="6"/>
          <w:lang w:eastAsia="en-GB"/>
        </w:rPr>
        <w:t xml:space="preserve"> National Treasury (2020</w:t>
      </w:r>
      <w:r w:rsidR="009042EB">
        <w:rPr>
          <w:rFonts w:eastAsia="Calibri" w:cs="Arial"/>
          <w:bCs/>
          <w:color w:val="000000"/>
          <w:spacing w:val="6"/>
          <w:lang w:eastAsia="en-GB"/>
        </w:rPr>
        <w:t>a</w:t>
      </w:r>
      <w:r>
        <w:rPr>
          <w:rFonts w:eastAsia="Calibri" w:cs="Arial"/>
          <w:bCs/>
          <w:color w:val="000000"/>
          <w:spacing w:val="6"/>
          <w:lang w:eastAsia="en-GB"/>
        </w:rPr>
        <w:t>)</w:t>
      </w:r>
    </w:p>
    <w:p w:rsidR="000D29F0" w:rsidRDefault="000D29F0"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The Department’s budget increased by R138 million from about R2.27 billion in the previous financial year to approximately R2.4 billion in 2020/21. This is a nominal increase of 6.1 per cent while in real terms the budget increased by 1.63 per cent compared to the previous financial year. The Department’s budget is expected to increase over the medium term to about R2.76 billion by 2022/3.</w:t>
      </w:r>
    </w:p>
    <w:p w:rsidR="001C6314" w:rsidRPr="001C6314" w:rsidRDefault="001C6314" w:rsidP="001C6314">
      <w:pPr>
        <w:rPr>
          <w:rFonts w:eastAsia="Calibri" w:cs="Arial"/>
          <w:color w:val="000000"/>
          <w:spacing w:val="6"/>
          <w:lang w:eastAsia="en-GB"/>
        </w:rPr>
      </w:pPr>
    </w:p>
    <w:p w:rsidR="001C6314" w:rsidRPr="001C6314" w:rsidRDefault="001C6314" w:rsidP="001C6314">
      <w:pPr>
        <w:numPr>
          <w:ilvl w:val="0"/>
          <w:numId w:val="10"/>
        </w:numPr>
        <w:rPr>
          <w:rFonts w:eastAsia="Calibri" w:cs="Arial"/>
          <w:color w:val="000000"/>
          <w:spacing w:val="6"/>
          <w:lang w:eastAsia="en-GB"/>
        </w:rPr>
      </w:pPr>
      <w:r w:rsidRPr="001C6314">
        <w:rPr>
          <w:rFonts w:eastAsia="Calibri" w:cs="Arial"/>
          <w:color w:val="000000"/>
          <w:spacing w:val="6"/>
          <w:lang w:eastAsia="en-GB"/>
        </w:rPr>
        <w:t xml:space="preserve">The largest amount of the departmental budget went to </w:t>
      </w:r>
      <w:r w:rsidRPr="001C6314">
        <w:rPr>
          <w:rFonts w:eastAsia="Calibri" w:cs="Arial"/>
          <w:b/>
          <w:i/>
          <w:color w:val="000000"/>
          <w:spacing w:val="6"/>
          <w:lang w:eastAsia="en-GB"/>
        </w:rPr>
        <w:t>Programme 4: Enterprise Development and Entrepreneurship</w:t>
      </w:r>
      <w:r w:rsidRPr="001C6314">
        <w:rPr>
          <w:rFonts w:eastAsia="Calibri" w:cs="Arial"/>
          <w:color w:val="000000"/>
          <w:spacing w:val="6"/>
          <w:lang w:eastAsia="en-GB"/>
        </w:rPr>
        <w:t xml:space="preserve">. This programme was allocated about R2.11 billion or approximately 87.7 per cent of the entire budget of the Department. </w:t>
      </w:r>
    </w:p>
    <w:p w:rsidR="001C6314" w:rsidRPr="001C6314" w:rsidRDefault="001C6314" w:rsidP="001C6314">
      <w:pPr>
        <w:numPr>
          <w:ilvl w:val="0"/>
          <w:numId w:val="10"/>
        </w:numPr>
        <w:rPr>
          <w:rFonts w:eastAsia="Calibri" w:cs="Arial"/>
          <w:color w:val="000000"/>
          <w:spacing w:val="6"/>
          <w:lang w:eastAsia="en-GB"/>
        </w:rPr>
      </w:pPr>
      <w:r w:rsidRPr="001C6314">
        <w:rPr>
          <w:rFonts w:eastAsia="Calibri" w:cs="Arial"/>
          <w:b/>
          <w:i/>
          <w:color w:val="000000"/>
          <w:spacing w:val="6"/>
          <w:lang w:eastAsia="en-GB"/>
        </w:rPr>
        <w:t>Programme 3, the Integrated Cooperative Development</w:t>
      </w:r>
      <w:r w:rsidRPr="001C6314">
        <w:rPr>
          <w:rFonts w:eastAsia="Calibri" w:cs="Arial"/>
          <w:color w:val="000000"/>
          <w:spacing w:val="6"/>
          <w:lang w:eastAsia="en-GB"/>
        </w:rPr>
        <w:t xml:space="preserve"> received the second lar</w:t>
      </w:r>
      <w:r w:rsidR="009D14B3">
        <w:rPr>
          <w:rFonts w:eastAsia="Calibri" w:cs="Arial"/>
          <w:color w:val="000000"/>
          <w:spacing w:val="6"/>
          <w:lang w:eastAsia="en-GB"/>
        </w:rPr>
        <w:t>gest share of R140 million or 5.</w:t>
      </w:r>
      <w:r w:rsidRPr="001C6314">
        <w:rPr>
          <w:rFonts w:eastAsia="Calibri" w:cs="Arial"/>
          <w:color w:val="000000"/>
          <w:spacing w:val="6"/>
          <w:lang w:eastAsia="en-GB"/>
        </w:rPr>
        <w:t xml:space="preserve">82 per cent of the Department’s budget. </w:t>
      </w:r>
    </w:p>
    <w:p w:rsidR="001C6314" w:rsidRPr="001C6314" w:rsidRDefault="001C6314" w:rsidP="001C6314">
      <w:pPr>
        <w:numPr>
          <w:ilvl w:val="0"/>
          <w:numId w:val="10"/>
        </w:numPr>
        <w:rPr>
          <w:rFonts w:eastAsia="Calibri" w:cs="Arial"/>
          <w:color w:val="000000"/>
          <w:spacing w:val="6"/>
          <w:lang w:eastAsia="en-GB"/>
        </w:rPr>
      </w:pPr>
      <w:r w:rsidRPr="001C6314">
        <w:rPr>
          <w:rFonts w:eastAsia="Calibri" w:cs="Arial"/>
          <w:color w:val="000000"/>
          <w:spacing w:val="6"/>
          <w:lang w:eastAsia="en-GB"/>
        </w:rPr>
        <w:t xml:space="preserve">Meanwhile </w:t>
      </w:r>
      <w:r w:rsidRPr="001C6314">
        <w:rPr>
          <w:rFonts w:eastAsia="Calibri" w:cs="Arial"/>
          <w:b/>
          <w:i/>
          <w:color w:val="000000"/>
          <w:spacing w:val="6"/>
          <w:lang w:eastAsia="en-GB"/>
        </w:rPr>
        <w:t>Programme 1: Administration</w:t>
      </w:r>
      <w:r w:rsidR="009D14B3">
        <w:rPr>
          <w:rFonts w:eastAsia="Calibri" w:cs="Arial"/>
          <w:color w:val="000000"/>
          <w:spacing w:val="6"/>
          <w:lang w:eastAsia="en-GB"/>
        </w:rPr>
        <w:t xml:space="preserve"> budget was allocated, R129.1 million or 5.</w:t>
      </w:r>
      <w:r w:rsidRPr="001C6314">
        <w:rPr>
          <w:rFonts w:eastAsia="Calibri" w:cs="Arial"/>
          <w:color w:val="000000"/>
          <w:spacing w:val="6"/>
          <w:lang w:eastAsia="en-GB"/>
        </w:rPr>
        <w:t>36 per cent, which is the third largest portion of the departmental budget.</w:t>
      </w:r>
    </w:p>
    <w:p w:rsidR="001C6314" w:rsidRPr="001C6314" w:rsidRDefault="001C6314" w:rsidP="001C6314">
      <w:pPr>
        <w:numPr>
          <w:ilvl w:val="0"/>
          <w:numId w:val="10"/>
        </w:numPr>
        <w:rPr>
          <w:rFonts w:eastAsia="Calibri" w:cs="Arial"/>
          <w:color w:val="000000"/>
          <w:spacing w:val="6"/>
          <w:lang w:eastAsia="en-GB"/>
        </w:rPr>
      </w:pPr>
      <w:r w:rsidRPr="001C6314">
        <w:rPr>
          <w:rFonts w:eastAsia="Calibri" w:cs="Arial"/>
          <w:color w:val="000000"/>
          <w:spacing w:val="6"/>
          <w:lang w:eastAsia="en-GB"/>
        </w:rPr>
        <w:t>The le</w:t>
      </w:r>
      <w:r w:rsidR="00BE2862">
        <w:rPr>
          <w:rFonts w:eastAsia="Calibri" w:cs="Arial"/>
          <w:color w:val="000000"/>
          <w:spacing w:val="6"/>
          <w:lang w:eastAsia="en-GB"/>
        </w:rPr>
        <w:t>ast budget of R28 million or 1.</w:t>
      </w:r>
      <w:r w:rsidRPr="001C6314">
        <w:rPr>
          <w:rFonts w:eastAsia="Calibri" w:cs="Arial"/>
          <w:color w:val="000000"/>
          <w:spacing w:val="6"/>
          <w:lang w:eastAsia="en-GB"/>
        </w:rPr>
        <w:t xml:space="preserve">16 per cent went to the </w:t>
      </w:r>
      <w:r w:rsidRPr="001C6314">
        <w:rPr>
          <w:rFonts w:eastAsia="Calibri" w:cs="Arial"/>
          <w:b/>
          <w:i/>
          <w:color w:val="000000"/>
          <w:spacing w:val="6"/>
          <w:lang w:eastAsia="en-GB"/>
        </w:rPr>
        <w:t>Programme 2, Sector Policy Research</w:t>
      </w:r>
      <w:r w:rsidR="009042EB">
        <w:rPr>
          <w:rStyle w:val="FootnoteReference"/>
          <w:rFonts w:eastAsia="Calibri" w:cs="Arial"/>
          <w:b/>
          <w:i/>
          <w:color w:val="000000"/>
          <w:spacing w:val="6"/>
          <w:lang w:eastAsia="en-GB"/>
        </w:rPr>
        <w:footnoteReference w:id="8"/>
      </w:r>
      <w:r w:rsidRPr="001C6314">
        <w:rPr>
          <w:rFonts w:eastAsia="Calibri" w:cs="Arial"/>
          <w:color w:val="000000"/>
          <w:spacing w:val="6"/>
          <w:lang w:eastAsia="en-GB"/>
        </w:rPr>
        <w:t xml:space="preserve">.   </w:t>
      </w:r>
    </w:p>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color w:val="000000"/>
          <w:spacing w:val="6"/>
          <w:lang w:eastAsia="en-GB"/>
        </w:rPr>
        <w:t>Department</w:t>
      </w:r>
      <w:r w:rsidR="008C18BA">
        <w:rPr>
          <w:rFonts w:eastAsia="Calibri" w:cs="Arial"/>
          <w:color w:val="000000"/>
          <w:spacing w:val="6"/>
          <w:lang w:eastAsia="en-GB"/>
        </w:rPr>
        <w:t>al</w:t>
      </w:r>
      <w:r w:rsidRPr="001C6314">
        <w:rPr>
          <w:rFonts w:eastAsia="Calibri" w:cs="Arial"/>
          <w:color w:val="000000"/>
          <w:spacing w:val="6"/>
          <w:lang w:eastAsia="en-GB"/>
        </w:rPr>
        <w:t xml:space="preserve"> transfers and subsidies increased by R124.5 million or 6.14 per cent fro</w:t>
      </w:r>
      <w:r w:rsidR="00BE2862">
        <w:rPr>
          <w:rFonts w:eastAsia="Calibri" w:cs="Arial"/>
          <w:color w:val="000000"/>
          <w:spacing w:val="6"/>
          <w:lang w:eastAsia="en-GB"/>
        </w:rPr>
        <w:t>m R2.3 billion in 2019/20 to R2.</w:t>
      </w:r>
      <w:r w:rsidRPr="001C6314">
        <w:rPr>
          <w:rFonts w:eastAsia="Calibri" w:cs="Arial"/>
          <w:color w:val="000000"/>
          <w:spacing w:val="6"/>
          <w:lang w:eastAsia="en-GB"/>
        </w:rPr>
        <w:t xml:space="preserve">15 billion in the current financial year. This leaves the Department with an operational budget </w:t>
      </w:r>
      <w:r w:rsidRPr="001C6314">
        <w:rPr>
          <w:rFonts w:eastAsia="Calibri" w:cs="Arial"/>
          <w:bCs/>
          <w:color w:val="000000"/>
          <w:spacing w:val="6"/>
          <w:lang w:eastAsia="en-GB"/>
        </w:rPr>
        <w:t xml:space="preserve">(total minus transfers) </w:t>
      </w:r>
      <w:r w:rsidRPr="001C6314">
        <w:rPr>
          <w:rFonts w:eastAsia="Calibri" w:cs="Arial"/>
          <w:color w:val="000000"/>
          <w:spacing w:val="6"/>
          <w:lang w:eastAsia="en-GB"/>
        </w:rPr>
        <w:t xml:space="preserve">of R255.7 million for the 2020/21 financial year. </w:t>
      </w:r>
      <w:r w:rsidRPr="001C6314">
        <w:rPr>
          <w:rFonts w:eastAsia="Calibri" w:cs="Arial"/>
          <w:bCs/>
          <w:color w:val="000000"/>
          <w:spacing w:val="6"/>
          <w:lang w:eastAsia="en-GB"/>
        </w:rPr>
        <w:t>The overall staff compliment in the Department increased from 237 to 239. This increase in numbers was followed by an incre</w:t>
      </w:r>
      <w:r w:rsidR="00BE2862">
        <w:rPr>
          <w:rFonts w:eastAsia="Calibri" w:cs="Arial"/>
          <w:bCs/>
          <w:color w:val="000000"/>
          <w:spacing w:val="6"/>
          <w:lang w:eastAsia="en-GB"/>
        </w:rPr>
        <w:t>ase in employee costs from R151.</w:t>
      </w:r>
      <w:r w:rsidRPr="001C6314">
        <w:rPr>
          <w:rFonts w:eastAsia="Calibri" w:cs="Arial"/>
          <w:bCs/>
          <w:color w:val="000000"/>
          <w:spacing w:val="6"/>
          <w:lang w:eastAsia="en-GB"/>
        </w:rPr>
        <w:t xml:space="preserve"> 5 million in the prev</w:t>
      </w:r>
      <w:r w:rsidR="00BE2862">
        <w:rPr>
          <w:rFonts w:eastAsia="Calibri" w:cs="Arial"/>
          <w:bCs/>
          <w:color w:val="000000"/>
          <w:spacing w:val="6"/>
          <w:lang w:eastAsia="en-GB"/>
        </w:rPr>
        <w:t>ious financial year to R162.</w:t>
      </w:r>
      <w:r w:rsidRPr="001C6314">
        <w:rPr>
          <w:rFonts w:eastAsia="Calibri" w:cs="Arial"/>
          <w:bCs/>
          <w:color w:val="000000"/>
          <w:spacing w:val="6"/>
          <w:lang w:eastAsia="en-GB"/>
        </w:rPr>
        <w:t xml:space="preserve">3 million in the current </w:t>
      </w:r>
      <w:r w:rsidRPr="001C6314">
        <w:rPr>
          <w:rFonts w:eastAsia="Calibri" w:cs="Arial"/>
          <w:bCs/>
          <w:color w:val="000000"/>
          <w:spacing w:val="6"/>
          <w:lang w:eastAsia="en-GB"/>
        </w:rPr>
        <w:lastRenderedPageBreak/>
        <w:t>financ</w:t>
      </w:r>
      <w:r w:rsidR="00BE2862">
        <w:rPr>
          <w:rFonts w:eastAsia="Calibri" w:cs="Arial"/>
          <w:bCs/>
          <w:color w:val="000000"/>
          <w:spacing w:val="6"/>
          <w:lang w:eastAsia="en-GB"/>
        </w:rPr>
        <w:t>ial year. This represents a R10.8 million or 7.</w:t>
      </w:r>
      <w:r w:rsidRPr="001C6314">
        <w:rPr>
          <w:rFonts w:eastAsia="Calibri" w:cs="Arial"/>
          <w:bCs/>
          <w:color w:val="000000"/>
          <w:spacing w:val="6"/>
          <w:lang w:eastAsia="en-GB"/>
        </w:rPr>
        <w:t>13 per cent increase in the compensation of employees’ budget of the Department. The</w:t>
      </w:r>
      <w:r w:rsidR="009D14B3">
        <w:rPr>
          <w:rFonts w:eastAsia="Calibri" w:cs="Arial"/>
          <w:bCs/>
          <w:color w:val="000000"/>
          <w:spacing w:val="6"/>
          <w:lang w:eastAsia="en-GB"/>
        </w:rPr>
        <w:t xml:space="preserve"> 2020/21 employees costs of 162.</w:t>
      </w:r>
      <w:r w:rsidRPr="001C6314">
        <w:rPr>
          <w:rFonts w:eastAsia="Calibri" w:cs="Arial"/>
          <w:bCs/>
          <w:color w:val="000000"/>
          <w:spacing w:val="6"/>
          <w:lang w:eastAsia="en-GB"/>
        </w:rPr>
        <w:t>3 million represents 6.7 per cent of the total budget. However, when considering the operation</w:t>
      </w:r>
      <w:r w:rsidR="009D14B3">
        <w:rPr>
          <w:rFonts w:eastAsia="Calibri" w:cs="Arial"/>
          <w:bCs/>
          <w:color w:val="000000"/>
          <w:spacing w:val="6"/>
          <w:lang w:eastAsia="en-GB"/>
        </w:rPr>
        <w:t xml:space="preserve">al budget; </w:t>
      </w:r>
      <w:r w:rsidR="00BC5D9D">
        <w:rPr>
          <w:rFonts w:eastAsia="Calibri" w:cs="Arial"/>
          <w:bCs/>
          <w:color w:val="000000"/>
          <w:spacing w:val="6"/>
          <w:lang w:eastAsia="en-GB"/>
        </w:rPr>
        <w:t>Compensation of E</w:t>
      </w:r>
      <w:r w:rsidR="009D14B3">
        <w:rPr>
          <w:rFonts w:eastAsia="Calibri" w:cs="Arial"/>
          <w:bCs/>
          <w:color w:val="000000"/>
          <w:spacing w:val="6"/>
          <w:lang w:eastAsia="en-GB"/>
        </w:rPr>
        <w:t>mployee costs (R162.</w:t>
      </w:r>
      <w:r w:rsidRPr="001C6314">
        <w:rPr>
          <w:rFonts w:eastAsia="Calibri" w:cs="Arial"/>
          <w:bCs/>
          <w:color w:val="000000"/>
          <w:spacing w:val="6"/>
          <w:lang w:eastAsia="en-GB"/>
        </w:rPr>
        <w:t>3m) make up a signif</w:t>
      </w:r>
      <w:r w:rsidR="009D14B3">
        <w:rPr>
          <w:rFonts w:eastAsia="Calibri" w:cs="Arial"/>
          <w:bCs/>
          <w:color w:val="000000"/>
          <w:spacing w:val="6"/>
          <w:lang w:eastAsia="en-GB"/>
        </w:rPr>
        <w:t>icant share of approximately 63.</w:t>
      </w:r>
      <w:r w:rsidRPr="001C6314">
        <w:rPr>
          <w:rFonts w:eastAsia="Calibri" w:cs="Arial"/>
          <w:bCs/>
          <w:color w:val="000000"/>
          <w:spacing w:val="6"/>
          <w:lang w:eastAsia="en-GB"/>
        </w:rPr>
        <w:t>5 per cent o</w:t>
      </w:r>
      <w:r w:rsidR="009D14B3">
        <w:rPr>
          <w:rFonts w:eastAsia="Calibri" w:cs="Arial"/>
          <w:bCs/>
          <w:color w:val="000000"/>
          <w:spacing w:val="6"/>
          <w:lang w:eastAsia="en-GB"/>
        </w:rPr>
        <w:t>f the operations budget of R255.</w:t>
      </w:r>
      <w:r w:rsidRPr="001C6314">
        <w:rPr>
          <w:rFonts w:eastAsia="Calibri" w:cs="Arial"/>
          <w:bCs/>
          <w:color w:val="000000"/>
          <w:spacing w:val="6"/>
          <w:lang w:eastAsia="en-GB"/>
        </w:rPr>
        <w:t>7 million</w:t>
      </w:r>
      <w:r w:rsidR="009042EB">
        <w:rPr>
          <w:rStyle w:val="FootnoteReference"/>
          <w:rFonts w:eastAsia="Calibri" w:cs="Arial"/>
          <w:bCs/>
          <w:color w:val="000000"/>
          <w:spacing w:val="6"/>
          <w:lang w:eastAsia="en-GB"/>
        </w:rPr>
        <w:footnoteReference w:id="9"/>
      </w:r>
      <w:r w:rsidRPr="001C6314">
        <w:rPr>
          <w:rFonts w:eastAsia="Calibri" w:cs="Arial"/>
          <w:bCs/>
          <w:color w:val="000000"/>
          <w:spacing w:val="6"/>
          <w:lang w:eastAsia="en-GB"/>
        </w:rPr>
        <w:t xml:space="preserve">.  </w:t>
      </w: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w:t>
      </w:r>
    </w:p>
    <w:p w:rsidR="001C6314" w:rsidRPr="00E24F45" w:rsidRDefault="001C6314" w:rsidP="00E24F45">
      <w:pPr>
        <w:pStyle w:val="Heading1"/>
        <w:numPr>
          <w:ilvl w:val="0"/>
          <w:numId w:val="1"/>
        </w:numPr>
        <w:rPr>
          <w:rFonts w:eastAsia="Calibri"/>
          <w:lang w:eastAsia="en-GB"/>
        </w:rPr>
      </w:pPr>
      <w:bookmarkStart w:id="3" w:name="_Toc45609614"/>
      <w:r w:rsidRPr="00E24F45">
        <w:rPr>
          <w:rFonts w:eastAsia="Calibri"/>
          <w:lang w:eastAsia="en-GB"/>
        </w:rPr>
        <w:t>COVID 19 ADJUSTED BUDGET</w:t>
      </w:r>
      <w:bookmarkEnd w:id="3"/>
    </w:p>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Treasury reports that suspensions of </w:t>
      </w:r>
      <w:r w:rsidR="008C18BA" w:rsidRPr="001C6314">
        <w:rPr>
          <w:rFonts w:eastAsia="Calibri" w:cs="Arial"/>
          <w:bCs/>
          <w:color w:val="000000"/>
          <w:spacing w:val="6"/>
          <w:lang w:eastAsia="en-GB"/>
        </w:rPr>
        <w:t>expenditure</w:t>
      </w:r>
      <w:r w:rsidR="008C18BA">
        <w:rPr>
          <w:rFonts w:eastAsia="Calibri" w:cs="Arial"/>
          <w:bCs/>
          <w:color w:val="000000"/>
          <w:spacing w:val="6"/>
          <w:lang w:eastAsia="en-GB"/>
        </w:rPr>
        <w:t xml:space="preserve"> </w:t>
      </w:r>
      <w:r w:rsidRPr="001C6314">
        <w:rPr>
          <w:rFonts w:eastAsia="Calibri" w:cs="Arial"/>
          <w:bCs/>
          <w:color w:val="000000"/>
          <w:spacing w:val="6"/>
          <w:lang w:eastAsia="en-GB"/>
        </w:rPr>
        <w:t xml:space="preserve">amounting to R100.9 billion have been implemented for national departments, provinces and local government. Of that amount R39 million representing 0.4 percent of the total suspensions was from the Department. Treasury reports that further suspensions could be announced in the October 2020 </w:t>
      </w:r>
      <w:r w:rsidRPr="001C6314">
        <w:rPr>
          <w:rFonts w:eastAsia="Calibri" w:cs="Arial"/>
          <w:bCs/>
          <w:iCs/>
          <w:color w:val="000000"/>
          <w:spacing w:val="6"/>
          <w:lang w:eastAsia="en-GB"/>
        </w:rPr>
        <w:t xml:space="preserve">Medium Term Budget Policy Statement </w:t>
      </w:r>
      <w:r w:rsidRPr="001C6314">
        <w:rPr>
          <w:rFonts w:eastAsia="Calibri" w:cs="Arial"/>
          <w:bCs/>
          <w:color w:val="000000"/>
          <w:spacing w:val="6"/>
          <w:lang w:eastAsia="en-GB"/>
        </w:rPr>
        <w:t>(MTBPS)</w:t>
      </w:r>
      <w:r w:rsidRPr="001C6314">
        <w:rPr>
          <w:rFonts w:eastAsia="Calibri" w:cs="Arial"/>
          <w:bCs/>
          <w:color w:val="000000"/>
          <w:spacing w:val="6"/>
          <w:vertAlign w:val="superscript"/>
          <w:lang w:eastAsia="en-GB"/>
        </w:rPr>
        <w:footnoteReference w:id="10"/>
      </w:r>
      <w:r w:rsidRPr="001C6314">
        <w:rPr>
          <w:rFonts w:eastAsia="Calibri" w:cs="Arial"/>
          <w:bCs/>
          <w:color w:val="000000"/>
          <w:spacing w:val="6"/>
          <w:lang w:eastAsia="en-GB"/>
        </w:rPr>
        <w:t>.</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In addition, </w:t>
      </w:r>
      <w:r w:rsidR="0031487E">
        <w:rPr>
          <w:rFonts w:eastAsia="Calibri" w:cs="Arial"/>
          <w:bCs/>
          <w:color w:val="000000"/>
          <w:spacing w:val="6"/>
          <w:lang w:eastAsia="en-GB"/>
        </w:rPr>
        <w:t>government</w:t>
      </w:r>
      <w:r w:rsidR="00E24F45">
        <w:rPr>
          <w:rFonts w:eastAsia="Calibri" w:cs="Arial"/>
          <w:bCs/>
          <w:color w:val="000000"/>
          <w:spacing w:val="6"/>
          <w:lang w:eastAsia="en-GB"/>
        </w:rPr>
        <w:t xml:space="preserve">’s overall </w:t>
      </w:r>
      <w:r w:rsidRPr="001C6314">
        <w:rPr>
          <w:rFonts w:eastAsia="Calibri" w:cs="Arial"/>
          <w:bCs/>
          <w:color w:val="000000"/>
          <w:spacing w:val="6"/>
          <w:lang w:eastAsia="en-GB"/>
        </w:rPr>
        <w:t xml:space="preserve">budget expenditure for 2020/21 has been revised </w:t>
      </w:r>
      <w:r w:rsidR="00980361">
        <w:rPr>
          <w:rFonts w:eastAsia="Calibri" w:cs="Arial"/>
          <w:bCs/>
          <w:color w:val="000000"/>
          <w:spacing w:val="6"/>
          <w:lang w:eastAsia="en-GB"/>
        </w:rPr>
        <w:t xml:space="preserve">up </w:t>
      </w:r>
      <w:r w:rsidRPr="001C6314">
        <w:rPr>
          <w:rFonts w:eastAsia="Calibri" w:cs="Arial"/>
          <w:bCs/>
          <w:color w:val="000000"/>
          <w:spacing w:val="6"/>
          <w:lang w:eastAsia="en-GB"/>
        </w:rPr>
        <w:t>from R1.95 trillion as tabled</w:t>
      </w:r>
      <w:r w:rsidR="00E24F45">
        <w:rPr>
          <w:rFonts w:eastAsia="Calibri" w:cs="Arial"/>
          <w:bCs/>
          <w:color w:val="000000"/>
          <w:spacing w:val="6"/>
          <w:lang w:eastAsia="en-GB"/>
        </w:rPr>
        <w:t xml:space="preserve"> </w:t>
      </w:r>
      <w:r w:rsidRPr="001C6314">
        <w:rPr>
          <w:rFonts w:eastAsia="Calibri" w:cs="Arial"/>
          <w:bCs/>
          <w:color w:val="000000"/>
          <w:spacing w:val="6"/>
          <w:lang w:eastAsia="en-GB"/>
        </w:rPr>
        <w:t>in February this year to R2.04 trillion, mainly due to additional funding of R145 billion allocated for government’s COVID-19 response</w:t>
      </w:r>
      <w:r w:rsidR="008E0A71">
        <w:rPr>
          <w:rStyle w:val="FootnoteReference"/>
          <w:rFonts w:eastAsia="Calibri" w:cs="Arial"/>
          <w:bCs/>
          <w:color w:val="000000"/>
          <w:spacing w:val="6"/>
          <w:lang w:eastAsia="en-GB"/>
        </w:rPr>
        <w:footnoteReference w:id="11"/>
      </w:r>
      <w:r w:rsidRPr="001C6314">
        <w:rPr>
          <w:rFonts w:eastAsia="Calibri" w:cs="Arial"/>
          <w:bCs/>
          <w:color w:val="000000"/>
          <w:spacing w:val="6"/>
          <w:lang w:eastAsia="en-GB"/>
        </w:rPr>
        <w:t>.</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In light of the pandemic, the Department established a new fund called the COVID 19 Emergency Fund, which is administered by SEFA. In the Supplementary Budget, the COVID 19 Emergency Fund was allocated approximately R1.15 billion. The budget will be used to support small enterprises affected by COVID-19. The aim is to utilise the Fund to protect jobs and sustain some small enterprises</w:t>
      </w:r>
      <w:r w:rsidRPr="001C6314">
        <w:rPr>
          <w:rFonts w:eastAsia="Calibri" w:cs="Arial"/>
          <w:bCs/>
          <w:color w:val="000000"/>
          <w:spacing w:val="6"/>
          <w:vertAlign w:val="superscript"/>
          <w:lang w:eastAsia="en-GB"/>
        </w:rPr>
        <w:footnoteReference w:id="12"/>
      </w:r>
      <w:r w:rsidRPr="001C6314">
        <w:rPr>
          <w:rFonts w:eastAsia="Calibri" w:cs="Arial"/>
          <w:bCs/>
          <w:color w:val="000000"/>
          <w:spacing w:val="6"/>
          <w:lang w:eastAsia="en-GB"/>
        </w:rPr>
        <w:t xml:space="preserve">.  The COVID 19 Emergency Fund is made up of suspensions and </w:t>
      </w:r>
      <w:proofErr w:type="spellStart"/>
      <w:r w:rsidRPr="001C6314">
        <w:rPr>
          <w:rFonts w:eastAsia="Calibri" w:cs="Arial"/>
          <w:bCs/>
          <w:color w:val="000000"/>
          <w:spacing w:val="6"/>
          <w:lang w:eastAsia="en-GB"/>
        </w:rPr>
        <w:t>virements</w:t>
      </w:r>
      <w:proofErr w:type="spellEnd"/>
      <w:r w:rsidRPr="001C6314">
        <w:rPr>
          <w:rFonts w:eastAsia="Calibri" w:cs="Arial"/>
          <w:bCs/>
          <w:color w:val="000000"/>
          <w:spacing w:val="6"/>
          <w:lang w:eastAsia="en-GB"/>
        </w:rPr>
        <w:t xml:space="preserve"> from various programmes in the departmental budget as illustrated in the table below. </w:t>
      </w:r>
    </w:p>
    <w:p w:rsidR="001C6314" w:rsidRPr="001C6314" w:rsidRDefault="001C6314" w:rsidP="001C6314">
      <w:pPr>
        <w:rPr>
          <w:rFonts w:eastAsia="Calibri" w:cs="Arial"/>
          <w:color w:val="000000"/>
          <w:spacing w:val="6"/>
          <w:lang w:eastAsia="en-GB"/>
        </w:rPr>
      </w:pPr>
    </w:p>
    <w:p w:rsidR="00980361"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   2020 Budget Adjustments</w:t>
      </w:r>
    </w:p>
    <w:tbl>
      <w:tblPr>
        <w:tblStyle w:val="TableGrid"/>
        <w:tblpPr w:leftFromText="180" w:rightFromText="180" w:vertAnchor="text" w:horzAnchor="margin" w:tblpXSpec="center" w:tblpY="100"/>
        <w:tblW w:w="9507" w:type="dxa"/>
        <w:tblLook w:val="04A0" w:firstRow="1" w:lastRow="0" w:firstColumn="1" w:lastColumn="0" w:noHBand="0" w:noVBand="1"/>
      </w:tblPr>
      <w:tblGrid>
        <w:gridCol w:w="2565"/>
        <w:gridCol w:w="1399"/>
        <w:gridCol w:w="1494"/>
        <w:gridCol w:w="2339"/>
        <w:gridCol w:w="1710"/>
      </w:tblGrid>
      <w:tr w:rsidR="001C6314" w:rsidRPr="001C6314" w:rsidTr="006E4ED6">
        <w:trPr>
          <w:trHeight w:val="274"/>
          <w:tblHeader/>
        </w:trPr>
        <w:tc>
          <w:tcPr>
            <w:tcW w:w="2565" w:type="dxa"/>
            <w:tcBorders>
              <w:top w:val="single" w:sz="4" w:space="0" w:color="auto"/>
            </w:tcBorders>
            <w:shd w:val="clear" w:color="auto" w:fill="FFFF99"/>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Programmes</w:t>
            </w:r>
          </w:p>
        </w:tc>
        <w:tc>
          <w:tcPr>
            <w:tcW w:w="1399" w:type="dxa"/>
            <w:shd w:val="clear" w:color="auto" w:fill="D9D9D9"/>
            <w:noWrap/>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Main</w:t>
            </w:r>
          </w:p>
        </w:tc>
        <w:tc>
          <w:tcPr>
            <w:tcW w:w="1413" w:type="dxa"/>
            <w:shd w:val="clear" w:color="auto" w:fill="D9D9D9"/>
            <w:noWrap/>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Adjustments</w:t>
            </w:r>
          </w:p>
        </w:tc>
        <w:tc>
          <w:tcPr>
            <w:tcW w:w="2420" w:type="dxa"/>
            <w:shd w:val="clear" w:color="auto" w:fill="D9D9D9"/>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Source</w:t>
            </w:r>
          </w:p>
        </w:tc>
        <w:tc>
          <w:tcPr>
            <w:tcW w:w="1710" w:type="dxa"/>
            <w:shd w:val="clear" w:color="auto" w:fill="D9D9D9"/>
            <w:noWrap/>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Adjusted</w:t>
            </w:r>
          </w:p>
        </w:tc>
      </w:tr>
      <w:tr w:rsidR="001C6314" w:rsidRPr="001C6314" w:rsidTr="006E4ED6">
        <w:trPr>
          <w:trHeight w:val="274"/>
          <w:tblHeader/>
        </w:trPr>
        <w:tc>
          <w:tcPr>
            <w:tcW w:w="2565" w:type="dxa"/>
            <w:tcBorders>
              <w:top w:val="single" w:sz="4" w:space="0" w:color="auto"/>
            </w:tcBorders>
            <w:shd w:val="clear" w:color="auto" w:fill="FFFF99"/>
            <w:noWrap/>
            <w:hideMark/>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(thousands)</w:t>
            </w:r>
          </w:p>
        </w:tc>
        <w:tc>
          <w:tcPr>
            <w:tcW w:w="1399" w:type="dxa"/>
            <w:shd w:val="clear" w:color="auto" w:fill="D9D9D9"/>
            <w:noWrap/>
            <w:hideMark/>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2020/21</w:t>
            </w:r>
          </w:p>
        </w:tc>
        <w:tc>
          <w:tcPr>
            <w:tcW w:w="1413" w:type="dxa"/>
            <w:shd w:val="clear" w:color="auto" w:fill="D9D9D9"/>
            <w:noWrap/>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June 2020</w:t>
            </w:r>
          </w:p>
        </w:tc>
        <w:tc>
          <w:tcPr>
            <w:tcW w:w="2420" w:type="dxa"/>
            <w:shd w:val="clear" w:color="auto" w:fill="D9D9D9"/>
          </w:tcPr>
          <w:p w:rsidR="001C6314" w:rsidRPr="009178F9" w:rsidRDefault="001C6314" w:rsidP="001C6314">
            <w:pPr>
              <w:rPr>
                <w:rFonts w:eastAsia="Calibri" w:cs="Arial"/>
                <w:b/>
                <w:bCs/>
                <w:color w:val="000000"/>
                <w:spacing w:val="6"/>
                <w:sz w:val="20"/>
                <w:szCs w:val="20"/>
                <w:lang w:eastAsia="en-GB"/>
              </w:rPr>
            </w:pPr>
          </w:p>
        </w:tc>
        <w:tc>
          <w:tcPr>
            <w:tcW w:w="1710" w:type="dxa"/>
            <w:shd w:val="clear" w:color="auto" w:fill="D9D9D9"/>
            <w:noWrap/>
          </w:tcPr>
          <w:p w:rsidR="001C6314" w:rsidRPr="009178F9" w:rsidRDefault="001C6314" w:rsidP="001C6314">
            <w:pPr>
              <w:rPr>
                <w:rFonts w:eastAsia="Calibri" w:cs="Arial"/>
                <w:b/>
                <w:bCs/>
                <w:color w:val="000000"/>
                <w:spacing w:val="6"/>
                <w:sz w:val="20"/>
                <w:szCs w:val="20"/>
                <w:lang w:eastAsia="en-GB"/>
              </w:rPr>
            </w:pPr>
          </w:p>
        </w:tc>
      </w:tr>
      <w:tr w:rsidR="001C6314" w:rsidRPr="001C6314" w:rsidTr="006E4ED6">
        <w:trPr>
          <w:trHeight w:val="274"/>
        </w:trPr>
        <w:tc>
          <w:tcPr>
            <w:tcW w:w="2565" w:type="dxa"/>
            <w:hideMark/>
          </w:tcPr>
          <w:p w:rsidR="001C6314" w:rsidRPr="009178F9" w:rsidRDefault="001C6314" w:rsidP="001C6314">
            <w:pPr>
              <w:rPr>
                <w:rFonts w:eastAsia="Calibri" w:cs="Arial"/>
                <w:b/>
                <w:color w:val="000000"/>
                <w:spacing w:val="6"/>
                <w:sz w:val="20"/>
                <w:szCs w:val="20"/>
                <w:lang w:eastAsia="en-GB"/>
              </w:rPr>
            </w:pPr>
            <w:r w:rsidRPr="009178F9">
              <w:rPr>
                <w:rFonts w:eastAsia="Calibri" w:cs="Arial"/>
                <w:b/>
                <w:color w:val="000000"/>
                <w:spacing w:val="6"/>
                <w:sz w:val="20"/>
                <w:szCs w:val="20"/>
                <w:lang w:eastAsia="en-GB"/>
              </w:rPr>
              <w:t>Programme 1:</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Administration</w:t>
            </w:r>
          </w:p>
        </w:tc>
        <w:tc>
          <w:tcPr>
            <w:tcW w:w="1399" w:type="dxa"/>
            <w:noWrap/>
            <w:hideMark/>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R129</w:t>
            </w:r>
            <w:r w:rsidR="00D97800" w:rsidRPr="009178F9">
              <w:rPr>
                <w:rFonts w:eastAsia="Calibri" w:cs="Arial"/>
                <w:color w:val="000000"/>
                <w:spacing w:val="6"/>
                <w:sz w:val="20"/>
                <w:szCs w:val="20"/>
                <w:lang w:eastAsia="en-GB"/>
              </w:rPr>
              <w:t>.1</w:t>
            </w:r>
          </w:p>
        </w:tc>
        <w:tc>
          <w:tcPr>
            <w:tcW w:w="1413" w:type="dxa"/>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R6.4 </w:t>
            </w:r>
          </w:p>
        </w:tc>
        <w:tc>
          <w:tcPr>
            <w:tcW w:w="2420" w:type="dxa"/>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goods &amp; services</w:t>
            </w:r>
          </w:p>
        </w:tc>
        <w:tc>
          <w:tcPr>
            <w:tcW w:w="1710" w:type="dxa"/>
            <w:noWrap/>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R122</w:t>
            </w:r>
            <w:r w:rsidR="00D97800" w:rsidRPr="009178F9">
              <w:rPr>
                <w:rFonts w:eastAsia="Calibri" w:cs="Arial"/>
                <w:color w:val="000000"/>
                <w:spacing w:val="6"/>
                <w:sz w:val="20"/>
                <w:szCs w:val="20"/>
                <w:lang w:eastAsia="en-GB"/>
              </w:rPr>
              <w:t>.7</w:t>
            </w:r>
          </w:p>
        </w:tc>
      </w:tr>
      <w:tr w:rsidR="001C6314" w:rsidRPr="001C6314" w:rsidTr="006E4ED6">
        <w:trPr>
          <w:trHeight w:val="486"/>
        </w:trPr>
        <w:tc>
          <w:tcPr>
            <w:tcW w:w="2565" w:type="dxa"/>
            <w:hideMark/>
          </w:tcPr>
          <w:p w:rsidR="001C6314" w:rsidRPr="009178F9" w:rsidRDefault="001C6314" w:rsidP="001C6314">
            <w:pPr>
              <w:rPr>
                <w:rFonts w:eastAsia="Calibri" w:cs="Arial"/>
                <w:b/>
                <w:color w:val="000000"/>
                <w:spacing w:val="6"/>
                <w:sz w:val="20"/>
                <w:szCs w:val="20"/>
                <w:lang w:eastAsia="en-GB"/>
              </w:rPr>
            </w:pPr>
            <w:r w:rsidRPr="009178F9">
              <w:rPr>
                <w:rFonts w:eastAsia="Calibri" w:cs="Arial"/>
                <w:b/>
                <w:color w:val="000000"/>
                <w:spacing w:val="6"/>
                <w:sz w:val="20"/>
                <w:szCs w:val="20"/>
                <w:lang w:eastAsia="en-GB"/>
              </w:rPr>
              <w:t>Programme 2:</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Sector Policy and</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Research</w:t>
            </w:r>
          </w:p>
        </w:tc>
        <w:tc>
          <w:tcPr>
            <w:tcW w:w="1399" w:type="dxa"/>
            <w:noWrap/>
            <w:hideMark/>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R28</w:t>
            </w:r>
            <w:r w:rsidR="00D97800" w:rsidRPr="009178F9">
              <w:rPr>
                <w:rFonts w:eastAsia="Calibri" w:cs="Arial"/>
                <w:color w:val="000000"/>
                <w:spacing w:val="6"/>
                <w:sz w:val="20"/>
                <w:szCs w:val="20"/>
                <w:lang w:eastAsia="en-GB"/>
              </w:rPr>
              <w:t xml:space="preserve"> </w:t>
            </w:r>
          </w:p>
        </w:tc>
        <w:tc>
          <w:tcPr>
            <w:tcW w:w="1413" w:type="dxa"/>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R8.1 </w:t>
            </w:r>
          </w:p>
        </w:tc>
        <w:tc>
          <w:tcPr>
            <w:tcW w:w="2420" w:type="dxa"/>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goods &amp; services</w:t>
            </w:r>
          </w:p>
        </w:tc>
        <w:tc>
          <w:tcPr>
            <w:tcW w:w="1710" w:type="dxa"/>
            <w:noWrap/>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R19</w:t>
            </w:r>
            <w:r w:rsidR="00D97800" w:rsidRPr="009178F9">
              <w:rPr>
                <w:rFonts w:eastAsia="Calibri" w:cs="Arial"/>
                <w:color w:val="000000"/>
                <w:spacing w:val="6"/>
                <w:sz w:val="20"/>
                <w:szCs w:val="20"/>
                <w:lang w:eastAsia="en-GB"/>
              </w:rPr>
              <w:t>.</w:t>
            </w:r>
            <w:r w:rsidRPr="009178F9">
              <w:rPr>
                <w:rFonts w:eastAsia="Calibri" w:cs="Arial"/>
                <w:color w:val="000000"/>
                <w:spacing w:val="6"/>
                <w:sz w:val="20"/>
                <w:szCs w:val="20"/>
                <w:lang w:eastAsia="en-GB"/>
              </w:rPr>
              <w:t xml:space="preserve"> 9</w:t>
            </w:r>
          </w:p>
        </w:tc>
      </w:tr>
      <w:tr w:rsidR="001C6314" w:rsidRPr="001C6314" w:rsidTr="006E4ED6">
        <w:trPr>
          <w:trHeight w:val="486"/>
        </w:trPr>
        <w:tc>
          <w:tcPr>
            <w:tcW w:w="2565" w:type="dxa"/>
            <w:hideMark/>
          </w:tcPr>
          <w:p w:rsidR="001C6314" w:rsidRPr="009178F9" w:rsidRDefault="001C6314" w:rsidP="001C6314">
            <w:pPr>
              <w:rPr>
                <w:rFonts w:eastAsia="Calibri" w:cs="Arial"/>
                <w:b/>
                <w:color w:val="000000"/>
                <w:spacing w:val="6"/>
                <w:sz w:val="20"/>
                <w:szCs w:val="20"/>
                <w:lang w:eastAsia="en-GB"/>
              </w:rPr>
            </w:pPr>
            <w:r w:rsidRPr="009178F9">
              <w:rPr>
                <w:rFonts w:eastAsia="Calibri" w:cs="Arial"/>
                <w:b/>
                <w:color w:val="000000"/>
                <w:spacing w:val="6"/>
                <w:sz w:val="20"/>
                <w:szCs w:val="20"/>
                <w:lang w:eastAsia="en-GB"/>
              </w:rPr>
              <w:t>Programme 3:</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Integrated Cooperative Development</w:t>
            </w:r>
          </w:p>
        </w:tc>
        <w:tc>
          <w:tcPr>
            <w:tcW w:w="1399" w:type="dxa"/>
            <w:noWrap/>
            <w:hideMark/>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R140</w:t>
            </w:r>
            <w:r w:rsidR="00D97800" w:rsidRPr="009178F9">
              <w:rPr>
                <w:rFonts w:eastAsia="Calibri" w:cs="Arial"/>
                <w:color w:val="000000"/>
                <w:spacing w:val="6"/>
                <w:sz w:val="20"/>
                <w:szCs w:val="20"/>
                <w:lang w:eastAsia="en-GB"/>
              </w:rPr>
              <w:t xml:space="preserve"> </w:t>
            </w:r>
          </w:p>
        </w:tc>
        <w:tc>
          <w:tcPr>
            <w:tcW w:w="1413" w:type="dxa"/>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R30.0  </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w:t>
            </w:r>
          </w:p>
        </w:tc>
        <w:tc>
          <w:tcPr>
            <w:tcW w:w="2420" w:type="dxa"/>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R6.5  from goods &amp; services</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R23.5 from CIS</w:t>
            </w:r>
          </w:p>
        </w:tc>
        <w:tc>
          <w:tcPr>
            <w:tcW w:w="1710" w:type="dxa"/>
            <w:noWrap/>
          </w:tcPr>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R110 </w:t>
            </w:r>
          </w:p>
        </w:tc>
      </w:tr>
      <w:tr w:rsidR="001C6314" w:rsidRPr="001C6314" w:rsidTr="006E4ED6">
        <w:trPr>
          <w:trHeight w:val="723"/>
        </w:trPr>
        <w:tc>
          <w:tcPr>
            <w:tcW w:w="2565" w:type="dxa"/>
            <w:hideMark/>
          </w:tcPr>
          <w:p w:rsidR="001C6314" w:rsidRPr="009178F9" w:rsidRDefault="001C6314" w:rsidP="001C6314">
            <w:pPr>
              <w:rPr>
                <w:rFonts w:eastAsia="Calibri" w:cs="Arial"/>
                <w:b/>
                <w:color w:val="000000"/>
                <w:spacing w:val="6"/>
                <w:sz w:val="20"/>
                <w:szCs w:val="20"/>
                <w:lang w:eastAsia="en-GB"/>
              </w:rPr>
            </w:pPr>
            <w:r w:rsidRPr="009178F9">
              <w:rPr>
                <w:rFonts w:eastAsia="Calibri" w:cs="Arial"/>
                <w:b/>
                <w:color w:val="000000"/>
                <w:spacing w:val="6"/>
                <w:sz w:val="20"/>
                <w:szCs w:val="20"/>
                <w:lang w:eastAsia="en-GB"/>
              </w:rPr>
              <w:t>Programme 4:</w:t>
            </w:r>
          </w:p>
          <w:p w:rsidR="001C6314" w:rsidRPr="009178F9" w:rsidRDefault="001C6314" w:rsidP="00D97800">
            <w:pPr>
              <w:rPr>
                <w:rFonts w:eastAsia="Calibri" w:cs="Arial"/>
                <w:color w:val="000000"/>
                <w:spacing w:val="6"/>
                <w:sz w:val="20"/>
                <w:szCs w:val="20"/>
                <w:lang w:eastAsia="en-GB"/>
              </w:rPr>
            </w:pPr>
            <w:r w:rsidRPr="009178F9">
              <w:rPr>
                <w:rFonts w:eastAsia="Calibri" w:cs="Arial"/>
                <w:color w:val="000000"/>
                <w:spacing w:val="6"/>
                <w:sz w:val="20"/>
                <w:szCs w:val="20"/>
                <w:lang w:eastAsia="en-GB"/>
              </w:rPr>
              <w:t>Enterprise Development</w:t>
            </w:r>
            <w:r w:rsidR="00D97800" w:rsidRPr="009178F9">
              <w:rPr>
                <w:rFonts w:eastAsia="Calibri" w:cs="Arial"/>
                <w:color w:val="000000"/>
                <w:spacing w:val="6"/>
                <w:sz w:val="20"/>
                <w:szCs w:val="20"/>
                <w:lang w:eastAsia="en-GB"/>
              </w:rPr>
              <w:t xml:space="preserve"> </w:t>
            </w:r>
            <w:r w:rsidRPr="009178F9">
              <w:rPr>
                <w:rFonts w:eastAsia="Calibri" w:cs="Arial"/>
                <w:color w:val="000000"/>
                <w:spacing w:val="6"/>
                <w:sz w:val="20"/>
                <w:szCs w:val="20"/>
                <w:lang w:eastAsia="en-GB"/>
              </w:rPr>
              <w:t>and Entrepreneurship</w:t>
            </w:r>
          </w:p>
        </w:tc>
        <w:tc>
          <w:tcPr>
            <w:tcW w:w="1399" w:type="dxa"/>
            <w:noWrap/>
            <w:hideMark/>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 R2 109.7</w:t>
            </w:r>
          </w:p>
        </w:tc>
        <w:tc>
          <w:tcPr>
            <w:tcW w:w="1413" w:type="dxa"/>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R22. 5  </w:t>
            </w:r>
          </w:p>
        </w:tc>
        <w:tc>
          <w:tcPr>
            <w:tcW w:w="2420" w:type="dxa"/>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R7.0 from goods &amp; services</w:t>
            </w:r>
          </w:p>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 xml:space="preserve">R15.5 from transfers </w:t>
            </w:r>
          </w:p>
        </w:tc>
        <w:tc>
          <w:tcPr>
            <w:tcW w:w="1710" w:type="dxa"/>
            <w:noWrap/>
          </w:tcPr>
          <w:p w:rsidR="001C6314" w:rsidRPr="009178F9" w:rsidRDefault="001C6314" w:rsidP="001C6314">
            <w:pPr>
              <w:rPr>
                <w:rFonts w:eastAsia="Calibri" w:cs="Arial"/>
                <w:color w:val="000000"/>
                <w:spacing w:val="6"/>
                <w:sz w:val="20"/>
                <w:szCs w:val="20"/>
                <w:lang w:eastAsia="en-GB"/>
              </w:rPr>
            </w:pPr>
            <w:r w:rsidRPr="009178F9">
              <w:rPr>
                <w:rFonts w:eastAsia="Calibri" w:cs="Arial"/>
                <w:color w:val="000000"/>
                <w:spacing w:val="6"/>
                <w:sz w:val="20"/>
                <w:szCs w:val="20"/>
                <w:lang w:eastAsia="en-GB"/>
              </w:rPr>
              <w:t>R2 087.2</w:t>
            </w:r>
          </w:p>
        </w:tc>
      </w:tr>
      <w:tr w:rsidR="001C6314" w:rsidRPr="001C6314" w:rsidTr="006E4ED6">
        <w:trPr>
          <w:trHeight w:val="287"/>
        </w:trPr>
        <w:tc>
          <w:tcPr>
            <w:tcW w:w="2565" w:type="dxa"/>
            <w:shd w:val="clear" w:color="auto" w:fill="BFBFBF" w:themeFill="background1" w:themeFillShade="BF"/>
            <w:noWrap/>
            <w:hideMark/>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TOTAL</w:t>
            </w:r>
          </w:p>
        </w:tc>
        <w:tc>
          <w:tcPr>
            <w:tcW w:w="1399" w:type="dxa"/>
            <w:shd w:val="clear" w:color="auto" w:fill="BFBFBF" w:themeFill="background1" w:themeFillShade="BF"/>
            <w:noWrap/>
            <w:hideMark/>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 xml:space="preserve"> R2 406.8</w:t>
            </w:r>
          </w:p>
        </w:tc>
        <w:tc>
          <w:tcPr>
            <w:tcW w:w="1413" w:type="dxa"/>
            <w:shd w:val="clear" w:color="auto" w:fill="BFBFBF" w:themeFill="background1" w:themeFillShade="BF"/>
            <w:noWrap/>
            <w:hideMark/>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R66. 8</w:t>
            </w:r>
          </w:p>
        </w:tc>
        <w:tc>
          <w:tcPr>
            <w:tcW w:w="2420" w:type="dxa"/>
            <w:shd w:val="clear" w:color="auto" w:fill="BFBFBF" w:themeFill="background1" w:themeFillShade="BF"/>
          </w:tcPr>
          <w:p w:rsidR="001C6314" w:rsidRPr="009178F9" w:rsidRDefault="001C6314" w:rsidP="001C6314">
            <w:pPr>
              <w:rPr>
                <w:rFonts w:eastAsia="Calibri" w:cs="Arial"/>
                <w:b/>
                <w:bCs/>
                <w:color w:val="000000"/>
                <w:spacing w:val="6"/>
                <w:sz w:val="20"/>
                <w:szCs w:val="20"/>
                <w:lang w:eastAsia="en-GB"/>
              </w:rPr>
            </w:pPr>
          </w:p>
        </w:tc>
        <w:tc>
          <w:tcPr>
            <w:tcW w:w="1710" w:type="dxa"/>
            <w:shd w:val="clear" w:color="auto" w:fill="BFBFBF" w:themeFill="background1" w:themeFillShade="BF"/>
            <w:noWrap/>
          </w:tcPr>
          <w:p w:rsidR="001C6314" w:rsidRPr="009178F9" w:rsidRDefault="001C6314" w:rsidP="001C6314">
            <w:pPr>
              <w:rPr>
                <w:rFonts w:eastAsia="Calibri" w:cs="Arial"/>
                <w:b/>
                <w:bCs/>
                <w:color w:val="000000"/>
                <w:spacing w:val="6"/>
                <w:sz w:val="20"/>
                <w:szCs w:val="20"/>
                <w:lang w:eastAsia="en-GB"/>
              </w:rPr>
            </w:pPr>
            <w:r w:rsidRPr="009178F9">
              <w:rPr>
                <w:rFonts w:eastAsia="Calibri" w:cs="Arial"/>
                <w:b/>
                <w:bCs/>
                <w:color w:val="000000"/>
                <w:spacing w:val="6"/>
                <w:sz w:val="20"/>
                <w:szCs w:val="20"/>
                <w:lang w:eastAsia="en-GB"/>
              </w:rPr>
              <w:t>R2 340</w:t>
            </w:r>
          </w:p>
        </w:tc>
      </w:tr>
    </w:tbl>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lastRenderedPageBreak/>
        <w:t>Adapted from: National Treasury (2020)</w:t>
      </w:r>
    </w:p>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Approximately R67 million has been suspended from</w:t>
      </w:r>
      <w:r w:rsidR="00513137">
        <w:rPr>
          <w:rFonts w:eastAsia="Calibri" w:cs="Arial"/>
          <w:color w:val="000000"/>
          <w:spacing w:val="6"/>
          <w:lang w:eastAsia="en-GB"/>
        </w:rPr>
        <w:t xml:space="preserve"> the Department’s </w:t>
      </w:r>
      <w:r w:rsidR="00372D04">
        <w:rPr>
          <w:rFonts w:eastAsia="Calibri" w:cs="Arial"/>
          <w:color w:val="000000"/>
          <w:spacing w:val="6"/>
          <w:lang w:eastAsia="en-GB"/>
        </w:rPr>
        <w:t>G</w:t>
      </w:r>
      <w:r w:rsidRPr="001C6314">
        <w:rPr>
          <w:rFonts w:eastAsia="Calibri" w:cs="Arial"/>
          <w:color w:val="000000"/>
          <w:spacing w:val="6"/>
          <w:lang w:eastAsia="en-GB"/>
        </w:rPr>
        <w:t xml:space="preserve">oods and </w:t>
      </w:r>
      <w:r w:rsidR="00372D04">
        <w:rPr>
          <w:rFonts w:eastAsia="Calibri" w:cs="Arial"/>
          <w:color w:val="000000"/>
          <w:spacing w:val="6"/>
          <w:lang w:eastAsia="en-GB"/>
        </w:rPr>
        <w:t>S</w:t>
      </w:r>
      <w:r w:rsidRPr="001C6314">
        <w:rPr>
          <w:rFonts w:eastAsia="Calibri" w:cs="Arial"/>
          <w:color w:val="000000"/>
          <w:spacing w:val="6"/>
          <w:lang w:eastAsia="en-GB"/>
        </w:rPr>
        <w:t>ervices</w:t>
      </w:r>
      <w:r w:rsidR="00513137">
        <w:rPr>
          <w:rFonts w:eastAsia="Calibri" w:cs="Arial"/>
          <w:color w:val="000000"/>
          <w:spacing w:val="6"/>
          <w:lang w:eastAsia="en-GB"/>
        </w:rPr>
        <w:t xml:space="preserve"> in different programmes</w:t>
      </w:r>
      <w:r w:rsidR="008E0A71">
        <w:rPr>
          <w:rFonts w:eastAsia="Calibri" w:cs="Arial"/>
          <w:color w:val="000000"/>
          <w:spacing w:val="6"/>
          <w:lang w:eastAsia="en-GB"/>
        </w:rPr>
        <w:t>.</w:t>
      </w:r>
      <w:r w:rsidRPr="001C6314">
        <w:rPr>
          <w:rFonts w:eastAsia="Calibri" w:cs="Arial"/>
          <w:color w:val="000000"/>
          <w:spacing w:val="6"/>
          <w:lang w:eastAsia="en-GB"/>
        </w:rPr>
        <w:t xml:space="preserve"> Consequently, the Department’s budget has been revised down from R2.4 billion to R2.34 billion. The changes are as follows;</w:t>
      </w:r>
    </w:p>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b/>
          <w:bCs/>
          <w:color w:val="000000"/>
          <w:spacing w:val="6"/>
          <w:lang w:eastAsia="en-GB"/>
        </w:rPr>
      </w:pPr>
    </w:p>
    <w:tbl>
      <w:tblPr>
        <w:tblW w:w="9633" w:type="dxa"/>
        <w:tblInd w:w="-5" w:type="dxa"/>
        <w:tblLook w:val="04A0" w:firstRow="1" w:lastRow="0" w:firstColumn="1" w:lastColumn="0" w:noHBand="0" w:noVBand="1"/>
      </w:tblPr>
      <w:tblGrid>
        <w:gridCol w:w="2832"/>
        <w:gridCol w:w="1902"/>
        <w:gridCol w:w="1518"/>
        <w:gridCol w:w="1730"/>
        <w:gridCol w:w="1651"/>
      </w:tblGrid>
      <w:tr w:rsidR="001C6314" w:rsidRPr="001C6314" w:rsidTr="00AB7B90">
        <w:trPr>
          <w:trHeight w:val="564"/>
          <w:tblHeader/>
        </w:trPr>
        <w:tc>
          <w:tcPr>
            <w:tcW w:w="2832"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Economic Classification (millions)</w:t>
            </w:r>
          </w:p>
        </w:tc>
        <w:tc>
          <w:tcPr>
            <w:tcW w:w="1902" w:type="dxa"/>
            <w:tcBorders>
              <w:top w:val="single" w:sz="4" w:space="0" w:color="auto"/>
              <w:left w:val="nil"/>
              <w:bottom w:val="single" w:sz="4" w:space="0" w:color="auto"/>
              <w:right w:val="single" w:sz="4" w:space="0" w:color="auto"/>
            </w:tcBorders>
            <w:shd w:val="clear" w:color="auto" w:fill="00B0F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 xml:space="preserve">Main Budget </w:t>
            </w:r>
          </w:p>
        </w:tc>
        <w:tc>
          <w:tcPr>
            <w:tcW w:w="1518" w:type="dxa"/>
            <w:tcBorders>
              <w:top w:val="single" w:sz="4" w:space="0" w:color="auto"/>
              <w:left w:val="nil"/>
              <w:bottom w:val="single" w:sz="4" w:space="0" w:color="auto"/>
              <w:right w:val="single" w:sz="4" w:space="0" w:color="auto"/>
            </w:tcBorders>
            <w:shd w:val="clear" w:color="auto" w:fill="00B0F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Adjusted</w:t>
            </w:r>
          </w:p>
        </w:tc>
        <w:tc>
          <w:tcPr>
            <w:tcW w:w="1730" w:type="dxa"/>
            <w:tcBorders>
              <w:top w:val="single" w:sz="4" w:space="0" w:color="auto"/>
              <w:left w:val="nil"/>
              <w:bottom w:val="single" w:sz="4" w:space="0" w:color="auto"/>
              <w:right w:val="single" w:sz="4" w:space="0" w:color="auto"/>
            </w:tcBorders>
            <w:shd w:val="clear" w:color="auto" w:fill="00B0F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Total suspensions</w:t>
            </w:r>
          </w:p>
        </w:tc>
        <w:tc>
          <w:tcPr>
            <w:tcW w:w="1651" w:type="dxa"/>
            <w:tcBorders>
              <w:top w:val="single" w:sz="4" w:space="0" w:color="auto"/>
              <w:left w:val="nil"/>
              <w:bottom w:val="single" w:sz="4" w:space="0" w:color="auto"/>
              <w:right w:val="single" w:sz="4" w:space="0" w:color="auto"/>
            </w:tcBorders>
            <w:shd w:val="clear" w:color="auto" w:fill="00B0F0"/>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Reprioritised</w:t>
            </w:r>
          </w:p>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funds</w:t>
            </w: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000000" w:fill="D6DCE4"/>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Current payments</w:t>
            </w:r>
          </w:p>
        </w:tc>
        <w:tc>
          <w:tcPr>
            <w:tcW w:w="1902" w:type="dxa"/>
            <w:tcBorders>
              <w:top w:val="nil"/>
              <w:left w:val="nil"/>
              <w:bottom w:val="single" w:sz="4" w:space="0" w:color="auto"/>
              <w:right w:val="single" w:sz="4" w:space="0" w:color="auto"/>
            </w:tcBorders>
            <w:shd w:val="clear" w:color="000000" w:fill="D6DCE4"/>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251,4</w:t>
            </w:r>
          </w:p>
        </w:tc>
        <w:tc>
          <w:tcPr>
            <w:tcW w:w="1518" w:type="dxa"/>
            <w:tcBorders>
              <w:top w:val="nil"/>
              <w:left w:val="nil"/>
              <w:bottom w:val="single" w:sz="4" w:space="0" w:color="auto"/>
              <w:right w:val="single" w:sz="4" w:space="0" w:color="auto"/>
            </w:tcBorders>
            <w:shd w:val="clear" w:color="000000" w:fill="D6DCE4"/>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223</w:t>
            </w:r>
          </w:p>
        </w:tc>
        <w:tc>
          <w:tcPr>
            <w:tcW w:w="1730" w:type="dxa"/>
            <w:tcBorders>
              <w:top w:val="nil"/>
              <w:left w:val="nil"/>
              <w:bottom w:val="single" w:sz="4" w:space="0" w:color="auto"/>
              <w:right w:val="single" w:sz="4" w:space="0" w:color="auto"/>
            </w:tcBorders>
            <w:shd w:val="clear" w:color="000000" w:fill="D6DCE4"/>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67</w:t>
            </w:r>
          </w:p>
        </w:tc>
        <w:tc>
          <w:tcPr>
            <w:tcW w:w="1651" w:type="dxa"/>
            <w:tcBorders>
              <w:top w:val="nil"/>
              <w:left w:val="nil"/>
              <w:bottom w:val="single" w:sz="4" w:space="0" w:color="auto"/>
              <w:right w:val="single" w:sz="4" w:space="0" w:color="auto"/>
            </w:tcBorders>
            <w:shd w:val="clear" w:color="000000" w:fill="D6DCE4"/>
          </w:tcPr>
          <w:p w:rsidR="001C6314" w:rsidRPr="001C6314" w:rsidRDefault="001C6314" w:rsidP="001C6314">
            <w:pPr>
              <w:rPr>
                <w:rFonts w:eastAsia="Calibri" w:cs="Arial"/>
                <w:b/>
                <w:bCs/>
                <w:color w:val="000000"/>
                <w:spacing w:val="6"/>
                <w:lang w:eastAsia="en-GB"/>
              </w:rPr>
            </w:pPr>
          </w:p>
        </w:tc>
      </w:tr>
      <w:tr w:rsidR="001C6314" w:rsidRPr="001C6314" w:rsidTr="00AB7B90">
        <w:trPr>
          <w:trHeight w:val="564"/>
        </w:trPr>
        <w:tc>
          <w:tcPr>
            <w:tcW w:w="2832" w:type="dxa"/>
            <w:tcBorders>
              <w:top w:val="nil"/>
              <w:left w:val="single" w:sz="4" w:space="0" w:color="auto"/>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Compensation of employees</w:t>
            </w:r>
          </w:p>
        </w:tc>
        <w:tc>
          <w:tcPr>
            <w:tcW w:w="1902" w:type="dxa"/>
            <w:tcBorders>
              <w:top w:val="nil"/>
              <w:left w:val="nil"/>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162,3</w:t>
            </w:r>
          </w:p>
        </w:tc>
        <w:tc>
          <w:tcPr>
            <w:tcW w:w="1518" w:type="dxa"/>
            <w:tcBorders>
              <w:top w:val="nil"/>
              <w:left w:val="nil"/>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162</w:t>
            </w:r>
          </w:p>
        </w:tc>
        <w:tc>
          <w:tcPr>
            <w:tcW w:w="1730" w:type="dxa"/>
            <w:tcBorders>
              <w:top w:val="nil"/>
              <w:left w:val="nil"/>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w:t>
            </w:r>
          </w:p>
        </w:tc>
        <w:tc>
          <w:tcPr>
            <w:tcW w:w="1651" w:type="dxa"/>
            <w:tcBorders>
              <w:top w:val="nil"/>
              <w:left w:val="nil"/>
              <w:bottom w:val="single" w:sz="4" w:space="0" w:color="auto"/>
              <w:right w:val="single" w:sz="4" w:space="0" w:color="auto"/>
            </w:tcBorders>
            <w:shd w:val="clear" w:color="000000" w:fill="8497B0"/>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Goods and services</w:t>
            </w:r>
          </w:p>
        </w:tc>
        <w:tc>
          <w:tcPr>
            <w:tcW w:w="1902"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89,1</w:t>
            </w:r>
          </w:p>
        </w:tc>
        <w:tc>
          <w:tcPr>
            <w:tcW w:w="1518"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61</w:t>
            </w:r>
          </w:p>
        </w:tc>
        <w:tc>
          <w:tcPr>
            <w:tcW w:w="1730"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28</w:t>
            </w:r>
          </w:p>
        </w:tc>
        <w:tc>
          <w:tcPr>
            <w:tcW w:w="1651" w:type="dxa"/>
            <w:tcBorders>
              <w:top w:val="nil"/>
              <w:left w:val="nil"/>
              <w:bottom w:val="single" w:sz="4" w:space="0" w:color="auto"/>
              <w:right w:val="single" w:sz="4" w:space="0" w:color="auto"/>
            </w:tcBorders>
            <w:shd w:val="clear" w:color="000000" w:fill="ACB9CA"/>
          </w:tcPr>
          <w:p w:rsidR="001C6314" w:rsidRPr="001C6314" w:rsidRDefault="001C6314" w:rsidP="001C6314">
            <w:pPr>
              <w:rPr>
                <w:rFonts w:eastAsia="Calibri" w:cs="Arial"/>
                <w:b/>
                <w:bCs/>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Audit costs: External</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5,1</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5,1</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Computer services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9,3</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9,3</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564"/>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Consultants: Business and</w:t>
            </w:r>
            <w:r w:rsidRPr="001C6314">
              <w:rPr>
                <w:rFonts w:eastAsia="Calibri" w:cs="Arial"/>
                <w:color w:val="000000"/>
                <w:spacing w:val="6"/>
                <w:lang w:eastAsia="en-GB"/>
              </w:rPr>
              <w:br/>
              <w:t>advisory services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9,1</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9,1</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Operating leases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24,3</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24,3</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Travel and Subsistence</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21,3</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0</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21,3</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Venues and Facilities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6,1</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0</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6,1</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Transfers and subsidies</w:t>
            </w:r>
          </w:p>
        </w:tc>
        <w:tc>
          <w:tcPr>
            <w:tcW w:w="1902"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2151,1</w:t>
            </w:r>
          </w:p>
        </w:tc>
        <w:tc>
          <w:tcPr>
            <w:tcW w:w="1518"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2 112</w:t>
            </w:r>
          </w:p>
        </w:tc>
        <w:tc>
          <w:tcPr>
            <w:tcW w:w="1730" w:type="dxa"/>
            <w:tcBorders>
              <w:top w:val="nil"/>
              <w:left w:val="nil"/>
              <w:bottom w:val="single" w:sz="4" w:space="0" w:color="auto"/>
              <w:right w:val="single" w:sz="4" w:space="0" w:color="auto"/>
            </w:tcBorders>
            <w:shd w:val="clear" w:color="000000" w:fill="ACB9CA"/>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39</w:t>
            </w:r>
          </w:p>
        </w:tc>
        <w:tc>
          <w:tcPr>
            <w:tcW w:w="1651" w:type="dxa"/>
            <w:tcBorders>
              <w:top w:val="nil"/>
              <w:left w:val="nil"/>
              <w:bottom w:val="single" w:sz="4" w:space="0" w:color="auto"/>
              <w:right w:val="single" w:sz="4" w:space="0" w:color="auto"/>
            </w:tcBorders>
            <w:shd w:val="clear" w:color="000000" w:fill="ACB9CA"/>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1154,5</w:t>
            </w:r>
          </w:p>
        </w:tc>
      </w:tr>
      <w:tr w:rsidR="001C6314" w:rsidRPr="001C6314" w:rsidTr="00AB7B90">
        <w:trPr>
          <w:trHeight w:val="564"/>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Departmental agencies and accounts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889,1</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859</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30</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30</w:t>
            </w:r>
          </w:p>
        </w:tc>
      </w:tr>
      <w:tr w:rsidR="001C6314" w:rsidRPr="001C6314" w:rsidTr="00AB7B90">
        <w:trPr>
          <w:trHeight w:val="564"/>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Public corporations and</w:t>
            </w:r>
            <w:r w:rsidRPr="001C6314">
              <w:rPr>
                <w:rFonts w:eastAsia="Calibri" w:cs="Arial"/>
                <w:color w:val="000000"/>
                <w:spacing w:val="6"/>
                <w:lang w:eastAsia="en-GB"/>
              </w:rPr>
              <w:br/>
              <w:t>private enterprises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1 262</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1 253</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9</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1 124, 5</w:t>
            </w:r>
          </w:p>
        </w:tc>
      </w:tr>
      <w:tr w:rsidR="001C6314" w:rsidRPr="001C6314" w:rsidTr="00AB7B90">
        <w:trPr>
          <w:trHeight w:val="564"/>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Payments for capital assets</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4,3</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4,3</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Machinery and equipment </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4,3</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4,3</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_</w:t>
            </w:r>
          </w:p>
        </w:tc>
      </w:tr>
      <w:tr w:rsidR="001C6314" w:rsidRPr="001C6314" w:rsidTr="00AB7B90">
        <w:trPr>
          <w:trHeight w:val="288"/>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Total</w:t>
            </w:r>
          </w:p>
        </w:tc>
        <w:tc>
          <w:tcPr>
            <w:tcW w:w="1902"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2406,8</w:t>
            </w:r>
          </w:p>
        </w:tc>
        <w:tc>
          <w:tcPr>
            <w:tcW w:w="1518"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2339,8</w:t>
            </w:r>
          </w:p>
        </w:tc>
        <w:tc>
          <w:tcPr>
            <w:tcW w:w="1730"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67</w:t>
            </w:r>
          </w:p>
        </w:tc>
        <w:tc>
          <w:tcPr>
            <w:tcW w:w="1651" w:type="dxa"/>
            <w:tcBorders>
              <w:top w:val="nil"/>
              <w:left w:val="nil"/>
              <w:bottom w:val="single" w:sz="4" w:space="0" w:color="auto"/>
              <w:right w:val="single" w:sz="4" w:space="0" w:color="auto"/>
            </w:tcBorders>
          </w:tcPr>
          <w:p w:rsidR="001C6314" w:rsidRPr="001C6314" w:rsidRDefault="001C6314" w:rsidP="001C6314">
            <w:pPr>
              <w:rPr>
                <w:rFonts w:eastAsia="Calibri" w:cs="Arial"/>
                <w:b/>
                <w:bCs/>
                <w:color w:val="000000"/>
                <w:spacing w:val="6"/>
                <w:lang w:eastAsia="en-GB"/>
              </w:rPr>
            </w:pPr>
            <w:r w:rsidRPr="001C6314">
              <w:rPr>
                <w:rFonts w:eastAsia="Calibri" w:cs="Arial"/>
                <w:b/>
                <w:bCs/>
                <w:color w:val="000000"/>
                <w:spacing w:val="6"/>
                <w:lang w:eastAsia="en-GB"/>
              </w:rPr>
              <w:t>1154,5</w:t>
            </w:r>
          </w:p>
        </w:tc>
      </w:tr>
    </w:tbl>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Adapted from National Treasury 2020</w:t>
      </w:r>
    </w:p>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The table above shows that the budget for the Compensation of Employees has remained relatively unchanged. However, the Goods and Services’ budget has been revised down by about R28 million from R89.1 million to R61 million. The suspended amounts were taken from the following budgets;</w:t>
      </w:r>
    </w:p>
    <w:p w:rsidR="001C6314" w:rsidRPr="001C6314" w:rsidRDefault="001C6314" w:rsidP="001C6314">
      <w:pPr>
        <w:numPr>
          <w:ilvl w:val="0"/>
          <w:numId w:val="11"/>
        </w:numPr>
        <w:rPr>
          <w:rFonts w:eastAsia="Calibri" w:cs="Arial"/>
          <w:bCs/>
          <w:color w:val="000000"/>
          <w:spacing w:val="6"/>
          <w:lang w:eastAsia="en-GB"/>
        </w:rPr>
      </w:pPr>
      <w:r w:rsidRPr="001C6314">
        <w:rPr>
          <w:rFonts w:eastAsia="Calibri" w:cs="Arial"/>
          <w:bCs/>
          <w:color w:val="000000"/>
          <w:spacing w:val="6"/>
          <w:lang w:eastAsia="en-GB"/>
        </w:rPr>
        <w:t xml:space="preserve">Travel and Subsistence – R21.3 million. </w:t>
      </w:r>
    </w:p>
    <w:p w:rsidR="001C6314" w:rsidRPr="001C6314" w:rsidRDefault="001C6314" w:rsidP="001C6314">
      <w:pPr>
        <w:numPr>
          <w:ilvl w:val="0"/>
          <w:numId w:val="11"/>
        </w:numPr>
        <w:rPr>
          <w:rFonts w:eastAsia="Calibri" w:cs="Arial"/>
          <w:bCs/>
          <w:color w:val="000000"/>
          <w:spacing w:val="6"/>
          <w:lang w:eastAsia="en-GB"/>
        </w:rPr>
      </w:pPr>
      <w:r w:rsidRPr="001C6314">
        <w:rPr>
          <w:rFonts w:eastAsia="Calibri" w:cs="Arial"/>
          <w:bCs/>
          <w:color w:val="000000"/>
          <w:spacing w:val="6"/>
          <w:lang w:eastAsia="en-GB"/>
        </w:rPr>
        <w:t>Venues and Facilities - R6.1 million</w:t>
      </w:r>
      <w:r w:rsidR="00C329E0">
        <w:rPr>
          <w:rStyle w:val="FootnoteReference"/>
          <w:rFonts w:eastAsia="Calibri" w:cs="Arial"/>
          <w:bCs/>
          <w:color w:val="000000"/>
          <w:spacing w:val="6"/>
          <w:lang w:eastAsia="en-GB"/>
        </w:rPr>
        <w:footnoteReference w:id="13"/>
      </w:r>
      <w:r w:rsidRPr="001C6314">
        <w:rPr>
          <w:rFonts w:eastAsia="Calibri" w:cs="Arial"/>
          <w:bCs/>
          <w:color w:val="000000"/>
          <w:spacing w:val="6"/>
          <w:lang w:eastAsia="en-GB"/>
        </w:rPr>
        <w:t>.</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The Transfers and Subsidies budget was also revised down from R2.15 billion to R2.11 billion and the suspended amounts were from the following budgets </w:t>
      </w:r>
    </w:p>
    <w:p w:rsidR="001C6314" w:rsidRPr="001C6314" w:rsidRDefault="001C6314" w:rsidP="001C6314">
      <w:pPr>
        <w:numPr>
          <w:ilvl w:val="0"/>
          <w:numId w:val="12"/>
        </w:numPr>
        <w:rPr>
          <w:rFonts w:eastAsia="Calibri" w:cs="Arial"/>
          <w:bCs/>
          <w:color w:val="000000"/>
          <w:spacing w:val="6"/>
          <w:lang w:eastAsia="en-GB"/>
        </w:rPr>
      </w:pPr>
      <w:r w:rsidRPr="001C6314">
        <w:rPr>
          <w:rFonts w:eastAsia="Calibri" w:cs="Arial"/>
          <w:bCs/>
          <w:color w:val="000000"/>
          <w:spacing w:val="6"/>
          <w:lang w:eastAsia="en-GB"/>
        </w:rPr>
        <w:t>Departmental Agencies and Accounts – R30 million.</w:t>
      </w:r>
    </w:p>
    <w:p w:rsidR="001C6314" w:rsidRPr="001C6314" w:rsidRDefault="001C6314" w:rsidP="001C6314">
      <w:pPr>
        <w:numPr>
          <w:ilvl w:val="0"/>
          <w:numId w:val="12"/>
        </w:numPr>
        <w:rPr>
          <w:rFonts w:eastAsia="Calibri" w:cs="Arial"/>
          <w:bCs/>
          <w:color w:val="000000"/>
          <w:spacing w:val="6"/>
          <w:lang w:eastAsia="en-GB"/>
        </w:rPr>
      </w:pPr>
      <w:r w:rsidRPr="001C6314">
        <w:rPr>
          <w:rFonts w:eastAsia="Calibri" w:cs="Arial"/>
          <w:bCs/>
          <w:color w:val="000000"/>
          <w:spacing w:val="6"/>
          <w:lang w:eastAsia="en-GB"/>
        </w:rPr>
        <w:lastRenderedPageBreak/>
        <w:t>Public Corporations and privates enterprises – R9 million</w:t>
      </w:r>
      <w:r w:rsidR="00C329E0">
        <w:rPr>
          <w:rStyle w:val="FootnoteReference"/>
          <w:rFonts w:eastAsia="Calibri" w:cs="Arial"/>
          <w:bCs/>
          <w:color w:val="000000"/>
          <w:spacing w:val="6"/>
          <w:lang w:eastAsia="en-GB"/>
        </w:rPr>
        <w:footnoteReference w:id="14"/>
      </w:r>
      <w:r w:rsidRPr="001C6314">
        <w:rPr>
          <w:rFonts w:eastAsia="Calibri" w:cs="Arial"/>
          <w:bCs/>
          <w:color w:val="000000"/>
          <w:spacing w:val="6"/>
          <w:lang w:eastAsia="en-GB"/>
        </w:rPr>
        <w:t xml:space="preserve">.      </w:t>
      </w:r>
    </w:p>
    <w:p w:rsidR="001C6314" w:rsidRPr="001C6314" w:rsidRDefault="001C6314" w:rsidP="001C6314">
      <w:pPr>
        <w:rPr>
          <w:rFonts w:eastAsia="Calibri" w:cs="Arial"/>
          <w:b/>
          <w:bCs/>
          <w:color w:val="000000"/>
          <w:spacing w:val="6"/>
          <w:lang w:eastAsia="en-GB"/>
        </w:rPr>
      </w:pPr>
    </w:p>
    <w:p w:rsidR="001C6314" w:rsidRPr="00BE2862" w:rsidRDefault="008E0A71" w:rsidP="008E0A71">
      <w:pPr>
        <w:pStyle w:val="Heading2"/>
        <w:rPr>
          <w:rFonts w:ascii="Arial" w:eastAsia="Calibri" w:hAnsi="Arial" w:cs="Arial"/>
          <w:b/>
          <w:sz w:val="22"/>
          <w:szCs w:val="22"/>
          <w:lang w:eastAsia="en-GB"/>
        </w:rPr>
      </w:pPr>
      <w:bookmarkStart w:id="4" w:name="_Toc45609615"/>
      <w:r w:rsidRPr="00BE2862">
        <w:rPr>
          <w:rFonts w:ascii="Arial" w:eastAsia="Calibri" w:hAnsi="Arial" w:cs="Arial"/>
          <w:b/>
          <w:sz w:val="22"/>
          <w:szCs w:val="22"/>
          <w:lang w:eastAsia="en-GB"/>
        </w:rPr>
        <w:t xml:space="preserve">3.1 Suspensions and </w:t>
      </w:r>
      <w:proofErr w:type="spellStart"/>
      <w:r w:rsidRPr="00BE2862">
        <w:rPr>
          <w:rFonts w:ascii="Arial" w:eastAsia="Calibri" w:hAnsi="Arial" w:cs="Arial"/>
          <w:b/>
          <w:sz w:val="22"/>
          <w:szCs w:val="22"/>
          <w:lang w:eastAsia="en-GB"/>
        </w:rPr>
        <w:t>Virements</w:t>
      </w:r>
      <w:proofErr w:type="spellEnd"/>
      <w:r w:rsidRPr="00BE2862">
        <w:rPr>
          <w:rFonts w:ascii="Arial" w:eastAsia="Calibri" w:hAnsi="Arial" w:cs="Arial"/>
          <w:b/>
          <w:sz w:val="22"/>
          <w:szCs w:val="22"/>
          <w:lang w:eastAsia="en-GB"/>
        </w:rPr>
        <w:t>: Departmental Agencies and Public Cooperation</w:t>
      </w:r>
      <w:bookmarkEnd w:id="4"/>
      <w:r w:rsidRPr="00BE2862">
        <w:rPr>
          <w:rFonts w:ascii="Arial" w:eastAsia="Calibri" w:hAnsi="Arial" w:cs="Arial"/>
          <w:b/>
          <w:sz w:val="22"/>
          <w:szCs w:val="22"/>
          <w:lang w:eastAsia="en-GB"/>
        </w:rPr>
        <w:t xml:space="preserve"> </w:t>
      </w:r>
    </w:p>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Approximately R1.154 billion was reprioritised for COVID intervention</w:t>
      </w:r>
      <w:r w:rsidRPr="001C6314">
        <w:rPr>
          <w:rFonts w:eastAsia="Calibri" w:cs="Arial"/>
          <w:b/>
          <w:bCs/>
          <w:color w:val="000000"/>
          <w:spacing w:val="6"/>
          <w:lang w:eastAsia="en-GB"/>
        </w:rPr>
        <w:t xml:space="preserve">. </w:t>
      </w:r>
      <w:r w:rsidRPr="001C6314">
        <w:rPr>
          <w:rFonts w:eastAsia="Calibri" w:cs="Arial"/>
          <w:bCs/>
          <w:color w:val="000000"/>
          <w:spacing w:val="6"/>
          <w:lang w:eastAsia="en-GB"/>
        </w:rPr>
        <w:t xml:space="preserve">The reprioritised amounts were </w:t>
      </w:r>
      <w:proofErr w:type="spellStart"/>
      <w:r w:rsidRPr="001C6314">
        <w:rPr>
          <w:rFonts w:eastAsia="Calibri" w:cs="Arial"/>
          <w:bCs/>
          <w:color w:val="000000"/>
          <w:spacing w:val="6"/>
          <w:lang w:eastAsia="en-GB"/>
        </w:rPr>
        <w:t>virements</w:t>
      </w:r>
      <w:proofErr w:type="spellEnd"/>
      <w:r w:rsidRPr="001C6314">
        <w:rPr>
          <w:rFonts w:eastAsia="Calibri" w:cs="Arial"/>
          <w:b/>
          <w:bCs/>
          <w:color w:val="000000"/>
          <w:spacing w:val="6"/>
          <w:lang w:eastAsia="en-GB"/>
        </w:rPr>
        <w:t xml:space="preserve"> </w:t>
      </w:r>
      <w:r w:rsidRPr="001C6314">
        <w:rPr>
          <w:rFonts w:eastAsia="Calibri" w:cs="Arial"/>
          <w:bCs/>
          <w:color w:val="000000"/>
          <w:spacing w:val="6"/>
          <w:lang w:eastAsia="en-GB"/>
        </w:rPr>
        <w:t>from Departmental Agencies</w:t>
      </w:r>
      <w:r w:rsidRPr="001C6314">
        <w:rPr>
          <w:rFonts w:eastAsia="Calibri" w:cs="Arial"/>
          <w:b/>
          <w:bCs/>
          <w:color w:val="000000"/>
          <w:spacing w:val="6"/>
          <w:lang w:eastAsia="en-GB"/>
        </w:rPr>
        <w:t xml:space="preserve"> </w:t>
      </w:r>
      <w:r w:rsidRPr="001C6314">
        <w:rPr>
          <w:rFonts w:eastAsia="Calibri" w:cs="Arial"/>
          <w:color w:val="000000"/>
          <w:spacing w:val="6"/>
          <w:lang w:eastAsia="en-GB"/>
        </w:rPr>
        <w:t xml:space="preserve">as well as Departmental Agencies and Public Corporations.  Cooperative Incentive Scheme (CIS), SEDA’s National Gazelle programme as well as, to finance the COVID 19 interventions. </w:t>
      </w:r>
      <w:r w:rsidRPr="001C6314">
        <w:rPr>
          <w:rFonts w:eastAsia="Calibri" w:cs="Arial"/>
          <w:bCs/>
          <w:color w:val="000000"/>
          <w:spacing w:val="6"/>
          <w:lang w:eastAsia="en-GB"/>
        </w:rPr>
        <w:t>Funds were reprioritised to support small enterprises affected by COVID-19, to protect and sustain jobs</w:t>
      </w:r>
      <w:r w:rsidRPr="001C6314">
        <w:rPr>
          <w:rFonts w:eastAsia="Calibri" w:cs="Arial"/>
          <w:bCs/>
          <w:color w:val="000000"/>
          <w:spacing w:val="6"/>
          <w:vertAlign w:val="superscript"/>
          <w:lang w:eastAsia="en-GB"/>
        </w:rPr>
        <w:footnoteReference w:id="15"/>
      </w:r>
      <w:r w:rsidRPr="001C6314">
        <w:rPr>
          <w:rFonts w:eastAsia="Calibri" w:cs="Arial"/>
          <w:bCs/>
          <w:color w:val="000000"/>
          <w:spacing w:val="6"/>
          <w:lang w:eastAsia="en-GB"/>
        </w:rPr>
        <w:t xml:space="preserve">. </w:t>
      </w:r>
    </w:p>
    <w:p w:rsidR="001C6314" w:rsidRPr="001C6314" w:rsidRDefault="001C6314" w:rsidP="001C6314">
      <w:pPr>
        <w:rPr>
          <w:rFonts w:eastAsia="Calibri" w:cs="Arial"/>
          <w:b/>
          <w:bCs/>
          <w:color w:val="000000"/>
          <w:spacing w:val="6"/>
          <w:lang w:eastAsia="en-GB"/>
        </w:rPr>
      </w:pPr>
    </w:p>
    <w:tbl>
      <w:tblPr>
        <w:tblW w:w="6346" w:type="dxa"/>
        <w:tblInd w:w="-5" w:type="dxa"/>
        <w:tblLook w:val="04A0" w:firstRow="1" w:lastRow="0" w:firstColumn="1" w:lastColumn="0" w:noHBand="0" w:noVBand="1"/>
      </w:tblPr>
      <w:tblGrid>
        <w:gridCol w:w="3775"/>
        <w:gridCol w:w="2571"/>
      </w:tblGrid>
      <w:tr w:rsidR="001C6314" w:rsidRPr="001C6314" w:rsidTr="00AB7B90">
        <w:trPr>
          <w:trHeight w:val="466"/>
        </w:trPr>
        <w:tc>
          <w:tcPr>
            <w:tcW w:w="3775" w:type="dxa"/>
            <w:tcBorders>
              <w:top w:val="single" w:sz="4" w:space="0" w:color="auto"/>
              <w:left w:val="single" w:sz="4" w:space="0" w:color="auto"/>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Programme</w:t>
            </w:r>
          </w:p>
        </w:tc>
        <w:tc>
          <w:tcPr>
            <w:tcW w:w="2571" w:type="dxa"/>
            <w:tcBorders>
              <w:top w:val="single" w:sz="4" w:space="0" w:color="auto"/>
              <w:left w:val="nil"/>
              <w:bottom w:val="single" w:sz="4" w:space="0" w:color="auto"/>
              <w:right w:val="single" w:sz="4" w:space="0" w:color="auto"/>
            </w:tcBorders>
            <w:shd w:val="clear" w:color="000000" w:fill="8497B0"/>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Amount           </w:t>
            </w: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(in millions)</w:t>
            </w:r>
          </w:p>
        </w:tc>
      </w:tr>
      <w:tr w:rsidR="001C6314" w:rsidRPr="001C6314" w:rsidTr="00AB7B90">
        <w:trPr>
          <w:trHeight w:val="466"/>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SEDA : National Gazelles </w:t>
            </w:r>
          </w:p>
        </w:tc>
        <w:tc>
          <w:tcPr>
            <w:tcW w:w="2571"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30</w:t>
            </w:r>
          </w:p>
        </w:tc>
      </w:tr>
      <w:tr w:rsidR="001C6314" w:rsidRPr="001C6314" w:rsidTr="00AB7B90">
        <w:trPr>
          <w:trHeight w:val="238"/>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Department : BBSDP</w:t>
            </w:r>
          </w:p>
        </w:tc>
        <w:tc>
          <w:tcPr>
            <w:tcW w:w="2571"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270</w:t>
            </w:r>
          </w:p>
        </w:tc>
      </w:tr>
      <w:tr w:rsidR="001C6314" w:rsidRPr="001C6314" w:rsidTr="00AB7B90">
        <w:trPr>
          <w:trHeight w:val="238"/>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Department : NIBUS </w:t>
            </w:r>
          </w:p>
        </w:tc>
        <w:tc>
          <w:tcPr>
            <w:tcW w:w="2571"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70</w:t>
            </w:r>
          </w:p>
        </w:tc>
      </w:tr>
      <w:tr w:rsidR="001C6314" w:rsidRPr="001C6314" w:rsidTr="00AB7B90">
        <w:trPr>
          <w:trHeight w:val="238"/>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Department :CIS</w:t>
            </w:r>
          </w:p>
        </w:tc>
        <w:tc>
          <w:tcPr>
            <w:tcW w:w="2571" w:type="dxa"/>
            <w:tcBorders>
              <w:top w:val="nil"/>
              <w:left w:val="nil"/>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23,5</w:t>
            </w:r>
          </w:p>
        </w:tc>
      </w:tr>
      <w:tr w:rsidR="001C6314" w:rsidRPr="001C6314" w:rsidTr="00AB7B90">
        <w:trPr>
          <w:trHeight w:val="353"/>
        </w:trPr>
        <w:tc>
          <w:tcPr>
            <w:tcW w:w="3775" w:type="dxa"/>
            <w:tcBorders>
              <w:top w:val="single" w:sz="4" w:space="0" w:color="auto"/>
              <w:left w:val="single" w:sz="4" w:space="0" w:color="auto"/>
              <w:bottom w:val="single" w:sz="4" w:space="0" w:color="auto"/>
              <w:right w:val="nil"/>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SEFA: Township Entrepreneurship Fund </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800</w:t>
            </w:r>
          </w:p>
        </w:tc>
      </w:tr>
    </w:tbl>
    <w:p w:rsidR="001C6314" w:rsidRPr="001C6314" w:rsidRDefault="001C6314" w:rsidP="001C6314">
      <w:pPr>
        <w:rPr>
          <w:rFonts w:eastAsia="Calibri" w:cs="Arial"/>
          <w:b/>
          <w:bCs/>
          <w:color w:val="000000"/>
          <w:spacing w:val="6"/>
          <w:lang w:eastAsia="en-GB"/>
        </w:rPr>
      </w:pPr>
    </w:p>
    <w:p w:rsidR="001C6314" w:rsidRPr="001C6314" w:rsidRDefault="001C6314" w:rsidP="001C6314">
      <w:pPr>
        <w:rPr>
          <w:rFonts w:eastAsia="Calibri" w:cs="Arial"/>
          <w:b/>
          <w:bCs/>
          <w:i/>
          <w:color w:val="000000"/>
          <w:spacing w:val="6"/>
          <w:lang w:eastAsia="en-GB"/>
        </w:rPr>
      </w:pPr>
    </w:p>
    <w:p w:rsidR="001C6314" w:rsidRPr="001C6314" w:rsidRDefault="00F06680" w:rsidP="001C6314">
      <w:pPr>
        <w:rPr>
          <w:rFonts w:eastAsia="Calibri" w:cs="Arial"/>
          <w:b/>
          <w:bCs/>
          <w:i/>
          <w:color w:val="000000"/>
          <w:spacing w:val="6"/>
          <w:lang w:eastAsia="en-GB"/>
        </w:rPr>
      </w:pPr>
      <w:r>
        <w:rPr>
          <w:rFonts w:eastAsia="Calibri" w:cs="Arial"/>
          <w:b/>
          <w:bCs/>
          <w:i/>
          <w:color w:val="000000"/>
          <w:spacing w:val="6"/>
          <w:lang w:eastAsia="en-GB"/>
        </w:rPr>
        <w:t xml:space="preserve">3.1.1 </w:t>
      </w:r>
      <w:r w:rsidR="001C6314" w:rsidRPr="001C6314">
        <w:rPr>
          <w:rFonts w:eastAsia="Calibri" w:cs="Arial"/>
          <w:b/>
          <w:bCs/>
          <w:i/>
          <w:color w:val="000000"/>
          <w:spacing w:val="6"/>
          <w:lang w:eastAsia="en-GB"/>
        </w:rPr>
        <w:t>National Gazelles</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val="en-GB" w:eastAsia="en-GB"/>
        </w:rPr>
        <w:t>The National Gazelles is a flagship SME support programme of Seda and the Department of Small Business Development. It aims to identify and support SMEs with growth potential through a comprehensive range of business growth-oriented programmes, activities and partnerships. Through its combination of financial and non-financial support, the National Gazelles aims to assist members to grow faster and more profitably than they would normally do</w:t>
      </w:r>
      <w:r w:rsidRPr="001C6314">
        <w:rPr>
          <w:rFonts w:eastAsia="Calibri" w:cs="Arial"/>
          <w:bCs/>
          <w:color w:val="000000"/>
          <w:spacing w:val="6"/>
          <w:vertAlign w:val="superscript"/>
          <w:lang w:val="en-GB" w:eastAsia="en-GB"/>
        </w:rPr>
        <w:footnoteReference w:id="16"/>
      </w:r>
      <w:r w:rsidRPr="001C6314">
        <w:rPr>
          <w:rFonts w:eastAsia="Calibri" w:cs="Arial"/>
          <w:bCs/>
          <w:color w:val="000000"/>
          <w:spacing w:val="6"/>
          <w:lang w:val="en-GB" w:eastAsia="en-GB"/>
        </w:rPr>
        <w:t>. </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In its 2019/20 Quarterly Reports, SEDA reported that the entity would not be continuing with the National Gazelles programme over the 2019/20 financial year. The entire budget of R30 million, representing 100 per cent of the monies allocated to the National Gazelles programme in the current financial year, was moved to the COVID 19 response fund</w:t>
      </w:r>
      <w:r w:rsidRPr="001C6314">
        <w:rPr>
          <w:rFonts w:eastAsia="Calibri" w:cs="Arial"/>
          <w:bCs/>
          <w:color w:val="000000"/>
          <w:spacing w:val="6"/>
          <w:vertAlign w:val="superscript"/>
          <w:lang w:eastAsia="en-GB"/>
        </w:rPr>
        <w:footnoteReference w:id="17"/>
      </w:r>
      <w:r w:rsidRPr="001C6314">
        <w:rPr>
          <w:rFonts w:eastAsia="Calibri" w:cs="Arial"/>
          <w:bCs/>
          <w:color w:val="000000"/>
          <w:spacing w:val="6"/>
          <w:lang w:eastAsia="en-GB"/>
        </w:rPr>
        <w:t xml:space="preserve">. </w:t>
      </w:r>
    </w:p>
    <w:p w:rsidR="001C6314" w:rsidRPr="001C6314" w:rsidRDefault="001C6314" w:rsidP="001C6314">
      <w:pPr>
        <w:rPr>
          <w:rFonts w:eastAsia="Calibri" w:cs="Arial"/>
          <w:b/>
          <w:color w:val="000000"/>
          <w:spacing w:val="6"/>
          <w:lang w:val="en-GB" w:eastAsia="en-GB"/>
        </w:rPr>
      </w:pPr>
    </w:p>
    <w:p w:rsidR="001C6314" w:rsidRPr="001C6314" w:rsidRDefault="00F06680" w:rsidP="001C6314">
      <w:pPr>
        <w:rPr>
          <w:rFonts w:eastAsia="Calibri" w:cs="Arial"/>
          <w:b/>
          <w:bCs/>
          <w:i/>
          <w:color w:val="000000"/>
          <w:spacing w:val="6"/>
          <w:lang w:eastAsia="en-GB"/>
        </w:rPr>
      </w:pPr>
      <w:r>
        <w:rPr>
          <w:rFonts w:eastAsia="Calibri" w:cs="Arial"/>
          <w:b/>
          <w:bCs/>
          <w:i/>
          <w:color w:val="000000"/>
          <w:spacing w:val="6"/>
          <w:lang w:eastAsia="en-GB"/>
        </w:rPr>
        <w:t xml:space="preserve">3.1.2 </w:t>
      </w:r>
      <w:r w:rsidR="001C6314" w:rsidRPr="001C6314">
        <w:rPr>
          <w:rFonts w:eastAsia="Calibri" w:cs="Arial"/>
          <w:b/>
          <w:bCs/>
          <w:i/>
          <w:color w:val="000000"/>
          <w:spacing w:val="6"/>
          <w:lang w:eastAsia="en-GB"/>
        </w:rPr>
        <w:t>Black Business Supplier development</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val="en-GB" w:eastAsia="en-GB"/>
        </w:rPr>
      </w:pPr>
      <w:r w:rsidRPr="001C6314">
        <w:rPr>
          <w:rFonts w:eastAsia="Calibri" w:cs="Arial"/>
          <w:bCs/>
          <w:color w:val="000000"/>
          <w:spacing w:val="6"/>
          <w:lang w:val="en-GB" w:eastAsia="en-GB"/>
        </w:rPr>
        <w:t xml:space="preserve">The Black Business Supplier Development Programme (BBSDP) is a cost-sharing grant offered to black-owned small enterprises to assist them to improve their competitiveness and sustainability to become part of the mainstream economy and create employment. It entails; </w:t>
      </w:r>
    </w:p>
    <w:p w:rsidR="001C6314" w:rsidRPr="001C6314" w:rsidRDefault="001C6314" w:rsidP="001C6314">
      <w:pPr>
        <w:numPr>
          <w:ilvl w:val="0"/>
          <w:numId w:val="8"/>
        </w:numPr>
        <w:rPr>
          <w:rFonts w:eastAsia="Calibri" w:cs="Arial"/>
          <w:bCs/>
          <w:color w:val="000000"/>
          <w:spacing w:val="6"/>
          <w:lang w:eastAsia="en-GB"/>
        </w:rPr>
      </w:pPr>
      <w:r w:rsidRPr="001C6314">
        <w:rPr>
          <w:rFonts w:eastAsia="Calibri" w:cs="Arial"/>
          <w:bCs/>
          <w:color w:val="000000"/>
          <w:spacing w:val="6"/>
          <w:lang w:eastAsia="en-GB"/>
        </w:rPr>
        <w:lastRenderedPageBreak/>
        <w:t>R800 000 for tools, machinery and equipment on a 50:50 cost-sharing basis; and</w:t>
      </w:r>
    </w:p>
    <w:p w:rsidR="001C6314" w:rsidRPr="001C6314" w:rsidRDefault="001C6314" w:rsidP="001C6314">
      <w:pPr>
        <w:numPr>
          <w:ilvl w:val="0"/>
          <w:numId w:val="8"/>
        </w:numPr>
        <w:rPr>
          <w:rFonts w:eastAsia="Calibri" w:cs="Arial"/>
          <w:bCs/>
          <w:color w:val="000000"/>
          <w:spacing w:val="6"/>
          <w:lang w:eastAsia="en-GB"/>
        </w:rPr>
      </w:pPr>
      <w:r w:rsidRPr="001C6314">
        <w:rPr>
          <w:rFonts w:eastAsia="Calibri" w:cs="Arial"/>
          <w:bCs/>
          <w:color w:val="000000"/>
          <w:spacing w:val="6"/>
          <w:lang w:eastAsia="en-GB"/>
        </w:rPr>
        <w:t>R200 000 for business development and training interventions per eligible enterprise to improve their corporate governance, management, marketing, productivity and use of modern technology on an 80:20 cost-sharing basis</w:t>
      </w:r>
      <w:r w:rsidRPr="001C6314">
        <w:rPr>
          <w:rFonts w:eastAsia="Calibri" w:cs="Arial"/>
          <w:bCs/>
          <w:color w:val="000000"/>
          <w:spacing w:val="6"/>
          <w:vertAlign w:val="superscript"/>
          <w:lang w:eastAsia="en-GB"/>
        </w:rPr>
        <w:footnoteReference w:id="18"/>
      </w:r>
      <w:r w:rsidRPr="001C6314">
        <w:rPr>
          <w:rFonts w:eastAsia="Calibri" w:cs="Arial"/>
          <w:bCs/>
          <w:color w:val="000000"/>
          <w:spacing w:val="6"/>
          <w:lang w:eastAsia="en-GB"/>
        </w:rPr>
        <w:t>.</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val="en-GB" w:eastAsia="en-GB"/>
        </w:rPr>
      </w:pPr>
      <w:r w:rsidRPr="001C6314">
        <w:rPr>
          <w:rFonts w:eastAsia="Calibri" w:cs="Arial"/>
          <w:bCs/>
          <w:color w:val="000000"/>
          <w:spacing w:val="6"/>
          <w:lang w:eastAsia="en-GB"/>
        </w:rPr>
        <w:t>The Black Business Supplier (BBSDP) Development programme was allocated R283.8 million. Of that amount R270 million representing about 95 per cent has been secured for the COVID 19 Fund</w:t>
      </w:r>
      <w:r w:rsidRPr="001C6314">
        <w:rPr>
          <w:rFonts w:eastAsia="Calibri" w:cs="Arial"/>
          <w:bCs/>
          <w:color w:val="000000"/>
          <w:spacing w:val="6"/>
          <w:vertAlign w:val="superscript"/>
          <w:lang w:eastAsia="en-GB"/>
        </w:rPr>
        <w:footnoteReference w:id="19"/>
      </w:r>
      <w:r w:rsidRPr="001C6314">
        <w:rPr>
          <w:rFonts w:eastAsia="Calibri" w:cs="Arial"/>
          <w:bCs/>
          <w:color w:val="000000"/>
          <w:spacing w:val="6"/>
          <w:lang w:eastAsia="en-GB"/>
        </w:rPr>
        <w:t xml:space="preserve">.         </w:t>
      </w:r>
    </w:p>
    <w:p w:rsidR="001C6314" w:rsidRPr="001C6314" w:rsidRDefault="001C6314" w:rsidP="001C6314">
      <w:pPr>
        <w:rPr>
          <w:rFonts w:eastAsia="Calibri" w:cs="Arial"/>
          <w:bCs/>
          <w:color w:val="000000"/>
          <w:spacing w:val="6"/>
          <w:lang w:val="en-GB" w:eastAsia="en-GB"/>
        </w:rPr>
      </w:pPr>
    </w:p>
    <w:p w:rsidR="001C6314" w:rsidRPr="001C6314" w:rsidRDefault="00F06680" w:rsidP="001C6314">
      <w:pPr>
        <w:rPr>
          <w:rFonts w:eastAsia="Calibri" w:cs="Arial"/>
          <w:b/>
          <w:i/>
          <w:color w:val="000000"/>
          <w:spacing w:val="6"/>
          <w:lang w:eastAsia="en-GB"/>
        </w:rPr>
      </w:pPr>
      <w:r>
        <w:rPr>
          <w:rFonts w:eastAsia="Calibri" w:cs="Arial"/>
          <w:b/>
          <w:i/>
          <w:color w:val="000000"/>
          <w:spacing w:val="6"/>
          <w:lang w:eastAsia="en-GB"/>
        </w:rPr>
        <w:t xml:space="preserve">3.1.4 </w:t>
      </w:r>
      <w:r w:rsidR="001C6314" w:rsidRPr="001C6314">
        <w:rPr>
          <w:rFonts w:eastAsia="Calibri" w:cs="Arial"/>
          <w:b/>
          <w:i/>
          <w:color w:val="000000"/>
          <w:spacing w:val="6"/>
          <w:lang w:eastAsia="en-GB"/>
        </w:rPr>
        <w:t xml:space="preserve">National informal business </w:t>
      </w:r>
      <w:proofErr w:type="spellStart"/>
      <w:r w:rsidR="001C6314" w:rsidRPr="001C6314">
        <w:rPr>
          <w:rFonts w:eastAsia="Calibri" w:cs="Arial"/>
          <w:b/>
          <w:i/>
          <w:color w:val="000000"/>
          <w:spacing w:val="6"/>
          <w:lang w:eastAsia="en-GB"/>
        </w:rPr>
        <w:t>upliftment</w:t>
      </w:r>
      <w:proofErr w:type="spellEnd"/>
      <w:r w:rsidR="001C6314" w:rsidRPr="001C6314">
        <w:rPr>
          <w:rFonts w:eastAsia="Calibri" w:cs="Arial"/>
          <w:b/>
          <w:i/>
          <w:color w:val="000000"/>
          <w:spacing w:val="6"/>
          <w:lang w:eastAsia="en-GB"/>
        </w:rPr>
        <w:t xml:space="preserve"> scheme</w:t>
      </w:r>
    </w:p>
    <w:p w:rsidR="001C6314" w:rsidRPr="001C6314" w:rsidRDefault="001C6314" w:rsidP="001C6314">
      <w:pPr>
        <w:rPr>
          <w:rFonts w:eastAsia="Calibri" w:cs="Arial"/>
          <w:color w:val="000000"/>
          <w:spacing w:val="6"/>
          <w:lang w:val="en-GB"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val="en-GB" w:eastAsia="en-GB"/>
        </w:rPr>
        <w:t xml:space="preserve">The NIBUS seeks to uplift informal businesses and render support to local chambers/business associations and Municipal Local Economic Development offices to deliver and facilitate access to </w:t>
      </w:r>
      <w:proofErr w:type="spellStart"/>
      <w:r w:rsidRPr="001C6314">
        <w:rPr>
          <w:rFonts w:eastAsia="Calibri" w:cs="Arial"/>
          <w:color w:val="000000"/>
          <w:spacing w:val="6"/>
          <w:lang w:val="en-GB" w:eastAsia="en-GB"/>
        </w:rPr>
        <w:t>upliftment</w:t>
      </w:r>
      <w:proofErr w:type="spellEnd"/>
      <w:r w:rsidRPr="001C6314">
        <w:rPr>
          <w:rFonts w:eastAsia="Calibri" w:cs="Arial"/>
          <w:color w:val="000000"/>
          <w:spacing w:val="6"/>
          <w:lang w:val="en-GB" w:eastAsia="en-GB"/>
        </w:rPr>
        <w:t xml:space="preserve"> programmes. The focus will mainly be on designated groups, i.e. women, youth and people with disabilities, in townships and rural areas of South Africa. NIBUS is</w:t>
      </w:r>
      <w:r w:rsidR="007F03B1">
        <w:rPr>
          <w:rFonts w:eastAsia="Calibri" w:cs="Arial"/>
          <w:color w:val="000000"/>
          <w:spacing w:val="6"/>
          <w:lang w:val="en-GB" w:eastAsia="en-GB"/>
        </w:rPr>
        <w:t xml:space="preserve"> </w:t>
      </w:r>
      <w:r w:rsidRPr="001C6314">
        <w:rPr>
          <w:rFonts w:eastAsia="Calibri" w:cs="Arial"/>
          <w:color w:val="000000"/>
          <w:spacing w:val="6"/>
          <w:lang w:val="en-GB" w:eastAsia="en-GB"/>
        </w:rPr>
        <w:t>driven by the Department of Small Business Development to address the development void at the lower base of Small, Medium and Micro Enterprise (SMME) Development</w:t>
      </w:r>
      <w:r w:rsidRPr="001C6314">
        <w:rPr>
          <w:rFonts w:eastAsia="Calibri" w:cs="Arial"/>
          <w:color w:val="000000"/>
          <w:spacing w:val="6"/>
          <w:vertAlign w:val="superscript"/>
          <w:lang w:val="en-GB" w:eastAsia="en-GB"/>
        </w:rPr>
        <w:footnoteReference w:id="20"/>
      </w:r>
      <w:r w:rsidRPr="001C6314">
        <w:rPr>
          <w:rFonts w:eastAsia="Calibri" w:cs="Arial"/>
          <w:color w:val="000000"/>
          <w:spacing w:val="6"/>
          <w:lang w:val="en-GB" w:eastAsia="en-GB"/>
        </w:rPr>
        <w:t>.</w:t>
      </w:r>
    </w:p>
    <w:p w:rsidR="001C6314" w:rsidRPr="001C6314" w:rsidRDefault="001C6314" w:rsidP="001C6314">
      <w:pPr>
        <w:rPr>
          <w:rFonts w:eastAsia="Calibri" w:cs="Arial"/>
          <w:color w:val="000000"/>
          <w:spacing w:val="6"/>
          <w:lang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eastAsia="en-GB"/>
        </w:rPr>
        <w:t>The NIBUS received a budget allocation of R79.8 million in the 2020 budget. Approximately R70 million was transferred from the scheme to the COVID 19 interventions</w:t>
      </w:r>
      <w:r w:rsidRPr="001C6314">
        <w:rPr>
          <w:rFonts w:eastAsia="Calibri" w:cs="Arial"/>
          <w:color w:val="000000"/>
          <w:spacing w:val="6"/>
          <w:vertAlign w:val="superscript"/>
          <w:lang w:eastAsia="en-GB"/>
        </w:rPr>
        <w:footnoteReference w:id="21"/>
      </w:r>
      <w:r w:rsidRPr="001C6314">
        <w:rPr>
          <w:rFonts w:eastAsia="Calibri" w:cs="Arial"/>
          <w:color w:val="000000"/>
          <w:spacing w:val="6"/>
          <w:lang w:eastAsia="en-GB"/>
        </w:rPr>
        <w:t xml:space="preserve">.  </w:t>
      </w:r>
    </w:p>
    <w:p w:rsidR="001C6314" w:rsidRPr="001C6314" w:rsidRDefault="001C6314" w:rsidP="001C6314">
      <w:pPr>
        <w:rPr>
          <w:rFonts w:eastAsia="Calibri" w:cs="Arial"/>
          <w:color w:val="000000"/>
          <w:spacing w:val="6"/>
          <w:lang w:eastAsia="en-GB"/>
        </w:rPr>
      </w:pPr>
    </w:p>
    <w:p w:rsidR="001C6314" w:rsidRPr="001C6314" w:rsidRDefault="00F06680" w:rsidP="001C6314">
      <w:pPr>
        <w:rPr>
          <w:rFonts w:eastAsia="Calibri" w:cs="Arial"/>
          <w:b/>
          <w:i/>
          <w:color w:val="000000"/>
          <w:spacing w:val="6"/>
          <w:lang w:val="en-GB" w:eastAsia="en-GB"/>
        </w:rPr>
      </w:pPr>
      <w:r>
        <w:rPr>
          <w:rFonts w:eastAsia="Calibri" w:cs="Arial"/>
          <w:b/>
          <w:i/>
          <w:color w:val="000000"/>
          <w:spacing w:val="6"/>
          <w:lang w:val="en-GB" w:eastAsia="en-GB"/>
        </w:rPr>
        <w:t xml:space="preserve">3.1.5 </w:t>
      </w:r>
      <w:r w:rsidR="001C6314" w:rsidRPr="001C6314">
        <w:rPr>
          <w:rFonts w:eastAsia="Calibri" w:cs="Arial"/>
          <w:b/>
          <w:i/>
          <w:color w:val="000000"/>
          <w:spacing w:val="6"/>
          <w:lang w:val="en-GB" w:eastAsia="en-GB"/>
        </w:rPr>
        <w:t>Co-operative Incentive Scheme</w:t>
      </w:r>
    </w:p>
    <w:p w:rsidR="001C6314" w:rsidRPr="001C6314" w:rsidRDefault="001C6314" w:rsidP="001C6314">
      <w:pPr>
        <w:rPr>
          <w:rFonts w:eastAsia="Calibri" w:cs="Arial"/>
          <w:color w:val="000000"/>
          <w:spacing w:val="6"/>
          <w:lang w:val="en-GB" w:eastAsia="en-GB"/>
        </w:rPr>
      </w:pPr>
    </w:p>
    <w:p w:rsidR="001C6314" w:rsidRPr="001C6314" w:rsidRDefault="001C6314" w:rsidP="001C6314">
      <w:pPr>
        <w:rPr>
          <w:rFonts w:eastAsia="Calibri" w:cs="Arial"/>
          <w:color w:val="000000"/>
          <w:spacing w:val="6"/>
          <w:lang w:eastAsia="en-GB"/>
        </w:rPr>
      </w:pPr>
      <w:r w:rsidRPr="001C6314">
        <w:rPr>
          <w:rFonts w:eastAsia="Calibri" w:cs="Arial"/>
          <w:color w:val="000000"/>
          <w:spacing w:val="6"/>
          <w:lang w:val="en-GB" w:eastAsia="en-GB"/>
        </w:rPr>
        <w:t>The Co-operative Incentive Scheme (CIS) is a 100% grant for registered primary co-operatives (a primary co-operative consists of five or more members). The objective of the CIS is to improve the viability and competitiveness of co-operative enterprises by lowering their cost of doing business through an incentive that supports Broad-Based Black Economic Empowerment. The Department administers the Scheme</w:t>
      </w:r>
      <w:r w:rsidRPr="001C6314">
        <w:rPr>
          <w:rFonts w:eastAsia="Calibri" w:cs="Arial"/>
          <w:color w:val="000000"/>
          <w:spacing w:val="6"/>
          <w:vertAlign w:val="superscript"/>
          <w:lang w:val="en-GB" w:eastAsia="en-GB"/>
        </w:rPr>
        <w:footnoteReference w:id="22"/>
      </w:r>
      <w:r w:rsidRPr="001C6314">
        <w:rPr>
          <w:rFonts w:eastAsia="Calibri" w:cs="Arial"/>
          <w:color w:val="000000"/>
          <w:spacing w:val="6"/>
          <w:lang w:val="en-GB" w:eastAsia="en-GB"/>
        </w:rPr>
        <w:t xml:space="preserve">. </w:t>
      </w:r>
      <w:r w:rsidRPr="001C6314">
        <w:rPr>
          <w:rFonts w:eastAsia="Calibri" w:cs="Arial"/>
          <w:color w:val="000000"/>
          <w:spacing w:val="6"/>
          <w:lang w:eastAsia="en-GB"/>
        </w:rPr>
        <w:t xml:space="preserve"> </w:t>
      </w:r>
    </w:p>
    <w:p w:rsidR="001C6314" w:rsidRPr="001C6314" w:rsidRDefault="001C6314" w:rsidP="001C6314">
      <w:pPr>
        <w:rPr>
          <w:rFonts w:eastAsia="Calibri" w:cs="Arial"/>
          <w:color w:val="000000"/>
          <w:spacing w:val="6"/>
          <w:lang w:eastAsia="en-GB"/>
        </w:rPr>
      </w:pPr>
    </w:p>
    <w:p w:rsidR="00F26103" w:rsidRDefault="001C6314" w:rsidP="001C6314">
      <w:pPr>
        <w:rPr>
          <w:rFonts w:eastAsia="Calibri" w:cs="Arial"/>
          <w:color w:val="000000"/>
          <w:spacing w:val="6"/>
          <w:lang w:eastAsia="en-GB"/>
        </w:rPr>
      </w:pPr>
      <w:r w:rsidRPr="001C6314">
        <w:rPr>
          <w:rFonts w:eastAsia="Calibri" w:cs="Arial"/>
          <w:color w:val="000000"/>
          <w:spacing w:val="6"/>
          <w:lang w:eastAsia="en-GB"/>
        </w:rPr>
        <w:t xml:space="preserve">The CIS programme was allocated R87.3 million at the beginning of the current financial year. Of that amount about R23.5 million, representing </w:t>
      </w:r>
      <w:r w:rsidR="00D60C1D" w:rsidRPr="001C6314">
        <w:rPr>
          <w:rFonts w:eastAsia="Calibri" w:cs="Arial"/>
          <w:color w:val="000000"/>
          <w:spacing w:val="6"/>
          <w:lang w:eastAsia="en-GB"/>
        </w:rPr>
        <w:t>about 27</w:t>
      </w:r>
      <w:r w:rsidRPr="001C6314">
        <w:rPr>
          <w:rFonts w:eastAsia="Calibri" w:cs="Arial"/>
          <w:color w:val="000000"/>
          <w:spacing w:val="6"/>
          <w:lang w:eastAsia="en-GB"/>
        </w:rPr>
        <w:t xml:space="preserve"> per cent of the initial CIS budget, was transferred to the COVID 19 Fund. </w:t>
      </w:r>
    </w:p>
    <w:p w:rsidR="00F26103" w:rsidRDefault="00F26103" w:rsidP="001C6314">
      <w:pPr>
        <w:rPr>
          <w:rFonts w:eastAsia="Calibri" w:cs="Arial"/>
          <w:color w:val="000000"/>
          <w:spacing w:val="6"/>
          <w:lang w:eastAsia="en-GB"/>
        </w:rPr>
      </w:pPr>
    </w:p>
    <w:p w:rsidR="001C6314" w:rsidRPr="001C6314" w:rsidRDefault="00F06680" w:rsidP="001C6314">
      <w:pPr>
        <w:rPr>
          <w:rFonts w:eastAsia="Calibri" w:cs="Arial"/>
          <w:bCs/>
          <w:i/>
          <w:color w:val="000000"/>
          <w:spacing w:val="6"/>
          <w:lang w:eastAsia="en-GB"/>
        </w:rPr>
      </w:pPr>
      <w:r>
        <w:rPr>
          <w:rFonts w:eastAsia="Calibri" w:cs="Arial"/>
          <w:b/>
          <w:bCs/>
          <w:i/>
          <w:color w:val="000000"/>
          <w:spacing w:val="6"/>
          <w:lang w:eastAsia="en-GB"/>
        </w:rPr>
        <w:t xml:space="preserve">3.1.6 </w:t>
      </w:r>
      <w:r w:rsidR="001C6314" w:rsidRPr="001C6314">
        <w:rPr>
          <w:rFonts w:eastAsia="Calibri" w:cs="Arial"/>
          <w:b/>
          <w:bCs/>
          <w:i/>
          <w:color w:val="000000"/>
          <w:spacing w:val="6"/>
          <w:lang w:eastAsia="en-GB"/>
        </w:rPr>
        <w:t>Township Entrepreneurship Fund</w:t>
      </w:r>
    </w:p>
    <w:p w:rsidR="001C6314" w:rsidRPr="001C6314" w:rsidRDefault="001C6314" w:rsidP="001C6314">
      <w:pPr>
        <w:rPr>
          <w:rFonts w:eastAsia="Calibri" w:cs="Arial"/>
          <w:bCs/>
          <w:color w:val="000000"/>
          <w:spacing w:val="6"/>
          <w:lang w:eastAsia="en-GB"/>
        </w:rPr>
      </w:pPr>
    </w:p>
    <w:p w:rsidR="001C6314" w:rsidRPr="001C6314" w:rsidRDefault="001C6314" w:rsidP="001C6314">
      <w:pPr>
        <w:rPr>
          <w:rFonts w:eastAsia="Calibri" w:cs="Arial"/>
          <w:bCs/>
          <w:color w:val="000000"/>
          <w:spacing w:val="6"/>
          <w:lang w:eastAsia="en-GB"/>
        </w:rPr>
      </w:pPr>
      <w:r w:rsidRPr="001C6314">
        <w:rPr>
          <w:rFonts w:eastAsia="Calibri" w:cs="Arial"/>
          <w:bCs/>
          <w:color w:val="000000"/>
          <w:spacing w:val="6"/>
          <w:lang w:eastAsia="en-GB"/>
        </w:rPr>
        <w:t xml:space="preserve">Over the MTEF, R2.8 billion was allocated to the Small Enterprise Finance Agency was allocated for the implementation of the Township Entrepreneurship Fund. For the current financial year the Department earmarked had R800 million for the Township Entrepreneurship Fund. However, government has postponed the implementation of the </w:t>
      </w:r>
      <w:r w:rsidRPr="001C6314">
        <w:rPr>
          <w:rFonts w:eastAsia="Calibri" w:cs="Arial"/>
          <w:bCs/>
          <w:color w:val="000000"/>
          <w:spacing w:val="6"/>
          <w:lang w:eastAsia="en-GB"/>
        </w:rPr>
        <w:lastRenderedPageBreak/>
        <w:t>Township Entrepreneurship Fund and reprioritised the finds to support small enterprises affected by COVID-19, to protect and sustain jobs</w:t>
      </w:r>
      <w:r w:rsidR="00371783">
        <w:rPr>
          <w:rStyle w:val="FootnoteReference"/>
          <w:rFonts w:eastAsia="Calibri" w:cs="Arial"/>
          <w:bCs/>
          <w:color w:val="000000"/>
          <w:spacing w:val="6"/>
          <w:lang w:eastAsia="en-GB"/>
        </w:rPr>
        <w:footnoteReference w:id="23"/>
      </w:r>
      <w:r w:rsidRPr="001C6314">
        <w:rPr>
          <w:rFonts w:eastAsia="Calibri" w:cs="Arial"/>
          <w:bCs/>
          <w:color w:val="000000"/>
          <w:spacing w:val="6"/>
          <w:lang w:eastAsia="en-GB"/>
        </w:rPr>
        <w:t xml:space="preserve">. </w:t>
      </w:r>
    </w:p>
    <w:p w:rsidR="001C6314" w:rsidRPr="001C6314" w:rsidRDefault="001C6314" w:rsidP="001C6314">
      <w:pPr>
        <w:rPr>
          <w:rFonts w:eastAsia="Calibri" w:cs="Arial"/>
          <w:bCs/>
          <w:color w:val="000000"/>
          <w:spacing w:val="6"/>
          <w:lang w:val="en-GB" w:eastAsia="en-GB"/>
        </w:rPr>
      </w:pPr>
    </w:p>
    <w:p w:rsidR="001C6314" w:rsidRPr="001C6314" w:rsidRDefault="00F06680" w:rsidP="00F06680">
      <w:pPr>
        <w:pStyle w:val="Heading1"/>
        <w:numPr>
          <w:ilvl w:val="0"/>
          <w:numId w:val="1"/>
        </w:numPr>
        <w:rPr>
          <w:rFonts w:eastAsia="Calibri"/>
          <w:lang w:val="en-GB" w:eastAsia="en-GB"/>
        </w:rPr>
      </w:pPr>
      <w:bookmarkStart w:id="5" w:name="_Toc45609616"/>
      <w:r>
        <w:rPr>
          <w:rFonts w:eastAsia="Calibri"/>
          <w:lang w:val="en-GB" w:eastAsia="en-GB"/>
        </w:rPr>
        <w:t>K</w:t>
      </w:r>
      <w:r w:rsidR="001C6314" w:rsidRPr="001C6314">
        <w:rPr>
          <w:rFonts w:eastAsia="Calibri"/>
          <w:lang w:val="en-GB" w:eastAsia="en-GB"/>
        </w:rPr>
        <w:t>ey Issues for Consideration by Parliament</w:t>
      </w:r>
      <w:bookmarkEnd w:id="5"/>
    </w:p>
    <w:p w:rsidR="001C6314" w:rsidRPr="001C6314" w:rsidRDefault="001C6314" w:rsidP="001C6314">
      <w:pPr>
        <w:rPr>
          <w:rFonts w:eastAsia="Calibri" w:cs="Arial"/>
          <w:color w:val="000000"/>
          <w:spacing w:val="6"/>
          <w:lang w:eastAsia="en-GB"/>
        </w:rPr>
      </w:pPr>
    </w:p>
    <w:p w:rsidR="00D60C1D" w:rsidRDefault="0019671A" w:rsidP="002E4A04">
      <w:pPr>
        <w:shd w:val="clear" w:color="auto" w:fill="FFCCFF"/>
        <w:rPr>
          <w:rFonts w:eastAsia="Calibri" w:cs="Arial"/>
          <w:color w:val="000000"/>
          <w:spacing w:val="6"/>
          <w:lang w:eastAsia="en-GB"/>
        </w:rPr>
      </w:pPr>
      <w:r>
        <w:rPr>
          <w:rFonts w:eastAsia="Calibri" w:cs="Arial"/>
          <w:color w:val="000000"/>
          <w:spacing w:val="6"/>
          <w:lang w:eastAsia="en-GB"/>
        </w:rPr>
        <w:t>Parliament could consider the following;</w:t>
      </w:r>
    </w:p>
    <w:p w:rsidR="0019671A" w:rsidRDefault="0019671A" w:rsidP="002E4A04">
      <w:pPr>
        <w:shd w:val="clear" w:color="auto" w:fill="FFCCFF"/>
        <w:ind w:firstLine="284"/>
        <w:rPr>
          <w:rFonts w:eastAsia="Calibri" w:cs="Arial"/>
          <w:color w:val="000000"/>
          <w:spacing w:val="6"/>
          <w:lang w:eastAsia="en-GB"/>
        </w:rPr>
      </w:pPr>
    </w:p>
    <w:p w:rsidR="00D60C1D" w:rsidRPr="0019671A" w:rsidRDefault="00D60C1D" w:rsidP="002E4A04">
      <w:pPr>
        <w:pStyle w:val="ListParagraph"/>
        <w:numPr>
          <w:ilvl w:val="0"/>
          <w:numId w:val="14"/>
        </w:numPr>
        <w:shd w:val="clear" w:color="auto" w:fill="FFCCFF"/>
        <w:ind w:left="0" w:firstLine="284"/>
        <w:rPr>
          <w:rFonts w:eastAsia="Calibri" w:cs="Arial"/>
          <w:color w:val="000000"/>
          <w:spacing w:val="6"/>
          <w:lang w:eastAsia="en-GB"/>
        </w:rPr>
      </w:pPr>
      <w:r w:rsidRPr="0019671A">
        <w:rPr>
          <w:rFonts w:eastAsia="Calibri" w:cs="Arial"/>
          <w:color w:val="000000"/>
          <w:spacing w:val="6"/>
          <w:lang w:eastAsia="en-GB"/>
        </w:rPr>
        <w:t>Request</w:t>
      </w:r>
      <w:r w:rsidR="004A0650">
        <w:rPr>
          <w:rFonts w:eastAsia="Calibri" w:cs="Arial"/>
          <w:color w:val="000000"/>
          <w:spacing w:val="6"/>
          <w:lang w:eastAsia="en-GB"/>
        </w:rPr>
        <w:t>ing</w:t>
      </w:r>
      <w:r w:rsidRPr="0019671A">
        <w:rPr>
          <w:rFonts w:eastAsia="Calibri" w:cs="Arial"/>
          <w:color w:val="000000"/>
          <w:spacing w:val="6"/>
          <w:lang w:eastAsia="en-GB"/>
        </w:rPr>
        <w:t xml:space="preserve"> the Department to report on its technical and human resource capacity to process COVID</w:t>
      </w:r>
      <w:r w:rsidR="004A0650">
        <w:rPr>
          <w:rFonts w:eastAsia="Calibri" w:cs="Arial"/>
          <w:color w:val="000000"/>
          <w:spacing w:val="6"/>
          <w:lang w:eastAsia="en-GB"/>
        </w:rPr>
        <w:t>-19</w:t>
      </w:r>
      <w:r w:rsidRPr="0019671A">
        <w:rPr>
          <w:rFonts w:eastAsia="Calibri" w:cs="Arial"/>
          <w:color w:val="000000"/>
          <w:spacing w:val="6"/>
          <w:lang w:eastAsia="en-GB"/>
        </w:rPr>
        <w:t xml:space="preserve"> related funds.</w:t>
      </w:r>
    </w:p>
    <w:p w:rsidR="00D60C1D" w:rsidRDefault="00D60C1D" w:rsidP="002E4A04">
      <w:pPr>
        <w:shd w:val="clear" w:color="auto" w:fill="FFCCFF"/>
        <w:ind w:firstLine="284"/>
        <w:rPr>
          <w:rFonts w:eastAsia="Calibri" w:cs="Arial"/>
          <w:color w:val="000000"/>
          <w:spacing w:val="6"/>
          <w:lang w:eastAsia="en-GB"/>
        </w:rPr>
      </w:pPr>
    </w:p>
    <w:p w:rsidR="000256B1" w:rsidRPr="0019671A" w:rsidRDefault="004A0650" w:rsidP="002E4A04">
      <w:pPr>
        <w:pStyle w:val="ListParagraph"/>
        <w:numPr>
          <w:ilvl w:val="0"/>
          <w:numId w:val="14"/>
        </w:numPr>
        <w:shd w:val="clear" w:color="auto" w:fill="FFCCFF"/>
        <w:ind w:left="0" w:firstLine="284"/>
        <w:rPr>
          <w:rFonts w:eastAsia="Calibri" w:cs="Arial"/>
          <w:color w:val="000000"/>
          <w:spacing w:val="6"/>
          <w:lang w:eastAsia="en-GB"/>
        </w:rPr>
      </w:pPr>
      <w:r w:rsidRPr="0019671A">
        <w:rPr>
          <w:rFonts w:eastAsia="Calibri" w:cs="Arial"/>
          <w:color w:val="000000"/>
          <w:spacing w:val="6"/>
          <w:lang w:eastAsia="en-GB"/>
        </w:rPr>
        <w:t>Request</w:t>
      </w:r>
      <w:r>
        <w:rPr>
          <w:rFonts w:eastAsia="Calibri" w:cs="Arial"/>
          <w:color w:val="000000"/>
          <w:spacing w:val="6"/>
          <w:lang w:eastAsia="en-GB"/>
        </w:rPr>
        <w:t>ing</w:t>
      </w:r>
      <w:r w:rsidRPr="0019671A">
        <w:rPr>
          <w:rFonts w:eastAsia="Calibri" w:cs="Arial"/>
          <w:color w:val="000000"/>
          <w:spacing w:val="6"/>
          <w:lang w:eastAsia="en-GB"/>
        </w:rPr>
        <w:t xml:space="preserve"> </w:t>
      </w:r>
      <w:r>
        <w:rPr>
          <w:rFonts w:eastAsia="Calibri" w:cs="Arial"/>
          <w:color w:val="000000"/>
          <w:spacing w:val="6"/>
          <w:lang w:eastAsia="en-GB"/>
        </w:rPr>
        <w:t>p</w:t>
      </w:r>
      <w:r w:rsidR="00D60C1D" w:rsidRPr="0019671A">
        <w:rPr>
          <w:rFonts w:eastAsia="Calibri" w:cs="Arial"/>
          <w:color w:val="000000"/>
          <w:spacing w:val="6"/>
          <w:lang w:eastAsia="en-GB"/>
        </w:rPr>
        <w:t xml:space="preserve">rogress made on improving the Department’s communication strategy to convey messages and update clients on </w:t>
      </w:r>
      <w:r w:rsidR="000256B1" w:rsidRPr="0019671A">
        <w:rPr>
          <w:rFonts w:eastAsia="Calibri" w:cs="Arial"/>
          <w:color w:val="000000"/>
          <w:spacing w:val="6"/>
          <w:lang w:eastAsia="en-GB"/>
        </w:rPr>
        <w:t>SEFA and</w:t>
      </w:r>
      <w:r w:rsidR="00D60C1D" w:rsidRPr="0019671A">
        <w:rPr>
          <w:rFonts w:eastAsia="Calibri" w:cs="Arial"/>
          <w:color w:val="000000"/>
          <w:spacing w:val="6"/>
          <w:lang w:eastAsia="en-GB"/>
        </w:rPr>
        <w:t xml:space="preserve"> COVID related and non-COVID related applications, particularly for those</w:t>
      </w:r>
      <w:r w:rsidR="000256B1" w:rsidRPr="0019671A">
        <w:rPr>
          <w:rFonts w:eastAsia="Calibri" w:cs="Arial"/>
          <w:color w:val="000000"/>
          <w:spacing w:val="6"/>
          <w:lang w:eastAsia="en-GB"/>
        </w:rPr>
        <w:t xml:space="preserve"> who do not have access to the relevant technology.</w:t>
      </w:r>
    </w:p>
    <w:p w:rsidR="000256B1" w:rsidRDefault="000256B1" w:rsidP="002E4A04">
      <w:pPr>
        <w:shd w:val="clear" w:color="auto" w:fill="FFCCFF"/>
        <w:ind w:firstLine="284"/>
        <w:rPr>
          <w:rFonts w:eastAsia="Calibri" w:cs="Arial"/>
          <w:color w:val="000000"/>
          <w:spacing w:val="6"/>
          <w:lang w:eastAsia="en-GB"/>
        </w:rPr>
      </w:pPr>
    </w:p>
    <w:p w:rsidR="00D60C1D" w:rsidRPr="0019671A" w:rsidRDefault="000256B1" w:rsidP="002E4A04">
      <w:pPr>
        <w:pStyle w:val="ListParagraph"/>
        <w:numPr>
          <w:ilvl w:val="0"/>
          <w:numId w:val="14"/>
        </w:numPr>
        <w:shd w:val="clear" w:color="auto" w:fill="FFCCFF"/>
        <w:ind w:left="0" w:firstLine="284"/>
        <w:rPr>
          <w:rFonts w:eastAsia="Calibri" w:cs="Arial"/>
          <w:color w:val="000000"/>
          <w:spacing w:val="6"/>
          <w:lang w:eastAsia="en-GB"/>
        </w:rPr>
      </w:pPr>
      <w:r w:rsidRPr="0019671A">
        <w:rPr>
          <w:rFonts w:eastAsia="Calibri" w:cs="Arial"/>
          <w:color w:val="000000"/>
          <w:spacing w:val="6"/>
          <w:lang w:eastAsia="en-GB"/>
        </w:rPr>
        <w:t>Conducting oversight on-line</w:t>
      </w:r>
      <w:r w:rsidR="004A0650">
        <w:rPr>
          <w:rFonts w:eastAsia="Calibri" w:cs="Arial"/>
          <w:color w:val="000000"/>
          <w:spacing w:val="6"/>
          <w:lang w:eastAsia="en-GB"/>
        </w:rPr>
        <w:t>/virtual</w:t>
      </w:r>
      <w:r w:rsidRPr="0019671A">
        <w:rPr>
          <w:rFonts w:eastAsia="Calibri" w:cs="Arial"/>
          <w:color w:val="000000"/>
          <w:spacing w:val="6"/>
          <w:lang w:eastAsia="en-GB"/>
        </w:rPr>
        <w:t xml:space="preserve"> where</w:t>
      </w:r>
      <w:r w:rsidR="00AA3ED3" w:rsidRPr="0019671A">
        <w:rPr>
          <w:rFonts w:eastAsia="Calibri" w:cs="Arial"/>
          <w:color w:val="000000"/>
          <w:spacing w:val="6"/>
          <w:lang w:eastAsia="en-GB"/>
        </w:rPr>
        <w:t xml:space="preserve"> possible</w:t>
      </w:r>
      <w:r w:rsidRPr="0019671A">
        <w:rPr>
          <w:rFonts w:eastAsia="Calibri" w:cs="Arial"/>
          <w:color w:val="000000"/>
          <w:spacing w:val="6"/>
          <w:lang w:eastAsia="en-GB"/>
        </w:rPr>
        <w:t xml:space="preserve"> to establish the extent of the successes and areas of improvement in the</w:t>
      </w:r>
      <w:r w:rsidR="00BC5D9D">
        <w:rPr>
          <w:rFonts w:eastAsia="Calibri" w:cs="Arial"/>
          <w:color w:val="000000"/>
          <w:spacing w:val="6"/>
          <w:lang w:eastAsia="en-GB"/>
        </w:rPr>
        <w:t xml:space="preserve"> implementation of the COVID 19 Emergency Relief Fund and other funds that</w:t>
      </w:r>
      <w:r w:rsidR="00AA3ED3" w:rsidRPr="0019671A">
        <w:rPr>
          <w:rFonts w:eastAsia="Calibri" w:cs="Arial"/>
          <w:color w:val="000000"/>
          <w:spacing w:val="6"/>
          <w:lang w:eastAsia="en-GB"/>
        </w:rPr>
        <w:t xml:space="preserve"> are administered by the Department</w:t>
      </w:r>
      <w:r w:rsidR="00BC5D9D">
        <w:rPr>
          <w:rFonts w:eastAsia="Calibri" w:cs="Arial"/>
          <w:color w:val="000000"/>
          <w:spacing w:val="6"/>
          <w:lang w:eastAsia="en-GB"/>
        </w:rPr>
        <w:t xml:space="preserve"> and its agencies</w:t>
      </w:r>
      <w:r w:rsidRPr="0019671A">
        <w:rPr>
          <w:rFonts w:eastAsia="Calibri" w:cs="Arial"/>
          <w:color w:val="000000"/>
          <w:spacing w:val="6"/>
          <w:lang w:eastAsia="en-GB"/>
        </w:rPr>
        <w:t>.</w:t>
      </w:r>
    </w:p>
    <w:p w:rsidR="00AA3ED3" w:rsidRDefault="00AA3ED3" w:rsidP="002E4A04">
      <w:pPr>
        <w:shd w:val="clear" w:color="auto" w:fill="FFCCFF"/>
        <w:ind w:firstLine="284"/>
        <w:rPr>
          <w:rFonts w:eastAsia="Calibri" w:cs="Arial"/>
          <w:color w:val="000000"/>
          <w:spacing w:val="6"/>
          <w:lang w:eastAsia="en-GB"/>
        </w:rPr>
      </w:pPr>
    </w:p>
    <w:p w:rsidR="00AA3ED3" w:rsidRDefault="00AA3ED3" w:rsidP="002E4A04">
      <w:pPr>
        <w:pStyle w:val="ListParagraph"/>
        <w:numPr>
          <w:ilvl w:val="0"/>
          <w:numId w:val="14"/>
        </w:numPr>
        <w:shd w:val="clear" w:color="auto" w:fill="FFCCFF"/>
        <w:ind w:left="0" w:firstLine="284"/>
        <w:rPr>
          <w:rFonts w:eastAsia="Calibri" w:cs="Arial"/>
          <w:color w:val="000000"/>
          <w:spacing w:val="6"/>
          <w:lang w:eastAsia="en-GB"/>
        </w:rPr>
      </w:pPr>
      <w:r w:rsidRPr="0019671A">
        <w:rPr>
          <w:rFonts w:eastAsia="Calibri" w:cs="Arial"/>
          <w:color w:val="000000"/>
          <w:spacing w:val="6"/>
          <w:lang w:eastAsia="en-GB"/>
        </w:rPr>
        <w:t>Request</w:t>
      </w:r>
      <w:r w:rsidR="004A0650">
        <w:rPr>
          <w:rFonts w:eastAsia="Calibri" w:cs="Arial"/>
          <w:color w:val="000000"/>
          <w:spacing w:val="6"/>
          <w:lang w:eastAsia="en-GB"/>
        </w:rPr>
        <w:t>ing</w:t>
      </w:r>
      <w:r w:rsidRPr="0019671A">
        <w:rPr>
          <w:rFonts w:eastAsia="Calibri" w:cs="Arial"/>
          <w:color w:val="000000"/>
          <w:spacing w:val="6"/>
          <w:lang w:eastAsia="en-GB"/>
        </w:rPr>
        <w:t xml:space="preserve"> the Department to provide a plan for ensuring that township enterprises are not left behind given that</w:t>
      </w:r>
      <w:r w:rsidR="00C061CE">
        <w:rPr>
          <w:rFonts w:eastAsia="Calibri" w:cs="Arial"/>
          <w:color w:val="000000"/>
          <w:spacing w:val="6"/>
          <w:lang w:eastAsia="en-GB"/>
        </w:rPr>
        <w:t xml:space="preserve"> the Township Entrepreneurship F</w:t>
      </w:r>
      <w:r w:rsidRPr="0019671A">
        <w:rPr>
          <w:rFonts w:eastAsia="Calibri" w:cs="Arial"/>
          <w:color w:val="000000"/>
          <w:spacing w:val="6"/>
          <w:lang w:eastAsia="en-GB"/>
        </w:rPr>
        <w:t>und has been suspended.</w:t>
      </w:r>
    </w:p>
    <w:p w:rsidR="0098456A" w:rsidRPr="0098456A" w:rsidRDefault="0098456A" w:rsidP="002E4A04">
      <w:pPr>
        <w:pStyle w:val="ListParagraph"/>
        <w:shd w:val="clear" w:color="auto" w:fill="FFCCFF"/>
        <w:ind w:left="0" w:firstLine="284"/>
        <w:rPr>
          <w:rFonts w:eastAsia="Calibri" w:cs="Arial"/>
          <w:color w:val="000000"/>
          <w:spacing w:val="6"/>
          <w:lang w:eastAsia="en-GB"/>
        </w:rPr>
      </w:pPr>
    </w:p>
    <w:p w:rsidR="00B367BA" w:rsidRDefault="0098456A" w:rsidP="002E4A04">
      <w:pPr>
        <w:pStyle w:val="ListParagraph"/>
        <w:numPr>
          <w:ilvl w:val="0"/>
          <w:numId w:val="14"/>
        </w:numPr>
        <w:shd w:val="clear" w:color="auto" w:fill="FFCCFF"/>
        <w:ind w:left="0" w:firstLine="284"/>
        <w:rPr>
          <w:rFonts w:eastAsia="Calibri" w:cs="Arial"/>
          <w:color w:val="000000"/>
          <w:spacing w:val="6"/>
          <w:lang w:eastAsia="en-GB"/>
        </w:rPr>
      </w:pPr>
      <w:r>
        <w:rPr>
          <w:rFonts w:eastAsia="Calibri" w:cs="Arial"/>
          <w:color w:val="000000"/>
          <w:spacing w:val="6"/>
          <w:lang w:eastAsia="en-GB"/>
        </w:rPr>
        <w:t>Asking the Department to elaborate on the financial and other implications of the adjustments on its operational budget for the current financial year and the MTEF.</w:t>
      </w:r>
    </w:p>
    <w:p w:rsidR="00B367BA" w:rsidRPr="00B367BA" w:rsidRDefault="00B367BA" w:rsidP="002E4A04">
      <w:pPr>
        <w:pStyle w:val="ListParagraph"/>
        <w:shd w:val="clear" w:color="auto" w:fill="FFCCFF"/>
        <w:ind w:left="0" w:firstLine="284"/>
        <w:rPr>
          <w:rFonts w:eastAsia="Calibri" w:cs="Arial"/>
          <w:color w:val="000000"/>
          <w:spacing w:val="6"/>
          <w:lang w:eastAsia="en-GB"/>
        </w:rPr>
      </w:pPr>
    </w:p>
    <w:p w:rsidR="0098456A" w:rsidRDefault="00B367BA" w:rsidP="002E4A04">
      <w:pPr>
        <w:pStyle w:val="ListParagraph"/>
        <w:numPr>
          <w:ilvl w:val="0"/>
          <w:numId w:val="14"/>
        </w:numPr>
        <w:shd w:val="clear" w:color="auto" w:fill="FFCCFF"/>
        <w:ind w:left="0" w:firstLine="284"/>
        <w:rPr>
          <w:rFonts w:eastAsia="Calibri" w:cs="Arial"/>
          <w:color w:val="000000"/>
          <w:spacing w:val="6"/>
          <w:lang w:eastAsia="en-GB"/>
        </w:rPr>
      </w:pPr>
      <w:r>
        <w:rPr>
          <w:rFonts w:eastAsia="Calibri" w:cs="Arial"/>
          <w:color w:val="000000"/>
          <w:spacing w:val="6"/>
          <w:lang w:eastAsia="en-GB"/>
        </w:rPr>
        <w:t>Requesting the Department to explain the impact of the adjustments on its annual and quarterly performance plans and targets.</w:t>
      </w:r>
      <w:r w:rsidR="0098456A">
        <w:rPr>
          <w:rFonts w:eastAsia="Calibri" w:cs="Arial"/>
          <w:color w:val="000000"/>
          <w:spacing w:val="6"/>
          <w:lang w:eastAsia="en-GB"/>
        </w:rPr>
        <w:t xml:space="preserve"> </w:t>
      </w:r>
    </w:p>
    <w:p w:rsidR="00381A89" w:rsidRPr="00381A89" w:rsidRDefault="00381A89" w:rsidP="002E4A04">
      <w:pPr>
        <w:pStyle w:val="ListParagraph"/>
        <w:shd w:val="clear" w:color="auto" w:fill="FFCCFF"/>
        <w:ind w:left="0" w:firstLine="284"/>
        <w:rPr>
          <w:rFonts w:eastAsia="Calibri" w:cs="Arial"/>
          <w:color w:val="000000"/>
          <w:spacing w:val="6"/>
          <w:lang w:eastAsia="en-GB"/>
        </w:rPr>
      </w:pPr>
    </w:p>
    <w:p w:rsidR="00381A89" w:rsidRDefault="00381A89" w:rsidP="002E4A04">
      <w:pPr>
        <w:pStyle w:val="ListParagraph"/>
        <w:numPr>
          <w:ilvl w:val="0"/>
          <w:numId w:val="14"/>
        </w:numPr>
        <w:shd w:val="clear" w:color="auto" w:fill="FFCCFF"/>
        <w:ind w:left="0" w:firstLine="284"/>
        <w:rPr>
          <w:rFonts w:eastAsia="Calibri" w:cs="Arial"/>
          <w:color w:val="000000"/>
          <w:spacing w:val="6"/>
          <w:lang w:eastAsia="en-GB"/>
        </w:rPr>
      </w:pPr>
      <w:r>
        <w:rPr>
          <w:rFonts w:eastAsia="Calibri" w:cs="Arial"/>
          <w:color w:val="000000"/>
          <w:spacing w:val="6"/>
          <w:lang w:eastAsia="en-GB"/>
        </w:rPr>
        <w:t>A briefing on how the Department exercises oversight on its entities to ensure that the relief funds are administered well and reach the intended beneficiaries.</w:t>
      </w:r>
    </w:p>
    <w:p w:rsidR="009178F9" w:rsidRPr="0019671A" w:rsidRDefault="009178F9" w:rsidP="002E4A04">
      <w:pPr>
        <w:pStyle w:val="ListParagraph"/>
        <w:numPr>
          <w:ilvl w:val="0"/>
          <w:numId w:val="14"/>
        </w:numPr>
        <w:shd w:val="clear" w:color="auto" w:fill="FFCCFF"/>
        <w:ind w:left="0" w:firstLine="284"/>
        <w:rPr>
          <w:rFonts w:eastAsia="Calibri" w:cs="Arial"/>
          <w:color w:val="000000"/>
          <w:spacing w:val="6"/>
          <w:lang w:eastAsia="en-GB"/>
        </w:rPr>
      </w:pPr>
      <w:r>
        <w:rPr>
          <w:rFonts w:eastAsia="Calibri" w:cs="Arial"/>
          <w:color w:val="000000"/>
          <w:spacing w:val="6"/>
          <w:lang w:eastAsia="en-GB"/>
        </w:rPr>
        <w:t xml:space="preserve">Requesting the Department to explain the role that SEDA is playing to ensure to provide non-financial support in townships and rural areas – what is SEDA doing differently to reach out to those who need their services the most.  </w:t>
      </w:r>
    </w:p>
    <w:p w:rsidR="00AA3ED3" w:rsidRDefault="00AA3ED3" w:rsidP="00E31436">
      <w:pPr>
        <w:shd w:val="clear" w:color="auto" w:fill="FFCCFF"/>
        <w:jc w:val="right"/>
        <w:rPr>
          <w:rFonts w:eastAsia="Calibri" w:cs="Arial"/>
          <w:color w:val="000000"/>
          <w:spacing w:val="6"/>
          <w:lang w:eastAsia="en-GB"/>
        </w:rPr>
      </w:pPr>
    </w:p>
    <w:p w:rsidR="00E31436" w:rsidRDefault="00E31436" w:rsidP="00E31436">
      <w:pPr>
        <w:shd w:val="clear" w:color="auto" w:fill="FFFFFF" w:themeFill="background1"/>
        <w:jc w:val="right"/>
        <w:rPr>
          <w:rFonts w:eastAsia="Calibri" w:cs="Arial"/>
          <w:color w:val="000000"/>
          <w:spacing w:val="6"/>
          <w:lang w:eastAsia="en-GB"/>
        </w:rPr>
      </w:pPr>
    </w:p>
    <w:p w:rsidR="000256B1" w:rsidRPr="00364FD0" w:rsidRDefault="00364FD0" w:rsidP="00364FD0">
      <w:pPr>
        <w:pStyle w:val="Heading1"/>
        <w:numPr>
          <w:ilvl w:val="0"/>
          <w:numId w:val="1"/>
        </w:numPr>
        <w:rPr>
          <w:rFonts w:eastAsia="Calibri"/>
          <w:lang w:eastAsia="en-GB"/>
        </w:rPr>
      </w:pPr>
      <w:bookmarkStart w:id="6" w:name="_Toc45609617"/>
      <w:r w:rsidRPr="00364FD0">
        <w:rPr>
          <w:rFonts w:eastAsia="Calibri"/>
          <w:lang w:eastAsia="en-GB"/>
        </w:rPr>
        <w:t>CONCLUSION</w:t>
      </w:r>
      <w:bookmarkEnd w:id="6"/>
    </w:p>
    <w:p w:rsidR="00D60C1D" w:rsidRDefault="00D60C1D" w:rsidP="001C6314">
      <w:pPr>
        <w:rPr>
          <w:rFonts w:eastAsia="Calibri" w:cs="Arial"/>
          <w:color w:val="000000"/>
          <w:spacing w:val="6"/>
          <w:lang w:eastAsia="en-GB"/>
        </w:rPr>
      </w:pPr>
    </w:p>
    <w:p w:rsidR="00364FD0" w:rsidRDefault="00364FD0" w:rsidP="001C6314">
      <w:pPr>
        <w:rPr>
          <w:rFonts w:eastAsia="Calibri" w:cs="Arial"/>
          <w:color w:val="000000"/>
          <w:spacing w:val="6"/>
          <w:lang w:eastAsia="en-GB"/>
        </w:rPr>
      </w:pPr>
      <w:r>
        <w:rPr>
          <w:rFonts w:eastAsia="Calibri" w:cs="Arial"/>
          <w:color w:val="000000"/>
          <w:spacing w:val="6"/>
          <w:lang w:eastAsia="en-GB"/>
        </w:rPr>
        <w:t>National Treasury had to use its powers to suspend and reprioritise funds allocated to the Department and its entities in order to address to mitigate the impact of the COVID 19 pandemic on SMMEs. The Department’s annual budget has been revised down, however, about R1.15 million has been set aside for the COVID</w:t>
      </w:r>
      <w:r w:rsidR="00255F3A">
        <w:rPr>
          <w:rFonts w:eastAsia="Calibri" w:cs="Arial"/>
          <w:color w:val="000000"/>
          <w:spacing w:val="6"/>
          <w:lang w:eastAsia="en-GB"/>
        </w:rPr>
        <w:t>-</w:t>
      </w:r>
      <w:r>
        <w:rPr>
          <w:rFonts w:eastAsia="Calibri" w:cs="Arial"/>
          <w:color w:val="000000"/>
          <w:spacing w:val="6"/>
          <w:lang w:eastAsia="en-GB"/>
        </w:rPr>
        <w:t>19 Emergency Fund.   In line with National Treasury’s initiative, it is important therefore</w:t>
      </w:r>
      <w:r w:rsidR="00255F3A">
        <w:rPr>
          <w:rFonts w:eastAsia="Calibri" w:cs="Arial"/>
          <w:color w:val="000000"/>
          <w:spacing w:val="6"/>
          <w:lang w:eastAsia="en-GB"/>
        </w:rPr>
        <w:t>,</w:t>
      </w:r>
      <w:r>
        <w:rPr>
          <w:rFonts w:eastAsia="Calibri" w:cs="Arial"/>
          <w:color w:val="000000"/>
          <w:spacing w:val="6"/>
          <w:lang w:eastAsia="en-GB"/>
        </w:rPr>
        <w:t xml:space="preserve"> that Parliament</w:t>
      </w:r>
      <w:r w:rsidR="00255F3A">
        <w:rPr>
          <w:rFonts w:eastAsia="Calibri" w:cs="Arial"/>
          <w:color w:val="000000"/>
          <w:spacing w:val="6"/>
          <w:lang w:eastAsia="en-GB"/>
        </w:rPr>
        <w:t xml:space="preserve"> </w:t>
      </w:r>
      <w:r>
        <w:rPr>
          <w:rFonts w:eastAsia="Calibri" w:cs="Arial"/>
          <w:color w:val="000000"/>
          <w:spacing w:val="6"/>
          <w:lang w:eastAsia="en-GB"/>
        </w:rPr>
        <w:t xml:space="preserve">aligns </w:t>
      </w:r>
      <w:r>
        <w:rPr>
          <w:rFonts w:eastAsia="Calibri" w:cs="Arial"/>
          <w:color w:val="000000"/>
          <w:spacing w:val="6"/>
          <w:lang w:eastAsia="en-GB"/>
        </w:rPr>
        <w:lastRenderedPageBreak/>
        <w:t>its oversight plans and strategies</w:t>
      </w:r>
      <w:r w:rsidR="00C061CE">
        <w:rPr>
          <w:rFonts w:eastAsia="Calibri" w:cs="Arial"/>
          <w:color w:val="000000"/>
          <w:spacing w:val="6"/>
          <w:lang w:eastAsia="en-GB"/>
        </w:rPr>
        <w:t xml:space="preserve"> accordingly</w:t>
      </w:r>
      <w:r>
        <w:rPr>
          <w:rFonts w:eastAsia="Calibri" w:cs="Arial"/>
          <w:color w:val="000000"/>
          <w:spacing w:val="6"/>
          <w:lang w:eastAsia="en-GB"/>
        </w:rPr>
        <w:t xml:space="preserve"> to</w:t>
      </w:r>
      <w:r w:rsidR="00255F3A">
        <w:rPr>
          <w:rFonts w:eastAsia="Calibri" w:cs="Arial"/>
          <w:color w:val="000000"/>
          <w:spacing w:val="6"/>
          <w:lang w:eastAsia="en-GB"/>
        </w:rPr>
        <w:t>wards</w:t>
      </w:r>
      <w:r>
        <w:rPr>
          <w:rFonts w:eastAsia="Calibri" w:cs="Arial"/>
          <w:color w:val="000000"/>
          <w:spacing w:val="6"/>
          <w:lang w:eastAsia="en-GB"/>
        </w:rPr>
        <w:t xml:space="preserve"> exercis</w:t>
      </w:r>
      <w:r w:rsidR="00255F3A">
        <w:rPr>
          <w:rFonts w:eastAsia="Calibri" w:cs="Arial"/>
          <w:color w:val="000000"/>
          <w:spacing w:val="6"/>
          <w:lang w:eastAsia="en-GB"/>
        </w:rPr>
        <w:t>ing</w:t>
      </w:r>
      <w:r>
        <w:rPr>
          <w:rFonts w:eastAsia="Calibri" w:cs="Arial"/>
          <w:color w:val="000000"/>
          <w:spacing w:val="6"/>
          <w:lang w:eastAsia="en-GB"/>
        </w:rPr>
        <w:t xml:space="preserve"> effective oversight on the Department’s implementation of the adjusted budget. </w:t>
      </w:r>
    </w:p>
    <w:p w:rsidR="00D60C1D" w:rsidRDefault="00D60C1D" w:rsidP="001C6314">
      <w:pPr>
        <w:rPr>
          <w:rFonts w:eastAsia="Calibri" w:cs="Arial"/>
          <w:color w:val="000000"/>
          <w:spacing w:val="6"/>
          <w:lang w:eastAsia="en-GB"/>
        </w:rPr>
      </w:pPr>
    </w:p>
    <w:p w:rsidR="00F26103" w:rsidRDefault="00F26103" w:rsidP="001C6314">
      <w:pPr>
        <w:rPr>
          <w:rFonts w:eastAsia="Calibri" w:cs="Arial"/>
          <w:color w:val="000000"/>
          <w:spacing w:val="6"/>
          <w:lang w:eastAsia="en-GB"/>
        </w:rPr>
      </w:pPr>
    </w:p>
    <w:p w:rsidR="00E31436" w:rsidRDefault="00E31436" w:rsidP="001C6314">
      <w:pPr>
        <w:rPr>
          <w:rFonts w:eastAsia="Calibri" w:cs="Arial"/>
          <w:color w:val="000000"/>
          <w:spacing w:val="6"/>
          <w:lang w:eastAsia="en-GB"/>
        </w:rPr>
      </w:pPr>
    </w:p>
    <w:p w:rsidR="00E31436" w:rsidRDefault="00E31436" w:rsidP="001C6314">
      <w:pPr>
        <w:rPr>
          <w:rFonts w:eastAsia="Calibri" w:cs="Arial"/>
          <w:color w:val="000000"/>
          <w:spacing w:val="6"/>
          <w:lang w:eastAsia="en-GB"/>
        </w:rPr>
      </w:pPr>
    </w:p>
    <w:p w:rsidR="00D60C1D" w:rsidRDefault="008F13AF" w:rsidP="00E31436">
      <w:pPr>
        <w:pStyle w:val="Heading1"/>
        <w:rPr>
          <w:rFonts w:eastAsia="Calibri"/>
          <w:lang w:eastAsia="en-GB"/>
        </w:rPr>
      </w:pPr>
      <w:bookmarkStart w:id="7" w:name="_Toc45609618"/>
      <w:r>
        <w:rPr>
          <w:rFonts w:eastAsia="Calibri"/>
          <w:lang w:eastAsia="en-GB"/>
        </w:rPr>
        <w:t>REFERENCES</w:t>
      </w:r>
      <w:bookmarkEnd w:id="7"/>
    </w:p>
    <w:p w:rsidR="008F13AF" w:rsidRDefault="008F13AF" w:rsidP="001C6314">
      <w:pPr>
        <w:rPr>
          <w:rFonts w:eastAsia="Calibri" w:cs="Arial"/>
          <w:color w:val="000000"/>
          <w:spacing w:val="6"/>
          <w:lang w:eastAsia="en-GB"/>
        </w:rPr>
      </w:pPr>
    </w:p>
    <w:p w:rsidR="0041350D" w:rsidRDefault="0041350D" w:rsidP="001C6314">
      <w:pPr>
        <w:rPr>
          <w:rFonts w:eastAsia="Calibri" w:cs="Arial"/>
          <w:color w:val="000000"/>
          <w:spacing w:val="6"/>
          <w:lang w:eastAsia="en-GB"/>
        </w:rPr>
      </w:pPr>
    </w:p>
    <w:p w:rsidR="0041350D" w:rsidRDefault="0041350D" w:rsidP="001C6314">
      <w:pPr>
        <w:rPr>
          <w:rFonts w:eastAsia="Calibri" w:cs="Arial"/>
          <w:color w:val="000000"/>
          <w:spacing w:val="6"/>
          <w:lang w:eastAsia="en-GB"/>
        </w:rPr>
      </w:pPr>
      <w:r w:rsidRPr="0041350D">
        <w:rPr>
          <w:rFonts w:eastAsia="Calibri" w:cs="Arial"/>
          <w:color w:val="000000"/>
          <w:spacing w:val="6"/>
          <w:lang w:eastAsia="en-GB"/>
        </w:rPr>
        <w:t>Department of Small Business Development (2020</w:t>
      </w:r>
      <w:r>
        <w:rPr>
          <w:rFonts w:eastAsia="Calibri" w:cs="Arial"/>
          <w:color w:val="000000"/>
          <w:spacing w:val="6"/>
          <w:lang w:eastAsia="en-GB"/>
        </w:rPr>
        <w:t>a</w:t>
      </w:r>
      <w:r w:rsidRPr="0041350D">
        <w:rPr>
          <w:rFonts w:eastAsia="Calibri" w:cs="Arial"/>
          <w:color w:val="000000"/>
          <w:spacing w:val="6"/>
          <w:lang w:eastAsia="en-GB"/>
        </w:rPr>
        <w:t xml:space="preserve">) Black Business Supplier Development Programme (BBSDP) Internet. Available from &lt; </w:t>
      </w:r>
      <w:hyperlink r:id="rId8" w:history="1">
        <w:r w:rsidRPr="0041350D">
          <w:rPr>
            <w:rStyle w:val="Hyperlink"/>
            <w:rFonts w:eastAsia="Calibri" w:cs="Arial"/>
            <w:spacing w:val="6"/>
            <w:lang w:eastAsia="en-GB"/>
          </w:rPr>
          <w:t>http://www.dsbd.gov.za/?page_id=1218</w:t>
        </w:r>
      </w:hyperlink>
      <w:r w:rsidRPr="0041350D">
        <w:rPr>
          <w:rFonts w:eastAsia="Calibri" w:cs="Arial"/>
          <w:color w:val="000000"/>
          <w:spacing w:val="6"/>
          <w:lang w:eastAsia="en-GB"/>
        </w:rPr>
        <w:t xml:space="preserve"> &gt; Accessed on 8 July 2020</w:t>
      </w:r>
    </w:p>
    <w:p w:rsidR="0041350D" w:rsidRDefault="0041350D" w:rsidP="001C6314">
      <w:pPr>
        <w:rPr>
          <w:rFonts w:eastAsia="Calibri" w:cs="Arial"/>
          <w:color w:val="000000"/>
          <w:spacing w:val="6"/>
          <w:lang w:eastAsia="en-GB"/>
        </w:rPr>
      </w:pPr>
    </w:p>
    <w:p w:rsidR="0041350D" w:rsidRDefault="0041350D" w:rsidP="0041350D">
      <w:pPr>
        <w:rPr>
          <w:rFonts w:eastAsia="Calibri" w:cs="Arial"/>
          <w:color w:val="000000"/>
          <w:spacing w:val="6"/>
          <w:lang w:eastAsia="en-GB"/>
        </w:rPr>
      </w:pPr>
      <w:r w:rsidRPr="0041350D">
        <w:rPr>
          <w:rFonts w:eastAsia="Calibri" w:cs="Arial"/>
          <w:color w:val="000000"/>
          <w:spacing w:val="6"/>
          <w:lang w:eastAsia="en-GB"/>
        </w:rPr>
        <w:t xml:space="preserve">Department of Small Business Development (2020b) National Informal Business </w:t>
      </w:r>
      <w:proofErr w:type="spellStart"/>
      <w:r w:rsidRPr="0041350D">
        <w:rPr>
          <w:rFonts w:eastAsia="Calibri" w:cs="Arial"/>
          <w:color w:val="000000"/>
          <w:spacing w:val="6"/>
          <w:lang w:eastAsia="en-GB"/>
        </w:rPr>
        <w:t>Upliftment</w:t>
      </w:r>
      <w:proofErr w:type="spellEnd"/>
      <w:r w:rsidRPr="0041350D">
        <w:rPr>
          <w:rFonts w:eastAsia="Calibri" w:cs="Arial"/>
          <w:color w:val="000000"/>
          <w:spacing w:val="6"/>
          <w:lang w:eastAsia="en-GB"/>
        </w:rPr>
        <w:t xml:space="preserve"> Strategy (NIBUS) Internet. Available from </w:t>
      </w:r>
      <w:hyperlink r:id="rId9" w:history="1">
        <w:r w:rsidRPr="0041350D">
          <w:rPr>
            <w:rStyle w:val="Hyperlink"/>
            <w:rFonts w:eastAsia="Calibri" w:cs="Arial"/>
            <w:spacing w:val="6"/>
            <w:lang w:eastAsia="en-GB"/>
          </w:rPr>
          <w:t xml:space="preserve">http://www.dsbd.gov.za/?page_id=1224 </w:t>
        </w:r>
      </w:hyperlink>
      <w:r w:rsidRPr="0041350D">
        <w:rPr>
          <w:rFonts w:eastAsia="Calibri" w:cs="Arial"/>
          <w:color w:val="000000"/>
          <w:spacing w:val="6"/>
          <w:lang w:eastAsia="en-GB"/>
        </w:rPr>
        <w:t xml:space="preserve"> &gt; Accessed on 9 July 2020</w:t>
      </w:r>
      <w:r w:rsidR="00E6538D">
        <w:rPr>
          <w:rFonts w:eastAsia="Calibri" w:cs="Arial"/>
          <w:color w:val="000000"/>
          <w:spacing w:val="6"/>
          <w:lang w:eastAsia="en-GB"/>
        </w:rPr>
        <w:t>.</w:t>
      </w:r>
    </w:p>
    <w:p w:rsidR="00E6538D" w:rsidRDefault="00E6538D" w:rsidP="0041350D">
      <w:pPr>
        <w:rPr>
          <w:rFonts w:eastAsia="Calibri" w:cs="Arial"/>
          <w:color w:val="000000"/>
          <w:spacing w:val="6"/>
          <w:lang w:eastAsia="en-GB"/>
        </w:rPr>
      </w:pPr>
    </w:p>
    <w:p w:rsidR="00E6538D" w:rsidRPr="0041350D" w:rsidRDefault="00E6538D" w:rsidP="0041350D">
      <w:pPr>
        <w:rPr>
          <w:rFonts w:eastAsia="Calibri" w:cs="Arial"/>
          <w:color w:val="000000"/>
          <w:spacing w:val="6"/>
          <w:lang w:eastAsia="en-GB"/>
        </w:rPr>
      </w:pPr>
      <w:r>
        <w:t xml:space="preserve">Department of Small Business Development (2020c) Programme Guidelines Cooperative Incentive Scheme (CIS) Internet. Available from &lt; </w:t>
      </w:r>
      <w:hyperlink r:id="rId10" w:history="1">
        <w:r w:rsidRPr="00E113AB">
          <w:rPr>
            <w:rStyle w:val="Hyperlink"/>
          </w:rPr>
          <w:t>http://www.dsbd.gov.za/wp-content/uploads/2016/12/Guidelines.pdf</w:t>
        </w:r>
      </w:hyperlink>
      <w:r>
        <w:t>&gt; Accessed on 9 July 2020.</w:t>
      </w:r>
    </w:p>
    <w:p w:rsidR="0041350D" w:rsidRDefault="0041350D" w:rsidP="001C6314">
      <w:pPr>
        <w:rPr>
          <w:rFonts w:eastAsia="Calibri" w:cs="Arial"/>
          <w:color w:val="000000"/>
          <w:spacing w:val="6"/>
          <w:lang w:eastAsia="en-GB"/>
        </w:rPr>
      </w:pPr>
    </w:p>
    <w:p w:rsidR="008F13AF" w:rsidRDefault="008F13AF" w:rsidP="001C6314">
      <w:pPr>
        <w:rPr>
          <w:rFonts w:eastAsia="Calibri" w:cs="Arial"/>
          <w:color w:val="000000"/>
          <w:spacing w:val="6"/>
          <w:lang w:eastAsia="en-GB"/>
        </w:rPr>
      </w:pPr>
      <w:r w:rsidRPr="008F13AF">
        <w:rPr>
          <w:rFonts w:eastAsia="Calibri" w:cs="Arial"/>
          <w:color w:val="000000"/>
          <w:spacing w:val="6"/>
          <w:lang w:eastAsia="en-GB"/>
        </w:rPr>
        <w:t xml:space="preserve">National Treasury (2020) Supplementary Budget Review 2020. Internet. Available from &lt;  </w:t>
      </w:r>
      <w:hyperlink r:id="rId11" w:history="1">
        <w:r w:rsidRPr="008F13AF">
          <w:rPr>
            <w:rStyle w:val="Hyperlink"/>
            <w:rFonts w:eastAsia="Calibri" w:cs="Arial"/>
            <w:spacing w:val="6"/>
            <w:lang w:eastAsia="en-GB"/>
          </w:rPr>
          <w:t>http://www.treasury.gov.za/documents/National%20Budget/2020S/review/FullSBR.pdf</w:t>
        </w:r>
      </w:hyperlink>
      <w:r w:rsidRPr="008F13AF">
        <w:rPr>
          <w:rFonts w:eastAsia="Calibri" w:cs="Arial"/>
          <w:color w:val="000000"/>
          <w:spacing w:val="6"/>
          <w:lang w:eastAsia="en-GB"/>
        </w:rPr>
        <w:t xml:space="preserve"> &gt; Accessed on 9 July 2020</w:t>
      </w:r>
      <w:r w:rsidR="009042EB">
        <w:rPr>
          <w:rFonts w:eastAsia="Calibri" w:cs="Arial"/>
          <w:color w:val="000000"/>
          <w:spacing w:val="6"/>
          <w:lang w:eastAsia="en-GB"/>
        </w:rPr>
        <w:t>.</w:t>
      </w:r>
    </w:p>
    <w:p w:rsidR="009042EB" w:rsidRDefault="009042EB" w:rsidP="001C6314">
      <w:pPr>
        <w:rPr>
          <w:rFonts w:eastAsia="Calibri" w:cs="Arial"/>
          <w:color w:val="000000"/>
          <w:spacing w:val="6"/>
          <w:lang w:eastAsia="en-GB"/>
        </w:rPr>
      </w:pPr>
    </w:p>
    <w:p w:rsidR="009042EB" w:rsidRPr="009042EB" w:rsidRDefault="009042EB" w:rsidP="009042EB">
      <w:pPr>
        <w:rPr>
          <w:rFonts w:eastAsia="Calibri" w:cs="Arial"/>
        </w:rPr>
      </w:pPr>
      <w:r w:rsidRPr="009042EB">
        <w:rPr>
          <w:rFonts w:eastAsia="Calibri" w:cs="Arial"/>
        </w:rPr>
        <w:t>National Treasury (2020</w:t>
      </w:r>
      <w:r>
        <w:rPr>
          <w:rFonts w:eastAsia="Calibri" w:cs="Arial"/>
        </w:rPr>
        <w:t>a</w:t>
      </w:r>
      <w:r w:rsidRPr="009042EB">
        <w:rPr>
          <w:rFonts w:eastAsia="Calibri" w:cs="Arial"/>
        </w:rPr>
        <w:t>) Vote 36 Department of Small Business Development. ENE 2020.</w:t>
      </w:r>
    </w:p>
    <w:p w:rsidR="009042EB" w:rsidRDefault="009042EB" w:rsidP="001C6314">
      <w:pPr>
        <w:rPr>
          <w:rFonts w:eastAsia="Calibri" w:cs="Arial"/>
          <w:color w:val="000000"/>
          <w:spacing w:val="6"/>
          <w:lang w:eastAsia="en-GB"/>
        </w:rPr>
      </w:pPr>
    </w:p>
    <w:p w:rsidR="008F13AF" w:rsidRDefault="00F26103" w:rsidP="008F13AF">
      <w:pPr>
        <w:rPr>
          <w:rFonts w:eastAsia="Calibri" w:cs="Arial"/>
          <w:lang w:eastAsia="en-GB"/>
        </w:rPr>
      </w:pPr>
      <w:r w:rsidRPr="00F26103">
        <w:rPr>
          <w:rFonts w:eastAsia="Calibri" w:cs="Arial"/>
          <w:lang w:eastAsia="en-GB"/>
        </w:rPr>
        <w:t>SEDA (</w:t>
      </w:r>
      <w:proofErr w:type="spellStart"/>
      <w:r w:rsidRPr="00F26103">
        <w:rPr>
          <w:rFonts w:eastAsia="Calibri" w:cs="Arial"/>
          <w:lang w:eastAsia="en-GB"/>
        </w:rPr>
        <w:t>n.d</w:t>
      </w:r>
      <w:proofErr w:type="spellEnd"/>
      <w:r w:rsidRPr="00F26103">
        <w:rPr>
          <w:rFonts w:eastAsia="Calibri" w:cs="Arial"/>
          <w:lang w:eastAsia="en-GB"/>
        </w:rPr>
        <w:t xml:space="preserve">) National Gazelles. Internet. Available from </w:t>
      </w:r>
      <w:hyperlink r:id="rId12" w:history="1">
        <w:r w:rsidRPr="00F26103">
          <w:rPr>
            <w:rStyle w:val="Hyperlink"/>
            <w:rFonts w:eastAsia="Calibri" w:cs="Arial"/>
            <w:lang w:eastAsia="en-GB"/>
          </w:rPr>
          <w:t xml:space="preserve">http://www.seda.org.za/Programmes/Pages/Gazelles.aspx </w:t>
        </w:r>
      </w:hyperlink>
      <w:r w:rsidRPr="00F26103">
        <w:rPr>
          <w:rFonts w:eastAsia="Calibri" w:cs="Arial"/>
          <w:lang w:eastAsia="en-GB"/>
        </w:rPr>
        <w:t xml:space="preserve"> &gt; Accessed on 9 July 2020</w:t>
      </w:r>
    </w:p>
    <w:p w:rsidR="00F26103" w:rsidRDefault="00F26103" w:rsidP="008F13AF">
      <w:pPr>
        <w:rPr>
          <w:rFonts w:eastAsia="Calibri" w:cs="Arial"/>
          <w:lang w:eastAsia="en-GB"/>
        </w:rPr>
      </w:pPr>
    </w:p>
    <w:p w:rsidR="008F13AF" w:rsidRPr="008F13AF" w:rsidRDefault="008F13AF" w:rsidP="008F13AF">
      <w:pPr>
        <w:rPr>
          <w:rFonts w:eastAsia="Calibri" w:cs="Arial"/>
          <w:lang w:eastAsia="en-GB"/>
        </w:rPr>
      </w:pPr>
      <w:r w:rsidRPr="008F13AF">
        <w:rPr>
          <w:rFonts w:eastAsia="Calibri" w:cs="Arial"/>
          <w:lang w:eastAsia="en-GB"/>
        </w:rPr>
        <w:t xml:space="preserve">South African Government (2020) </w:t>
      </w:r>
      <w:r w:rsidRPr="008F13AF">
        <w:rPr>
          <w:rFonts w:eastAsia="Calibri" w:cs="Arial"/>
          <w:bCs/>
          <w:lang w:eastAsia="en-GB"/>
        </w:rPr>
        <w:t xml:space="preserve">Minister Tito </w:t>
      </w:r>
      <w:proofErr w:type="spellStart"/>
      <w:r w:rsidRPr="008F13AF">
        <w:rPr>
          <w:rFonts w:eastAsia="Calibri" w:cs="Arial"/>
          <w:bCs/>
          <w:lang w:eastAsia="en-GB"/>
        </w:rPr>
        <w:t>Mboweni</w:t>
      </w:r>
      <w:proofErr w:type="spellEnd"/>
      <w:r w:rsidRPr="008F13AF">
        <w:rPr>
          <w:rFonts w:eastAsia="Calibri" w:cs="Arial"/>
          <w:bCs/>
          <w:lang w:eastAsia="en-GB"/>
        </w:rPr>
        <w:t>: 2020 Supplementary Budget Speech. Internet. Available from &lt;</w:t>
      </w:r>
      <w:r w:rsidRPr="008F13AF">
        <w:rPr>
          <w:rFonts w:eastAsia="Calibri" w:cs="Arial"/>
          <w:lang w:eastAsia="en-GB"/>
        </w:rPr>
        <w:t xml:space="preserve"> </w:t>
      </w:r>
      <w:r w:rsidRPr="008F13AF">
        <w:rPr>
          <w:rFonts w:eastAsia="Calibri" w:cs="Arial"/>
          <w:bCs/>
          <w:lang w:eastAsia="en-GB"/>
        </w:rPr>
        <w:t>https://www.gov.za/speeches/minister-tito-mboweni-2020-supplementary-budget-speech-24-jun-2020-0000&gt; Accessed on 9 July 2020</w:t>
      </w:r>
    </w:p>
    <w:sectPr w:rsidR="008F13AF" w:rsidRPr="008F13AF" w:rsidSect="00DF701C">
      <w:headerReference w:type="default" r:id="rId13"/>
      <w:footerReference w:type="default" r:id="rId14"/>
      <w:headerReference w:type="first" r:id="rId15"/>
      <w:footerReference w:type="first" r:id="rId16"/>
      <w:pgSz w:w="11906" w:h="16838"/>
      <w:pgMar w:top="1998"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1F" w:rsidRDefault="0007271F" w:rsidP="001C6314">
      <w:pPr>
        <w:spacing w:line="240" w:lineRule="auto"/>
      </w:pPr>
      <w:r>
        <w:separator/>
      </w:r>
    </w:p>
  </w:endnote>
  <w:endnote w:type="continuationSeparator" w:id="0">
    <w:p w:rsidR="0007271F" w:rsidRDefault="0007271F" w:rsidP="001C6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195088"/>
      <w:docPartObj>
        <w:docPartGallery w:val="Page Numbers (Bottom of Page)"/>
        <w:docPartUnique/>
      </w:docPartObj>
    </w:sdtPr>
    <w:sdtEndPr/>
    <w:sdtContent>
      <w:sdt>
        <w:sdtPr>
          <w:id w:val="-86692329"/>
          <w:docPartObj>
            <w:docPartGallery w:val="Page Numbers (Top of Page)"/>
            <w:docPartUnique/>
          </w:docPartObj>
        </w:sdtPr>
        <w:sdtEndPr/>
        <w:sdtContent>
          <w:p w:rsidR="00B320D3" w:rsidRDefault="00DC3527" w:rsidP="000868D8">
            <w:pPr>
              <w:pStyle w:val="Footer"/>
              <w:jc w:val="left"/>
            </w:pPr>
            <w:r w:rsidRPr="00BE1544">
              <w:rPr>
                <w:rFonts w:cs="Arial"/>
                <w:b/>
                <w:noProof/>
                <w:sz w:val="16"/>
                <w:szCs w:val="16"/>
                <w:lang w:eastAsia="en-ZA"/>
              </w:rPr>
              <mc:AlternateContent>
                <mc:Choice Requires="wps">
                  <w:drawing>
                    <wp:anchor distT="0" distB="0" distL="114300" distR="114300" simplePos="0" relativeHeight="251663360" behindDoc="0" locked="0" layoutInCell="1" allowOverlap="1" wp14:anchorId="1000AF3A" wp14:editId="054EF7ED">
                      <wp:simplePos x="0" y="0"/>
                      <wp:positionH relativeFrom="margin">
                        <wp:posOffset>0</wp:posOffset>
                      </wp:positionH>
                      <wp:positionV relativeFrom="page">
                        <wp:posOffset>10039188</wp:posOffset>
                      </wp:positionV>
                      <wp:extent cx="5677786" cy="0"/>
                      <wp:effectExtent l="0" t="0" r="37465" b="19050"/>
                      <wp:wrapNone/>
                      <wp:docPr id="12" name="Straight Connector 12"/>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9740C3"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mc:Fallback>
              </mc:AlternateContent>
            </w:r>
            <w:r w:rsidRPr="00BE1544">
              <w:rPr>
                <w:rFonts w:cs="Arial"/>
                <w:b/>
                <w:sz w:val="16"/>
                <w:szCs w:val="16"/>
              </w:rPr>
              <w:t>Research Unit |</w:t>
            </w:r>
            <w:r w:rsidRPr="00BE1544">
              <w:rPr>
                <w:rFonts w:cs="Arial"/>
                <w:sz w:val="16"/>
                <w:szCs w:val="16"/>
              </w:rPr>
              <w:t xml:space="preserve"> </w:t>
            </w:r>
            <w:r w:rsidR="00AA3ED3">
              <w:rPr>
                <w:rFonts w:cs="Arial"/>
                <w:sz w:val="16"/>
                <w:szCs w:val="16"/>
              </w:rPr>
              <w:t>Summary And Analysis of t</w:t>
            </w:r>
            <w:r w:rsidRPr="00DF701C">
              <w:rPr>
                <w:rFonts w:cs="Arial"/>
                <w:sz w:val="16"/>
                <w:szCs w:val="16"/>
              </w:rPr>
              <w:t>he Department Of Small Business Development</w:t>
            </w:r>
            <w:r w:rsidR="00AA3ED3">
              <w:rPr>
                <w:rFonts w:cs="Arial"/>
                <w:sz w:val="16"/>
                <w:szCs w:val="16"/>
              </w:rPr>
              <w:t>’s Supplementary Budget for 2020/21</w:t>
            </w:r>
            <w:r>
              <w:rPr>
                <w:rFonts w:cs="Arial"/>
                <w:sz w:val="16"/>
                <w:szCs w:val="16"/>
              </w:rPr>
              <w:tab/>
            </w:r>
            <w:r>
              <w:rPr>
                <w:rFonts w:cs="Arial"/>
                <w:sz w:val="16"/>
                <w:szCs w:val="16"/>
              </w:rPr>
              <w:tab/>
            </w:r>
            <w:r w:rsidRPr="00BE1544">
              <w:rPr>
                <w:rFonts w:cs="Arial"/>
                <w:sz w:val="16"/>
                <w:szCs w:val="16"/>
              </w:rPr>
              <w:t xml:space="preserve">Page </w:t>
            </w:r>
            <w:r w:rsidRPr="00BE1544">
              <w:rPr>
                <w:rFonts w:cs="Arial"/>
                <w:bCs/>
                <w:sz w:val="16"/>
                <w:szCs w:val="16"/>
              </w:rPr>
              <w:fldChar w:fldCharType="begin"/>
            </w:r>
            <w:r w:rsidRPr="00BE1544">
              <w:rPr>
                <w:rFonts w:cs="Arial"/>
                <w:bCs/>
                <w:sz w:val="16"/>
                <w:szCs w:val="16"/>
              </w:rPr>
              <w:instrText xml:space="preserve"> PAGE </w:instrText>
            </w:r>
            <w:r w:rsidRPr="00BE1544">
              <w:rPr>
                <w:rFonts w:cs="Arial"/>
                <w:bCs/>
                <w:sz w:val="16"/>
                <w:szCs w:val="16"/>
              </w:rPr>
              <w:fldChar w:fldCharType="separate"/>
            </w:r>
            <w:r w:rsidR="00C13F75">
              <w:rPr>
                <w:rFonts w:cs="Arial"/>
                <w:bCs/>
                <w:noProof/>
                <w:sz w:val="16"/>
                <w:szCs w:val="16"/>
              </w:rPr>
              <w:t>9</w:t>
            </w:r>
            <w:r w:rsidRPr="00BE1544">
              <w:rPr>
                <w:rFonts w:cs="Arial"/>
                <w:bCs/>
                <w:sz w:val="16"/>
                <w:szCs w:val="16"/>
              </w:rPr>
              <w:fldChar w:fldCharType="end"/>
            </w:r>
            <w:r w:rsidRPr="00BE1544">
              <w:rPr>
                <w:rFonts w:cs="Arial"/>
                <w:sz w:val="16"/>
                <w:szCs w:val="16"/>
              </w:rPr>
              <w:t xml:space="preserve"> of </w:t>
            </w:r>
            <w:r w:rsidRPr="00BE1544">
              <w:rPr>
                <w:rFonts w:cs="Arial"/>
                <w:bCs/>
                <w:sz w:val="16"/>
                <w:szCs w:val="16"/>
              </w:rPr>
              <w:fldChar w:fldCharType="begin"/>
            </w:r>
            <w:r w:rsidRPr="00BE1544">
              <w:rPr>
                <w:rFonts w:cs="Arial"/>
                <w:bCs/>
                <w:sz w:val="16"/>
                <w:szCs w:val="16"/>
              </w:rPr>
              <w:instrText xml:space="preserve"> NUMPAGES  </w:instrText>
            </w:r>
            <w:r w:rsidRPr="00BE1544">
              <w:rPr>
                <w:rFonts w:cs="Arial"/>
                <w:bCs/>
                <w:sz w:val="16"/>
                <w:szCs w:val="16"/>
              </w:rPr>
              <w:fldChar w:fldCharType="separate"/>
            </w:r>
            <w:r w:rsidR="00C13F75">
              <w:rPr>
                <w:rFonts w:cs="Arial"/>
                <w:bCs/>
                <w:noProof/>
                <w:sz w:val="16"/>
                <w:szCs w:val="16"/>
              </w:rPr>
              <w:t>9</w:t>
            </w:r>
            <w:r w:rsidRPr="00BE1544">
              <w:rPr>
                <w:rFonts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D3" w:rsidRPr="00BE1544" w:rsidRDefault="00DC3527">
    <w:pPr>
      <w:pStyle w:val="Footer"/>
      <w:rPr>
        <w:rFonts w:cs="Arial"/>
        <w:sz w:val="16"/>
        <w:szCs w:val="16"/>
      </w:rPr>
    </w:pPr>
    <w:r>
      <w:rPr>
        <w:rFonts w:cs="Arial"/>
        <w:b/>
        <w:noProof/>
        <w:sz w:val="16"/>
        <w:szCs w:val="16"/>
        <w:lang w:eastAsia="en-ZA"/>
      </w:rPr>
      <mc:AlternateContent>
        <mc:Choice Requires="wps">
          <w:drawing>
            <wp:anchor distT="0" distB="0" distL="114300" distR="114300" simplePos="0" relativeHeight="251662336" behindDoc="0" locked="0" layoutInCell="1" allowOverlap="1" wp14:anchorId="7C694025" wp14:editId="6CCEB5B0">
              <wp:simplePos x="0" y="0"/>
              <wp:positionH relativeFrom="margin">
                <wp:posOffset>16510</wp:posOffset>
              </wp:positionH>
              <wp:positionV relativeFrom="page">
                <wp:posOffset>10032838</wp:posOffset>
              </wp:positionV>
              <wp:extent cx="5677786"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0E325D5"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mc:Fallback>
      </mc:AlternateContent>
    </w:r>
    <w:r w:rsidRPr="00BE1544">
      <w:rPr>
        <w:rFonts w:cs="Arial"/>
        <w:b/>
        <w:sz w:val="16"/>
        <w:szCs w:val="16"/>
      </w:rPr>
      <w:t>Research Unit</w:t>
    </w:r>
    <w:r>
      <w:rPr>
        <w:rFonts w:cs="Arial"/>
        <w:b/>
        <w:sz w:val="16"/>
        <w:szCs w:val="16"/>
      </w:rPr>
      <w:t xml:space="preserve"> </w:t>
    </w:r>
    <w:r w:rsidRPr="00BE1544">
      <w:rPr>
        <w:rFonts w:cs="Arial"/>
        <w:b/>
        <w:sz w:val="16"/>
        <w:szCs w:val="16"/>
      </w:rPr>
      <w:t>|</w:t>
    </w:r>
    <w:r w:rsidRPr="00BE1544">
      <w:rPr>
        <w:rFonts w:cs="Arial"/>
        <w:sz w:val="16"/>
        <w:szCs w:val="16"/>
      </w:rPr>
      <w:t xml:space="preserve"> Author: </w:t>
    </w:r>
    <w:r>
      <w:rPr>
        <w:rFonts w:cs="Arial"/>
        <w:sz w:val="16"/>
        <w:szCs w:val="16"/>
      </w:rPr>
      <w:t>N Mbelekane</w:t>
    </w:r>
    <w:r w:rsidRPr="00BE1544">
      <w:rPr>
        <w:rFonts w:cs="Arial"/>
        <w:sz w:val="16"/>
        <w:szCs w:val="16"/>
      </w:rPr>
      <w:t xml:space="preserve">                                                                              </w:t>
    </w:r>
    <w:r>
      <w:rPr>
        <w:rFonts w:cs="Arial"/>
        <w:sz w:val="16"/>
        <w:szCs w:val="16"/>
      </w:rPr>
      <w:t xml:space="preserve">                </w:t>
    </w:r>
    <w:r w:rsidRPr="00BE1544">
      <w:rPr>
        <w:rFonts w:cs="Arial"/>
        <w:sz w:val="16"/>
        <w:szCs w:val="16"/>
      </w:rPr>
      <w:t>Contact details: 02</w:t>
    </w:r>
    <w:r>
      <w:rPr>
        <w:rFonts w:cs="Arial"/>
        <w:sz w:val="16"/>
        <w:szCs w:val="16"/>
      </w:rPr>
      <w:t xml:space="preserve">1 403 8299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1F" w:rsidRDefault="0007271F" w:rsidP="001C6314">
      <w:pPr>
        <w:spacing w:line="240" w:lineRule="auto"/>
      </w:pPr>
      <w:r>
        <w:separator/>
      </w:r>
    </w:p>
  </w:footnote>
  <w:footnote w:type="continuationSeparator" w:id="0">
    <w:p w:rsidR="0007271F" w:rsidRDefault="0007271F" w:rsidP="001C6314">
      <w:pPr>
        <w:spacing w:line="240" w:lineRule="auto"/>
      </w:pPr>
      <w:r>
        <w:continuationSeparator/>
      </w:r>
    </w:p>
  </w:footnote>
  <w:footnote w:id="1">
    <w:p w:rsidR="001C6314" w:rsidRDefault="001C6314" w:rsidP="001C6314">
      <w:pPr>
        <w:pStyle w:val="FootnoteText"/>
      </w:pPr>
      <w:r>
        <w:rPr>
          <w:rStyle w:val="FootnoteReference"/>
        </w:rPr>
        <w:footnoteRef/>
      </w:r>
      <w:r w:rsidR="008F13AF">
        <w:t xml:space="preserve">National Treasury (2020) </w:t>
      </w:r>
    </w:p>
  </w:footnote>
  <w:footnote w:id="2">
    <w:p w:rsidR="001C6314" w:rsidRDefault="001C6314" w:rsidP="001C6314">
      <w:pPr>
        <w:pStyle w:val="FootnoteText"/>
      </w:pPr>
      <w:r>
        <w:rPr>
          <w:rStyle w:val="FootnoteReference"/>
        </w:rPr>
        <w:footnoteRef/>
      </w:r>
      <w:r w:rsidR="008F13AF">
        <w:t xml:space="preserve">South African Government (2020) </w:t>
      </w:r>
    </w:p>
  </w:footnote>
  <w:footnote w:id="3">
    <w:p w:rsidR="008F13AF" w:rsidRPr="008F13AF" w:rsidRDefault="001C6314" w:rsidP="008F13AF">
      <w:pPr>
        <w:pStyle w:val="FootnoteText"/>
        <w:rPr>
          <w:b/>
          <w:bCs/>
        </w:rPr>
      </w:pPr>
      <w:r>
        <w:rPr>
          <w:rStyle w:val="FootnoteReference"/>
        </w:rPr>
        <w:footnoteRef/>
      </w:r>
      <w:r w:rsidR="008F13AF">
        <w:t>National Treasury (2020)</w:t>
      </w:r>
    </w:p>
    <w:p w:rsidR="001C6314" w:rsidRDefault="001C6314" w:rsidP="001C6314">
      <w:pPr>
        <w:pStyle w:val="FootnoteText"/>
      </w:pPr>
    </w:p>
  </w:footnote>
  <w:footnote w:id="4">
    <w:p w:rsidR="001C6314" w:rsidRDefault="001C6314" w:rsidP="001C6314">
      <w:pPr>
        <w:pStyle w:val="FootnoteText"/>
      </w:pPr>
      <w:r>
        <w:rPr>
          <w:rStyle w:val="FootnoteReference"/>
        </w:rPr>
        <w:footnoteRef/>
      </w:r>
      <w:r>
        <w:t xml:space="preserve"> </w:t>
      </w:r>
      <w:r w:rsidR="00392EE4">
        <w:t xml:space="preserve">National Treasury (2020) </w:t>
      </w:r>
    </w:p>
  </w:footnote>
  <w:footnote w:id="5">
    <w:p w:rsidR="001C6314" w:rsidRDefault="001C6314" w:rsidP="001C6314">
      <w:pPr>
        <w:pStyle w:val="FootnoteText"/>
      </w:pPr>
      <w:r>
        <w:rPr>
          <w:rStyle w:val="FootnoteReference"/>
        </w:rPr>
        <w:footnoteRef/>
      </w:r>
      <w:r w:rsidR="00392EE4">
        <w:t xml:space="preserve">Ibid </w:t>
      </w:r>
    </w:p>
  </w:footnote>
  <w:footnote w:id="6">
    <w:p w:rsidR="001C6314" w:rsidRDefault="001C6314" w:rsidP="001C6314">
      <w:pPr>
        <w:pStyle w:val="FootnoteText"/>
      </w:pPr>
      <w:r>
        <w:rPr>
          <w:rStyle w:val="FootnoteReference"/>
        </w:rPr>
        <w:footnoteRef/>
      </w:r>
      <w:r w:rsidR="00392EE4">
        <w:t xml:space="preserve">Ibid </w:t>
      </w:r>
    </w:p>
  </w:footnote>
  <w:footnote w:id="7">
    <w:p w:rsidR="001C6314" w:rsidRDefault="001C6314" w:rsidP="001C6314">
      <w:pPr>
        <w:pStyle w:val="FootnoteText"/>
      </w:pPr>
      <w:r>
        <w:rPr>
          <w:rStyle w:val="FootnoteReference"/>
        </w:rPr>
        <w:footnoteRef/>
      </w:r>
      <w:r w:rsidR="00392EE4">
        <w:t xml:space="preserve">Ibid </w:t>
      </w:r>
    </w:p>
  </w:footnote>
  <w:footnote w:id="8">
    <w:p w:rsidR="009042EB" w:rsidRDefault="009042EB">
      <w:pPr>
        <w:pStyle w:val="FootnoteText"/>
      </w:pPr>
      <w:r>
        <w:rPr>
          <w:rStyle w:val="FootnoteReference"/>
        </w:rPr>
        <w:footnoteRef/>
      </w:r>
      <w:r>
        <w:t xml:space="preserve"> National Treasury (2020a)</w:t>
      </w:r>
    </w:p>
  </w:footnote>
  <w:footnote w:id="9">
    <w:p w:rsidR="009042EB" w:rsidRDefault="009042EB">
      <w:pPr>
        <w:pStyle w:val="FootnoteText"/>
      </w:pPr>
      <w:r>
        <w:rPr>
          <w:rStyle w:val="FootnoteReference"/>
        </w:rPr>
        <w:footnoteRef/>
      </w:r>
      <w:r>
        <w:t xml:space="preserve"> National Treasury (2020a)</w:t>
      </w:r>
    </w:p>
  </w:footnote>
  <w:footnote w:id="10">
    <w:p w:rsidR="001C6314" w:rsidRDefault="001C6314" w:rsidP="001C6314">
      <w:pPr>
        <w:pStyle w:val="FootnoteText"/>
      </w:pPr>
      <w:r>
        <w:rPr>
          <w:rStyle w:val="FootnoteReference"/>
        </w:rPr>
        <w:footnoteRef/>
      </w:r>
      <w:r>
        <w:t xml:space="preserve"> </w:t>
      </w:r>
      <w:r w:rsidR="00196ED2">
        <w:t xml:space="preserve">National Treasury (2020) </w:t>
      </w:r>
    </w:p>
  </w:footnote>
  <w:footnote w:id="11">
    <w:p w:rsidR="008E0A71" w:rsidRDefault="008E0A71">
      <w:pPr>
        <w:pStyle w:val="FootnoteText"/>
      </w:pPr>
      <w:r>
        <w:rPr>
          <w:rStyle w:val="FootnoteReference"/>
        </w:rPr>
        <w:footnoteRef/>
      </w:r>
      <w:r w:rsidR="00196ED2">
        <w:t xml:space="preserve">Ibid </w:t>
      </w:r>
      <w:r>
        <w:t xml:space="preserve"> </w:t>
      </w:r>
    </w:p>
  </w:footnote>
  <w:footnote w:id="12">
    <w:p w:rsidR="001C6314" w:rsidRDefault="001C6314" w:rsidP="001C6314">
      <w:pPr>
        <w:pStyle w:val="FootnoteText"/>
      </w:pPr>
      <w:r>
        <w:rPr>
          <w:rStyle w:val="FootnoteReference"/>
        </w:rPr>
        <w:footnoteRef/>
      </w:r>
      <w:r>
        <w:t xml:space="preserve"> </w:t>
      </w:r>
      <w:r w:rsidR="00196ED2">
        <w:t xml:space="preserve">Ibid </w:t>
      </w:r>
    </w:p>
  </w:footnote>
  <w:footnote w:id="13">
    <w:p w:rsidR="00C329E0" w:rsidRDefault="00C329E0">
      <w:pPr>
        <w:pStyle w:val="FootnoteText"/>
      </w:pPr>
      <w:r>
        <w:rPr>
          <w:rStyle w:val="FootnoteReference"/>
        </w:rPr>
        <w:footnoteRef/>
      </w:r>
      <w:r>
        <w:t xml:space="preserve"> National Treasury (2020)</w:t>
      </w:r>
    </w:p>
  </w:footnote>
  <w:footnote w:id="14">
    <w:p w:rsidR="00C329E0" w:rsidRDefault="00C329E0">
      <w:pPr>
        <w:pStyle w:val="FootnoteText"/>
      </w:pPr>
      <w:r>
        <w:rPr>
          <w:rStyle w:val="FootnoteReference"/>
        </w:rPr>
        <w:footnoteRef/>
      </w:r>
      <w:r>
        <w:t xml:space="preserve"> National Treasury (2020)</w:t>
      </w:r>
    </w:p>
  </w:footnote>
  <w:footnote w:id="15">
    <w:p w:rsidR="001C6314" w:rsidRDefault="001C6314" w:rsidP="001C6314">
      <w:pPr>
        <w:pStyle w:val="FootnoteText"/>
      </w:pPr>
      <w:r>
        <w:rPr>
          <w:rStyle w:val="FootnoteReference"/>
        </w:rPr>
        <w:footnoteRef/>
      </w:r>
      <w:r>
        <w:t xml:space="preserve"> </w:t>
      </w:r>
      <w:r w:rsidR="00AA3ED3">
        <w:t>SEDA (2020)</w:t>
      </w:r>
    </w:p>
  </w:footnote>
  <w:footnote w:id="16">
    <w:p w:rsidR="001C6314" w:rsidRDefault="001C6314" w:rsidP="001C6314">
      <w:pPr>
        <w:pStyle w:val="FootnoteText"/>
      </w:pPr>
      <w:r>
        <w:rPr>
          <w:rStyle w:val="FootnoteReference"/>
        </w:rPr>
        <w:footnoteRef/>
      </w:r>
      <w:r>
        <w:t xml:space="preserve"> </w:t>
      </w:r>
      <w:r w:rsidR="00D70D91">
        <w:t>SEDA (</w:t>
      </w:r>
      <w:proofErr w:type="spellStart"/>
      <w:r w:rsidR="00D70D91">
        <w:t>n.d</w:t>
      </w:r>
      <w:proofErr w:type="spellEnd"/>
      <w:r w:rsidR="00D70D91">
        <w:t xml:space="preserve">) </w:t>
      </w:r>
    </w:p>
  </w:footnote>
  <w:footnote w:id="17">
    <w:p w:rsidR="00371783" w:rsidRDefault="001C6314" w:rsidP="00371783">
      <w:pPr>
        <w:pStyle w:val="FootnoteText"/>
      </w:pPr>
      <w:r>
        <w:rPr>
          <w:rStyle w:val="FootnoteReference"/>
        </w:rPr>
        <w:footnoteRef/>
      </w:r>
      <w:r>
        <w:t xml:space="preserve"> </w:t>
      </w:r>
      <w:r w:rsidR="00D70D91">
        <w:t xml:space="preserve">Ibid </w:t>
      </w:r>
    </w:p>
    <w:p w:rsidR="001C6314" w:rsidRDefault="001C6314" w:rsidP="001C6314">
      <w:pPr>
        <w:pStyle w:val="FootnoteText"/>
      </w:pPr>
    </w:p>
  </w:footnote>
  <w:footnote w:id="18">
    <w:p w:rsidR="001C6314" w:rsidRDefault="001C6314" w:rsidP="001C6314">
      <w:pPr>
        <w:pStyle w:val="FootnoteText"/>
      </w:pPr>
      <w:r>
        <w:rPr>
          <w:rStyle w:val="FootnoteReference"/>
        </w:rPr>
        <w:footnoteRef/>
      </w:r>
      <w:r w:rsidR="0041350D">
        <w:t xml:space="preserve"> Department of Small Business Development (2020a) </w:t>
      </w:r>
    </w:p>
  </w:footnote>
  <w:footnote w:id="19">
    <w:p w:rsidR="001C6314" w:rsidRDefault="001C6314" w:rsidP="001C6314">
      <w:pPr>
        <w:pStyle w:val="FootnoteText"/>
      </w:pPr>
      <w:r>
        <w:rPr>
          <w:rStyle w:val="FootnoteReference"/>
        </w:rPr>
        <w:footnoteRef/>
      </w:r>
      <w:r>
        <w:t xml:space="preserve"> </w:t>
      </w:r>
      <w:r w:rsidR="0041350D">
        <w:t xml:space="preserve">Department of Small Business Development (2020b)  </w:t>
      </w:r>
    </w:p>
  </w:footnote>
  <w:footnote w:id="20">
    <w:p w:rsidR="001C6314" w:rsidRDefault="001C6314" w:rsidP="001C6314">
      <w:pPr>
        <w:pStyle w:val="FootnoteText"/>
      </w:pPr>
      <w:r>
        <w:rPr>
          <w:rStyle w:val="FootnoteReference"/>
        </w:rPr>
        <w:footnoteRef/>
      </w:r>
      <w:r>
        <w:t xml:space="preserve"> </w:t>
      </w:r>
      <w:r w:rsidR="0041350D">
        <w:t xml:space="preserve">Ibid </w:t>
      </w:r>
    </w:p>
  </w:footnote>
  <w:footnote w:id="21">
    <w:p w:rsidR="001C6314" w:rsidRDefault="001C6314" w:rsidP="001C6314">
      <w:pPr>
        <w:pStyle w:val="FootnoteText"/>
      </w:pPr>
      <w:r>
        <w:rPr>
          <w:rStyle w:val="FootnoteReference"/>
        </w:rPr>
        <w:footnoteRef/>
      </w:r>
      <w:r>
        <w:t xml:space="preserve"> </w:t>
      </w:r>
      <w:r w:rsidR="0041350D">
        <w:t xml:space="preserve">Ibid </w:t>
      </w:r>
    </w:p>
  </w:footnote>
  <w:footnote w:id="22">
    <w:p w:rsidR="001C6314" w:rsidRDefault="001C6314" w:rsidP="001C6314">
      <w:pPr>
        <w:pStyle w:val="FootnoteText"/>
      </w:pPr>
      <w:r>
        <w:rPr>
          <w:rStyle w:val="FootnoteReference"/>
        </w:rPr>
        <w:footnoteRef/>
      </w:r>
      <w:r>
        <w:t xml:space="preserve"> </w:t>
      </w:r>
      <w:r w:rsidR="0041350D">
        <w:t xml:space="preserve">Department of Small Business Development (2020c) </w:t>
      </w:r>
    </w:p>
  </w:footnote>
  <w:footnote w:id="23">
    <w:p w:rsidR="00371783" w:rsidRDefault="00371783">
      <w:pPr>
        <w:pStyle w:val="FootnoteText"/>
      </w:pPr>
      <w:r>
        <w:rPr>
          <w:rStyle w:val="FootnoteReference"/>
        </w:rPr>
        <w:footnoteRef/>
      </w:r>
      <w:r>
        <w:t xml:space="preserve"> </w:t>
      </w:r>
      <w:r w:rsidR="001379D9">
        <w:t xml:space="preserve">National Treasury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D3" w:rsidRDefault="00DC3527">
    <w:pPr>
      <w:pStyle w:val="Header"/>
    </w:pPr>
    <w:r>
      <w:rPr>
        <w:noProof/>
        <w:lang w:eastAsia="en-ZA"/>
      </w:rPr>
      <w:drawing>
        <wp:anchor distT="0" distB="0" distL="114300" distR="114300" simplePos="0" relativeHeight="251660288" behindDoc="0" locked="0" layoutInCell="1" allowOverlap="1" wp14:anchorId="759EC107" wp14:editId="66601B35">
          <wp:simplePos x="0" y="0"/>
          <wp:positionH relativeFrom="margin">
            <wp:posOffset>4931410</wp:posOffset>
          </wp:positionH>
          <wp:positionV relativeFrom="page">
            <wp:posOffset>344643</wp:posOffset>
          </wp:positionV>
          <wp:extent cx="800100" cy="824230"/>
          <wp:effectExtent l="0" t="0" r="0" b="0"/>
          <wp:wrapSquare wrapText="bothSides"/>
          <wp:docPr id="42" name="Picture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r="68547"/>
                  <a:stretch>
                    <a:fillRect/>
                  </a:stretch>
                </pic:blipFill>
                <pic:spPr bwMode="auto">
                  <a:xfrm>
                    <a:off x="0" y="0"/>
                    <a:ext cx="80010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0D3" w:rsidRDefault="000727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D3" w:rsidRDefault="00DC3527">
    <w:pPr>
      <w:pStyle w:val="Header"/>
    </w:pPr>
    <w:r>
      <w:rPr>
        <w:noProof/>
        <w:lang w:eastAsia="en-ZA"/>
      </w:rPr>
      <w:drawing>
        <wp:anchor distT="0" distB="0" distL="114300" distR="114300" simplePos="0" relativeHeight="251659264" behindDoc="0" locked="0" layoutInCell="1" allowOverlap="1" wp14:anchorId="4189E6E3" wp14:editId="626B573F">
          <wp:simplePos x="0" y="0"/>
          <wp:positionH relativeFrom="margin">
            <wp:posOffset>-82388</wp:posOffset>
          </wp:positionH>
          <wp:positionV relativeFrom="page">
            <wp:posOffset>411480</wp:posOffset>
          </wp:positionV>
          <wp:extent cx="2543810" cy="824230"/>
          <wp:effectExtent l="0" t="0" r="8890" b="0"/>
          <wp:wrapSquare wrapText="bothSides"/>
          <wp:docPr id="43" name="Picture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1312" behindDoc="1" locked="0" layoutInCell="1" allowOverlap="1" wp14:anchorId="4AFF0259" wp14:editId="3409F0D7">
          <wp:simplePos x="0" y="0"/>
          <wp:positionH relativeFrom="margin">
            <wp:posOffset>3557743</wp:posOffset>
          </wp:positionH>
          <wp:positionV relativeFrom="page">
            <wp:posOffset>560070</wp:posOffset>
          </wp:positionV>
          <wp:extent cx="2279650" cy="611505"/>
          <wp:effectExtent l="0" t="0" r="6350" b="0"/>
          <wp:wrapSquare wrapText="bothSides"/>
          <wp:docPr id="44" name="Picture 4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97"/>
    <w:multiLevelType w:val="hybridMultilevel"/>
    <w:tmpl w:val="80C45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E763B7"/>
    <w:multiLevelType w:val="hybridMultilevel"/>
    <w:tmpl w:val="45008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B518A4"/>
    <w:multiLevelType w:val="hybridMultilevel"/>
    <w:tmpl w:val="FB22DBD6"/>
    <w:lvl w:ilvl="0" w:tplc="2E524DDC">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C867CA"/>
    <w:multiLevelType w:val="hybridMultilevel"/>
    <w:tmpl w:val="0C429576"/>
    <w:lvl w:ilvl="0" w:tplc="2E524DDC">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C26E8B"/>
    <w:multiLevelType w:val="hybridMultilevel"/>
    <w:tmpl w:val="2A5C5C5A"/>
    <w:lvl w:ilvl="0" w:tplc="2E524DDC">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C75858"/>
    <w:multiLevelType w:val="hybridMultilevel"/>
    <w:tmpl w:val="BB2AB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FC632EA"/>
    <w:multiLevelType w:val="hybridMultilevel"/>
    <w:tmpl w:val="EC92489A"/>
    <w:lvl w:ilvl="0" w:tplc="2E524DDC">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CB13F5"/>
    <w:multiLevelType w:val="hybridMultilevel"/>
    <w:tmpl w:val="A586B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5786D76"/>
    <w:multiLevelType w:val="hybridMultilevel"/>
    <w:tmpl w:val="33BAE21A"/>
    <w:lvl w:ilvl="0" w:tplc="2E524DDC">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FB0227"/>
    <w:multiLevelType w:val="hybridMultilevel"/>
    <w:tmpl w:val="70A4A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00686E"/>
    <w:multiLevelType w:val="hybridMultilevel"/>
    <w:tmpl w:val="1160F984"/>
    <w:lvl w:ilvl="0" w:tplc="EAAC90CA">
      <w:start w:val="1"/>
      <w:numFmt w:val="bullet"/>
      <w:lvlText w:val="•"/>
      <w:lvlJc w:val="left"/>
      <w:pPr>
        <w:tabs>
          <w:tab w:val="num" w:pos="720"/>
        </w:tabs>
        <w:ind w:left="720" w:hanging="360"/>
      </w:pPr>
      <w:rPr>
        <w:rFonts w:ascii="Arial" w:hAnsi="Arial" w:hint="default"/>
      </w:rPr>
    </w:lvl>
    <w:lvl w:ilvl="1" w:tplc="20A23D46" w:tentative="1">
      <w:start w:val="1"/>
      <w:numFmt w:val="bullet"/>
      <w:lvlText w:val="•"/>
      <w:lvlJc w:val="left"/>
      <w:pPr>
        <w:tabs>
          <w:tab w:val="num" w:pos="1440"/>
        </w:tabs>
        <w:ind w:left="1440" w:hanging="360"/>
      </w:pPr>
      <w:rPr>
        <w:rFonts w:ascii="Arial" w:hAnsi="Arial" w:hint="default"/>
      </w:rPr>
    </w:lvl>
    <w:lvl w:ilvl="2" w:tplc="170CA88C" w:tentative="1">
      <w:start w:val="1"/>
      <w:numFmt w:val="bullet"/>
      <w:lvlText w:val="•"/>
      <w:lvlJc w:val="left"/>
      <w:pPr>
        <w:tabs>
          <w:tab w:val="num" w:pos="2160"/>
        </w:tabs>
        <w:ind w:left="2160" w:hanging="360"/>
      </w:pPr>
      <w:rPr>
        <w:rFonts w:ascii="Arial" w:hAnsi="Arial" w:hint="default"/>
      </w:rPr>
    </w:lvl>
    <w:lvl w:ilvl="3" w:tplc="A9A24E4A" w:tentative="1">
      <w:start w:val="1"/>
      <w:numFmt w:val="bullet"/>
      <w:lvlText w:val="•"/>
      <w:lvlJc w:val="left"/>
      <w:pPr>
        <w:tabs>
          <w:tab w:val="num" w:pos="2880"/>
        </w:tabs>
        <w:ind w:left="2880" w:hanging="360"/>
      </w:pPr>
      <w:rPr>
        <w:rFonts w:ascii="Arial" w:hAnsi="Arial" w:hint="default"/>
      </w:rPr>
    </w:lvl>
    <w:lvl w:ilvl="4" w:tplc="E5D24782" w:tentative="1">
      <w:start w:val="1"/>
      <w:numFmt w:val="bullet"/>
      <w:lvlText w:val="•"/>
      <w:lvlJc w:val="left"/>
      <w:pPr>
        <w:tabs>
          <w:tab w:val="num" w:pos="3600"/>
        </w:tabs>
        <w:ind w:left="3600" w:hanging="360"/>
      </w:pPr>
      <w:rPr>
        <w:rFonts w:ascii="Arial" w:hAnsi="Arial" w:hint="default"/>
      </w:rPr>
    </w:lvl>
    <w:lvl w:ilvl="5" w:tplc="D310C51A" w:tentative="1">
      <w:start w:val="1"/>
      <w:numFmt w:val="bullet"/>
      <w:lvlText w:val="•"/>
      <w:lvlJc w:val="left"/>
      <w:pPr>
        <w:tabs>
          <w:tab w:val="num" w:pos="4320"/>
        </w:tabs>
        <w:ind w:left="4320" w:hanging="360"/>
      </w:pPr>
      <w:rPr>
        <w:rFonts w:ascii="Arial" w:hAnsi="Arial" w:hint="default"/>
      </w:rPr>
    </w:lvl>
    <w:lvl w:ilvl="6" w:tplc="0764F3C2" w:tentative="1">
      <w:start w:val="1"/>
      <w:numFmt w:val="bullet"/>
      <w:lvlText w:val="•"/>
      <w:lvlJc w:val="left"/>
      <w:pPr>
        <w:tabs>
          <w:tab w:val="num" w:pos="5040"/>
        </w:tabs>
        <w:ind w:left="5040" w:hanging="360"/>
      </w:pPr>
      <w:rPr>
        <w:rFonts w:ascii="Arial" w:hAnsi="Arial" w:hint="default"/>
      </w:rPr>
    </w:lvl>
    <w:lvl w:ilvl="7" w:tplc="172438AE" w:tentative="1">
      <w:start w:val="1"/>
      <w:numFmt w:val="bullet"/>
      <w:lvlText w:val="•"/>
      <w:lvlJc w:val="left"/>
      <w:pPr>
        <w:tabs>
          <w:tab w:val="num" w:pos="5760"/>
        </w:tabs>
        <w:ind w:left="5760" w:hanging="360"/>
      </w:pPr>
      <w:rPr>
        <w:rFonts w:ascii="Arial" w:hAnsi="Arial" w:hint="default"/>
      </w:rPr>
    </w:lvl>
    <w:lvl w:ilvl="8" w:tplc="D2E65D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A37F1C"/>
    <w:multiLevelType w:val="hybridMultilevel"/>
    <w:tmpl w:val="D53611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8"/>
  </w:num>
  <w:num w:numId="6">
    <w:abstractNumId w:val="4"/>
  </w:num>
  <w:num w:numId="7">
    <w:abstractNumId w:val="13"/>
  </w:num>
  <w:num w:numId="8">
    <w:abstractNumId w:val="12"/>
  </w:num>
  <w:num w:numId="9">
    <w:abstractNumId w:val="7"/>
  </w:num>
  <w:num w:numId="10">
    <w:abstractNumId w:val="1"/>
  </w:num>
  <w:num w:numId="11">
    <w:abstractNumId w:val="5"/>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14"/>
    <w:rsid w:val="000130BD"/>
    <w:rsid w:val="000256B1"/>
    <w:rsid w:val="0007271F"/>
    <w:rsid w:val="000D29F0"/>
    <w:rsid w:val="001379D9"/>
    <w:rsid w:val="0019671A"/>
    <w:rsid w:val="00196ED2"/>
    <w:rsid w:val="001A106F"/>
    <w:rsid w:val="001C6314"/>
    <w:rsid w:val="00204F29"/>
    <w:rsid w:val="00222B04"/>
    <w:rsid w:val="0024063B"/>
    <w:rsid w:val="00255F3A"/>
    <w:rsid w:val="00274FEA"/>
    <w:rsid w:val="002E4A04"/>
    <w:rsid w:val="00311235"/>
    <w:rsid w:val="0031487E"/>
    <w:rsid w:val="00354288"/>
    <w:rsid w:val="00364FD0"/>
    <w:rsid w:val="00371783"/>
    <w:rsid w:val="00372D04"/>
    <w:rsid w:val="00374D7D"/>
    <w:rsid w:val="00381A89"/>
    <w:rsid w:val="00392EE4"/>
    <w:rsid w:val="003E5962"/>
    <w:rsid w:val="003F3156"/>
    <w:rsid w:val="003F47B5"/>
    <w:rsid w:val="0041350D"/>
    <w:rsid w:val="004A0650"/>
    <w:rsid w:val="00513137"/>
    <w:rsid w:val="005501CB"/>
    <w:rsid w:val="00581160"/>
    <w:rsid w:val="0059664E"/>
    <w:rsid w:val="005A091E"/>
    <w:rsid w:val="005C73B1"/>
    <w:rsid w:val="006B725E"/>
    <w:rsid w:val="006E4ED6"/>
    <w:rsid w:val="0071459E"/>
    <w:rsid w:val="007F03B1"/>
    <w:rsid w:val="00835C8B"/>
    <w:rsid w:val="00895FB3"/>
    <w:rsid w:val="008C18BA"/>
    <w:rsid w:val="008E0996"/>
    <w:rsid w:val="008E0A71"/>
    <w:rsid w:val="008F13AF"/>
    <w:rsid w:val="009042EB"/>
    <w:rsid w:val="009178F9"/>
    <w:rsid w:val="00980361"/>
    <w:rsid w:val="0098456A"/>
    <w:rsid w:val="009B71ED"/>
    <w:rsid w:val="009D14B3"/>
    <w:rsid w:val="009E032E"/>
    <w:rsid w:val="00A07CBF"/>
    <w:rsid w:val="00AA3ED3"/>
    <w:rsid w:val="00B367BA"/>
    <w:rsid w:val="00BA531E"/>
    <w:rsid w:val="00BC5D9D"/>
    <w:rsid w:val="00BE2862"/>
    <w:rsid w:val="00C061CE"/>
    <w:rsid w:val="00C13F75"/>
    <w:rsid w:val="00C155B8"/>
    <w:rsid w:val="00C329E0"/>
    <w:rsid w:val="00C41448"/>
    <w:rsid w:val="00C52AA5"/>
    <w:rsid w:val="00D60C1D"/>
    <w:rsid w:val="00D70D91"/>
    <w:rsid w:val="00D745A2"/>
    <w:rsid w:val="00D97800"/>
    <w:rsid w:val="00DC3527"/>
    <w:rsid w:val="00DD5400"/>
    <w:rsid w:val="00E24F45"/>
    <w:rsid w:val="00E31436"/>
    <w:rsid w:val="00E6538D"/>
    <w:rsid w:val="00EA20F4"/>
    <w:rsid w:val="00EA243C"/>
    <w:rsid w:val="00F06680"/>
    <w:rsid w:val="00F10BB6"/>
    <w:rsid w:val="00F26103"/>
    <w:rsid w:val="00FF70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44DE5-46C7-4D1F-A6C7-334CD16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14"/>
    <w:pPr>
      <w:spacing w:after="0" w:line="280" w:lineRule="exact"/>
      <w:jc w:val="both"/>
    </w:pPr>
    <w:rPr>
      <w:rFonts w:ascii="Arial" w:hAnsi="Arial"/>
    </w:rPr>
  </w:style>
  <w:style w:type="paragraph" w:styleId="Heading1">
    <w:name w:val="heading 1"/>
    <w:basedOn w:val="Normal"/>
    <w:next w:val="Normal"/>
    <w:link w:val="Heading1Char"/>
    <w:uiPriority w:val="9"/>
    <w:qFormat/>
    <w:rsid w:val="001C6314"/>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1C63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3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314"/>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1C63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631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C6314"/>
    <w:pPr>
      <w:tabs>
        <w:tab w:val="center" w:pos="4513"/>
        <w:tab w:val="right" w:pos="9026"/>
      </w:tabs>
      <w:spacing w:line="240" w:lineRule="auto"/>
    </w:pPr>
  </w:style>
  <w:style w:type="character" w:customStyle="1" w:styleId="HeaderChar">
    <w:name w:val="Header Char"/>
    <w:basedOn w:val="DefaultParagraphFont"/>
    <w:link w:val="Header"/>
    <w:uiPriority w:val="99"/>
    <w:rsid w:val="001C6314"/>
    <w:rPr>
      <w:rFonts w:ascii="Arial" w:hAnsi="Arial"/>
    </w:rPr>
  </w:style>
  <w:style w:type="paragraph" w:styleId="Footer">
    <w:name w:val="footer"/>
    <w:basedOn w:val="Normal"/>
    <w:link w:val="FooterChar"/>
    <w:uiPriority w:val="99"/>
    <w:unhideWhenUsed/>
    <w:rsid w:val="001C6314"/>
    <w:pPr>
      <w:tabs>
        <w:tab w:val="center" w:pos="4513"/>
        <w:tab w:val="right" w:pos="9026"/>
      </w:tabs>
      <w:spacing w:line="240" w:lineRule="auto"/>
    </w:pPr>
  </w:style>
  <w:style w:type="character" w:customStyle="1" w:styleId="FooterChar">
    <w:name w:val="Footer Char"/>
    <w:basedOn w:val="DefaultParagraphFont"/>
    <w:link w:val="Footer"/>
    <w:uiPriority w:val="99"/>
    <w:rsid w:val="001C6314"/>
    <w:rPr>
      <w:rFonts w:ascii="Arial" w:hAnsi="Arial"/>
    </w:rPr>
  </w:style>
  <w:style w:type="paragraph" w:customStyle="1" w:styleId="ResearchTitle">
    <w:name w:val="Research Title"/>
    <w:basedOn w:val="Normal"/>
    <w:link w:val="ResearchTitleChar"/>
    <w:rsid w:val="001C6314"/>
    <w:rPr>
      <w:b/>
      <w:caps/>
      <w:color w:val="538135" w:themeColor="accent6" w:themeShade="BF"/>
      <w:sz w:val="24"/>
    </w:rPr>
  </w:style>
  <w:style w:type="paragraph" w:customStyle="1" w:styleId="ReseachMainHeading">
    <w:name w:val="Reseach Main Heading"/>
    <w:basedOn w:val="ResearchTitle"/>
    <w:link w:val="ReseachMainHeadingChar"/>
    <w:rsid w:val="001C6314"/>
  </w:style>
  <w:style w:type="character" w:customStyle="1" w:styleId="ResearchTitleChar">
    <w:name w:val="Research Title Char"/>
    <w:basedOn w:val="DefaultParagraphFont"/>
    <w:link w:val="ResearchTitle"/>
    <w:rsid w:val="001C6314"/>
    <w:rPr>
      <w:rFonts w:ascii="Arial" w:hAnsi="Arial"/>
      <w:b/>
      <w:caps/>
      <w:color w:val="538135" w:themeColor="accent6" w:themeShade="BF"/>
      <w:sz w:val="24"/>
    </w:rPr>
  </w:style>
  <w:style w:type="character" w:customStyle="1" w:styleId="ReseachMainHeadingChar">
    <w:name w:val="Reseach Main Heading Char"/>
    <w:basedOn w:val="ResearchTitleChar"/>
    <w:link w:val="ReseachMainHeading"/>
    <w:rsid w:val="001C6314"/>
    <w:rPr>
      <w:rFonts w:ascii="Arial" w:hAnsi="Arial"/>
      <w:b/>
      <w:caps/>
      <w:color w:val="538135" w:themeColor="accent6" w:themeShade="BF"/>
      <w:sz w:val="24"/>
    </w:rPr>
  </w:style>
  <w:style w:type="paragraph" w:styleId="TOC1">
    <w:name w:val="toc 1"/>
    <w:basedOn w:val="Normal"/>
    <w:next w:val="Normal"/>
    <w:autoRedefine/>
    <w:uiPriority w:val="39"/>
    <w:unhideWhenUsed/>
    <w:qFormat/>
    <w:rsid w:val="001C6314"/>
    <w:pPr>
      <w:tabs>
        <w:tab w:val="left" w:pos="442"/>
        <w:tab w:val="right" w:leader="dot" w:pos="9016"/>
      </w:tabs>
      <w:spacing w:after="100"/>
    </w:pPr>
    <w:rPr>
      <w:rFonts w:cs="Arial"/>
      <w:b/>
      <w:caps/>
      <w:noProof/>
      <w:color w:val="000000" w:themeColor="text1"/>
    </w:rPr>
  </w:style>
  <w:style w:type="character" w:styleId="Hyperlink">
    <w:name w:val="Hyperlink"/>
    <w:basedOn w:val="DefaultParagraphFont"/>
    <w:uiPriority w:val="99"/>
    <w:unhideWhenUsed/>
    <w:rsid w:val="001C6314"/>
    <w:rPr>
      <w:color w:val="0563C1" w:themeColor="hyperlink"/>
      <w:u w:val="single"/>
    </w:rPr>
  </w:style>
  <w:style w:type="paragraph" w:styleId="Title">
    <w:name w:val="Title"/>
    <w:basedOn w:val="Normal"/>
    <w:next w:val="Normal"/>
    <w:link w:val="TitleChar"/>
    <w:uiPriority w:val="10"/>
    <w:qFormat/>
    <w:rsid w:val="001C6314"/>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1C6314"/>
    <w:rPr>
      <w:rFonts w:ascii="Arial" w:eastAsiaTheme="majorEastAsia" w:hAnsi="Arial" w:cstheme="majorBidi"/>
      <w:b/>
      <w:caps/>
      <w:color w:val="538135" w:themeColor="accent6" w:themeShade="BF"/>
      <w:spacing w:val="-10"/>
      <w:kern w:val="28"/>
      <w:sz w:val="28"/>
      <w:szCs w:val="56"/>
    </w:rPr>
  </w:style>
  <w:style w:type="table" w:styleId="TableGrid">
    <w:name w:val="Table Grid"/>
    <w:basedOn w:val="TableNormal"/>
    <w:uiPriority w:val="39"/>
    <w:rsid w:val="001C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6314"/>
    <w:pPr>
      <w:spacing w:line="240" w:lineRule="auto"/>
    </w:pPr>
    <w:rPr>
      <w:sz w:val="20"/>
      <w:szCs w:val="20"/>
    </w:rPr>
  </w:style>
  <w:style w:type="character" w:customStyle="1" w:styleId="FootnoteTextChar">
    <w:name w:val="Footnote Text Char"/>
    <w:basedOn w:val="DefaultParagraphFont"/>
    <w:link w:val="FootnoteText"/>
    <w:uiPriority w:val="99"/>
    <w:rsid w:val="001C6314"/>
    <w:rPr>
      <w:rFonts w:ascii="Arial" w:hAnsi="Arial"/>
      <w:sz w:val="20"/>
      <w:szCs w:val="20"/>
    </w:rPr>
  </w:style>
  <w:style w:type="character" w:styleId="FootnoteReference">
    <w:name w:val="footnote reference"/>
    <w:aliases w:val="ftref"/>
    <w:basedOn w:val="DefaultParagraphFont"/>
    <w:uiPriority w:val="99"/>
    <w:rsid w:val="001C6314"/>
    <w:rPr>
      <w:vertAlign w:val="superscript"/>
    </w:rPr>
  </w:style>
  <w:style w:type="paragraph" w:styleId="TOC2">
    <w:name w:val="toc 2"/>
    <w:basedOn w:val="Normal"/>
    <w:next w:val="Normal"/>
    <w:autoRedefine/>
    <w:uiPriority w:val="39"/>
    <w:unhideWhenUsed/>
    <w:rsid w:val="001C6314"/>
    <w:pPr>
      <w:spacing w:after="100"/>
      <w:ind w:left="220"/>
    </w:pPr>
  </w:style>
  <w:style w:type="paragraph" w:styleId="TOC3">
    <w:name w:val="toc 3"/>
    <w:basedOn w:val="Normal"/>
    <w:next w:val="Normal"/>
    <w:autoRedefine/>
    <w:uiPriority w:val="39"/>
    <w:unhideWhenUsed/>
    <w:rsid w:val="001C6314"/>
    <w:pPr>
      <w:spacing w:after="100"/>
      <w:ind w:left="440"/>
    </w:pPr>
  </w:style>
  <w:style w:type="paragraph" w:styleId="ListParagraph">
    <w:name w:val="List Paragraph"/>
    <w:basedOn w:val="Normal"/>
    <w:uiPriority w:val="34"/>
    <w:qFormat/>
    <w:rsid w:val="001C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d.gov.za/?page_id=12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org.za/Programmes/Pages/Gazelles.aspx%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documents/National%20Budget/2020S/review/FullSB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sbd.gov.za/wp-content/uploads/2016/12/Guidelines.pdf" TargetMode="External"/><Relationship Id="rId4" Type="http://schemas.openxmlformats.org/officeDocument/2006/relationships/settings" Target="settings.xml"/><Relationship Id="rId9" Type="http://schemas.openxmlformats.org/officeDocument/2006/relationships/hyperlink" Target="http://www.dsbd.gov.za/?page_id=1224%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A1D3-CB72-4E5B-9555-2AD2B8EC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Nwabisa Mbelekane</dc:creator>
  <cp:keywords/>
  <dc:description/>
  <cp:lastModifiedBy>King Kunene</cp:lastModifiedBy>
  <cp:revision>2</cp:revision>
  <dcterms:created xsi:type="dcterms:W3CDTF">2020-07-14T15:32:00Z</dcterms:created>
  <dcterms:modified xsi:type="dcterms:W3CDTF">2020-07-14T15:32:00Z</dcterms:modified>
</cp:coreProperties>
</file>