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A8A54" w14:textId="76F1D5C3" w:rsidR="001005B9" w:rsidRPr="003415B3" w:rsidRDefault="001005B9" w:rsidP="00537F85">
      <w:pPr>
        <w:jc w:val="center"/>
        <w:rPr>
          <w:b/>
          <w:bCs/>
          <w:u w:val="single"/>
        </w:rPr>
      </w:pPr>
      <w:r w:rsidRPr="003415B3">
        <w:rPr>
          <w:b/>
          <w:bCs/>
          <w:u w:val="single"/>
        </w:rPr>
        <w:t xml:space="preserve">Minutes of the </w:t>
      </w:r>
      <w:r w:rsidR="002626B6">
        <w:rPr>
          <w:b/>
          <w:bCs/>
          <w:u w:val="single"/>
        </w:rPr>
        <w:t xml:space="preserve">HR and Remuneration Committee </w:t>
      </w:r>
      <w:r w:rsidRPr="003415B3">
        <w:rPr>
          <w:b/>
          <w:bCs/>
          <w:u w:val="single"/>
        </w:rPr>
        <w:t>meeting</w:t>
      </w:r>
      <w:r w:rsidR="002626B6">
        <w:rPr>
          <w:b/>
          <w:bCs/>
          <w:u w:val="single"/>
        </w:rPr>
        <w:t xml:space="preserve"> </w:t>
      </w:r>
      <w:r w:rsidR="00537F85">
        <w:rPr>
          <w:b/>
          <w:bCs/>
          <w:u w:val="single"/>
        </w:rPr>
        <w:t>–</w:t>
      </w:r>
      <w:r w:rsidR="002626B6">
        <w:rPr>
          <w:b/>
          <w:bCs/>
          <w:u w:val="single"/>
        </w:rPr>
        <w:t xml:space="preserve"> Extended</w:t>
      </w:r>
      <w:r w:rsidR="00537F85">
        <w:rPr>
          <w:b/>
          <w:bCs/>
          <w:u w:val="single"/>
        </w:rPr>
        <w:t>:</w:t>
      </w:r>
      <w:r w:rsidR="002626B6">
        <w:rPr>
          <w:b/>
          <w:bCs/>
          <w:u w:val="single"/>
        </w:rPr>
        <w:t xml:space="preserve"> Teleconference</w:t>
      </w:r>
    </w:p>
    <w:p w14:paraId="2A19A4CA" w14:textId="2807718E" w:rsidR="003415B3" w:rsidRDefault="003415B3" w:rsidP="00537F85">
      <w:pPr>
        <w:jc w:val="both"/>
      </w:pPr>
    </w:p>
    <w:p w14:paraId="3F9A40B5" w14:textId="56AA7F3B" w:rsidR="002626B6" w:rsidRDefault="002626B6" w:rsidP="00537F85">
      <w:pPr>
        <w:jc w:val="both"/>
      </w:pPr>
      <w:r w:rsidRPr="002626B6">
        <w:rPr>
          <w:b/>
          <w:bCs/>
        </w:rPr>
        <w:t>Date</w:t>
      </w:r>
      <w:r>
        <w:t>: Friday 17</w:t>
      </w:r>
      <w:r w:rsidRPr="003415B3">
        <w:rPr>
          <w:vertAlign w:val="superscript"/>
        </w:rPr>
        <w:t>th</w:t>
      </w:r>
      <w:r>
        <w:t xml:space="preserve"> April 2020 </w:t>
      </w:r>
    </w:p>
    <w:p w14:paraId="439AE31C" w14:textId="77777777" w:rsidR="002626B6" w:rsidRDefault="002626B6" w:rsidP="00537F85">
      <w:pPr>
        <w:jc w:val="both"/>
      </w:pPr>
    </w:p>
    <w:p w14:paraId="72E6161E" w14:textId="646E2977" w:rsidR="002626B6" w:rsidRDefault="002626B6" w:rsidP="00537F85">
      <w:pPr>
        <w:jc w:val="both"/>
      </w:pPr>
      <w:r w:rsidRPr="002626B6">
        <w:rPr>
          <w:b/>
          <w:bCs/>
        </w:rPr>
        <w:t>Background</w:t>
      </w:r>
      <w:r>
        <w:t>: The Chairperson of the HR and Renumeration Committee called the meeting as per Special plenary resolution that the issues related to the payment of the Part-time Commissioners during the lock-down must be discussed by the HR and Remuneration Committee and submit re</w:t>
      </w:r>
      <w:r w:rsidR="00537F85">
        <w:t>solutions</w:t>
      </w:r>
      <w:r>
        <w:t xml:space="preserve"> to </w:t>
      </w:r>
      <w:r w:rsidR="00537F85">
        <w:t xml:space="preserve">the </w:t>
      </w:r>
      <w:r>
        <w:t>plenary. The Chairperson of the HR and Renumeration Committee extended an invite to the Chairperson of</w:t>
      </w:r>
      <w:r w:rsidR="00E14638">
        <w:t xml:space="preserve"> </w:t>
      </w:r>
      <w:r>
        <w:t>Legal to be part of the discussions to provide legal advice</w:t>
      </w:r>
      <w:r w:rsidR="00537F85">
        <w:t xml:space="preserve"> on this matter</w:t>
      </w:r>
      <w:r>
        <w:t xml:space="preserve"> and for also to the Office of the Chairperson</w:t>
      </w:r>
      <w:r w:rsidR="00537F85">
        <w:t xml:space="preserve"> to be part of the discussions. </w:t>
      </w:r>
    </w:p>
    <w:p w14:paraId="3584666D" w14:textId="77777777" w:rsidR="003415B3" w:rsidRDefault="003415B3" w:rsidP="00537F85">
      <w:pPr>
        <w:jc w:val="both"/>
      </w:pPr>
    </w:p>
    <w:p w14:paraId="45A1923C" w14:textId="2986E452" w:rsidR="003415B3" w:rsidRPr="002626B6" w:rsidRDefault="003415B3" w:rsidP="00537F85">
      <w:pPr>
        <w:jc w:val="both"/>
        <w:rPr>
          <w:b/>
          <w:bCs/>
          <w:u w:val="single"/>
        </w:rPr>
      </w:pPr>
      <w:r w:rsidRPr="002626B6">
        <w:rPr>
          <w:b/>
          <w:bCs/>
        </w:rPr>
        <w:t>Purpose</w:t>
      </w:r>
      <w:r w:rsidR="002626B6" w:rsidRPr="002626B6">
        <w:rPr>
          <w:b/>
          <w:bCs/>
        </w:rPr>
        <w:t xml:space="preserve">: </w:t>
      </w:r>
      <w:r w:rsidRPr="002626B6">
        <w:t>To</w:t>
      </w:r>
      <w:r>
        <w:t xml:space="preserve"> discuss reimbursement of part-time commissioners against the backdrop of the extra-ordinary context of Covid-19.</w:t>
      </w:r>
      <w:r w:rsidR="002626B6">
        <w:t xml:space="preserve"> </w:t>
      </w:r>
    </w:p>
    <w:p w14:paraId="6273E920" w14:textId="77777777" w:rsidR="004761B5" w:rsidRDefault="004761B5" w:rsidP="00537F85">
      <w:pPr>
        <w:jc w:val="both"/>
      </w:pPr>
    </w:p>
    <w:p w14:paraId="3AB7888E" w14:textId="36F1F994" w:rsidR="002626B6" w:rsidRPr="002626B6" w:rsidRDefault="004761B5" w:rsidP="00537F85">
      <w:pPr>
        <w:jc w:val="both"/>
        <w:rPr>
          <w:b/>
          <w:bCs/>
        </w:rPr>
      </w:pPr>
      <w:r w:rsidRPr="002626B6">
        <w:rPr>
          <w:b/>
          <w:bCs/>
        </w:rPr>
        <w:t>In Attendance</w:t>
      </w:r>
      <w:r w:rsidR="002626B6">
        <w:rPr>
          <w:b/>
          <w:bCs/>
        </w:rPr>
        <w:t>:</w:t>
      </w:r>
    </w:p>
    <w:p w14:paraId="69F6A6A4" w14:textId="77777777" w:rsidR="002626B6" w:rsidRPr="004761B5" w:rsidRDefault="002626B6" w:rsidP="00537F85">
      <w:pPr>
        <w:jc w:val="both"/>
        <w:rPr>
          <w:b/>
          <w:bCs/>
          <w:u w:val="single"/>
        </w:rPr>
      </w:pPr>
    </w:p>
    <w:p w14:paraId="4B8469EC" w14:textId="73F337C9" w:rsidR="004761B5" w:rsidRDefault="002626B6" w:rsidP="00537F85">
      <w:pPr>
        <w:pStyle w:val="ListParagraph"/>
        <w:numPr>
          <w:ilvl w:val="0"/>
          <w:numId w:val="2"/>
        </w:numPr>
        <w:jc w:val="both"/>
      </w:pPr>
      <w:r>
        <w:t xml:space="preserve">Commissioner </w:t>
      </w:r>
      <w:r w:rsidR="004761B5">
        <w:t>Sediko Rakolote – Chair HR Committee</w:t>
      </w:r>
      <w:r w:rsidR="00537F85">
        <w:t xml:space="preserve"> </w:t>
      </w:r>
    </w:p>
    <w:p w14:paraId="31E05010" w14:textId="566F8910" w:rsidR="004761B5" w:rsidRDefault="002626B6" w:rsidP="00537F85">
      <w:pPr>
        <w:pStyle w:val="ListParagraph"/>
        <w:numPr>
          <w:ilvl w:val="0"/>
          <w:numId w:val="2"/>
        </w:numPr>
        <w:jc w:val="both"/>
      </w:pPr>
      <w:r>
        <w:t xml:space="preserve">Commissioner </w:t>
      </w:r>
      <w:r w:rsidR="004761B5">
        <w:t>Getrude Dibeela Mothupi - Member HR Committee</w:t>
      </w:r>
    </w:p>
    <w:p w14:paraId="056C3AAD" w14:textId="6192E9E8" w:rsidR="004761B5" w:rsidRDefault="002626B6" w:rsidP="00537F85">
      <w:pPr>
        <w:pStyle w:val="ListParagraph"/>
        <w:numPr>
          <w:ilvl w:val="0"/>
          <w:numId w:val="2"/>
        </w:numPr>
        <w:jc w:val="both"/>
      </w:pPr>
      <w:r>
        <w:t xml:space="preserve">Commissioner </w:t>
      </w:r>
      <w:r w:rsidR="004761B5">
        <w:t>Lindiwe Ntuli-Tloubatla – Member HR Committee</w:t>
      </w:r>
    </w:p>
    <w:p w14:paraId="2413AF8E" w14:textId="121F68DF" w:rsidR="004761B5" w:rsidRDefault="002626B6" w:rsidP="00537F85">
      <w:pPr>
        <w:pStyle w:val="ListParagraph"/>
        <w:numPr>
          <w:ilvl w:val="0"/>
          <w:numId w:val="2"/>
        </w:numPr>
        <w:jc w:val="both"/>
      </w:pPr>
      <w:r>
        <w:t xml:space="preserve">Commissioner </w:t>
      </w:r>
      <w:r w:rsidR="004761B5">
        <w:t>Ohara Ngoma-Diseko - Member HR Committee</w:t>
      </w:r>
    </w:p>
    <w:p w14:paraId="2242909D" w14:textId="4BAB0CA0" w:rsidR="004761B5" w:rsidRDefault="002626B6" w:rsidP="00537F85">
      <w:pPr>
        <w:pStyle w:val="ListParagraph"/>
        <w:numPr>
          <w:ilvl w:val="0"/>
          <w:numId w:val="2"/>
        </w:numPr>
        <w:jc w:val="both"/>
      </w:pPr>
      <w:r>
        <w:t xml:space="preserve">Commissioner </w:t>
      </w:r>
      <w:r w:rsidR="004761B5">
        <w:t>Nthabiseng Sepanya Mogale – Chair Legal Committee</w:t>
      </w:r>
      <w:r w:rsidR="00537F85">
        <w:t xml:space="preserve"> and scriber in the meeting</w:t>
      </w:r>
    </w:p>
    <w:p w14:paraId="6EB28916" w14:textId="0B87C14F" w:rsidR="004761B5" w:rsidRPr="004761B5" w:rsidRDefault="002626B6" w:rsidP="00537F85">
      <w:pPr>
        <w:pStyle w:val="ListParagraph"/>
        <w:numPr>
          <w:ilvl w:val="0"/>
          <w:numId w:val="2"/>
        </w:numPr>
        <w:jc w:val="both"/>
      </w:pPr>
      <w:r>
        <w:t xml:space="preserve">Commissioner </w:t>
      </w:r>
      <w:r w:rsidR="004761B5">
        <w:t xml:space="preserve">Tamara Mathebula </w:t>
      </w:r>
      <w:r>
        <w:t>–</w:t>
      </w:r>
      <w:r w:rsidR="004761B5">
        <w:t xml:space="preserve"> </w:t>
      </w:r>
      <w:r>
        <w:t>Chairperson of the Commission</w:t>
      </w:r>
      <w:r w:rsidR="00E14638">
        <w:t xml:space="preserve"> </w:t>
      </w:r>
      <w:r>
        <w:t xml:space="preserve"> </w:t>
      </w:r>
    </w:p>
    <w:p w14:paraId="5241F7B8" w14:textId="77777777" w:rsidR="003415B3" w:rsidRDefault="003415B3" w:rsidP="00537F85">
      <w:pPr>
        <w:jc w:val="both"/>
      </w:pPr>
    </w:p>
    <w:p w14:paraId="47C928E2" w14:textId="36E79871" w:rsidR="003415B3" w:rsidRPr="002626B6" w:rsidRDefault="003415B3" w:rsidP="00537F85">
      <w:pPr>
        <w:jc w:val="both"/>
        <w:rPr>
          <w:b/>
          <w:bCs/>
        </w:rPr>
      </w:pPr>
      <w:r w:rsidRPr="002626B6">
        <w:rPr>
          <w:b/>
          <w:bCs/>
        </w:rPr>
        <w:t>Rationale and Discussion</w:t>
      </w:r>
      <w:r w:rsidR="002626B6">
        <w:rPr>
          <w:b/>
          <w:bCs/>
        </w:rPr>
        <w:t>s:</w:t>
      </w:r>
    </w:p>
    <w:p w14:paraId="0B32342E" w14:textId="77777777" w:rsidR="005C4D7A" w:rsidRPr="00650EEC" w:rsidRDefault="005C4D7A" w:rsidP="00537F85">
      <w:pPr>
        <w:jc w:val="both"/>
        <w:rPr>
          <w:b/>
          <w:bCs/>
          <w:u w:val="single"/>
        </w:rPr>
      </w:pPr>
    </w:p>
    <w:p w14:paraId="20088687" w14:textId="5F79FF9A" w:rsidR="004761B5" w:rsidRDefault="004761B5" w:rsidP="00537F85">
      <w:pPr>
        <w:pStyle w:val="ListParagraph"/>
        <w:numPr>
          <w:ilvl w:val="0"/>
          <w:numId w:val="1"/>
        </w:numPr>
        <w:jc w:val="both"/>
      </w:pPr>
      <w:r>
        <w:t xml:space="preserve">The meeting acknowledged that it was oversight on  the part of </w:t>
      </w:r>
      <w:r w:rsidR="002626B6">
        <w:t>C</w:t>
      </w:r>
      <w:r>
        <w:t xml:space="preserve">ommissioners not to have considered this matter </w:t>
      </w:r>
      <w:r w:rsidR="005C4D7A">
        <w:t xml:space="preserve">on Thursday 26 March 2020, </w:t>
      </w:r>
      <w:r>
        <w:t xml:space="preserve">when we were considering the </w:t>
      </w:r>
      <w:r w:rsidR="005C4D7A">
        <w:t>M</w:t>
      </w:r>
      <w:r>
        <w:t xml:space="preserve">itigation </w:t>
      </w:r>
      <w:r w:rsidR="005C4D7A">
        <w:t>P</w:t>
      </w:r>
      <w:r>
        <w:t>lan of how to manage our work</w:t>
      </w:r>
      <w:r w:rsidR="005C4D7A">
        <w:t xml:space="preserve"> as the CGE</w:t>
      </w:r>
      <w:r>
        <w:t xml:space="preserve"> during the </w:t>
      </w:r>
      <w:r w:rsidR="005C4D7A">
        <w:t>Covid-19 L</w:t>
      </w:r>
      <w:r>
        <w:t>ockdown.</w:t>
      </w:r>
    </w:p>
    <w:p w14:paraId="021DBD44" w14:textId="77777777" w:rsidR="003415B3" w:rsidRDefault="003415B3" w:rsidP="00537F85">
      <w:pPr>
        <w:pStyle w:val="ListParagraph"/>
        <w:numPr>
          <w:ilvl w:val="0"/>
          <w:numId w:val="1"/>
        </w:numPr>
        <w:jc w:val="both"/>
      </w:pPr>
      <w:r>
        <w:t>The</w:t>
      </w:r>
      <w:r w:rsidR="005C4D7A">
        <w:t>re was consensus that the</w:t>
      </w:r>
      <w:r>
        <w:t xml:space="preserve">se are extra ordinary </w:t>
      </w:r>
      <w:r w:rsidR="005C4D7A">
        <w:t>t</w:t>
      </w:r>
      <w:r>
        <w:t>i</w:t>
      </w:r>
      <w:r w:rsidR="005C4D7A">
        <w:t>m</w:t>
      </w:r>
      <w:r>
        <w:t xml:space="preserve">es which resulted in a National Disaster status being declared by President Cyril Ramaphosa </w:t>
      </w:r>
      <w:r w:rsidR="005C4D7A">
        <w:t xml:space="preserve">to arrest the imminent threat of Covid-19, a disease that could spell disaster for the country. The National Lockdown was initially planned </w:t>
      </w:r>
      <w:r>
        <w:t>t</w:t>
      </w:r>
      <w:r w:rsidR="0059100F">
        <w:t>o</w:t>
      </w:r>
      <w:r>
        <w:t xml:space="preserve"> end on 16</w:t>
      </w:r>
      <w:r w:rsidRPr="003415B3">
        <w:rPr>
          <w:vertAlign w:val="superscript"/>
        </w:rPr>
        <w:t>th</w:t>
      </w:r>
      <w:r>
        <w:t xml:space="preserve"> April 2020 and extended to 30 April 2020. </w:t>
      </w:r>
    </w:p>
    <w:p w14:paraId="49F29379" w14:textId="723FCE50" w:rsidR="003415B3" w:rsidRDefault="003415B3" w:rsidP="00537F85">
      <w:pPr>
        <w:pStyle w:val="ListParagraph"/>
        <w:numPr>
          <w:ilvl w:val="0"/>
          <w:numId w:val="1"/>
        </w:numPr>
        <w:jc w:val="both"/>
      </w:pPr>
      <w:r>
        <w:t>Legally this is “</w:t>
      </w:r>
      <w:r w:rsidRPr="003415B3">
        <w:rPr>
          <w:i/>
          <w:iCs/>
        </w:rPr>
        <w:t>Force Majeure</w:t>
      </w:r>
      <w:r>
        <w:t xml:space="preserve"> “ </w:t>
      </w:r>
      <w:r w:rsidR="00537F85">
        <w:t>i.e.</w:t>
      </w:r>
      <w:r>
        <w:t xml:space="preserve"> unfor</w:t>
      </w:r>
      <w:r w:rsidR="00650EEC">
        <w:t>e</w:t>
      </w:r>
      <w:r>
        <w:t>seeable circumstance</w:t>
      </w:r>
      <w:r w:rsidR="00650EEC">
        <w:t>s</w:t>
      </w:r>
      <w:r>
        <w:t xml:space="preserve"> that prevent people</w:t>
      </w:r>
      <w:r w:rsidR="00650EEC">
        <w:t xml:space="preserve"> </w:t>
      </w:r>
      <w:r>
        <w:t xml:space="preserve">from fulfilling their day-to-day activities and obligations. </w:t>
      </w:r>
    </w:p>
    <w:p w14:paraId="7A106485" w14:textId="77777777" w:rsidR="00650EEC" w:rsidRDefault="00650EEC" w:rsidP="00537F85">
      <w:pPr>
        <w:pStyle w:val="ListParagraph"/>
        <w:numPr>
          <w:ilvl w:val="0"/>
          <w:numId w:val="1"/>
        </w:numPr>
        <w:jc w:val="both"/>
      </w:pPr>
      <w:r>
        <w:t>These are extraordinary times faced by the country as a whole and different entities are responding differently  but all with the view to accommodate and be sensitive to the context. The context includes</w:t>
      </w:r>
      <w:r w:rsidR="0059100F">
        <w:t>,</w:t>
      </w:r>
      <w:r>
        <w:t xml:space="preserve"> but is not limited to</w:t>
      </w:r>
      <w:r w:rsidR="0059100F">
        <w:t>,</w:t>
      </w:r>
      <w:r>
        <w:t xml:space="preserve"> people not being able to go to work and earn an income as is under normal circumstances. </w:t>
      </w:r>
    </w:p>
    <w:p w14:paraId="61ED31CF" w14:textId="77777777" w:rsidR="00650EEC" w:rsidRDefault="00650EEC" w:rsidP="00537F85">
      <w:pPr>
        <w:pStyle w:val="ListParagraph"/>
        <w:numPr>
          <w:ilvl w:val="0"/>
          <w:numId w:val="1"/>
        </w:numPr>
        <w:jc w:val="both"/>
      </w:pPr>
      <w:r>
        <w:t>The instruction not to work was beyond our control and we as an institution had to oblige.</w:t>
      </w:r>
    </w:p>
    <w:p w14:paraId="639CB6D3" w14:textId="77777777" w:rsidR="00650EEC" w:rsidRPr="0059100F" w:rsidRDefault="00650EEC" w:rsidP="00537F8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>As a result, no one in the CGE nationally has</w:t>
      </w:r>
      <w:r w:rsidR="004761B5">
        <w:t xml:space="preserve"> </w:t>
      </w:r>
      <w:r>
        <w:t>work</w:t>
      </w:r>
      <w:r w:rsidR="004761B5">
        <w:t>ed</w:t>
      </w:r>
      <w:r>
        <w:t xml:space="preserve"> during this period</w:t>
      </w:r>
      <w:r w:rsidR="004761B5">
        <w:t xml:space="preserve">, yet all except </w:t>
      </w:r>
      <w:r w:rsidR="0034528D">
        <w:t>only</w:t>
      </w:r>
      <w:r w:rsidR="004761B5">
        <w:t xml:space="preserve"> 5 </w:t>
      </w:r>
      <w:r w:rsidR="0034528D">
        <w:t xml:space="preserve">part-time </w:t>
      </w:r>
      <w:r w:rsidR="004761B5">
        <w:t>commissioners are going to be remunerated accordingly</w:t>
      </w:r>
      <w:r w:rsidR="0059100F">
        <w:t>,</w:t>
      </w:r>
      <w:r w:rsidR="004761B5">
        <w:t xml:space="preserve"> </w:t>
      </w:r>
      <w:r w:rsidR="004761B5" w:rsidRPr="0059100F">
        <w:rPr>
          <w:b/>
          <w:bCs/>
        </w:rPr>
        <w:t>as if they had worked</w:t>
      </w:r>
      <w:r w:rsidRPr="0059100F">
        <w:rPr>
          <w:b/>
          <w:bCs/>
        </w:rPr>
        <w:t>.</w:t>
      </w:r>
    </w:p>
    <w:p w14:paraId="0E1EBAAF" w14:textId="77777777" w:rsidR="0059100F" w:rsidRDefault="0034528D" w:rsidP="00537F85">
      <w:pPr>
        <w:pStyle w:val="ListParagraph"/>
        <w:numPr>
          <w:ilvl w:val="0"/>
          <w:numId w:val="1"/>
        </w:numPr>
        <w:jc w:val="both"/>
      </w:pPr>
      <w:r w:rsidRPr="0059100F">
        <w:lastRenderedPageBreak/>
        <w:t>The meeting also recognised that there is no policy to deal with this situation as it was unforeseen</w:t>
      </w:r>
      <w:r w:rsidR="0059100F" w:rsidRPr="0059100F">
        <w:t>,</w:t>
      </w:r>
      <w:r w:rsidRPr="0059100F">
        <w:t xml:space="preserve"> as is the nature of </w:t>
      </w:r>
      <w:r w:rsidR="0059100F" w:rsidRPr="0059100F">
        <w:t>“</w:t>
      </w:r>
      <w:r w:rsidRPr="0059100F">
        <w:rPr>
          <w:i/>
          <w:iCs/>
        </w:rPr>
        <w:t>Force Majeure</w:t>
      </w:r>
      <w:r w:rsidR="0059100F" w:rsidRPr="0059100F">
        <w:rPr>
          <w:i/>
          <w:iCs/>
        </w:rPr>
        <w:t>”</w:t>
      </w:r>
      <w:r w:rsidRPr="0059100F">
        <w:t xml:space="preserve">, but even if there was policy, it would not apply </w:t>
      </w:r>
      <w:r w:rsidR="0059100F" w:rsidRPr="0059100F">
        <w:t xml:space="preserve">and be suspended </w:t>
      </w:r>
      <w:r w:rsidRPr="0059100F">
        <w:t>in this case</w:t>
      </w:r>
      <w:r w:rsidR="0059100F" w:rsidRPr="0059100F">
        <w:t xml:space="preserve">. </w:t>
      </w:r>
    </w:p>
    <w:p w14:paraId="4BEC92FB" w14:textId="71399A23" w:rsidR="0034528D" w:rsidRPr="0059100F" w:rsidRDefault="0034528D" w:rsidP="00537F85">
      <w:pPr>
        <w:pStyle w:val="ListParagraph"/>
        <w:numPr>
          <w:ilvl w:val="0"/>
          <w:numId w:val="1"/>
        </w:numPr>
        <w:jc w:val="both"/>
      </w:pPr>
      <w:r w:rsidRPr="0059100F">
        <w:t>Therefore</w:t>
      </w:r>
      <w:r w:rsidR="00537F85">
        <w:t xml:space="preserve">, </w:t>
      </w:r>
      <w:r w:rsidRPr="0059100F">
        <w:t>it was agreed that this does not have to be based on a policy but rather on a legitimate decision by the legitimate structures of the organisation. The HR committee is one such</w:t>
      </w:r>
      <w:r w:rsidR="0059100F">
        <w:t>. It was rightfully</w:t>
      </w:r>
      <w:r w:rsidRPr="0059100F">
        <w:t xml:space="preserve"> tasked by special Tele-Plenary held yesterday 1</w:t>
      </w:r>
      <w:r w:rsidR="00E14638">
        <w:t>7</w:t>
      </w:r>
      <w:r w:rsidRPr="0059100F">
        <w:t xml:space="preserve"> April 2020 to develop a resolution on this matter. </w:t>
      </w:r>
    </w:p>
    <w:p w14:paraId="4DCF84FE" w14:textId="77777777" w:rsidR="0034528D" w:rsidRDefault="0034528D" w:rsidP="00537F85">
      <w:pPr>
        <w:pStyle w:val="ListParagraph"/>
        <w:numPr>
          <w:ilvl w:val="0"/>
          <w:numId w:val="1"/>
        </w:numPr>
        <w:jc w:val="both"/>
      </w:pPr>
      <w:r>
        <w:t>We also acknowledge that the outcome will go to Plenary for final ratification.</w:t>
      </w:r>
    </w:p>
    <w:p w14:paraId="2D2DEE00" w14:textId="4BDAC46E" w:rsidR="00502B9A" w:rsidRDefault="002626B6" w:rsidP="00537F85">
      <w:pPr>
        <w:pStyle w:val="ListParagraph"/>
        <w:numPr>
          <w:ilvl w:val="0"/>
          <w:numId w:val="1"/>
        </w:numPr>
        <w:jc w:val="both"/>
      </w:pPr>
      <w:r>
        <w:t>T</w:t>
      </w:r>
      <w:r w:rsidR="00502B9A">
        <w:t>he meeting acknowledge</w:t>
      </w:r>
      <w:r w:rsidR="00537F85">
        <w:t>d</w:t>
      </w:r>
      <w:r w:rsidR="00502B9A">
        <w:t xml:space="preserve"> that there is funds available for the reimbursement of commissioners as well. </w:t>
      </w:r>
    </w:p>
    <w:p w14:paraId="561034CA" w14:textId="49DB1DBC" w:rsidR="00502B9A" w:rsidRDefault="00502B9A" w:rsidP="00537F85">
      <w:pPr>
        <w:pStyle w:val="ListParagraph"/>
        <w:numPr>
          <w:ilvl w:val="0"/>
          <w:numId w:val="1"/>
        </w:numPr>
        <w:jc w:val="both"/>
      </w:pPr>
      <w:r>
        <w:t>The meeting also acknowledged that there is a budget of R17million available</w:t>
      </w:r>
      <w:r w:rsidR="00E14638">
        <w:t xml:space="preserve"> for Commissioners’ remuneration and programmes</w:t>
      </w:r>
      <w:r>
        <w:t xml:space="preserve">. This budget was ratified and approved at the </w:t>
      </w:r>
      <w:r w:rsidR="00E14638">
        <w:t xml:space="preserve">Finance Committee and </w:t>
      </w:r>
      <w:r>
        <w:t xml:space="preserve">Plenary held on </w:t>
      </w:r>
      <w:r w:rsidR="00E14638">
        <w:t xml:space="preserve">26 March </w:t>
      </w:r>
      <w:r>
        <w:t xml:space="preserve"> 2020 for this financial year. This resolution is thus legitimate as it has considered all relevant aspects and the budget of the institution will not be adversely impacted.</w:t>
      </w:r>
    </w:p>
    <w:p w14:paraId="46C60B77" w14:textId="77777777" w:rsidR="00502B9A" w:rsidRPr="00502B9A" w:rsidRDefault="00502B9A" w:rsidP="00537F85">
      <w:pPr>
        <w:ind w:left="360"/>
        <w:jc w:val="both"/>
      </w:pPr>
    </w:p>
    <w:p w14:paraId="36B2A527" w14:textId="77777777" w:rsidR="0034528D" w:rsidRDefault="0034528D" w:rsidP="00537F85">
      <w:pPr>
        <w:jc w:val="both"/>
      </w:pPr>
    </w:p>
    <w:p w14:paraId="7E76A999" w14:textId="10670C92" w:rsidR="0034528D" w:rsidRPr="00537F85" w:rsidRDefault="0034528D" w:rsidP="00537F85">
      <w:pPr>
        <w:jc w:val="both"/>
        <w:rPr>
          <w:b/>
          <w:bCs/>
        </w:rPr>
      </w:pPr>
      <w:r w:rsidRPr="00537F85">
        <w:rPr>
          <w:b/>
          <w:bCs/>
        </w:rPr>
        <w:t>Resolution</w:t>
      </w:r>
      <w:r w:rsidR="00537F85" w:rsidRPr="00537F85">
        <w:rPr>
          <w:b/>
          <w:bCs/>
        </w:rPr>
        <w:t>s:</w:t>
      </w:r>
    </w:p>
    <w:p w14:paraId="29554A05" w14:textId="77777777" w:rsidR="0059100F" w:rsidRDefault="0059100F" w:rsidP="00537F85">
      <w:pPr>
        <w:jc w:val="both"/>
        <w:rPr>
          <w:b/>
          <w:bCs/>
          <w:u w:val="single"/>
        </w:rPr>
      </w:pPr>
    </w:p>
    <w:p w14:paraId="12BF4C3A" w14:textId="72E60757" w:rsidR="00502B9A" w:rsidRPr="00537F85" w:rsidRDefault="0034528D" w:rsidP="00537F85">
      <w:pPr>
        <w:pStyle w:val="ListParagraph"/>
        <w:numPr>
          <w:ilvl w:val="0"/>
          <w:numId w:val="3"/>
        </w:numPr>
        <w:jc w:val="both"/>
      </w:pPr>
      <w:r w:rsidRPr="0034528D">
        <w:t xml:space="preserve">That all </w:t>
      </w:r>
      <w:r w:rsidR="0059100F">
        <w:t>P</w:t>
      </w:r>
      <w:r w:rsidRPr="0034528D">
        <w:t xml:space="preserve">art-time commissioners be paid for the month of April </w:t>
      </w:r>
      <w:r w:rsidR="0059100F">
        <w:t xml:space="preserve">2020, </w:t>
      </w:r>
      <w:r w:rsidRPr="0034528D">
        <w:t>like everyone will be remunerated during this time</w:t>
      </w:r>
      <w:r w:rsidR="00537F85">
        <w:t xml:space="preserve"> </w:t>
      </w:r>
      <w:r w:rsidRPr="0034528D">
        <w:t>;</w:t>
      </w:r>
    </w:p>
    <w:p w14:paraId="4801F607" w14:textId="790D4409" w:rsidR="00502B9A" w:rsidRPr="00537F85" w:rsidRDefault="0034528D" w:rsidP="00537F85">
      <w:pPr>
        <w:pStyle w:val="ListParagraph"/>
        <w:numPr>
          <w:ilvl w:val="0"/>
          <w:numId w:val="3"/>
        </w:numPr>
        <w:jc w:val="both"/>
      </w:pPr>
      <w:r>
        <w:t>That these Part-time commissioners be paid for 100</w:t>
      </w:r>
      <w:r w:rsidR="0059100F">
        <w:t xml:space="preserve"> </w:t>
      </w:r>
      <w:r>
        <w:t>hours for the month of Apri</w:t>
      </w:r>
      <w:r w:rsidR="0059100F">
        <w:t>l 2020. This is informed by the Commissioner’s Handbook</w:t>
      </w:r>
      <w:r w:rsidR="00502B9A">
        <w:t>;</w:t>
      </w:r>
    </w:p>
    <w:p w14:paraId="0729219F" w14:textId="4AC3B713" w:rsidR="00502B9A" w:rsidRPr="00537F85" w:rsidRDefault="00CE5B91" w:rsidP="00537F85">
      <w:pPr>
        <w:pStyle w:val="ListParagraph"/>
        <w:numPr>
          <w:ilvl w:val="0"/>
          <w:numId w:val="3"/>
        </w:numPr>
        <w:jc w:val="both"/>
      </w:pPr>
      <w:r>
        <w:t>These payments be included in the salary payment</w:t>
      </w:r>
      <w:r w:rsidR="0059100F">
        <w:t xml:space="preserve"> proces</w:t>
      </w:r>
      <w:r>
        <w:t>s that will be made for the 25</w:t>
      </w:r>
      <w:r w:rsidRPr="00CE5B91">
        <w:rPr>
          <w:vertAlign w:val="superscript"/>
        </w:rPr>
        <w:t>th</w:t>
      </w:r>
      <w:r>
        <w:t xml:space="preserve"> April 2020</w:t>
      </w:r>
      <w:r w:rsidR="00502B9A">
        <w:t>;</w:t>
      </w:r>
    </w:p>
    <w:p w14:paraId="278140B0" w14:textId="75F9703E" w:rsidR="00537F85" w:rsidRPr="00537F85" w:rsidRDefault="00CE5B91" w:rsidP="00537F85">
      <w:pPr>
        <w:pStyle w:val="ListParagraph"/>
        <w:numPr>
          <w:ilvl w:val="0"/>
          <w:numId w:val="3"/>
        </w:numPr>
        <w:jc w:val="both"/>
      </w:pPr>
      <w:r>
        <w:t>That this decision be circulated through the office of the Chairperson, who will then by end of Sunday 1</w:t>
      </w:r>
      <w:r w:rsidR="00AB3466">
        <w:t>9</w:t>
      </w:r>
      <w:r>
        <w:t xml:space="preserve"> April 2020 have secured ratification from all </w:t>
      </w:r>
      <w:r w:rsidR="00537F85">
        <w:t>C</w:t>
      </w:r>
      <w:r>
        <w:t xml:space="preserve">ommissioners so that administration is formally informed on Monday </w:t>
      </w:r>
      <w:r w:rsidR="00AB3466">
        <w:t>20</w:t>
      </w:r>
      <w:r w:rsidRPr="00CE5B91">
        <w:rPr>
          <w:vertAlign w:val="superscript"/>
        </w:rPr>
        <w:t>th</w:t>
      </w:r>
      <w:r>
        <w:t xml:space="preserve"> April </w:t>
      </w:r>
      <w:r w:rsidR="0059100F">
        <w:t>to</w:t>
      </w:r>
      <w:r>
        <w:t xml:space="preserve"> implement without </w:t>
      </w:r>
      <w:proofErr w:type="gramStart"/>
      <w:r>
        <w:t>delay</w:t>
      </w:r>
      <w:r w:rsidR="00502B9A">
        <w:t>;</w:t>
      </w:r>
      <w:proofErr w:type="gramEnd"/>
    </w:p>
    <w:p w14:paraId="50A85854" w14:textId="01961CF1" w:rsidR="00537F85" w:rsidRPr="00537F85" w:rsidRDefault="00CE5B91" w:rsidP="00537F85">
      <w:pPr>
        <w:pStyle w:val="ListParagraph"/>
        <w:numPr>
          <w:ilvl w:val="0"/>
          <w:numId w:val="3"/>
        </w:numPr>
        <w:jc w:val="both"/>
      </w:pPr>
      <w:r>
        <w:t xml:space="preserve">This arrangement will be applicable for the duration of the </w:t>
      </w:r>
      <w:r w:rsidR="005C4D7A">
        <w:t>Covid-19 L</w:t>
      </w:r>
      <w:r>
        <w:t>ockdown in case of any further delays</w:t>
      </w:r>
      <w:r w:rsidR="00502B9A">
        <w:t>;</w:t>
      </w:r>
    </w:p>
    <w:p w14:paraId="14FA7AAA" w14:textId="42E38712" w:rsidR="00537F85" w:rsidRPr="00537F85" w:rsidRDefault="0059100F" w:rsidP="00537F85">
      <w:pPr>
        <w:pStyle w:val="ListParagraph"/>
        <w:numPr>
          <w:ilvl w:val="0"/>
          <w:numId w:val="3"/>
        </w:numPr>
        <w:jc w:val="both"/>
      </w:pPr>
      <w:r>
        <w:t>The meeting acknowledge</w:t>
      </w:r>
      <w:r w:rsidR="00537F85">
        <w:t>d</w:t>
      </w:r>
      <w:r>
        <w:t xml:space="preserve"> that there is a budget avail</w:t>
      </w:r>
      <w:r w:rsidR="00502B9A">
        <w:t>a</w:t>
      </w:r>
      <w:r>
        <w:t>ble and thi</w:t>
      </w:r>
      <w:r w:rsidR="00502B9A">
        <w:t xml:space="preserve">s will not be adversely impacted; and </w:t>
      </w:r>
    </w:p>
    <w:p w14:paraId="01CEF597" w14:textId="7D53FE52" w:rsidR="00CE5B91" w:rsidRDefault="00CE5B91" w:rsidP="00537F85">
      <w:pPr>
        <w:pStyle w:val="ListParagraph"/>
        <w:numPr>
          <w:ilvl w:val="0"/>
          <w:numId w:val="3"/>
        </w:numPr>
        <w:jc w:val="both"/>
      </w:pPr>
      <w:r>
        <w:t>The process adopted at the 3</w:t>
      </w:r>
      <w:r w:rsidRPr="00CE5B91">
        <w:rPr>
          <w:vertAlign w:val="superscript"/>
        </w:rPr>
        <w:t>rd</w:t>
      </w:r>
      <w:r>
        <w:t xml:space="preserve"> Quarter Plenary held on 27 and 28 </w:t>
      </w:r>
      <w:r w:rsidR="00E14638">
        <w:t>February</w:t>
      </w:r>
      <w:r>
        <w:t xml:space="preserve"> 2020 for Part-time commissioners to develop a general guideline, go ahead and be led by Commissioner Sepanya Mogale. A proposal in this regard be circulated asap so that HR committee considers it by 24</w:t>
      </w:r>
      <w:r w:rsidRPr="00CE5B91">
        <w:rPr>
          <w:vertAlign w:val="superscript"/>
        </w:rPr>
        <w:t>th</w:t>
      </w:r>
      <w:r>
        <w:t xml:space="preserve"> April 2020. The meeting acknowledged that this process has no bearing on the resolutions outlined above as those are in response to the </w:t>
      </w:r>
      <w:r w:rsidR="005C4D7A">
        <w:t xml:space="preserve">covid-19 </w:t>
      </w:r>
      <w:r>
        <w:t>Lockdown</w:t>
      </w:r>
      <w:r w:rsidR="00502B9A">
        <w:t xml:space="preserve">. </w:t>
      </w:r>
    </w:p>
    <w:p w14:paraId="58D9165C" w14:textId="661E3B84" w:rsidR="00537F85" w:rsidRDefault="00537F85" w:rsidP="00537F85">
      <w:pPr>
        <w:jc w:val="both"/>
      </w:pPr>
    </w:p>
    <w:p w14:paraId="30DE14EA" w14:textId="7DB483A5" w:rsidR="00537F85" w:rsidRDefault="00537F85" w:rsidP="00537F85">
      <w:pPr>
        <w:jc w:val="both"/>
      </w:pPr>
      <w:r>
        <w:t>-------------------------------------</w:t>
      </w:r>
    </w:p>
    <w:p w14:paraId="112B58A4" w14:textId="17481386" w:rsidR="00537F85" w:rsidRDefault="00537F85" w:rsidP="00537F85">
      <w:pPr>
        <w:jc w:val="both"/>
      </w:pPr>
      <w:r>
        <w:t>Commissioner Sediko Rakolote</w:t>
      </w:r>
    </w:p>
    <w:p w14:paraId="55F55FA7" w14:textId="2E35FCA6" w:rsidR="00537F85" w:rsidRDefault="00537F85" w:rsidP="00537F85">
      <w:pPr>
        <w:jc w:val="both"/>
      </w:pPr>
      <w:r>
        <w:t>Chairperson: HR and Remuneration Committee</w:t>
      </w:r>
    </w:p>
    <w:p w14:paraId="6F7E7D4A" w14:textId="198D17C7" w:rsidR="00537F85" w:rsidRDefault="00537F85" w:rsidP="00537F85">
      <w:pPr>
        <w:jc w:val="both"/>
      </w:pPr>
    </w:p>
    <w:p w14:paraId="54D5EA22" w14:textId="2D840713" w:rsidR="00152DF2" w:rsidRDefault="00152DF2" w:rsidP="00537F85">
      <w:pPr>
        <w:jc w:val="both"/>
      </w:pPr>
    </w:p>
    <w:p w14:paraId="3D102CE2" w14:textId="3096B0CB" w:rsidR="00152DF2" w:rsidRDefault="00152DF2" w:rsidP="00537F85">
      <w:pPr>
        <w:jc w:val="both"/>
      </w:pPr>
    </w:p>
    <w:p w14:paraId="20093BA8" w14:textId="1D4262B1" w:rsidR="00152DF2" w:rsidRDefault="00152DF2" w:rsidP="00537F85">
      <w:pPr>
        <w:jc w:val="both"/>
      </w:pPr>
    </w:p>
    <w:p w14:paraId="16D0DECB" w14:textId="712E382F" w:rsidR="00152DF2" w:rsidRDefault="00152DF2" w:rsidP="00537F85">
      <w:pPr>
        <w:jc w:val="both"/>
      </w:pPr>
    </w:p>
    <w:p w14:paraId="230C8D0D" w14:textId="334AE5EA" w:rsidR="00152DF2" w:rsidRDefault="00152DF2" w:rsidP="00537F85">
      <w:pPr>
        <w:jc w:val="both"/>
      </w:pPr>
      <w:r>
        <w:t>The table covering Commissioner Remuneration is below:</w:t>
      </w:r>
    </w:p>
    <w:p w14:paraId="5B63007F" w14:textId="0016F4B6" w:rsidR="00152DF2" w:rsidRDefault="00152DF2" w:rsidP="00537F85">
      <w:pPr>
        <w:jc w:val="both"/>
      </w:pPr>
    </w:p>
    <w:tbl>
      <w:tblPr>
        <w:tblW w:w="9667" w:type="dxa"/>
        <w:tblLook w:val="04A0" w:firstRow="1" w:lastRow="0" w:firstColumn="1" w:lastColumn="0" w:noHBand="0" w:noVBand="1"/>
      </w:tblPr>
      <w:tblGrid>
        <w:gridCol w:w="2407"/>
        <w:gridCol w:w="1925"/>
        <w:gridCol w:w="1130"/>
        <w:gridCol w:w="1569"/>
        <w:gridCol w:w="1569"/>
        <w:gridCol w:w="1067"/>
      </w:tblGrid>
      <w:tr w:rsidR="00152DF2" w:rsidRPr="00152DF2" w14:paraId="78C793B3" w14:textId="77777777" w:rsidTr="00152DF2">
        <w:trPr>
          <w:trHeight w:val="286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2FA5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lang w:val="en-ZA" w:eastAsia="en-ZA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E587" w14:textId="77777777" w:rsid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  <w:p w14:paraId="5F900634" w14:textId="77777777" w:rsid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  <w:p w14:paraId="2A199F24" w14:textId="165F42BD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E585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F70F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C8D3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2058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</w:tr>
      <w:tr w:rsidR="00152DF2" w:rsidRPr="00152DF2" w14:paraId="378DFAFA" w14:textId="77777777" w:rsidTr="00152DF2">
        <w:trPr>
          <w:trHeight w:val="286"/>
        </w:trPr>
        <w:tc>
          <w:tcPr>
            <w:tcW w:w="2407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1B7A4206" w14:textId="77777777" w:rsidR="00152DF2" w:rsidRPr="00152DF2" w:rsidRDefault="00152DF2" w:rsidP="00152DF2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ZA" w:eastAsia="en-ZA"/>
              </w:rPr>
              <w:t xml:space="preserve"> MARCH - JUNE 2020</w:t>
            </w:r>
          </w:p>
        </w:tc>
        <w:tc>
          <w:tcPr>
            <w:tcW w:w="1925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3C43ADBB" w14:textId="77777777" w:rsidR="00152DF2" w:rsidRPr="00152DF2" w:rsidRDefault="00152DF2" w:rsidP="00152DF2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ZA" w:eastAsia="en-ZA"/>
              </w:rPr>
              <w:t xml:space="preserve"> Column Labels </w:t>
            </w:r>
          </w:p>
        </w:tc>
        <w:tc>
          <w:tcPr>
            <w:tcW w:w="113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0B6CB8B4" w14:textId="77777777" w:rsidR="00152DF2" w:rsidRPr="00152DF2" w:rsidRDefault="00152DF2" w:rsidP="00152DF2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ZA" w:eastAsia="en-ZA"/>
              </w:rPr>
            </w:pPr>
          </w:p>
        </w:tc>
        <w:tc>
          <w:tcPr>
            <w:tcW w:w="1569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64F675BB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569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5E0F6471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3745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</w:tr>
      <w:tr w:rsidR="00152DF2" w:rsidRPr="00152DF2" w14:paraId="707C5898" w14:textId="77777777" w:rsidTr="00152DF2">
        <w:trPr>
          <w:trHeight w:val="286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5CE22967" w14:textId="77777777" w:rsidR="00152DF2" w:rsidRPr="00152DF2" w:rsidRDefault="00152DF2" w:rsidP="00152DF2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ZA" w:eastAsia="en-ZA"/>
              </w:rPr>
              <w:t>Employee Name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6B5B336D" w14:textId="77777777" w:rsidR="00152DF2" w:rsidRPr="00152DF2" w:rsidRDefault="00152DF2" w:rsidP="00152DF2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ZA" w:eastAsia="en-ZA"/>
              </w:rPr>
              <w:t xml:space="preserve"> Allowance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24D0C2BA" w14:textId="77777777" w:rsidR="00152DF2" w:rsidRPr="00152DF2" w:rsidRDefault="00152DF2" w:rsidP="00152DF2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ZA" w:eastAsia="en-ZA"/>
              </w:rPr>
              <w:t xml:space="preserve"> Claims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77CB2339" w14:textId="77777777" w:rsidR="00152DF2" w:rsidRPr="00152DF2" w:rsidRDefault="00152DF2" w:rsidP="00152DF2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ZA" w:eastAsia="en-ZA"/>
              </w:rPr>
              <w:t xml:space="preserve"> Salary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471330C0" w14:textId="77777777" w:rsidR="00152DF2" w:rsidRPr="00152DF2" w:rsidRDefault="00152DF2" w:rsidP="00152DF2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ZA" w:eastAsia="en-ZA"/>
              </w:rPr>
              <w:t xml:space="preserve"> Grand Total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1715" w14:textId="77777777" w:rsidR="00152DF2" w:rsidRPr="00152DF2" w:rsidRDefault="00152DF2" w:rsidP="00152DF2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ZA" w:eastAsia="en-ZA"/>
              </w:rPr>
            </w:pPr>
          </w:p>
        </w:tc>
      </w:tr>
      <w:tr w:rsidR="00152DF2" w:rsidRPr="00152DF2" w14:paraId="628DD872" w14:textId="77777777" w:rsidTr="00152DF2">
        <w:trPr>
          <w:trHeight w:val="286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A27F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>Dr NM Moleko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D5E8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CAD3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        -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B435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313 927,32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0788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313 927,32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C1AC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152DF2" w:rsidRPr="00152DF2" w14:paraId="4C48AFBF" w14:textId="77777777" w:rsidTr="00152DF2">
        <w:trPr>
          <w:trHeight w:val="286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7C01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>Dr TP Mofokeng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3677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2FB3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        -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AFE9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292 127,00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4DE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292 127,00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FD79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152DF2" w:rsidRPr="00152DF2" w14:paraId="152BA896" w14:textId="77777777" w:rsidTr="00152DF2">
        <w:trPr>
          <w:trHeight w:val="286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1359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>Mr MA Botha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F275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4407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8C00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269 655,68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8C1B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269 655,68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B2CF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152DF2" w:rsidRPr="00152DF2" w14:paraId="1593E1DB" w14:textId="77777777" w:rsidTr="00152DF2">
        <w:trPr>
          <w:trHeight w:val="286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3FDC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>Mr SD Rakolote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BB1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9E2A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940,13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6435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135 720,00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32E0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136 660,13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8B40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152DF2" w:rsidRPr="00152DF2" w14:paraId="4B07A0E7" w14:textId="77777777" w:rsidTr="00152DF2">
        <w:trPr>
          <w:trHeight w:val="286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4C99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>Mrs DG Mothupi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72B5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5D86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        -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BA5F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174 000,00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7613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174 000,00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8D25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152DF2" w:rsidRPr="00152DF2" w14:paraId="4DD955D3" w14:textId="77777777" w:rsidTr="00152DF2">
        <w:trPr>
          <w:trHeight w:val="286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9D4C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>Mrs TE Mathebula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7593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                      -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8A1B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        -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F179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369 882,00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6342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369 882,00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AC94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152DF2" w:rsidRPr="00152DF2" w14:paraId="567B161A" w14:textId="77777777" w:rsidTr="00152DF2">
        <w:trPr>
          <w:trHeight w:val="286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5200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>Ms B Deyi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9562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79BD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16C9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174 000,00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EFAB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174 000,00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3403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152DF2" w:rsidRPr="00152DF2" w14:paraId="1338D076" w14:textId="77777777" w:rsidTr="00152DF2">
        <w:trPr>
          <w:trHeight w:val="286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DA6E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>Ms NG Mazibuko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98E3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F7A9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        -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D4E6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174 000,00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78D5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174 000,00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7832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152DF2" w:rsidRPr="00152DF2" w14:paraId="3867ABBC" w14:textId="77777777" w:rsidTr="00152DF2">
        <w:trPr>
          <w:trHeight w:val="286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FE7C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>Ms NS Mogale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96B1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CE42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2 279,95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782A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148 987,50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DA52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151 267,45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4764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152DF2" w:rsidRPr="00152DF2" w14:paraId="55DCE808" w14:textId="77777777" w:rsidTr="00152DF2">
        <w:trPr>
          <w:trHeight w:val="286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0E0E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>Ms O Ngoma-Diseko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2937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262F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8EA6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292 127,00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4B46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292 127,00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9586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152DF2" w:rsidRPr="00152DF2" w14:paraId="271783FE" w14:textId="77777777" w:rsidTr="00152DF2">
        <w:trPr>
          <w:trHeight w:val="286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5725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>Ms OL Ntuli-Tloubatla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F0EC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5656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        -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21D2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292 127,00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4370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 xml:space="preserve">       292 127,00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0AD5" w14:textId="77777777" w:rsidR="00152DF2" w:rsidRPr="00152DF2" w:rsidRDefault="00152DF2" w:rsidP="0015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152DF2" w:rsidRPr="00152DF2" w14:paraId="73394F78" w14:textId="77777777" w:rsidTr="00152DF2">
        <w:trPr>
          <w:trHeight w:val="286"/>
        </w:trPr>
        <w:tc>
          <w:tcPr>
            <w:tcW w:w="2407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4C2F6F5B" w14:textId="77777777" w:rsidR="00152DF2" w:rsidRPr="00152DF2" w:rsidRDefault="00152DF2" w:rsidP="00152DF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Grand Total</w:t>
            </w:r>
          </w:p>
        </w:tc>
        <w:tc>
          <w:tcPr>
            <w:tcW w:w="1925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52CFC5DB" w14:textId="77777777" w:rsidR="00152DF2" w:rsidRPr="00152DF2" w:rsidRDefault="00152DF2" w:rsidP="00152DF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                             -   </w:t>
            </w:r>
          </w:p>
        </w:tc>
        <w:tc>
          <w:tcPr>
            <w:tcW w:w="1130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07E64D8F" w14:textId="77777777" w:rsidR="00152DF2" w:rsidRPr="00152DF2" w:rsidRDefault="00152DF2" w:rsidP="00152DF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   3 220,08 </w:t>
            </w:r>
          </w:p>
        </w:tc>
        <w:tc>
          <w:tcPr>
            <w:tcW w:w="1569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293A291D" w14:textId="77777777" w:rsidR="00152DF2" w:rsidRPr="00152DF2" w:rsidRDefault="00152DF2" w:rsidP="00152DF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   2 636 553,50 </w:t>
            </w:r>
          </w:p>
        </w:tc>
        <w:tc>
          <w:tcPr>
            <w:tcW w:w="1569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3747FFEC" w14:textId="77777777" w:rsidR="00152DF2" w:rsidRPr="00152DF2" w:rsidRDefault="00152DF2" w:rsidP="00152DF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152D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   2 639 773,58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D806" w14:textId="77777777" w:rsidR="00152DF2" w:rsidRPr="00152DF2" w:rsidRDefault="00152DF2" w:rsidP="00152DF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152DF2" w:rsidRPr="00152DF2" w14:paraId="5A9CD805" w14:textId="77777777" w:rsidTr="00152DF2">
        <w:trPr>
          <w:trHeight w:val="286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A102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B1A7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2B1C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A0A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0571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A8A8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</w:tr>
      <w:tr w:rsidR="00152DF2" w:rsidRPr="00152DF2" w14:paraId="4616C2FD" w14:textId="77777777" w:rsidTr="00152DF2">
        <w:trPr>
          <w:trHeight w:val="286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3159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1500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6989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59A8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2DF0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3AF6" w14:textId="77777777" w:rsidR="00152DF2" w:rsidRPr="00152DF2" w:rsidRDefault="00152DF2" w:rsidP="00152D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</w:tr>
    </w:tbl>
    <w:p w14:paraId="1DE04A72" w14:textId="77777777" w:rsidR="00152DF2" w:rsidRPr="00537F85" w:rsidRDefault="00152DF2" w:rsidP="00537F85">
      <w:pPr>
        <w:jc w:val="both"/>
      </w:pPr>
    </w:p>
    <w:sectPr w:rsidR="00152DF2" w:rsidRPr="00537F85" w:rsidSect="00A877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6405B"/>
    <w:multiLevelType w:val="hybridMultilevel"/>
    <w:tmpl w:val="585C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A8B"/>
    <w:multiLevelType w:val="hybridMultilevel"/>
    <w:tmpl w:val="20A25A9C"/>
    <w:lvl w:ilvl="0" w:tplc="8C5AF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96D19"/>
    <w:multiLevelType w:val="hybridMultilevel"/>
    <w:tmpl w:val="BB089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B9"/>
    <w:rsid w:val="001005B9"/>
    <w:rsid w:val="00152DF2"/>
    <w:rsid w:val="002626B6"/>
    <w:rsid w:val="003415B3"/>
    <w:rsid w:val="0034528D"/>
    <w:rsid w:val="004761B5"/>
    <w:rsid w:val="00502B9A"/>
    <w:rsid w:val="00537F85"/>
    <w:rsid w:val="0059100F"/>
    <w:rsid w:val="005C4D7A"/>
    <w:rsid w:val="00650EEC"/>
    <w:rsid w:val="00A87739"/>
    <w:rsid w:val="00AB3466"/>
    <w:rsid w:val="00CE5B91"/>
    <w:rsid w:val="00D84747"/>
    <w:rsid w:val="00E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8D1DA7"/>
  <w15:chartTrackingRefBased/>
  <w15:docId w15:val="{0F4A50DF-646D-224C-A53E-7E839905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95157187F7746BBFB99D7AB4B6ECB" ma:contentTypeVersion="7" ma:contentTypeDescription="Create a new document." ma:contentTypeScope="" ma:versionID="00660381c58a7e1ad177dc3cb8fe32fa">
  <xsd:schema xmlns:xsd="http://www.w3.org/2001/XMLSchema" xmlns:xs="http://www.w3.org/2001/XMLSchema" xmlns:p="http://schemas.microsoft.com/office/2006/metadata/properties" xmlns:ns3="58a4e94b-6356-474b-809d-3472a6dd76d2" targetNamespace="http://schemas.microsoft.com/office/2006/metadata/properties" ma:root="true" ma:fieldsID="bee384a981e85f8ac3c69687063c5e39" ns3:_="">
    <xsd:import namespace="58a4e94b-6356-474b-809d-3472a6dd7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e94b-6356-474b-809d-3472a6dd7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8C40DE-4CBE-423F-8C77-D28CE88F4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4e94b-6356-474b-809d-3472a6dd7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F7674-1186-4342-A52A-B80C4BD1B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23AFF-D431-455B-81C8-53565707BE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Moleko, NM, Me [nthabisengm@sun.ac.za]</cp:lastModifiedBy>
  <cp:revision>2</cp:revision>
  <dcterms:created xsi:type="dcterms:W3CDTF">2020-07-14T14:27:00Z</dcterms:created>
  <dcterms:modified xsi:type="dcterms:W3CDTF">2020-07-14T14:27:00Z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0x01010034295157187F7746BBFB99D7AB4B6ECB</vt:lpwstr>
  </property>
</Properties>
</file>