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5" w:rsidRDefault="00C47BB9">
      <w:r>
        <w:rPr>
          <w:rStyle w:val="Strong"/>
          <w:rFonts w:ascii="Helvetica" w:hAnsi="Helvetica"/>
          <w:color w:val="202020"/>
          <w:shd w:val="clear" w:color="auto" w:fill="FFFFFF"/>
        </w:rPr>
        <w:t>MEDIA STATEMENT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                 </w:t>
      </w:r>
      <w:r>
        <w:rPr>
          <w:rFonts w:ascii="Helvetica" w:hAnsi="Helvetica"/>
          <w:color w:val="202020"/>
        </w:rPr>
        <w:br/>
      </w:r>
      <w:r>
        <w:rPr>
          <w:rStyle w:val="Strong"/>
          <w:rFonts w:ascii="Helvetica" w:hAnsi="Helvetica"/>
          <w:color w:val="202020"/>
          <w:shd w:val="clear" w:color="auto" w:fill="FFFFFF"/>
        </w:rPr>
        <w:t>AD HOC COMMITTEE ON APPOINTMENT OF AG ELECTS CHAIRPERSON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Style w:val="Strong"/>
          <w:rFonts w:ascii="Helvetica" w:hAnsi="Helvetica"/>
          <w:color w:val="202020"/>
          <w:shd w:val="clear" w:color="auto" w:fill="FFFFFF"/>
        </w:rPr>
        <w:t>Parliament, Wednesday, 24 June 2020 </w:t>
      </w:r>
      <w:r>
        <w:rPr>
          <w:rFonts w:ascii="Helvetica" w:hAnsi="Helvetica"/>
          <w:color w:val="202020"/>
          <w:shd w:val="clear" w:color="auto" w:fill="FFFFFF"/>
        </w:rPr>
        <w:t xml:space="preserve">– The Ad Hoc Committee on the Appointment of the Auditor-General met today to elect a Committee Chairperson. The committee unanimously elected Ms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Sisisi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Tolashe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to the position. The committee also adopted its programme, which will serve as a guide as the committee conducts its work.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proofErr w:type="gramStart"/>
      <w:r>
        <w:rPr>
          <w:rStyle w:val="Strong"/>
          <w:rFonts w:ascii="Helvetica" w:hAnsi="Helvetica"/>
          <w:color w:val="202020"/>
          <w:shd w:val="clear" w:color="auto" w:fill="FFFFFF"/>
        </w:rPr>
        <w:t>ISSUED BY THE PARLIAMENTARY COMMUNICATION SERVICES ON BEHALF OF THE CHAIRPERSON OF THE AD HOC COMMITTEE ON THE APPOINTMENT OF THE AUDITOR-GENERAL, MS SISISI TOLASHE.</w:t>
      </w:r>
      <w:proofErr w:type="gramEnd"/>
    </w:p>
    <w:sectPr w:rsidR="00167C35" w:rsidSect="00167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BB9"/>
    <w:rsid w:val="00167C35"/>
    <w:rsid w:val="00C4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2020-06-24T12:55:00Z</dcterms:created>
  <dcterms:modified xsi:type="dcterms:W3CDTF">2020-06-24T12:56:00Z</dcterms:modified>
</cp:coreProperties>
</file>