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6F5" w:rsidRPr="001C790A" w:rsidRDefault="00CC6A1E" w:rsidP="004B3E34">
      <w:pPr>
        <w:spacing w:line="240" w:lineRule="auto"/>
        <w:jc w:val="both"/>
        <w:rPr>
          <w:rFonts w:cstheme="minorHAnsi"/>
          <w:b/>
        </w:rPr>
      </w:pPr>
      <w:r>
        <w:rPr>
          <w:rFonts w:cstheme="minorHAnsi"/>
          <w:color w:val="1F497D"/>
        </w:rPr>
        <w:t xml:space="preserve">  </w:t>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9825E0" w:rsidRPr="001C790A">
        <w:rPr>
          <w:rFonts w:cstheme="minorHAnsi"/>
          <w:color w:val="1F497D"/>
        </w:rPr>
        <w:fldChar w:fldCharType="begin"/>
      </w:r>
      <w:r w:rsidR="009825E0" w:rsidRPr="001C790A">
        <w:rPr>
          <w:rFonts w:cstheme="minorHAnsi"/>
          <w:color w:val="1F497D"/>
        </w:rPr>
        <w:instrText xml:space="preserve"> INCLUDEPICTURE  "cid:image001.jpg@01D55E7C.ED3496E0" \* MERGEFORMATINET </w:instrText>
      </w:r>
      <w:r w:rsidR="009825E0" w:rsidRPr="001C790A">
        <w:rPr>
          <w:rFonts w:cstheme="minorHAnsi"/>
          <w:color w:val="1F497D"/>
        </w:rPr>
        <w:fldChar w:fldCharType="separate"/>
      </w:r>
      <w:r w:rsidR="00026977" w:rsidRPr="001C790A">
        <w:rPr>
          <w:rFonts w:cstheme="minorHAnsi"/>
          <w:color w:val="1F497D"/>
        </w:rPr>
        <w:fldChar w:fldCharType="begin"/>
      </w:r>
      <w:r w:rsidR="00026977" w:rsidRPr="001C790A">
        <w:rPr>
          <w:rFonts w:cstheme="minorHAnsi"/>
          <w:color w:val="1F497D"/>
        </w:rPr>
        <w:instrText xml:space="preserve"> INCLUDEPICTURE  "cid:image001.jpg@01D55E7C.ED3496E0" \* MERGEFORMATINET </w:instrText>
      </w:r>
      <w:r w:rsidR="00026977" w:rsidRPr="001C790A">
        <w:rPr>
          <w:rFonts w:cstheme="minorHAnsi"/>
          <w:color w:val="1F497D"/>
        </w:rPr>
        <w:fldChar w:fldCharType="separate"/>
      </w:r>
      <w:r w:rsidR="00164533" w:rsidRPr="001C790A">
        <w:rPr>
          <w:rFonts w:cstheme="minorHAnsi"/>
          <w:color w:val="1F497D"/>
        </w:rPr>
        <w:fldChar w:fldCharType="begin"/>
      </w:r>
      <w:r w:rsidR="00164533" w:rsidRPr="001C790A">
        <w:rPr>
          <w:rFonts w:cstheme="minorHAnsi"/>
          <w:color w:val="1F497D"/>
        </w:rPr>
        <w:instrText xml:space="preserve"> INCLUDEPICTURE  "cid:image001.jpg@01D55E7C.ED3496E0" \* MERGEFORMATINET </w:instrText>
      </w:r>
      <w:r w:rsidR="00164533" w:rsidRPr="001C790A">
        <w:rPr>
          <w:rFonts w:cstheme="minorHAnsi"/>
          <w:color w:val="1F497D"/>
        </w:rPr>
        <w:fldChar w:fldCharType="separate"/>
      </w:r>
      <w:r w:rsidR="00B132AC" w:rsidRPr="001C790A">
        <w:rPr>
          <w:rFonts w:cstheme="minorHAnsi"/>
          <w:noProof/>
          <w:color w:val="1F497D"/>
        </w:rPr>
        <w:fldChar w:fldCharType="begin"/>
      </w:r>
      <w:r w:rsidR="00B132AC" w:rsidRPr="001C790A">
        <w:rPr>
          <w:rFonts w:cstheme="minorHAnsi"/>
          <w:noProof/>
          <w:color w:val="1F497D"/>
        </w:rPr>
        <w:instrText xml:space="preserve"> INCLUDEPICTURE  "cid:image001.jpg@01D55E7C.ED3496E0" \* MERGEFORMATINET </w:instrText>
      </w:r>
      <w:r w:rsidR="00B132AC" w:rsidRPr="001C790A">
        <w:rPr>
          <w:rFonts w:cstheme="minorHAnsi"/>
          <w:noProof/>
          <w:color w:val="1F497D"/>
        </w:rPr>
        <w:fldChar w:fldCharType="separate"/>
      </w:r>
      <w:r w:rsidR="004F1B2B" w:rsidRPr="001C790A">
        <w:rPr>
          <w:rFonts w:cstheme="minorHAnsi"/>
          <w:noProof/>
          <w:color w:val="1F497D"/>
        </w:rPr>
        <w:fldChar w:fldCharType="begin"/>
      </w:r>
      <w:r w:rsidR="004F1B2B" w:rsidRPr="001C790A">
        <w:rPr>
          <w:rFonts w:cstheme="minorHAnsi"/>
          <w:noProof/>
          <w:color w:val="1F497D"/>
        </w:rPr>
        <w:instrText xml:space="preserve"> INCLUDEPICTURE  "cid:image001.jpg@01D55E7C.ED3496E0" \* MERGEFORMATINET </w:instrText>
      </w:r>
      <w:r w:rsidR="004F1B2B" w:rsidRPr="001C790A">
        <w:rPr>
          <w:rFonts w:cstheme="minorHAnsi"/>
          <w:noProof/>
          <w:color w:val="1F497D"/>
        </w:rPr>
        <w:fldChar w:fldCharType="separate"/>
      </w:r>
      <w:r w:rsidR="006E6C1C" w:rsidRPr="001C790A">
        <w:rPr>
          <w:rFonts w:cstheme="minorHAnsi"/>
          <w:noProof/>
          <w:color w:val="1F497D"/>
        </w:rPr>
        <w:fldChar w:fldCharType="begin"/>
      </w:r>
      <w:r w:rsidR="006E6C1C" w:rsidRPr="001C790A">
        <w:rPr>
          <w:rFonts w:cstheme="minorHAnsi"/>
          <w:noProof/>
          <w:color w:val="1F497D"/>
        </w:rPr>
        <w:instrText xml:space="preserve"> INCLUDEPICTURE  "cid:image001.jpg@01D55E7C.ED3496E0" \* MERGEFORMATINET </w:instrText>
      </w:r>
      <w:r w:rsidR="006E6C1C" w:rsidRPr="001C790A">
        <w:rPr>
          <w:rFonts w:cstheme="minorHAnsi"/>
          <w:noProof/>
          <w:color w:val="1F497D"/>
        </w:rPr>
        <w:fldChar w:fldCharType="separate"/>
      </w:r>
      <w:r w:rsidR="00A750D4">
        <w:rPr>
          <w:rFonts w:cstheme="minorHAnsi"/>
          <w:noProof/>
          <w:color w:val="1F497D"/>
        </w:rPr>
        <w:fldChar w:fldCharType="begin"/>
      </w:r>
      <w:r w:rsidR="00A750D4">
        <w:rPr>
          <w:rFonts w:cstheme="minorHAnsi"/>
          <w:noProof/>
          <w:color w:val="1F497D"/>
        </w:rPr>
        <w:instrText xml:space="preserve"> INCLUDEPICTURE  "cid:image001.jpg@01D55E7C.ED3496E0" \* MERGEFORMATINET </w:instrText>
      </w:r>
      <w:r w:rsidR="00A750D4">
        <w:rPr>
          <w:rFonts w:cstheme="minorHAnsi"/>
          <w:noProof/>
          <w:color w:val="1F497D"/>
        </w:rPr>
        <w:fldChar w:fldCharType="separate"/>
      </w:r>
      <w:r w:rsidR="00F207EA">
        <w:rPr>
          <w:rFonts w:cstheme="minorHAnsi"/>
          <w:noProof/>
          <w:color w:val="1F497D"/>
        </w:rPr>
        <w:fldChar w:fldCharType="begin"/>
      </w:r>
      <w:r w:rsidR="00F207EA">
        <w:rPr>
          <w:rFonts w:cstheme="minorHAnsi"/>
          <w:noProof/>
          <w:color w:val="1F497D"/>
        </w:rPr>
        <w:instrText xml:space="preserve"> </w:instrText>
      </w:r>
      <w:r w:rsidR="00F207EA">
        <w:rPr>
          <w:rFonts w:cstheme="minorHAnsi"/>
          <w:noProof/>
          <w:color w:val="1F497D"/>
        </w:rPr>
        <w:instrText>INCLUDEPICTURE  "cid:image001.jpg@01D55E7C.ED3496E0" \* MERGEFORMATINET</w:instrText>
      </w:r>
      <w:r w:rsidR="00F207EA">
        <w:rPr>
          <w:rFonts w:cstheme="minorHAnsi"/>
          <w:noProof/>
          <w:color w:val="1F497D"/>
        </w:rPr>
        <w:instrText xml:space="preserve"> </w:instrText>
      </w:r>
      <w:r w:rsidR="00F207EA">
        <w:rPr>
          <w:rFonts w:cstheme="minorHAnsi"/>
          <w:noProof/>
          <w:color w:val="1F497D"/>
        </w:rPr>
        <w:fldChar w:fldCharType="separate"/>
      </w:r>
      <w:r w:rsidR="00F207EA">
        <w:rPr>
          <w:rFonts w:cstheme="minorHAnsi"/>
          <w:noProof/>
          <w:color w:val="1F497D"/>
        </w:rPr>
        <w:pict w14:anchorId="77D6B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1pt;height:69pt;mso-width-percent:0;mso-height-percent:0;mso-width-percent:0;mso-height-percent:0">
            <v:imagedata r:id="rId8" r:href="rId9"/>
          </v:shape>
        </w:pict>
      </w:r>
      <w:r w:rsidR="00F207EA">
        <w:rPr>
          <w:rFonts w:cstheme="minorHAnsi"/>
          <w:noProof/>
          <w:color w:val="1F497D"/>
        </w:rPr>
        <w:fldChar w:fldCharType="end"/>
      </w:r>
      <w:r w:rsidR="00A750D4">
        <w:rPr>
          <w:rFonts w:cstheme="minorHAnsi"/>
          <w:noProof/>
          <w:color w:val="1F497D"/>
        </w:rPr>
        <w:fldChar w:fldCharType="end"/>
      </w:r>
      <w:r w:rsidR="006E6C1C" w:rsidRPr="001C790A">
        <w:rPr>
          <w:rFonts w:cstheme="minorHAnsi"/>
          <w:noProof/>
          <w:color w:val="1F497D"/>
        </w:rPr>
        <w:fldChar w:fldCharType="end"/>
      </w:r>
      <w:r w:rsidR="004F1B2B" w:rsidRPr="001C790A">
        <w:rPr>
          <w:rFonts w:cstheme="minorHAnsi"/>
          <w:noProof/>
          <w:color w:val="1F497D"/>
        </w:rPr>
        <w:fldChar w:fldCharType="end"/>
      </w:r>
      <w:r w:rsidR="00B132AC" w:rsidRPr="001C790A">
        <w:rPr>
          <w:rFonts w:cstheme="minorHAnsi"/>
          <w:noProof/>
          <w:color w:val="1F497D"/>
        </w:rPr>
        <w:fldChar w:fldCharType="end"/>
      </w:r>
      <w:r w:rsidR="00164533" w:rsidRPr="001C790A">
        <w:rPr>
          <w:rFonts w:cstheme="minorHAnsi"/>
          <w:color w:val="1F497D"/>
        </w:rPr>
        <w:fldChar w:fldCharType="end"/>
      </w:r>
      <w:r w:rsidR="00026977" w:rsidRPr="001C790A">
        <w:rPr>
          <w:rFonts w:cstheme="minorHAnsi"/>
          <w:color w:val="1F497D"/>
        </w:rPr>
        <w:fldChar w:fldCharType="end"/>
      </w:r>
      <w:r w:rsidR="009825E0" w:rsidRPr="001C790A">
        <w:rPr>
          <w:rFonts w:cstheme="minorHAnsi"/>
          <w:color w:val="1F497D"/>
        </w:rPr>
        <w:fldChar w:fldCharType="end"/>
      </w:r>
      <w:r w:rsidR="009825E0" w:rsidRPr="001C790A">
        <w:rPr>
          <w:rFonts w:cstheme="minorHAnsi"/>
          <w:color w:val="1F497D"/>
        </w:rPr>
        <w:fldChar w:fldCharType="end"/>
      </w:r>
      <w:r w:rsidR="009825E0" w:rsidRPr="001C790A">
        <w:rPr>
          <w:rFonts w:cstheme="minorHAnsi"/>
          <w:color w:val="1F497D"/>
        </w:rPr>
        <w:fldChar w:fldCharType="end"/>
      </w:r>
      <w:r w:rsidR="009825E0" w:rsidRPr="001C790A">
        <w:rPr>
          <w:rFonts w:cstheme="minorHAnsi"/>
          <w:color w:val="1F497D"/>
        </w:rPr>
        <w:fldChar w:fldCharType="end"/>
      </w:r>
      <w:r w:rsidR="009825E0" w:rsidRPr="001C790A">
        <w:rPr>
          <w:rFonts w:cstheme="minorHAnsi"/>
          <w:color w:val="1F497D"/>
        </w:rPr>
        <w:fldChar w:fldCharType="end"/>
      </w:r>
      <w:r w:rsidR="009825E0" w:rsidRPr="001C790A">
        <w:rPr>
          <w:rFonts w:cstheme="minorHAnsi"/>
          <w:color w:val="1F497D"/>
        </w:rPr>
        <w:fldChar w:fldCharType="end"/>
      </w:r>
      <w:r w:rsidR="009825E0" w:rsidRPr="001C790A">
        <w:rPr>
          <w:rFonts w:cstheme="minorHAnsi"/>
          <w:color w:val="1F497D"/>
        </w:rPr>
        <w:fldChar w:fldCharType="end"/>
      </w:r>
      <w:r w:rsidR="009825E0" w:rsidRPr="001C790A">
        <w:rPr>
          <w:rFonts w:cstheme="minorHAnsi"/>
          <w:color w:val="1F497D"/>
        </w:rPr>
        <w:fldChar w:fldCharType="end"/>
      </w:r>
      <w:r w:rsidR="00A01DCD" w:rsidRPr="001C790A">
        <w:rPr>
          <w:rFonts w:cstheme="minorHAnsi"/>
          <w:b/>
        </w:rPr>
        <w:br w:type="textWrapping" w:clear="all"/>
      </w:r>
    </w:p>
    <w:p w:rsidR="006146F5" w:rsidRPr="001C790A" w:rsidRDefault="006146F5" w:rsidP="004B3E34">
      <w:pPr>
        <w:spacing w:line="240" w:lineRule="auto"/>
        <w:jc w:val="both"/>
        <w:rPr>
          <w:rFonts w:cstheme="minorHAnsi"/>
          <w:b/>
        </w:rPr>
      </w:pPr>
    </w:p>
    <w:p w:rsidR="006146F5" w:rsidRPr="001C790A" w:rsidRDefault="006146F5" w:rsidP="004B3E34">
      <w:pPr>
        <w:spacing w:line="240" w:lineRule="auto"/>
        <w:jc w:val="both"/>
        <w:rPr>
          <w:rFonts w:cstheme="minorHAnsi"/>
          <w:b/>
        </w:rPr>
      </w:pPr>
    </w:p>
    <w:p w:rsidR="006146F5" w:rsidRPr="001C790A" w:rsidRDefault="006146F5" w:rsidP="004B3E34">
      <w:pPr>
        <w:spacing w:line="240" w:lineRule="auto"/>
        <w:jc w:val="both"/>
        <w:rPr>
          <w:rFonts w:cstheme="minorHAnsi"/>
          <w:b/>
        </w:rPr>
      </w:pPr>
    </w:p>
    <w:p w:rsidR="006146F5" w:rsidRPr="001C790A" w:rsidRDefault="006146F5" w:rsidP="004B3E34">
      <w:pPr>
        <w:spacing w:after="0" w:line="240" w:lineRule="auto"/>
        <w:ind w:firstLine="720"/>
        <w:jc w:val="both"/>
        <w:rPr>
          <w:rFonts w:eastAsia="Times New Roman" w:cstheme="minorHAnsi"/>
          <w:b/>
          <w:lang w:eastAsia="en-GB"/>
        </w:rPr>
      </w:pPr>
      <w:r w:rsidRPr="001C790A">
        <w:rPr>
          <w:rFonts w:eastAsia="Times New Roman" w:cstheme="minorHAnsi"/>
          <w:b/>
          <w:lang w:eastAsia="en-GB"/>
        </w:rPr>
        <w:t xml:space="preserve">Comments on </w:t>
      </w:r>
      <w:r w:rsidR="00971C0F" w:rsidRPr="001C790A">
        <w:rPr>
          <w:rFonts w:eastAsia="Times New Roman" w:cstheme="minorHAnsi"/>
          <w:b/>
          <w:lang w:eastAsia="en-GB"/>
        </w:rPr>
        <w:t xml:space="preserve">Science and Technology Laws </w:t>
      </w:r>
      <w:r w:rsidR="001D1DB2" w:rsidRPr="001C790A">
        <w:rPr>
          <w:rFonts w:eastAsia="Times New Roman" w:cstheme="minorHAnsi"/>
          <w:b/>
          <w:lang w:eastAsia="en-GB"/>
        </w:rPr>
        <w:t xml:space="preserve">Amendment </w:t>
      </w:r>
      <w:r w:rsidRPr="001C790A">
        <w:rPr>
          <w:rFonts w:eastAsia="Times New Roman" w:cstheme="minorHAnsi"/>
          <w:b/>
          <w:lang w:eastAsia="en-GB"/>
        </w:rPr>
        <w:t>Bill</w:t>
      </w:r>
      <w:r w:rsidR="001D1DB2" w:rsidRPr="001C790A">
        <w:rPr>
          <w:rFonts w:eastAsia="Times New Roman" w:cstheme="minorHAnsi"/>
          <w:b/>
          <w:lang w:eastAsia="en-GB"/>
        </w:rPr>
        <w:t>, 201</w:t>
      </w:r>
      <w:r w:rsidR="009825E0" w:rsidRPr="001C790A">
        <w:rPr>
          <w:rFonts w:eastAsia="Times New Roman" w:cstheme="minorHAnsi"/>
          <w:b/>
          <w:lang w:eastAsia="en-GB"/>
        </w:rPr>
        <w:t>8</w:t>
      </w:r>
    </w:p>
    <w:p w:rsidR="006146F5" w:rsidRPr="001C790A" w:rsidRDefault="006146F5" w:rsidP="004B3E34">
      <w:pPr>
        <w:spacing w:after="0" w:line="240" w:lineRule="auto"/>
        <w:jc w:val="both"/>
        <w:rPr>
          <w:rFonts w:eastAsia="Times New Roman" w:cstheme="minorHAnsi"/>
          <w:lang w:eastAsia="en-GB"/>
        </w:rPr>
      </w:pPr>
    </w:p>
    <w:p w:rsidR="006146F5" w:rsidRPr="001C790A" w:rsidRDefault="006146F5" w:rsidP="004B3E34">
      <w:pPr>
        <w:spacing w:after="0" w:line="240" w:lineRule="auto"/>
        <w:ind w:left="2880" w:firstLine="720"/>
        <w:jc w:val="both"/>
        <w:rPr>
          <w:rFonts w:eastAsia="Times New Roman" w:cstheme="minorHAnsi"/>
          <w:lang w:eastAsia="en-GB"/>
        </w:rPr>
      </w:pPr>
    </w:p>
    <w:p w:rsidR="006146F5" w:rsidRPr="001C790A" w:rsidRDefault="006146F5" w:rsidP="004B3E34">
      <w:pPr>
        <w:spacing w:after="0" w:line="240" w:lineRule="auto"/>
        <w:ind w:left="2880" w:firstLine="720"/>
        <w:jc w:val="both"/>
        <w:rPr>
          <w:rFonts w:eastAsia="Times New Roman" w:cstheme="minorHAnsi"/>
          <w:lang w:eastAsia="en-GB"/>
        </w:rPr>
      </w:pPr>
    </w:p>
    <w:p w:rsidR="006146F5" w:rsidRPr="001C790A" w:rsidRDefault="006146F5" w:rsidP="004B3E34">
      <w:pPr>
        <w:spacing w:after="0" w:line="240" w:lineRule="auto"/>
        <w:ind w:left="2880" w:firstLine="720"/>
        <w:jc w:val="both"/>
        <w:rPr>
          <w:rFonts w:eastAsia="Times New Roman" w:cstheme="minorHAnsi"/>
          <w:lang w:eastAsia="en-GB"/>
        </w:rPr>
      </w:pPr>
    </w:p>
    <w:p w:rsidR="006146F5" w:rsidRPr="001C790A" w:rsidRDefault="006146F5" w:rsidP="004B3E34">
      <w:pPr>
        <w:spacing w:after="0" w:line="240" w:lineRule="auto"/>
        <w:ind w:left="2880" w:firstLine="720"/>
        <w:jc w:val="both"/>
        <w:rPr>
          <w:rFonts w:eastAsia="Times New Roman" w:cstheme="minorHAnsi"/>
          <w:lang w:eastAsia="en-GB"/>
        </w:rPr>
      </w:pPr>
    </w:p>
    <w:p w:rsidR="006146F5" w:rsidRPr="001C790A" w:rsidRDefault="006146F5" w:rsidP="004B3E34">
      <w:pPr>
        <w:spacing w:after="0" w:line="240" w:lineRule="auto"/>
        <w:ind w:left="2880" w:firstLine="720"/>
        <w:jc w:val="both"/>
        <w:rPr>
          <w:rFonts w:eastAsia="Times New Roman" w:cstheme="minorHAnsi"/>
          <w:lang w:eastAsia="en-GB"/>
        </w:rPr>
      </w:pPr>
    </w:p>
    <w:p w:rsidR="006146F5" w:rsidRPr="001C790A" w:rsidRDefault="009825E0" w:rsidP="004B3E34">
      <w:pPr>
        <w:spacing w:after="0" w:line="240" w:lineRule="auto"/>
        <w:ind w:left="2880" w:hanging="2171"/>
        <w:jc w:val="both"/>
        <w:rPr>
          <w:rFonts w:eastAsia="Times New Roman" w:cstheme="minorHAnsi"/>
          <w:lang w:eastAsia="en-GB"/>
        </w:rPr>
      </w:pPr>
      <w:r w:rsidRPr="001C790A">
        <w:rPr>
          <w:rFonts w:eastAsia="Times New Roman" w:cstheme="minorHAnsi"/>
          <w:lang w:eastAsia="en-GB"/>
        </w:rPr>
        <w:t>5</w:t>
      </w:r>
      <w:r w:rsidR="00971C0F" w:rsidRPr="001C790A">
        <w:rPr>
          <w:rFonts w:eastAsia="Times New Roman" w:cstheme="minorHAnsi"/>
          <w:lang w:eastAsia="en-GB"/>
        </w:rPr>
        <w:t xml:space="preserve"> J</w:t>
      </w:r>
      <w:r w:rsidRPr="001C790A">
        <w:rPr>
          <w:rFonts w:eastAsia="Times New Roman" w:cstheme="minorHAnsi"/>
          <w:lang w:eastAsia="en-GB"/>
        </w:rPr>
        <w:t>une</w:t>
      </w:r>
      <w:r w:rsidR="008F480E" w:rsidRPr="001C790A">
        <w:rPr>
          <w:rFonts w:eastAsia="Times New Roman" w:cstheme="minorHAnsi"/>
          <w:lang w:eastAsia="en-GB"/>
        </w:rPr>
        <w:t xml:space="preserve"> 20</w:t>
      </w:r>
      <w:r w:rsidRPr="001C790A">
        <w:rPr>
          <w:rFonts w:eastAsia="Times New Roman" w:cstheme="minorHAnsi"/>
          <w:lang w:eastAsia="en-GB"/>
        </w:rPr>
        <w:t>20</w:t>
      </w:r>
    </w:p>
    <w:p w:rsidR="006146F5" w:rsidRPr="001C790A" w:rsidRDefault="006146F5" w:rsidP="004B3E34">
      <w:pPr>
        <w:spacing w:after="0" w:line="240" w:lineRule="auto"/>
        <w:jc w:val="both"/>
        <w:rPr>
          <w:rFonts w:eastAsia="Times New Roman" w:cstheme="minorHAnsi"/>
          <w:lang w:eastAsia="en-GB"/>
        </w:rPr>
      </w:pPr>
    </w:p>
    <w:p w:rsidR="006146F5" w:rsidRPr="001C790A" w:rsidRDefault="006146F5" w:rsidP="004B3E34">
      <w:pPr>
        <w:spacing w:after="0" w:line="240" w:lineRule="auto"/>
        <w:jc w:val="both"/>
        <w:rPr>
          <w:rFonts w:eastAsia="Times New Roman" w:cstheme="minorHAnsi"/>
          <w:lang w:eastAsia="en-GB"/>
        </w:rPr>
      </w:pPr>
    </w:p>
    <w:p w:rsidR="006146F5" w:rsidRPr="001C790A" w:rsidRDefault="006146F5" w:rsidP="004B3E34">
      <w:pPr>
        <w:spacing w:after="0" w:line="240" w:lineRule="auto"/>
        <w:jc w:val="both"/>
        <w:rPr>
          <w:rFonts w:eastAsia="Times New Roman" w:cstheme="minorHAnsi"/>
          <w:lang w:eastAsia="en-GB"/>
        </w:rPr>
      </w:pPr>
    </w:p>
    <w:p w:rsidR="006146F5" w:rsidRPr="001C790A" w:rsidRDefault="006146F5" w:rsidP="004B3E34">
      <w:pPr>
        <w:spacing w:after="0" w:line="240" w:lineRule="auto"/>
        <w:ind w:left="5760" w:firstLine="720"/>
        <w:jc w:val="both"/>
        <w:rPr>
          <w:rFonts w:eastAsia="Times New Roman" w:cstheme="minorHAnsi"/>
          <w:b/>
          <w:lang w:eastAsia="en-GB"/>
        </w:rPr>
      </w:pPr>
      <w:r w:rsidRPr="001C790A">
        <w:rPr>
          <w:rFonts w:eastAsia="Times New Roman" w:cstheme="minorHAnsi"/>
          <w:b/>
          <w:lang w:eastAsia="en-GB"/>
        </w:rPr>
        <w:t>Compiled by:</w:t>
      </w:r>
    </w:p>
    <w:p w:rsidR="006146F5" w:rsidRPr="001C790A" w:rsidRDefault="006146F5" w:rsidP="00FE6797">
      <w:pPr>
        <w:spacing w:after="0" w:line="240" w:lineRule="auto"/>
        <w:ind w:left="2160" w:hanging="1876"/>
        <w:jc w:val="center"/>
        <w:rPr>
          <w:rFonts w:eastAsia="Times New Roman" w:cstheme="minorHAnsi"/>
          <w:lang w:eastAsia="en-GB"/>
        </w:rPr>
      </w:pPr>
    </w:p>
    <w:p w:rsidR="006146F5" w:rsidRPr="001C790A" w:rsidRDefault="006146F5" w:rsidP="00FE6797">
      <w:pPr>
        <w:spacing w:after="0" w:line="240" w:lineRule="auto"/>
        <w:ind w:left="2160" w:hanging="1876"/>
        <w:jc w:val="center"/>
        <w:rPr>
          <w:rFonts w:eastAsia="Times New Roman" w:cstheme="minorHAnsi"/>
          <w:lang w:eastAsia="en-GB"/>
        </w:rPr>
      </w:pPr>
      <w:r w:rsidRPr="001C790A">
        <w:rPr>
          <w:rFonts w:eastAsia="Times New Roman" w:cstheme="minorHAnsi"/>
          <w:lang w:eastAsia="en-GB"/>
        </w:rPr>
        <w:t xml:space="preserve">The Department of Science and </w:t>
      </w:r>
      <w:r w:rsidR="009825E0" w:rsidRPr="001C790A">
        <w:rPr>
          <w:rFonts w:eastAsia="Times New Roman" w:cstheme="minorHAnsi"/>
          <w:lang w:eastAsia="en-GB"/>
        </w:rPr>
        <w:t>Innovation</w:t>
      </w:r>
    </w:p>
    <w:p w:rsidR="006146F5" w:rsidRPr="001C790A" w:rsidRDefault="006146F5" w:rsidP="00FE6797">
      <w:pPr>
        <w:spacing w:after="0" w:line="240" w:lineRule="auto"/>
        <w:jc w:val="center"/>
        <w:rPr>
          <w:rFonts w:eastAsia="Times New Roman" w:cstheme="minorHAnsi"/>
          <w:lang w:eastAsia="en-GB"/>
        </w:rPr>
      </w:pPr>
    </w:p>
    <w:p w:rsidR="006146F5" w:rsidRPr="001C790A" w:rsidRDefault="006146F5" w:rsidP="00FE6797">
      <w:pPr>
        <w:spacing w:after="0" w:line="240" w:lineRule="auto"/>
        <w:ind w:left="3600" w:hanging="3600"/>
        <w:jc w:val="center"/>
        <w:rPr>
          <w:rFonts w:eastAsia="Times New Roman" w:cstheme="minorHAnsi"/>
          <w:lang w:eastAsia="en-GB"/>
        </w:rPr>
      </w:pPr>
      <w:proofErr w:type="spellStart"/>
      <w:r w:rsidRPr="001C790A">
        <w:rPr>
          <w:rFonts w:eastAsia="Times New Roman" w:cstheme="minorHAnsi"/>
          <w:lang w:eastAsia="en-GB"/>
        </w:rPr>
        <w:t>Buliding</w:t>
      </w:r>
      <w:proofErr w:type="spellEnd"/>
      <w:r w:rsidRPr="001C790A">
        <w:rPr>
          <w:rFonts w:eastAsia="Times New Roman" w:cstheme="minorHAnsi"/>
          <w:lang w:eastAsia="en-GB"/>
        </w:rPr>
        <w:t xml:space="preserve"> 53,</w:t>
      </w:r>
    </w:p>
    <w:p w:rsidR="006146F5" w:rsidRPr="001C790A" w:rsidRDefault="006146F5" w:rsidP="00FE6797">
      <w:pPr>
        <w:spacing w:after="0" w:line="240" w:lineRule="auto"/>
        <w:ind w:left="2880" w:hanging="2880"/>
        <w:jc w:val="center"/>
        <w:rPr>
          <w:rFonts w:eastAsia="Times New Roman" w:cstheme="minorHAnsi"/>
          <w:lang w:eastAsia="en-GB"/>
        </w:rPr>
      </w:pPr>
      <w:r w:rsidRPr="001C790A">
        <w:rPr>
          <w:rFonts w:eastAsia="Times New Roman" w:cstheme="minorHAnsi"/>
          <w:lang w:eastAsia="en-GB"/>
        </w:rPr>
        <w:t>CSIR Campus</w:t>
      </w:r>
    </w:p>
    <w:p w:rsidR="006146F5" w:rsidRPr="001C790A" w:rsidRDefault="006146F5" w:rsidP="00FE6797">
      <w:pPr>
        <w:spacing w:after="0" w:line="240" w:lineRule="auto"/>
        <w:ind w:left="2880" w:hanging="2880"/>
        <w:jc w:val="center"/>
        <w:rPr>
          <w:rFonts w:eastAsia="Times New Roman" w:cstheme="minorHAnsi"/>
          <w:lang w:eastAsia="en-GB"/>
        </w:rPr>
      </w:pPr>
      <w:r w:rsidRPr="001C790A">
        <w:rPr>
          <w:rFonts w:eastAsia="Times New Roman" w:cstheme="minorHAnsi"/>
          <w:lang w:eastAsia="en-GB"/>
        </w:rPr>
        <w:t>Meiring Naude’ Road</w:t>
      </w:r>
    </w:p>
    <w:p w:rsidR="006146F5" w:rsidRPr="001C790A" w:rsidRDefault="006146F5" w:rsidP="00FE6797">
      <w:pPr>
        <w:spacing w:after="0" w:line="240" w:lineRule="auto"/>
        <w:ind w:left="2880" w:hanging="2738"/>
        <w:jc w:val="center"/>
        <w:rPr>
          <w:rFonts w:eastAsia="Times New Roman" w:cstheme="minorHAnsi"/>
          <w:lang w:eastAsia="en-GB"/>
        </w:rPr>
      </w:pPr>
      <w:proofErr w:type="spellStart"/>
      <w:r w:rsidRPr="001C790A">
        <w:rPr>
          <w:rFonts w:eastAsia="Times New Roman" w:cstheme="minorHAnsi"/>
          <w:lang w:eastAsia="en-GB"/>
        </w:rPr>
        <w:t>Brummeria</w:t>
      </w:r>
      <w:proofErr w:type="spellEnd"/>
    </w:p>
    <w:p w:rsidR="006146F5" w:rsidRPr="001C790A" w:rsidRDefault="006146F5" w:rsidP="00FE6797">
      <w:pPr>
        <w:spacing w:after="0" w:line="240" w:lineRule="auto"/>
        <w:ind w:left="2880" w:hanging="2738"/>
        <w:jc w:val="center"/>
        <w:rPr>
          <w:rFonts w:eastAsia="Times New Roman" w:cstheme="minorHAnsi"/>
          <w:lang w:eastAsia="en-GB"/>
        </w:rPr>
      </w:pPr>
      <w:r w:rsidRPr="001C790A">
        <w:rPr>
          <w:rFonts w:eastAsia="Times New Roman" w:cstheme="minorHAnsi"/>
          <w:lang w:eastAsia="en-GB"/>
        </w:rPr>
        <w:t>Pretoria</w:t>
      </w:r>
    </w:p>
    <w:p w:rsidR="00361BD9" w:rsidRPr="001C790A" w:rsidRDefault="00361BD9" w:rsidP="00FE6797">
      <w:pPr>
        <w:spacing w:after="0" w:line="240" w:lineRule="auto"/>
        <w:ind w:left="2880" w:hanging="2738"/>
        <w:jc w:val="center"/>
        <w:rPr>
          <w:rFonts w:eastAsia="Times New Roman" w:cstheme="minorHAnsi"/>
          <w:lang w:eastAsia="en-GB"/>
        </w:rPr>
      </w:pPr>
    </w:p>
    <w:p w:rsidR="00361BD9" w:rsidRPr="001C790A" w:rsidRDefault="00361BD9" w:rsidP="00FE6797">
      <w:pPr>
        <w:spacing w:after="0" w:line="240" w:lineRule="auto"/>
        <w:ind w:left="2880" w:hanging="2738"/>
        <w:jc w:val="center"/>
        <w:rPr>
          <w:rFonts w:eastAsia="Times New Roman" w:cstheme="minorHAnsi"/>
          <w:lang w:eastAsia="en-GB"/>
        </w:rPr>
      </w:pPr>
    </w:p>
    <w:p w:rsidR="00361BD9" w:rsidRPr="001C790A" w:rsidRDefault="00361BD9" w:rsidP="00FE6797">
      <w:pPr>
        <w:spacing w:after="0" w:line="240" w:lineRule="auto"/>
        <w:ind w:left="2880" w:hanging="2738"/>
        <w:jc w:val="center"/>
        <w:rPr>
          <w:rFonts w:eastAsia="Times New Roman" w:cstheme="minorHAnsi"/>
          <w:b/>
          <w:u w:val="single"/>
          <w:lang w:eastAsia="en-GB"/>
        </w:rPr>
      </w:pPr>
      <w:r w:rsidRPr="001C790A">
        <w:rPr>
          <w:rFonts w:eastAsia="Times New Roman" w:cstheme="minorHAnsi"/>
          <w:b/>
          <w:u w:val="single"/>
          <w:lang w:eastAsia="en-GB"/>
        </w:rPr>
        <w:t>RECOMMENDATIONS</w:t>
      </w:r>
    </w:p>
    <w:p w:rsidR="006146F5" w:rsidRPr="001C790A" w:rsidRDefault="006146F5" w:rsidP="004B3E34">
      <w:pPr>
        <w:spacing w:line="240" w:lineRule="auto"/>
        <w:jc w:val="both"/>
        <w:rPr>
          <w:rFonts w:cstheme="minorHAnsi"/>
          <w:b/>
        </w:rPr>
      </w:pPr>
    </w:p>
    <w:tbl>
      <w:tblPr>
        <w:tblStyle w:val="TableGrid"/>
        <w:tblW w:w="15187" w:type="dxa"/>
        <w:tblInd w:w="-882" w:type="dxa"/>
        <w:tblLayout w:type="fixed"/>
        <w:tblLook w:val="04A0" w:firstRow="1" w:lastRow="0" w:firstColumn="1" w:lastColumn="0" w:noHBand="0" w:noVBand="1"/>
      </w:tblPr>
      <w:tblGrid>
        <w:gridCol w:w="1237"/>
        <w:gridCol w:w="5850"/>
        <w:gridCol w:w="1800"/>
        <w:gridCol w:w="6300"/>
      </w:tblGrid>
      <w:tr w:rsidR="004B448C" w:rsidRPr="001C790A" w:rsidTr="009A2156">
        <w:tc>
          <w:tcPr>
            <w:tcW w:w="1237" w:type="dxa"/>
            <w:shd w:val="clear" w:color="auto" w:fill="FFC000"/>
          </w:tcPr>
          <w:p w:rsidR="004B448C" w:rsidRPr="001C790A" w:rsidRDefault="00971C0F" w:rsidP="00971C0F">
            <w:pPr>
              <w:jc w:val="both"/>
              <w:rPr>
                <w:rFonts w:cstheme="minorHAnsi"/>
                <w:b/>
              </w:rPr>
            </w:pPr>
            <w:r w:rsidRPr="001C790A">
              <w:rPr>
                <w:rFonts w:cstheme="minorHAnsi"/>
                <w:b/>
              </w:rPr>
              <w:t>Clause</w:t>
            </w:r>
          </w:p>
        </w:tc>
        <w:tc>
          <w:tcPr>
            <w:tcW w:w="5850" w:type="dxa"/>
            <w:shd w:val="clear" w:color="auto" w:fill="FFC000"/>
          </w:tcPr>
          <w:p w:rsidR="004B448C" w:rsidRPr="001C790A" w:rsidRDefault="00074414" w:rsidP="00AE7656">
            <w:pPr>
              <w:jc w:val="both"/>
              <w:rPr>
                <w:rFonts w:cstheme="minorHAnsi"/>
                <w:b/>
              </w:rPr>
            </w:pPr>
            <w:proofErr w:type="spellStart"/>
            <w:r w:rsidRPr="001C790A">
              <w:rPr>
                <w:rFonts w:cstheme="minorHAnsi"/>
                <w:b/>
              </w:rPr>
              <w:t>Ramola</w:t>
            </w:r>
            <w:proofErr w:type="spellEnd"/>
            <w:r w:rsidRPr="001C790A">
              <w:rPr>
                <w:rFonts w:cstheme="minorHAnsi"/>
                <w:b/>
              </w:rPr>
              <w:t xml:space="preserve"> Naidoo</w:t>
            </w:r>
            <w:r w:rsidR="001C790A" w:rsidRPr="001C790A">
              <w:rPr>
                <w:rFonts w:cstheme="minorHAnsi"/>
                <w:b/>
              </w:rPr>
              <w:t xml:space="preserve"> Comment</w:t>
            </w:r>
          </w:p>
        </w:tc>
        <w:tc>
          <w:tcPr>
            <w:tcW w:w="1800" w:type="dxa"/>
            <w:shd w:val="clear" w:color="auto" w:fill="FFC000"/>
          </w:tcPr>
          <w:p w:rsidR="004B448C" w:rsidRPr="001C790A" w:rsidRDefault="00362369" w:rsidP="004B3E34">
            <w:pPr>
              <w:jc w:val="both"/>
              <w:rPr>
                <w:rFonts w:cstheme="minorHAnsi"/>
                <w:b/>
              </w:rPr>
            </w:pPr>
            <w:r w:rsidRPr="001C790A">
              <w:rPr>
                <w:rFonts w:cstheme="minorHAnsi"/>
                <w:b/>
              </w:rPr>
              <w:t>Outcome</w:t>
            </w:r>
          </w:p>
        </w:tc>
        <w:tc>
          <w:tcPr>
            <w:tcW w:w="6300" w:type="dxa"/>
            <w:shd w:val="clear" w:color="auto" w:fill="FFC000"/>
          </w:tcPr>
          <w:p w:rsidR="004B448C" w:rsidRPr="001C790A" w:rsidRDefault="00362369" w:rsidP="004B3E34">
            <w:pPr>
              <w:jc w:val="both"/>
              <w:rPr>
                <w:rFonts w:cstheme="minorHAnsi"/>
                <w:b/>
              </w:rPr>
            </w:pPr>
            <w:r w:rsidRPr="001C790A">
              <w:rPr>
                <w:rFonts w:cstheme="minorHAnsi"/>
                <w:b/>
              </w:rPr>
              <w:t>Motivation</w:t>
            </w:r>
          </w:p>
        </w:tc>
      </w:tr>
      <w:tr w:rsidR="004B448C" w:rsidRPr="001C790A" w:rsidTr="00362369">
        <w:trPr>
          <w:trHeight w:val="1745"/>
        </w:trPr>
        <w:tc>
          <w:tcPr>
            <w:tcW w:w="1237" w:type="dxa"/>
          </w:tcPr>
          <w:p w:rsidR="004B448C" w:rsidRPr="001C790A" w:rsidRDefault="00AE7656" w:rsidP="00AE7656">
            <w:pPr>
              <w:jc w:val="both"/>
              <w:rPr>
                <w:rFonts w:cstheme="minorHAnsi"/>
              </w:rPr>
            </w:pPr>
            <w:r w:rsidRPr="001C790A">
              <w:rPr>
                <w:rFonts w:cstheme="minorHAnsi"/>
              </w:rPr>
              <w:t>Clause 1 (</w:t>
            </w:r>
            <w:r w:rsidR="00074414" w:rsidRPr="001C790A">
              <w:rPr>
                <w:rFonts w:cstheme="minorHAnsi"/>
              </w:rPr>
              <w:t>b</w:t>
            </w:r>
            <w:r w:rsidRPr="001C790A">
              <w:rPr>
                <w:rFonts w:cstheme="minorHAnsi"/>
              </w:rPr>
              <w:t>)</w:t>
            </w:r>
          </w:p>
        </w:tc>
        <w:tc>
          <w:tcPr>
            <w:tcW w:w="5850" w:type="dxa"/>
          </w:tcPr>
          <w:p w:rsidR="00074414" w:rsidRPr="001C790A" w:rsidRDefault="00074414" w:rsidP="00074414">
            <w:pPr>
              <w:rPr>
                <w:rFonts w:eastAsia="Times New Roman" w:cstheme="minorHAnsi"/>
                <w:lang w:val="en-US"/>
              </w:rPr>
            </w:pPr>
            <w:r w:rsidRPr="001C790A">
              <w:rPr>
                <w:rFonts w:eastAsia="Times New Roman" w:cstheme="minorHAnsi"/>
                <w:lang w:val="en-US"/>
              </w:rPr>
              <w:t>I recommend an addition to section 7 as (c): “on the recommendation or directive of the Auditor General in terms of the Public Audit Amendment Act.”</w:t>
            </w:r>
          </w:p>
          <w:p w:rsidR="00074414" w:rsidRPr="001C790A" w:rsidRDefault="00074414" w:rsidP="00074414">
            <w:pPr>
              <w:rPr>
                <w:rFonts w:eastAsia="Times New Roman" w:cstheme="minorHAnsi"/>
                <w:lang w:val="en-US"/>
              </w:rPr>
            </w:pPr>
            <w:r w:rsidRPr="001C790A">
              <w:rPr>
                <w:rFonts w:eastAsia="Times New Roman" w:cstheme="minorHAnsi"/>
                <w:lang w:val="en-US"/>
              </w:rPr>
              <w:t>In sub-subsection (b), I recommend that the words “after a fair disciplinary hearing is held in terms of National Treasury Regulations by the executive authority”, be added.</w:t>
            </w:r>
          </w:p>
          <w:p w:rsidR="00AE7656" w:rsidRPr="001C790A" w:rsidRDefault="00AE7656" w:rsidP="00AD4A58">
            <w:pPr>
              <w:jc w:val="both"/>
              <w:rPr>
                <w:rFonts w:cstheme="minorHAnsi"/>
                <w:lang w:val="en-ZA"/>
              </w:rPr>
            </w:pPr>
          </w:p>
        </w:tc>
        <w:tc>
          <w:tcPr>
            <w:tcW w:w="1800" w:type="dxa"/>
          </w:tcPr>
          <w:p w:rsidR="004B448C" w:rsidRPr="001C790A" w:rsidRDefault="004B448C" w:rsidP="007D2656">
            <w:pPr>
              <w:jc w:val="both"/>
              <w:rPr>
                <w:rFonts w:cstheme="minorHAnsi"/>
              </w:rPr>
            </w:pPr>
            <w:r w:rsidRPr="001C790A">
              <w:rPr>
                <w:rFonts w:cstheme="minorHAnsi"/>
              </w:rPr>
              <w:t>Not supported</w:t>
            </w:r>
          </w:p>
        </w:tc>
        <w:tc>
          <w:tcPr>
            <w:tcW w:w="6300" w:type="dxa"/>
          </w:tcPr>
          <w:p w:rsidR="004B448C" w:rsidRPr="001C790A" w:rsidRDefault="00AD4A58" w:rsidP="007D2656">
            <w:pPr>
              <w:jc w:val="both"/>
              <w:rPr>
                <w:rFonts w:cstheme="minorHAnsi"/>
                <w:u w:val="single"/>
              </w:rPr>
            </w:pPr>
            <w:r w:rsidRPr="001C790A">
              <w:rPr>
                <w:rFonts w:cstheme="minorHAnsi"/>
              </w:rPr>
              <w:t xml:space="preserve">We could not find such provision in the Public Audit Amendment Act, be that as it may a recommendation/directive of the AG will fall under </w:t>
            </w:r>
            <w:r w:rsidR="00ED1841" w:rsidRPr="001C790A">
              <w:rPr>
                <w:rFonts w:cstheme="minorHAnsi"/>
              </w:rPr>
              <w:t xml:space="preserve">either </w:t>
            </w:r>
            <w:r w:rsidRPr="001C790A">
              <w:rPr>
                <w:rFonts w:cstheme="minorHAnsi"/>
              </w:rPr>
              <w:t>the misconduct, incompetence or any other reasonable ground as provided for in section 7(8)(c)</w:t>
            </w:r>
            <w:r w:rsidR="00ED1841" w:rsidRPr="001C790A">
              <w:rPr>
                <w:rFonts w:cstheme="minorHAnsi"/>
              </w:rPr>
              <w:t xml:space="preserve"> of the CSIR Act</w:t>
            </w:r>
            <w:r w:rsidRPr="001C790A">
              <w:rPr>
                <w:rFonts w:cstheme="minorHAnsi"/>
              </w:rPr>
              <w:t>.</w:t>
            </w:r>
            <w:r w:rsidR="005600FE" w:rsidRPr="001C790A">
              <w:rPr>
                <w:rFonts w:cstheme="minorHAnsi"/>
              </w:rPr>
              <w:t xml:space="preserve"> </w:t>
            </w:r>
          </w:p>
          <w:p w:rsidR="004B448C" w:rsidRPr="001C790A" w:rsidRDefault="004B448C" w:rsidP="007D2656">
            <w:pPr>
              <w:jc w:val="both"/>
              <w:rPr>
                <w:rFonts w:cstheme="minorHAnsi"/>
                <w:u w:val="single"/>
              </w:rPr>
            </w:pPr>
          </w:p>
          <w:p w:rsidR="00AE7AC8" w:rsidRPr="00836A24" w:rsidRDefault="00AE7AC8" w:rsidP="007D2656">
            <w:pPr>
              <w:jc w:val="both"/>
              <w:rPr>
                <w:rFonts w:cstheme="minorHAnsi"/>
              </w:rPr>
            </w:pPr>
            <w:r w:rsidRPr="00836A24">
              <w:rPr>
                <w:rFonts w:cstheme="minorHAnsi"/>
              </w:rPr>
              <w:t>The Treasury Regulations does not provide for a disciplinary procedure for members of boards of public entities.</w:t>
            </w:r>
          </w:p>
          <w:p w:rsidR="004B448C" w:rsidRPr="001C790A" w:rsidRDefault="004B448C" w:rsidP="001C54B9">
            <w:pPr>
              <w:jc w:val="both"/>
              <w:rPr>
                <w:rFonts w:cstheme="minorHAnsi"/>
              </w:rPr>
            </w:pPr>
          </w:p>
        </w:tc>
      </w:tr>
      <w:tr w:rsidR="004B448C" w:rsidRPr="001C790A" w:rsidTr="009A2156">
        <w:trPr>
          <w:trHeight w:val="80"/>
        </w:trPr>
        <w:tc>
          <w:tcPr>
            <w:tcW w:w="1237" w:type="dxa"/>
            <w:tcBorders>
              <w:bottom w:val="single" w:sz="4" w:space="0" w:color="000000" w:themeColor="text1"/>
            </w:tcBorders>
          </w:tcPr>
          <w:p w:rsidR="004B448C" w:rsidRPr="001C790A" w:rsidRDefault="00AD56FA" w:rsidP="007D2656">
            <w:pPr>
              <w:jc w:val="both"/>
              <w:rPr>
                <w:rFonts w:cstheme="minorHAnsi"/>
              </w:rPr>
            </w:pPr>
            <w:r w:rsidRPr="001C790A">
              <w:rPr>
                <w:rFonts w:cstheme="minorHAnsi"/>
              </w:rPr>
              <w:t xml:space="preserve">Clause </w:t>
            </w:r>
            <w:r w:rsidR="00AD4A58" w:rsidRPr="001C790A">
              <w:rPr>
                <w:rFonts w:cstheme="minorHAnsi"/>
              </w:rPr>
              <w:t>2</w:t>
            </w:r>
          </w:p>
          <w:p w:rsidR="004B448C" w:rsidRPr="001C790A" w:rsidRDefault="004B448C" w:rsidP="007D2656">
            <w:pPr>
              <w:jc w:val="both"/>
              <w:rPr>
                <w:rFonts w:cstheme="minorHAnsi"/>
              </w:rPr>
            </w:pPr>
          </w:p>
        </w:tc>
        <w:tc>
          <w:tcPr>
            <w:tcW w:w="5850" w:type="dxa"/>
            <w:tcBorders>
              <w:bottom w:val="single" w:sz="4" w:space="0" w:color="000000" w:themeColor="text1"/>
            </w:tcBorders>
          </w:tcPr>
          <w:p w:rsidR="00AD4A58" w:rsidRPr="001C790A" w:rsidRDefault="00AD4A58" w:rsidP="00AD4A58">
            <w:pPr>
              <w:rPr>
                <w:rFonts w:eastAsia="Times New Roman" w:cstheme="minorHAnsi"/>
                <w:lang w:val="en-US"/>
              </w:rPr>
            </w:pPr>
            <w:r w:rsidRPr="001C790A">
              <w:rPr>
                <w:rFonts w:eastAsia="Times New Roman" w:cstheme="minorHAnsi"/>
                <w:lang w:val="en-US"/>
              </w:rPr>
              <w:t>With regard to the amendment addition of 2B and the above section 9 of the Scientific Research Council Act 1988, I recommend one committee per board member. From personal experience, I have seen board members not attend board meetings but several committee meetings which they chair. I came to a conclusion after a while, that one of the reasons is that the remuneration of board members is higher when they chair a committee meeting. At least two of them served on other boards and as a result they attended meetings mainly at committee level and not at the board level while shuttling between one board to another. Serving on boards of public entities have become a useful career.</w:t>
            </w:r>
          </w:p>
          <w:p w:rsidR="00AD4A58" w:rsidRPr="001C790A" w:rsidRDefault="00AD4A58" w:rsidP="00AD4A58">
            <w:pPr>
              <w:rPr>
                <w:rFonts w:eastAsia="Times New Roman" w:cstheme="minorHAnsi"/>
                <w:lang w:val="en-US"/>
              </w:rPr>
            </w:pPr>
            <w:r w:rsidRPr="001C790A">
              <w:rPr>
                <w:rFonts w:eastAsia="Times New Roman" w:cstheme="minorHAnsi"/>
                <w:lang w:val="en-US"/>
              </w:rPr>
              <w:t xml:space="preserve">With respect, I would go further and not have these committees. The accounting authority is given the power under the PFMA. But committees tend to be very influential and override the majority view of a Board. It is different in the case of the Companies Act where a specific committee is delegated to make decisions on behalf of the board and take full responsibility for those decisions. This becomes very </w:t>
            </w:r>
            <w:r w:rsidRPr="001C790A">
              <w:rPr>
                <w:rFonts w:eastAsia="Times New Roman" w:cstheme="minorHAnsi"/>
                <w:lang w:val="en-US"/>
              </w:rPr>
              <w:lastRenderedPageBreak/>
              <w:t>important when there are audit findings of irregularity. In the private sector, Steinhoff is a good example.</w:t>
            </w:r>
          </w:p>
          <w:p w:rsidR="004B448C" w:rsidRPr="001C790A" w:rsidRDefault="004B448C" w:rsidP="007D2656">
            <w:pPr>
              <w:jc w:val="both"/>
              <w:rPr>
                <w:rFonts w:cstheme="minorHAnsi"/>
                <w:lang w:val="en-ZA"/>
              </w:rPr>
            </w:pPr>
          </w:p>
          <w:p w:rsidR="004B448C" w:rsidRPr="001C790A" w:rsidRDefault="004B448C" w:rsidP="004B448C">
            <w:pPr>
              <w:jc w:val="both"/>
              <w:rPr>
                <w:rFonts w:cstheme="minorHAnsi"/>
              </w:rPr>
            </w:pPr>
          </w:p>
        </w:tc>
        <w:tc>
          <w:tcPr>
            <w:tcW w:w="1800" w:type="dxa"/>
            <w:tcBorders>
              <w:bottom w:val="single" w:sz="4" w:space="0" w:color="000000" w:themeColor="text1"/>
            </w:tcBorders>
          </w:tcPr>
          <w:p w:rsidR="004B448C" w:rsidRPr="001C790A" w:rsidRDefault="00545B6F" w:rsidP="00AD56FA">
            <w:pPr>
              <w:jc w:val="both"/>
              <w:rPr>
                <w:rFonts w:cstheme="minorHAnsi"/>
                <w:lang w:val="en-ZA"/>
              </w:rPr>
            </w:pPr>
            <w:r w:rsidRPr="001C790A">
              <w:rPr>
                <w:rFonts w:cstheme="minorHAnsi"/>
                <w:lang w:val="en-ZA"/>
              </w:rPr>
              <w:lastRenderedPageBreak/>
              <w:t xml:space="preserve">Not </w:t>
            </w:r>
            <w:r w:rsidR="00AD56FA" w:rsidRPr="001C790A">
              <w:rPr>
                <w:rFonts w:cstheme="minorHAnsi"/>
                <w:lang w:val="en-ZA"/>
              </w:rPr>
              <w:t>S</w:t>
            </w:r>
            <w:r w:rsidR="004B448C" w:rsidRPr="001C790A">
              <w:rPr>
                <w:rFonts w:cstheme="minorHAnsi"/>
                <w:lang w:val="en-ZA"/>
              </w:rPr>
              <w:t>upported</w:t>
            </w:r>
          </w:p>
        </w:tc>
        <w:tc>
          <w:tcPr>
            <w:tcW w:w="6300" w:type="dxa"/>
            <w:tcBorders>
              <w:bottom w:val="single" w:sz="4" w:space="0" w:color="000000" w:themeColor="text1"/>
            </w:tcBorders>
          </w:tcPr>
          <w:p w:rsidR="004B448C" w:rsidRPr="001C790A" w:rsidRDefault="00545B6F" w:rsidP="00C25DFA">
            <w:pPr>
              <w:jc w:val="both"/>
              <w:rPr>
                <w:rFonts w:cstheme="minorHAnsi"/>
              </w:rPr>
            </w:pPr>
            <w:r w:rsidRPr="001C790A">
              <w:rPr>
                <w:rFonts w:cstheme="minorHAnsi"/>
              </w:rPr>
              <w:t xml:space="preserve">In terms of section 8(7)(c) of the CSIR Act, </w:t>
            </w:r>
            <w:r w:rsidR="007E44A3" w:rsidRPr="001C790A">
              <w:rPr>
                <w:rFonts w:cstheme="minorHAnsi"/>
              </w:rPr>
              <w:t xml:space="preserve">a member of the Board ceases to hold office if he or she is absent from three consecutive meetings of the Board without permission of the Board. </w:t>
            </w:r>
          </w:p>
          <w:p w:rsidR="00960617" w:rsidRPr="001C790A" w:rsidRDefault="00960617" w:rsidP="00C25DFA">
            <w:pPr>
              <w:jc w:val="both"/>
              <w:rPr>
                <w:rFonts w:cstheme="minorHAnsi"/>
              </w:rPr>
            </w:pPr>
          </w:p>
          <w:p w:rsidR="00545B6F" w:rsidRPr="001C790A" w:rsidRDefault="00545B6F" w:rsidP="00C25DFA">
            <w:pPr>
              <w:jc w:val="both"/>
              <w:rPr>
                <w:rFonts w:cstheme="minorHAnsi"/>
              </w:rPr>
            </w:pPr>
            <w:r w:rsidRPr="001C790A">
              <w:rPr>
                <w:rFonts w:cstheme="minorHAnsi"/>
              </w:rPr>
              <w:t>Committees of the Board are at the discretion of the Board to ensure effectiveness of the Board. Further the Board remains accountable for the conduct of a committee of the Board in terms of section 9(5) of the CSIR Act</w:t>
            </w:r>
            <w:r w:rsidR="007E44A3" w:rsidRPr="001C790A">
              <w:rPr>
                <w:rFonts w:cstheme="minorHAnsi"/>
              </w:rPr>
              <w:t>.</w:t>
            </w:r>
            <w:r w:rsidRPr="001C790A">
              <w:rPr>
                <w:rFonts w:cstheme="minorHAnsi"/>
              </w:rPr>
              <w:t xml:space="preserve"> </w:t>
            </w:r>
          </w:p>
          <w:p w:rsidR="00C324FC" w:rsidRPr="001C790A" w:rsidRDefault="00C324FC" w:rsidP="00AD56FA">
            <w:pPr>
              <w:tabs>
                <w:tab w:val="left" w:pos="5746"/>
              </w:tabs>
              <w:jc w:val="both"/>
              <w:rPr>
                <w:rFonts w:cstheme="minorHAnsi"/>
              </w:rPr>
            </w:pPr>
          </w:p>
        </w:tc>
      </w:tr>
      <w:tr w:rsidR="004B448C" w:rsidRPr="001C790A" w:rsidTr="009A2156">
        <w:trPr>
          <w:trHeight w:val="1610"/>
        </w:trPr>
        <w:tc>
          <w:tcPr>
            <w:tcW w:w="1237" w:type="dxa"/>
            <w:tcBorders>
              <w:bottom w:val="single" w:sz="4" w:space="0" w:color="000000" w:themeColor="text1"/>
            </w:tcBorders>
          </w:tcPr>
          <w:p w:rsidR="004B448C" w:rsidRPr="001C790A" w:rsidRDefault="00F83CB7" w:rsidP="00F83CB7">
            <w:pPr>
              <w:jc w:val="both"/>
              <w:rPr>
                <w:rFonts w:cstheme="minorHAnsi"/>
              </w:rPr>
            </w:pPr>
            <w:r w:rsidRPr="001C790A">
              <w:rPr>
                <w:rFonts w:cstheme="minorHAnsi"/>
              </w:rPr>
              <w:t>Clause 3</w:t>
            </w:r>
          </w:p>
        </w:tc>
        <w:tc>
          <w:tcPr>
            <w:tcW w:w="5850" w:type="dxa"/>
            <w:tcBorders>
              <w:bottom w:val="single" w:sz="4" w:space="0" w:color="000000" w:themeColor="text1"/>
            </w:tcBorders>
          </w:tcPr>
          <w:p w:rsidR="00471FD3" w:rsidRPr="001C790A" w:rsidRDefault="00471FD3" w:rsidP="00CD049D">
            <w:pPr>
              <w:jc w:val="both"/>
              <w:rPr>
                <w:rFonts w:eastAsia="Times New Roman" w:cstheme="minorHAnsi"/>
                <w:lang w:val="en-US"/>
              </w:rPr>
            </w:pPr>
            <w:r w:rsidRPr="001C790A">
              <w:rPr>
                <w:rFonts w:eastAsia="Times New Roman" w:cstheme="minorHAnsi"/>
                <w:lang w:val="en-US"/>
              </w:rPr>
              <w:t>As stated above, I recommend that the select committee consider the applicable provisions of the PFMA that the executive authority and not the accounting authority appoints the chief executive. I recommend that subsection (1) should begin: “The Minister, as executive authority in terms of the Public Finance Management Act shall appoint the chief executive officer.</w:t>
            </w:r>
          </w:p>
          <w:p w:rsidR="00F83CB7" w:rsidRPr="001C790A" w:rsidRDefault="00F83CB7">
            <w:pPr>
              <w:jc w:val="both"/>
              <w:rPr>
                <w:rFonts w:cstheme="minorHAnsi"/>
                <w:lang w:val="en-ZA"/>
              </w:rPr>
            </w:pPr>
          </w:p>
          <w:p w:rsidR="004B448C" w:rsidRPr="001C790A" w:rsidRDefault="004B448C">
            <w:pPr>
              <w:jc w:val="both"/>
              <w:rPr>
                <w:rFonts w:cstheme="minorHAnsi"/>
                <w:lang w:val="en-ZA"/>
              </w:rPr>
            </w:pPr>
          </w:p>
          <w:p w:rsidR="004B448C" w:rsidRPr="001C790A" w:rsidRDefault="004B448C">
            <w:pPr>
              <w:jc w:val="both"/>
              <w:rPr>
                <w:rFonts w:cstheme="minorHAnsi"/>
                <w:lang w:val="en-ZA"/>
              </w:rPr>
            </w:pPr>
          </w:p>
        </w:tc>
        <w:tc>
          <w:tcPr>
            <w:tcW w:w="1800" w:type="dxa"/>
            <w:tcBorders>
              <w:bottom w:val="single" w:sz="4" w:space="0" w:color="000000" w:themeColor="text1"/>
            </w:tcBorders>
          </w:tcPr>
          <w:p w:rsidR="004B448C" w:rsidRPr="001C790A" w:rsidRDefault="004B448C" w:rsidP="007D2656">
            <w:pPr>
              <w:jc w:val="both"/>
              <w:rPr>
                <w:rFonts w:cstheme="minorHAnsi"/>
                <w:lang w:val="en-ZA"/>
              </w:rPr>
            </w:pPr>
            <w:r w:rsidRPr="001C790A">
              <w:rPr>
                <w:rFonts w:cstheme="minorHAnsi"/>
                <w:lang w:val="en-ZA"/>
              </w:rPr>
              <w:t>Not supported</w:t>
            </w:r>
          </w:p>
        </w:tc>
        <w:tc>
          <w:tcPr>
            <w:tcW w:w="6300" w:type="dxa"/>
            <w:tcBorders>
              <w:bottom w:val="single" w:sz="4" w:space="0" w:color="000000" w:themeColor="text1"/>
            </w:tcBorders>
          </w:tcPr>
          <w:p w:rsidR="009C40FC" w:rsidRPr="001C790A" w:rsidRDefault="00471FD3" w:rsidP="00ED1841">
            <w:pPr>
              <w:jc w:val="both"/>
              <w:rPr>
                <w:rFonts w:cstheme="minorHAnsi"/>
              </w:rPr>
            </w:pPr>
            <w:r w:rsidRPr="001C790A">
              <w:rPr>
                <w:rFonts w:cstheme="minorHAnsi"/>
              </w:rPr>
              <w:t xml:space="preserve">We could not find such provision in the PFMA. </w:t>
            </w:r>
            <w:r w:rsidR="00960617" w:rsidRPr="001C790A">
              <w:rPr>
                <w:rFonts w:cstheme="minorHAnsi"/>
              </w:rPr>
              <w:t>The</w:t>
            </w:r>
            <w:r w:rsidR="00F83CB7" w:rsidRPr="001C790A">
              <w:rPr>
                <w:rFonts w:cstheme="minorHAnsi"/>
              </w:rPr>
              <w:t xml:space="preserve"> </w:t>
            </w:r>
            <w:r w:rsidRPr="001C790A">
              <w:rPr>
                <w:rFonts w:cstheme="minorHAnsi"/>
              </w:rPr>
              <w:t>proposed appointment is line with the recommendations of the Presidential Review Committee on State Owned Enterprises and the King III report.</w:t>
            </w:r>
          </w:p>
          <w:p w:rsidR="00045FAD" w:rsidRPr="001C790A" w:rsidRDefault="00045FAD" w:rsidP="00ED1841">
            <w:pPr>
              <w:jc w:val="both"/>
              <w:rPr>
                <w:rFonts w:cstheme="minorHAnsi"/>
              </w:rPr>
            </w:pPr>
          </w:p>
          <w:p w:rsidR="00045FAD" w:rsidRPr="001C790A" w:rsidRDefault="00045FAD" w:rsidP="00ED1841">
            <w:pPr>
              <w:jc w:val="both"/>
              <w:rPr>
                <w:rFonts w:cstheme="minorHAnsi"/>
              </w:rPr>
            </w:pPr>
            <w:r w:rsidRPr="001C790A">
              <w:rPr>
                <w:rFonts w:cstheme="minorHAnsi"/>
              </w:rPr>
              <w:t xml:space="preserve">The bill proposes that the Board shall in consultation with the Minister appoint a suitably skilled and qualified person as the chief executive officer of the CSIR, after following a transparent and competitive selection process. </w:t>
            </w:r>
          </w:p>
          <w:p w:rsidR="00045FAD" w:rsidRPr="001C790A" w:rsidRDefault="00045FAD" w:rsidP="00ED1841">
            <w:pPr>
              <w:jc w:val="both"/>
              <w:rPr>
                <w:rFonts w:cstheme="minorHAnsi"/>
              </w:rPr>
            </w:pPr>
          </w:p>
          <w:p w:rsidR="00045FAD" w:rsidRPr="001C790A" w:rsidRDefault="00045FAD" w:rsidP="00ED1841">
            <w:pPr>
              <w:jc w:val="both"/>
              <w:rPr>
                <w:rFonts w:cstheme="minorHAnsi"/>
              </w:rPr>
            </w:pPr>
          </w:p>
          <w:p w:rsidR="009C40FC" w:rsidRPr="001C790A" w:rsidRDefault="009C40FC" w:rsidP="004C4796">
            <w:pPr>
              <w:jc w:val="both"/>
              <w:rPr>
                <w:rFonts w:cstheme="minorHAnsi"/>
              </w:rPr>
            </w:pPr>
          </w:p>
          <w:p w:rsidR="008E1610" w:rsidRPr="001C790A" w:rsidRDefault="008E1610" w:rsidP="004C4796">
            <w:pPr>
              <w:jc w:val="both"/>
              <w:rPr>
                <w:rFonts w:cstheme="minorHAnsi"/>
              </w:rPr>
            </w:pPr>
          </w:p>
          <w:p w:rsidR="00741833" w:rsidRPr="001C790A" w:rsidRDefault="00741833" w:rsidP="004C4796">
            <w:pPr>
              <w:jc w:val="both"/>
              <w:rPr>
                <w:rFonts w:cstheme="minorHAnsi"/>
              </w:rPr>
            </w:pPr>
          </w:p>
          <w:p w:rsidR="004B448C" w:rsidRPr="001C790A" w:rsidRDefault="004B448C" w:rsidP="004C4796">
            <w:pPr>
              <w:jc w:val="both"/>
              <w:rPr>
                <w:rFonts w:cstheme="minorHAnsi"/>
                <w:lang w:val="en-ZA"/>
              </w:rPr>
            </w:pPr>
          </w:p>
        </w:tc>
      </w:tr>
      <w:tr w:rsidR="004B448C" w:rsidRPr="001C790A" w:rsidTr="00362369">
        <w:trPr>
          <w:trHeight w:val="2879"/>
        </w:trPr>
        <w:tc>
          <w:tcPr>
            <w:tcW w:w="1237" w:type="dxa"/>
          </w:tcPr>
          <w:p w:rsidR="004B448C" w:rsidRPr="001C790A" w:rsidRDefault="00BE0C0B" w:rsidP="00BE0C0B">
            <w:pPr>
              <w:jc w:val="both"/>
              <w:rPr>
                <w:rFonts w:cstheme="minorHAnsi"/>
              </w:rPr>
            </w:pPr>
            <w:r w:rsidRPr="001C790A">
              <w:rPr>
                <w:rFonts w:cstheme="minorHAnsi"/>
              </w:rPr>
              <w:t xml:space="preserve">Clause </w:t>
            </w:r>
            <w:r w:rsidR="00471FD3" w:rsidRPr="001C790A">
              <w:rPr>
                <w:rFonts w:cstheme="minorHAnsi"/>
              </w:rPr>
              <w:t>4</w:t>
            </w:r>
            <w:r w:rsidRPr="001C790A">
              <w:rPr>
                <w:rFonts w:cstheme="minorHAnsi"/>
              </w:rPr>
              <w:t>(</w:t>
            </w:r>
            <w:r w:rsidR="00471FD3" w:rsidRPr="001C790A">
              <w:rPr>
                <w:rFonts w:cstheme="minorHAnsi"/>
              </w:rPr>
              <w:t>c</w:t>
            </w:r>
            <w:r w:rsidRPr="001C790A">
              <w:rPr>
                <w:rFonts w:cstheme="minorHAnsi"/>
              </w:rPr>
              <w:t>)</w:t>
            </w:r>
          </w:p>
        </w:tc>
        <w:tc>
          <w:tcPr>
            <w:tcW w:w="5850" w:type="dxa"/>
          </w:tcPr>
          <w:p w:rsidR="004B448C" w:rsidRPr="001C790A" w:rsidRDefault="00471FD3">
            <w:pPr>
              <w:jc w:val="both"/>
              <w:rPr>
                <w:rFonts w:cstheme="minorHAnsi"/>
                <w:lang w:val="en-ZA"/>
              </w:rPr>
            </w:pPr>
            <w:r w:rsidRPr="001C790A">
              <w:rPr>
                <w:rFonts w:eastAsia="Times New Roman" w:cstheme="minorHAnsi"/>
                <w:lang w:val="en-US"/>
              </w:rPr>
              <w:t xml:space="preserve">I respectfully disagree with 3B as I do not think that board members should have any financial or other interest in any decision or contract. This is a perfect recipe for kleptocracy, fraud, or corruption. It is a real possibility that board members can influence a tender or other contract behind the scenes with key executive managers. Moreover, the words in (b) “present at the time”. When is this meeting held? I know of a few instances when a board meeting ends, and then an impromptu meeting takes place with no agenda and no minutes taken. This has very serious implications and disputes among board members. Are those decisions taken at an impromptu meeting valid if board members are not fully apprised of the objectives of this meeting? I recommend that 3B be revised to specify that it must </w:t>
            </w:r>
            <w:r w:rsidRPr="001C790A">
              <w:rPr>
                <w:rFonts w:eastAsia="Times New Roman" w:cstheme="minorHAnsi"/>
                <w:lang w:val="en-US"/>
              </w:rPr>
              <w:lastRenderedPageBreak/>
              <w:t xml:space="preserve">be at a formal meeting of the board and clearly stated as an agenda item and </w:t>
            </w:r>
            <w:proofErr w:type="spellStart"/>
            <w:r w:rsidRPr="001C790A">
              <w:rPr>
                <w:rFonts w:eastAsia="Times New Roman" w:cstheme="minorHAnsi"/>
                <w:lang w:val="en-US"/>
              </w:rPr>
              <w:t>minuted</w:t>
            </w:r>
            <w:proofErr w:type="spellEnd"/>
            <w:r w:rsidRPr="001C790A">
              <w:rPr>
                <w:rFonts w:eastAsia="Times New Roman" w:cstheme="minorHAnsi"/>
                <w:lang w:val="en-US"/>
              </w:rPr>
              <w:t>.</w:t>
            </w:r>
          </w:p>
        </w:tc>
        <w:tc>
          <w:tcPr>
            <w:tcW w:w="1800" w:type="dxa"/>
          </w:tcPr>
          <w:p w:rsidR="004B448C" w:rsidRPr="001C790A" w:rsidRDefault="004B448C" w:rsidP="007D2656">
            <w:pPr>
              <w:jc w:val="both"/>
              <w:rPr>
                <w:rFonts w:cstheme="minorHAnsi"/>
                <w:lang w:val="en-ZA"/>
              </w:rPr>
            </w:pPr>
            <w:r w:rsidRPr="001C790A">
              <w:rPr>
                <w:rFonts w:cstheme="minorHAnsi"/>
                <w:lang w:val="en-ZA"/>
              </w:rPr>
              <w:lastRenderedPageBreak/>
              <w:t>Not supported</w:t>
            </w:r>
          </w:p>
        </w:tc>
        <w:tc>
          <w:tcPr>
            <w:tcW w:w="6300" w:type="dxa"/>
          </w:tcPr>
          <w:p w:rsidR="00BE0C0B" w:rsidRPr="001C790A" w:rsidRDefault="00651EF2" w:rsidP="00BE0C0B">
            <w:pPr>
              <w:jc w:val="both"/>
              <w:rPr>
                <w:rFonts w:cstheme="minorHAnsi"/>
                <w:lang w:val="en-ZA"/>
              </w:rPr>
            </w:pPr>
            <w:r w:rsidRPr="001C790A">
              <w:rPr>
                <w:rFonts w:cstheme="minorHAnsi"/>
              </w:rPr>
              <w:t>That’s precisely what the proposed section 11(3B) intends to achieve. We</w:t>
            </w:r>
            <w:r w:rsidR="003B6C1A">
              <w:rPr>
                <w:rFonts w:cstheme="minorHAnsi"/>
              </w:rPr>
              <w:t xml:space="preserve"> are</w:t>
            </w:r>
            <w:r w:rsidRPr="001C790A">
              <w:rPr>
                <w:rFonts w:cstheme="minorHAnsi"/>
              </w:rPr>
              <w:t xml:space="preserve"> not sure what is meant by an impromptu meeting but all meetings of the Board are done in terms of the Act, any meetings falling outside the scope of the Act are therefore unlawful</w:t>
            </w:r>
            <w:r w:rsidR="00BE0C0B" w:rsidRPr="001C790A">
              <w:rPr>
                <w:rFonts w:cstheme="minorHAnsi"/>
              </w:rPr>
              <w:t>.</w:t>
            </w:r>
            <w:r w:rsidR="00B354FC" w:rsidRPr="001C790A">
              <w:rPr>
                <w:rFonts w:cstheme="minorHAnsi"/>
              </w:rPr>
              <w:t xml:space="preserve"> </w:t>
            </w:r>
          </w:p>
          <w:p w:rsidR="00BE0C0B" w:rsidRPr="001C790A" w:rsidRDefault="00BE0C0B" w:rsidP="00BE0C0B">
            <w:pPr>
              <w:rPr>
                <w:rFonts w:cstheme="minorHAnsi"/>
                <w:lang w:val="en-ZA"/>
              </w:rPr>
            </w:pPr>
          </w:p>
          <w:p w:rsidR="00BE0C0B" w:rsidRPr="001C790A" w:rsidRDefault="00BE0C0B" w:rsidP="00BE0C0B">
            <w:pPr>
              <w:rPr>
                <w:rFonts w:cstheme="minorHAnsi"/>
                <w:lang w:val="en-ZA"/>
              </w:rPr>
            </w:pPr>
          </w:p>
          <w:p w:rsidR="00BE0C0B" w:rsidRPr="001C790A" w:rsidRDefault="00BE0C0B" w:rsidP="00BE0C0B">
            <w:pPr>
              <w:rPr>
                <w:rFonts w:cstheme="minorHAnsi"/>
                <w:lang w:val="en-ZA"/>
              </w:rPr>
            </w:pPr>
          </w:p>
          <w:p w:rsidR="004B448C" w:rsidRPr="001C790A" w:rsidRDefault="00BE0C0B" w:rsidP="00BE0C0B">
            <w:pPr>
              <w:tabs>
                <w:tab w:val="left" w:pos="1575"/>
              </w:tabs>
              <w:rPr>
                <w:rFonts w:cstheme="minorHAnsi"/>
                <w:lang w:val="en-ZA"/>
              </w:rPr>
            </w:pPr>
            <w:r w:rsidRPr="001C790A">
              <w:rPr>
                <w:rFonts w:cstheme="minorHAnsi"/>
                <w:lang w:val="en-ZA"/>
              </w:rPr>
              <w:tab/>
            </w:r>
          </w:p>
        </w:tc>
      </w:tr>
      <w:tr w:rsidR="004B448C" w:rsidRPr="001C790A" w:rsidTr="00362369">
        <w:trPr>
          <w:trHeight w:val="530"/>
        </w:trPr>
        <w:tc>
          <w:tcPr>
            <w:tcW w:w="1237" w:type="dxa"/>
          </w:tcPr>
          <w:p w:rsidR="004B448C" w:rsidRPr="001C790A" w:rsidRDefault="00BE0C0B" w:rsidP="00BE0C0B">
            <w:pPr>
              <w:jc w:val="both"/>
              <w:rPr>
                <w:rFonts w:cstheme="minorHAnsi"/>
              </w:rPr>
            </w:pPr>
            <w:r w:rsidRPr="001C790A">
              <w:rPr>
                <w:rFonts w:cstheme="minorHAnsi"/>
              </w:rPr>
              <w:t xml:space="preserve">Clause </w:t>
            </w:r>
            <w:r w:rsidR="00651EF2" w:rsidRPr="001C790A">
              <w:rPr>
                <w:rFonts w:cstheme="minorHAnsi"/>
              </w:rPr>
              <w:t>5</w:t>
            </w:r>
          </w:p>
        </w:tc>
        <w:tc>
          <w:tcPr>
            <w:tcW w:w="5850" w:type="dxa"/>
          </w:tcPr>
          <w:p w:rsidR="00651EF2" w:rsidRPr="001C790A" w:rsidRDefault="00651EF2" w:rsidP="00CD049D">
            <w:pPr>
              <w:jc w:val="both"/>
              <w:rPr>
                <w:rFonts w:eastAsia="Times New Roman" w:cstheme="minorHAnsi"/>
                <w:lang w:val="en-US"/>
              </w:rPr>
            </w:pPr>
            <w:r w:rsidRPr="001C790A">
              <w:rPr>
                <w:rFonts w:eastAsia="Times New Roman" w:cstheme="minorHAnsi"/>
                <w:lang w:val="en-US"/>
              </w:rPr>
              <w:t>I recommend that the committee discuss the implications of this amendment with the new President’s SOE Council. Remuneration is a big problem among the public entities. Executive managers give themselves inflated salaries (packages) and bonuses and an annual increase. There has to be strict oversight on such abuse of power by executives and some board members too.</w:t>
            </w:r>
          </w:p>
          <w:p w:rsidR="00651EF2" w:rsidRPr="001C790A" w:rsidRDefault="00651EF2" w:rsidP="00CD049D">
            <w:pPr>
              <w:jc w:val="both"/>
              <w:rPr>
                <w:rFonts w:eastAsia="Times New Roman" w:cstheme="minorHAnsi"/>
                <w:lang w:val="en-US"/>
              </w:rPr>
            </w:pPr>
            <w:r w:rsidRPr="001C790A">
              <w:rPr>
                <w:rFonts w:eastAsia="Times New Roman" w:cstheme="minorHAnsi"/>
                <w:lang w:val="en-US"/>
              </w:rPr>
              <w:t xml:space="preserve">With regard to benefits, many entities changed their pension contributions and this has had an adverse effect on the removal of the state guarantee of a pension. Further the FSCA </w:t>
            </w:r>
            <w:proofErr w:type="spellStart"/>
            <w:r w:rsidRPr="001C790A">
              <w:rPr>
                <w:rFonts w:eastAsia="Times New Roman" w:cstheme="minorHAnsi"/>
                <w:lang w:val="en-US"/>
              </w:rPr>
              <w:t>authorises</w:t>
            </w:r>
            <w:proofErr w:type="spellEnd"/>
            <w:r w:rsidRPr="001C790A">
              <w:rPr>
                <w:rFonts w:eastAsia="Times New Roman" w:cstheme="minorHAnsi"/>
                <w:lang w:val="en-US"/>
              </w:rPr>
              <w:t xml:space="preserve"> changes to pension rules without truly assessing the cost of the change in pension categories.</w:t>
            </w:r>
          </w:p>
          <w:p w:rsidR="00651EF2" w:rsidRPr="001C790A" w:rsidRDefault="00651EF2" w:rsidP="00CD049D">
            <w:pPr>
              <w:jc w:val="both"/>
              <w:rPr>
                <w:rFonts w:eastAsia="Times New Roman" w:cstheme="minorHAnsi"/>
                <w:lang w:val="en-US"/>
              </w:rPr>
            </w:pPr>
            <w:r w:rsidRPr="001C790A">
              <w:rPr>
                <w:rFonts w:eastAsia="Times New Roman" w:cstheme="minorHAnsi"/>
                <w:lang w:val="en-US"/>
              </w:rPr>
              <w:t xml:space="preserve">With regard to travel abroad and working abroad, this may have a significant impact on the entity’s funds. If it is self-funding, the current exchange rate may result in an unfair high cost to the entity. There has to be flexibility and space for use of virtual meetings, remote digital platform discussions with foreign counterparts. I watched three webinars last week, one hosted by the vice-chancellor of the University of Cambridge on Artificial Intelligence and the other hosted by New School of Public Health on Medicine Asset Pool, and the launch of the </w:t>
            </w:r>
            <w:r w:rsidRPr="001C790A">
              <w:rPr>
                <w:rFonts w:eastAsia="Times New Roman" w:cstheme="minorHAnsi"/>
                <w:lang w:val="en-US"/>
              </w:rPr>
              <w:lastRenderedPageBreak/>
              <w:t>WHO COVID19 Digital Access Pool. Scientists were among the panelists.</w:t>
            </w:r>
          </w:p>
          <w:p w:rsidR="008A4AED" w:rsidRPr="001C790A" w:rsidRDefault="008A4AED">
            <w:pPr>
              <w:jc w:val="both"/>
              <w:rPr>
                <w:rFonts w:cstheme="minorHAnsi"/>
                <w:lang w:val="en-US"/>
              </w:rPr>
            </w:pPr>
          </w:p>
          <w:p w:rsidR="004B448C" w:rsidRPr="001C790A" w:rsidRDefault="004B448C">
            <w:pPr>
              <w:jc w:val="both"/>
              <w:rPr>
                <w:rFonts w:cstheme="minorHAnsi"/>
                <w:lang w:val="en-ZA"/>
              </w:rPr>
            </w:pPr>
          </w:p>
        </w:tc>
        <w:tc>
          <w:tcPr>
            <w:tcW w:w="1800" w:type="dxa"/>
          </w:tcPr>
          <w:p w:rsidR="004B448C" w:rsidRPr="001C790A" w:rsidRDefault="00651EF2" w:rsidP="008A4AED">
            <w:pPr>
              <w:jc w:val="both"/>
              <w:rPr>
                <w:rFonts w:cstheme="minorHAnsi"/>
                <w:lang w:val="en-ZA"/>
              </w:rPr>
            </w:pPr>
            <w:r w:rsidRPr="001C790A">
              <w:rPr>
                <w:rFonts w:cstheme="minorHAnsi"/>
                <w:lang w:val="en-ZA"/>
              </w:rPr>
              <w:lastRenderedPageBreak/>
              <w:t>Not Supported</w:t>
            </w:r>
          </w:p>
        </w:tc>
        <w:tc>
          <w:tcPr>
            <w:tcW w:w="6300" w:type="dxa"/>
          </w:tcPr>
          <w:p w:rsidR="004B448C" w:rsidRPr="001C790A" w:rsidRDefault="00651EF2" w:rsidP="008A4AED">
            <w:pPr>
              <w:jc w:val="both"/>
              <w:rPr>
                <w:rFonts w:cstheme="minorHAnsi"/>
                <w:lang w:val="en-ZA"/>
              </w:rPr>
            </w:pPr>
            <w:r w:rsidRPr="001C790A">
              <w:rPr>
                <w:rFonts w:cstheme="minorHAnsi"/>
                <w:lang w:val="en-ZA"/>
              </w:rPr>
              <w:t xml:space="preserve">The proposed section 12(1)(b) expressly states that </w:t>
            </w:r>
            <w:r w:rsidR="002B7AEE" w:rsidRPr="001C790A">
              <w:rPr>
                <w:rFonts w:cstheme="minorHAnsi"/>
                <w:lang w:val="en-ZA"/>
              </w:rPr>
              <w:t>remunerations, allowances and other benefits will be in terms of National Treasury Directives</w:t>
            </w:r>
            <w:r w:rsidR="008A4AED" w:rsidRPr="001C790A">
              <w:rPr>
                <w:rFonts w:cstheme="minorHAnsi"/>
                <w:lang w:val="en-ZA"/>
              </w:rPr>
              <w:t>.</w:t>
            </w:r>
            <w:r w:rsidR="004B448C" w:rsidRPr="001C790A">
              <w:rPr>
                <w:rFonts w:cstheme="minorHAnsi"/>
                <w:lang w:val="en-ZA"/>
              </w:rPr>
              <w:t xml:space="preserve">  </w:t>
            </w:r>
          </w:p>
        </w:tc>
      </w:tr>
      <w:tr w:rsidR="004B448C" w:rsidRPr="001C790A" w:rsidTr="00362369">
        <w:trPr>
          <w:trHeight w:val="1250"/>
        </w:trPr>
        <w:tc>
          <w:tcPr>
            <w:tcW w:w="1237" w:type="dxa"/>
          </w:tcPr>
          <w:p w:rsidR="004B448C" w:rsidRPr="001C790A" w:rsidRDefault="00482E79" w:rsidP="00482E79">
            <w:pPr>
              <w:jc w:val="both"/>
              <w:rPr>
                <w:rFonts w:cstheme="minorHAnsi"/>
              </w:rPr>
            </w:pPr>
            <w:r w:rsidRPr="001C790A">
              <w:rPr>
                <w:rFonts w:cstheme="minorHAnsi"/>
              </w:rPr>
              <w:t>Clause</w:t>
            </w:r>
            <w:r w:rsidR="004B448C" w:rsidRPr="001C790A">
              <w:rPr>
                <w:rFonts w:cstheme="minorHAnsi"/>
              </w:rPr>
              <w:t xml:space="preserve"> </w:t>
            </w:r>
            <w:r w:rsidR="002B7AEE" w:rsidRPr="001C790A">
              <w:rPr>
                <w:rFonts w:cstheme="minorHAnsi"/>
              </w:rPr>
              <w:t>9</w:t>
            </w:r>
            <w:r w:rsidR="004B448C" w:rsidRPr="001C790A">
              <w:rPr>
                <w:rFonts w:cstheme="minorHAnsi"/>
              </w:rPr>
              <w:t xml:space="preserve"> </w:t>
            </w:r>
          </w:p>
        </w:tc>
        <w:tc>
          <w:tcPr>
            <w:tcW w:w="5850" w:type="dxa"/>
          </w:tcPr>
          <w:p w:rsidR="002B7AEE" w:rsidRPr="001C790A" w:rsidRDefault="002B7AEE" w:rsidP="002B7AEE">
            <w:pPr>
              <w:rPr>
                <w:rFonts w:eastAsia="Times New Roman" w:cstheme="minorHAnsi"/>
                <w:lang w:val="en-US"/>
              </w:rPr>
            </w:pPr>
            <w:r w:rsidRPr="001C790A">
              <w:rPr>
                <w:rFonts w:eastAsia="Times New Roman" w:cstheme="minorHAnsi"/>
                <w:lang w:val="en-US"/>
              </w:rPr>
              <w:t>I recommend that section 18 (a) add a condition precedent that the regulations must be approved by Parliament.</w:t>
            </w:r>
          </w:p>
          <w:p w:rsidR="004B448C" w:rsidRPr="001C790A" w:rsidRDefault="004B448C" w:rsidP="00C35008">
            <w:pPr>
              <w:jc w:val="both"/>
              <w:rPr>
                <w:rFonts w:cstheme="minorHAnsi"/>
                <w:lang w:val="en-ZA"/>
              </w:rPr>
            </w:pPr>
            <w:r w:rsidRPr="001C790A">
              <w:rPr>
                <w:rFonts w:cstheme="minorHAnsi"/>
                <w:lang w:val="en-ZA"/>
              </w:rPr>
              <w:t xml:space="preserve"> </w:t>
            </w:r>
          </w:p>
        </w:tc>
        <w:tc>
          <w:tcPr>
            <w:tcW w:w="1800" w:type="dxa"/>
          </w:tcPr>
          <w:p w:rsidR="004B448C" w:rsidRPr="001C790A" w:rsidRDefault="002B7AEE" w:rsidP="00C35008">
            <w:pPr>
              <w:jc w:val="both"/>
              <w:rPr>
                <w:rFonts w:cstheme="minorHAnsi"/>
                <w:lang w:val="en-ZA"/>
              </w:rPr>
            </w:pPr>
            <w:r w:rsidRPr="001C790A">
              <w:rPr>
                <w:rFonts w:cstheme="minorHAnsi"/>
                <w:lang w:val="en-ZA"/>
              </w:rPr>
              <w:t xml:space="preserve">Not </w:t>
            </w:r>
            <w:r w:rsidR="00DD5F05" w:rsidRPr="001C790A">
              <w:rPr>
                <w:rFonts w:cstheme="minorHAnsi"/>
                <w:lang w:val="en-ZA"/>
              </w:rPr>
              <w:t>Supported</w:t>
            </w:r>
          </w:p>
        </w:tc>
        <w:tc>
          <w:tcPr>
            <w:tcW w:w="6300" w:type="dxa"/>
          </w:tcPr>
          <w:p w:rsidR="004B448C" w:rsidRPr="001C790A" w:rsidRDefault="002B7AEE" w:rsidP="00C35008">
            <w:pPr>
              <w:jc w:val="both"/>
              <w:rPr>
                <w:rFonts w:cstheme="minorHAnsi"/>
                <w:lang w:val="en-ZA"/>
              </w:rPr>
            </w:pPr>
            <w:r w:rsidRPr="001C790A">
              <w:rPr>
                <w:rFonts w:cstheme="minorHAnsi"/>
                <w:bCs/>
              </w:rPr>
              <w:t>The regulations are made in terms of the Act and are a prerogative of the Minister</w:t>
            </w:r>
            <w:r w:rsidR="00C35008" w:rsidRPr="001C790A">
              <w:rPr>
                <w:rFonts w:cstheme="minorHAnsi"/>
              </w:rPr>
              <w:t>.</w:t>
            </w:r>
            <w:r w:rsidR="004B448C" w:rsidRPr="001C790A">
              <w:rPr>
                <w:rFonts w:cstheme="minorHAnsi"/>
              </w:rPr>
              <w:t xml:space="preserve"> </w:t>
            </w:r>
          </w:p>
        </w:tc>
      </w:tr>
      <w:tr w:rsidR="004B448C" w:rsidRPr="001C790A" w:rsidTr="00362369">
        <w:trPr>
          <w:trHeight w:val="872"/>
        </w:trPr>
        <w:tc>
          <w:tcPr>
            <w:tcW w:w="1237" w:type="dxa"/>
          </w:tcPr>
          <w:p w:rsidR="004B448C" w:rsidRPr="001C790A" w:rsidRDefault="00DD5F05" w:rsidP="00DD5F05">
            <w:pPr>
              <w:jc w:val="both"/>
              <w:rPr>
                <w:rFonts w:cstheme="minorHAnsi"/>
              </w:rPr>
            </w:pPr>
            <w:r w:rsidRPr="001C790A">
              <w:rPr>
                <w:rFonts w:cstheme="minorHAnsi"/>
              </w:rPr>
              <w:t xml:space="preserve">Clause </w:t>
            </w:r>
            <w:r w:rsidR="002B7AEE" w:rsidRPr="001C790A">
              <w:rPr>
                <w:rFonts w:cstheme="minorHAnsi"/>
              </w:rPr>
              <w:t>10</w:t>
            </w:r>
          </w:p>
        </w:tc>
        <w:tc>
          <w:tcPr>
            <w:tcW w:w="5850" w:type="dxa"/>
          </w:tcPr>
          <w:p w:rsidR="00925D6E" w:rsidRPr="001C790A" w:rsidRDefault="00925D6E" w:rsidP="00CD049D">
            <w:pPr>
              <w:jc w:val="both"/>
              <w:rPr>
                <w:rFonts w:eastAsia="Times New Roman" w:cstheme="minorHAnsi"/>
                <w:lang w:val="en-US"/>
              </w:rPr>
            </w:pPr>
            <w:r w:rsidRPr="001C790A">
              <w:rPr>
                <w:rFonts w:eastAsia="Times New Roman" w:cstheme="minorHAnsi"/>
                <w:lang w:val="en-US"/>
              </w:rPr>
              <w:t xml:space="preserve">I recommend that the delegation of powers from the Board be limited to an annual review and must form part of a signed board resolution. This can lead to disputes especially when one board exits and a new board finds that a chief executive has taken decisions in pursuant of a delegation of power by a previous board (and worse still the resolution is unsigned). I know this from personal experience. A dispute arose between some board members and the CEO. It ended up in </w:t>
            </w:r>
            <w:proofErr w:type="gramStart"/>
            <w:r w:rsidRPr="001C790A">
              <w:rPr>
                <w:rFonts w:eastAsia="Times New Roman" w:cstheme="minorHAnsi"/>
                <w:lang w:val="en-US"/>
              </w:rPr>
              <w:t>a</w:t>
            </w:r>
            <w:proofErr w:type="gramEnd"/>
            <w:r w:rsidRPr="001C790A">
              <w:rPr>
                <w:rFonts w:eastAsia="Times New Roman" w:cstheme="minorHAnsi"/>
                <w:lang w:val="en-US"/>
              </w:rPr>
              <w:t xml:space="preserve"> unnecessary (in my view) forensic audit of allegedly missing money of about R50 million. It turned out that the CEO had simply reinvested an investment and that there was no missing money or theft of money. The dispute about an unsigned resolution of the board went on for two years. Sometimes common sense too has to prevail. There has to be provision for communication between a past board and a new board to verify delegations of power and previous board resolutions.</w:t>
            </w:r>
          </w:p>
          <w:p w:rsidR="004B448C" w:rsidRPr="001C790A" w:rsidRDefault="00925D6E">
            <w:pPr>
              <w:jc w:val="both"/>
              <w:rPr>
                <w:rFonts w:cstheme="minorHAnsi"/>
                <w:lang w:val="en-ZA"/>
              </w:rPr>
            </w:pPr>
            <w:r w:rsidRPr="001C790A">
              <w:rPr>
                <w:rFonts w:cstheme="minorHAnsi"/>
                <w:lang w:val="en-US"/>
              </w:rPr>
              <w:t xml:space="preserve"> </w:t>
            </w:r>
          </w:p>
        </w:tc>
        <w:tc>
          <w:tcPr>
            <w:tcW w:w="1800" w:type="dxa"/>
          </w:tcPr>
          <w:p w:rsidR="004B448C" w:rsidRPr="001C790A" w:rsidRDefault="002D70D0" w:rsidP="007D2656">
            <w:pPr>
              <w:jc w:val="both"/>
              <w:rPr>
                <w:rFonts w:cstheme="minorHAnsi"/>
                <w:lang w:val="en-ZA"/>
              </w:rPr>
            </w:pPr>
            <w:r w:rsidRPr="001C790A">
              <w:rPr>
                <w:rFonts w:cstheme="minorHAnsi"/>
                <w:lang w:val="en-ZA"/>
              </w:rPr>
              <w:t xml:space="preserve">Not </w:t>
            </w:r>
            <w:r w:rsidR="004B448C" w:rsidRPr="001C790A">
              <w:rPr>
                <w:rFonts w:cstheme="minorHAnsi"/>
                <w:lang w:val="en-ZA"/>
              </w:rPr>
              <w:t>Supported</w:t>
            </w:r>
          </w:p>
        </w:tc>
        <w:tc>
          <w:tcPr>
            <w:tcW w:w="6300" w:type="dxa"/>
          </w:tcPr>
          <w:p w:rsidR="004B448C" w:rsidRPr="001C790A" w:rsidRDefault="00925D6E" w:rsidP="00134D9B">
            <w:pPr>
              <w:jc w:val="both"/>
              <w:rPr>
                <w:rFonts w:cstheme="minorHAnsi"/>
                <w:lang w:val="en-ZA"/>
              </w:rPr>
            </w:pPr>
            <w:r w:rsidRPr="001C790A">
              <w:rPr>
                <w:rFonts w:cstheme="minorHAnsi"/>
                <w:lang w:val="en-ZA"/>
              </w:rPr>
              <w:t>Section 19(3) specifically provides that delegations must be in writing. An unsigned resolution has no legal force and effect</w:t>
            </w:r>
            <w:r w:rsidR="00134D9B" w:rsidRPr="001C790A">
              <w:rPr>
                <w:rFonts w:cstheme="minorHAnsi"/>
                <w:lang w:val="en-ZA"/>
              </w:rPr>
              <w:t>.</w:t>
            </w:r>
            <w:r w:rsidR="00045FAD" w:rsidRPr="001C790A">
              <w:rPr>
                <w:rFonts w:cstheme="minorHAnsi"/>
                <w:lang w:val="en-ZA"/>
              </w:rPr>
              <w:t xml:space="preserve"> </w:t>
            </w:r>
          </w:p>
          <w:p w:rsidR="00045FAD" w:rsidRPr="001C790A" w:rsidRDefault="00045FAD" w:rsidP="00134D9B">
            <w:pPr>
              <w:jc w:val="both"/>
              <w:rPr>
                <w:rFonts w:cstheme="minorHAnsi"/>
                <w:lang w:val="en-ZA"/>
              </w:rPr>
            </w:pPr>
          </w:p>
          <w:p w:rsidR="00045FAD" w:rsidRPr="001C790A" w:rsidRDefault="00045FAD" w:rsidP="00134D9B">
            <w:pPr>
              <w:jc w:val="both"/>
              <w:rPr>
                <w:rFonts w:cstheme="minorHAnsi"/>
                <w:lang w:val="en-ZA"/>
              </w:rPr>
            </w:pPr>
            <w:r w:rsidRPr="001C790A">
              <w:rPr>
                <w:rFonts w:cstheme="minorHAnsi"/>
                <w:lang w:val="en-ZA"/>
              </w:rPr>
              <w:t xml:space="preserve">The </w:t>
            </w:r>
            <w:r w:rsidR="00EB3941" w:rsidRPr="001C790A">
              <w:rPr>
                <w:rFonts w:cstheme="minorHAnsi"/>
                <w:lang w:val="en-ZA"/>
              </w:rPr>
              <w:t>delegations are subject to such conditions as the Board may determine including the r</w:t>
            </w:r>
            <w:r w:rsidRPr="001C790A">
              <w:rPr>
                <w:rFonts w:cstheme="minorHAnsi"/>
                <w:lang w:val="en-ZA"/>
              </w:rPr>
              <w:t>eview of the delegations</w:t>
            </w:r>
            <w:r w:rsidR="00EB3941" w:rsidRPr="001C790A">
              <w:rPr>
                <w:rFonts w:cstheme="minorHAnsi"/>
                <w:lang w:val="en-ZA"/>
              </w:rPr>
              <w:t xml:space="preserve">, and such </w:t>
            </w:r>
            <w:r w:rsidRPr="001C790A">
              <w:rPr>
                <w:rFonts w:cstheme="minorHAnsi"/>
                <w:lang w:val="en-ZA"/>
              </w:rPr>
              <w:t>cannot</w:t>
            </w:r>
            <w:r w:rsidR="003B6C1A">
              <w:rPr>
                <w:rFonts w:cstheme="minorHAnsi"/>
                <w:lang w:val="en-ZA"/>
              </w:rPr>
              <w:t xml:space="preserve"> be</w:t>
            </w:r>
            <w:r w:rsidRPr="001C790A">
              <w:rPr>
                <w:rFonts w:cstheme="minorHAnsi"/>
                <w:lang w:val="en-ZA"/>
              </w:rPr>
              <w:t xml:space="preserve"> codified in the Act but on the delegations. </w:t>
            </w:r>
          </w:p>
        </w:tc>
      </w:tr>
      <w:tr w:rsidR="004B448C" w:rsidRPr="001C790A" w:rsidTr="00361BD9">
        <w:trPr>
          <w:trHeight w:val="1772"/>
        </w:trPr>
        <w:tc>
          <w:tcPr>
            <w:tcW w:w="1237" w:type="dxa"/>
          </w:tcPr>
          <w:p w:rsidR="004B448C" w:rsidRPr="001C790A" w:rsidRDefault="00A0555E" w:rsidP="00A0555E">
            <w:pPr>
              <w:jc w:val="both"/>
              <w:rPr>
                <w:rFonts w:cstheme="minorHAnsi"/>
              </w:rPr>
            </w:pPr>
            <w:r w:rsidRPr="001C790A">
              <w:rPr>
                <w:rFonts w:cstheme="minorHAnsi"/>
              </w:rPr>
              <w:t xml:space="preserve">Clause </w:t>
            </w:r>
            <w:r w:rsidR="00925D6E" w:rsidRPr="001C790A">
              <w:rPr>
                <w:rFonts w:cstheme="minorHAnsi"/>
              </w:rPr>
              <w:t>11</w:t>
            </w:r>
          </w:p>
        </w:tc>
        <w:tc>
          <w:tcPr>
            <w:tcW w:w="5850" w:type="dxa"/>
          </w:tcPr>
          <w:p w:rsidR="004B448C" w:rsidRPr="001C790A" w:rsidRDefault="00EB6CF9" w:rsidP="00A77B0E">
            <w:pPr>
              <w:jc w:val="both"/>
              <w:rPr>
                <w:rFonts w:cstheme="minorHAnsi"/>
                <w:lang w:val="en-ZA"/>
              </w:rPr>
            </w:pPr>
            <w:r w:rsidRPr="001C790A">
              <w:rPr>
                <w:rFonts w:eastAsia="Times New Roman" w:cstheme="minorHAnsi"/>
                <w:lang w:val="en-US"/>
              </w:rPr>
              <w:t>My comments are the same as above in respect of the CEO appointment. I do not recommend that this entity is registered with the Treasury as a public entity. It is not necessary to appoint an executive officer. This entity can be a juristic entity under the control of the Department of Science and Technology. An official from the department can be the board secretary. The DG can be the chair of the Board/Council.</w:t>
            </w:r>
          </w:p>
        </w:tc>
        <w:tc>
          <w:tcPr>
            <w:tcW w:w="1800" w:type="dxa"/>
          </w:tcPr>
          <w:p w:rsidR="004B448C" w:rsidRPr="001C790A" w:rsidRDefault="00B87326" w:rsidP="007D2656">
            <w:pPr>
              <w:jc w:val="both"/>
              <w:rPr>
                <w:rFonts w:cstheme="minorHAnsi"/>
                <w:lang w:val="en-ZA"/>
              </w:rPr>
            </w:pPr>
            <w:r w:rsidRPr="001C790A">
              <w:rPr>
                <w:rFonts w:cstheme="minorHAnsi"/>
                <w:lang w:val="en-ZA"/>
              </w:rPr>
              <w:t xml:space="preserve">Not </w:t>
            </w:r>
            <w:r w:rsidR="004B448C" w:rsidRPr="001C790A">
              <w:rPr>
                <w:rFonts w:cstheme="minorHAnsi"/>
                <w:lang w:val="en-ZA"/>
              </w:rPr>
              <w:t>Supported</w:t>
            </w:r>
          </w:p>
        </w:tc>
        <w:tc>
          <w:tcPr>
            <w:tcW w:w="6300" w:type="dxa"/>
          </w:tcPr>
          <w:p w:rsidR="004B448C" w:rsidRPr="001C790A" w:rsidRDefault="00EB6CF9" w:rsidP="00EB6CF9">
            <w:pPr>
              <w:jc w:val="both"/>
              <w:rPr>
                <w:rFonts w:cstheme="minorHAnsi"/>
                <w:lang w:val="en-ZA"/>
              </w:rPr>
            </w:pPr>
            <w:r w:rsidRPr="001C790A">
              <w:rPr>
                <w:rFonts w:cstheme="minorHAnsi"/>
                <w:lang w:val="en-ZA"/>
              </w:rPr>
              <w:t xml:space="preserve">We also reiterate what we said above regarding the CEO appointment. </w:t>
            </w:r>
            <w:proofErr w:type="spellStart"/>
            <w:r w:rsidRPr="001C790A">
              <w:rPr>
                <w:rFonts w:cstheme="minorHAnsi"/>
                <w:lang w:val="en-ZA"/>
              </w:rPr>
              <w:t>ASSAf</w:t>
            </w:r>
            <w:proofErr w:type="spellEnd"/>
            <w:r w:rsidRPr="001C790A">
              <w:rPr>
                <w:rFonts w:cstheme="minorHAnsi"/>
                <w:lang w:val="en-ZA"/>
              </w:rPr>
              <w:t xml:space="preserve"> </w:t>
            </w:r>
            <w:r w:rsidR="005966B2" w:rsidRPr="001C790A">
              <w:rPr>
                <w:rFonts w:cstheme="minorHAnsi"/>
                <w:lang w:val="en-ZA"/>
              </w:rPr>
              <w:t>is not listed as public entity i</w:t>
            </w:r>
            <w:r w:rsidRPr="001C790A">
              <w:rPr>
                <w:rFonts w:cstheme="minorHAnsi"/>
                <w:lang w:val="en-ZA"/>
              </w:rPr>
              <w:t>n t</w:t>
            </w:r>
            <w:r w:rsidR="005966B2" w:rsidRPr="001C790A">
              <w:rPr>
                <w:rFonts w:cstheme="minorHAnsi"/>
                <w:lang w:val="en-ZA"/>
              </w:rPr>
              <w:t xml:space="preserve">erms of the </w:t>
            </w:r>
            <w:r w:rsidRPr="001C790A">
              <w:rPr>
                <w:rFonts w:cstheme="minorHAnsi"/>
                <w:lang w:val="en-ZA"/>
              </w:rPr>
              <w:t xml:space="preserve"> PFMA.</w:t>
            </w:r>
            <w:r w:rsidRPr="001C790A" w:rsidDel="00EB6CF9">
              <w:rPr>
                <w:rFonts w:cstheme="minorHAnsi"/>
                <w:lang w:val="en-ZA"/>
              </w:rPr>
              <w:t xml:space="preserve"> </w:t>
            </w:r>
            <w:r w:rsidR="00B61A27" w:rsidRPr="001C790A">
              <w:rPr>
                <w:rFonts w:cstheme="minorHAnsi"/>
                <w:lang w:val="en-ZA"/>
              </w:rPr>
              <w:t xml:space="preserve">The Academy is </w:t>
            </w:r>
            <w:proofErr w:type="spellStart"/>
            <w:r w:rsidR="00B61A27" w:rsidRPr="001C790A">
              <w:rPr>
                <w:rFonts w:cstheme="minorHAnsi"/>
                <w:lang w:val="en-ZA"/>
              </w:rPr>
              <w:t>gorvened</w:t>
            </w:r>
            <w:proofErr w:type="spellEnd"/>
            <w:r w:rsidR="00B61A27" w:rsidRPr="001C790A">
              <w:rPr>
                <w:rFonts w:cstheme="minorHAnsi"/>
                <w:lang w:val="en-ZA"/>
              </w:rPr>
              <w:t xml:space="preserve"> by </w:t>
            </w:r>
            <w:r w:rsidR="00265BA9" w:rsidRPr="001C790A">
              <w:rPr>
                <w:rFonts w:cstheme="minorHAnsi"/>
                <w:lang w:val="en-ZA"/>
              </w:rPr>
              <w:t xml:space="preserve"> the </w:t>
            </w:r>
            <w:r w:rsidR="00B61A27" w:rsidRPr="001C790A">
              <w:rPr>
                <w:rFonts w:cstheme="minorHAnsi"/>
                <w:lang w:val="en-ZA"/>
              </w:rPr>
              <w:t>council</w:t>
            </w:r>
            <w:r w:rsidR="00265BA9" w:rsidRPr="001C790A">
              <w:rPr>
                <w:rFonts w:cstheme="minorHAnsi"/>
                <w:lang w:val="en-ZA"/>
              </w:rPr>
              <w:t xml:space="preserve">. The members of the Council are nominated by the Members of the Academy from their numbers and appointed by the Minister. </w:t>
            </w:r>
          </w:p>
        </w:tc>
      </w:tr>
      <w:tr w:rsidR="004B448C" w:rsidRPr="001C790A" w:rsidTr="00362369">
        <w:trPr>
          <w:trHeight w:val="1988"/>
        </w:trPr>
        <w:tc>
          <w:tcPr>
            <w:tcW w:w="1237" w:type="dxa"/>
          </w:tcPr>
          <w:p w:rsidR="004B448C" w:rsidRPr="001C790A" w:rsidRDefault="00B87326" w:rsidP="00B87326">
            <w:pPr>
              <w:jc w:val="both"/>
              <w:rPr>
                <w:rFonts w:cstheme="minorHAnsi"/>
              </w:rPr>
            </w:pPr>
            <w:r w:rsidRPr="001C790A">
              <w:rPr>
                <w:rFonts w:cstheme="minorHAnsi"/>
              </w:rPr>
              <w:lastRenderedPageBreak/>
              <w:t>Clause</w:t>
            </w:r>
            <w:r w:rsidR="004B448C" w:rsidRPr="001C790A">
              <w:rPr>
                <w:rFonts w:cstheme="minorHAnsi"/>
              </w:rPr>
              <w:t xml:space="preserve"> </w:t>
            </w:r>
            <w:r w:rsidR="00EB6CF9" w:rsidRPr="001C790A">
              <w:rPr>
                <w:rFonts w:cstheme="minorHAnsi"/>
              </w:rPr>
              <w:t>25</w:t>
            </w:r>
          </w:p>
        </w:tc>
        <w:tc>
          <w:tcPr>
            <w:tcW w:w="5850" w:type="dxa"/>
          </w:tcPr>
          <w:p w:rsidR="00A77B0E" w:rsidRPr="001C790A" w:rsidRDefault="00A77B0E" w:rsidP="00A77B0E">
            <w:pPr>
              <w:rPr>
                <w:rFonts w:eastAsia="Times New Roman" w:cstheme="minorHAnsi"/>
                <w:lang w:val="en-US"/>
              </w:rPr>
            </w:pPr>
            <w:r w:rsidRPr="001C790A">
              <w:rPr>
                <w:rFonts w:eastAsia="Times New Roman" w:cstheme="minorHAnsi"/>
                <w:lang w:val="en-US"/>
              </w:rPr>
              <w:t>As stated above, the PFMA prevails and only the executive authority shall appoint a chief executive. See attached relevant provisions of the PFMA.</w:t>
            </w:r>
          </w:p>
          <w:p w:rsidR="004B448C" w:rsidRPr="001C790A" w:rsidRDefault="004B448C" w:rsidP="00A77B0E">
            <w:pPr>
              <w:jc w:val="both"/>
              <w:rPr>
                <w:rFonts w:cstheme="minorHAnsi"/>
                <w:lang w:val="en-ZA"/>
              </w:rPr>
            </w:pPr>
          </w:p>
        </w:tc>
        <w:tc>
          <w:tcPr>
            <w:tcW w:w="1800" w:type="dxa"/>
          </w:tcPr>
          <w:p w:rsidR="004B448C" w:rsidRPr="001C790A" w:rsidRDefault="00B87326" w:rsidP="00676965">
            <w:pPr>
              <w:jc w:val="both"/>
              <w:rPr>
                <w:rFonts w:cstheme="minorHAnsi"/>
                <w:lang w:val="en-ZA"/>
              </w:rPr>
            </w:pPr>
            <w:r w:rsidRPr="001C790A">
              <w:rPr>
                <w:rFonts w:cstheme="minorHAnsi"/>
                <w:lang w:val="en-ZA"/>
              </w:rPr>
              <w:t xml:space="preserve">Not </w:t>
            </w:r>
            <w:r w:rsidR="00676965" w:rsidRPr="001C790A">
              <w:rPr>
                <w:rFonts w:cstheme="minorHAnsi"/>
                <w:lang w:val="en-ZA"/>
              </w:rPr>
              <w:t>S</w:t>
            </w:r>
            <w:r w:rsidR="004B448C" w:rsidRPr="001C790A">
              <w:rPr>
                <w:rFonts w:cstheme="minorHAnsi"/>
                <w:lang w:val="en-ZA"/>
              </w:rPr>
              <w:t>upported</w:t>
            </w:r>
          </w:p>
        </w:tc>
        <w:tc>
          <w:tcPr>
            <w:tcW w:w="6300" w:type="dxa"/>
          </w:tcPr>
          <w:p w:rsidR="00B87326" w:rsidRPr="001C790A" w:rsidRDefault="00B87326" w:rsidP="00B87326">
            <w:pPr>
              <w:jc w:val="both"/>
              <w:rPr>
                <w:rFonts w:cstheme="minorHAnsi"/>
                <w:lang w:val="en-ZA"/>
              </w:rPr>
            </w:pPr>
            <w:r w:rsidRPr="001C790A">
              <w:rPr>
                <w:rFonts w:cstheme="minorHAnsi"/>
              </w:rPr>
              <w:t xml:space="preserve">Same argument as in clause </w:t>
            </w:r>
            <w:r w:rsidR="00A77B0E" w:rsidRPr="001C790A">
              <w:rPr>
                <w:rFonts w:cstheme="minorHAnsi"/>
              </w:rPr>
              <w:t>1</w:t>
            </w:r>
            <w:r w:rsidRPr="001C790A">
              <w:rPr>
                <w:rFonts w:cstheme="minorHAnsi"/>
              </w:rPr>
              <w:t xml:space="preserve">(c) above. </w:t>
            </w:r>
          </w:p>
          <w:p w:rsidR="004B448C" w:rsidRPr="001C790A" w:rsidRDefault="004B448C" w:rsidP="00B87326">
            <w:pPr>
              <w:jc w:val="both"/>
              <w:rPr>
                <w:rFonts w:cstheme="minorHAnsi"/>
                <w:lang w:val="en-ZA"/>
              </w:rPr>
            </w:pPr>
          </w:p>
        </w:tc>
      </w:tr>
      <w:tr w:rsidR="004B448C" w:rsidRPr="001C790A" w:rsidTr="00362369">
        <w:trPr>
          <w:trHeight w:val="620"/>
        </w:trPr>
        <w:tc>
          <w:tcPr>
            <w:tcW w:w="1237" w:type="dxa"/>
          </w:tcPr>
          <w:p w:rsidR="004B448C" w:rsidRPr="001C790A" w:rsidRDefault="00B87326" w:rsidP="00B87326">
            <w:pPr>
              <w:jc w:val="both"/>
              <w:rPr>
                <w:rFonts w:cstheme="minorHAnsi"/>
              </w:rPr>
            </w:pPr>
            <w:r w:rsidRPr="001C790A">
              <w:rPr>
                <w:rFonts w:cstheme="minorHAnsi"/>
              </w:rPr>
              <w:t xml:space="preserve">Clause </w:t>
            </w:r>
            <w:r w:rsidR="00A77B0E" w:rsidRPr="001C790A">
              <w:rPr>
                <w:rFonts w:cstheme="minorHAnsi"/>
              </w:rPr>
              <w:t>27</w:t>
            </w:r>
          </w:p>
        </w:tc>
        <w:tc>
          <w:tcPr>
            <w:tcW w:w="5850" w:type="dxa"/>
          </w:tcPr>
          <w:p w:rsidR="00A77B0E" w:rsidRPr="001C790A" w:rsidRDefault="00A77B0E" w:rsidP="00CD049D">
            <w:pPr>
              <w:jc w:val="both"/>
              <w:rPr>
                <w:rFonts w:eastAsia="Times New Roman" w:cstheme="minorHAnsi"/>
                <w:lang w:val="en-US"/>
              </w:rPr>
            </w:pPr>
            <w:r w:rsidRPr="001C790A">
              <w:rPr>
                <w:rFonts w:eastAsia="Times New Roman" w:cstheme="minorHAnsi"/>
                <w:lang w:val="en-US"/>
              </w:rPr>
              <w:t>I recommend that the word “seconded” not be included in this amendment as it can be a financial burden on the entity if the employee is paid by the entity while being seconded elsewhere and then a different employee is appointed acting in the same seconded position and this means that the entity is paying for two employees instead of one. Secondments are common.</w:t>
            </w:r>
          </w:p>
          <w:p w:rsidR="00B87326" w:rsidRPr="001C790A" w:rsidRDefault="00B87326">
            <w:pPr>
              <w:jc w:val="both"/>
              <w:rPr>
                <w:rFonts w:cstheme="minorHAnsi"/>
                <w:lang w:val="en-US"/>
              </w:rPr>
            </w:pPr>
          </w:p>
          <w:p w:rsidR="004B448C" w:rsidRPr="001C790A" w:rsidRDefault="004B448C">
            <w:pPr>
              <w:jc w:val="both"/>
              <w:rPr>
                <w:rFonts w:cstheme="minorHAnsi"/>
              </w:rPr>
            </w:pPr>
          </w:p>
        </w:tc>
        <w:tc>
          <w:tcPr>
            <w:tcW w:w="1800" w:type="dxa"/>
          </w:tcPr>
          <w:p w:rsidR="004B448C" w:rsidRPr="001C790A" w:rsidRDefault="002D70D0" w:rsidP="007D2656">
            <w:pPr>
              <w:jc w:val="both"/>
              <w:rPr>
                <w:rFonts w:cstheme="minorHAnsi"/>
                <w:lang w:val="en-ZA"/>
              </w:rPr>
            </w:pPr>
            <w:r w:rsidRPr="001C790A">
              <w:rPr>
                <w:rFonts w:cstheme="minorHAnsi"/>
                <w:lang w:val="en-ZA"/>
              </w:rPr>
              <w:t xml:space="preserve">Not </w:t>
            </w:r>
            <w:r w:rsidR="004B448C" w:rsidRPr="001C790A">
              <w:rPr>
                <w:rFonts w:cstheme="minorHAnsi"/>
                <w:lang w:val="en-ZA"/>
              </w:rPr>
              <w:t>Supported</w:t>
            </w:r>
          </w:p>
        </w:tc>
        <w:tc>
          <w:tcPr>
            <w:tcW w:w="6300" w:type="dxa"/>
          </w:tcPr>
          <w:p w:rsidR="004B448C" w:rsidRPr="001C790A" w:rsidRDefault="00A77B0E" w:rsidP="00134D9B">
            <w:pPr>
              <w:ind w:left="45"/>
              <w:jc w:val="both"/>
              <w:rPr>
                <w:rFonts w:cstheme="minorHAnsi"/>
                <w:lang w:val="en-ZA"/>
              </w:rPr>
            </w:pPr>
            <w:r w:rsidRPr="001C790A">
              <w:rPr>
                <w:rFonts w:cstheme="minorHAnsi"/>
                <w:lang w:val="en-ZA"/>
              </w:rPr>
              <w:t>The Bill provide for s</w:t>
            </w:r>
            <w:r w:rsidR="000D74C9" w:rsidRPr="001C790A">
              <w:rPr>
                <w:rFonts w:cstheme="minorHAnsi"/>
                <w:lang w:val="en-ZA"/>
              </w:rPr>
              <w:t>econdment as a</w:t>
            </w:r>
            <w:r w:rsidR="00CD049D" w:rsidRPr="001C790A">
              <w:rPr>
                <w:rFonts w:cstheme="minorHAnsi"/>
                <w:lang w:val="en-ZA"/>
              </w:rPr>
              <w:t>n</w:t>
            </w:r>
            <w:r w:rsidR="000D74C9" w:rsidRPr="001C790A">
              <w:rPr>
                <w:rFonts w:cstheme="minorHAnsi"/>
                <w:lang w:val="en-ZA"/>
              </w:rPr>
              <w:t xml:space="preserve"> option to the entities</w:t>
            </w:r>
            <w:r w:rsidR="00134D9B" w:rsidRPr="001C790A">
              <w:rPr>
                <w:rFonts w:cstheme="minorHAnsi"/>
                <w:lang w:val="en-ZA"/>
              </w:rPr>
              <w:t>.</w:t>
            </w:r>
            <w:r w:rsidR="000D74C9" w:rsidRPr="001C790A">
              <w:rPr>
                <w:rFonts w:cstheme="minorHAnsi"/>
                <w:lang w:val="en-ZA"/>
              </w:rPr>
              <w:t xml:space="preserve"> The specifics of each secondment will be in</w:t>
            </w:r>
            <w:r w:rsidR="00BC32FC" w:rsidRPr="001C790A">
              <w:rPr>
                <w:rFonts w:cstheme="minorHAnsi"/>
                <w:lang w:val="en-ZA"/>
              </w:rPr>
              <w:t xml:space="preserve"> </w:t>
            </w:r>
            <w:r w:rsidR="000D74C9" w:rsidRPr="001C790A">
              <w:rPr>
                <w:rFonts w:cstheme="minorHAnsi"/>
                <w:lang w:val="en-ZA"/>
              </w:rPr>
              <w:t>terms of the institution’s secondment policy and the contract with the other institution</w:t>
            </w:r>
            <w:r w:rsidR="001D152E" w:rsidRPr="001C790A">
              <w:rPr>
                <w:rFonts w:cstheme="minorHAnsi"/>
                <w:lang w:val="en-ZA"/>
              </w:rPr>
              <w:t xml:space="preserve"> to the secondment</w:t>
            </w:r>
            <w:r w:rsidR="000D74C9" w:rsidRPr="001C790A">
              <w:rPr>
                <w:rFonts w:cstheme="minorHAnsi"/>
                <w:lang w:val="en-ZA"/>
              </w:rPr>
              <w:t>.</w:t>
            </w:r>
          </w:p>
        </w:tc>
      </w:tr>
      <w:tr w:rsidR="004B448C" w:rsidRPr="001C790A" w:rsidTr="00362369">
        <w:tc>
          <w:tcPr>
            <w:tcW w:w="1237" w:type="dxa"/>
          </w:tcPr>
          <w:p w:rsidR="004B448C" w:rsidRPr="001C790A" w:rsidRDefault="00A8685D" w:rsidP="00A8685D">
            <w:pPr>
              <w:jc w:val="both"/>
              <w:rPr>
                <w:rFonts w:cstheme="minorHAnsi"/>
              </w:rPr>
            </w:pPr>
            <w:r w:rsidRPr="001C790A">
              <w:rPr>
                <w:rFonts w:cstheme="minorHAnsi"/>
              </w:rPr>
              <w:t>Clause 3</w:t>
            </w:r>
            <w:r w:rsidR="00A77B0E" w:rsidRPr="001C790A">
              <w:rPr>
                <w:rFonts w:cstheme="minorHAnsi"/>
              </w:rPr>
              <w:t>32</w:t>
            </w:r>
          </w:p>
        </w:tc>
        <w:tc>
          <w:tcPr>
            <w:tcW w:w="5850" w:type="dxa"/>
          </w:tcPr>
          <w:p w:rsidR="00A77B0E" w:rsidRPr="001C790A" w:rsidRDefault="00A77B0E" w:rsidP="00CD049D">
            <w:pPr>
              <w:jc w:val="both"/>
              <w:rPr>
                <w:rFonts w:eastAsia="Times New Roman" w:cstheme="minorHAnsi"/>
                <w:lang w:val="en-US"/>
              </w:rPr>
            </w:pPr>
            <w:r w:rsidRPr="001C790A">
              <w:rPr>
                <w:rFonts w:cstheme="minorHAnsi"/>
                <w:lang w:val="en-ZA"/>
              </w:rPr>
              <w:t xml:space="preserve">I </w:t>
            </w:r>
            <w:r w:rsidRPr="001C790A">
              <w:rPr>
                <w:rFonts w:eastAsia="Times New Roman" w:cstheme="minorHAnsi"/>
                <w:lang w:val="en-US"/>
              </w:rPr>
              <w:t>remain concerned that there are so many entities which appear to duplicate their roles and objectives. The Treasury lists a PFMA Schedule 3 entity, the South African Agency for Science and Technology Advancement. Is the Technology Innovation Agency the same as this one? What are the implications for innovation in respect of COVID19 and other innovation invented under the WHO Digital Access Pool? Who will be the proprietary licensor of the intellectual property? There must be a merger of these entities to save costs.</w:t>
            </w:r>
          </w:p>
          <w:p w:rsidR="004B448C" w:rsidRPr="001C790A" w:rsidRDefault="004B448C">
            <w:pPr>
              <w:jc w:val="both"/>
              <w:rPr>
                <w:rFonts w:cstheme="minorHAnsi"/>
              </w:rPr>
            </w:pPr>
          </w:p>
        </w:tc>
        <w:tc>
          <w:tcPr>
            <w:tcW w:w="1800" w:type="dxa"/>
          </w:tcPr>
          <w:p w:rsidR="004B448C" w:rsidRPr="001C790A" w:rsidRDefault="00A8685D" w:rsidP="007D2656">
            <w:pPr>
              <w:tabs>
                <w:tab w:val="left" w:pos="284"/>
              </w:tabs>
              <w:ind w:right="17"/>
              <w:contextualSpacing/>
              <w:jc w:val="both"/>
              <w:rPr>
                <w:rFonts w:cstheme="minorHAnsi"/>
              </w:rPr>
            </w:pPr>
            <w:r w:rsidRPr="001C790A">
              <w:rPr>
                <w:rFonts w:cstheme="minorHAnsi"/>
              </w:rPr>
              <w:t xml:space="preserve">Not </w:t>
            </w:r>
            <w:r w:rsidR="005C72AA" w:rsidRPr="001C790A">
              <w:rPr>
                <w:rFonts w:cstheme="minorHAnsi"/>
              </w:rPr>
              <w:t>Supported</w:t>
            </w:r>
            <w:r w:rsidR="004B448C" w:rsidRPr="001C790A">
              <w:rPr>
                <w:rFonts w:cstheme="minorHAnsi"/>
              </w:rPr>
              <w:t>.</w:t>
            </w:r>
          </w:p>
          <w:p w:rsidR="004B448C" w:rsidRPr="001C790A" w:rsidRDefault="004B448C" w:rsidP="007D2656">
            <w:pPr>
              <w:tabs>
                <w:tab w:val="left" w:pos="284"/>
              </w:tabs>
              <w:ind w:right="17"/>
              <w:contextualSpacing/>
              <w:jc w:val="both"/>
              <w:rPr>
                <w:rFonts w:cstheme="minorHAnsi"/>
              </w:rPr>
            </w:pPr>
          </w:p>
        </w:tc>
        <w:tc>
          <w:tcPr>
            <w:tcW w:w="6300" w:type="dxa"/>
          </w:tcPr>
          <w:p w:rsidR="009C7392" w:rsidRPr="001C790A" w:rsidRDefault="004A0035" w:rsidP="001212A8">
            <w:pPr>
              <w:tabs>
                <w:tab w:val="left" w:pos="284"/>
              </w:tabs>
              <w:ind w:right="17"/>
              <w:contextualSpacing/>
              <w:jc w:val="both"/>
              <w:rPr>
                <w:rFonts w:cstheme="minorHAnsi"/>
              </w:rPr>
            </w:pPr>
            <w:r w:rsidRPr="001C790A">
              <w:rPr>
                <w:rFonts w:cstheme="minorHAnsi"/>
              </w:rPr>
              <w:t xml:space="preserve">The </w:t>
            </w:r>
            <w:r w:rsidRPr="001C790A">
              <w:rPr>
                <w:rFonts w:eastAsia="Times New Roman" w:cstheme="minorHAnsi"/>
                <w:lang w:val="en-US"/>
              </w:rPr>
              <w:t>South African Agency for Science and Technology Advancement</w:t>
            </w:r>
            <w:r w:rsidRPr="001C790A">
              <w:rPr>
                <w:rFonts w:cstheme="minorHAnsi"/>
              </w:rPr>
              <w:t xml:space="preserve"> is a business unit of the National Research Foundation and is not listed in the PFMA</w:t>
            </w:r>
            <w:r w:rsidR="00A8685D" w:rsidRPr="001C790A">
              <w:rPr>
                <w:rFonts w:cstheme="minorHAnsi"/>
              </w:rPr>
              <w:t>.</w:t>
            </w:r>
          </w:p>
        </w:tc>
      </w:tr>
      <w:tr w:rsidR="004B448C" w:rsidRPr="001C790A" w:rsidTr="00362369">
        <w:tc>
          <w:tcPr>
            <w:tcW w:w="1237" w:type="dxa"/>
          </w:tcPr>
          <w:p w:rsidR="004B448C" w:rsidRPr="001C790A" w:rsidRDefault="006F2869" w:rsidP="001212A8">
            <w:pPr>
              <w:jc w:val="both"/>
              <w:rPr>
                <w:rFonts w:cstheme="minorHAnsi"/>
              </w:rPr>
            </w:pPr>
            <w:r w:rsidRPr="001C790A">
              <w:rPr>
                <w:rFonts w:cstheme="minorHAnsi"/>
              </w:rPr>
              <w:t xml:space="preserve">Clause </w:t>
            </w:r>
            <w:r w:rsidR="004A0035" w:rsidRPr="001C790A">
              <w:rPr>
                <w:rFonts w:cstheme="minorHAnsi"/>
              </w:rPr>
              <w:t>3</w:t>
            </w:r>
            <w:r w:rsidRPr="001C790A">
              <w:rPr>
                <w:rFonts w:cstheme="minorHAnsi"/>
              </w:rPr>
              <w:t>4</w:t>
            </w:r>
          </w:p>
        </w:tc>
        <w:tc>
          <w:tcPr>
            <w:tcW w:w="5850" w:type="dxa"/>
          </w:tcPr>
          <w:p w:rsidR="004B448C" w:rsidRPr="001C790A" w:rsidRDefault="004A0035">
            <w:pPr>
              <w:jc w:val="both"/>
              <w:rPr>
                <w:rFonts w:cstheme="minorHAnsi"/>
              </w:rPr>
            </w:pPr>
            <w:r w:rsidRPr="001C790A">
              <w:rPr>
                <w:rFonts w:cstheme="minorHAnsi"/>
                <w:lang w:val="en-ZA"/>
              </w:rPr>
              <w:t xml:space="preserve">I </w:t>
            </w:r>
            <w:r w:rsidRPr="001C790A">
              <w:rPr>
                <w:rFonts w:eastAsia="Times New Roman" w:cstheme="minorHAnsi"/>
                <w:lang w:val="en-US"/>
              </w:rPr>
              <w:t>am not sure of the reference to “permanent resident”. South African skills and knowledge is enriched by international co-operation. But there must also be exercise of due diligence and care to avoid foreign companies stealing intellectual property by planting foreign researchers in research and scientific entities. What kind of contract does a permanent resident sign with the entity in respect of intellectual property and restraint of trade?</w:t>
            </w:r>
            <w:r w:rsidRPr="001C790A">
              <w:rPr>
                <w:rFonts w:cstheme="minorHAnsi"/>
                <w:lang w:val="en-ZA"/>
              </w:rPr>
              <w:t xml:space="preserve"> </w:t>
            </w:r>
          </w:p>
        </w:tc>
        <w:tc>
          <w:tcPr>
            <w:tcW w:w="1800" w:type="dxa"/>
          </w:tcPr>
          <w:p w:rsidR="004B448C" w:rsidRPr="001C790A" w:rsidRDefault="006F2869" w:rsidP="007D2656">
            <w:pPr>
              <w:tabs>
                <w:tab w:val="left" w:pos="284"/>
              </w:tabs>
              <w:ind w:right="17"/>
              <w:contextualSpacing/>
              <w:jc w:val="both"/>
              <w:rPr>
                <w:rFonts w:cstheme="minorHAnsi"/>
              </w:rPr>
            </w:pPr>
            <w:r w:rsidRPr="001C790A">
              <w:rPr>
                <w:rFonts w:cstheme="minorHAnsi"/>
              </w:rPr>
              <w:t xml:space="preserve">Not </w:t>
            </w:r>
            <w:r w:rsidR="004B448C" w:rsidRPr="001C790A">
              <w:rPr>
                <w:rFonts w:cstheme="minorHAnsi"/>
              </w:rPr>
              <w:t>Supported</w:t>
            </w:r>
          </w:p>
        </w:tc>
        <w:tc>
          <w:tcPr>
            <w:tcW w:w="6300" w:type="dxa"/>
          </w:tcPr>
          <w:p w:rsidR="004B448C" w:rsidRPr="001C790A" w:rsidRDefault="004A0035" w:rsidP="007D2656">
            <w:pPr>
              <w:tabs>
                <w:tab w:val="left" w:pos="284"/>
              </w:tabs>
              <w:ind w:right="17"/>
              <w:contextualSpacing/>
              <w:jc w:val="both"/>
              <w:rPr>
                <w:rFonts w:cstheme="minorHAnsi"/>
              </w:rPr>
            </w:pPr>
            <w:r w:rsidRPr="001C790A">
              <w:rPr>
                <w:rFonts w:cstheme="minorHAnsi"/>
              </w:rPr>
              <w:t>Clause 34 of the Bill deals with board members and not researchers</w:t>
            </w:r>
            <w:r w:rsidR="00ED1841" w:rsidRPr="001C790A">
              <w:rPr>
                <w:rFonts w:cstheme="minorHAnsi"/>
              </w:rPr>
              <w:t>,</w:t>
            </w:r>
            <w:r w:rsidRPr="001C790A">
              <w:rPr>
                <w:rFonts w:cstheme="minorHAnsi"/>
              </w:rPr>
              <w:t xml:space="preserve"> be that as it may board members with permanent residency status sign the same contract of service as the other board members and are also subjected to the same security checks as all board members</w:t>
            </w:r>
            <w:r w:rsidR="006F2869" w:rsidRPr="001C790A">
              <w:rPr>
                <w:rFonts w:cstheme="minorHAnsi"/>
              </w:rPr>
              <w:t xml:space="preserve">. </w:t>
            </w:r>
          </w:p>
          <w:p w:rsidR="004B448C" w:rsidRPr="001C790A" w:rsidRDefault="004B448C" w:rsidP="007D2656">
            <w:pPr>
              <w:tabs>
                <w:tab w:val="left" w:pos="284"/>
              </w:tabs>
              <w:ind w:right="17"/>
              <w:contextualSpacing/>
              <w:jc w:val="both"/>
              <w:rPr>
                <w:rFonts w:cstheme="minorHAnsi"/>
              </w:rPr>
            </w:pPr>
          </w:p>
          <w:p w:rsidR="00EB3941" w:rsidRPr="001C790A" w:rsidRDefault="00EB3941" w:rsidP="007D2656">
            <w:pPr>
              <w:tabs>
                <w:tab w:val="left" w:pos="284"/>
              </w:tabs>
              <w:ind w:right="17"/>
              <w:contextualSpacing/>
              <w:jc w:val="both"/>
              <w:rPr>
                <w:rFonts w:cstheme="minorHAnsi"/>
              </w:rPr>
            </w:pPr>
          </w:p>
        </w:tc>
      </w:tr>
      <w:tr w:rsidR="004B448C" w:rsidRPr="001C790A" w:rsidTr="00362369">
        <w:tc>
          <w:tcPr>
            <w:tcW w:w="1237" w:type="dxa"/>
          </w:tcPr>
          <w:p w:rsidR="004B448C" w:rsidRPr="001C790A" w:rsidRDefault="006E270E" w:rsidP="006E270E">
            <w:pPr>
              <w:jc w:val="both"/>
              <w:rPr>
                <w:rFonts w:cstheme="minorHAnsi"/>
              </w:rPr>
            </w:pPr>
            <w:r w:rsidRPr="001C790A">
              <w:rPr>
                <w:rFonts w:cstheme="minorHAnsi"/>
              </w:rPr>
              <w:lastRenderedPageBreak/>
              <w:t>Clause</w:t>
            </w:r>
            <w:r w:rsidR="004B448C" w:rsidRPr="001C790A">
              <w:rPr>
                <w:rFonts w:cstheme="minorHAnsi"/>
              </w:rPr>
              <w:t xml:space="preserve"> </w:t>
            </w:r>
            <w:r w:rsidR="004A0035" w:rsidRPr="001C790A">
              <w:rPr>
                <w:rFonts w:cstheme="minorHAnsi"/>
              </w:rPr>
              <w:t>38</w:t>
            </w:r>
          </w:p>
        </w:tc>
        <w:tc>
          <w:tcPr>
            <w:tcW w:w="5850" w:type="dxa"/>
          </w:tcPr>
          <w:p w:rsidR="004B448C" w:rsidRPr="001C790A" w:rsidRDefault="004A0035" w:rsidP="00ED1841">
            <w:pPr>
              <w:jc w:val="both"/>
              <w:rPr>
                <w:rFonts w:cstheme="minorHAnsi"/>
              </w:rPr>
            </w:pPr>
            <w:r w:rsidRPr="001C790A">
              <w:rPr>
                <w:rFonts w:cstheme="minorHAnsi"/>
                <w:lang w:val="en-ZA"/>
              </w:rPr>
              <w:t xml:space="preserve">My </w:t>
            </w:r>
            <w:r w:rsidR="009825E0" w:rsidRPr="001C790A">
              <w:rPr>
                <w:rFonts w:eastAsia="Times New Roman" w:cstheme="minorHAnsi"/>
              </w:rPr>
              <w:t>comments above are the same for the CEO appointment which must be done by the executive authority.</w:t>
            </w:r>
            <w:r w:rsidR="009825E0" w:rsidRPr="001C790A">
              <w:rPr>
                <w:rFonts w:cstheme="minorHAnsi"/>
                <w:lang w:val="en-ZA"/>
              </w:rPr>
              <w:t xml:space="preserve"> </w:t>
            </w:r>
          </w:p>
        </w:tc>
        <w:tc>
          <w:tcPr>
            <w:tcW w:w="1800" w:type="dxa"/>
          </w:tcPr>
          <w:p w:rsidR="004B448C" w:rsidRPr="001C790A" w:rsidRDefault="006F2869" w:rsidP="006E270E">
            <w:pPr>
              <w:tabs>
                <w:tab w:val="left" w:pos="284"/>
              </w:tabs>
              <w:ind w:right="17"/>
              <w:jc w:val="both"/>
              <w:rPr>
                <w:rFonts w:cstheme="minorHAnsi"/>
              </w:rPr>
            </w:pPr>
            <w:r w:rsidRPr="001C790A">
              <w:rPr>
                <w:rFonts w:cstheme="minorHAnsi"/>
              </w:rPr>
              <w:t xml:space="preserve">Not </w:t>
            </w:r>
            <w:r w:rsidR="004B448C" w:rsidRPr="001C790A">
              <w:rPr>
                <w:rFonts w:cstheme="minorHAnsi"/>
              </w:rPr>
              <w:t>Supported</w:t>
            </w:r>
          </w:p>
        </w:tc>
        <w:tc>
          <w:tcPr>
            <w:tcW w:w="6300" w:type="dxa"/>
          </w:tcPr>
          <w:p w:rsidR="009C7392" w:rsidRPr="001C790A" w:rsidRDefault="009825E0" w:rsidP="009C7392">
            <w:pPr>
              <w:autoSpaceDE w:val="0"/>
              <w:autoSpaceDN w:val="0"/>
              <w:adjustRightInd w:val="0"/>
              <w:ind w:left="436" w:hanging="436"/>
              <w:rPr>
                <w:rFonts w:cstheme="minorHAnsi"/>
              </w:rPr>
            </w:pPr>
            <w:r w:rsidRPr="001C790A">
              <w:rPr>
                <w:rFonts w:cstheme="minorHAnsi"/>
              </w:rPr>
              <w:t>Same argument as in clause 1(c) above.</w:t>
            </w:r>
            <w:r w:rsidR="009C7392" w:rsidRPr="001C790A">
              <w:rPr>
                <w:rFonts w:cstheme="minorHAnsi"/>
              </w:rPr>
              <w:t xml:space="preserve"> </w:t>
            </w:r>
          </w:p>
          <w:p w:rsidR="004B448C" w:rsidRPr="001C790A" w:rsidRDefault="004B448C" w:rsidP="006F2869">
            <w:pPr>
              <w:autoSpaceDE w:val="0"/>
              <w:autoSpaceDN w:val="0"/>
              <w:adjustRightInd w:val="0"/>
              <w:ind w:left="436" w:hanging="436"/>
              <w:rPr>
                <w:rFonts w:cstheme="minorHAnsi"/>
              </w:rPr>
            </w:pPr>
          </w:p>
        </w:tc>
      </w:tr>
      <w:tr w:rsidR="004B448C" w:rsidRPr="001C790A" w:rsidTr="00362369">
        <w:tc>
          <w:tcPr>
            <w:tcW w:w="1237" w:type="dxa"/>
          </w:tcPr>
          <w:p w:rsidR="004B448C" w:rsidRPr="001C790A" w:rsidRDefault="006E270E" w:rsidP="006E270E">
            <w:pPr>
              <w:jc w:val="both"/>
              <w:rPr>
                <w:rFonts w:cstheme="minorHAnsi"/>
              </w:rPr>
            </w:pPr>
            <w:r w:rsidRPr="001C790A">
              <w:rPr>
                <w:rFonts w:cstheme="minorHAnsi"/>
              </w:rPr>
              <w:t>Clause 5</w:t>
            </w:r>
            <w:r w:rsidR="009825E0" w:rsidRPr="001C790A">
              <w:rPr>
                <w:rFonts w:cstheme="minorHAnsi"/>
              </w:rPr>
              <w:t>0</w:t>
            </w:r>
          </w:p>
        </w:tc>
        <w:tc>
          <w:tcPr>
            <w:tcW w:w="5850" w:type="dxa"/>
          </w:tcPr>
          <w:p w:rsidR="004B448C" w:rsidRPr="001C790A" w:rsidRDefault="009825E0" w:rsidP="00ED1841">
            <w:pPr>
              <w:jc w:val="both"/>
              <w:rPr>
                <w:rFonts w:cstheme="minorHAnsi"/>
              </w:rPr>
            </w:pPr>
            <w:r w:rsidRPr="001C790A">
              <w:rPr>
                <w:rFonts w:cstheme="minorHAnsi"/>
                <w:lang w:val="en-ZA"/>
              </w:rPr>
              <w:t xml:space="preserve">My </w:t>
            </w:r>
            <w:r w:rsidRPr="001C790A">
              <w:rPr>
                <w:rFonts w:eastAsia="Times New Roman" w:cstheme="minorHAnsi"/>
              </w:rPr>
              <w:t>comments above relating to the CEO appointment, delegations, regulations of the SA National Space Agency are the same as for the other entities</w:t>
            </w:r>
          </w:p>
        </w:tc>
        <w:tc>
          <w:tcPr>
            <w:tcW w:w="1800" w:type="dxa"/>
          </w:tcPr>
          <w:p w:rsidR="004B448C" w:rsidRPr="001C790A" w:rsidRDefault="006E270E" w:rsidP="008B7E11">
            <w:pPr>
              <w:tabs>
                <w:tab w:val="left" w:pos="284"/>
              </w:tabs>
              <w:ind w:right="17"/>
              <w:jc w:val="both"/>
              <w:rPr>
                <w:rFonts w:cstheme="minorHAnsi"/>
              </w:rPr>
            </w:pPr>
            <w:r w:rsidRPr="001C790A">
              <w:rPr>
                <w:rFonts w:cstheme="minorHAnsi"/>
              </w:rPr>
              <w:t xml:space="preserve">Not </w:t>
            </w:r>
            <w:r w:rsidR="004B448C" w:rsidRPr="001C790A">
              <w:rPr>
                <w:rFonts w:cstheme="minorHAnsi"/>
              </w:rPr>
              <w:t>Supported</w:t>
            </w:r>
          </w:p>
        </w:tc>
        <w:tc>
          <w:tcPr>
            <w:tcW w:w="6300" w:type="dxa"/>
          </w:tcPr>
          <w:p w:rsidR="004B448C" w:rsidRPr="001C790A" w:rsidRDefault="009825E0" w:rsidP="001212A8">
            <w:pPr>
              <w:tabs>
                <w:tab w:val="left" w:pos="284"/>
              </w:tabs>
              <w:ind w:left="-43" w:right="17"/>
              <w:jc w:val="both"/>
              <w:rPr>
                <w:rFonts w:cstheme="minorHAnsi"/>
              </w:rPr>
            </w:pPr>
            <w:r w:rsidRPr="001C790A">
              <w:rPr>
                <w:rFonts w:cstheme="minorHAnsi"/>
              </w:rPr>
              <w:t>Same argument as in clauses 1(c), 9 and 10</w:t>
            </w:r>
            <w:r w:rsidR="00ED1841" w:rsidRPr="001C790A">
              <w:rPr>
                <w:rFonts w:cstheme="minorHAnsi"/>
              </w:rPr>
              <w:t xml:space="preserve"> </w:t>
            </w:r>
            <w:r w:rsidRPr="001C790A">
              <w:rPr>
                <w:rFonts w:cstheme="minorHAnsi"/>
              </w:rPr>
              <w:t>above,</w:t>
            </w:r>
          </w:p>
        </w:tc>
      </w:tr>
    </w:tbl>
    <w:p w:rsidR="006D0B5B" w:rsidRPr="001C790A" w:rsidRDefault="006D0B5B" w:rsidP="004B3E34">
      <w:pPr>
        <w:spacing w:line="240" w:lineRule="auto"/>
        <w:jc w:val="both"/>
        <w:rPr>
          <w:rFonts w:cstheme="minorHAnsi"/>
        </w:rPr>
      </w:pPr>
    </w:p>
    <w:p w:rsidR="005B54AC" w:rsidRPr="001C790A" w:rsidRDefault="005B54AC" w:rsidP="004B3E34">
      <w:pPr>
        <w:spacing w:line="240" w:lineRule="auto"/>
        <w:jc w:val="both"/>
        <w:rPr>
          <w:rFonts w:cstheme="minorHAnsi"/>
        </w:rPr>
      </w:pPr>
    </w:p>
    <w:p w:rsidR="005B54AC" w:rsidRPr="001C790A" w:rsidRDefault="005B54AC" w:rsidP="004B3E34">
      <w:pPr>
        <w:spacing w:line="240" w:lineRule="auto"/>
        <w:jc w:val="both"/>
        <w:rPr>
          <w:rFonts w:cstheme="minorHAnsi"/>
        </w:rPr>
      </w:pPr>
    </w:p>
    <w:p w:rsidR="005B54AC" w:rsidRPr="001C790A" w:rsidRDefault="005B54AC" w:rsidP="004B3E34">
      <w:pPr>
        <w:spacing w:line="240" w:lineRule="auto"/>
        <w:jc w:val="both"/>
        <w:rPr>
          <w:rFonts w:cstheme="minorHAnsi"/>
        </w:rPr>
      </w:pPr>
    </w:p>
    <w:p w:rsidR="005B54AC" w:rsidRPr="001C790A" w:rsidRDefault="005B54AC" w:rsidP="004B3E34">
      <w:pPr>
        <w:spacing w:line="240" w:lineRule="auto"/>
        <w:jc w:val="both"/>
        <w:rPr>
          <w:rFonts w:cstheme="minorHAnsi"/>
        </w:rPr>
      </w:pPr>
    </w:p>
    <w:p w:rsidR="00F5656B" w:rsidRPr="001C790A" w:rsidRDefault="00F5656B" w:rsidP="004B3E34">
      <w:pPr>
        <w:spacing w:line="240" w:lineRule="auto"/>
        <w:jc w:val="both"/>
        <w:rPr>
          <w:rFonts w:cstheme="minorHAnsi"/>
          <w:b/>
        </w:rPr>
      </w:pPr>
    </w:p>
    <w:sectPr w:rsidR="00F5656B" w:rsidRPr="001C790A" w:rsidSect="007C07A8">
      <w:footerReference w:type="default" r:id="rId1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07EA" w:rsidRDefault="00F207EA" w:rsidP="0003023A">
      <w:pPr>
        <w:spacing w:after="0" w:line="240" w:lineRule="auto"/>
      </w:pPr>
      <w:r>
        <w:separator/>
      </w:r>
    </w:p>
  </w:endnote>
  <w:endnote w:type="continuationSeparator" w:id="0">
    <w:p w:rsidR="00F207EA" w:rsidRDefault="00F207EA" w:rsidP="0003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755626"/>
      <w:docPartObj>
        <w:docPartGallery w:val="Page Numbers (Bottom of Page)"/>
        <w:docPartUnique/>
      </w:docPartObj>
    </w:sdtPr>
    <w:sdtEndPr/>
    <w:sdtContent>
      <w:p w:rsidR="00990062" w:rsidRDefault="00990062">
        <w:pPr>
          <w:pStyle w:val="Footer"/>
          <w:jc w:val="right"/>
        </w:pPr>
        <w:r>
          <w:fldChar w:fldCharType="begin"/>
        </w:r>
        <w:r>
          <w:instrText xml:space="preserve"> PAGE   \* MERGEFORMAT </w:instrText>
        </w:r>
        <w:r>
          <w:fldChar w:fldCharType="separate"/>
        </w:r>
        <w:r w:rsidR="00A21AA5">
          <w:rPr>
            <w:noProof/>
          </w:rPr>
          <w:t>1</w:t>
        </w:r>
        <w:r>
          <w:rPr>
            <w:noProof/>
          </w:rPr>
          <w:fldChar w:fldCharType="end"/>
        </w:r>
      </w:p>
    </w:sdtContent>
  </w:sdt>
  <w:p w:rsidR="00990062" w:rsidRDefault="0099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07EA" w:rsidRDefault="00F207EA" w:rsidP="0003023A">
      <w:pPr>
        <w:spacing w:after="0" w:line="240" w:lineRule="auto"/>
      </w:pPr>
      <w:r>
        <w:separator/>
      </w:r>
    </w:p>
  </w:footnote>
  <w:footnote w:type="continuationSeparator" w:id="0">
    <w:p w:rsidR="00F207EA" w:rsidRDefault="00F207EA" w:rsidP="00030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50F"/>
    <w:multiLevelType w:val="hybridMultilevel"/>
    <w:tmpl w:val="F9B05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08F2"/>
    <w:multiLevelType w:val="hybridMultilevel"/>
    <w:tmpl w:val="ABD6C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A127F"/>
    <w:multiLevelType w:val="hybridMultilevel"/>
    <w:tmpl w:val="64F20DB4"/>
    <w:lvl w:ilvl="0" w:tplc="B98CA3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E23D8"/>
    <w:multiLevelType w:val="hybridMultilevel"/>
    <w:tmpl w:val="E21E4C22"/>
    <w:lvl w:ilvl="0" w:tplc="D24E9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3B53"/>
    <w:multiLevelType w:val="hybridMultilevel"/>
    <w:tmpl w:val="29CE3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7D330FD"/>
    <w:multiLevelType w:val="hybridMultilevel"/>
    <w:tmpl w:val="F1388C68"/>
    <w:lvl w:ilvl="0" w:tplc="08F625B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764C9"/>
    <w:multiLevelType w:val="hybridMultilevel"/>
    <w:tmpl w:val="8C9EF4DE"/>
    <w:lvl w:ilvl="0" w:tplc="AA3688AA">
      <w:start w:val="1"/>
      <w:numFmt w:val="lowerLetter"/>
      <w:lvlText w:val="(%1)"/>
      <w:lvlJc w:val="left"/>
      <w:pPr>
        <w:ind w:left="1428" w:hanging="720"/>
      </w:pPr>
      <w:rPr>
        <w:rFonts w:hint="default"/>
        <w:i/>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7" w15:restartNumberingAfterBreak="0">
    <w:nsid w:val="296B234A"/>
    <w:multiLevelType w:val="hybridMultilevel"/>
    <w:tmpl w:val="08A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35583"/>
    <w:multiLevelType w:val="hybridMultilevel"/>
    <w:tmpl w:val="3302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E55D9"/>
    <w:multiLevelType w:val="hybridMultilevel"/>
    <w:tmpl w:val="5BD0D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3246F1"/>
    <w:multiLevelType w:val="hybridMultilevel"/>
    <w:tmpl w:val="FB385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F0664F6"/>
    <w:multiLevelType w:val="hybridMultilevel"/>
    <w:tmpl w:val="6128C3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A875D1"/>
    <w:multiLevelType w:val="hybridMultilevel"/>
    <w:tmpl w:val="5044BA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58C13EB2"/>
    <w:multiLevelType w:val="hybridMultilevel"/>
    <w:tmpl w:val="21225C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F7649"/>
    <w:multiLevelType w:val="hybridMultilevel"/>
    <w:tmpl w:val="BC5227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BA3525"/>
    <w:multiLevelType w:val="hybridMultilevel"/>
    <w:tmpl w:val="8AC87F8C"/>
    <w:lvl w:ilvl="0" w:tplc="151C1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2B1F9A"/>
    <w:multiLevelType w:val="hybridMultilevel"/>
    <w:tmpl w:val="6A0828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193FAE"/>
    <w:multiLevelType w:val="hybridMultilevel"/>
    <w:tmpl w:val="13867546"/>
    <w:lvl w:ilvl="0" w:tplc="FF9E183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731A7CF4"/>
    <w:multiLevelType w:val="hybridMultilevel"/>
    <w:tmpl w:val="1DF2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15D5D"/>
    <w:multiLevelType w:val="hybridMultilevel"/>
    <w:tmpl w:val="FF38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C395A"/>
    <w:multiLevelType w:val="hybridMultilevel"/>
    <w:tmpl w:val="4A6EBE28"/>
    <w:lvl w:ilvl="0" w:tplc="1374A9E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0"/>
  </w:num>
  <w:num w:numId="2">
    <w:abstractNumId w:val="4"/>
  </w:num>
  <w:num w:numId="3">
    <w:abstractNumId w:val="18"/>
  </w:num>
  <w:num w:numId="4">
    <w:abstractNumId w:val="19"/>
  </w:num>
  <w:num w:numId="5">
    <w:abstractNumId w:val="11"/>
  </w:num>
  <w:num w:numId="6">
    <w:abstractNumId w:val="0"/>
  </w:num>
  <w:num w:numId="7">
    <w:abstractNumId w:val="15"/>
  </w:num>
  <w:num w:numId="8">
    <w:abstractNumId w:val="1"/>
  </w:num>
  <w:num w:numId="9">
    <w:abstractNumId w:val="13"/>
  </w:num>
  <w:num w:numId="10">
    <w:abstractNumId w:val="14"/>
  </w:num>
  <w:num w:numId="11">
    <w:abstractNumId w:val="16"/>
  </w:num>
  <w:num w:numId="12">
    <w:abstractNumId w:val="8"/>
  </w:num>
  <w:num w:numId="13">
    <w:abstractNumId w:val="20"/>
  </w:num>
  <w:num w:numId="14">
    <w:abstractNumId w:val="5"/>
  </w:num>
  <w:num w:numId="15">
    <w:abstractNumId w:val="17"/>
  </w:num>
  <w:num w:numId="16">
    <w:abstractNumId w:val="7"/>
  </w:num>
  <w:num w:numId="17">
    <w:abstractNumId w:val="9"/>
  </w:num>
  <w:num w:numId="18">
    <w:abstractNumId w:val="3"/>
  </w:num>
  <w:num w:numId="19">
    <w:abstractNumId w:val="2"/>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0C"/>
    <w:rsid w:val="00001B22"/>
    <w:rsid w:val="0000525E"/>
    <w:rsid w:val="000057E7"/>
    <w:rsid w:val="00013AB8"/>
    <w:rsid w:val="0001711B"/>
    <w:rsid w:val="00017EB0"/>
    <w:rsid w:val="00026977"/>
    <w:rsid w:val="00027AF4"/>
    <w:rsid w:val="0003023A"/>
    <w:rsid w:val="00032EC6"/>
    <w:rsid w:val="000340C1"/>
    <w:rsid w:val="0003430A"/>
    <w:rsid w:val="00045FAD"/>
    <w:rsid w:val="00046CA0"/>
    <w:rsid w:val="00047BD4"/>
    <w:rsid w:val="00053F4C"/>
    <w:rsid w:val="000569B9"/>
    <w:rsid w:val="00074414"/>
    <w:rsid w:val="00081593"/>
    <w:rsid w:val="00083E39"/>
    <w:rsid w:val="00085459"/>
    <w:rsid w:val="000859AA"/>
    <w:rsid w:val="000906C1"/>
    <w:rsid w:val="000B60B2"/>
    <w:rsid w:val="000B6511"/>
    <w:rsid w:val="000C20D7"/>
    <w:rsid w:val="000C2493"/>
    <w:rsid w:val="000D34D2"/>
    <w:rsid w:val="000D372D"/>
    <w:rsid w:val="000D74C9"/>
    <w:rsid w:val="000D7F57"/>
    <w:rsid w:val="000E22DD"/>
    <w:rsid w:val="000E2F8E"/>
    <w:rsid w:val="000E66B9"/>
    <w:rsid w:val="000F395E"/>
    <w:rsid w:val="00101622"/>
    <w:rsid w:val="00102B15"/>
    <w:rsid w:val="00110DEA"/>
    <w:rsid w:val="00112472"/>
    <w:rsid w:val="001212A8"/>
    <w:rsid w:val="001213C4"/>
    <w:rsid w:val="00133051"/>
    <w:rsid w:val="00133333"/>
    <w:rsid w:val="00134D9B"/>
    <w:rsid w:val="0014691D"/>
    <w:rsid w:val="001528D2"/>
    <w:rsid w:val="00152A0B"/>
    <w:rsid w:val="00162045"/>
    <w:rsid w:val="00164533"/>
    <w:rsid w:val="0017164F"/>
    <w:rsid w:val="00171BC4"/>
    <w:rsid w:val="00172A33"/>
    <w:rsid w:val="0017498F"/>
    <w:rsid w:val="00175323"/>
    <w:rsid w:val="001767B1"/>
    <w:rsid w:val="00181241"/>
    <w:rsid w:val="00181857"/>
    <w:rsid w:val="0018386F"/>
    <w:rsid w:val="001869E8"/>
    <w:rsid w:val="00195D67"/>
    <w:rsid w:val="001A7646"/>
    <w:rsid w:val="001B1560"/>
    <w:rsid w:val="001C54B9"/>
    <w:rsid w:val="001C6BB0"/>
    <w:rsid w:val="001C790A"/>
    <w:rsid w:val="001D152E"/>
    <w:rsid w:val="001D1DB2"/>
    <w:rsid w:val="001E0562"/>
    <w:rsid w:val="001E6EFC"/>
    <w:rsid w:val="001F23E4"/>
    <w:rsid w:val="001F403D"/>
    <w:rsid w:val="00200A63"/>
    <w:rsid w:val="00201C59"/>
    <w:rsid w:val="00201F91"/>
    <w:rsid w:val="0020375F"/>
    <w:rsid w:val="002104F3"/>
    <w:rsid w:val="00217696"/>
    <w:rsid w:val="0022077E"/>
    <w:rsid w:val="00220C78"/>
    <w:rsid w:val="00223C6E"/>
    <w:rsid w:val="002254F3"/>
    <w:rsid w:val="00227E2C"/>
    <w:rsid w:val="002331B3"/>
    <w:rsid w:val="00236665"/>
    <w:rsid w:val="00265BA9"/>
    <w:rsid w:val="0027091A"/>
    <w:rsid w:val="00273D8F"/>
    <w:rsid w:val="00274922"/>
    <w:rsid w:val="00280504"/>
    <w:rsid w:val="00292B0E"/>
    <w:rsid w:val="0029529B"/>
    <w:rsid w:val="002A2947"/>
    <w:rsid w:val="002A38B5"/>
    <w:rsid w:val="002A4334"/>
    <w:rsid w:val="002B2575"/>
    <w:rsid w:val="002B5AAA"/>
    <w:rsid w:val="002B62B7"/>
    <w:rsid w:val="002B685A"/>
    <w:rsid w:val="002B7AEE"/>
    <w:rsid w:val="002D6282"/>
    <w:rsid w:val="002D70D0"/>
    <w:rsid w:val="002E3C8E"/>
    <w:rsid w:val="002F7848"/>
    <w:rsid w:val="0030317A"/>
    <w:rsid w:val="00312507"/>
    <w:rsid w:val="0032481C"/>
    <w:rsid w:val="00331E3F"/>
    <w:rsid w:val="00334A05"/>
    <w:rsid w:val="00351A9E"/>
    <w:rsid w:val="0035454E"/>
    <w:rsid w:val="00361BD9"/>
    <w:rsid w:val="00362369"/>
    <w:rsid w:val="00367428"/>
    <w:rsid w:val="00367A74"/>
    <w:rsid w:val="003724EE"/>
    <w:rsid w:val="00373D7B"/>
    <w:rsid w:val="00380B20"/>
    <w:rsid w:val="0038213D"/>
    <w:rsid w:val="003838D8"/>
    <w:rsid w:val="00386D52"/>
    <w:rsid w:val="003923D8"/>
    <w:rsid w:val="003A1752"/>
    <w:rsid w:val="003B10B9"/>
    <w:rsid w:val="003B3271"/>
    <w:rsid w:val="003B6775"/>
    <w:rsid w:val="003B6C1A"/>
    <w:rsid w:val="003B7AB8"/>
    <w:rsid w:val="003C47AD"/>
    <w:rsid w:val="003C737B"/>
    <w:rsid w:val="003C75C6"/>
    <w:rsid w:val="003D762A"/>
    <w:rsid w:val="003E6439"/>
    <w:rsid w:val="003F2158"/>
    <w:rsid w:val="003F2FBE"/>
    <w:rsid w:val="00406FFC"/>
    <w:rsid w:val="004242C1"/>
    <w:rsid w:val="00425000"/>
    <w:rsid w:val="004315AE"/>
    <w:rsid w:val="004411DD"/>
    <w:rsid w:val="00441990"/>
    <w:rsid w:val="00442274"/>
    <w:rsid w:val="00452888"/>
    <w:rsid w:val="00460699"/>
    <w:rsid w:val="0046101F"/>
    <w:rsid w:val="00471FD3"/>
    <w:rsid w:val="004765EE"/>
    <w:rsid w:val="004814E0"/>
    <w:rsid w:val="00481B2B"/>
    <w:rsid w:val="00482B63"/>
    <w:rsid w:val="00482E79"/>
    <w:rsid w:val="00497C9E"/>
    <w:rsid w:val="004A0035"/>
    <w:rsid w:val="004A3AC7"/>
    <w:rsid w:val="004A3D5F"/>
    <w:rsid w:val="004B0D8D"/>
    <w:rsid w:val="004B307E"/>
    <w:rsid w:val="004B367B"/>
    <w:rsid w:val="004B3E34"/>
    <w:rsid w:val="004B448C"/>
    <w:rsid w:val="004B484E"/>
    <w:rsid w:val="004C3F80"/>
    <w:rsid w:val="004C4796"/>
    <w:rsid w:val="004C679E"/>
    <w:rsid w:val="004D0CFD"/>
    <w:rsid w:val="004F1B2B"/>
    <w:rsid w:val="004F44BB"/>
    <w:rsid w:val="0050312D"/>
    <w:rsid w:val="00504381"/>
    <w:rsid w:val="0051650C"/>
    <w:rsid w:val="0052782A"/>
    <w:rsid w:val="0053042E"/>
    <w:rsid w:val="00533E0D"/>
    <w:rsid w:val="00542238"/>
    <w:rsid w:val="00543556"/>
    <w:rsid w:val="00545B6F"/>
    <w:rsid w:val="00552C5A"/>
    <w:rsid w:val="00555D0C"/>
    <w:rsid w:val="005600FE"/>
    <w:rsid w:val="005620B0"/>
    <w:rsid w:val="0058355A"/>
    <w:rsid w:val="005847CE"/>
    <w:rsid w:val="005966B2"/>
    <w:rsid w:val="005A1F86"/>
    <w:rsid w:val="005B12C8"/>
    <w:rsid w:val="005B54AC"/>
    <w:rsid w:val="005C258D"/>
    <w:rsid w:val="005C2D28"/>
    <w:rsid w:val="005C72AA"/>
    <w:rsid w:val="005C7E9B"/>
    <w:rsid w:val="005D0042"/>
    <w:rsid w:val="005D7B3B"/>
    <w:rsid w:val="005E20DA"/>
    <w:rsid w:val="005E62E7"/>
    <w:rsid w:val="005E78DE"/>
    <w:rsid w:val="005F32A3"/>
    <w:rsid w:val="006047D7"/>
    <w:rsid w:val="00606D78"/>
    <w:rsid w:val="0060791E"/>
    <w:rsid w:val="006125DB"/>
    <w:rsid w:val="006146F5"/>
    <w:rsid w:val="00617700"/>
    <w:rsid w:val="00623B1E"/>
    <w:rsid w:val="00626BD6"/>
    <w:rsid w:val="00630424"/>
    <w:rsid w:val="00632334"/>
    <w:rsid w:val="00636B25"/>
    <w:rsid w:val="00640332"/>
    <w:rsid w:val="00647732"/>
    <w:rsid w:val="00647B00"/>
    <w:rsid w:val="00651EF2"/>
    <w:rsid w:val="00653B51"/>
    <w:rsid w:val="006552B1"/>
    <w:rsid w:val="0065777A"/>
    <w:rsid w:val="00666DAE"/>
    <w:rsid w:val="00670AD5"/>
    <w:rsid w:val="00673195"/>
    <w:rsid w:val="00676965"/>
    <w:rsid w:val="006868E0"/>
    <w:rsid w:val="0069390C"/>
    <w:rsid w:val="00695BA7"/>
    <w:rsid w:val="006B4F70"/>
    <w:rsid w:val="006C7904"/>
    <w:rsid w:val="006C7FDD"/>
    <w:rsid w:val="006D0158"/>
    <w:rsid w:val="006D0B5B"/>
    <w:rsid w:val="006D2C77"/>
    <w:rsid w:val="006E1512"/>
    <w:rsid w:val="006E270E"/>
    <w:rsid w:val="006E4882"/>
    <w:rsid w:val="006E6253"/>
    <w:rsid w:val="006E67F5"/>
    <w:rsid w:val="006E6C1C"/>
    <w:rsid w:val="006F0CFA"/>
    <w:rsid w:val="006F2869"/>
    <w:rsid w:val="0070125D"/>
    <w:rsid w:val="00703C71"/>
    <w:rsid w:val="00704A16"/>
    <w:rsid w:val="00705C8F"/>
    <w:rsid w:val="00707ECE"/>
    <w:rsid w:val="00711FE5"/>
    <w:rsid w:val="00713AF4"/>
    <w:rsid w:val="00721534"/>
    <w:rsid w:val="00721E7E"/>
    <w:rsid w:val="007261ED"/>
    <w:rsid w:val="00726C1D"/>
    <w:rsid w:val="00730DC0"/>
    <w:rsid w:val="00732745"/>
    <w:rsid w:val="00734271"/>
    <w:rsid w:val="007410D9"/>
    <w:rsid w:val="00741833"/>
    <w:rsid w:val="00750E56"/>
    <w:rsid w:val="00752E23"/>
    <w:rsid w:val="007608F0"/>
    <w:rsid w:val="00761874"/>
    <w:rsid w:val="00765961"/>
    <w:rsid w:val="00787EE3"/>
    <w:rsid w:val="007A1EFD"/>
    <w:rsid w:val="007B0062"/>
    <w:rsid w:val="007B56B5"/>
    <w:rsid w:val="007C07A8"/>
    <w:rsid w:val="007C17D4"/>
    <w:rsid w:val="007D08CB"/>
    <w:rsid w:val="007D195F"/>
    <w:rsid w:val="007D2656"/>
    <w:rsid w:val="007E33B2"/>
    <w:rsid w:val="007E44A3"/>
    <w:rsid w:val="007E7F82"/>
    <w:rsid w:val="008043B6"/>
    <w:rsid w:val="00806211"/>
    <w:rsid w:val="00812E67"/>
    <w:rsid w:val="008152D3"/>
    <w:rsid w:val="00817EE5"/>
    <w:rsid w:val="00820C35"/>
    <w:rsid w:val="008248B2"/>
    <w:rsid w:val="0083010A"/>
    <w:rsid w:val="00836A24"/>
    <w:rsid w:val="0083707E"/>
    <w:rsid w:val="008419F9"/>
    <w:rsid w:val="008446E8"/>
    <w:rsid w:val="0085295C"/>
    <w:rsid w:val="008553BC"/>
    <w:rsid w:val="0085577B"/>
    <w:rsid w:val="00860729"/>
    <w:rsid w:val="00861055"/>
    <w:rsid w:val="008669F4"/>
    <w:rsid w:val="00873697"/>
    <w:rsid w:val="00886482"/>
    <w:rsid w:val="008872DC"/>
    <w:rsid w:val="008927A5"/>
    <w:rsid w:val="008A0737"/>
    <w:rsid w:val="008A4AED"/>
    <w:rsid w:val="008A5572"/>
    <w:rsid w:val="008B1A5B"/>
    <w:rsid w:val="008B38DB"/>
    <w:rsid w:val="008B6B11"/>
    <w:rsid w:val="008B7E11"/>
    <w:rsid w:val="008C2635"/>
    <w:rsid w:val="008C4D65"/>
    <w:rsid w:val="008C6803"/>
    <w:rsid w:val="008C6D1E"/>
    <w:rsid w:val="008D0ABB"/>
    <w:rsid w:val="008D22AD"/>
    <w:rsid w:val="008E1610"/>
    <w:rsid w:val="008E48C9"/>
    <w:rsid w:val="008F480E"/>
    <w:rsid w:val="008F735C"/>
    <w:rsid w:val="009017B6"/>
    <w:rsid w:val="00903453"/>
    <w:rsid w:val="0091068A"/>
    <w:rsid w:val="009120A2"/>
    <w:rsid w:val="0091215C"/>
    <w:rsid w:val="0092334C"/>
    <w:rsid w:val="00925D6E"/>
    <w:rsid w:val="009435E8"/>
    <w:rsid w:val="009466ED"/>
    <w:rsid w:val="009527C2"/>
    <w:rsid w:val="009543CC"/>
    <w:rsid w:val="00954C00"/>
    <w:rsid w:val="00960617"/>
    <w:rsid w:val="00960D35"/>
    <w:rsid w:val="009623E6"/>
    <w:rsid w:val="009667DB"/>
    <w:rsid w:val="00967140"/>
    <w:rsid w:val="00970167"/>
    <w:rsid w:val="00971C0F"/>
    <w:rsid w:val="00973B33"/>
    <w:rsid w:val="00980EA3"/>
    <w:rsid w:val="00981C0C"/>
    <w:rsid w:val="009825E0"/>
    <w:rsid w:val="00990062"/>
    <w:rsid w:val="009964FB"/>
    <w:rsid w:val="009A0BC8"/>
    <w:rsid w:val="009A1104"/>
    <w:rsid w:val="009A2156"/>
    <w:rsid w:val="009A33FC"/>
    <w:rsid w:val="009A7E8C"/>
    <w:rsid w:val="009C40FC"/>
    <w:rsid w:val="009C55B3"/>
    <w:rsid w:val="009C7392"/>
    <w:rsid w:val="009D2C43"/>
    <w:rsid w:val="009E1FC0"/>
    <w:rsid w:val="009E357E"/>
    <w:rsid w:val="009E4FCB"/>
    <w:rsid w:val="009F27B2"/>
    <w:rsid w:val="009F4FA6"/>
    <w:rsid w:val="00A01DCD"/>
    <w:rsid w:val="00A0555E"/>
    <w:rsid w:val="00A07A98"/>
    <w:rsid w:val="00A21AA5"/>
    <w:rsid w:val="00A225D7"/>
    <w:rsid w:val="00A26BAA"/>
    <w:rsid w:val="00A402E3"/>
    <w:rsid w:val="00A4090F"/>
    <w:rsid w:val="00A50F54"/>
    <w:rsid w:val="00A54DC1"/>
    <w:rsid w:val="00A56F8E"/>
    <w:rsid w:val="00A60663"/>
    <w:rsid w:val="00A62F64"/>
    <w:rsid w:val="00A6627D"/>
    <w:rsid w:val="00A67B48"/>
    <w:rsid w:val="00A712CA"/>
    <w:rsid w:val="00A750D4"/>
    <w:rsid w:val="00A77B0E"/>
    <w:rsid w:val="00A845AC"/>
    <w:rsid w:val="00A8685D"/>
    <w:rsid w:val="00A873E3"/>
    <w:rsid w:val="00A931C1"/>
    <w:rsid w:val="00A951FC"/>
    <w:rsid w:val="00AB1B7E"/>
    <w:rsid w:val="00AB4026"/>
    <w:rsid w:val="00AC21F4"/>
    <w:rsid w:val="00AD4A58"/>
    <w:rsid w:val="00AD56FA"/>
    <w:rsid w:val="00AD6026"/>
    <w:rsid w:val="00AE229A"/>
    <w:rsid w:val="00AE72C3"/>
    <w:rsid w:val="00AE7656"/>
    <w:rsid w:val="00AE7AC8"/>
    <w:rsid w:val="00B01750"/>
    <w:rsid w:val="00B132AC"/>
    <w:rsid w:val="00B142F4"/>
    <w:rsid w:val="00B25314"/>
    <w:rsid w:val="00B354FC"/>
    <w:rsid w:val="00B37F11"/>
    <w:rsid w:val="00B61A27"/>
    <w:rsid w:val="00B63CCC"/>
    <w:rsid w:val="00B725D5"/>
    <w:rsid w:val="00B87326"/>
    <w:rsid w:val="00B90998"/>
    <w:rsid w:val="00B92584"/>
    <w:rsid w:val="00B934F3"/>
    <w:rsid w:val="00BA7335"/>
    <w:rsid w:val="00BB0C5D"/>
    <w:rsid w:val="00BB4E52"/>
    <w:rsid w:val="00BB71E8"/>
    <w:rsid w:val="00BB7AF8"/>
    <w:rsid w:val="00BC32FC"/>
    <w:rsid w:val="00BD4E6C"/>
    <w:rsid w:val="00BD6315"/>
    <w:rsid w:val="00BE0C0B"/>
    <w:rsid w:val="00BE687A"/>
    <w:rsid w:val="00BF2276"/>
    <w:rsid w:val="00C156B2"/>
    <w:rsid w:val="00C20447"/>
    <w:rsid w:val="00C207AC"/>
    <w:rsid w:val="00C21375"/>
    <w:rsid w:val="00C22239"/>
    <w:rsid w:val="00C2568B"/>
    <w:rsid w:val="00C25DFA"/>
    <w:rsid w:val="00C26956"/>
    <w:rsid w:val="00C3044A"/>
    <w:rsid w:val="00C324FC"/>
    <w:rsid w:val="00C35008"/>
    <w:rsid w:val="00C36455"/>
    <w:rsid w:val="00C440F3"/>
    <w:rsid w:val="00C557A8"/>
    <w:rsid w:val="00C625CD"/>
    <w:rsid w:val="00C659C2"/>
    <w:rsid w:val="00C70EEA"/>
    <w:rsid w:val="00C73A0C"/>
    <w:rsid w:val="00C82E43"/>
    <w:rsid w:val="00C915F3"/>
    <w:rsid w:val="00C94707"/>
    <w:rsid w:val="00C9615B"/>
    <w:rsid w:val="00C97ADD"/>
    <w:rsid w:val="00CA43C9"/>
    <w:rsid w:val="00CA652D"/>
    <w:rsid w:val="00CB1D02"/>
    <w:rsid w:val="00CB6173"/>
    <w:rsid w:val="00CC0B63"/>
    <w:rsid w:val="00CC6A1E"/>
    <w:rsid w:val="00CD049D"/>
    <w:rsid w:val="00CF4F8B"/>
    <w:rsid w:val="00D00CCB"/>
    <w:rsid w:val="00D02EC4"/>
    <w:rsid w:val="00D03C4D"/>
    <w:rsid w:val="00D07445"/>
    <w:rsid w:val="00D0776E"/>
    <w:rsid w:val="00D14EB3"/>
    <w:rsid w:val="00D20C1F"/>
    <w:rsid w:val="00D256D4"/>
    <w:rsid w:val="00D268FC"/>
    <w:rsid w:val="00D31403"/>
    <w:rsid w:val="00D448DB"/>
    <w:rsid w:val="00D50438"/>
    <w:rsid w:val="00D56A82"/>
    <w:rsid w:val="00D57463"/>
    <w:rsid w:val="00D629AC"/>
    <w:rsid w:val="00D671FC"/>
    <w:rsid w:val="00D74349"/>
    <w:rsid w:val="00D7679C"/>
    <w:rsid w:val="00D835D2"/>
    <w:rsid w:val="00D905FD"/>
    <w:rsid w:val="00DA274D"/>
    <w:rsid w:val="00DA4C93"/>
    <w:rsid w:val="00DB1BC7"/>
    <w:rsid w:val="00DB27AA"/>
    <w:rsid w:val="00DB2A71"/>
    <w:rsid w:val="00DB54DA"/>
    <w:rsid w:val="00DC1991"/>
    <w:rsid w:val="00DC4B4C"/>
    <w:rsid w:val="00DD2CB7"/>
    <w:rsid w:val="00DD5F05"/>
    <w:rsid w:val="00DE205F"/>
    <w:rsid w:val="00DE3A34"/>
    <w:rsid w:val="00DF33D1"/>
    <w:rsid w:val="00DF6403"/>
    <w:rsid w:val="00DF6833"/>
    <w:rsid w:val="00DF7698"/>
    <w:rsid w:val="00E058D1"/>
    <w:rsid w:val="00E06FD4"/>
    <w:rsid w:val="00E10B23"/>
    <w:rsid w:val="00E21AD0"/>
    <w:rsid w:val="00E324EE"/>
    <w:rsid w:val="00E457C4"/>
    <w:rsid w:val="00E50892"/>
    <w:rsid w:val="00E51D4D"/>
    <w:rsid w:val="00E5777C"/>
    <w:rsid w:val="00E63107"/>
    <w:rsid w:val="00E65FCB"/>
    <w:rsid w:val="00E7518B"/>
    <w:rsid w:val="00E77E63"/>
    <w:rsid w:val="00E85130"/>
    <w:rsid w:val="00E949D8"/>
    <w:rsid w:val="00EA6CC4"/>
    <w:rsid w:val="00EA737C"/>
    <w:rsid w:val="00EB1BC3"/>
    <w:rsid w:val="00EB3941"/>
    <w:rsid w:val="00EB6CF9"/>
    <w:rsid w:val="00EB700C"/>
    <w:rsid w:val="00EC0CBA"/>
    <w:rsid w:val="00EC159B"/>
    <w:rsid w:val="00EC1EF6"/>
    <w:rsid w:val="00ED01FB"/>
    <w:rsid w:val="00ED1841"/>
    <w:rsid w:val="00ED6B55"/>
    <w:rsid w:val="00EF6E6F"/>
    <w:rsid w:val="00F10A42"/>
    <w:rsid w:val="00F12B33"/>
    <w:rsid w:val="00F159C7"/>
    <w:rsid w:val="00F207EA"/>
    <w:rsid w:val="00F26368"/>
    <w:rsid w:val="00F26B63"/>
    <w:rsid w:val="00F345AD"/>
    <w:rsid w:val="00F351CF"/>
    <w:rsid w:val="00F54FF6"/>
    <w:rsid w:val="00F55255"/>
    <w:rsid w:val="00F5656B"/>
    <w:rsid w:val="00F626A0"/>
    <w:rsid w:val="00F640FA"/>
    <w:rsid w:val="00F727DE"/>
    <w:rsid w:val="00F7381D"/>
    <w:rsid w:val="00F8203C"/>
    <w:rsid w:val="00F83CB7"/>
    <w:rsid w:val="00F8547F"/>
    <w:rsid w:val="00F87888"/>
    <w:rsid w:val="00F93401"/>
    <w:rsid w:val="00FC5F68"/>
    <w:rsid w:val="00FD1DB4"/>
    <w:rsid w:val="00FD4765"/>
    <w:rsid w:val="00FE0F35"/>
    <w:rsid w:val="00FE6797"/>
    <w:rsid w:val="00FF1781"/>
    <w:rsid w:val="00FF2F50"/>
    <w:rsid w:val="00FF3679"/>
    <w:rsid w:val="00FF7E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C8A70C-136D-46B3-A148-A458D162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7E"/>
  </w:style>
  <w:style w:type="paragraph" w:styleId="Heading1">
    <w:name w:val="heading 1"/>
    <w:basedOn w:val="Normal"/>
    <w:next w:val="Normal"/>
    <w:link w:val="Heading1Char"/>
    <w:uiPriority w:val="9"/>
    <w:qFormat/>
    <w:rsid w:val="007261ED"/>
    <w:pPr>
      <w:keepNext/>
      <w:keepLines/>
      <w:spacing w:after="240" w:line="240" w:lineRule="auto"/>
      <w:jc w:val="both"/>
      <w:outlineLvl w:val="0"/>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3A"/>
  </w:style>
  <w:style w:type="paragraph" w:styleId="Footer">
    <w:name w:val="footer"/>
    <w:basedOn w:val="Normal"/>
    <w:link w:val="FooterChar"/>
    <w:uiPriority w:val="99"/>
    <w:unhideWhenUsed/>
    <w:rsid w:val="0003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23A"/>
  </w:style>
  <w:style w:type="paragraph" w:styleId="ListParagraph">
    <w:name w:val="List Paragraph"/>
    <w:basedOn w:val="Normal"/>
    <w:uiPriority w:val="34"/>
    <w:qFormat/>
    <w:rsid w:val="00CB1D02"/>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7261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261ED"/>
    <w:rPr>
      <w:rFonts w:ascii="Arial" w:eastAsiaTheme="majorEastAsia" w:hAnsi="Arial" w:cs="Arial"/>
      <w:b/>
      <w:bCs/>
    </w:rPr>
  </w:style>
  <w:style w:type="paragraph" w:styleId="NoSpacing">
    <w:name w:val="No Spacing"/>
    <w:uiPriority w:val="1"/>
    <w:qFormat/>
    <w:rsid w:val="009527C2"/>
    <w:pPr>
      <w:spacing w:after="0" w:line="240" w:lineRule="auto"/>
    </w:pPr>
  </w:style>
  <w:style w:type="paragraph" w:styleId="BalloonText">
    <w:name w:val="Balloon Text"/>
    <w:basedOn w:val="Normal"/>
    <w:link w:val="BalloonTextChar"/>
    <w:uiPriority w:val="99"/>
    <w:semiHidden/>
    <w:unhideWhenUsed/>
    <w:rsid w:val="0061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F5"/>
    <w:rPr>
      <w:rFonts w:ascii="Tahoma" w:hAnsi="Tahoma" w:cs="Tahoma"/>
      <w:sz w:val="16"/>
      <w:szCs w:val="16"/>
    </w:rPr>
  </w:style>
  <w:style w:type="character" w:styleId="CommentReference">
    <w:name w:val="annotation reference"/>
    <w:basedOn w:val="DefaultParagraphFont"/>
    <w:uiPriority w:val="99"/>
    <w:semiHidden/>
    <w:unhideWhenUsed/>
    <w:rsid w:val="006D0158"/>
    <w:rPr>
      <w:sz w:val="16"/>
      <w:szCs w:val="16"/>
    </w:rPr>
  </w:style>
  <w:style w:type="paragraph" w:styleId="CommentText">
    <w:name w:val="annotation text"/>
    <w:basedOn w:val="Normal"/>
    <w:link w:val="CommentTextChar"/>
    <w:uiPriority w:val="99"/>
    <w:semiHidden/>
    <w:unhideWhenUsed/>
    <w:rsid w:val="006D0158"/>
    <w:pPr>
      <w:spacing w:line="240" w:lineRule="auto"/>
    </w:pPr>
    <w:rPr>
      <w:sz w:val="20"/>
      <w:szCs w:val="20"/>
    </w:rPr>
  </w:style>
  <w:style w:type="character" w:customStyle="1" w:styleId="CommentTextChar">
    <w:name w:val="Comment Text Char"/>
    <w:basedOn w:val="DefaultParagraphFont"/>
    <w:link w:val="CommentText"/>
    <w:uiPriority w:val="99"/>
    <w:semiHidden/>
    <w:rsid w:val="006D0158"/>
    <w:rPr>
      <w:sz w:val="20"/>
      <w:szCs w:val="20"/>
    </w:rPr>
  </w:style>
  <w:style w:type="paragraph" w:styleId="CommentSubject">
    <w:name w:val="annotation subject"/>
    <w:basedOn w:val="CommentText"/>
    <w:next w:val="CommentText"/>
    <w:link w:val="CommentSubjectChar"/>
    <w:uiPriority w:val="99"/>
    <w:semiHidden/>
    <w:unhideWhenUsed/>
    <w:rsid w:val="006D0158"/>
    <w:rPr>
      <w:b/>
      <w:bCs/>
    </w:rPr>
  </w:style>
  <w:style w:type="character" w:customStyle="1" w:styleId="CommentSubjectChar">
    <w:name w:val="Comment Subject Char"/>
    <w:basedOn w:val="CommentTextChar"/>
    <w:link w:val="CommentSubject"/>
    <w:uiPriority w:val="99"/>
    <w:semiHidden/>
    <w:rsid w:val="006D0158"/>
    <w:rPr>
      <w:b/>
      <w:bCs/>
      <w:sz w:val="20"/>
      <w:szCs w:val="20"/>
    </w:rPr>
  </w:style>
  <w:style w:type="paragraph" w:styleId="Revision">
    <w:name w:val="Revision"/>
    <w:hidden/>
    <w:uiPriority w:val="99"/>
    <w:semiHidden/>
    <w:rsid w:val="007E4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7060">
      <w:bodyDiv w:val="1"/>
      <w:marLeft w:val="0"/>
      <w:marRight w:val="0"/>
      <w:marTop w:val="0"/>
      <w:marBottom w:val="0"/>
      <w:divBdr>
        <w:top w:val="none" w:sz="0" w:space="0" w:color="auto"/>
        <w:left w:val="none" w:sz="0" w:space="0" w:color="auto"/>
        <w:bottom w:val="none" w:sz="0" w:space="0" w:color="auto"/>
        <w:right w:val="none" w:sz="0" w:space="0" w:color="auto"/>
      </w:divBdr>
    </w:div>
    <w:div w:id="189682210">
      <w:bodyDiv w:val="1"/>
      <w:marLeft w:val="0"/>
      <w:marRight w:val="0"/>
      <w:marTop w:val="0"/>
      <w:marBottom w:val="0"/>
      <w:divBdr>
        <w:top w:val="none" w:sz="0" w:space="0" w:color="auto"/>
        <w:left w:val="none" w:sz="0" w:space="0" w:color="auto"/>
        <w:bottom w:val="none" w:sz="0" w:space="0" w:color="auto"/>
        <w:right w:val="none" w:sz="0" w:space="0" w:color="auto"/>
      </w:divBdr>
    </w:div>
    <w:div w:id="239602678">
      <w:bodyDiv w:val="1"/>
      <w:marLeft w:val="0"/>
      <w:marRight w:val="0"/>
      <w:marTop w:val="0"/>
      <w:marBottom w:val="0"/>
      <w:divBdr>
        <w:top w:val="none" w:sz="0" w:space="0" w:color="auto"/>
        <w:left w:val="none" w:sz="0" w:space="0" w:color="auto"/>
        <w:bottom w:val="none" w:sz="0" w:space="0" w:color="auto"/>
        <w:right w:val="none" w:sz="0" w:space="0" w:color="auto"/>
      </w:divBdr>
    </w:div>
    <w:div w:id="243538874">
      <w:bodyDiv w:val="1"/>
      <w:marLeft w:val="0"/>
      <w:marRight w:val="0"/>
      <w:marTop w:val="0"/>
      <w:marBottom w:val="0"/>
      <w:divBdr>
        <w:top w:val="none" w:sz="0" w:space="0" w:color="auto"/>
        <w:left w:val="none" w:sz="0" w:space="0" w:color="auto"/>
        <w:bottom w:val="none" w:sz="0" w:space="0" w:color="auto"/>
        <w:right w:val="none" w:sz="0" w:space="0" w:color="auto"/>
      </w:divBdr>
    </w:div>
    <w:div w:id="531766735">
      <w:bodyDiv w:val="1"/>
      <w:marLeft w:val="0"/>
      <w:marRight w:val="0"/>
      <w:marTop w:val="0"/>
      <w:marBottom w:val="0"/>
      <w:divBdr>
        <w:top w:val="none" w:sz="0" w:space="0" w:color="auto"/>
        <w:left w:val="none" w:sz="0" w:space="0" w:color="auto"/>
        <w:bottom w:val="none" w:sz="0" w:space="0" w:color="auto"/>
        <w:right w:val="none" w:sz="0" w:space="0" w:color="auto"/>
      </w:divBdr>
    </w:div>
    <w:div w:id="597642635">
      <w:bodyDiv w:val="1"/>
      <w:marLeft w:val="0"/>
      <w:marRight w:val="0"/>
      <w:marTop w:val="0"/>
      <w:marBottom w:val="0"/>
      <w:divBdr>
        <w:top w:val="none" w:sz="0" w:space="0" w:color="auto"/>
        <w:left w:val="none" w:sz="0" w:space="0" w:color="auto"/>
        <w:bottom w:val="none" w:sz="0" w:space="0" w:color="auto"/>
        <w:right w:val="none" w:sz="0" w:space="0" w:color="auto"/>
      </w:divBdr>
    </w:div>
    <w:div w:id="632709225">
      <w:bodyDiv w:val="1"/>
      <w:marLeft w:val="0"/>
      <w:marRight w:val="0"/>
      <w:marTop w:val="0"/>
      <w:marBottom w:val="0"/>
      <w:divBdr>
        <w:top w:val="none" w:sz="0" w:space="0" w:color="auto"/>
        <w:left w:val="none" w:sz="0" w:space="0" w:color="auto"/>
        <w:bottom w:val="none" w:sz="0" w:space="0" w:color="auto"/>
        <w:right w:val="none" w:sz="0" w:space="0" w:color="auto"/>
      </w:divBdr>
    </w:div>
    <w:div w:id="906381093">
      <w:bodyDiv w:val="1"/>
      <w:marLeft w:val="0"/>
      <w:marRight w:val="0"/>
      <w:marTop w:val="0"/>
      <w:marBottom w:val="0"/>
      <w:divBdr>
        <w:top w:val="none" w:sz="0" w:space="0" w:color="auto"/>
        <w:left w:val="none" w:sz="0" w:space="0" w:color="auto"/>
        <w:bottom w:val="none" w:sz="0" w:space="0" w:color="auto"/>
        <w:right w:val="none" w:sz="0" w:space="0" w:color="auto"/>
      </w:divBdr>
    </w:div>
    <w:div w:id="1121994292">
      <w:bodyDiv w:val="1"/>
      <w:marLeft w:val="0"/>
      <w:marRight w:val="0"/>
      <w:marTop w:val="0"/>
      <w:marBottom w:val="0"/>
      <w:divBdr>
        <w:top w:val="none" w:sz="0" w:space="0" w:color="auto"/>
        <w:left w:val="none" w:sz="0" w:space="0" w:color="auto"/>
        <w:bottom w:val="none" w:sz="0" w:space="0" w:color="auto"/>
        <w:right w:val="none" w:sz="0" w:space="0" w:color="auto"/>
      </w:divBdr>
    </w:div>
    <w:div w:id="1134829199">
      <w:bodyDiv w:val="1"/>
      <w:marLeft w:val="0"/>
      <w:marRight w:val="0"/>
      <w:marTop w:val="0"/>
      <w:marBottom w:val="0"/>
      <w:divBdr>
        <w:top w:val="none" w:sz="0" w:space="0" w:color="auto"/>
        <w:left w:val="none" w:sz="0" w:space="0" w:color="auto"/>
        <w:bottom w:val="none" w:sz="0" w:space="0" w:color="auto"/>
        <w:right w:val="none" w:sz="0" w:space="0" w:color="auto"/>
      </w:divBdr>
    </w:div>
    <w:div w:id="1189761768">
      <w:bodyDiv w:val="1"/>
      <w:marLeft w:val="0"/>
      <w:marRight w:val="0"/>
      <w:marTop w:val="0"/>
      <w:marBottom w:val="0"/>
      <w:divBdr>
        <w:top w:val="none" w:sz="0" w:space="0" w:color="auto"/>
        <w:left w:val="none" w:sz="0" w:space="0" w:color="auto"/>
        <w:bottom w:val="none" w:sz="0" w:space="0" w:color="auto"/>
        <w:right w:val="none" w:sz="0" w:space="0" w:color="auto"/>
      </w:divBdr>
    </w:div>
    <w:div w:id="1386298003">
      <w:bodyDiv w:val="1"/>
      <w:marLeft w:val="0"/>
      <w:marRight w:val="0"/>
      <w:marTop w:val="0"/>
      <w:marBottom w:val="0"/>
      <w:divBdr>
        <w:top w:val="none" w:sz="0" w:space="0" w:color="auto"/>
        <w:left w:val="none" w:sz="0" w:space="0" w:color="auto"/>
        <w:bottom w:val="none" w:sz="0" w:space="0" w:color="auto"/>
        <w:right w:val="none" w:sz="0" w:space="0" w:color="auto"/>
      </w:divBdr>
    </w:div>
    <w:div w:id="1409418790">
      <w:bodyDiv w:val="1"/>
      <w:marLeft w:val="0"/>
      <w:marRight w:val="0"/>
      <w:marTop w:val="0"/>
      <w:marBottom w:val="0"/>
      <w:divBdr>
        <w:top w:val="none" w:sz="0" w:space="0" w:color="auto"/>
        <w:left w:val="none" w:sz="0" w:space="0" w:color="auto"/>
        <w:bottom w:val="none" w:sz="0" w:space="0" w:color="auto"/>
        <w:right w:val="none" w:sz="0" w:space="0" w:color="auto"/>
      </w:divBdr>
    </w:div>
    <w:div w:id="1717001533">
      <w:bodyDiv w:val="1"/>
      <w:marLeft w:val="0"/>
      <w:marRight w:val="0"/>
      <w:marTop w:val="0"/>
      <w:marBottom w:val="0"/>
      <w:divBdr>
        <w:top w:val="none" w:sz="0" w:space="0" w:color="auto"/>
        <w:left w:val="none" w:sz="0" w:space="0" w:color="auto"/>
        <w:bottom w:val="none" w:sz="0" w:space="0" w:color="auto"/>
        <w:right w:val="none" w:sz="0" w:space="0" w:color="auto"/>
      </w:divBdr>
    </w:div>
    <w:div w:id="1873615094">
      <w:bodyDiv w:val="1"/>
      <w:marLeft w:val="0"/>
      <w:marRight w:val="0"/>
      <w:marTop w:val="0"/>
      <w:marBottom w:val="0"/>
      <w:divBdr>
        <w:top w:val="none" w:sz="0" w:space="0" w:color="auto"/>
        <w:left w:val="none" w:sz="0" w:space="0" w:color="auto"/>
        <w:bottom w:val="none" w:sz="0" w:space="0" w:color="auto"/>
        <w:right w:val="none" w:sz="0" w:space="0" w:color="auto"/>
      </w:divBdr>
    </w:div>
    <w:div w:id="1891265916">
      <w:bodyDiv w:val="1"/>
      <w:marLeft w:val="0"/>
      <w:marRight w:val="0"/>
      <w:marTop w:val="0"/>
      <w:marBottom w:val="0"/>
      <w:divBdr>
        <w:top w:val="none" w:sz="0" w:space="0" w:color="auto"/>
        <w:left w:val="none" w:sz="0" w:space="0" w:color="auto"/>
        <w:bottom w:val="none" w:sz="0" w:space="0" w:color="auto"/>
        <w:right w:val="none" w:sz="0" w:space="0" w:color="auto"/>
      </w:divBdr>
    </w:div>
    <w:div w:id="1941839235">
      <w:bodyDiv w:val="1"/>
      <w:marLeft w:val="0"/>
      <w:marRight w:val="0"/>
      <w:marTop w:val="0"/>
      <w:marBottom w:val="0"/>
      <w:divBdr>
        <w:top w:val="none" w:sz="0" w:space="0" w:color="auto"/>
        <w:left w:val="none" w:sz="0" w:space="0" w:color="auto"/>
        <w:bottom w:val="none" w:sz="0" w:space="0" w:color="auto"/>
        <w:right w:val="none" w:sz="0" w:space="0" w:color="auto"/>
      </w:divBdr>
    </w:div>
    <w:div w:id="2139837223">
      <w:bodyDiv w:val="1"/>
      <w:marLeft w:val="0"/>
      <w:marRight w:val="0"/>
      <w:marTop w:val="0"/>
      <w:marBottom w:val="0"/>
      <w:divBdr>
        <w:top w:val="none" w:sz="0" w:space="0" w:color="auto"/>
        <w:left w:val="none" w:sz="0" w:space="0" w:color="auto"/>
        <w:bottom w:val="none" w:sz="0" w:space="0" w:color="auto"/>
        <w:right w:val="none" w:sz="0" w:space="0" w:color="auto"/>
      </w:divBdr>
    </w:div>
    <w:div w:id="21409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55E7C.ED349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0988-9FAB-4F0C-B5B7-0F3B53F3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Zanelen</dc:creator>
  <cp:lastModifiedBy>Microsoft Office User</cp:lastModifiedBy>
  <cp:revision>2</cp:revision>
  <cp:lastPrinted>2018-01-18T10:25:00Z</cp:lastPrinted>
  <dcterms:created xsi:type="dcterms:W3CDTF">2020-06-08T06:59:00Z</dcterms:created>
  <dcterms:modified xsi:type="dcterms:W3CDTF">2020-06-08T06:59:00Z</dcterms:modified>
</cp:coreProperties>
</file>