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2.xml" ContentType="application/vnd.openxmlformats-officedocument.themeOverrid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Override3.xml" ContentType="application/vnd.openxmlformats-officedocument.themeOverrid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theme/themeOverride4.xml" ContentType="application/vnd.openxmlformats-officedocument.themeOverrid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1DD8C" w14:textId="77777777" w:rsidR="00214BA1" w:rsidRPr="000D33E4" w:rsidRDefault="002834E6" w:rsidP="007B1E55">
      <w:pPr>
        <w:pStyle w:val="Title"/>
        <w:spacing w:after="0"/>
        <w:jc w:val="center"/>
        <w:rPr>
          <w:rFonts w:ascii="Times" w:hAnsi="Times"/>
          <w:sz w:val="22"/>
          <w:szCs w:val="22"/>
        </w:rPr>
      </w:pPr>
      <w:bookmarkStart w:id="0" w:name="_GoBack"/>
      <w:bookmarkEnd w:id="0"/>
      <w:r w:rsidRPr="000D33E4">
        <w:rPr>
          <w:rFonts w:ascii="Times" w:hAnsi="Times"/>
          <w:noProof/>
          <w:sz w:val="22"/>
          <w:szCs w:val="22"/>
          <w:lang w:eastAsia="en-ZA"/>
        </w:rPr>
        <w:drawing>
          <wp:inline distT="0" distB="0" distL="0" distR="0" wp14:anchorId="3E9D7816" wp14:editId="3A14A734">
            <wp:extent cx="1332230" cy="1214755"/>
            <wp:effectExtent l="19050" t="0" r="1270" b="0"/>
            <wp:docPr id="16" name="Picture 3"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png"/>
                    <pic:cNvPicPr>
                      <a:picLocks noChangeAspect="1" noChangeArrowheads="1"/>
                    </pic:cNvPicPr>
                  </pic:nvPicPr>
                  <pic:blipFill>
                    <a:blip r:embed="rId8"/>
                    <a:srcRect/>
                    <a:stretch>
                      <a:fillRect/>
                    </a:stretch>
                  </pic:blipFill>
                  <pic:spPr bwMode="auto">
                    <a:xfrm>
                      <a:off x="0" y="0"/>
                      <a:ext cx="1332230" cy="1214755"/>
                    </a:xfrm>
                    <a:prstGeom prst="rect">
                      <a:avLst/>
                    </a:prstGeom>
                    <a:noFill/>
                    <a:ln w="9525">
                      <a:noFill/>
                      <a:miter lim="800000"/>
                      <a:headEnd/>
                      <a:tailEnd/>
                    </a:ln>
                  </pic:spPr>
                </pic:pic>
              </a:graphicData>
            </a:graphic>
          </wp:inline>
        </w:drawing>
      </w:r>
    </w:p>
    <w:p w14:paraId="4E1D2D48" w14:textId="77777777" w:rsidR="00214BA1" w:rsidRPr="000D33E4" w:rsidRDefault="00214BA1" w:rsidP="007B1E55">
      <w:pPr>
        <w:pStyle w:val="Title"/>
        <w:spacing w:after="0"/>
        <w:jc w:val="center"/>
        <w:rPr>
          <w:rFonts w:ascii="Times" w:hAnsi="Times"/>
          <w:sz w:val="22"/>
          <w:szCs w:val="22"/>
        </w:rPr>
      </w:pPr>
    </w:p>
    <w:p w14:paraId="505F12CC" w14:textId="7F0AFF54" w:rsidR="00214BA1" w:rsidRPr="009A7F2D" w:rsidRDefault="004503B7" w:rsidP="00D37C78">
      <w:pPr>
        <w:pStyle w:val="Title"/>
        <w:spacing w:after="0"/>
        <w:jc w:val="center"/>
        <w:rPr>
          <w:rFonts w:ascii="Times" w:hAnsi="Times"/>
          <w:color w:val="004C45" w:themeColor="text2"/>
        </w:rPr>
      </w:pPr>
      <w:r w:rsidRPr="009A7F2D">
        <w:rPr>
          <w:rFonts w:ascii="Times" w:hAnsi="Times"/>
          <w:color w:val="004C45" w:themeColor="text2"/>
        </w:rPr>
        <w:t>Briefing to the S</w:t>
      </w:r>
      <w:r w:rsidR="00BC2256">
        <w:rPr>
          <w:rFonts w:ascii="Times" w:hAnsi="Times"/>
          <w:color w:val="004C45" w:themeColor="text2"/>
        </w:rPr>
        <w:t>elect</w:t>
      </w:r>
      <w:r w:rsidRPr="009A7F2D">
        <w:rPr>
          <w:rFonts w:ascii="Times" w:hAnsi="Times"/>
          <w:color w:val="004C45" w:themeColor="text2"/>
        </w:rPr>
        <w:t xml:space="preserve"> Committee on Appropriations on </w:t>
      </w:r>
      <w:r w:rsidRPr="009A7F2D">
        <w:rPr>
          <w:rFonts w:ascii="Times" w:hAnsi="Times"/>
          <w:bCs/>
          <w:color w:val="004C45" w:themeColor="text2"/>
        </w:rPr>
        <w:t xml:space="preserve">the </w:t>
      </w:r>
      <w:r w:rsidR="00D37C78">
        <w:rPr>
          <w:rFonts w:ascii="Times" w:hAnsi="Times"/>
          <w:bCs/>
          <w:color w:val="004C45" w:themeColor="text2"/>
        </w:rPr>
        <w:t>f</w:t>
      </w:r>
      <w:r w:rsidR="002C523F" w:rsidRPr="009A7F2D">
        <w:rPr>
          <w:rFonts w:ascii="Times" w:hAnsi="Times"/>
          <w:bCs/>
          <w:color w:val="004C45" w:themeColor="text2"/>
        </w:rPr>
        <w:t xml:space="preserve">inancial and </w:t>
      </w:r>
      <w:r w:rsidR="00D37C78">
        <w:rPr>
          <w:rFonts w:ascii="Times" w:hAnsi="Times"/>
          <w:bCs/>
          <w:color w:val="004C45" w:themeColor="text2"/>
        </w:rPr>
        <w:t>f</w:t>
      </w:r>
      <w:r w:rsidRPr="009A7F2D">
        <w:rPr>
          <w:rFonts w:ascii="Times" w:hAnsi="Times"/>
          <w:bCs/>
          <w:color w:val="004C45" w:themeColor="text2"/>
        </w:rPr>
        <w:t xml:space="preserve">iscal </w:t>
      </w:r>
      <w:r w:rsidR="00D37C78">
        <w:rPr>
          <w:rFonts w:ascii="Times" w:hAnsi="Times"/>
          <w:bCs/>
          <w:color w:val="004C45" w:themeColor="text2"/>
        </w:rPr>
        <w:t>i</w:t>
      </w:r>
      <w:r w:rsidRPr="009A7F2D">
        <w:rPr>
          <w:rFonts w:ascii="Times" w:hAnsi="Times"/>
          <w:bCs/>
          <w:color w:val="004C45" w:themeColor="text2"/>
        </w:rPr>
        <w:t>mpact of Covid-19</w:t>
      </w:r>
    </w:p>
    <w:p w14:paraId="6A610EAC" w14:textId="77777777" w:rsidR="004503B7" w:rsidRPr="000D33E4" w:rsidRDefault="004503B7" w:rsidP="007B1E55">
      <w:pPr>
        <w:pStyle w:val="Subtitle"/>
        <w:jc w:val="center"/>
        <w:rPr>
          <w:rStyle w:val="SubtleEmphasis"/>
          <w:rFonts w:ascii="Times" w:hAnsi="Times"/>
          <w:i/>
          <w:iCs/>
          <w:color w:val="auto"/>
          <w:sz w:val="22"/>
          <w:szCs w:val="22"/>
        </w:rPr>
      </w:pPr>
    </w:p>
    <w:p w14:paraId="287CD246" w14:textId="77777777" w:rsidR="004503B7" w:rsidRPr="000D33E4" w:rsidRDefault="004503B7" w:rsidP="007B1E55">
      <w:pPr>
        <w:pStyle w:val="Subtitle"/>
        <w:jc w:val="center"/>
        <w:rPr>
          <w:rStyle w:val="SubtleEmphasis"/>
          <w:rFonts w:ascii="Times" w:hAnsi="Times"/>
          <w:i/>
          <w:iCs/>
          <w:color w:val="auto"/>
          <w:sz w:val="22"/>
          <w:szCs w:val="22"/>
        </w:rPr>
      </w:pPr>
    </w:p>
    <w:p w14:paraId="579B8F96" w14:textId="77777777" w:rsidR="004503B7" w:rsidRPr="000D33E4" w:rsidRDefault="004503B7" w:rsidP="007B1E55">
      <w:pPr>
        <w:pStyle w:val="Subtitle"/>
        <w:jc w:val="center"/>
        <w:rPr>
          <w:rStyle w:val="SubtleEmphasis"/>
          <w:rFonts w:ascii="Times" w:hAnsi="Times"/>
          <w:i/>
          <w:iCs/>
          <w:color w:val="auto"/>
          <w:sz w:val="22"/>
          <w:szCs w:val="22"/>
        </w:rPr>
      </w:pPr>
    </w:p>
    <w:p w14:paraId="05E04443" w14:textId="77777777" w:rsidR="004503B7" w:rsidRPr="009A7F2D" w:rsidRDefault="004503B7" w:rsidP="007B1E55">
      <w:pPr>
        <w:pStyle w:val="Subtitle"/>
        <w:jc w:val="center"/>
        <w:rPr>
          <w:rStyle w:val="SubtleEmphasis"/>
          <w:rFonts w:ascii="Times" w:hAnsi="Times"/>
          <w:i/>
          <w:iCs/>
          <w:color w:val="004C45" w:themeColor="text2"/>
          <w:spacing w:val="0"/>
          <w:sz w:val="22"/>
          <w:szCs w:val="22"/>
        </w:rPr>
      </w:pPr>
      <w:r w:rsidRPr="009A7F2D">
        <w:rPr>
          <w:rFonts w:ascii="Times" w:hAnsi="Times"/>
          <w:i w:val="0"/>
          <w:color w:val="004C45" w:themeColor="text2"/>
          <w:spacing w:val="0"/>
          <w:sz w:val="22"/>
          <w:szCs w:val="22"/>
        </w:rPr>
        <w:t>Financial and Fiscal Commission:</w:t>
      </w:r>
    </w:p>
    <w:p w14:paraId="07A77EDB" w14:textId="77777777" w:rsidR="00214BA1" w:rsidRPr="009A7F2D" w:rsidRDefault="00214BA1" w:rsidP="007B1E55">
      <w:pPr>
        <w:pStyle w:val="Subtitle"/>
        <w:jc w:val="center"/>
        <w:rPr>
          <w:rStyle w:val="SubtleEmphasis"/>
          <w:rFonts w:ascii="Times" w:hAnsi="Times"/>
          <w:i/>
          <w:iCs/>
          <w:color w:val="auto"/>
          <w:spacing w:val="0"/>
          <w:sz w:val="22"/>
          <w:szCs w:val="22"/>
        </w:rPr>
      </w:pPr>
      <w:r w:rsidRPr="009A7F2D">
        <w:rPr>
          <w:rStyle w:val="SubtleEmphasis"/>
          <w:rFonts w:ascii="Times" w:hAnsi="Times"/>
          <w:i/>
          <w:iCs/>
          <w:color w:val="auto"/>
          <w:spacing w:val="0"/>
          <w:sz w:val="22"/>
          <w:szCs w:val="22"/>
        </w:rPr>
        <w:t>For an Equitable Sharing of National Revenue</w:t>
      </w:r>
    </w:p>
    <w:p w14:paraId="3FBA5A18" w14:textId="77777777" w:rsidR="00214BA1" w:rsidRPr="000D33E4" w:rsidRDefault="00214BA1" w:rsidP="007B1E55">
      <w:pPr>
        <w:rPr>
          <w:rFonts w:ascii="Times" w:hAnsi="Times"/>
        </w:rPr>
      </w:pPr>
    </w:p>
    <w:p w14:paraId="6B1F2FF2" w14:textId="77777777" w:rsidR="00214BA1" w:rsidRPr="000D33E4" w:rsidRDefault="00214BA1" w:rsidP="007B1E55">
      <w:pPr>
        <w:jc w:val="center"/>
        <w:rPr>
          <w:rFonts w:ascii="Times" w:hAnsi="Times"/>
        </w:rPr>
      </w:pPr>
    </w:p>
    <w:p w14:paraId="267F3FF7" w14:textId="77777777" w:rsidR="00214BA1" w:rsidRPr="000D33E4" w:rsidRDefault="00214BA1" w:rsidP="007B1E55">
      <w:pPr>
        <w:jc w:val="center"/>
        <w:rPr>
          <w:rFonts w:ascii="Times" w:hAnsi="Times"/>
        </w:rPr>
      </w:pPr>
    </w:p>
    <w:p w14:paraId="0D8B08F5" w14:textId="79580802" w:rsidR="00214BA1" w:rsidRPr="000D33E4" w:rsidRDefault="00BC2256" w:rsidP="007B1E55">
      <w:pPr>
        <w:jc w:val="center"/>
        <w:rPr>
          <w:rFonts w:ascii="Times" w:hAnsi="Times"/>
        </w:rPr>
      </w:pPr>
      <w:r>
        <w:rPr>
          <w:rFonts w:ascii="Times" w:hAnsi="Times"/>
        </w:rPr>
        <w:t>10 June</w:t>
      </w:r>
      <w:r w:rsidR="00D43FBD">
        <w:rPr>
          <w:rFonts w:ascii="Times" w:hAnsi="Times"/>
        </w:rPr>
        <w:t xml:space="preserve"> 2020</w:t>
      </w:r>
    </w:p>
    <w:p w14:paraId="29E36477" w14:textId="77777777" w:rsidR="00214BA1" w:rsidRPr="000D33E4" w:rsidRDefault="00214BA1" w:rsidP="007B1E55">
      <w:pPr>
        <w:rPr>
          <w:rFonts w:ascii="Times" w:hAnsi="Times"/>
        </w:rPr>
      </w:pPr>
    </w:p>
    <w:p w14:paraId="1391EB52" w14:textId="77777777" w:rsidR="00214BA1" w:rsidRPr="000D33E4" w:rsidRDefault="00214BA1" w:rsidP="007B1E55">
      <w:pPr>
        <w:jc w:val="center"/>
        <w:rPr>
          <w:rFonts w:ascii="Times" w:hAnsi="Times"/>
        </w:rPr>
      </w:pPr>
    </w:p>
    <w:p w14:paraId="5FFD6435" w14:textId="77777777" w:rsidR="00214BA1" w:rsidRPr="000D33E4" w:rsidRDefault="00214BA1" w:rsidP="007B1E55">
      <w:pPr>
        <w:jc w:val="center"/>
        <w:rPr>
          <w:rFonts w:ascii="Times" w:hAnsi="Times"/>
        </w:rPr>
      </w:pPr>
    </w:p>
    <w:p w14:paraId="16FA20AB" w14:textId="77777777" w:rsidR="00214BA1" w:rsidRPr="000D33E4" w:rsidRDefault="00214BA1" w:rsidP="007B1E55">
      <w:pPr>
        <w:jc w:val="center"/>
        <w:rPr>
          <w:rFonts w:ascii="Times" w:hAnsi="Times"/>
        </w:rPr>
      </w:pPr>
    </w:p>
    <w:p w14:paraId="14C40AAD" w14:textId="77777777" w:rsidR="00214BA1" w:rsidRPr="000D33E4" w:rsidRDefault="00214BA1" w:rsidP="007B1E55">
      <w:pPr>
        <w:jc w:val="center"/>
        <w:rPr>
          <w:rFonts w:ascii="Times" w:hAnsi="Times"/>
        </w:rPr>
      </w:pPr>
    </w:p>
    <w:p w14:paraId="3FDA5E6C" w14:textId="77777777" w:rsidR="00214BA1" w:rsidRPr="000D33E4" w:rsidRDefault="00214BA1" w:rsidP="007B1E55">
      <w:pPr>
        <w:jc w:val="center"/>
        <w:rPr>
          <w:rFonts w:ascii="Times" w:hAnsi="Times"/>
        </w:rPr>
      </w:pPr>
    </w:p>
    <w:p w14:paraId="37652B54" w14:textId="77777777" w:rsidR="00214BA1" w:rsidRPr="000D33E4" w:rsidRDefault="00214BA1" w:rsidP="007B1E55">
      <w:pPr>
        <w:jc w:val="center"/>
        <w:rPr>
          <w:rFonts w:ascii="Times" w:hAnsi="Times"/>
        </w:rPr>
      </w:pPr>
    </w:p>
    <w:p w14:paraId="3F3C040A" w14:textId="77777777" w:rsidR="00214BA1" w:rsidRPr="000D33E4" w:rsidRDefault="00214BA1" w:rsidP="007B1E55">
      <w:pPr>
        <w:jc w:val="center"/>
        <w:rPr>
          <w:rFonts w:ascii="Times" w:hAnsi="Times"/>
        </w:rPr>
      </w:pPr>
    </w:p>
    <w:p w14:paraId="7C73DB41" w14:textId="77777777" w:rsidR="00214BA1" w:rsidRPr="000D33E4" w:rsidRDefault="00214BA1" w:rsidP="007B1E55">
      <w:pPr>
        <w:jc w:val="center"/>
        <w:rPr>
          <w:rFonts w:ascii="Times" w:hAnsi="Times"/>
        </w:rPr>
      </w:pPr>
    </w:p>
    <w:p w14:paraId="03AF54D6" w14:textId="77777777" w:rsidR="00214BA1" w:rsidRPr="000D33E4" w:rsidRDefault="00214BA1" w:rsidP="007B1E55">
      <w:pPr>
        <w:jc w:val="center"/>
        <w:rPr>
          <w:rFonts w:ascii="Times" w:hAnsi="Times"/>
        </w:rPr>
      </w:pPr>
    </w:p>
    <w:p w14:paraId="785651E8" w14:textId="77777777" w:rsidR="005B39A6" w:rsidRPr="000D33E4" w:rsidRDefault="005B39A6" w:rsidP="007B1E55">
      <w:pPr>
        <w:jc w:val="center"/>
        <w:rPr>
          <w:rFonts w:ascii="Times" w:hAnsi="Times"/>
        </w:rPr>
      </w:pPr>
    </w:p>
    <w:p w14:paraId="22912C04" w14:textId="77777777" w:rsidR="00214BA1" w:rsidRPr="000D33E4" w:rsidRDefault="00101594" w:rsidP="007B1E55">
      <w:pPr>
        <w:jc w:val="center"/>
        <w:rPr>
          <w:rFonts w:ascii="Times" w:hAnsi="Times"/>
          <w:noProof/>
          <w:color w:val="26724C"/>
        </w:rPr>
      </w:pPr>
      <w:r w:rsidRPr="000D33E4">
        <w:rPr>
          <w:rFonts w:ascii="Times" w:hAnsi="Times"/>
          <w:color w:val="26724C"/>
        </w:rPr>
        <w:fldChar w:fldCharType="begin"/>
      </w:r>
      <w:r w:rsidR="00214BA1" w:rsidRPr="000D33E4">
        <w:rPr>
          <w:rFonts w:ascii="Times" w:hAnsi="Times"/>
          <w:color w:val="26724C"/>
        </w:rPr>
        <w:instrText xml:space="preserve"> ADDRESSBLOCK   \* MERGEFORMAT </w:instrText>
      </w:r>
      <w:r w:rsidRPr="000D33E4">
        <w:rPr>
          <w:rFonts w:ascii="Times" w:hAnsi="Times"/>
          <w:color w:val="26724C"/>
        </w:rPr>
        <w:fldChar w:fldCharType="separate"/>
      </w:r>
      <w:r w:rsidR="00214BA1" w:rsidRPr="000D33E4">
        <w:rPr>
          <w:rFonts w:ascii="Times" w:hAnsi="Times"/>
          <w:noProof/>
          <w:color w:val="26724C"/>
        </w:rPr>
        <w:t>Financial and Fiscal Commission</w:t>
      </w:r>
    </w:p>
    <w:p w14:paraId="36525D4F" w14:textId="77777777" w:rsidR="00214BA1" w:rsidRPr="000D33E4" w:rsidRDefault="00214BA1" w:rsidP="007B1E55">
      <w:pPr>
        <w:jc w:val="center"/>
        <w:rPr>
          <w:rFonts w:ascii="Times" w:hAnsi="Times"/>
          <w:noProof/>
          <w:color w:val="26724C"/>
        </w:rPr>
      </w:pPr>
      <w:r w:rsidRPr="000D33E4">
        <w:rPr>
          <w:rFonts w:ascii="Times" w:hAnsi="Times"/>
          <w:noProof/>
          <w:color w:val="26724C"/>
        </w:rPr>
        <w:t>Montrose Place (2</w:t>
      </w:r>
      <w:r w:rsidRPr="000D33E4">
        <w:rPr>
          <w:rFonts w:ascii="Times" w:hAnsi="Times"/>
          <w:noProof/>
          <w:color w:val="26724C"/>
          <w:vertAlign w:val="superscript"/>
        </w:rPr>
        <w:t>nd</w:t>
      </w:r>
      <w:r w:rsidRPr="000D33E4">
        <w:rPr>
          <w:rFonts w:ascii="Times" w:hAnsi="Times"/>
          <w:noProof/>
          <w:color w:val="26724C"/>
        </w:rPr>
        <w:t xml:space="preserve"> Floor), Bekker Street,</w:t>
      </w:r>
    </w:p>
    <w:p w14:paraId="10D280F6" w14:textId="77777777" w:rsidR="00214BA1" w:rsidRPr="000D33E4" w:rsidRDefault="00214BA1" w:rsidP="007B1E55">
      <w:pPr>
        <w:jc w:val="center"/>
        <w:rPr>
          <w:rFonts w:ascii="Times" w:hAnsi="Times"/>
          <w:noProof/>
          <w:color w:val="26724C"/>
        </w:rPr>
      </w:pPr>
      <w:r w:rsidRPr="000D33E4">
        <w:rPr>
          <w:rFonts w:ascii="Times" w:hAnsi="Times"/>
          <w:noProof/>
          <w:color w:val="26724C"/>
        </w:rPr>
        <w:t>Waterfall Park, Vorna Valley, Midrand,</w:t>
      </w:r>
    </w:p>
    <w:p w14:paraId="76AA0800" w14:textId="77777777" w:rsidR="00214BA1" w:rsidRPr="000D33E4" w:rsidRDefault="00214BA1" w:rsidP="007B1E55">
      <w:pPr>
        <w:jc w:val="center"/>
        <w:rPr>
          <w:rFonts w:ascii="Times" w:hAnsi="Times"/>
          <w:noProof/>
          <w:color w:val="26724C"/>
        </w:rPr>
      </w:pPr>
      <w:r w:rsidRPr="000D33E4">
        <w:rPr>
          <w:rFonts w:ascii="Times" w:hAnsi="Times"/>
          <w:noProof/>
          <w:color w:val="26724C"/>
        </w:rPr>
        <w:t>Private Bag X69, Halfway House 1685</w:t>
      </w:r>
    </w:p>
    <w:p w14:paraId="7401CF66" w14:textId="77777777" w:rsidR="00214BA1" w:rsidRPr="000D33E4" w:rsidRDefault="00214BA1" w:rsidP="007B1E55">
      <w:pPr>
        <w:jc w:val="center"/>
        <w:rPr>
          <w:rFonts w:ascii="Times" w:hAnsi="Times"/>
          <w:color w:val="26724C"/>
        </w:rPr>
      </w:pPr>
      <w:r w:rsidRPr="000D33E4">
        <w:rPr>
          <w:rFonts w:ascii="Times" w:hAnsi="Times"/>
          <w:noProof/>
          <w:color w:val="26724C"/>
        </w:rPr>
        <w:t>www.ffc.co.za</w:t>
      </w:r>
      <w:r w:rsidR="00101594" w:rsidRPr="000D33E4">
        <w:rPr>
          <w:rFonts w:ascii="Times" w:hAnsi="Times"/>
          <w:color w:val="26724C"/>
        </w:rPr>
        <w:fldChar w:fldCharType="end"/>
      </w:r>
    </w:p>
    <w:p w14:paraId="047E6F60" w14:textId="77777777" w:rsidR="00214BA1" w:rsidRPr="000D33E4" w:rsidRDefault="00214BA1" w:rsidP="007B1E55">
      <w:pPr>
        <w:jc w:val="center"/>
        <w:rPr>
          <w:rFonts w:ascii="Times" w:hAnsi="Times"/>
          <w:color w:val="26724C"/>
        </w:rPr>
      </w:pPr>
      <w:r w:rsidRPr="000D33E4">
        <w:rPr>
          <w:rFonts w:ascii="Times" w:hAnsi="Times"/>
          <w:color w:val="26724C"/>
        </w:rPr>
        <w:t>Tel: +27 11 207 2300</w:t>
      </w:r>
    </w:p>
    <w:p w14:paraId="018357F9" w14:textId="77777777" w:rsidR="00214BA1" w:rsidRPr="000D33E4" w:rsidRDefault="00214BA1" w:rsidP="007B1E55">
      <w:pPr>
        <w:jc w:val="center"/>
        <w:rPr>
          <w:rFonts w:ascii="Times" w:hAnsi="Times"/>
          <w:color w:val="26724C"/>
        </w:rPr>
      </w:pPr>
      <w:r w:rsidRPr="000D33E4">
        <w:rPr>
          <w:rFonts w:ascii="Times" w:hAnsi="Times"/>
          <w:color w:val="26724C"/>
        </w:rPr>
        <w:t>Fax: +27 86 589 1038</w:t>
      </w:r>
    </w:p>
    <w:p w14:paraId="26D2915F" w14:textId="77777777" w:rsidR="006A6148" w:rsidRPr="000D33E4" w:rsidRDefault="006A6148">
      <w:pPr>
        <w:rPr>
          <w:rFonts w:ascii="Times" w:hAnsi="Times"/>
          <w:color w:val="26724C"/>
        </w:rPr>
      </w:pPr>
      <w:r w:rsidRPr="000D33E4">
        <w:rPr>
          <w:rFonts w:ascii="Times" w:hAnsi="Times"/>
          <w:color w:val="26724C"/>
        </w:rPr>
        <w:br w:type="page"/>
      </w:r>
    </w:p>
    <w:p w14:paraId="771FBFE7" w14:textId="77777777" w:rsidR="00214BA1" w:rsidRPr="00E827B9" w:rsidRDefault="00214BA1" w:rsidP="00E827B9">
      <w:pPr>
        <w:rPr>
          <w:b/>
          <w:bCs/>
          <w:color w:val="004C45" w:themeColor="text2"/>
        </w:rPr>
      </w:pPr>
      <w:r w:rsidRPr="00E827B9">
        <w:rPr>
          <w:b/>
          <w:bCs/>
          <w:color w:val="004C45" w:themeColor="text2"/>
        </w:rPr>
        <w:lastRenderedPageBreak/>
        <w:t>Contents</w:t>
      </w:r>
    </w:p>
    <w:p w14:paraId="1811F6D2" w14:textId="77777777" w:rsidR="00214BA1" w:rsidRPr="000D33E4" w:rsidRDefault="00214BA1" w:rsidP="007B1E55">
      <w:pPr>
        <w:rPr>
          <w:rFonts w:ascii="Times" w:hAnsi="Times"/>
          <w:lang w:val="en-US"/>
        </w:rPr>
      </w:pPr>
    </w:p>
    <w:p w14:paraId="4CFCF9FF" w14:textId="5A6808F7" w:rsidR="00F50C46" w:rsidRDefault="00E06CBD">
      <w:pPr>
        <w:pStyle w:val="TOC2"/>
        <w:tabs>
          <w:tab w:val="right" w:leader="dot" w:pos="9016"/>
        </w:tabs>
        <w:rPr>
          <w:rFonts w:asciiTheme="minorHAnsi" w:eastAsiaTheme="minorEastAsia" w:hAnsiTheme="minorHAnsi" w:cstheme="minorBidi"/>
          <w:noProof/>
          <w:sz w:val="22"/>
          <w:lang w:val="en-GB" w:eastAsia="en-GB"/>
        </w:rPr>
      </w:pPr>
      <w:r>
        <w:fldChar w:fldCharType="begin"/>
      </w:r>
      <w:r>
        <w:instrText xml:space="preserve"> TOC \o "1-3" \h \z \u </w:instrText>
      </w:r>
      <w:r>
        <w:fldChar w:fldCharType="separate"/>
      </w:r>
      <w:hyperlink w:anchor="_Toc42211901" w:history="1">
        <w:r w:rsidR="00F50C46" w:rsidRPr="0075181A">
          <w:rPr>
            <w:rStyle w:val="Hyperlink"/>
            <w:noProof/>
          </w:rPr>
          <w:t>Acronyms</w:t>
        </w:r>
        <w:r w:rsidR="00F50C46">
          <w:rPr>
            <w:noProof/>
            <w:webHidden/>
          </w:rPr>
          <w:tab/>
        </w:r>
        <w:r w:rsidR="00F50C46">
          <w:rPr>
            <w:noProof/>
            <w:webHidden/>
          </w:rPr>
          <w:fldChar w:fldCharType="begin"/>
        </w:r>
        <w:r w:rsidR="00F50C46">
          <w:rPr>
            <w:noProof/>
            <w:webHidden/>
          </w:rPr>
          <w:instrText xml:space="preserve"> PAGEREF _Toc42211901 \h </w:instrText>
        </w:r>
        <w:r w:rsidR="00F50C46">
          <w:rPr>
            <w:noProof/>
            <w:webHidden/>
          </w:rPr>
        </w:r>
        <w:r w:rsidR="00F50C46">
          <w:rPr>
            <w:noProof/>
            <w:webHidden/>
          </w:rPr>
          <w:fldChar w:fldCharType="separate"/>
        </w:r>
        <w:r w:rsidR="00F50C46">
          <w:rPr>
            <w:noProof/>
            <w:webHidden/>
          </w:rPr>
          <w:t>iii</w:t>
        </w:r>
        <w:r w:rsidR="00F50C46">
          <w:rPr>
            <w:noProof/>
            <w:webHidden/>
          </w:rPr>
          <w:fldChar w:fldCharType="end"/>
        </w:r>
      </w:hyperlink>
    </w:p>
    <w:p w14:paraId="200F8DF2" w14:textId="2E976EE4" w:rsidR="00F50C46" w:rsidRDefault="00977063">
      <w:pPr>
        <w:pStyle w:val="TOC1"/>
        <w:rPr>
          <w:rFonts w:asciiTheme="minorHAnsi" w:eastAsiaTheme="minorEastAsia" w:hAnsiTheme="minorHAnsi" w:cstheme="minorBidi"/>
          <w:noProof/>
          <w:sz w:val="22"/>
          <w:lang w:val="en-GB" w:eastAsia="en-GB"/>
        </w:rPr>
      </w:pPr>
      <w:hyperlink w:anchor="_Toc42211902" w:history="1">
        <w:r w:rsidR="00F50C46" w:rsidRPr="0075181A">
          <w:rPr>
            <w:rStyle w:val="Hyperlink"/>
            <w:noProof/>
          </w:rPr>
          <w:t>List of Tables</w:t>
        </w:r>
        <w:r w:rsidR="00F50C46">
          <w:rPr>
            <w:noProof/>
            <w:webHidden/>
          </w:rPr>
          <w:tab/>
        </w:r>
        <w:r w:rsidR="00F50C46">
          <w:rPr>
            <w:noProof/>
            <w:webHidden/>
          </w:rPr>
          <w:fldChar w:fldCharType="begin"/>
        </w:r>
        <w:r w:rsidR="00F50C46">
          <w:rPr>
            <w:noProof/>
            <w:webHidden/>
          </w:rPr>
          <w:instrText xml:space="preserve"> PAGEREF _Toc42211902 \h </w:instrText>
        </w:r>
        <w:r w:rsidR="00F50C46">
          <w:rPr>
            <w:noProof/>
            <w:webHidden/>
          </w:rPr>
        </w:r>
        <w:r w:rsidR="00F50C46">
          <w:rPr>
            <w:noProof/>
            <w:webHidden/>
          </w:rPr>
          <w:fldChar w:fldCharType="separate"/>
        </w:r>
        <w:r w:rsidR="00F50C46">
          <w:rPr>
            <w:noProof/>
            <w:webHidden/>
          </w:rPr>
          <w:t>iv</w:t>
        </w:r>
        <w:r w:rsidR="00F50C46">
          <w:rPr>
            <w:noProof/>
            <w:webHidden/>
          </w:rPr>
          <w:fldChar w:fldCharType="end"/>
        </w:r>
      </w:hyperlink>
    </w:p>
    <w:p w14:paraId="0FC53C62" w14:textId="7011E69C" w:rsidR="00F50C46" w:rsidRDefault="00977063">
      <w:pPr>
        <w:pStyle w:val="TOC1"/>
        <w:rPr>
          <w:rFonts w:asciiTheme="minorHAnsi" w:eastAsiaTheme="minorEastAsia" w:hAnsiTheme="minorHAnsi" w:cstheme="minorBidi"/>
          <w:noProof/>
          <w:sz w:val="22"/>
          <w:lang w:val="en-GB" w:eastAsia="en-GB"/>
        </w:rPr>
      </w:pPr>
      <w:hyperlink w:anchor="_Toc42211903" w:history="1">
        <w:r w:rsidR="00F50C46" w:rsidRPr="0075181A">
          <w:rPr>
            <w:rStyle w:val="Hyperlink"/>
            <w:noProof/>
          </w:rPr>
          <w:t>List of Figures</w:t>
        </w:r>
        <w:r w:rsidR="00F50C46">
          <w:rPr>
            <w:noProof/>
            <w:webHidden/>
          </w:rPr>
          <w:tab/>
        </w:r>
        <w:r w:rsidR="00F50C46">
          <w:rPr>
            <w:noProof/>
            <w:webHidden/>
          </w:rPr>
          <w:fldChar w:fldCharType="begin"/>
        </w:r>
        <w:r w:rsidR="00F50C46">
          <w:rPr>
            <w:noProof/>
            <w:webHidden/>
          </w:rPr>
          <w:instrText xml:space="preserve"> PAGEREF _Toc42211903 \h </w:instrText>
        </w:r>
        <w:r w:rsidR="00F50C46">
          <w:rPr>
            <w:noProof/>
            <w:webHidden/>
          </w:rPr>
        </w:r>
        <w:r w:rsidR="00F50C46">
          <w:rPr>
            <w:noProof/>
            <w:webHidden/>
          </w:rPr>
          <w:fldChar w:fldCharType="separate"/>
        </w:r>
        <w:r w:rsidR="00F50C46">
          <w:rPr>
            <w:noProof/>
            <w:webHidden/>
          </w:rPr>
          <w:t>v</w:t>
        </w:r>
        <w:r w:rsidR="00F50C46">
          <w:rPr>
            <w:noProof/>
            <w:webHidden/>
          </w:rPr>
          <w:fldChar w:fldCharType="end"/>
        </w:r>
      </w:hyperlink>
    </w:p>
    <w:p w14:paraId="1CAA294F" w14:textId="5FCE172E" w:rsidR="00F50C46" w:rsidRDefault="00977063">
      <w:pPr>
        <w:pStyle w:val="TOC1"/>
        <w:rPr>
          <w:rFonts w:asciiTheme="minorHAnsi" w:eastAsiaTheme="minorEastAsia" w:hAnsiTheme="minorHAnsi" w:cstheme="minorBidi"/>
          <w:noProof/>
          <w:sz w:val="22"/>
          <w:lang w:val="en-GB" w:eastAsia="en-GB"/>
        </w:rPr>
      </w:pPr>
      <w:hyperlink w:anchor="_Toc42211904" w:history="1">
        <w:r w:rsidR="00F50C46" w:rsidRPr="0075181A">
          <w:rPr>
            <w:rStyle w:val="Hyperlink"/>
            <w:noProof/>
          </w:rPr>
          <w:t>Section 1: Introduction</w:t>
        </w:r>
        <w:r w:rsidR="00F50C46">
          <w:rPr>
            <w:noProof/>
            <w:webHidden/>
          </w:rPr>
          <w:tab/>
        </w:r>
        <w:r w:rsidR="00F50C46">
          <w:rPr>
            <w:noProof/>
            <w:webHidden/>
          </w:rPr>
          <w:fldChar w:fldCharType="begin"/>
        </w:r>
        <w:r w:rsidR="00F50C46">
          <w:rPr>
            <w:noProof/>
            <w:webHidden/>
          </w:rPr>
          <w:instrText xml:space="preserve"> PAGEREF _Toc42211904 \h </w:instrText>
        </w:r>
        <w:r w:rsidR="00F50C46">
          <w:rPr>
            <w:noProof/>
            <w:webHidden/>
          </w:rPr>
        </w:r>
        <w:r w:rsidR="00F50C46">
          <w:rPr>
            <w:noProof/>
            <w:webHidden/>
          </w:rPr>
          <w:fldChar w:fldCharType="separate"/>
        </w:r>
        <w:r w:rsidR="00F50C46">
          <w:rPr>
            <w:noProof/>
            <w:webHidden/>
          </w:rPr>
          <w:t>1</w:t>
        </w:r>
        <w:r w:rsidR="00F50C46">
          <w:rPr>
            <w:noProof/>
            <w:webHidden/>
          </w:rPr>
          <w:fldChar w:fldCharType="end"/>
        </w:r>
      </w:hyperlink>
    </w:p>
    <w:p w14:paraId="46FF8DE5" w14:textId="605DE626" w:rsidR="00F50C46" w:rsidRDefault="00977063">
      <w:pPr>
        <w:pStyle w:val="TOC1"/>
        <w:rPr>
          <w:rFonts w:asciiTheme="minorHAnsi" w:eastAsiaTheme="minorEastAsia" w:hAnsiTheme="minorHAnsi" w:cstheme="minorBidi"/>
          <w:noProof/>
          <w:sz w:val="22"/>
          <w:lang w:val="en-GB" w:eastAsia="en-GB"/>
        </w:rPr>
      </w:pPr>
      <w:hyperlink w:anchor="_Toc42211905" w:history="1">
        <w:r w:rsidR="00F50C46" w:rsidRPr="0075181A">
          <w:rPr>
            <w:rStyle w:val="Hyperlink"/>
            <w:noProof/>
          </w:rPr>
          <w:t>Section 2: The Covid-19 pandemic and the macroeconomic and fiscal policy outlook</w:t>
        </w:r>
        <w:r w:rsidR="00F50C46">
          <w:rPr>
            <w:noProof/>
            <w:webHidden/>
          </w:rPr>
          <w:tab/>
        </w:r>
        <w:r w:rsidR="00F50C46">
          <w:rPr>
            <w:noProof/>
            <w:webHidden/>
          </w:rPr>
          <w:fldChar w:fldCharType="begin"/>
        </w:r>
        <w:r w:rsidR="00F50C46">
          <w:rPr>
            <w:noProof/>
            <w:webHidden/>
          </w:rPr>
          <w:instrText xml:space="preserve"> PAGEREF _Toc42211905 \h </w:instrText>
        </w:r>
        <w:r w:rsidR="00F50C46">
          <w:rPr>
            <w:noProof/>
            <w:webHidden/>
          </w:rPr>
        </w:r>
        <w:r w:rsidR="00F50C46">
          <w:rPr>
            <w:noProof/>
            <w:webHidden/>
          </w:rPr>
          <w:fldChar w:fldCharType="separate"/>
        </w:r>
        <w:r w:rsidR="00F50C46">
          <w:rPr>
            <w:noProof/>
            <w:webHidden/>
          </w:rPr>
          <w:t>3</w:t>
        </w:r>
        <w:r w:rsidR="00F50C46">
          <w:rPr>
            <w:noProof/>
            <w:webHidden/>
          </w:rPr>
          <w:fldChar w:fldCharType="end"/>
        </w:r>
      </w:hyperlink>
    </w:p>
    <w:p w14:paraId="54F36DFF" w14:textId="29352FBD" w:rsidR="00F50C46" w:rsidRDefault="00977063">
      <w:pPr>
        <w:pStyle w:val="TOC2"/>
        <w:tabs>
          <w:tab w:val="right" w:leader="dot" w:pos="9016"/>
        </w:tabs>
        <w:rPr>
          <w:rFonts w:asciiTheme="minorHAnsi" w:eastAsiaTheme="minorEastAsia" w:hAnsiTheme="minorHAnsi" w:cstheme="minorBidi"/>
          <w:noProof/>
          <w:sz w:val="22"/>
          <w:lang w:val="en-GB" w:eastAsia="en-GB"/>
        </w:rPr>
      </w:pPr>
      <w:hyperlink w:anchor="_Toc42211906" w:history="1">
        <w:r w:rsidR="00F50C46" w:rsidRPr="0075181A">
          <w:rPr>
            <w:rStyle w:val="Hyperlink"/>
            <w:noProof/>
          </w:rPr>
          <w:t>Global economy</w:t>
        </w:r>
        <w:r w:rsidR="00F50C46">
          <w:rPr>
            <w:noProof/>
            <w:webHidden/>
          </w:rPr>
          <w:tab/>
        </w:r>
        <w:r w:rsidR="00F50C46">
          <w:rPr>
            <w:noProof/>
            <w:webHidden/>
          </w:rPr>
          <w:fldChar w:fldCharType="begin"/>
        </w:r>
        <w:r w:rsidR="00F50C46">
          <w:rPr>
            <w:noProof/>
            <w:webHidden/>
          </w:rPr>
          <w:instrText xml:space="preserve"> PAGEREF _Toc42211906 \h </w:instrText>
        </w:r>
        <w:r w:rsidR="00F50C46">
          <w:rPr>
            <w:noProof/>
            <w:webHidden/>
          </w:rPr>
        </w:r>
        <w:r w:rsidR="00F50C46">
          <w:rPr>
            <w:noProof/>
            <w:webHidden/>
          </w:rPr>
          <w:fldChar w:fldCharType="separate"/>
        </w:r>
        <w:r w:rsidR="00F50C46">
          <w:rPr>
            <w:noProof/>
            <w:webHidden/>
          </w:rPr>
          <w:t>3</w:t>
        </w:r>
        <w:r w:rsidR="00F50C46">
          <w:rPr>
            <w:noProof/>
            <w:webHidden/>
          </w:rPr>
          <w:fldChar w:fldCharType="end"/>
        </w:r>
      </w:hyperlink>
    </w:p>
    <w:p w14:paraId="19CFA761" w14:textId="74139971" w:rsidR="00F50C46" w:rsidRDefault="00977063">
      <w:pPr>
        <w:pStyle w:val="TOC2"/>
        <w:tabs>
          <w:tab w:val="right" w:leader="dot" w:pos="9016"/>
        </w:tabs>
        <w:rPr>
          <w:rFonts w:asciiTheme="minorHAnsi" w:eastAsiaTheme="minorEastAsia" w:hAnsiTheme="minorHAnsi" w:cstheme="minorBidi"/>
          <w:noProof/>
          <w:sz w:val="22"/>
          <w:lang w:val="en-GB" w:eastAsia="en-GB"/>
        </w:rPr>
      </w:pPr>
      <w:hyperlink w:anchor="_Toc42211907" w:history="1">
        <w:r w:rsidR="00F50C46" w:rsidRPr="0075181A">
          <w:rPr>
            <w:rStyle w:val="Hyperlink"/>
            <w:noProof/>
          </w:rPr>
          <w:t>Domestic economy</w:t>
        </w:r>
        <w:r w:rsidR="00F50C46">
          <w:rPr>
            <w:noProof/>
            <w:webHidden/>
          </w:rPr>
          <w:tab/>
        </w:r>
        <w:r w:rsidR="00F50C46">
          <w:rPr>
            <w:noProof/>
            <w:webHidden/>
          </w:rPr>
          <w:fldChar w:fldCharType="begin"/>
        </w:r>
        <w:r w:rsidR="00F50C46">
          <w:rPr>
            <w:noProof/>
            <w:webHidden/>
          </w:rPr>
          <w:instrText xml:space="preserve"> PAGEREF _Toc42211907 \h </w:instrText>
        </w:r>
        <w:r w:rsidR="00F50C46">
          <w:rPr>
            <w:noProof/>
            <w:webHidden/>
          </w:rPr>
        </w:r>
        <w:r w:rsidR="00F50C46">
          <w:rPr>
            <w:noProof/>
            <w:webHidden/>
          </w:rPr>
          <w:fldChar w:fldCharType="separate"/>
        </w:r>
        <w:r w:rsidR="00F50C46">
          <w:rPr>
            <w:noProof/>
            <w:webHidden/>
          </w:rPr>
          <w:t>5</w:t>
        </w:r>
        <w:r w:rsidR="00F50C46">
          <w:rPr>
            <w:noProof/>
            <w:webHidden/>
          </w:rPr>
          <w:fldChar w:fldCharType="end"/>
        </w:r>
      </w:hyperlink>
    </w:p>
    <w:p w14:paraId="4E55029D" w14:textId="158C6D37" w:rsidR="00F50C46" w:rsidRDefault="00977063">
      <w:pPr>
        <w:pStyle w:val="TOC2"/>
        <w:tabs>
          <w:tab w:val="right" w:leader="dot" w:pos="9016"/>
        </w:tabs>
        <w:rPr>
          <w:rFonts w:asciiTheme="minorHAnsi" w:eastAsiaTheme="minorEastAsia" w:hAnsiTheme="minorHAnsi" w:cstheme="minorBidi"/>
          <w:noProof/>
          <w:sz w:val="22"/>
          <w:lang w:val="en-GB" w:eastAsia="en-GB"/>
        </w:rPr>
      </w:pPr>
      <w:hyperlink w:anchor="_Toc42211908" w:history="1">
        <w:r w:rsidR="00F50C46" w:rsidRPr="0075181A">
          <w:rPr>
            <w:rStyle w:val="Hyperlink"/>
            <w:noProof/>
          </w:rPr>
          <w:t>Government debt and liabilities</w:t>
        </w:r>
        <w:r w:rsidR="00F50C46">
          <w:rPr>
            <w:noProof/>
            <w:webHidden/>
          </w:rPr>
          <w:tab/>
        </w:r>
        <w:r w:rsidR="00F50C46">
          <w:rPr>
            <w:noProof/>
            <w:webHidden/>
          </w:rPr>
          <w:fldChar w:fldCharType="begin"/>
        </w:r>
        <w:r w:rsidR="00F50C46">
          <w:rPr>
            <w:noProof/>
            <w:webHidden/>
          </w:rPr>
          <w:instrText xml:space="preserve"> PAGEREF _Toc42211908 \h </w:instrText>
        </w:r>
        <w:r w:rsidR="00F50C46">
          <w:rPr>
            <w:noProof/>
            <w:webHidden/>
          </w:rPr>
        </w:r>
        <w:r w:rsidR="00F50C46">
          <w:rPr>
            <w:noProof/>
            <w:webHidden/>
          </w:rPr>
          <w:fldChar w:fldCharType="separate"/>
        </w:r>
        <w:r w:rsidR="00F50C46">
          <w:rPr>
            <w:noProof/>
            <w:webHidden/>
          </w:rPr>
          <w:t>8</w:t>
        </w:r>
        <w:r w:rsidR="00F50C46">
          <w:rPr>
            <w:noProof/>
            <w:webHidden/>
          </w:rPr>
          <w:fldChar w:fldCharType="end"/>
        </w:r>
      </w:hyperlink>
    </w:p>
    <w:p w14:paraId="2E521ABA" w14:textId="2B833B22" w:rsidR="00F50C46" w:rsidRDefault="00977063">
      <w:pPr>
        <w:pStyle w:val="TOC1"/>
        <w:rPr>
          <w:rFonts w:asciiTheme="minorHAnsi" w:eastAsiaTheme="minorEastAsia" w:hAnsiTheme="minorHAnsi" w:cstheme="minorBidi"/>
          <w:noProof/>
          <w:sz w:val="22"/>
          <w:lang w:val="en-GB" w:eastAsia="en-GB"/>
        </w:rPr>
      </w:pPr>
      <w:hyperlink w:anchor="_Toc42211909" w:history="1">
        <w:r w:rsidR="00F50C46" w:rsidRPr="0075181A">
          <w:rPr>
            <w:rStyle w:val="Hyperlink"/>
            <w:noProof/>
          </w:rPr>
          <w:t>Section 3:  Overview of FFC’s response to revenue and expenditure proposals in the 2020 Budget</w:t>
        </w:r>
        <w:r w:rsidR="00F50C46">
          <w:rPr>
            <w:noProof/>
            <w:webHidden/>
          </w:rPr>
          <w:tab/>
        </w:r>
        <w:r w:rsidR="00F50C46">
          <w:rPr>
            <w:noProof/>
            <w:webHidden/>
          </w:rPr>
          <w:fldChar w:fldCharType="begin"/>
        </w:r>
        <w:r w:rsidR="00F50C46">
          <w:rPr>
            <w:noProof/>
            <w:webHidden/>
          </w:rPr>
          <w:instrText xml:space="preserve"> PAGEREF _Toc42211909 \h </w:instrText>
        </w:r>
        <w:r w:rsidR="00F50C46">
          <w:rPr>
            <w:noProof/>
            <w:webHidden/>
          </w:rPr>
        </w:r>
        <w:r w:rsidR="00F50C46">
          <w:rPr>
            <w:noProof/>
            <w:webHidden/>
          </w:rPr>
          <w:fldChar w:fldCharType="separate"/>
        </w:r>
        <w:r w:rsidR="00F50C46">
          <w:rPr>
            <w:noProof/>
            <w:webHidden/>
          </w:rPr>
          <w:t>12</w:t>
        </w:r>
        <w:r w:rsidR="00F50C46">
          <w:rPr>
            <w:noProof/>
            <w:webHidden/>
          </w:rPr>
          <w:fldChar w:fldCharType="end"/>
        </w:r>
      </w:hyperlink>
    </w:p>
    <w:p w14:paraId="1ED8154F" w14:textId="55E1DC17" w:rsidR="00F50C46" w:rsidRDefault="00977063">
      <w:pPr>
        <w:pStyle w:val="TOC2"/>
        <w:tabs>
          <w:tab w:val="right" w:leader="dot" w:pos="9016"/>
        </w:tabs>
        <w:rPr>
          <w:rFonts w:asciiTheme="minorHAnsi" w:eastAsiaTheme="minorEastAsia" w:hAnsiTheme="minorHAnsi" w:cstheme="minorBidi"/>
          <w:noProof/>
          <w:sz w:val="22"/>
          <w:lang w:val="en-GB" w:eastAsia="en-GB"/>
        </w:rPr>
      </w:pPr>
      <w:hyperlink w:anchor="_Toc42211910" w:history="1">
        <w:r w:rsidR="00F50C46" w:rsidRPr="0075181A">
          <w:rPr>
            <w:rStyle w:val="Hyperlink"/>
            <w:noProof/>
          </w:rPr>
          <w:t>Revenues</w:t>
        </w:r>
        <w:r w:rsidR="00F50C46">
          <w:rPr>
            <w:noProof/>
            <w:webHidden/>
          </w:rPr>
          <w:tab/>
        </w:r>
        <w:r w:rsidR="00F50C46">
          <w:rPr>
            <w:noProof/>
            <w:webHidden/>
          </w:rPr>
          <w:fldChar w:fldCharType="begin"/>
        </w:r>
        <w:r w:rsidR="00F50C46">
          <w:rPr>
            <w:noProof/>
            <w:webHidden/>
          </w:rPr>
          <w:instrText xml:space="preserve"> PAGEREF _Toc42211910 \h </w:instrText>
        </w:r>
        <w:r w:rsidR="00F50C46">
          <w:rPr>
            <w:noProof/>
            <w:webHidden/>
          </w:rPr>
        </w:r>
        <w:r w:rsidR="00F50C46">
          <w:rPr>
            <w:noProof/>
            <w:webHidden/>
          </w:rPr>
          <w:fldChar w:fldCharType="separate"/>
        </w:r>
        <w:r w:rsidR="00F50C46">
          <w:rPr>
            <w:noProof/>
            <w:webHidden/>
          </w:rPr>
          <w:t>12</w:t>
        </w:r>
        <w:r w:rsidR="00F50C46">
          <w:rPr>
            <w:noProof/>
            <w:webHidden/>
          </w:rPr>
          <w:fldChar w:fldCharType="end"/>
        </w:r>
      </w:hyperlink>
    </w:p>
    <w:p w14:paraId="62B632F7" w14:textId="3A4BAB3E" w:rsidR="00F50C46" w:rsidRDefault="00977063">
      <w:pPr>
        <w:pStyle w:val="TOC2"/>
        <w:tabs>
          <w:tab w:val="right" w:leader="dot" w:pos="9016"/>
        </w:tabs>
        <w:rPr>
          <w:rFonts w:asciiTheme="minorHAnsi" w:eastAsiaTheme="minorEastAsia" w:hAnsiTheme="minorHAnsi" w:cstheme="minorBidi"/>
          <w:noProof/>
          <w:sz w:val="22"/>
          <w:lang w:val="en-GB" w:eastAsia="en-GB"/>
        </w:rPr>
      </w:pPr>
      <w:hyperlink w:anchor="_Toc42211911" w:history="1">
        <w:r w:rsidR="00F50C46" w:rsidRPr="0075181A">
          <w:rPr>
            <w:rStyle w:val="Hyperlink"/>
            <w:noProof/>
          </w:rPr>
          <w:t>Expenditure</w:t>
        </w:r>
        <w:r w:rsidR="00F50C46">
          <w:rPr>
            <w:noProof/>
            <w:webHidden/>
          </w:rPr>
          <w:tab/>
        </w:r>
        <w:r w:rsidR="00F50C46">
          <w:rPr>
            <w:noProof/>
            <w:webHidden/>
          </w:rPr>
          <w:fldChar w:fldCharType="begin"/>
        </w:r>
        <w:r w:rsidR="00F50C46">
          <w:rPr>
            <w:noProof/>
            <w:webHidden/>
          </w:rPr>
          <w:instrText xml:space="preserve"> PAGEREF _Toc42211911 \h </w:instrText>
        </w:r>
        <w:r w:rsidR="00F50C46">
          <w:rPr>
            <w:noProof/>
            <w:webHidden/>
          </w:rPr>
        </w:r>
        <w:r w:rsidR="00F50C46">
          <w:rPr>
            <w:noProof/>
            <w:webHidden/>
          </w:rPr>
          <w:fldChar w:fldCharType="separate"/>
        </w:r>
        <w:r w:rsidR="00F50C46">
          <w:rPr>
            <w:noProof/>
            <w:webHidden/>
          </w:rPr>
          <w:t>13</w:t>
        </w:r>
        <w:r w:rsidR="00F50C46">
          <w:rPr>
            <w:noProof/>
            <w:webHidden/>
          </w:rPr>
          <w:fldChar w:fldCharType="end"/>
        </w:r>
      </w:hyperlink>
    </w:p>
    <w:p w14:paraId="02CE2193" w14:textId="3FF7D8D0" w:rsidR="00F50C46" w:rsidRDefault="00977063">
      <w:pPr>
        <w:pStyle w:val="TOC3"/>
        <w:tabs>
          <w:tab w:val="right" w:leader="dot" w:pos="9016"/>
        </w:tabs>
        <w:rPr>
          <w:rFonts w:asciiTheme="minorHAnsi" w:eastAsiaTheme="minorEastAsia" w:hAnsiTheme="minorHAnsi" w:cstheme="minorBidi"/>
          <w:noProof/>
          <w:sz w:val="22"/>
          <w:lang w:val="en-GB" w:eastAsia="en-GB"/>
        </w:rPr>
      </w:pPr>
      <w:hyperlink w:anchor="_Toc42211912" w:history="1">
        <w:r w:rsidR="00F50C46" w:rsidRPr="0075181A">
          <w:rPr>
            <w:rStyle w:val="Hyperlink"/>
            <w:noProof/>
          </w:rPr>
          <w:t>Expenditure by functional category</w:t>
        </w:r>
        <w:r w:rsidR="00F50C46">
          <w:rPr>
            <w:noProof/>
            <w:webHidden/>
          </w:rPr>
          <w:tab/>
        </w:r>
        <w:r w:rsidR="00F50C46">
          <w:rPr>
            <w:noProof/>
            <w:webHidden/>
          </w:rPr>
          <w:fldChar w:fldCharType="begin"/>
        </w:r>
        <w:r w:rsidR="00F50C46">
          <w:rPr>
            <w:noProof/>
            <w:webHidden/>
          </w:rPr>
          <w:instrText xml:space="preserve"> PAGEREF _Toc42211912 \h </w:instrText>
        </w:r>
        <w:r w:rsidR="00F50C46">
          <w:rPr>
            <w:noProof/>
            <w:webHidden/>
          </w:rPr>
        </w:r>
        <w:r w:rsidR="00F50C46">
          <w:rPr>
            <w:noProof/>
            <w:webHidden/>
          </w:rPr>
          <w:fldChar w:fldCharType="separate"/>
        </w:r>
        <w:r w:rsidR="00F50C46">
          <w:rPr>
            <w:noProof/>
            <w:webHidden/>
          </w:rPr>
          <w:t>13</w:t>
        </w:r>
        <w:r w:rsidR="00F50C46">
          <w:rPr>
            <w:noProof/>
            <w:webHidden/>
          </w:rPr>
          <w:fldChar w:fldCharType="end"/>
        </w:r>
      </w:hyperlink>
    </w:p>
    <w:p w14:paraId="38EAB0D6" w14:textId="68DF049D" w:rsidR="00F50C46" w:rsidRDefault="00977063">
      <w:pPr>
        <w:pStyle w:val="TOC3"/>
        <w:tabs>
          <w:tab w:val="right" w:leader="dot" w:pos="9016"/>
        </w:tabs>
        <w:rPr>
          <w:rFonts w:asciiTheme="minorHAnsi" w:eastAsiaTheme="minorEastAsia" w:hAnsiTheme="minorHAnsi" w:cstheme="minorBidi"/>
          <w:noProof/>
          <w:sz w:val="22"/>
          <w:lang w:val="en-GB" w:eastAsia="en-GB"/>
        </w:rPr>
      </w:pPr>
      <w:hyperlink w:anchor="_Toc42211913" w:history="1">
        <w:r w:rsidR="00F50C46" w:rsidRPr="0075181A">
          <w:rPr>
            <w:rStyle w:val="Hyperlink"/>
            <w:noProof/>
          </w:rPr>
          <w:t>Expenditure by economic classification</w:t>
        </w:r>
        <w:r w:rsidR="00F50C46">
          <w:rPr>
            <w:noProof/>
            <w:webHidden/>
          </w:rPr>
          <w:tab/>
        </w:r>
        <w:r w:rsidR="00F50C46">
          <w:rPr>
            <w:noProof/>
            <w:webHidden/>
          </w:rPr>
          <w:fldChar w:fldCharType="begin"/>
        </w:r>
        <w:r w:rsidR="00F50C46">
          <w:rPr>
            <w:noProof/>
            <w:webHidden/>
          </w:rPr>
          <w:instrText xml:space="preserve"> PAGEREF _Toc42211913 \h </w:instrText>
        </w:r>
        <w:r w:rsidR="00F50C46">
          <w:rPr>
            <w:noProof/>
            <w:webHidden/>
          </w:rPr>
        </w:r>
        <w:r w:rsidR="00F50C46">
          <w:rPr>
            <w:noProof/>
            <w:webHidden/>
          </w:rPr>
          <w:fldChar w:fldCharType="separate"/>
        </w:r>
        <w:r w:rsidR="00F50C46">
          <w:rPr>
            <w:noProof/>
            <w:webHidden/>
          </w:rPr>
          <w:t>16</w:t>
        </w:r>
        <w:r w:rsidR="00F50C46">
          <w:rPr>
            <w:noProof/>
            <w:webHidden/>
          </w:rPr>
          <w:fldChar w:fldCharType="end"/>
        </w:r>
      </w:hyperlink>
    </w:p>
    <w:p w14:paraId="1E8ED092" w14:textId="5A48A13F" w:rsidR="00F50C46" w:rsidRDefault="00977063">
      <w:pPr>
        <w:pStyle w:val="TOC3"/>
        <w:tabs>
          <w:tab w:val="right" w:leader="dot" w:pos="9016"/>
        </w:tabs>
        <w:rPr>
          <w:rFonts w:asciiTheme="minorHAnsi" w:eastAsiaTheme="minorEastAsia" w:hAnsiTheme="minorHAnsi" w:cstheme="minorBidi"/>
          <w:noProof/>
          <w:sz w:val="22"/>
          <w:lang w:val="en-GB" w:eastAsia="en-GB"/>
        </w:rPr>
      </w:pPr>
      <w:hyperlink w:anchor="_Toc42211914" w:history="1">
        <w:r w:rsidR="00F50C46" w:rsidRPr="0075181A">
          <w:rPr>
            <w:rStyle w:val="Hyperlink"/>
            <w:noProof/>
          </w:rPr>
          <w:t>Expenditure by vote</w:t>
        </w:r>
        <w:r w:rsidR="00F50C46">
          <w:rPr>
            <w:noProof/>
            <w:webHidden/>
          </w:rPr>
          <w:tab/>
        </w:r>
        <w:r w:rsidR="00F50C46">
          <w:rPr>
            <w:noProof/>
            <w:webHidden/>
          </w:rPr>
          <w:fldChar w:fldCharType="begin"/>
        </w:r>
        <w:r w:rsidR="00F50C46">
          <w:rPr>
            <w:noProof/>
            <w:webHidden/>
          </w:rPr>
          <w:instrText xml:space="preserve"> PAGEREF _Toc42211914 \h </w:instrText>
        </w:r>
        <w:r w:rsidR="00F50C46">
          <w:rPr>
            <w:noProof/>
            <w:webHidden/>
          </w:rPr>
        </w:r>
        <w:r w:rsidR="00F50C46">
          <w:rPr>
            <w:noProof/>
            <w:webHidden/>
          </w:rPr>
          <w:fldChar w:fldCharType="separate"/>
        </w:r>
        <w:r w:rsidR="00F50C46">
          <w:rPr>
            <w:noProof/>
            <w:webHidden/>
          </w:rPr>
          <w:t>17</w:t>
        </w:r>
        <w:r w:rsidR="00F50C46">
          <w:rPr>
            <w:noProof/>
            <w:webHidden/>
          </w:rPr>
          <w:fldChar w:fldCharType="end"/>
        </w:r>
      </w:hyperlink>
    </w:p>
    <w:p w14:paraId="67E43ED0" w14:textId="76EBFF71" w:rsidR="00F50C46" w:rsidRDefault="00977063">
      <w:pPr>
        <w:pStyle w:val="TOC1"/>
        <w:rPr>
          <w:rFonts w:asciiTheme="minorHAnsi" w:eastAsiaTheme="minorEastAsia" w:hAnsiTheme="minorHAnsi" w:cstheme="minorBidi"/>
          <w:noProof/>
          <w:sz w:val="22"/>
          <w:lang w:val="en-GB" w:eastAsia="en-GB"/>
        </w:rPr>
      </w:pPr>
      <w:hyperlink w:anchor="_Toc42211915" w:history="1">
        <w:r w:rsidR="00F50C46" w:rsidRPr="0075181A">
          <w:rPr>
            <w:rStyle w:val="Hyperlink"/>
            <w:rFonts w:eastAsia="+mn-ea"/>
            <w:noProof/>
          </w:rPr>
          <w:t xml:space="preserve">Section 4:  An </w:t>
        </w:r>
        <w:r w:rsidR="00F50C46" w:rsidRPr="0075181A">
          <w:rPr>
            <w:rStyle w:val="Hyperlink"/>
            <w:noProof/>
          </w:rPr>
          <w:t>assessment of growth and transformation of government’s fiscal and monetary responses  to Covid-19</w:t>
        </w:r>
        <w:r w:rsidR="00F50C46">
          <w:rPr>
            <w:noProof/>
            <w:webHidden/>
          </w:rPr>
          <w:tab/>
        </w:r>
        <w:r w:rsidR="00F50C46">
          <w:rPr>
            <w:noProof/>
            <w:webHidden/>
          </w:rPr>
          <w:fldChar w:fldCharType="begin"/>
        </w:r>
        <w:r w:rsidR="00F50C46">
          <w:rPr>
            <w:noProof/>
            <w:webHidden/>
          </w:rPr>
          <w:instrText xml:space="preserve"> PAGEREF _Toc42211915 \h </w:instrText>
        </w:r>
        <w:r w:rsidR="00F50C46">
          <w:rPr>
            <w:noProof/>
            <w:webHidden/>
          </w:rPr>
        </w:r>
        <w:r w:rsidR="00F50C46">
          <w:rPr>
            <w:noProof/>
            <w:webHidden/>
          </w:rPr>
          <w:fldChar w:fldCharType="separate"/>
        </w:r>
        <w:r w:rsidR="00F50C46">
          <w:rPr>
            <w:noProof/>
            <w:webHidden/>
          </w:rPr>
          <w:t>19</w:t>
        </w:r>
        <w:r w:rsidR="00F50C46">
          <w:rPr>
            <w:noProof/>
            <w:webHidden/>
          </w:rPr>
          <w:fldChar w:fldCharType="end"/>
        </w:r>
      </w:hyperlink>
    </w:p>
    <w:p w14:paraId="3A4AA03B" w14:textId="2D0DE261" w:rsidR="00F50C46" w:rsidRDefault="00977063">
      <w:pPr>
        <w:pStyle w:val="TOC2"/>
        <w:tabs>
          <w:tab w:val="right" w:leader="dot" w:pos="9016"/>
        </w:tabs>
        <w:rPr>
          <w:rFonts w:asciiTheme="minorHAnsi" w:eastAsiaTheme="minorEastAsia" w:hAnsiTheme="minorHAnsi" w:cstheme="minorBidi"/>
          <w:noProof/>
          <w:sz w:val="22"/>
          <w:lang w:val="en-GB" w:eastAsia="en-GB"/>
        </w:rPr>
      </w:pPr>
      <w:hyperlink w:anchor="_Toc42211916" w:history="1">
        <w:r w:rsidR="00F50C46" w:rsidRPr="0075181A">
          <w:rPr>
            <w:rStyle w:val="Hyperlink"/>
            <w:noProof/>
          </w:rPr>
          <w:t>Fiscal and monetary responses for transformation and growth</w:t>
        </w:r>
        <w:r w:rsidR="00F50C46">
          <w:rPr>
            <w:noProof/>
            <w:webHidden/>
          </w:rPr>
          <w:tab/>
        </w:r>
        <w:r w:rsidR="00F50C46">
          <w:rPr>
            <w:noProof/>
            <w:webHidden/>
          </w:rPr>
          <w:fldChar w:fldCharType="begin"/>
        </w:r>
        <w:r w:rsidR="00F50C46">
          <w:rPr>
            <w:noProof/>
            <w:webHidden/>
          </w:rPr>
          <w:instrText xml:space="preserve"> PAGEREF _Toc42211916 \h </w:instrText>
        </w:r>
        <w:r w:rsidR="00F50C46">
          <w:rPr>
            <w:noProof/>
            <w:webHidden/>
          </w:rPr>
        </w:r>
        <w:r w:rsidR="00F50C46">
          <w:rPr>
            <w:noProof/>
            <w:webHidden/>
          </w:rPr>
          <w:fldChar w:fldCharType="separate"/>
        </w:r>
        <w:r w:rsidR="00F50C46">
          <w:rPr>
            <w:noProof/>
            <w:webHidden/>
          </w:rPr>
          <w:t>20</w:t>
        </w:r>
        <w:r w:rsidR="00F50C46">
          <w:rPr>
            <w:noProof/>
            <w:webHidden/>
          </w:rPr>
          <w:fldChar w:fldCharType="end"/>
        </w:r>
      </w:hyperlink>
    </w:p>
    <w:p w14:paraId="5BF1DC23" w14:textId="2F9FA7E5" w:rsidR="00F50C46" w:rsidRDefault="00977063">
      <w:pPr>
        <w:pStyle w:val="TOC2"/>
        <w:tabs>
          <w:tab w:val="right" w:leader="dot" w:pos="9016"/>
        </w:tabs>
        <w:rPr>
          <w:rFonts w:asciiTheme="minorHAnsi" w:eastAsiaTheme="minorEastAsia" w:hAnsiTheme="minorHAnsi" w:cstheme="minorBidi"/>
          <w:noProof/>
          <w:sz w:val="22"/>
          <w:lang w:val="en-GB" w:eastAsia="en-GB"/>
        </w:rPr>
      </w:pPr>
      <w:hyperlink w:anchor="_Toc42211917" w:history="1">
        <w:r w:rsidR="00F50C46" w:rsidRPr="0075181A">
          <w:rPr>
            <w:rStyle w:val="Hyperlink"/>
            <w:noProof/>
          </w:rPr>
          <w:t>The reform agenda</w:t>
        </w:r>
        <w:r w:rsidR="00F50C46">
          <w:rPr>
            <w:noProof/>
            <w:webHidden/>
          </w:rPr>
          <w:tab/>
        </w:r>
        <w:r w:rsidR="00F50C46">
          <w:rPr>
            <w:noProof/>
            <w:webHidden/>
          </w:rPr>
          <w:fldChar w:fldCharType="begin"/>
        </w:r>
        <w:r w:rsidR="00F50C46">
          <w:rPr>
            <w:noProof/>
            <w:webHidden/>
          </w:rPr>
          <w:instrText xml:space="preserve"> PAGEREF _Toc42211917 \h </w:instrText>
        </w:r>
        <w:r w:rsidR="00F50C46">
          <w:rPr>
            <w:noProof/>
            <w:webHidden/>
          </w:rPr>
        </w:r>
        <w:r w:rsidR="00F50C46">
          <w:rPr>
            <w:noProof/>
            <w:webHidden/>
          </w:rPr>
          <w:fldChar w:fldCharType="separate"/>
        </w:r>
        <w:r w:rsidR="00F50C46">
          <w:rPr>
            <w:noProof/>
            <w:webHidden/>
          </w:rPr>
          <w:t>27</w:t>
        </w:r>
        <w:r w:rsidR="00F50C46">
          <w:rPr>
            <w:noProof/>
            <w:webHidden/>
          </w:rPr>
          <w:fldChar w:fldCharType="end"/>
        </w:r>
      </w:hyperlink>
    </w:p>
    <w:p w14:paraId="68970959" w14:textId="1AA32B0D" w:rsidR="00F50C46" w:rsidRDefault="00977063">
      <w:pPr>
        <w:pStyle w:val="TOC1"/>
        <w:rPr>
          <w:rFonts w:asciiTheme="minorHAnsi" w:eastAsiaTheme="minorEastAsia" w:hAnsiTheme="minorHAnsi" w:cstheme="minorBidi"/>
          <w:noProof/>
          <w:sz w:val="22"/>
          <w:lang w:val="en-GB" w:eastAsia="en-GB"/>
        </w:rPr>
      </w:pPr>
      <w:hyperlink w:anchor="_Toc42211918" w:history="1">
        <w:r w:rsidR="00F50C46" w:rsidRPr="0075181A">
          <w:rPr>
            <w:rStyle w:val="Hyperlink"/>
            <w:rFonts w:eastAsia="+mn-ea"/>
            <w:noProof/>
          </w:rPr>
          <w:t>Section 5:  Where will the money come from?  Reprioritisation in response  to Covid-19</w:t>
        </w:r>
        <w:r w:rsidR="00F50C46">
          <w:rPr>
            <w:noProof/>
            <w:webHidden/>
          </w:rPr>
          <w:tab/>
        </w:r>
        <w:r w:rsidR="00F50C46">
          <w:rPr>
            <w:noProof/>
            <w:webHidden/>
          </w:rPr>
          <w:fldChar w:fldCharType="begin"/>
        </w:r>
        <w:r w:rsidR="00F50C46">
          <w:rPr>
            <w:noProof/>
            <w:webHidden/>
          </w:rPr>
          <w:instrText xml:space="preserve"> PAGEREF _Toc42211918 \h </w:instrText>
        </w:r>
        <w:r w:rsidR="00F50C46">
          <w:rPr>
            <w:noProof/>
            <w:webHidden/>
          </w:rPr>
        </w:r>
        <w:r w:rsidR="00F50C46">
          <w:rPr>
            <w:noProof/>
            <w:webHidden/>
          </w:rPr>
          <w:fldChar w:fldCharType="separate"/>
        </w:r>
        <w:r w:rsidR="00F50C46">
          <w:rPr>
            <w:noProof/>
            <w:webHidden/>
          </w:rPr>
          <w:t>31</w:t>
        </w:r>
        <w:r w:rsidR="00F50C46">
          <w:rPr>
            <w:noProof/>
            <w:webHidden/>
          </w:rPr>
          <w:fldChar w:fldCharType="end"/>
        </w:r>
      </w:hyperlink>
    </w:p>
    <w:p w14:paraId="054E84FC" w14:textId="3F8E8EFA" w:rsidR="00F50C46" w:rsidRDefault="00977063">
      <w:pPr>
        <w:pStyle w:val="TOC2"/>
        <w:tabs>
          <w:tab w:val="right" w:leader="dot" w:pos="9016"/>
        </w:tabs>
        <w:rPr>
          <w:rFonts w:asciiTheme="minorHAnsi" w:eastAsiaTheme="minorEastAsia" w:hAnsiTheme="minorHAnsi" w:cstheme="minorBidi"/>
          <w:noProof/>
          <w:sz w:val="22"/>
          <w:lang w:val="en-GB" w:eastAsia="en-GB"/>
        </w:rPr>
      </w:pPr>
      <w:hyperlink w:anchor="_Toc42211919" w:history="1">
        <w:r w:rsidR="00F50C46" w:rsidRPr="0075181A">
          <w:rPr>
            <w:rStyle w:val="Hyperlink"/>
            <w:noProof/>
          </w:rPr>
          <w:t>Reprioritisation by national departments</w:t>
        </w:r>
        <w:r w:rsidR="00F50C46">
          <w:rPr>
            <w:noProof/>
            <w:webHidden/>
          </w:rPr>
          <w:tab/>
        </w:r>
        <w:r w:rsidR="00F50C46">
          <w:rPr>
            <w:noProof/>
            <w:webHidden/>
          </w:rPr>
          <w:fldChar w:fldCharType="begin"/>
        </w:r>
        <w:r w:rsidR="00F50C46">
          <w:rPr>
            <w:noProof/>
            <w:webHidden/>
          </w:rPr>
          <w:instrText xml:space="preserve"> PAGEREF _Toc42211919 \h </w:instrText>
        </w:r>
        <w:r w:rsidR="00F50C46">
          <w:rPr>
            <w:noProof/>
            <w:webHidden/>
          </w:rPr>
        </w:r>
        <w:r w:rsidR="00F50C46">
          <w:rPr>
            <w:noProof/>
            <w:webHidden/>
          </w:rPr>
          <w:fldChar w:fldCharType="separate"/>
        </w:r>
        <w:r w:rsidR="00F50C46">
          <w:rPr>
            <w:noProof/>
            <w:webHidden/>
          </w:rPr>
          <w:t>33</w:t>
        </w:r>
        <w:r w:rsidR="00F50C46">
          <w:rPr>
            <w:noProof/>
            <w:webHidden/>
          </w:rPr>
          <w:fldChar w:fldCharType="end"/>
        </w:r>
      </w:hyperlink>
    </w:p>
    <w:p w14:paraId="30506F5F" w14:textId="449C1A16" w:rsidR="00F50C46" w:rsidRDefault="00977063">
      <w:pPr>
        <w:pStyle w:val="TOC2"/>
        <w:tabs>
          <w:tab w:val="right" w:leader="dot" w:pos="9016"/>
        </w:tabs>
        <w:rPr>
          <w:rFonts w:asciiTheme="minorHAnsi" w:eastAsiaTheme="minorEastAsia" w:hAnsiTheme="minorHAnsi" w:cstheme="minorBidi"/>
          <w:noProof/>
          <w:sz w:val="22"/>
          <w:lang w:val="en-GB" w:eastAsia="en-GB"/>
        </w:rPr>
      </w:pPr>
      <w:hyperlink w:anchor="_Toc42211920" w:history="1">
        <w:r w:rsidR="00F50C46" w:rsidRPr="0075181A">
          <w:rPr>
            <w:rStyle w:val="Hyperlink"/>
            <w:noProof/>
          </w:rPr>
          <w:t>Reprioritisation by economic category of spending</w:t>
        </w:r>
        <w:r w:rsidR="00F50C46">
          <w:rPr>
            <w:noProof/>
            <w:webHidden/>
          </w:rPr>
          <w:tab/>
        </w:r>
        <w:r w:rsidR="00F50C46">
          <w:rPr>
            <w:noProof/>
            <w:webHidden/>
          </w:rPr>
          <w:fldChar w:fldCharType="begin"/>
        </w:r>
        <w:r w:rsidR="00F50C46">
          <w:rPr>
            <w:noProof/>
            <w:webHidden/>
          </w:rPr>
          <w:instrText xml:space="preserve"> PAGEREF _Toc42211920 \h </w:instrText>
        </w:r>
        <w:r w:rsidR="00F50C46">
          <w:rPr>
            <w:noProof/>
            <w:webHidden/>
          </w:rPr>
        </w:r>
        <w:r w:rsidR="00F50C46">
          <w:rPr>
            <w:noProof/>
            <w:webHidden/>
          </w:rPr>
          <w:fldChar w:fldCharType="separate"/>
        </w:r>
        <w:r w:rsidR="00F50C46">
          <w:rPr>
            <w:noProof/>
            <w:webHidden/>
          </w:rPr>
          <w:t>35</w:t>
        </w:r>
        <w:r w:rsidR="00F50C46">
          <w:rPr>
            <w:noProof/>
            <w:webHidden/>
          </w:rPr>
          <w:fldChar w:fldCharType="end"/>
        </w:r>
      </w:hyperlink>
    </w:p>
    <w:p w14:paraId="18CD4F5A" w14:textId="7534693F" w:rsidR="00F50C46" w:rsidRDefault="00977063">
      <w:pPr>
        <w:pStyle w:val="TOC3"/>
        <w:tabs>
          <w:tab w:val="right" w:leader="dot" w:pos="9016"/>
        </w:tabs>
        <w:rPr>
          <w:rFonts w:asciiTheme="minorHAnsi" w:eastAsiaTheme="minorEastAsia" w:hAnsiTheme="minorHAnsi" w:cstheme="minorBidi"/>
          <w:noProof/>
          <w:sz w:val="22"/>
          <w:lang w:val="en-GB" w:eastAsia="en-GB"/>
        </w:rPr>
      </w:pPr>
      <w:hyperlink w:anchor="_Toc42211921" w:history="1">
        <w:r w:rsidR="00F50C46" w:rsidRPr="0075181A">
          <w:rPr>
            <w:rStyle w:val="Hyperlink"/>
            <w:noProof/>
          </w:rPr>
          <w:t>Compensation of employees</w:t>
        </w:r>
        <w:r w:rsidR="00F50C46">
          <w:rPr>
            <w:noProof/>
            <w:webHidden/>
          </w:rPr>
          <w:tab/>
        </w:r>
        <w:r w:rsidR="00F50C46">
          <w:rPr>
            <w:noProof/>
            <w:webHidden/>
          </w:rPr>
          <w:fldChar w:fldCharType="begin"/>
        </w:r>
        <w:r w:rsidR="00F50C46">
          <w:rPr>
            <w:noProof/>
            <w:webHidden/>
          </w:rPr>
          <w:instrText xml:space="preserve"> PAGEREF _Toc42211921 \h </w:instrText>
        </w:r>
        <w:r w:rsidR="00F50C46">
          <w:rPr>
            <w:noProof/>
            <w:webHidden/>
          </w:rPr>
        </w:r>
        <w:r w:rsidR="00F50C46">
          <w:rPr>
            <w:noProof/>
            <w:webHidden/>
          </w:rPr>
          <w:fldChar w:fldCharType="separate"/>
        </w:r>
        <w:r w:rsidR="00F50C46">
          <w:rPr>
            <w:noProof/>
            <w:webHidden/>
          </w:rPr>
          <w:t>35</w:t>
        </w:r>
        <w:r w:rsidR="00F50C46">
          <w:rPr>
            <w:noProof/>
            <w:webHidden/>
          </w:rPr>
          <w:fldChar w:fldCharType="end"/>
        </w:r>
      </w:hyperlink>
    </w:p>
    <w:p w14:paraId="176A003F" w14:textId="7E44E477" w:rsidR="00F50C46" w:rsidRDefault="00977063">
      <w:pPr>
        <w:pStyle w:val="TOC3"/>
        <w:tabs>
          <w:tab w:val="right" w:leader="dot" w:pos="9016"/>
        </w:tabs>
        <w:rPr>
          <w:rFonts w:asciiTheme="minorHAnsi" w:eastAsiaTheme="minorEastAsia" w:hAnsiTheme="minorHAnsi" w:cstheme="minorBidi"/>
          <w:noProof/>
          <w:sz w:val="22"/>
          <w:lang w:val="en-GB" w:eastAsia="en-GB"/>
        </w:rPr>
      </w:pPr>
      <w:hyperlink w:anchor="_Toc42211922" w:history="1">
        <w:r w:rsidR="00F50C46" w:rsidRPr="0075181A">
          <w:rPr>
            <w:rStyle w:val="Hyperlink"/>
            <w:noProof/>
          </w:rPr>
          <w:t>Goods and services</w:t>
        </w:r>
        <w:r w:rsidR="00F50C46">
          <w:rPr>
            <w:noProof/>
            <w:webHidden/>
          </w:rPr>
          <w:tab/>
        </w:r>
        <w:r w:rsidR="00F50C46">
          <w:rPr>
            <w:noProof/>
            <w:webHidden/>
          </w:rPr>
          <w:fldChar w:fldCharType="begin"/>
        </w:r>
        <w:r w:rsidR="00F50C46">
          <w:rPr>
            <w:noProof/>
            <w:webHidden/>
          </w:rPr>
          <w:instrText xml:space="preserve"> PAGEREF _Toc42211922 \h </w:instrText>
        </w:r>
        <w:r w:rsidR="00F50C46">
          <w:rPr>
            <w:noProof/>
            <w:webHidden/>
          </w:rPr>
        </w:r>
        <w:r w:rsidR="00F50C46">
          <w:rPr>
            <w:noProof/>
            <w:webHidden/>
          </w:rPr>
          <w:fldChar w:fldCharType="separate"/>
        </w:r>
        <w:r w:rsidR="00F50C46">
          <w:rPr>
            <w:noProof/>
            <w:webHidden/>
          </w:rPr>
          <w:t>36</w:t>
        </w:r>
        <w:r w:rsidR="00F50C46">
          <w:rPr>
            <w:noProof/>
            <w:webHidden/>
          </w:rPr>
          <w:fldChar w:fldCharType="end"/>
        </w:r>
      </w:hyperlink>
    </w:p>
    <w:p w14:paraId="58982E7A" w14:textId="561B6DA2" w:rsidR="00F50C46" w:rsidRDefault="00977063">
      <w:pPr>
        <w:pStyle w:val="TOC3"/>
        <w:tabs>
          <w:tab w:val="right" w:leader="dot" w:pos="9016"/>
        </w:tabs>
        <w:rPr>
          <w:rFonts w:asciiTheme="minorHAnsi" w:eastAsiaTheme="minorEastAsia" w:hAnsiTheme="minorHAnsi" w:cstheme="minorBidi"/>
          <w:noProof/>
          <w:sz w:val="22"/>
          <w:lang w:val="en-GB" w:eastAsia="en-GB"/>
        </w:rPr>
      </w:pPr>
      <w:hyperlink w:anchor="_Toc42211923" w:history="1">
        <w:r w:rsidR="00F50C46" w:rsidRPr="0075181A">
          <w:rPr>
            <w:rStyle w:val="Hyperlink"/>
            <w:noProof/>
          </w:rPr>
          <w:t>Infrastructure</w:t>
        </w:r>
        <w:r w:rsidR="00F50C46">
          <w:rPr>
            <w:noProof/>
            <w:webHidden/>
          </w:rPr>
          <w:tab/>
        </w:r>
        <w:r w:rsidR="00F50C46">
          <w:rPr>
            <w:noProof/>
            <w:webHidden/>
          </w:rPr>
          <w:fldChar w:fldCharType="begin"/>
        </w:r>
        <w:r w:rsidR="00F50C46">
          <w:rPr>
            <w:noProof/>
            <w:webHidden/>
          </w:rPr>
          <w:instrText xml:space="preserve"> PAGEREF _Toc42211923 \h </w:instrText>
        </w:r>
        <w:r w:rsidR="00F50C46">
          <w:rPr>
            <w:noProof/>
            <w:webHidden/>
          </w:rPr>
        </w:r>
        <w:r w:rsidR="00F50C46">
          <w:rPr>
            <w:noProof/>
            <w:webHidden/>
          </w:rPr>
          <w:fldChar w:fldCharType="separate"/>
        </w:r>
        <w:r w:rsidR="00F50C46">
          <w:rPr>
            <w:noProof/>
            <w:webHidden/>
          </w:rPr>
          <w:t>39</w:t>
        </w:r>
        <w:r w:rsidR="00F50C46">
          <w:rPr>
            <w:noProof/>
            <w:webHidden/>
          </w:rPr>
          <w:fldChar w:fldCharType="end"/>
        </w:r>
      </w:hyperlink>
    </w:p>
    <w:p w14:paraId="613BE3FF" w14:textId="3C4F282B" w:rsidR="00F50C46" w:rsidRDefault="00977063">
      <w:pPr>
        <w:pStyle w:val="TOC2"/>
        <w:tabs>
          <w:tab w:val="right" w:leader="dot" w:pos="9016"/>
        </w:tabs>
        <w:rPr>
          <w:rFonts w:asciiTheme="minorHAnsi" w:eastAsiaTheme="minorEastAsia" w:hAnsiTheme="minorHAnsi" w:cstheme="minorBidi"/>
          <w:noProof/>
          <w:sz w:val="22"/>
          <w:lang w:val="en-GB" w:eastAsia="en-GB"/>
        </w:rPr>
      </w:pPr>
      <w:hyperlink w:anchor="_Toc42211924" w:history="1">
        <w:r w:rsidR="00F50C46" w:rsidRPr="0075181A">
          <w:rPr>
            <w:rStyle w:val="Hyperlink"/>
            <w:noProof/>
          </w:rPr>
          <w:t>Reprioritisation from conditional grants</w:t>
        </w:r>
        <w:r w:rsidR="00F50C46">
          <w:rPr>
            <w:noProof/>
            <w:webHidden/>
          </w:rPr>
          <w:tab/>
        </w:r>
        <w:r w:rsidR="00F50C46">
          <w:rPr>
            <w:noProof/>
            <w:webHidden/>
          </w:rPr>
          <w:fldChar w:fldCharType="begin"/>
        </w:r>
        <w:r w:rsidR="00F50C46">
          <w:rPr>
            <w:noProof/>
            <w:webHidden/>
          </w:rPr>
          <w:instrText xml:space="preserve"> PAGEREF _Toc42211924 \h </w:instrText>
        </w:r>
        <w:r w:rsidR="00F50C46">
          <w:rPr>
            <w:noProof/>
            <w:webHidden/>
          </w:rPr>
        </w:r>
        <w:r w:rsidR="00F50C46">
          <w:rPr>
            <w:noProof/>
            <w:webHidden/>
          </w:rPr>
          <w:fldChar w:fldCharType="separate"/>
        </w:r>
        <w:r w:rsidR="00F50C46">
          <w:rPr>
            <w:noProof/>
            <w:webHidden/>
          </w:rPr>
          <w:t>42</w:t>
        </w:r>
        <w:r w:rsidR="00F50C46">
          <w:rPr>
            <w:noProof/>
            <w:webHidden/>
          </w:rPr>
          <w:fldChar w:fldCharType="end"/>
        </w:r>
      </w:hyperlink>
    </w:p>
    <w:p w14:paraId="51A69A22" w14:textId="5B7CC594" w:rsidR="00F50C46" w:rsidRDefault="00977063">
      <w:pPr>
        <w:pStyle w:val="TOC3"/>
        <w:tabs>
          <w:tab w:val="right" w:leader="dot" w:pos="9016"/>
        </w:tabs>
        <w:rPr>
          <w:rFonts w:asciiTheme="minorHAnsi" w:eastAsiaTheme="minorEastAsia" w:hAnsiTheme="minorHAnsi" w:cstheme="minorBidi"/>
          <w:noProof/>
          <w:sz w:val="22"/>
          <w:lang w:val="en-GB" w:eastAsia="en-GB"/>
        </w:rPr>
      </w:pPr>
      <w:hyperlink w:anchor="_Toc42211925" w:history="1">
        <w:r w:rsidR="00F50C46" w:rsidRPr="0075181A">
          <w:rPr>
            <w:rStyle w:val="Hyperlink"/>
            <w:noProof/>
          </w:rPr>
          <w:t>Learning and culture conditional grants</w:t>
        </w:r>
        <w:r w:rsidR="00F50C46">
          <w:rPr>
            <w:noProof/>
            <w:webHidden/>
          </w:rPr>
          <w:tab/>
        </w:r>
        <w:r w:rsidR="00F50C46">
          <w:rPr>
            <w:noProof/>
            <w:webHidden/>
          </w:rPr>
          <w:fldChar w:fldCharType="begin"/>
        </w:r>
        <w:r w:rsidR="00F50C46">
          <w:rPr>
            <w:noProof/>
            <w:webHidden/>
          </w:rPr>
          <w:instrText xml:space="preserve"> PAGEREF _Toc42211925 \h </w:instrText>
        </w:r>
        <w:r w:rsidR="00F50C46">
          <w:rPr>
            <w:noProof/>
            <w:webHidden/>
          </w:rPr>
        </w:r>
        <w:r w:rsidR="00F50C46">
          <w:rPr>
            <w:noProof/>
            <w:webHidden/>
          </w:rPr>
          <w:fldChar w:fldCharType="separate"/>
        </w:r>
        <w:r w:rsidR="00F50C46">
          <w:rPr>
            <w:noProof/>
            <w:webHidden/>
          </w:rPr>
          <w:t>43</w:t>
        </w:r>
        <w:r w:rsidR="00F50C46">
          <w:rPr>
            <w:noProof/>
            <w:webHidden/>
          </w:rPr>
          <w:fldChar w:fldCharType="end"/>
        </w:r>
      </w:hyperlink>
    </w:p>
    <w:p w14:paraId="7F73E4C9" w14:textId="576E57EA" w:rsidR="00F50C46" w:rsidRDefault="00977063">
      <w:pPr>
        <w:pStyle w:val="TOC3"/>
        <w:tabs>
          <w:tab w:val="right" w:leader="dot" w:pos="9016"/>
        </w:tabs>
        <w:rPr>
          <w:rFonts w:asciiTheme="minorHAnsi" w:eastAsiaTheme="minorEastAsia" w:hAnsiTheme="minorHAnsi" w:cstheme="minorBidi"/>
          <w:noProof/>
          <w:sz w:val="22"/>
          <w:lang w:val="en-GB" w:eastAsia="en-GB"/>
        </w:rPr>
      </w:pPr>
      <w:hyperlink w:anchor="_Toc42211926" w:history="1">
        <w:r w:rsidR="00F50C46" w:rsidRPr="0075181A">
          <w:rPr>
            <w:rStyle w:val="Hyperlink"/>
            <w:noProof/>
          </w:rPr>
          <w:t>Non-infrastructure Grants</w:t>
        </w:r>
        <w:r w:rsidR="00F50C46">
          <w:rPr>
            <w:noProof/>
            <w:webHidden/>
          </w:rPr>
          <w:tab/>
        </w:r>
        <w:r w:rsidR="00F50C46">
          <w:rPr>
            <w:noProof/>
            <w:webHidden/>
          </w:rPr>
          <w:fldChar w:fldCharType="begin"/>
        </w:r>
        <w:r w:rsidR="00F50C46">
          <w:rPr>
            <w:noProof/>
            <w:webHidden/>
          </w:rPr>
          <w:instrText xml:space="preserve"> PAGEREF _Toc42211926 \h </w:instrText>
        </w:r>
        <w:r w:rsidR="00F50C46">
          <w:rPr>
            <w:noProof/>
            <w:webHidden/>
          </w:rPr>
        </w:r>
        <w:r w:rsidR="00F50C46">
          <w:rPr>
            <w:noProof/>
            <w:webHidden/>
          </w:rPr>
          <w:fldChar w:fldCharType="separate"/>
        </w:r>
        <w:r w:rsidR="00F50C46">
          <w:rPr>
            <w:noProof/>
            <w:webHidden/>
          </w:rPr>
          <w:t>45</w:t>
        </w:r>
        <w:r w:rsidR="00F50C46">
          <w:rPr>
            <w:noProof/>
            <w:webHidden/>
          </w:rPr>
          <w:fldChar w:fldCharType="end"/>
        </w:r>
      </w:hyperlink>
    </w:p>
    <w:p w14:paraId="1C1CFC71" w14:textId="29E43CDA" w:rsidR="00F50C46" w:rsidRDefault="00977063">
      <w:pPr>
        <w:pStyle w:val="TOC3"/>
        <w:tabs>
          <w:tab w:val="right" w:leader="dot" w:pos="9016"/>
        </w:tabs>
        <w:rPr>
          <w:rFonts w:asciiTheme="minorHAnsi" w:eastAsiaTheme="minorEastAsia" w:hAnsiTheme="minorHAnsi" w:cstheme="minorBidi"/>
          <w:noProof/>
          <w:sz w:val="22"/>
          <w:lang w:val="en-GB" w:eastAsia="en-GB"/>
        </w:rPr>
      </w:pPr>
      <w:hyperlink w:anchor="_Toc42211927" w:history="1">
        <w:r w:rsidR="00F50C46" w:rsidRPr="0075181A">
          <w:rPr>
            <w:rStyle w:val="Hyperlink"/>
            <w:noProof/>
          </w:rPr>
          <w:t>Health Conditional Grants</w:t>
        </w:r>
        <w:r w:rsidR="00F50C46">
          <w:rPr>
            <w:noProof/>
            <w:webHidden/>
          </w:rPr>
          <w:tab/>
        </w:r>
        <w:r w:rsidR="00F50C46">
          <w:rPr>
            <w:noProof/>
            <w:webHidden/>
          </w:rPr>
          <w:fldChar w:fldCharType="begin"/>
        </w:r>
        <w:r w:rsidR="00F50C46">
          <w:rPr>
            <w:noProof/>
            <w:webHidden/>
          </w:rPr>
          <w:instrText xml:space="preserve"> PAGEREF _Toc42211927 \h </w:instrText>
        </w:r>
        <w:r w:rsidR="00F50C46">
          <w:rPr>
            <w:noProof/>
            <w:webHidden/>
          </w:rPr>
        </w:r>
        <w:r w:rsidR="00F50C46">
          <w:rPr>
            <w:noProof/>
            <w:webHidden/>
          </w:rPr>
          <w:fldChar w:fldCharType="separate"/>
        </w:r>
        <w:r w:rsidR="00F50C46">
          <w:rPr>
            <w:noProof/>
            <w:webHidden/>
          </w:rPr>
          <w:t>47</w:t>
        </w:r>
        <w:r w:rsidR="00F50C46">
          <w:rPr>
            <w:noProof/>
            <w:webHidden/>
          </w:rPr>
          <w:fldChar w:fldCharType="end"/>
        </w:r>
      </w:hyperlink>
    </w:p>
    <w:p w14:paraId="1F0D33A0" w14:textId="466F42AA" w:rsidR="00F50C46" w:rsidRDefault="00977063">
      <w:pPr>
        <w:pStyle w:val="TOC3"/>
        <w:tabs>
          <w:tab w:val="right" w:leader="dot" w:pos="9016"/>
        </w:tabs>
        <w:rPr>
          <w:rFonts w:asciiTheme="minorHAnsi" w:eastAsiaTheme="minorEastAsia" w:hAnsiTheme="minorHAnsi" w:cstheme="minorBidi"/>
          <w:noProof/>
          <w:sz w:val="22"/>
          <w:lang w:val="en-GB" w:eastAsia="en-GB"/>
        </w:rPr>
      </w:pPr>
      <w:hyperlink w:anchor="_Toc42211928" w:history="1">
        <w:r w:rsidR="00F50C46" w:rsidRPr="0075181A">
          <w:rPr>
            <w:rStyle w:val="Hyperlink"/>
            <w:noProof/>
          </w:rPr>
          <w:t>Community Development Conditional Grants</w:t>
        </w:r>
        <w:r w:rsidR="00F50C46">
          <w:rPr>
            <w:noProof/>
            <w:webHidden/>
          </w:rPr>
          <w:tab/>
        </w:r>
        <w:r w:rsidR="00F50C46">
          <w:rPr>
            <w:noProof/>
            <w:webHidden/>
          </w:rPr>
          <w:fldChar w:fldCharType="begin"/>
        </w:r>
        <w:r w:rsidR="00F50C46">
          <w:rPr>
            <w:noProof/>
            <w:webHidden/>
          </w:rPr>
          <w:instrText xml:space="preserve"> PAGEREF _Toc42211928 \h </w:instrText>
        </w:r>
        <w:r w:rsidR="00F50C46">
          <w:rPr>
            <w:noProof/>
            <w:webHidden/>
          </w:rPr>
        </w:r>
        <w:r w:rsidR="00F50C46">
          <w:rPr>
            <w:noProof/>
            <w:webHidden/>
          </w:rPr>
          <w:fldChar w:fldCharType="separate"/>
        </w:r>
        <w:r w:rsidR="00F50C46">
          <w:rPr>
            <w:noProof/>
            <w:webHidden/>
          </w:rPr>
          <w:t>47</w:t>
        </w:r>
        <w:r w:rsidR="00F50C46">
          <w:rPr>
            <w:noProof/>
            <w:webHidden/>
          </w:rPr>
          <w:fldChar w:fldCharType="end"/>
        </w:r>
      </w:hyperlink>
    </w:p>
    <w:p w14:paraId="588239EB" w14:textId="1FDD4491" w:rsidR="00F50C46" w:rsidRDefault="00977063">
      <w:pPr>
        <w:pStyle w:val="TOC3"/>
        <w:tabs>
          <w:tab w:val="right" w:leader="dot" w:pos="9016"/>
        </w:tabs>
        <w:rPr>
          <w:rFonts w:asciiTheme="minorHAnsi" w:eastAsiaTheme="minorEastAsia" w:hAnsiTheme="minorHAnsi" w:cstheme="minorBidi"/>
          <w:noProof/>
          <w:sz w:val="22"/>
          <w:lang w:val="en-GB" w:eastAsia="en-GB"/>
        </w:rPr>
      </w:pPr>
      <w:hyperlink w:anchor="_Toc42211929" w:history="1">
        <w:r w:rsidR="00F50C46" w:rsidRPr="0075181A">
          <w:rPr>
            <w:rStyle w:val="Hyperlink"/>
            <w:noProof/>
          </w:rPr>
          <w:t>Economic Development Conditional Grants</w:t>
        </w:r>
        <w:r w:rsidR="00F50C46">
          <w:rPr>
            <w:noProof/>
            <w:webHidden/>
          </w:rPr>
          <w:tab/>
        </w:r>
        <w:r w:rsidR="00F50C46">
          <w:rPr>
            <w:noProof/>
            <w:webHidden/>
          </w:rPr>
          <w:fldChar w:fldCharType="begin"/>
        </w:r>
        <w:r w:rsidR="00F50C46">
          <w:rPr>
            <w:noProof/>
            <w:webHidden/>
          </w:rPr>
          <w:instrText xml:space="preserve"> PAGEREF _Toc42211929 \h </w:instrText>
        </w:r>
        <w:r w:rsidR="00F50C46">
          <w:rPr>
            <w:noProof/>
            <w:webHidden/>
          </w:rPr>
        </w:r>
        <w:r w:rsidR="00F50C46">
          <w:rPr>
            <w:noProof/>
            <w:webHidden/>
          </w:rPr>
          <w:fldChar w:fldCharType="separate"/>
        </w:r>
        <w:r w:rsidR="00F50C46">
          <w:rPr>
            <w:noProof/>
            <w:webHidden/>
          </w:rPr>
          <w:t>50</w:t>
        </w:r>
        <w:r w:rsidR="00F50C46">
          <w:rPr>
            <w:noProof/>
            <w:webHidden/>
          </w:rPr>
          <w:fldChar w:fldCharType="end"/>
        </w:r>
      </w:hyperlink>
    </w:p>
    <w:p w14:paraId="16F4E070" w14:textId="052157F0" w:rsidR="00F50C46" w:rsidRDefault="00977063">
      <w:pPr>
        <w:pStyle w:val="TOC1"/>
        <w:rPr>
          <w:rFonts w:asciiTheme="minorHAnsi" w:eastAsiaTheme="minorEastAsia" w:hAnsiTheme="minorHAnsi" w:cstheme="minorBidi"/>
          <w:noProof/>
          <w:sz w:val="22"/>
          <w:lang w:val="en-GB" w:eastAsia="en-GB"/>
        </w:rPr>
      </w:pPr>
      <w:hyperlink w:anchor="_Toc42211930" w:history="1">
        <w:r w:rsidR="00F50C46" w:rsidRPr="0075181A">
          <w:rPr>
            <w:rStyle w:val="Hyperlink"/>
            <w:noProof/>
          </w:rPr>
          <w:t>Section 6: Concluding remarks</w:t>
        </w:r>
        <w:r w:rsidR="00F50C46">
          <w:rPr>
            <w:noProof/>
            <w:webHidden/>
          </w:rPr>
          <w:tab/>
        </w:r>
        <w:r w:rsidR="00F50C46">
          <w:rPr>
            <w:noProof/>
            <w:webHidden/>
          </w:rPr>
          <w:fldChar w:fldCharType="begin"/>
        </w:r>
        <w:r w:rsidR="00F50C46">
          <w:rPr>
            <w:noProof/>
            <w:webHidden/>
          </w:rPr>
          <w:instrText xml:space="preserve"> PAGEREF _Toc42211930 \h </w:instrText>
        </w:r>
        <w:r w:rsidR="00F50C46">
          <w:rPr>
            <w:noProof/>
            <w:webHidden/>
          </w:rPr>
        </w:r>
        <w:r w:rsidR="00F50C46">
          <w:rPr>
            <w:noProof/>
            <w:webHidden/>
          </w:rPr>
          <w:fldChar w:fldCharType="separate"/>
        </w:r>
        <w:r w:rsidR="00F50C46">
          <w:rPr>
            <w:noProof/>
            <w:webHidden/>
          </w:rPr>
          <w:t>53</w:t>
        </w:r>
        <w:r w:rsidR="00F50C46">
          <w:rPr>
            <w:noProof/>
            <w:webHidden/>
          </w:rPr>
          <w:fldChar w:fldCharType="end"/>
        </w:r>
      </w:hyperlink>
    </w:p>
    <w:p w14:paraId="1E1223A7" w14:textId="50183D85" w:rsidR="001F2E28" w:rsidRDefault="00E06CBD" w:rsidP="00E827B9">
      <w:r>
        <w:fldChar w:fldCharType="end"/>
      </w:r>
    </w:p>
    <w:p w14:paraId="2FBF1B5F" w14:textId="77777777" w:rsidR="001F2E28" w:rsidRDefault="001F2E28">
      <w:pPr>
        <w:spacing w:line="240" w:lineRule="auto"/>
      </w:pPr>
      <w:r>
        <w:br w:type="page"/>
      </w:r>
    </w:p>
    <w:p w14:paraId="56FC495C" w14:textId="77777777" w:rsidR="001F2E28" w:rsidRDefault="001F2E28" w:rsidP="001F2E28">
      <w:pPr>
        <w:pStyle w:val="Listof"/>
      </w:pPr>
      <w:bookmarkStart w:id="1" w:name="_Toc8150307"/>
      <w:bookmarkStart w:id="2" w:name="_Toc42211901"/>
      <w:r w:rsidRPr="008306E1">
        <w:lastRenderedPageBreak/>
        <w:t>Acronyms</w:t>
      </w:r>
      <w:bookmarkEnd w:id="1"/>
      <w:bookmarkEnd w:id="2"/>
    </w:p>
    <w:tbl>
      <w:tblPr>
        <w:tblW w:w="10876" w:type="dxa"/>
        <w:tblBorders>
          <w:right w:val="single" w:sz="4" w:space="0" w:color="984806" w:themeColor="accent6" w:themeShade="80"/>
        </w:tblBorders>
        <w:tblLook w:val="0680" w:firstRow="0" w:lastRow="0" w:firstColumn="1" w:lastColumn="0" w:noHBand="1" w:noVBand="1"/>
      </w:tblPr>
      <w:tblGrid>
        <w:gridCol w:w="2891"/>
        <w:gridCol w:w="7985"/>
      </w:tblGrid>
      <w:tr w:rsidR="001F2E28" w:rsidRPr="000D3E39" w14:paraId="279069BA" w14:textId="77777777" w:rsidTr="001F2E28">
        <w:trPr>
          <w:trHeight w:val="170"/>
        </w:trPr>
        <w:tc>
          <w:tcPr>
            <w:tcW w:w="2891" w:type="dxa"/>
            <w:shd w:val="clear" w:color="auto" w:fill="auto"/>
            <w:noWrap/>
            <w:vAlign w:val="center"/>
          </w:tcPr>
          <w:p w14:paraId="27973BF8" w14:textId="77777777" w:rsidR="001F2E28" w:rsidRPr="002C58AF" w:rsidRDefault="001F2E28" w:rsidP="00A55479">
            <w:pPr>
              <w:spacing w:line="240" w:lineRule="auto"/>
              <w:ind w:right="1651"/>
              <w:jc w:val="left"/>
              <w:rPr>
                <w:szCs w:val="24"/>
              </w:rPr>
            </w:pPr>
            <w:r w:rsidRPr="002C58AF">
              <w:rPr>
                <w:iCs/>
                <w:szCs w:val="24"/>
              </w:rPr>
              <w:t>CASP</w:t>
            </w:r>
          </w:p>
        </w:tc>
        <w:tc>
          <w:tcPr>
            <w:tcW w:w="0" w:type="auto"/>
            <w:shd w:val="clear" w:color="auto" w:fill="auto"/>
            <w:noWrap/>
          </w:tcPr>
          <w:p w14:paraId="6FE461FF" w14:textId="77777777" w:rsidR="001F2E28" w:rsidRPr="002C58AF" w:rsidRDefault="001F2E28" w:rsidP="00A55479">
            <w:pPr>
              <w:spacing w:line="240" w:lineRule="auto"/>
              <w:ind w:right="1651"/>
              <w:jc w:val="left"/>
              <w:rPr>
                <w:szCs w:val="24"/>
              </w:rPr>
            </w:pPr>
            <w:r w:rsidRPr="002C58AF">
              <w:rPr>
                <w:szCs w:val="24"/>
              </w:rPr>
              <w:t>C</w:t>
            </w:r>
            <w:r w:rsidRPr="002C58AF">
              <w:rPr>
                <w:iCs/>
                <w:szCs w:val="24"/>
              </w:rPr>
              <w:t>omprehensive Agricultural Support Programme Grant</w:t>
            </w:r>
          </w:p>
        </w:tc>
      </w:tr>
      <w:tr w:rsidR="001F2E28" w:rsidRPr="000D3E39" w14:paraId="47762B6D" w14:textId="77777777" w:rsidTr="001F2E28">
        <w:trPr>
          <w:trHeight w:val="170"/>
        </w:trPr>
        <w:tc>
          <w:tcPr>
            <w:tcW w:w="2891" w:type="dxa"/>
            <w:shd w:val="clear" w:color="auto" w:fill="auto"/>
            <w:noWrap/>
            <w:vAlign w:val="center"/>
            <w:hideMark/>
          </w:tcPr>
          <w:p w14:paraId="6A34C23C" w14:textId="77777777" w:rsidR="001F2E28" w:rsidRPr="002C58AF" w:rsidRDefault="001F2E28" w:rsidP="00A55479">
            <w:pPr>
              <w:spacing w:line="240" w:lineRule="auto"/>
              <w:ind w:right="1651"/>
              <w:jc w:val="left"/>
              <w:rPr>
                <w:color w:val="000000"/>
                <w:szCs w:val="24"/>
              </w:rPr>
            </w:pPr>
            <w:r w:rsidRPr="002C58AF">
              <w:rPr>
                <w:color w:val="000000"/>
                <w:szCs w:val="24"/>
              </w:rPr>
              <w:t>Cogta</w:t>
            </w:r>
          </w:p>
        </w:tc>
        <w:tc>
          <w:tcPr>
            <w:tcW w:w="0" w:type="auto"/>
            <w:shd w:val="clear" w:color="auto" w:fill="auto"/>
            <w:noWrap/>
            <w:hideMark/>
          </w:tcPr>
          <w:p w14:paraId="050C6472" w14:textId="77777777" w:rsidR="001F2E28" w:rsidRPr="002C58AF" w:rsidRDefault="001F2E28" w:rsidP="00A55479">
            <w:pPr>
              <w:spacing w:line="240" w:lineRule="auto"/>
              <w:ind w:right="1651"/>
              <w:jc w:val="left"/>
              <w:rPr>
                <w:color w:val="000000"/>
                <w:szCs w:val="24"/>
              </w:rPr>
            </w:pPr>
            <w:r w:rsidRPr="002C58AF">
              <w:rPr>
                <w:szCs w:val="24"/>
              </w:rPr>
              <w:t>Department of Cooperative</w:t>
            </w:r>
            <w:r w:rsidRPr="002C58AF">
              <w:rPr>
                <w:color w:val="000000"/>
                <w:szCs w:val="24"/>
              </w:rPr>
              <w:t xml:space="preserve"> </w:t>
            </w:r>
            <w:r w:rsidRPr="002C58AF">
              <w:rPr>
                <w:szCs w:val="24"/>
              </w:rPr>
              <w:t>Governance and Traditional Affairs</w:t>
            </w:r>
          </w:p>
        </w:tc>
      </w:tr>
      <w:tr w:rsidR="001F2E28" w:rsidRPr="000D3E39" w14:paraId="01CEB365" w14:textId="77777777" w:rsidTr="001F2E28">
        <w:trPr>
          <w:trHeight w:val="170"/>
        </w:trPr>
        <w:tc>
          <w:tcPr>
            <w:tcW w:w="2891" w:type="dxa"/>
            <w:shd w:val="clear" w:color="auto" w:fill="auto"/>
            <w:noWrap/>
            <w:vAlign w:val="center"/>
          </w:tcPr>
          <w:p w14:paraId="1B6CCF6A" w14:textId="77777777" w:rsidR="001F2E28" w:rsidRPr="002C58AF" w:rsidRDefault="001F2E28" w:rsidP="00A55479">
            <w:pPr>
              <w:spacing w:line="240" w:lineRule="auto"/>
              <w:ind w:right="1651"/>
              <w:jc w:val="left"/>
              <w:rPr>
                <w:color w:val="000000"/>
                <w:szCs w:val="24"/>
              </w:rPr>
            </w:pPr>
            <w:r w:rsidRPr="002C58AF">
              <w:rPr>
                <w:color w:val="000000"/>
                <w:szCs w:val="24"/>
              </w:rPr>
              <w:t>Covid-19</w:t>
            </w:r>
          </w:p>
        </w:tc>
        <w:tc>
          <w:tcPr>
            <w:tcW w:w="0" w:type="auto"/>
            <w:shd w:val="clear" w:color="auto" w:fill="auto"/>
            <w:noWrap/>
          </w:tcPr>
          <w:p w14:paraId="385DCEAE" w14:textId="77777777" w:rsidR="001F2E28" w:rsidRPr="002C58AF" w:rsidRDefault="001F2E28" w:rsidP="00A55479">
            <w:pPr>
              <w:spacing w:line="240" w:lineRule="auto"/>
              <w:ind w:right="1651"/>
              <w:jc w:val="left"/>
              <w:rPr>
                <w:color w:val="000000"/>
                <w:szCs w:val="24"/>
              </w:rPr>
            </w:pPr>
            <w:r w:rsidRPr="002C58AF">
              <w:rPr>
                <w:rStyle w:val="Strong"/>
                <w:b w:val="0"/>
                <w:szCs w:val="24"/>
                <w:shd w:val="clear" w:color="auto" w:fill="FFFFFF"/>
              </w:rPr>
              <w:t>Co</w:t>
            </w:r>
            <w:r w:rsidRPr="002C58AF">
              <w:rPr>
                <w:szCs w:val="24"/>
                <w:shd w:val="clear" w:color="auto" w:fill="FFFFFF"/>
              </w:rPr>
              <w:t>rona</w:t>
            </w:r>
            <w:r w:rsidRPr="002C58AF">
              <w:rPr>
                <w:rStyle w:val="Strong"/>
                <w:b w:val="0"/>
                <w:szCs w:val="24"/>
                <w:shd w:val="clear" w:color="auto" w:fill="FFFFFF"/>
              </w:rPr>
              <w:t>vi</w:t>
            </w:r>
            <w:r w:rsidRPr="002C58AF">
              <w:rPr>
                <w:szCs w:val="24"/>
                <w:shd w:val="clear" w:color="auto" w:fill="FFFFFF"/>
              </w:rPr>
              <w:t>rus </w:t>
            </w:r>
            <w:r w:rsidRPr="002C58AF">
              <w:rPr>
                <w:rStyle w:val="Strong"/>
                <w:b w:val="0"/>
                <w:szCs w:val="24"/>
                <w:shd w:val="clear" w:color="auto" w:fill="FFFFFF"/>
              </w:rPr>
              <w:t>d</w:t>
            </w:r>
            <w:r w:rsidRPr="002C58AF">
              <w:rPr>
                <w:szCs w:val="24"/>
                <w:shd w:val="clear" w:color="auto" w:fill="FFFFFF"/>
              </w:rPr>
              <w:t>isease of 20</w:t>
            </w:r>
            <w:r w:rsidRPr="002C58AF">
              <w:rPr>
                <w:rStyle w:val="Strong"/>
                <w:b w:val="0"/>
                <w:szCs w:val="24"/>
                <w:shd w:val="clear" w:color="auto" w:fill="FFFFFF"/>
              </w:rPr>
              <w:t>19</w:t>
            </w:r>
          </w:p>
        </w:tc>
      </w:tr>
      <w:tr w:rsidR="001F2E28" w:rsidRPr="000D3E39" w14:paraId="1602CF8F" w14:textId="77777777" w:rsidTr="001F2E28">
        <w:trPr>
          <w:trHeight w:val="170"/>
        </w:trPr>
        <w:tc>
          <w:tcPr>
            <w:tcW w:w="2891" w:type="dxa"/>
            <w:shd w:val="clear" w:color="auto" w:fill="auto"/>
            <w:noWrap/>
            <w:vAlign w:val="center"/>
            <w:hideMark/>
          </w:tcPr>
          <w:p w14:paraId="71C4D66C" w14:textId="77777777" w:rsidR="001F2E28" w:rsidRPr="002C58AF" w:rsidRDefault="001F2E28" w:rsidP="00A55479">
            <w:pPr>
              <w:spacing w:line="240" w:lineRule="auto"/>
              <w:ind w:right="1651"/>
              <w:jc w:val="left"/>
              <w:rPr>
                <w:color w:val="000000"/>
                <w:szCs w:val="24"/>
              </w:rPr>
            </w:pPr>
            <w:r w:rsidRPr="002C58AF">
              <w:rPr>
                <w:color w:val="000000"/>
                <w:szCs w:val="24"/>
              </w:rPr>
              <w:t>DBSA</w:t>
            </w:r>
          </w:p>
        </w:tc>
        <w:tc>
          <w:tcPr>
            <w:tcW w:w="0" w:type="auto"/>
            <w:shd w:val="clear" w:color="auto" w:fill="auto"/>
            <w:noWrap/>
            <w:hideMark/>
          </w:tcPr>
          <w:p w14:paraId="2762D7F0" w14:textId="77777777" w:rsidR="001F2E28" w:rsidRPr="002C58AF" w:rsidRDefault="001F2E28" w:rsidP="00A55479">
            <w:pPr>
              <w:spacing w:line="240" w:lineRule="auto"/>
              <w:ind w:right="1651"/>
              <w:jc w:val="left"/>
              <w:rPr>
                <w:color w:val="000000"/>
                <w:szCs w:val="24"/>
              </w:rPr>
            </w:pPr>
            <w:r w:rsidRPr="002C58AF">
              <w:rPr>
                <w:color w:val="000000"/>
                <w:szCs w:val="24"/>
              </w:rPr>
              <w:t>Development Bank of Southern Africa</w:t>
            </w:r>
          </w:p>
        </w:tc>
      </w:tr>
      <w:tr w:rsidR="001F2E28" w:rsidRPr="000D3E39" w14:paraId="051F42B1" w14:textId="77777777" w:rsidTr="001F2E28">
        <w:trPr>
          <w:trHeight w:val="170"/>
        </w:trPr>
        <w:tc>
          <w:tcPr>
            <w:tcW w:w="2891" w:type="dxa"/>
            <w:shd w:val="clear" w:color="auto" w:fill="auto"/>
            <w:noWrap/>
            <w:vAlign w:val="center"/>
            <w:hideMark/>
          </w:tcPr>
          <w:p w14:paraId="04E14B5D" w14:textId="77777777" w:rsidR="001F2E28" w:rsidRPr="002C58AF" w:rsidRDefault="001F2E28" w:rsidP="00A55479">
            <w:pPr>
              <w:spacing w:line="240" w:lineRule="auto"/>
              <w:ind w:right="1651"/>
              <w:jc w:val="left"/>
              <w:rPr>
                <w:color w:val="000000"/>
                <w:szCs w:val="24"/>
              </w:rPr>
            </w:pPr>
            <w:r w:rsidRPr="002C58AF">
              <w:rPr>
                <w:color w:val="000000"/>
                <w:szCs w:val="24"/>
              </w:rPr>
              <w:t>DPME</w:t>
            </w:r>
          </w:p>
        </w:tc>
        <w:tc>
          <w:tcPr>
            <w:tcW w:w="0" w:type="auto"/>
            <w:shd w:val="clear" w:color="auto" w:fill="auto"/>
            <w:noWrap/>
            <w:hideMark/>
          </w:tcPr>
          <w:p w14:paraId="5214DAEB" w14:textId="77777777" w:rsidR="001F2E28" w:rsidRPr="002C58AF" w:rsidRDefault="001F2E28" w:rsidP="00A55479">
            <w:pPr>
              <w:spacing w:line="240" w:lineRule="auto"/>
              <w:ind w:right="1651"/>
              <w:jc w:val="left"/>
              <w:rPr>
                <w:color w:val="000000"/>
                <w:szCs w:val="24"/>
              </w:rPr>
            </w:pPr>
            <w:r w:rsidRPr="002C58AF">
              <w:rPr>
                <w:color w:val="000000"/>
                <w:szCs w:val="24"/>
              </w:rPr>
              <w:t>Department of Performance Monitoring and Evaluation</w:t>
            </w:r>
          </w:p>
        </w:tc>
      </w:tr>
      <w:tr w:rsidR="001F2E28" w:rsidRPr="000D3E39" w14:paraId="32B78A3D" w14:textId="77777777" w:rsidTr="001F2E28">
        <w:trPr>
          <w:trHeight w:val="170"/>
        </w:trPr>
        <w:tc>
          <w:tcPr>
            <w:tcW w:w="2891" w:type="dxa"/>
            <w:shd w:val="clear" w:color="auto" w:fill="auto"/>
            <w:noWrap/>
            <w:vAlign w:val="center"/>
          </w:tcPr>
          <w:p w14:paraId="1B4E2132" w14:textId="77777777" w:rsidR="001F2E28" w:rsidRPr="002C58AF" w:rsidRDefault="001F2E28" w:rsidP="00A55479">
            <w:pPr>
              <w:spacing w:line="240" w:lineRule="auto"/>
              <w:ind w:right="1651"/>
              <w:jc w:val="left"/>
              <w:rPr>
                <w:color w:val="000000"/>
                <w:szCs w:val="24"/>
              </w:rPr>
            </w:pPr>
            <w:r w:rsidRPr="002C58AF">
              <w:rPr>
                <w:szCs w:val="24"/>
              </w:rPr>
              <w:t>EMDEs</w:t>
            </w:r>
          </w:p>
        </w:tc>
        <w:tc>
          <w:tcPr>
            <w:tcW w:w="0" w:type="auto"/>
            <w:shd w:val="clear" w:color="auto" w:fill="auto"/>
            <w:noWrap/>
          </w:tcPr>
          <w:p w14:paraId="1F5C4B0A" w14:textId="77777777" w:rsidR="001F2E28" w:rsidRPr="002C58AF" w:rsidRDefault="001F2E28" w:rsidP="00A55479">
            <w:pPr>
              <w:spacing w:line="240" w:lineRule="auto"/>
              <w:ind w:right="1651"/>
              <w:jc w:val="left"/>
              <w:rPr>
                <w:color w:val="000000"/>
                <w:szCs w:val="24"/>
              </w:rPr>
            </w:pPr>
            <w:r w:rsidRPr="002C58AF">
              <w:rPr>
                <w:szCs w:val="24"/>
              </w:rPr>
              <w:t>Emerging Market And Developing</w:t>
            </w:r>
            <w:r>
              <w:rPr>
                <w:szCs w:val="24"/>
              </w:rPr>
              <w:t xml:space="preserve"> Economies</w:t>
            </w:r>
          </w:p>
        </w:tc>
      </w:tr>
      <w:tr w:rsidR="001F2E28" w:rsidRPr="000D3E39" w14:paraId="27F93771" w14:textId="77777777" w:rsidTr="001F2E28">
        <w:trPr>
          <w:trHeight w:val="170"/>
        </w:trPr>
        <w:tc>
          <w:tcPr>
            <w:tcW w:w="2891" w:type="dxa"/>
            <w:shd w:val="clear" w:color="auto" w:fill="auto"/>
            <w:noWrap/>
            <w:vAlign w:val="center"/>
          </w:tcPr>
          <w:p w14:paraId="463F0433" w14:textId="77777777" w:rsidR="001F2E28" w:rsidRPr="002C58AF" w:rsidRDefault="001F2E28" w:rsidP="00A55479">
            <w:pPr>
              <w:spacing w:line="240" w:lineRule="auto"/>
              <w:ind w:right="1651"/>
              <w:jc w:val="left"/>
              <w:rPr>
                <w:szCs w:val="24"/>
              </w:rPr>
            </w:pPr>
            <w:r w:rsidRPr="002C58AF">
              <w:rPr>
                <w:iCs/>
                <w:szCs w:val="24"/>
              </w:rPr>
              <w:t>EPWP</w:t>
            </w:r>
          </w:p>
        </w:tc>
        <w:tc>
          <w:tcPr>
            <w:tcW w:w="0" w:type="auto"/>
            <w:shd w:val="clear" w:color="auto" w:fill="auto"/>
            <w:noWrap/>
          </w:tcPr>
          <w:p w14:paraId="7A9101A6" w14:textId="77777777" w:rsidR="001F2E28" w:rsidRPr="002C58AF" w:rsidRDefault="001F2E28" w:rsidP="00A55479">
            <w:pPr>
              <w:spacing w:line="240" w:lineRule="auto"/>
              <w:ind w:right="1651"/>
              <w:jc w:val="left"/>
              <w:rPr>
                <w:szCs w:val="24"/>
              </w:rPr>
            </w:pPr>
            <w:r w:rsidRPr="002C58AF">
              <w:rPr>
                <w:iCs/>
                <w:szCs w:val="24"/>
              </w:rPr>
              <w:t>Expanded Public Works Programme</w:t>
            </w:r>
          </w:p>
        </w:tc>
      </w:tr>
      <w:tr w:rsidR="001F2E28" w:rsidRPr="000D3E39" w14:paraId="71A6727E" w14:textId="77777777" w:rsidTr="001F2E28">
        <w:trPr>
          <w:trHeight w:val="170"/>
        </w:trPr>
        <w:tc>
          <w:tcPr>
            <w:tcW w:w="2891" w:type="dxa"/>
            <w:shd w:val="clear" w:color="auto" w:fill="auto"/>
            <w:noWrap/>
            <w:vAlign w:val="center"/>
          </w:tcPr>
          <w:p w14:paraId="1ED0A087" w14:textId="77777777" w:rsidR="001F2E28" w:rsidRPr="002C58AF" w:rsidRDefault="001F2E28" w:rsidP="00A55479">
            <w:pPr>
              <w:spacing w:line="240" w:lineRule="auto"/>
              <w:ind w:right="1651"/>
              <w:jc w:val="left"/>
              <w:rPr>
                <w:color w:val="000000"/>
                <w:szCs w:val="24"/>
              </w:rPr>
            </w:pPr>
            <w:r w:rsidRPr="002C58AF">
              <w:rPr>
                <w:color w:val="000000"/>
                <w:szCs w:val="24"/>
              </w:rPr>
              <w:t>FFC</w:t>
            </w:r>
          </w:p>
        </w:tc>
        <w:tc>
          <w:tcPr>
            <w:tcW w:w="0" w:type="auto"/>
            <w:shd w:val="clear" w:color="auto" w:fill="auto"/>
            <w:noWrap/>
          </w:tcPr>
          <w:p w14:paraId="44AB108B" w14:textId="77777777" w:rsidR="001F2E28" w:rsidRPr="002C58AF" w:rsidRDefault="001F2E28" w:rsidP="00A55479">
            <w:pPr>
              <w:spacing w:line="240" w:lineRule="auto"/>
              <w:ind w:right="1651"/>
              <w:jc w:val="left"/>
              <w:rPr>
                <w:color w:val="000000"/>
                <w:szCs w:val="24"/>
              </w:rPr>
            </w:pPr>
            <w:r w:rsidRPr="002C58AF">
              <w:rPr>
                <w:szCs w:val="24"/>
              </w:rPr>
              <w:t>Financial and Fiscal Commission</w:t>
            </w:r>
          </w:p>
        </w:tc>
      </w:tr>
      <w:tr w:rsidR="001F2E28" w:rsidRPr="000D3E39" w14:paraId="40E9633E" w14:textId="77777777" w:rsidTr="001F2E28">
        <w:trPr>
          <w:trHeight w:val="170"/>
        </w:trPr>
        <w:tc>
          <w:tcPr>
            <w:tcW w:w="2891" w:type="dxa"/>
            <w:shd w:val="clear" w:color="auto" w:fill="auto"/>
            <w:noWrap/>
            <w:vAlign w:val="center"/>
            <w:hideMark/>
          </w:tcPr>
          <w:p w14:paraId="19834F5A" w14:textId="77777777" w:rsidR="001F2E28" w:rsidRPr="002C58AF" w:rsidRDefault="001F2E28" w:rsidP="00A55479">
            <w:pPr>
              <w:spacing w:line="240" w:lineRule="auto"/>
              <w:ind w:right="1651"/>
              <w:jc w:val="left"/>
              <w:rPr>
                <w:color w:val="000000"/>
                <w:szCs w:val="24"/>
              </w:rPr>
            </w:pPr>
            <w:r w:rsidRPr="002C58AF">
              <w:rPr>
                <w:color w:val="000000"/>
                <w:szCs w:val="24"/>
              </w:rPr>
              <w:t>GDP</w:t>
            </w:r>
          </w:p>
        </w:tc>
        <w:tc>
          <w:tcPr>
            <w:tcW w:w="0" w:type="auto"/>
            <w:shd w:val="clear" w:color="auto" w:fill="auto"/>
            <w:noWrap/>
            <w:hideMark/>
          </w:tcPr>
          <w:p w14:paraId="5D87E1AC" w14:textId="77777777" w:rsidR="001F2E28" w:rsidRPr="002C58AF" w:rsidRDefault="001F2E28" w:rsidP="00A55479">
            <w:pPr>
              <w:spacing w:line="240" w:lineRule="auto"/>
              <w:ind w:right="1651"/>
              <w:jc w:val="left"/>
              <w:rPr>
                <w:color w:val="000000"/>
                <w:szCs w:val="24"/>
              </w:rPr>
            </w:pPr>
            <w:r w:rsidRPr="002C58AF">
              <w:rPr>
                <w:color w:val="000000"/>
                <w:szCs w:val="24"/>
              </w:rPr>
              <w:t>Gross Domestic Product</w:t>
            </w:r>
          </w:p>
        </w:tc>
      </w:tr>
      <w:tr w:rsidR="001F2E28" w:rsidRPr="000D3E39" w14:paraId="3F9AA63D" w14:textId="77777777" w:rsidTr="001F2E28">
        <w:trPr>
          <w:trHeight w:val="170"/>
        </w:trPr>
        <w:tc>
          <w:tcPr>
            <w:tcW w:w="2891" w:type="dxa"/>
            <w:shd w:val="clear" w:color="auto" w:fill="auto"/>
            <w:noWrap/>
            <w:vAlign w:val="center"/>
          </w:tcPr>
          <w:p w14:paraId="5491209B" w14:textId="77777777" w:rsidR="001F2E28" w:rsidRPr="002C58AF" w:rsidRDefault="001F2E28" w:rsidP="00A55479">
            <w:pPr>
              <w:spacing w:line="240" w:lineRule="auto"/>
              <w:ind w:right="1651"/>
              <w:jc w:val="left"/>
              <w:rPr>
                <w:color w:val="000000"/>
                <w:szCs w:val="24"/>
              </w:rPr>
            </w:pPr>
            <w:r w:rsidRPr="002C58AF">
              <w:rPr>
                <w:szCs w:val="24"/>
              </w:rPr>
              <w:t>GEPF</w:t>
            </w:r>
          </w:p>
        </w:tc>
        <w:tc>
          <w:tcPr>
            <w:tcW w:w="0" w:type="auto"/>
            <w:shd w:val="clear" w:color="auto" w:fill="auto"/>
            <w:noWrap/>
          </w:tcPr>
          <w:p w14:paraId="5E9CC767" w14:textId="77777777" w:rsidR="001F2E28" w:rsidRPr="002C58AF" w:rsidRDefault="001F2E28" w:rsidP="00A55479">
            <w:pPr>
              <w:spacing w:line="240" w:lineRule="auto"/>
              <w:ind w:right="1651"/>
              <w:jc w:val="left"/>
              <w:rPr>
                <w:color w:val="000000"/>
                <w:szCs w:val="24"/>
              </w:rPr>
            </w:pPr>
            <w:r w:rsidRPr="002C58AF">
              <w:rPr>
                <w:szCs w:val="24"/>
              </w:rPr>
              <w:t>Government Employees Pension Fund</w:t>
            </w:r>
          </w:p>
        </w:tc>
      </w:tr>
      <w:tr w:rsidR="001F2E28" w:rsidRPr="000D3E39" w14:paraId="39F6E18E" w14:textId="77777777" w:rsidTr="001F2E28">
        <w:trPr>
          <w:trHeight w:val="170"/>
        </w:trPr>
        <w:tc>
          <w:tcPr>
            <w:tcW w:w="2891" w:type="dxa"/>
            <w:shd w:val="clear" w:color="auto" w:fill="auto"/>
            <w:noWrap/>
            <w:vAlign w:val="center"/>
          </w:tcPr>
          <w:p w14:paraId="2AE85A9D" w14:textId="77777777" w:rsidR="001F2E28" w:rsidRPr="002C58AF" w:rsidRDefault="001F2E28" w:rsidP="00A55479">
            <w:pPr>
              <w:spacing w:line="240" w:lineRule="auto"/>
              <w:ind w:right="1651"/>
              <w:jc w:val="left"/>
              <w:rPr>
                <w:szCs w:val="24"/>
              </w:rPr>
            </w:pPr>
            <w:r w:rsidRPr="002C58AF">
              <w:rPr>
                <w:szCs w:val="24"/>
              </w:rPr>
              <w:t xml:space="preserve">HIV </w:t>
            </w:r>
          </w:p>
        </w:tc>
        <w:tc>
          <w:tcPr>
            <w:tcW w:w="0" w:type="auto"/>
            <w:shd w:val="clear" w:color="auto" w:fill="auto"/>
            <w:noWrap/>
          </w:tcPr>
          <w:p w14:paraId="2EE8F474" w14:textId="77777777" w:rsidR="001F2E28" w:rsidRPr="002C58AF" w:rsidRDefault="001F2E28" w:rsidP="00A55479">
            <w:pPr>
              <w:spacing w:line="240" w:lineRule="auto"/>
              <w:ind w:right="1651"/>
              <w:jc w:val="left"/>
              <w:rPr>
                <w:szCs w:val="24"/>
              </w:rPr>
            </w:pPr>
            <w:r w:rsidRPr="002C58AF">
              <w:rPr>
                <w:color w:val="000000" w:themeColor="text1"/>
                <w:szCs w:val="24"/>
                <w:shd w:val="clear" w:color="auto" w:fill="FFFFFF"/>
              </w:rPr>
              <w:t>Human Immunodeficiency Virus</w:t>
            </w:r>
          </w:p>
        </w:tc>
      </w:tr>
      <w:tr w:rsidR="001F2E28" w:rsidRPr="000D3E39" w14:paraId="7C1F47C2" w14:textId="77777777" w:rsidTr="001F2E28">
        <w:trPr>
          <w:trHeight w:val="170"/>
        </w:trPr>
        <w:tc>
          <w:tcPr>
            <w:tcW w:w="2891" w:type="dxa"/>
            <w:shd w:val="clear" w:color="auto" w:fill="auto"/>
            <w:noWrap/>
            <w:vAlign w:val="center"/>
            <w:hideMark/>
          </w:tcPr>
          <w:p w14:paraId="4F37CF24" w14:textId="77777777" w:rsidR="001F2E28" w:rsidRPr="002C58AF" w:rsidRDefault="001F2E28" w:rsidP="00A55479">
            <w:pPr>
              <w:spacing w:line="240" w:lineRule="auto"/>
              <w:ind w:right="1651"/>
              <w:jc w:val="left"/>
              <w:rPr>
                <w:color w:val="000000"/>
                <w:szCs w:val="24"/>
              </w:rPr>
            </w:pPr>
            <w:r w:rsidRPr="002C58AF">
              <w:rPr>
                <w:color w:val="000000"/>
                <w:szCs w:val="24"/>
              </w:rPr>
              <w:t>IMF</w:t>
            </w:r>
          </w:p>
        </w:tc>
        <w:tc>
          <w:tcPr>
            <w:tcW w:w="0" w:type="auto"/>
            <w:shd w:val="clear" w:color="auto" w:fill="auto"/>
            <w:noWrap/>
            <w:hideMark/>
          </w:tcPr>
          <w:p w14:paraId="2B1267A7" w14:textId="77777777" w:rsidR="001F2E28" w:rsidRPr="002C58AF" w:rsidRDefault="001F2E28" w:rsidP="00A55479">
            <w:pPr>
              <w:spacing w:line="240" w:lineRule="auto"/>
              <w:ind w:right="1651"/>
              <w:jc w:val="left"/>
              <w:rPr>
                <w:color w:val="008080"/>
                <w:szCs w:val="24"/>
              </w:rPr>
            </w:pPr>
            <w:r w:rsidRPr="002C58AF">
              <w:rPr>
                <w:color w:val="000000"/>
                <w:szCs w:val="24"/>
              </w:rPr>
              <w:t>International Monetary Fund</w:t>
            </w:r>
          </w:p>
        </w:tc>
      </w:tr>
      <w:tr w:rsidR="001F2E28" w:rsidRPr="000D3E39" w14:paraId="65059B00" w14:textId="77777777" w:rsidTr="001F2E28">
        <w:trPr>
          <w:trHeight w:val="170"/>
        </w:trPr>
        <w:tc>
          <w:tcPr>
            <w:tcW w:w="2891" w:type="dxa"/>
            <w:shd w:val="clear" w:color="auto" w:fill="auto"/>
            <w:noWrap/>
            <w:vAlign w:val="center"/>
            <w:hideMark/>
          </w:tcPr>
          <w:p w14:paraId="5710D25D" w14:textId="77777777" w:rsidR="001F2E28" w:rsidRPr="002C58AF" w:rsidRDefault="001F2E28" w:rsidP="00A55479">
            <w:pPr>
              <w:spacing w:line="240" w:lineRule="auto"/>
              <w:ind w:right="1651"/>
              <w:jc w:val="left"/>
              <w:rPr>
                <w:color w:val="000000"/>
                <w:szCs w:val="24"/>
              </w:rPr>
            </w:pPr>
            <w:r w:rsidRPr="002C58AF">
              <w:rPr>
                <w:color w:val="000000"/>
                <w:szCs w:val="24"/>
              </w:rPr>
              <w:t>MIG</w:t>
            </w:r>
          </w:p>
        </w:tc>
        <w:tc>
          <w:tcPr>
            <w:tcW w:w="0" w:type="auto"/>
            <w:shd w:val="clear" w:color="auto" w:fill="auto"/>
            <w:noWrap/>
            <w:hideMark/>
          </w:tcPr>
          <w:p w14:paraId="3B632169" w14:textId="77777777" w:rsidR="001F2E28" w:rsidRPr="002C58AF" w:rsidRDefault="001F2E28" w:rsidP="00A55479">
            <w:pPr>
              <w:spacing w:line="240" w:lineRule="auto"/>
              <w:ind w:right="1651"/>
              <w:jc w:val="left"/>
              <w:rPr>
                <w:color w:val="000000"/>
                <w:szCs w:val="24"/>
              </w:rPr>
            </w:pPr>
            <w:r w:rsidRPr="002C58AF">
              <w:rPr>
                <w:color w:val="000000"/>
                <w:szCs w:val="24"/>
              </w:rPr>
              <w:t>Municipal Infrastructure Grant</w:t>
            </w:r>
          </w:p>
        </w:tc>
      </w:tr>
      <w:tr w:rsidR="001F2E28" w:rsidRPr="000D3E39" w14:paraId="00B78039" w14:textId="77777777" w:rsidTr="001F2E28">
        <w:trPr>
          <w:trHeight w:val="170"/>
        </w:trPr>
        <w:tc>
          <w:tcPr>
            <w:tcW w:w="2891" w:type="dxa"/>
            <w:shd w:val="clear" w:color="auto" w:fill="auto"/>
            <w:noWrap/>
            <w:vAlign w:val="center"/>
          </w:tcPr>
          <w:p w14:paraId="23183162" w14:textId="77777777" w:rsidR="001F2E28" w:rsidRPr="002C58AF" w:rsidRDefault="001F2E28" w:rsidP="00A55479">
            <w:pPr>
              <w:spacing w:line="240" w:lineRule="auto"/>
              <w:ind w:right="1651"/>
              <w:jc w:val="left"/>
              <w:rPr>
                <w:color w:val="000000"/>
                <w:szCs w:val="24"/>
              </w:rPr>
            </w:pPr>
            <w:r w:rsidRPr="002C58AF">
              <w:rPr>
                <w:szCs w:val="24"/>
              </w:rPr>
              <w:t>MTBPS</w:t>
            </w:r>
          </w:p>
        </w:tc>
        <w:tc>
          <w:tcPr>
            <w:tcW w:w="0" w:type="auto"/>
            <w:shd w:val="clear" w:color="auto" w:fill="auto"/>
            <w:noWrap/>
          </w:tcPr>
          <w:p w14:paraId="722B4308" w14:textId="77777777" w:rsidR="001F2E28" w:rsidRPr="002C58AF" w:rsidRDefault="001F2E28" w:rsidP="00A55479">
            <w:pPr>
              <w:spacing w:line="240" w:lineRule="auto"/>
              <w:ind w:right="1651"/>
              <w:jc w:val="left"/>
              <w:rPr>
                <w:color w:val="000000"/>
                <w:szCs w:val="24"/>
              </w:rPr>
            </w:pPr>
            <w:r w:rsidRPr="002C58AF">
              <w:rPr>
                <w:color w:val="000000"/>
                <w:szCs w:val="24"/>
              </w:rPr>
              <w:t>Medium Term Budget Policy Statement</w:t>
            </w:r>
          </w:p>
        </w:tc>
      </w:tr>
      <w:tr w:rsidR="001F2E28" w:rsidRPr="000D3E39" w14:paraId="1DA9E8C7" w14:textId="77777777" w:rsidTr="001F2E28">
        <w:trPr>
          <w:trHeight w:val="170"/>
        </w:trPr>
        <w:tc>
          <w:tcPr>
            <w:tcW w:w="2891" w:type="dxa"/>
            <w:shd w:val="clear" w:color="auto" w:fill="auto"/>
            <w:noWrap/>
            <w:vAlign w:val="center"/>
            <w:hideMark/>
          </w:tcPr>
          <w:p w14:paraId="1ABEB6FE" w14:textId="77777777" w:rsidR="001F2E28" w:rsidRPr="002C58AF" w:rsidRDefault="001F2E28" w:rsidP="00A55479">
            <w:pPr>
              <w:spacing w:line="240" w:lineRule="auto"/>
              <w:ind w:right="1651"/>
              <w:jc w:val="left"/>
              <w:rPr>
                <w:color w:val="000000"/>
                <w:szCs w:val="24"/>
              </w:rPr>
            </w:pPr>
            <w:r w:rsidRPr="002C58AF">
              <w:rPr>
                <w:color w:val="000000"/>
                <w:szCs w:val="24"/>
              </w:rPr>
              <w:t>MTEF</w:t>
            </w:r>
          </w:p>
        </w:tc>
        <w:tc>
          <w:tcPr>
            <w:tcW w:w="0" w:type="auto"/>
            <w:shd w:val="clear" w:color="auto" w:fill="auto"/>
            <w:noWrap/>
            <w:hideMark/>
          </w:tcPr>
          <w:p w14:paraId="217EEF2A" w14:textId="77777777" w:rsidR="001F2E28" w:rsidRPr="002C58AF" w:rsidRDefault="001F2E28" w:rsidP="00A55479">
            <w:pPr>
              <w:spacing w:line="240" w:lineRule="auto"/>
              <w:ind w:right="1651"/>
              <w:jc w:val="left"/>
              <w:rPr>
                <w:color w:val="000000"/>
                <w:szCs w:val="24"/>
              </w:rPr>
            </w:pPr>
            <w:r w:rsidRPr="002C58AF">
              <w:rPr>
                <w:color w:val="000000"/>
                <w:szCs w:val="24"/>
              </w:rPr>
              <w:t>Medium Term Expenditure Framework</w:t>
            </w:r>
          </w:p>
        </w:tc>
      </w:tr>
      <w:tr w:rsidR="001F2E28" w:rsidRPr="000D3E39" w14:paraId="7A778A9F" w14:textId="77777777" w:rsidTr="001F2E28">
        <w:trPr>
          <w:trHeight w:val="170"/>
        </w:trPr>
        <w:tc>
          <w:tcPr>
            <w:tcW w:w="2891" w:type="dxa"/>
            <w:shd w:val="clear" w:color="auto" w:fill="auto"/>
            <w:noWrap/>
            <w:vAlign w:val="center"/>
          </w:tcPr>
          <w:p w14:paraId="1A53D334" w14:textId="77777777" w:rsidR="001F2E28" w:rsidRPr="002C58AF" w:rsidRDefault="001F2E28" w:rsidP="00A55479">
            <w:pPr>
              <w:spacing w:line="240" w:lineRule="auto"/>
              <w:ind w:right="1651"/>
              <w:jc w:val="left"/>
              <w:rPr>
                <w:szCs w:val="24"/>
              </w:rPr>
            </w:pPr>
            <w:r w:rsidRPr="002C58AF">
              <w:rPr>
                <w:szCs w:val="24"/>
              </w:rPr>
              <w:t>NHI</w:t>
            </w:r>
          </w:p>
        </w:tc>
        <w:tc>
          <w:tcPr>
            <w:tcW w:w="0" w:type="auto"/>
            <w:shd w:val="clear" w:color="auto" w:fill="auto"/>
            <w:noWrap/>
          </w:tcPr>
          <w:p w14:paraId="1CDA36DD" w14:textId="77777777" w:rsidR="001F2E28" w:rsidRPr="002C58AF" w:rsidRDefault="001F2E28" w:rsidP="00A55479">
            <w:pPr>
              <w:spacing w:line="240" w:lineRule="auto"/>
              <w:ind w:right="1651"/>
              <w:jc w:val="left"/>
              <w:rPr>
                <w:szCs w:val="24"/>
              </w:rPr>
            </w:pPr>
            <w:r w:rsidRPr="002C58AF">
              <w:rPr>
                <w:szCs w:val="24"/>
              </w:rPr>
              <w:t>National Health Insurance</w:t>
            </w:r>
          </w:p>
        </w:tc>
      </w:tr>
      <w:tr w:rsidR="001F2E28" w:rsidRPr="000D3E39" w14:paraId="29EE62E8" w14:textId="77777777" w:rsidTr="001F2E28">
        <w:trPr>
          <w:trHeight w:val="170"/>
        </w:trPr>
        <w:tc>
          <w:tcPr>
            <w:tcW w:w="2891" w:type="dxa"/>
            <w:shd w:val="clear" w:color="auto" w:fill="auto"/>
            <w:noWrap/>
            <w:vAlign w:val="center"/>
          </w:tcPr>
          <w:p w14:paraId="570DDF26" w14:textId="77777777" w:rsidR="001F2E28" w:rsidRPr="002C58AF" w:rsidRDefault="001F2E28" w:rsidP="00A55479">
            <w:pPr>
              <w:spacing w:line="240" w:lineRule="auto"/>
              <w:ind w:right="1651"/>
              <w:jc w:val="left"/>
              <w:rPr>
                <w:szCs w:val="24"/>
              </w:rPr>
            </w:pPr>
            <w:r w:rsidRPr="002C58AF">
              <w:rPr>
                <w:szCs w:val="24"/>
              </w:rPr>
              <w:t>NHLS</w:t>
            </w:r>
          </w:p>
        </w:tc>
        <w:tc>
          <w:tcPr>
            <w:tcW w:w="0" w:type="auto"/>
            <w:shd w:val="clear" w:color="auto" w:fill="auto"/>
            <w:noWrap/>
          </w:tcPr>
          <w:p w14:paraId="4A368DE5" w14:textId="77777777" w:rsidR="001F2E28" w:rsidRPr="002C58AF" w:rsidRDefault="001F2E28" w:rsidP="00A55479">
            <w:pPr>
              <w:spacing w:line="240" w:lineRule="auto"/>
              <w:ind w:right="1651"/>
              <w:jc w:val="left"/>
              <w:rPr>
                <w:szCs w:val="24"/>
              </w:rPr>
            </w:pPr>
            <w:r w:rsidRPr="002C58AF">
              <w:rPr>
                <w:szCs w:val="24"/>
              </w:rPr>
              <w:t>National Health Laboratory Service</w:t>
            </w:r>
          </w:p>
        </w:tc>
      </w:tr>
      <w:tr w:rsidR="001F2E28" w:rsidRPr="000D3E39" w14:paraId="071ABCB8" w14:textId="77777777" w:rsidTr="001F2E28">
        <w:trPr>
          <w:trHeight w:val="170"/>
        </w:trPr>
        <w:tc>
          <w:tcPr>
            <w:tcW w:w="2891" w:type="dxa"/>
            <w:shd w:val="clear" w:color="auto" w:fill="auto"/>
            <w:noWrap/>
            <w:vAlign w:val="center"/>
          </w:tcPr>
          <w:p w14:paraId="39553A85" w14:textId="77777777" w:rsidR="001F2E28" w:rsidRPr="002C58AF" w:rsidRDefault="001F2E28" w:rsidP="00A55479">
            <w:pPr>
              <w:spacing w:line="240" w:lineRule="auto"/>
              <w:ind w:right="1651"/>
              <w:jc w:val="left"/>
              <w:rPr>
                <w:color w:val="000000"/>
                <w:szCs w:val="24"/>
              </w:rPr>
            </w:pPr>
            <w:r w:rsidRPr="002C58AF">
              <w:rPr>
                <w:szCs w:val="24"/>
              </w:rPr>
              <w:t>PIC</w:t>
            </w:r>
          </w:p>
        </w:tc>
        <w:tc>
          <w:tcPr>
            <w:tcW w:w="0" w:type="auto"/>
            <w:shd w:val="clear" w:color="auto" w:fill="auto"/>
            <w:noWrap/>
          </w:tcPr>
          <w:p w14:paraId="15B2CACC" w14:textId="77777777" w:rsidR="001F2E28" w:rsidRPr="002C58AF" w:rsidRDefault="001F2E28" w:rsidP="00A55479">
            <w:pPr>
              <w:spacing w:line="240" w:lineRule="auto"/>
              <w:ind w:right="1651"/>
              <w:jc w:val="left"/>
              <w:rPr>
                <w:color w:val="000000"/>
                <w:szCs w:val="24"/>
              </w:rPr>
            </w:pPr>
            <w:r w:rsidRPr="002C58AF">
              <w:rPr>
                <w:szCs w:val="24"/>
              </w:rPr>
              <w:t>Public Investment Corporation</w:t>
            </w:r>
          </w:p>
        </w:tc>
      </w:tr>
      <w:tr w:rsidR="001F2E28" w:rsidRPr="000D3E39" w14:paraId="17520AB6" w14:textId="77777777" w:rsidTr="001F2E28">
        <w:trPr>
          <w:trHeight w:val="170"/>
        </w:trPr>
        <w:tc>
          <w:tcPr>
            <w:tcW w:w="2891" w:type="dxa"/>
            <w:shd w:val="clear" w:color="auto" w:fill="auto"/>
            <w:noWrap/>
            <w:vAlign w:val="center"/>
          </w:tcPr>
          <w:p w14:paraId="27C692B2" w14:textId="77777777" w:rsidR="001F2E28" w:rsidRPr="002C58AF" w:rsidRDefault="001F2E28" w:rsidP="00A55479">
            <w:pPr>
              <w:spacing w:line="240" w:lineRule="auto"/>
              <w:ind w:right="1651"/>
              <w:jc w:val="left"/>
              <w:rPr>
                <w:color w:val="000000"/>
                <w:szCs w:val="24"/>
              </w:rPr>
            </w:pPr>
            <w:r w:rsidRPr="002C58AF">
              <w:rPr>
                <w:szCs w:val="24"/>
              </w:rPr>
              <w:t>PSET</w:t>
            </w:r>
          </w:p>
        </w:tc>
        <w:tc>
          <w:tcPr>
            <w:tcW w:w="0" w:type="auto"/>
            <w:shd w:val="clear" w:color="auto" w:fill="auto"/>
            <w:noWrap/>
          </w:tcPr>
          <w:p w14:paraId="07F684D1" w14:textId="77777777" w:rsidR="001F2E28" w:rsidRPr="002C58AF" w:rsidRDefault="001F2E28" w:rsidP="00A55479">
            <w:pPr>
              <w:spacing w:line="240" w:lineRule="auto"/>
              <w:ind w:right="1651"/>
              <w:jc w:val="left"/>
              <w:rPr>
                <w:color w:val="000000"/>
                <w:szCs w:val="24"/>
              </w:rPr>
            </w:pPr>
            <w:r w:rsidRPr="002C58AF">
              <w:rPr>
                <w:szCs w:val="24"/>
              </w:rPr>
              <w:t>Post School Education And Training</w:t>
            </w:r>
          </w:p>
        </w:tc>
      </w:tr>
      <w:tr w:rsidR="001F2E28" w:rsidRPr="000D3E39" w14:paraId="3360F174" w14:textId="77777777" w:rsidTr="001F2E28">
        <w:trPr>
          <w:trHeight w:val="170"/>
        </w:trPr>
        <w:tc>
          <w:tcPr>
            <w:tcW w:w="2891" w:type="dxa"/>
            <w:shd w:val="clear" w:color="auto" w:fill="auto"/>
            <w:noWrap/>
            <w:vAlign w:val="center"/>
          </w:tcPr>
          <w:p w14:paraId="4171B837" w14:textId="77777777" w:rsidR="001F2E28" w:rsidRPr="002C58AF" w:rsidRDefault="001F2E28" w:rsidP="00A55479">
            <w:pPr>
              <w:spacing w:line="240" w:lineRule="auto"/>
              <w:ind w:right="1651"/>
              <w:jc w:val="left"/>
              <w:rPr>
                <w:szCs w:val="24"/>
              </w:rPr>
            </w:pPr>
            <w:r w:rsidRPr="002C58AF">
              <w:rPr>
                <w:szCs w:val="24"/>
              </w:rPr>
              <w:t>RBIG</w:t>
            </w:r>
          </w:p>
        </w:tc>
        <w:tc>
          <w:tcPr>
            <w:tcW w:w="0" w:type="auto"/>
            <w:shd w:val="clear" w:color="auto" w:fill="auto"/>
            <w:noWrap/>
          </w:tcPr>
          <w:p w14:paraId="42B4F67D" w14:textId="77777777" w:rsidR="001F2E28" w:rsidRPr="002C58AF" w:rsidRDefault="001F2E28" w:rsidP="00A55479">
            <w:pPr>
              <w:spacing w:line="240" w:lineRule="auto"/>
              <w:ind w:right="1651"/>
              <w:jc w:val="left"/>
              <w:rPr>
                <w:szCs w:val="24"/>
              </w:rPr>
            </w:pPr>
            <w:r w:rsidRPr="002C58AF">
              <w:rPr>
                <w:szCs w:val="24"/>
              </w:rPr>
              <w:t>Regional Bulk Infrastructure Grant</w:t>
            </w:r>
          </w:p>
        </w:tc>
      </w:tr>
      <w:tr w:rsidR="001F2E28" w:rsidRPr="000D3E39" w14:paraId="43B476FC" w14:textId="77777777" w:rsidTr="001F2E28">
        <w:trPr>
          <w:trHeight w:val="170"/>
        </w:trPr>
        <w:tc>
          <w:tcPr>
            <w:tcW w:w="2891" w:type="dxa"/>
            <w:shd w:val="clear" w:color="auto" w:fill="auto"/>
            <w:noWrap/>
            <w:vAlign w:val="center"/>
          </w:tcPr>
          <w:p w14:paraId="291BB307" w14:textId="77777777" w:rsidR="001F2E28" w:rsidRPr="002C58AF" w:rsidRDefault="001F2E28" w:rsidP="00A55479">
            <w:pPr>
              <w:spacing w:line="240" w:lineRule="auto"/>
              <w:ind w:right="1651"/>
              <w:jc w:val="left"/>
              <w:rPr>
                <w:szCs w:val="24"/>
              </w:rPr>
            </w:pPr>
            <w:r w:rsidRPr="002C58AF">
              <w:rPr>
                <w:szCs w:val="24"/>
              </w:rPr>
              <w:t>SANRAL</w:t>
            </w:r>
          </w:p>
        </w:tc>
        <w:tc>
          <w:tcPr>
            <w:tcW w:w="0" w:type="auto"/>
            <w:shd w:val="clear" w:color="auto" w:fill="auto"/>
            <w:noWrap/>
          </w:tcPr>
          <w:p w14:paraId="26AFDCC0" w14:textId="77777777" w:rsidR="001F2E28" w:rsidRPr="002C58AF" w:rsidRDefault="001F2E28" w:rsidP="00A55479">
            <w:pPr>
              <w:spacing w:line="240" w:lineRule="auto"/>
              <w:ind w:right="1651"/>
              <w:jc w:val="left"/>
              <w:rPr>
                <w:szCs w:val="24"/>
              </w:rPr>
            </w:pPr>
            <w:r w:rsidRPr="002C58AF">
              <w:rPr>
                <w:szCs w:val="24"/>
              </w:rPr>
              <w:t>South African National Roads Agency</w:t>
            </w:r>
          </w:p>
        </w:tc>
      </w:tr>
      <w:tr w:rsidR="001F2E28" w:rsidRPr="000D3E39" w14:paraId="4C3CC5F0" w14:textId="77777777" w:rsidTr="001F2E28">
        <w:trPr>
          <w:trHeight w:val="170"/>
        </w:trPr>
        <w:tc>
          <w:tcPr>
            <w:tcW w:w="2891" w:type="dxa"/>
            <w:shd w:val="clear" w:color="auto" w:fill="auto"/>
            <w:noWrap/>
            <w:vAlign w:val="center"/>
          </w:tcPr>
          <w:p w14:paraId="7D457517" w14:textId="77777777" w:rsidR="001F2E28" w:rsidRPr="002C58AF" w:rsidRDefault="001F2E28" w:rsidP="00A55479">
            <w:pPr>
              <w:spacing w:line="240" w:lineRule="auto"/>
              <w:ind w:right="1651"/>
              <w:jc w:val="left"/>
              <w:rPr>
                <w:color w:val="000000"/>
                <w:szCs w:val="24"/>
              </w:rPr>
            </w:pPr>
            <w:r w:rsidRPr="002C58AF">
              <w:rPr>
                <w:color w:val="000000"/>
                <w:szCs w:val="24"/>
              </w:rPr>
              <w:t>SARB</w:t>
            </w:r>
          </w:p>
        </w:tc>
        <w:tc>
          <w:tcPr>
            <w:tcW w:w="0" w:type="auto"/>
            <w:shd w:val="clear" w:color="auto" w:fill="auto"/>
            <w:noWrap/>
          </w:tcPr>
          <w:p w14:paraId="6CA9E17F" w14:textId="77777777" w:rsidR="001F2E28" w:rsidRPr="002C58AF" w:rsidRDefault="001F2E28" w:rsidP="00A55479">
            <w:pPr>
              <w:spacing w:line="240" w:lineRule="auto"/>
              <w:ind w:right="1651"/>
              <w:jc w:val="left"/>
              <w:rPr>
                <w:color w:val="000000"/>
                <w:szCs w:val="24"/>
              </w:rPr>
            </w:pPr>
            <w:r w:rsidRPr="002C58AF">
              <w:rPr>
                <w:szCs w:val="24"/>
              </w:rPr>
              <w:t>South African Reserve Bank</w:t>
            </w:r>
          </w:p>
        </w:tc>
      </w:tr>
      <w:tr w:rsidR="001F2E28" w:rsidRPr="000D3E39" w14:paraId="10E6F9D1" w14:textId="77777777" w:rsidTr="001F2E28">
        <w:trPr>
          <w:trHeight w:val="170"/>
        </w:trPr>
        <w:tc>
          <w:tcPr>
            <w:tcW w:w="2891" w:type="dxa"/>
            <w:shd w:val="clear" w:color="auto" w:fill="auto"/>
            <w:noWrap/>
            <w:vAlign w:val="center"/>
          </w:tcPr>
          <w:p w14:paraId="52826B51" w14:textId="77777777" w:rsidR="001F2E28" w:rsidRPr="002C58AF" w:rsidRDefault="001F2E28" w:rsidP="00A55479">
            <w:pPr>
              <w:spacing w:line="240" w:lineRule="auto"/>
              <w:ind w:right="1651"/>
              <w:jc w:val="left"/>
              <w:rPr>
                <w:color w:val="000000"/>
                <w:szCs w:val="24"/>
              </w:rPr>
            </w:pPr>
            <w:r w:rsidRPr="002C58AF">
              <w:rPr>
                <w:szCs w:val="24"/>
              </w:rPr>
              <w:t>SARS</w:t>
            </w:r>
          </w:p>
        </w:tc>
        <w:tc>
          <w:tcPr>
            <w:tcW w:w="0" w:type="auto"/>
            <w:shd w:val="clear" w:color="auto" w:fill="auto"/>
            <w:noWrap/>
          </w:tcPr>
          <w:p w14:paraId="705BE82D" w14:textId="77777777" w:rsidR="001F2E28" w:rsidRPr="002C58AF" w:rsidRDefault="001F2E28" w:rsidP="00A55479">
            <w:pPr>
              <w:spacing w:line="240" w:lineRule="auto"/>
              <w:ind w:right="1651"/>
              <w:jc w:val="left"/>
              <w:rPr>
                <w:color w:val="000000"/>
                <w:szCs w:val="24"/>
              </w:rPr>
            </w:pPr>
            <w:r w:rsidRPr="002C58AF">
              <w:rPr>
                <w:szCs w:val="24"/>
              </w:rPr>
              <w:t>Severe Acute Respiratory Syndrome</w:t>
            </w:r>
          </w:p>
        </w:tc>
      </w:tr>
      <w:tr w:rsidR="001F2E28" w:rsidRPr="000D3E39" w14:paraId="679EABC6" w14:textId="77777777" w:rsidTr="001F2E28">
        <w:trPr>
          <w:trHeight w:val="170"/>
        </w:trPr>
        <w:tc>
          <w:tcPr>
            <w:tcW w:w="2891" w:type="dxa"/>
            <w:shd w:val="clear" w:color="auto" w:fill="auto"/>
            <w:noWrap/>
            <w:vAlign w:val="center"/>
          </w:tcPr>
          <w:p w14:paraId="080A76F5" w14:textId="77777777" w:rsidR="001F2E28" w:rsidRPr="002C58AF" w:rsidRDefault="001F2E28" w:rsidP="00A55479">
            <w:pPr>
              <w:spacing w:line="240" w:lineRule="auto"/>
              <w:ind w:right="1651"/>
              <w:jc w:val="left"/>
              <w:rPr>
                <w:szCs w:val="24"/>
              </w:rPr>
            </w:pPr>
            <w:r w:rsidRPr="002C58AF">
              <w:rPr>
                <w:szCs w:val="24"/>
              </w:rPr>
              <w:t>SASSA</w:t>
            </w:r>
          </w:p>
        </w:tc>
        <w:tc>
          <w:tcPr>
            <w:tcW w:w="0" w:type="auto"/>
            <w:shd w:val="clear" w:color="auto" w:fill="auto"/>
            <w:noWrap/>
          </w:tcPr>
          <w:p w14:paraId="1482590B" w14:textId="77777777" w:rsidR="001F2E28" w:rsidRPr="002C58AF" w:rsidRDefault="001F2E28" w:rsidP="00A55479">
            <w:pPr>
              <w:spacing w:line="240" w:lineRule="auto"/>
              <w:ind w:right="1651"/>
              <w:jc w:val="left"/>
              <w:rPr>
                <w:szCs w:val="24"/>
              </w:rPr>
            </w:pPr>
            <w:r w:rsidRPr="002C58AF">
              <w:rPr>
                <w:szCs w:val="24"/>
              </w:rPr>
              <w:t>South African Social Security Agency</w:t>
            </w:r>
          </w:p>
        </w:tc>
      </w:tr>
      <w:tr w:rsidR="001F2E28" w:rsidRPr="000D3E39" w14:paraId="5794E4AA" w14:textId="77777777" w:rsidTr="001F2E28">
        <w:trPr>
          <w:trHeight w:val="170"/>
        </w:trPr>
        <w:tc>
          <w:tcPr>
            <w:tcW w:w="2891" w:type="dxa"/>
            <w:shd w:val="clear" w:color="auto" w:fill="auto"/>
            <w:noWrap/>
            <w:vAlign w:val="center"/>
          </w:tcPr>
          <w:p w14:paraId="4D30AE49" w14:textId="77777777" w:rsidR="001F2E28" w:rsidRPr="002C58AF" w:rsidRDefault="001F2E28" w:rsidP="00A55479">
            <w:pPr>
              <w:spacing w:line="240" w:lineRule="auto"/>
              <w:ind w:right="1651"/>
              <w:jc w:val="left"/>
              <w:rPr>
                <w:color w:val="000000"/>
                <w:szCs w:val="24"/>
              </w:rPr>
            </w:pPr>
            <w:r w:rsidRPr="002C58AF">
              <w:rPr>
                <w:color w:val="000000"/>
                <w:szCs w:val="24"/>
              </w:rPr>
              <w:t>SCoA</w:t>
            </w:r>
          </w:p>
        </w:tc>
        <w:tc>
          <w:tcPr>
            <w:tcW w:w="0" w:type="auto"/>
            <w:shd w:val="clear" w:color="auto" w:fill="auto"/>
            <w:noWrap/>
          </w:tcPr>
          <w:p w14:paraId="5F9AFAD0" w14:textId="5C26CA4F" w:rsidR="001F2E28" w:rsidRPr="002C58AF" w:rsidRDefault="00563E1B" w:rsidP="00A55479">
            <w:pPr>
              <w:spacing w:line="240" w:lineRule="auto"/>
              <w:ind w:right="1651"/>
              <w:jc w:val="left"/>
              <w:rPr>
                <w:color w:val="000000"/>
                <w:szCs w:val="24"/>
              </w:rPr>
            </w:pPr>
            <w:r>
              <w:rPr>
                <w:szCs w:val="24"/>
              </w:rPr>
              <w:t>Select</w:t>
            </w:r>
            <w:r w:rsidR="001F2E28" w:rsidRPr="002C58AF">
              <w:rPr>
                <w:szCs w:val="24"/>
              </w:rPr>
              <w:t xml:space="preserve"> Committee on Appropriations</w:t>
            </w:r>
          </w:p>
        </w:tc>
      </w:tr>
      <w:tr w:rsidR="001F2E28" w:rsidRPr="000D3E39" w14:paraId="7A065C80" w14:textId="77777777" w:rsidTr="001F2E28">
        <w:trPr>
          <w:trHeight w:val="170"/>
        </w:trPr>
        <w:tc>
          <w:tcPr>
            <w:tcW w:w="2891" w:type="dxa"/>
            <w:shd w:val="clear" w:color="auto" w:fill="auto"/>
            <w:noWrap/>
            <w:vAlign w:val="center"/>
          </w:tcPr>
          <w:p w14:paraId="06152534" w14:textId="77777777" w:rsidR="001F2E28" w:rsidRPr="002C58AF" w:rsidRDefault="001F2E28" w:rsidP="00A55479">
            <w:pPr>
              <w:spacing w:line="240" w:lineRule="auto"/>
              <w:ind w:right="1651"/>
              <w:jc w:val="left"/>
              <w:rPr>
                <w:szCs w:val="24"/>
              </w:rPr>
            </w:pPr>
            <w:r w:rsidRPr="002C58AF">
              <w:rPr>
                <w:szCs w:val="24"/>
              </w:rPr>
              <w:t>SMMEs</w:t>
            </w:r>
          </w:p>
        </w:tc>
        <w:tc>
          <w:tcPr>
            <w:tcW w:w="0" w:type="auto"/>
            <w:shd w:val="clear" w:color="auto" w:fill="auto"/>
            <w:noWrap/>
          </w:tcPr>
          <w:p w14:paraId="7440EE64" w14:textId="77777777" w:rsidR="001F2E28" w:rsidRPr="002C58AF" w:rsidRDefault="001F2E28" w:rsidP="00A55479">
            <w:pPr>
              <w:spacing w:line="240" w:lineRule="auto"/>
              <w:ind w:right="1651"/>
              <w:jc w:val="left"/>
              <w:rPr>
                <w:szCs w:val="24"/>
              </w:rPr>
            </w:pPr>
            <w:r w:rsidRPr="002C58AF">
              <w:rPr>
                <w:color w:val="222222"/>
                <w:szCs w:val="24"/>
                <w:shd w:val="clear" w:color="auto" w:fill="FFFFFF"/>
              </w:rPr>
              <w:t>Small, Medium And Micro-Enterprises</w:t>
            </w:r>
          </w:p>
        </w:tc>
      </w:tr>
      <w:tr w:rsidR="001F2E28" w:rsidRPr="000D3E39" w14:paraId="2C84E668" w14:textId="77777777" w:rsidTr="001F2E28">
        <w:trPr>
          <w:trHeight w:val="170"/>
        </w:trPr>
        <w:tc>
          <w:tcPr>
            <w:tcW w:w="2891" w:type="dxa"/>
            <w:shd w:val="clear" w:color="auto" w:fill="auto"/>
            <w:noWrap/>
            <w:vAlign w:val="center"/>
          </w:tcPr>
          <w:p w14:paraId="6117832C" w14:textId="77777777" w:rsidR="001F2E28" w:rsidRPr="002C58AF" w:rsidRDefault="001F2E28" w:rsidP="00A55479">
            <w:pPr>
              <w:spacing w:line="240" w:lineRule="auto"/>
              <w:ind w:right="1651"/>
              <w:jc w:val="left"/>
              <w:rPr>
                <w:color w:val="000000"/>
                <w:szCs w:val="24"/>
              </w:rPr>
            </w:pPr>
            <w:r w:rsidRPr="002C58AF">
              <w:rPr>
                <w:szCs w:val="24"/>
              </w:rPr>
              <w:t>SOEs</w:t>
            </w:r>
          </w:p>
        </w:tc>
        <w:tc>
          <w:tcPr>
            <w:tcW w:w="0" w:type="auto"/>
            <w:shd w:val="clear" w:color="auto" w:fill="auto"/>
            <w:noWrap/>
          </w:tcPr>
          <w:p w14:paraId="5E1025BF" w14:textId="77777777" w:rsidR="001F2E28" w:rsidRPr="002C58AF" w:rsidRDefault="001F2E28" w:rsidP="00A55479">
            <w:pPr>
              <w:spacing w:line="240" w:lineRule="auto"/>
              <w:ind w:right="1651"/>
              <w:jc w:val="left"/>
              <w:rPr>
                <w:color w:val="000000"/>
                <w:szCs w:val="24"/>
              </w:rPr>
            </w:pPr>
            <w:r w:rsidRPr="002C58AF">
              <w:rPr>
                <w:color w:val="000000"/>
                <w:szCs w:val="24"/>
              </w:rPr>
              <w:t>State Owned Enterprises</w:t>
            </w:r>
          </w:p>
        </w:tc>
      </w:tr>
      <w:tr w:rsidR="001F2E28" w:rsidRPr="000D3E39" w14:paraId="295D2465" w14:textId="77777777" w:rsidTr="001F2E28">
        <w:trPr>
          <w:trHeight w:val="170"/>
        </w:trPr>
        <w:tc>
          <w:tcPr>
            <w:tcW w:w="2891" w:type="dxa"/>
            <w:shd w:val="clear" w:color="auto" w:fill="auto"/>
            <w:noWrap/>
            <w:vAlign w:val="center"/>
          </w:tcPr>
          <w:p w14:paraId="0187EB58" w14:textId="77777777" w:rsidR="001F2E28" w:rsidRPr="002C58AF" w:rsidRDefault="001F2E28" w:rsidP="00A55479">
            <w:pPr>
              <w:spacing w:line="240" w:lineRule="auto"/>
              <w:ind w:right="1651"/>
              <w:jc w:val="left"/>
              <w:rPr>
                <w:szCs w:val="24"/>
              </w:rPr>
            </w:pPr>
            <w:r w:rsidRPr="002C58AF">
              <w:rPr>
                <w:szCs w:val="24"/>
              </w:rPr>
              <w:t>TB</w:t>
            </w:r>
          </w:p>
        </w:tc>
        <w:tc>
          <w:tcPr>
            <w:tcW w:w="0" w:type="auto"/>
            <w:shd w:val="clear" w:color="auto" w:fill="auto"/>
            <w:noWrap/>
          </w:tcPr>
          <w:p w14:paraId="565C2DFD" w14:textId="77777777" w:rsidR="001F2E28" w:rsidRPr="002C58AF" w:rsidRDefault="001F2E28" w:rsidP="00A55479">
            <w:pPr>
              <w:spacing w:line="240" w:lineRule="auto"/>
              <w:ind w:right="1651"/>
              <w:jc w:val="left"/>
              <w:rPr>
                <w:szCs w:val="24"/>
              </w:rPr>
            </w:pPr>
            <w:r w:rsidRPr="002C58AF">
              <w:rPr>
                <w:rStyle w:val="sdzsvb"/>
                <w:color w:val="000000" w:themeColor="text1"/>
                <w:szCs w:val="24"/>
                <w:shd w:val="clear" w:color="auto" w:fill="FFFFFF"/>
              </w:rPr>
              <w:t>Tuberculosis</w:t>
            </w:r>
          </w:p>
        </w:tc>
      </w:tr>
      <w:tr w:rsidR="001F2E28" w:rsidRPr="000D3E39" w14:paraId="4E32094E" w14:textId="77777777" w:rsidTr="001F2E28">
        <w:trPr>
          <w:trHeight w:val="170"/>
        </w:trPr>
        <w:tc>
          <w:tcPr>
            <w:tcW w:w="2891" w:type="dxa"/>
            <w:shd w:val="clear" w:color="auto" w:fill="auto"/>
            <w:noWrap/>
            <w:vAlign w:val="center"/>
          </w:tcPr>
          <w:p w14:paraId="754A01B1" w14:textId="77777777" w:rsidR="001F2E28" w:rsidRPr="002C58AF" w:rsidRDefault="001F2E28" w:rsidP="00A55479">
            <w:pPr>
              <w:spacing w:line="240" w:lineRule="auto"/>
              <w:ind w:right="1651"/>
              <w:jc w:val="left"/>
              <w:rPr>
                <w:color w:val="000000"/>
                <w:szCs w:val="24"/>
              </w:rPr>
            </w:pPr>
            <w:r w:rsidRPr="002C58AF">
              <w:rPr>
                <w:szCs w:val="24"/>
              </w:rPr>
              <w:t>UIF</w:t>
            </w:r>
          </w:p>
        </w:tc>
        <w:tc>
          <w:tcPr>
            <w:tcW w:w="0" w:type="auto"/>
            <w:shd w:val="clear" w:color="auto" w:fill="auto"/>
            <w:noWrap/>
          </w:tcPr>
          <w:p w14:paraId="332FDCB0" w14:textId="77777777" w:rsidR="001F2E28" w:rsidRPr="002C58AF" w:rsidRDefault="001F2E28" w:rsidP="00A55479">
            <w:pPr>
              <w:spacing w:line="240" w:lineRule="auto"/>
              <w:ind w:right="1651"/>
              <w:jc w:val="left"/>
              <w:rPr>
                <w:color w:val="000000"/>
                <w:szCs w:val="24"/>
              </w:rPr>
            </w:pPr>
            <w:r w:rsidRPr="002C58AF">
              <w:rPr>
                <w:szCs w:val="24"/>
              </w:rPr>
              <w:t>Unemployment Insurance Fund</w:t>
            </w:r>
          </w:p>
        </w:tc>
      </w:tr>
      <w:tr w:rsidR="001F2E28" w:rsidRPr="000D3E39" w14:paraId="1C696383" w14:textId="77777777" w:rsidTr="001F2E28">
        <w:trPr>
          <w:trHeight w:val="170"/>
        </w:trPr>
        <w:tc>
          <w:tcPr>
            <w:tcW w:w="2891" w:type="dxa"/>
            <w:shd w:val="clear" w:color="auto" w:fill="auto"/>
            <w:noWrap/>
            <w:vAlign w:val="center"/>
          </w:tcPr>
          <w:p w14:paraId="709BC61B" w14:textId="77777777" w:rsidR="001F2E28" w:rsidRPr="002C58AF" w:rsidRDefault="001F2E28" w:rsidP="00A55479">
            <w:pPr>
              <w:spacing w:line="240" w:lineRule="auto"/>
              <w:ind w:right="1651"/>
              <w:jc w:val="left"/>
              <w:rPr>
                <w:szCs w:val="24"/>
              </w:rPr>
            </w:pPr>
            <w:r w:rsidRPr="002C58AF">
              <w:rPr>
                <w:szCs w:val="24"/>
              </w:rPr>
              <w:t>WSIG</w:t>
            </w:r>
          </w:p>
        </w:tc>
        <w:tc>
          <w:tcPr>
            <w:tcW w:w="0" w:type="auto"/>
            <w:shd w:val="clear" w:color="auto" w:fill="auto"/>
            <w:noWrap/>
          </w:tcPr>
          <w:p w14:paraId="230BF2AC" w14:textId="77777777" w:rsidR="001F2E28" w:rsidRPr="002C58AF" w:rsidRDefault="001F2E28" w:rsidP="00A55479">
            <w:pPr>
              <w:spacing w:line="240" w:lineRule="auto"/>
              <w:ind w:right="1651"/>
              <w:jc w:val="left"/>
              <w:rPr>
                <w:szCs w:val="24"/>
              </w:rPr>
            </w:pPr>
            <w:r w:rsidRPr="002C58AF">
              <w:rPr>
                <w:szCs w:val="24"/>
              </w:rPr>
              <w:t>Water Services Infrastructure Grant</w:t>
            </w:r>
          </w:p>
        </w:tc>
      </w:tr>
    </w:tbl>
    <w:p w14:paraId="16EBE1CF" w14:textId="38EE79B0" w:rsidR="00993033" w:rsidRPr="000D33E4" w:rsidRDefault="00214BA1" w:rsidP="00E827B9">
      <w:pPr>
        <w:rPr>
          <w:rFonts w:ascii="Times" w:hAnsi="Times"/>
          <w:b/>
          <w:bCs/>
          <w:color w:val="4F6228" w:themeColor="accent3" w:themeShade="80"/>
          <w:sz w:val="26"/>
        </w:rPr>
      </w:pPr>
      <w:r w:rsidRPr="000D33E4">
        <w:br w:type="page"/>
      </w:r>
    </w:p>
    <w:p w14:paraId="72427F0A" w14:textId="77777777" w:rsidR="00214BA1" w:rsidRPr="00273367" w:rsidRDefault="00214BA1" w:rsidP="00273367">
      <w:pPr>
        <w:pStyle w:val="Heading1"/>
      </w:pPr>
      <w:bookmarkStart w:id="3" w:name="_Toc42211902"/>
      <w:r w:rsidRPr="00273367">
        <w:lastRenderedPageBreak/>
        <w:t>List of Tables</w:t>
      </w:r>
      <w:bookmarkEnd w:id="3"/>
    </w:p>
    <w:p w14:paraId="39D389B2" w14:textId="57EB200B" w:rsidR="003B5FF2" w:rsidRDefault="00E827B9">
      <w:pPr>
        <w:pStyle w:val="TableofFigures"/>
        <w:tabs>
          <w:tab w:val="right" w:leader="dot" w:pos="9016"/>
        </w:tabs>
        <w:rPr>
          <w:rFonts w:asciiTheme="minorHAnsi" w:eastAsiaTheme="minorEastAsia" w:hAnsiTheme="minorHAnsi" w:cstheme="minorBidi"/>
          <w:noProof/>
          <w:sz w:val="22"/>
          <w:lang w:val="en-GB" w:eastAsia="en-GB"/>
        </w:rPr>
      </w:pPr>
      <w:r>
        <w:rPr>
          <w:rFonts w:ascii="Times" w:hAnsi="Times"/>
          <w:color w:val="000000"/>
        </w:rPr>
        <w:fldChar w:fldCharType="begin"/>
      </w:r>
      <w:r>
        <w:rPr>
          <w:rFonts w:ascii="Times" w:hAnsi="Times"/>
          <w:color w:val="000000"/>
        </w:rPr>
        <w:instrText xml:space="preserve"> TOC \h \z \c "Table" </w:instrText>
      </w:r>
      <w:r>
        <w:rPr>
          <w:rFonts w:ascii="Times" w:hAnsi="Times"/>
          <w:color w:val="000000"/>
        </w:rPr>
        <w:fldChar w:fldCharType="separate"/>
      </w:r>
      <w:hyperlink w:anchor="_Toc42212129" w:history="1">
        <w:r w:rsidR="003B5FF2" w:rsidRPr="00C0715F">
          <w:rPr>
            <w:rStyle w:val="Hyperlink"/>
            <w:rFonts w:ascii="Times" w:hAnsi="Times"/>
            <w:iCs/>
            <w:noProof/>
          </w:rPr>
          <w:t>Table 1: South Africa credit ratings: Long-term rating scales comparison</w:t>
        </w:r>
        <w:r w:rsidR="003B5FF2">
          <w:rPr>
            <w:noProof/>
            <w:webHidden/>
          </w:rPr>
          <w:tab/>
        </w:r>
        <w:r w:rsidR="003B5FF2">
          <w:rPr>
            <w:noProof/>
            <w:webHidden/>
          </w:rPr>
          <w:fldChar w:fldCharType="begin"/>
        </w:r>
        <w:r w:rsidR="003B5FF2">
          <w:rPr>
            <w:noProof/>
            <w:webHidden/>
          </w:rPr>
          <w:instrText xml:space="preserve"> PAGEREF _Toc42212129 \h </w:instrText>
        </w:r>
        <w:r w:rsidR="003B5FF2">
          <w:rPr>
            <w:noProof/>
            <w:webHidden/>
          </w:rPr>
        </w:r>
        <w:r w:rsidR="003B5FF2">
          <w:rPr>
            <w:noProof/>
            <w:webHidden/>
          </w:rPr>
          <w:fldChar w:fldCharType="separate"/>
        </w:r>
        <w:r w:rsidR="003B5FF2">
          <w:rPr>
            <w:noProof/>
            <w:webHidden/>
          </w:rPr>
          <w:t>8</w:t>
        </w:r>
        <w:r w:rsidR="003B5FF2">
          <w:rPr>
            <w:noProof/>
            <w:webHidden/>
          </w:rPr>
          <w:fldChar w:fldCharType="end"/>
        </w:r>
      </w:hyperlink>
    </w:p>
    <w:p w14:paraId="03565792" w14:textId="1DB1837A" w:rsidR="003B5FF2" w:rsidRDefault="00977063">
      <w:pPr>
        <w:pStyle w:val="TableofFigures"/>
        <w:tabs>
          <w:tab w:val="right" w:leader="dot" w:pos="9016"/>
        </w:tabs>
        <w:rPr>
          <w:rFonts w:asciiTheme="minorHAnsi" w:eastAsiaTheme="minorEastAsia" w:hAnsiTheme="minorHAnsi" w:cstheme="minorBidi"/>
          <w:noProof/>
          <w:sz w:val="22"/>
          <w:lang w:val="en-GB" w:eastAsia="en-GB"/>
        </w:rPr>
      </w:pPr>
      <w:hyperlink w:anchor="_Toc42212130" w:history="1">
        <w:r w:rsidR="003B5FF2" w:rsidRPr="00C0715F">
          <w:rPr>
            <w:rStyle w:val="Hyperlink"/>
            <w:rFonts w:ascii="Times" w:hAnsi="Times"/>
            <w:noProof/>
          </w:rPr>
          <w:t>Table 2: Baseline shifts in Budget 2020</w:t>
        </w:r>
        <w:r w:rsidR="003B5FF2">
          <w:rPr>
            <w:noProof/>
            <w:webHidden/>
          </w:rPr>
          <w:tab/>
        </w:r>
        <w:r w:rsidR="003B5FF2">
          <w:rPr>
            <w:noProof/>
            <w:webHidden/>
          </w:rPr>
          <w:fldChar w:fldCharType="begin"/>
        </w:r>
        <w:r w:rsidR="003B5FF2">
          <w:rPr>
            <w:noProof/>
            <w:webHidden/>
          </w:rPr>
          <w:instrText xml:space="preserve"> PAGEREF _Toc42212130 \h </w:instrText>
        </w:r>
        <w:r w:rsidR="003B5FF2">
          <w:rPr>
            <w:noProof/>
            <w:webHidden/>
          </w:rPr>
        </w:r>
        <w:r w:rsidR="003B5FF2">
          <w:rPr>
            <w:noProof/>
            <w:webHidden/>
          </w:rPr>
          <w:fldChar w:fldCharType="separate"/>
        </w:r>
        <w:r w:rsidR="003B5FF2">
          <w:rPr>
            <w:noProof/>
            <w:webHidden/>
          </w:rPr>
          <w:t>13</w:t>
        </w:r>
        <w:r w:rsidR="003B5FF2">
          <w:rPr>
            <w:noProof/>
            <w:webHidden/>
          </w:rPr>
          <w:fldChar w:fldCharType="end"/>
        </w:r>
      </w:hyperlink>
    </w:p>
    <w:p w14:paraId="226A30B7" w14:textId="6B44E27F" w:rsidR="003B5FF2" w:rsidRDefault="00977063">
      <w:pPr>
        <w:pStyle w:val="TableofFigures"/>
        <w:tabs>
          <w:tab w:val="right" w:leader="dot" w:pos="9016"/>
        </w:tabs>
        <w:rPr>
          <w:rFonts w:asciiTheme="minorHAnsi" w:eastAsiaTheme="minorEastAsia" w:hAnsiTheme="minorHAnsi" w:cstheme="minorBidi"/>
          <w:noProof/>
          <w:sz w:val="22"/>
          <w:lang w:val="en-GB" w:eastAsia="en-GB"/>
        </w:rPr>
      </w:pPr>
      <w:hyperlink w:anchor="_Toc42212131" w:history="1">
        <w:r w:rsidR="003B5FF2" w:rsidRPr="00C0715F">
          <w:rPr>
            <w:rStyle w:val="Hyperlink"/>
            <w:rFonts w:ascii="Times" w:hAnsi="Times"/>
            <w:noProof/>
          </w:rPr>
          <w:t>Table 3: MTBPS 2019 versus Budget 2020</w:t>
        </w:r>
        <w:r w:rsidR="003B5FF2">
          <w:rPr>
            <w:noProof/>
            <w:webHidden/>
          </w:rPr>
          <w:tab/>
        </w:r>
        <w:r w:rsidR="003B5FF2">
          <w:rPr>
            <w:noProof/>
            <w:webHidden/>
          </w:rPr>
          <w:fldChar w:fldCharType="begin"/>
        </w:r>
        <w:r w:rsidR="003B5FF2">
          <w:rPr>
            <w:noProof/>
            <w:webHidden/>
          </w:rPr>
          <w:instrText xml:space="preserve"> PAGEREF _Toc42212131 \h </w:instrText>
        </w:r>
        <w:r w:rsidR="003B5FF2">
          <w:rPr>
            <w:noProof/>
            <w:webHidden/>
          </w:rPr>
        </w:r>
        <w:r w:rsidR="003B5FF2">
          <w:rPr>
            <w:noProof/>
            <w:webHidden/>
          </w:rPr>
          <w:fldChar w:fldCharType="separate"/>
        </w:r>
        <w:r w:rsidR="003B5FF2">
          <w:rPr>
            <w:noProof/>
            <w:webHidden/>
          </w:rPr>
          <w:t>14</w:t>
        </w:r>
        <w:r w:rsidR="003B5FF2">
          <w:rPr>
            <w:noProof/>
            <w:webHidden/>
          </w:rPr>
          <w:fldChar w:fldCharType="end"/>
        </w:r>
      </w:hyperlink>
    </w:p>
    <w:p w14:paraId="5EDBAA8E" w14:textId="1E32B935" w:rsidR="003B5FF2" w:rsidRDefault="00977063">
      <w:pPr>
        <w:pStyle w:val="TableofFigures"/>
        <w:tabs>
          <w:tab w:val="right" w:leader="dot" w:pos="9016"/>
        </w:tabs>
        <w:rPr>
          <w:rFonts w:asciiTheme="minorHAnsi" w:eastAsiaTheme="minorEastAsia" w:hAnsiTheme="minorHAnsi" w:cstheme="minorBidi"/>
          <w:noProof/>
          <w:sz w:val="22"/>
          <w:lang w:val="en-GB" w:eastAsia="en-GB"/>
        </w:rPr>
      </w:pPr>
      <w:hyperlink w:anchor="_Toc42212132" w:history="1">
        <w:r w:rsidR="003B5FF2" w:rsidRPr="00C0715F">
          <w:rPr>
            <w:rStyle w:val="Hyperlink"/>
            <w:rFonts w:ascii="Times" w:hAnsi="Times"/>
            <w:noProof/>
          </w:rPr>
          <w:t>Table 4: Consolidated expenditure by economic classification, 2016/17 to 2022/23</w:t>
        </w:r>
        <w:r w:rsidR="003B5FF2">
          <w:rPr>
            <w:noProof/>
            <w:webHidden/>
          </w:rPr>
          <w:tab/>
        </w:r>
        <w:r w:rsidR="003B5FF2">
          <w:rPr>
            <w:noProof/>
            <w:webHidden/>
          </w:rPr>
          <w:fldChar w:fldCharType="begin"/>
        </w:r>
        <w:r w:rsidR="003B5FF2">
          <w:rPr>
            <w:noProof/>
            <w:webHidden/>
          </w:rPr>
          <w:instrText xml:space="preserve"> PAGEREF _Toc42212132 \h </w:instrText>
        </w:r>
        <w:r w:rsidR="003B5FF2">
          <w:rPr>
            <w:noProof/>
            <w:webHidden/>
          </w:rPr>
        </w:r>
        <w:r w:rsidR="003B5FF2">
          <w:rPr>
            <w:noProof/>
            <w:webHidden/>
          </w:rPr>
          <w:fldChar w:fldCharType="separate"/>
        </w:r>
        <w:r w:rsidR="003B5FF2">
          <w:rPr>
            <w:noProof/>
            <w:webHidden/>
          </w:rPr>
          <w:t>17</w:t>
        </w:r>
        <w:r w:rsidR="003B5FF2">
          <w:rPr>
            <w:noProof/>
            <w:webHidden/>
          </w:rPr>
          <w:fldChar w:fldCharType="end"/>
        </w:r>
      </w:hyperlink>
    </w:p>
    <w:p w14:paraId="2C2AEDC4" w14:textId="193B7E39" w:rsidR="003B5FF2" w:rsidRDefault="00977063">
      <w:pPr>
        <w:pStyle w:val="TableofFigures"/>
        <w:tabs>
          <w:tab w:val="right" w:leader="dot" w:pos="9016"/>
        </w:tabs>
        <w:rPr>
          <w:rFonts w:asciiTheme="minorHAnsi" w:eastAsiaTheme="minorEastAsia" w:hAnsiTheme="minorHAnsi" w:cstheme="minorBidi"/>
          <w:noProof/>
          <w:sz w:val="22"/>
          <w:lang w:val="en-GB" w:eastAsia="en-GB"/>
        </w:rPr>
      </w:pPr>
      <w:hyperlink w:anchor="_Toc42212133" w:history="1">
        <w:r w:rsidR="003B5FF2" w:rsidRPr="00C0715F">
          <w:rPr>
            <w:rStyle w:val="Hyperlink"/>
            <w:rFonts w:ascii="Times" w:hAnsi="Times"/>
            <w:noProof/>
          </w:rPr>
          <w:t>Table 5: Prioritisation of votes, 2016/17 to 2019/20 and 2019/20 to 2022/23</w:t>
        </w:r>
        <w:r w:rsidR="003B5FF2">
          <w:rPr>
            <w:noProof/>
            <w:webHidden/>
          </w:rPr>
          <w:tab/>
        </w:r>
        <w:r w:rsidR="003B5FF2">
          <w:rPr>
            <w:noProof/>
            <w:webHidden/>
          </w:rPr>
          <w:fldChar w:fldCharType="begin"/>
        </w:r>
        <w:r w:rsidR="003B5FF2">
          <w:rPr>
            <w:noProof/>
            <w:webHidden/>
          </w:rPr>
          <w:instrText xml:space="preserve"> PAGEREF _Toc42212133 \h </w:instrText>
        </w:r>
        <w:r w:rsidR="003B5FF2">
          <w:rPr>
            <w:noProof/>
            <w:webHidden/>
          </w:rPr>
        </w:r>
        <w:r w:rsidR="003B5FF2">
          <w:rPr>
            <w:noProof/>
            <w:webHidden/>
          </w:rPr>
          <w:fldChar w:fldCharType="separate"/>
        </w:r>
        <w:r w:rsidR="003B5FF2">
          <w:rPr>
            <w:noProof/>
            <w:webHidden/>
          </w:rPr>
          <w:t>17</w:t>
        </w:r>
        <w:r w:rsidR="003B5FF2">
          <w:rPr>
            <w:noProof/>
            <w:webHidden/>
          </w:rPr>
          <w:fldChar w:fldCharType="end"/>
        </w:r>
      </w:hyperlink>
    </w:p>
    <w:p w14:paraId="05F04C6D" w14:textId="294ED865" w:rsidR="003B5FF2" w:rsidRDefault="00977063">
      <w:pPr>
        <w:pStyle w:val="TableofFigures"/>
        <w:tabs>
          <w:tab w:val="right" w:leader="dot" w:pos="9016"/>
        </w:tabs>
        <w:rPr>
          <w:rFonts w:asciiTheme="minorHAnsi" w:eastAsiaTheme="minorEastAsia" w:hAnsiTheme="minorHAnsi" w:cstheme="minorBidi"/>
          <w:noProof/>
          <w:sz w:val="22"/>
          <w:lang w:val="en-GB" w:eastAsia="en-GB"/>
        </w:rPr>
      </w:pPr>
      <w:hyperlink w:anchor="_Toc42212134" w:history="1">
        <w:r w:rsidR="003B5FF2" w:rsidRPr="00C0715F">
          <w:rPr>
            <w:rStyle w:val="Hyperlink"/>
            <w:noProof/>
          </w:rPr>
          <w:t xml:space="preserve">Table 6: </w:t>
        </w:r>
        <w:r w:rsidR="003B5FF2" w:rsidRPr="00C0715F">
          <w:rPr>
            <w:rStyle w:val="Hyperlink"/>
            <w:rFonts w:eastAsiaTheme="majorEastAsia"/>
            <w:noProof/>
            <w:kern w:val="24"/>
            <w:lang w:val="en-US"/>
          </w:rPr>
          <w:t>Combined direct Lockdown Implications of Sector</w:t>
        </w:r>
        <w:r w:rsidR="003B5FF2">
          <w:rPr>
            <w:noProof/>
            <w:webHidden/>
          </w:rPr>
          <w:tab/>
        </w:r>
        <w:r w:rsidR="003B5FF2">
          <w:rPr>
            <w:noProof/>
            <w:webHidden/>
          </w:rPr>
          <w:fldChar w:fldCharType="begin"/>
        </w:r>
        <w:r w:rsidR="003B5FF2">
          <w:rPr>
            <w:noProof/>
            <w:webHidden/>
          </w:rPr>
          <w:instrText xml:space="preserve"> PAGEREF _Toc42212134 \h </w:instrText>
        </w:r>
        <w:r w:rsidR="003B5FF2">
          <w:rPr>
            <w:noProof/>
            <w:webHidden/>
          </w:rPr>
        </w:r>
        <w:r w:rsidR="003B5FF2">
          <w:rPr>
            <w:noProof/>
            <w:webHidden/>
          </w:rPr>
          <w:fldChar w:fldCharType="separate"/>
        </w:r>
        <w:r w:rsidR="003B5FF2">
          <w:rPr>
            <w:noProof/>
            <w:webHidden/>
          </w:rPr>
          <w:t>19</w:t>
        </w:r>
        <w:r w:rsidR="003B5FF2">
          <w:rPr>
            <w:noProof/>
            <w:webHidden/>
          </w:rPr>
          <w:fldChar w:fldCharType="end"/>
        </w:r>
      </w:hyperlink>
    </w:p>
    <w:p w14:paraId="6EB0AB5D" w14:textId="128631B6" w:rsidR="003B5FF2" w:rsidRDefault="00977063">
      <w:pPr>
        <w:pStyle w:val="TableofFigures"/>
        <w:tabs>
          <w:tab w:val="right" w:leader="dot" w:pos="9016"/>
        </w:tabs>
        <w:rPr>
          <w:rFonts w:asciiTheme="minorHAnsi" w:eastAsiaTheme="minorEastAsia" w:hAnsiTheme="minorHAnsi" w:cstheme="minorBidi"/>
          <w:noProof/>
          <w:sz w:val="22"/>
          <w:lang w:val="en-GB" w:eastAsia="en-GB"/>
        </w:rPr>
      </w:pPr>
      <w:hyperlink w:anchor="_Toc42212135" w:history="1">
        <w:r w:rsidR="003B5FF2" w:rsidRPr="00C0715F">
          <w:rPr>
            <w:rStyle w:val="Hyperlink"/>
            <w:rFonts w:ascii="Times" w:hAnsi="Times"/>
            <w:noProof/>
          </w:rPr>
          <w:t>Table 7: Consolidated fiscal framework under a constraint environment</w:t>
        </w:r>
        <w:r w:rsidR="003B5FF2">
          <w:rPr>
            <w:noProof/>
            <w:webHidden/>
          </w:rPr>
          <w:tab/>
        </w:r>
        <w:r w:rsidR="003B5FF2">
          <w:rPr>
            <w:noProof/>
            <w:webHidden/>
          </w:rPr>
          <w:fldChar w:fldCharType="begin"/>
        </w:r>
        <w:r w:rsidR="003B5FF2">
          <w:rPr>
            <w:noProof/>
            <w:webHidden/>
          </w:rPr>
          <w:instrText xml:space="preserve"> PAGEREF _Toc42212135 \h </w:instrText>
        </w:r>
        <w:r w:rsidR="003B5FF2">
          <w:rPr>
            <w:noProof/>
            <w:webHidden/>
          </w:rPr>
        </w:r>
        <w:r w:rsidR="003B5FF2">
          <w:rPr>
            <w:noProof/>
            <w:webHidden/>
          </w:rPr>
          <w:fldChar w:fldCharType="separate"/>
        </w:r>
        <w:r w:rsidR="003B5FF2">
          <w:rPr>
            <w:noProof/>
            <w:webHidden/>
          </w:rPr>
          <w:t>20</w:t>
        </w:r>
        <w:r w:rsidR="003B5FF2">
          <w:rPr>
            <w:noProof/>
            <w:webHidden/>
          </w:rPr>
          <w:fldChar w:fldCharType="end"/>
        </w:r>
      </w:hyperlink>
    </w:p>
    <w:p w14:paraId="0AAB10B7" w14:textId="464FA104" w:rsidR="003B5FF2" w:rsidRDefault="00977063">
      <w:pPr>
        <w:pStyle w:val="TableofFigures"/>
        <w:tabs>
          <w:tab w:val="right" w:leader="dot" w:pos="9016"/>
        </w:tabs>
        <w:rPr>
          <w:rFonts w:asciiTheme="minorHAnsi" w:eastAsiaTheme="minorEastAsia" w:hAnsiTheme="minorHAnsi" w:cstheme="minorBidi"/>
          <w:noProof/>
          <w:sz w:val="22"/>
          <w:lang w:val="en-GB" w:eastAsia="en-GB"/>
        </w:rPr>
      </w:pPr>
      <w:hyperlink w:anchor="_Toc42212136" w:history="1">
        <w:r w:rsidR="003B5FF2" w:rsidRPr="00C0715F">
          <w:rPr>
            <w:rStyle w:val="Hyperlink"/>
            <w:noProof/>
          </w:rPr>
          <w:t>Table 8: Revenue and deficit shortfall estimates based on projected GDP contraction scenarios</w:t>
        </w:r>
        <w:r w:rsidR="003B5FF2">
          <w:rPr>
            <w:noProof/>
            <w:webHidden/>
          </w:rPr>
          <w:tab/>
        </w:r>
        <w:r w:rsidR="003B5FF2">
          <w:rPr>
            <w:noProof/>
            <w:webHidden/>
          </w:rPr>
          <w:fldChar w:fldCharType="begin"/>
        </w:r>
        <w:r w:rsidR="003B5FF2">
          <w:rPr>
            <w:noProof/>
            <w:webHidden/>
          </w:rPr>
          <w:instrText xml:space="preserve"> PAGEREF _Toc42212136 \h </w:instrText>
        </w:r>
        <w:r w:rsidR="003B5FF2">
          <w:rPr>
            <w:noProof/>
            <w:webHidden/>
          </w:rPr>
        </w:r>
        <w:r w:rsidR="003B5FF2">
          <w:rPr>
            <w:noProof/>
            <w:webHidden/>
          </w:rPr>
          <w:fldChar w:fldCharType="separate"/>
        </w:r>
        <w:r w:rsidR="003B5FF2">
          <w:rPr>
            <w:noProof/>
            <w:webHidden/>
          </w:rPr>
          <w:t>21</w:t>
        </w:r>
        <w:r w:rsidR="003B5FF2">
          <w:rPr>
            <w:noProof/>
            <w:webHidden/>
          </w:rPr>
          <w:fldChar w:fldCharType="end"/>
        </w:r>
      </w:hyperlink>
    </w:p>
    <w:p w14:paraId="5FACEEC1" w14:textId="6943DDB1" w:rsidR="003B5FF2" w:rsidRDefault="00977063">
      <w:pPr>
        <w:pStyle w:val="TableofFigures"/>
        <w:tabs>
          <w:tab w:val="right" w:leader="dot" w:pos="9016"/>
        </w:tabs>
        <w:rPr>
          <w:rFonts w:asciiTheme="minorHAnsi" w:eastAsiaTheme="minorEastAsia" w:hAnsiTheme="minorHAnsi" w:cstheme="minorBidi"/>
          <w:noProof/>
          <w:sz w:val="22"/>
          <w:lang w:val="en-GB" w:eastAsia="en-GB"/>
        </w:rPr>
      </w:pPr>
      <w:hyperlink w:anchor="_Toc42212137" w:history="1">
        <w:r w:rsidR="003B5FF2" w:rsidRPr="00C0715F">
          <w:rPr>
            <w:rStyle w:val="Hyperlink"/>
            <w:rFonts w:ascii="Times" w:hAnsi="Times"/>
            <w:noProof/>
          </w:rPr>
          <w:t>Table 9: Breakdown of Covid-19 fiscal response package</w:t>
        </w:r>
        <w:r w:rsidR="003B5FF2">
          <w:rPr>
            <w:noProof/>
            <w:webHidden/>
          </w:rPr>
          <w:tab/>
        </w:r>
        <w:r w:rsidR="003B5FF2">
          <w:rPr>
            <w:noProof/>
            <w:webHidden/>
          </w:rPr>
          <w:fldChar w:fldCharType="begin"/>
        </w:r>
        <w:r w:rsidR="003B5FF2">
          <w:rPr>
            <w:noProof/>
            <w:webHidden/>
          </w:rPr>
          <w:instrText xml:space="preserve"> PAGEREF _Toc42212137 \h </w:instrText>
        </w:r>
        <w:r w:rsidR="003B5FF2">
          <w:rPr>
            <w:noProof/>
            <w:webHidden/>
          </w:rPr>
        </w:r>
        <w:r w:rsidR="003B5FF2">
          <w:rPr>
            <w:noProof/>
            <w:webHidden/>
          </w:rPr>
          <w:fldChar w:fldCharType="separate"/>
        </w:r>
        <w:r w:rsidR="003B5FF2">
          <w:rPr>
            <w:noProof/>
            <w:webHidden/>
          </w:rPr>
          <w:t>22</w:t>
        </w:r>
        <w:r w:rsidR="003B5FF2">
          <w:rPr>
            <w:noProof/>
            <w:webHidden/>
          </w:rPr>
          <w:fldChar w:fldCharType="end"/>
        </w:r>
      </w:hyperlink>
    </w:p>
    <w:p w14:paraId="08505DC0" w14:textId="6DB1C264" w:rsidR="003B5FF2" w:rsidRDefault="00977063">
      <w:pPr>
        <w:pStyle w:val="TableofFigures"/>
        <w:tabs>
          <w:tab w:val="right" w:leader="dot" w:pos="9016"/>
        </w:tabs>
        <w:rPr>
          <w:rFonts w:asciiTheme="minorHAnsi" w:eastAsiaTheme="minorEastAsia" w:hAnsiTheme="minorHAnsi" w:cstheme="minorBidi"/>
          <w:noProof/>
          <w:sz w:val="22"/>
          <w:lang w:val="en-GB" w:eastAsia="en-GB"/>
        </w:rPr>
      </w:pPr>
      <w:hyperlink w:anchor="_Toc42212138" w:history="1">
        <w:r w:rsidR="003B5FF2" w:rsidRPr="00C0715F">
          <w:rPr>
            <w:rStyle w:val="Hyperlink"/>
            <w:rFonts w:ascii="Times" w:hAnsi="Times"/>
            <w:noProof/>
          </w:rPr>
          <w:t>Table 10: Funding source for Covid-19 fiscal response</w:t>
        </w:r>
        <w:r w:rsidR="003B5FF2">
          <w:rPr>
            <w:noProof/>
            <w:webHidden/>
          </w:rPr>
          <w:tab/>
        </w:r>
        <w:r w:rsidR="003B5FF2">
          <w:rPr>
            <w:noProof/>
            <w:webHidden/>
          </w:rPr>
          <w:fldChar w:fldCharType="begin"/>
        </w:r>
        <w:r w:rsidR="003B5FF2">
          <w:rPr>
            <w:noProof/>
            <w:webHidden/>
          </w:rPr>
          <w:instrText xml:space="preserve"> PAGEREF _Toc42212138 \h </w:instrText>
        </w:r>
        <w:r w:rsidR="003B5FF2">
          <w:rPr>
            <w:noProof/>
            <w:webHidden/>
          </w:rPr>
        </w:r>
        <w:r w:rsidR="003B5FF2">
          <w:rPr>
            <w:noProof/>
            <w:webHidden/>
          </w:rPr>
          <w:fldChar w:fldCharType="separate"/>
        </w:r>
        <w:r w:rsidR="003B5FF2">
          <w:rPr>
            <w:noProof/>
            <w:webHidden/>
          </w:rPr>
          <w:t>23</w:t>
        </w:r>
        <w:r w:rsidR="003B5FF2">
          <w:rPr>
            <w:noProof/>
            <w:webHidden/>
          </w:rPr>
          <w:fldChar w:fldCharType="end"/>
        </w:r>
      </w:hyperlink>
    </w:p>
    <w:p w14:paraId="0E2936FD" w14:textId="63E5A588" w:rsidR="003B5FF2" w:rsidRDefault="00977063">
      <w:pPr>
        <w:pStyle w:val="TableofFigures"/>
        <w:tabs>
          <w:tab w:val="right" w:leader="dot" w:pos="9016"/>
        </w:tabs>
        <w:rPr>
          <w:rFonts w:asciiTheme="minorHAnsi" w:eastAsiaTheme="minorEastAsia" w:hAnsiTheme="minorHAnsi" w:cstheme="minorBidi"/>
          <w:noProof/>
          <w:sz w:val="22"/>
          <w:lang w:val="en-GB" w:eastAsia="en-GB"/>
        </w:rPr>
      </w:pPr>
      <w:hyperlink w:anchor="_Toc42212139" w:history="1">
        <w:r w:rsidR="003B5FF2" w:rsidRPr="00C0715F">
          <w:rPr>
            <w:rStyle w:val="Hyperlink"/>
            <w:noProof/>
          </w:rPr>
          <w:t>Table 11: Overview of spending items that FFC recommends for consideration in reprioritisation</w:t>
        </w:r>
        <w:r w:rsidR="003B5FF2">
          <w:rPr>
            <w:noProof/>
            <w:webHidden/>
          </w:rPr>
          <w:tab/>
        </w:r>
        <w:r w:rsidR="003B5FF2">
          <w:rPr>
            <w:noProof/>
            <w:webHidden/>
          </w:rPr>
          <w:fldChar w:fldCharType="begin"/>
        </w:r>
        <w:r w:rsidR="003B5FF2">
          <w:rPr>
            <w:noProof/>
            <w:webHidden/>
          </w:rPr>
          <w:instrText xml:space="preserve"> PAGEREF _Toc42212139 \h </w:instrText>
        </w:r>
        <w:r w:rsidR="003B5FF2">
          <w:rPr>
            <w:noProof/>
            <w:webHidden/>
          </w:rPr>
        </w:r>
        <w:r w:rsidR="003B5FF2">
          <w:rPr>
            <w:noProof/>
            <w:webHidden/>
          </w:rPr>
          <w:fldChar w:fldCharType="separate"/>
        </w:r>
        <w:r w:rsidR="003B5FF2">
          <w:rPr>
            <w:noProof/>
            <w:webHidden/>
          </w:rPr>
          <w:t>33</w:t>
        </w:r>
        <w:r w:rsidR="003B5FF2">
          <w:rPr>
            <w:noProof/>
            <w:webHidden/>
          </w:rPr>
          <w:fldChar w:fldCharType="end"/>
        </w:r>
      </w:hyperlink>
    </w:p>
    <w:p w14:paraId="5E2F5024" w14:textId="2E144F3E" w:rsidR="003B5FF2" w:rsidRDefault="00977063">
      <w:pPr>
        <w:pStyle w:val="TableofFigures"/>
        <w:tabs>
          <w:tab w:val="right" w:leader="dot" w:pos="9016"/>
        </w:tabs>
        <w:rPr>
          <w:rFonts w:asciiTheme="minorHAnsi" w:eastAsiaTheme="minorEastAsia" w:hAnsiTheme="minorHAnsi" w:cstheme="minorBidi"/>
          <w:noProof/>
          <w:sz w:val="22"/>
          <w:lang w:val="en-GB" w:eastAsia="en-GB"/>
        </w:rPr>
      </w:pPr>
      <w:hyperlink w:anchor="_Toc42212140" w:history="1">
        <w:r w:rsidR="003B5FF2" w:rsidRPr="00C0715F">
          <w:rPr>
            <w:rStyle w:val="Hyperlink"/>
            <w:noProof/>
          </w:rPr>
          <w:t>Table 12: Average spending performance of national departments</w:t>
        </w:r>
        <w:r w:rsidR="003B5FF2">
          <w:rPr>
            <w:noProof/>
            <w:webHidden/>
          </w:rPr>
          <w:tab/>
        </w:r>
        <w:r w:rsidR="003B5FF2">
          <w:rPr>
            <w:noProof/>
            <w:webHidden/>
          </w:rPr>
          <w:fldChar w:fldCharType="begin"/>
        </w:r>
        <w:r w:rsidR="003B5FF2">
          <w:rPr>
            <w:noProof/>
            <w:webHidden/>
          </w:rPr>
          <w:instrText xml:space="preserve"> PAGEREF _Toc42212140 \h </w:instrText>
        </w:r>
        <w:r w:rsidR="003B5FF2">
          <w:rPr>
            <w:noProof/>
            <w:webHidden/>
          </w:rPr>
        </w:r>
        <w:r w:rsidR="003B5FF2">
          <w:rPr>
            <w:noProof/>
            <w:webHidden/>
          </w:rPr>
          <w:fldChar w:fldCharType="separate"/>
        </w:r>
        <w:r w:rsidR="003B5FF2">
          <w:rPr>
            <w:noProof/>
            <w:webHidden/>
          </w:rPr>
          <w:t>34</w:t>
        </w:r>
        <w:r w:rsidR="003B5FF2">
          <w:rPr>
            <w:noProof/>
            <w:webHidden/>
          </w:rPr>
          <w:fldChar w:fldCharType="end"/>
        </w:r>
      </w:hyperlink>
    </w:p>
    <w:p w14:paraId="582252D0" w14:textId="1F42F651" w:rsidR="003B5FF2" w:rsidRDefault="00977063">
      <w:pPr>
        <w:pStyle w:val="TableofFigures"/>
        <w:tabs>
          <w:tab w:val="right" w:leader="dot" w:pos="9016"/>
        </w:tabs>
        <w:rPr>
          <w:rFonts w:asciiTheme="minorHAnsi" w:eastAsiaTheme="minorEastAsia" w:hAnsiTheme="minorHAnsi" w:cstheme="minorBidi"/>
          <w:noProof/>
          <w:sz w:val="22"/>
          <w:lang w:val="en-GB" w:eastAsia="en-GB"/>
        </w:rPr>
      </w:pPr>
      <w:hyperlink w:anchor="_Toc42212141" w:history="1">
        <w:r w:rsidR="003B5FF2" w:rsidRPr="00C0715F">
          <w:rPr>
            <w:rStyle w:val="Hyperlink"/>
            <w:rFonts w:ascii="Times" w:hAnsi="Times"/>
            <w:noProof/>
          </w:rPr>
          <w:t>Table 13: Proposed allocations over the 2020 MTEF period by functional category</w:t>
        </w:r>
        <w:r w:rsidR="003B5FF2">
          <w:rPr>
            <w:noProof/>
            <w:webHidden/>
          </w:rPr>
          <w:tab/>
        </w:r>
        <w:r w:rsidR="003B5FF2">
          <w:rPr>
            <w:noProof/>
            <w:webHidden/>
          </w:rPr>
          <w:fldChar w:fldCharType="begin"/>
        </w:r>
        <w:r w:rsidR="003B5FF2">
          <w:rPr>
            <w:noProof/>
            <w:webHidden/>
          </w:rPr>
          <w:instrText xml:space="preserve"> PAGEREF _Toc42212141 \h </w:instrText>
        </w:r>
        <w:r w:rsidR="003B5FF2">
          <w:rPr>
            <w:noProof/>
            <w:webHidden/>
          </w:rPr>
        </w:r>
        <w:r w:rsidR="003B5FF2">
          <w:rPr>
            <w:noProof/>
            <w:webHidden/>
          </w:rPr>
          <w:fldChar w:fldCharType="separate"/>
        </w:r>
        <w:r w:rsidR="003B5FF2">
          <w:rPr>
            <w:noProof/>
            <w:webHidden/>
          </w:rPr>
          <w:t>35</w:t>
        </w:r>
        <w:r w:rsidR="003B5FF2">
          <w:rPr>
            <w:noProof/>
            <w:webHidden/>
          </w:rPr>
          <w:fldChar w:fldCharType="end"/>
        </w:r>
      </w:hyperlink>
    </w:p>
    <w:p w14:paraId="37CFD852" w14:textId="142BB1EB" w:rsidR="003B5FF2" w:rsidRDefault="00977063">
      <w:pPr>
        <w:pStyle w:val="TableofFigures"/>
        <w:tabs>
          <w:tab w:val="right" w:leader="dot" w:pos="9016"/>
        </w:tabs>
        <w:rPr>
          <w:rFonts w:asciiTheme="minorHAnsi" w:eastAsiaTheme="minorEastAsia" w:hAnsiTheme="minorHAnsi" w:cstheme="minorBidi"/>
          <w:noProof/>
          <w:sz w:val="22"/>
          <w:lang w:val="en-GB" w:eastAsia="en-GB"/>
        </w:rPr>
      </w:pPr>
      <w:hyperlink w:anchor="_Toc42212142" w:history="1">
        <w:r w:rsidR="003B5FF2" w:rsidRPr="00C0715F">
          <w:rPr>
            <w:rStyle w:val="Hyperlink"/>
            <w:noProof/>
          </w:rPr>
          <w:t>Table 14: Planned personnel spending of national departments over the 2020 MTEF period</w:t>
        </w:r>
        <w:r w:rsidR="003B5FF2">
          <w:rPr>
            <w:noProof/>
            <w:webHidden/>
          </w:rPr>
          <w:tab/>
        </w:r>
        <w:r w:rsidR="003B5FF2">
          <w:rPr>
            <w:noProof/>
            <w:webHidden/>
          </w:rPr>
          <w:fldChar w:fldCharType="begin"/>
        </w:r>
        <w:r w:rsidR="003B5FF2">
          <w:rPr>
            <w:noProof/>
            <w:webHidden/>
          </w:rPr>
          <w:instrText xml:space="preserve"> PAGEREF _Toc42212142 \h </w:instrText>
        </w:r>
        <w:r w:rsidR="003B5FF2">
          <w:rPr>
            <w:noProof/>
            <w:webHidden/>
          </w:rPr>
        </w:r>
        <w:r w:rsidR="003B5FF2">
          <w:rPr>
            <w:noProof/>
            <w:webHidden/>
          </w:rPr>
          <w:fldChar w:fldCharType="separate"/>
        </w:r>
        <w:r w:rsidR="003B5FF2">
          <w:rPr>
            <w:noProof/>
            <w:webHidden/>
          </w:rPr>
          <w:t>36</w:t>
        </w:r>
        <w:r w:rsidR="003B5FF2">
          <w:rPr>
            <w:noProof/>
            <w:webHidden/>
          </w:rPr>
          <w:fldChar w:fldCharType="end"/>
        </w:r>
      </w:hyperlink>
    </w:p>
    <w:p w14:paraId="3BAA84B3" w14:textId="5A4B6B65" w:rsidR="003B5FF2" w:rsidRDefault="00977063">
      <w:pPr>
        <w:pStyle w:val="TableofFigures"/>
        <w:tabs>
          <w:tab w:val="right" w:leader="dot" w:pos="9016"/>
        </w:tabs>
        <w:rPr>
          <w:rFonts w:asciiTheme="minorHAnsi" w:eastAsiaTheme="minorEastAsia" w:hAnsiTheme="minorHAnsi" w:cstheme="minorBidi"/>
          <w:noProof/>
          <w:sz w:val="22"/>
          <w:lang w:val="en-GB" w:eastAsia="en-GB"/>
        </w:rPr>
      </w:pPr>
      <w:hyperlink w:anchor="_Toc42212143" w:history="1">
        <w:r w:rsidR="003B5FF2" w:rsidRPr="00C0715F">
          <w:rPr>
            <w:rStyle w:val="Hyperlink"/>
            <w:noProof/>
          </w:rPr>
          <w:t>Table 15: Spending on goods and services by national departments</w:t>
        </w:r>
        <w:r w:rsidR="003B5FF2">
          <w:rPr>
            <w:noProof/>
            <w:webHidden/>
          </w:rPr>
          <w:tab/>
        </w:r>
        <w:r w:rsidR="003B5FF2">
          <w:rPr>
            <w:noProof/>
            <w:webHidden/>
          </w:rPr>
          <w:fldChar w:fldCharType="begin"/>
        </w:r>
        <w:r w:rsidR="003B5FF2">
          <w:rPr>
            <w:noProof/>
            <w:webHidden/>
          </w:rPr>
          <w:instrText xml:space="preserve"> PAGEREF _Toc42212143 \h </w:instrText>
        </w:r>
        <w:r w:rsidR="003B5FF2">
          <w:rPr>
            <w:noProof/>
            <w:webHidden/>
          </w:rPr>
        </w:r>
        <w:r w:rsidR="003B5FF2">
          <w:rPr>
            <w:noProof/>
            <w:webHidden/>
          </w:rPr>
          <w:fldChar w:fldCharType="separate"/>
        </w:r>
        <w:r w:rsidR="003B5FF2">
          <w:rPr>
            <w:noProof/>
            <w:webHidden/>
          </w:rPr>
          <w:t>37</w:t>
        </w:r>
        <w:r w:rsidR="003B5FF2">
          <w:rPr>
            <w:noProof/>
            <w:webHidden/>
          </w:rPr>
          <w:fldChar w:fldCharType="end"/>
        </w:r>
      </w:hyperlink>
    </w:p>
    <w:p w14:paraId="17B1A8BD" w14:textId="07E9C416" w:rsidR="003B5FF2" w:rsidRDefault="00977063">
      <w:pPr>
        <w:pStyle w:val="TableofFigures"/>
        <w:tabs>
          <w:tab w:val="right" w:leader="dot" w:pos="9016"/>
        </w:tabs>
        <w:rPr>
          <w:rFonts w:asciiTheme="minorHAnsi" w:eastAsiaTheme="minorEastAsia" w:hAnsiTheme="minorHAnsi" w:cstheme="minorBidi"/>
          <w:noProof/>
          <w:sz w:val="22"/>
          <w:lang w:val="en-GB" w:eastAsia="en-GB"/>
        </w:rPr>
      </w:pPr>
      <w:hyperlink w:anchor="_Toc42212144" w:history="1">
        <w:r w:rsidR="003B5FF2" w:rsidRPr="00C0715F">
          <w:rPr>
            <w:rStyle w:val="Hyperlink"/>
            <w:noProof/>
          </w:rPr>
          <w:t>Table 16: Travel and subsistence spending by national departments over the 2020 MTEF period</w:t>
        </w:r>
        <w:r w:rsidR="003B5FF2">
          <w:rPr>
            <w:noProof/>
            <w:webHidden/>
          </w:rPr>
          <w:tab/>
        </w:r>
        <w:r w:rsidR="003B5FF2">
          <w:rPr>
            <w:noProof/>
            <w:webHidden/>
          </w:rPr>
          <w:fldChar w:fldCharType="begin"/>
        </w:r>
        <w:r w:rsidR="003B5FF2">
          <w:rPr>
            <w:noProof/>
            <w:webHidden/>
          </w:rPr>
          <w:instrText xml:space="preserve"> PAGEREF _Toc42212144 \h </w:instrText>
        </w:r>
        <w:r w:rsidR="003B5FF2">
          <w:rPr>
            <w:noProof/>
            <w:webHidden/>
          </w:rPr>
        </w:r>
        <w:r w:rsidR="003B5FF2">
          <w:rPr>
            <w:noProof/>
            <w:webHidden/>
          </w:rPr>
          <w:fldChar w:fldCharType="separate"/>
        </w:r>
        <w:r w:rsidR="003B5FF2">
          <w:rPr>
            <w:noProof/>
            <w:webHidden/>
          </w:rPr>
          <w:t>38</w:t>
        </w:r>
        <w:r w:rsidR="003B5FF2">
          <w:rPr>
            <w:noProof/>
            <w:webHidden/>
          </w:rPr>
          <w:fldChar w:fldCharType="end"/>
        </w:r>
      </w:hyperlink>
    </w:p>
    <w:p w14:paraId="2A932FB3" w14:textId="65E12D4C" w:rsidR="003B5FF2" w:rsidRDefault="00977063">
      <w:pPr>
        <w:pStyle w:val="TableofFigures"/>
        <w:tabs>
          <w:tab w:val="right" w:leader="dot" w:pos="9016"/>
        </w:tabs>
        <w:rPr>
          <w:rFonts w:asciiTheme="minorHAnsi" w:eastAsiaTheme="minorEastAsia" w:hAnsiTheme="minorHAnsi" w:cstheme="minorBidi"/>
          <w:noProof/>
          <w:sz w:val="22"/>
          <w:lang w:val="en-GB" w:eastAsia="en-GB"/>
        </w:rPr>
      </w:pPr>
      <w:hyperlink w:anchor="_Toc42212146" w:history="1">
        <w:r w:rsidR="003B5FF2" w:rsidRPr="00C0715F">
          <w:rPr>
            <w:rStyle w:val="Hyperlink"/>
            <w:noProof/>
          </w:rPr>
          <w:t>Table 17: Proposed spending on training and development by functional category over the 2020 MTEF period</w:t>
        </w:r>
        <w:r w:rsidR="003B5FF2">
          <w:rPr>
            <w:noProof/>
            <w:webHidden/>
          </w:rPr>
          <w:tab/>
        </w:r>
        <w:r w:rsidR="003B5FF2">
          <w:rPr>
            <w:noProof/>
            <w:webHidden/>
          </w:rPr>
          <w:fldChar w:fldCharType="begin"/>
        </w:r>
        <w:r w:rsidR="003B5FF2">
          <w:rPr>
            <w:noProof/>
            <w:webHidden/>
          </w:rPr>
          <w:instrText xml:space="preserve"> PAGEREF _Toc42212146 \h </w:instrText>
        </w:r>
        <w:r w:rsidR="003B5FF2">
          <w:rPr>
            <w:noProof/>
            <w:webHidden/>
          </w:rPr>
        </w:r>
        <w:r w:rsidR="003B5FF2">
          <w:rPr>
            <w:noProof/>
            <w:webHidden/>
          </w:rPr>
          <w:fldChar w:fldCharType="separate"/>
        </w:r>
        <w:r w:rsidR="003B5FF2">
          <w:rPr>
            <w:noProof/>
            <w:webHidden/>
          </w:rPr>
          <w:t>38</w:t>
        </w:r>
        <w:r w:rsidR="003B5FF2">
          <w:rPr>
            <w:noProof/>
            <w:webHidden/>
          </w:rPr>
          <w:fldChar w:fldCharType="end"/>
        </w:r>
      </w:hyperlink>
    </w:p>
    <w:p w14:paraId="6B99B539" w14:textId="79ACD1C4" w:rsidR="003B5FF2" w:rsidRDefault="00977063">
      <w:pPr>
        <w:pStyle w:val="TableofFigures"/>
        <w:tabs>
          <w:tab w:val="right" w:leader="dot" w:pos="9016"/>
        </w:tabs>
        <w:rPr>
          <w:rFonts w:asciiTheme="minorHAnsi" w:eastAsiaTheme="minorEastAsia" w:hAnsiTheme="minorHAnsi" w:cstheme="minorBidi"/>
          <w:noProof/>
          <w:sz w:val="22"/>
          <w:lang w:val="en-GB" w:eastAsia="en-GB"/>
        </w:rPr>
      </w:pPr>
      <w:hyperlink w:anchor="_Toc42212147" w:history="1">
        <w:r w:rsidR="003B5FF2" w:rsidRPr="00C0715F">
          <w:rPr>
            <w:rStyle w:val="Hyperlink"/>
            <w:noProof/>
          </w:rPr>
          <w:t>Table 18: National departments’ spending on catering over the 2020 MTEF period, categorised by function (R million)</w:t>
        </w:r>
        <w:r w:rsidR="003B5FF2">
          <w:rPr>
            <w:noProof/>
            <w:webHidden/>
          </w:rPr>
          <w:tab/>
        </w:r>
        <w:r w:rsidR="003B5FF2">
          <w:rPr>
            <w:noProof/>
            <w:webHidden/>
          </w:rPr>
          <w:fldChar w:fldCharType="begin"/>
        </w:r>
        <w:r w:rsidR="003B5FF2">
          <w:rPr>
            <w:noProof/>
            <w:webHidden/>
          </w:rPr>
          <w:instrText xml:space="preserve"> PAGEREF _Toc42212147 \h </w:instrText>
        </w:r>
        <w:r w:rsidR="003B5FF2">
          <w:rPr>
            <w:noProof/>
            <w:webHidden/>
          </w:rPr>
        </w:r>
        <w:r w:rsidR="003B5FF2">
          <w:rPr>
            <w:noProof/>
            <w:webHidden/>
          </w:rPr>
          <w:fldChar w:fldCharType="separate"/>
        </w:r>
        <w:r w:rsidR="003B5FF2">
          <w:rPr>
            <w:noProof/>
            <w:webHidden/>
          </w:rPr>
          <w:t>39</w:t>
        </w:r>
        <w:r w:rsidR="003B5FF2">
          <w:rPr>
            <w:noProof/>
            <w:webHidden/>
          </w:rPr>
          <w:fldChar w:fldCharType="end"/>
        </w:r>
      </w:hyperlink>
    </w:p>
    <w:p w14:paraId="02CA4BB0" w14:textId="66AC44F2" w:rsidR="003B5FF2" w:rsidRDefault="00977063">
      <w:pPr>
        <w:pStyle w:val="TableofFigures"/>
        <w:tabs>
          <w:tab w:val="right" w:leader="dot" w:pos="9016"/>
        </w:tabs>
        <w:rPr>
          <w:rFonts w:asciiTheme="minorHAnsi" w:eastAsiaTheme="minorEastAsia" w:hAnsiTheme="minorHAnsi" w:cstheme="minorBidi"/>
          <w:noProof/>
          <w:sz w:val="22"/>
          <w:lang w:val="en-GB" w:eastAsia="en-GB"/>
        </w:rPr>
      </w:pPr>
      <w:hyperlink w:anchor="_Toc42212148" w:history="1">
        <w:r w:rsidR="003B5FF2" w:rsidRPr="00C0715F">
          <w:rPr>
            <w:rStyle w:val="Hyperlink"/>
            <w:noProof/>
          </w:rPr>
          <w:t>Table 19: National departments’ planned spending on new and existing infrastructure over the 2020 MTEF period</w:t>
        </w:r>
        <w:r w:rsidR="003B5FF2">
          <w:rPr>
            <w:noProof/>
            <w:webHidden/>
          </w:rPr>
          <w:tab/>
        </w:r>
        <w:r w:rsidR="003B5FF2">
          <w:rPr>
            <w:noProof/>
            <w:webHidden/>
          </w:rPr>
          <w:fldChar w:fldCharType="begin"/>
        </w:r>
        <w:r w:rsidR="003B5FF2">
          <w:rPr>
            <w:noProof/>
            <w:webHidden/>
          </w:rPr>
          <w:instrText xml:space="preserve"> PAGEREF _Toc42212148 \h </w:instrText>
        </w:r>
        <w:r w:rsidR="003B5FF2">
          <w:rPr>
            <w:noProof/>
            <w:webHidden/>
          </w:rPr>
        </w:r>
        <w:r w:rsidR="003B5FF2">
          <w:rPr>
            <w:noProof/>
            <w:webHidden/>
          </w:rPr>
          <w:fldChar w:fldCharType="separate"/>
        </w:r>
        <w:r w:rsidR="003B5FF2">
          <w:rPr>
            <w:noProof/>
            <w:webHidden/>
          </w:rPr>
          <w:t>41</w:t>
        </w:r>
        <w:r w:rsidR="003B5FF2">
          <w:rPr>
            <w:noProof/>
            <w:webHidden/>
          </w:rPr>
          <w:fldChar w:fldCharType="end"/>
        </w:r>
      </w:hyperlink>
    </w:p>
    <w:p w14:paraId="25C65BB5" w14:textId="234E3D2F" w:rsidR="003B5FF2" w:rsidRDefault="00977063">
      <w:pPr>
        <w:pStyle w:val="TableofFigures"/>
        <w:tabs>
          <w:tab w:val="right" w:leader="dot" w:pos="9016"/>
        </w:tabs>
        <w:rPr>
          <w:rFonts w:asciiTheme="minorHAnsi" w:eastAsiaTheme="minorEastAsia" w:hAnsiTheme="minorHAnsi" w:cstheme="minorBidi"/>
          <w:noProof/>
          <w:sz w:val="22"/>
          <w:lang w:val="en-GB" w:eastAsia="en-GB"/>
        </w:rPr>
      </w:pPr>
      <w:hyperlink w:anchor="_Toc42212149" w:history="1">
        <w:r w:rsidR="003B5FF2" w:rsidRPr="00C0715F">
          <w:rPr>
            <w:rStyle w:val="Hyperlink"/>
            <w:rFonts w:ascii="Times" w:hAnsi="Times"/>
            <w:noProof/>
          </w:rPr>
          <w:t>Table 20: Total provincial conditional grants funding by national departments</w:t>
        </w:r>
        <w:r w:rsidR="003B5FF2">
          <w:rPr>
            <w:noProof/>
            <w:webHidden/>
          </w:rPr>
          <w:tab/>
        </w:r>
        <w:r w:rsidR="003B5FF2">
          <w:rPr>
            <w:noProof/>
            <w:webHidden/>
          </w:rPr>
          <w:fldChar w:fldCharType="begin"/>
        </w:r>
        <w:r w:rsidR="003B5FF2">
          <w:rPr>
            <w:noProof/>
            <w:webHidden/>
          </w:rPr>
          <w:instrText xml:space="preserve"> PAGEREF _Toc42212149 \h </w:instrText>
        </w:r>
        <w:r w:rsidR="003B5FF2">
          <w:rPr>
            <w:noProof/>
            <w:webHidden/>
          </w:rPr>
        </w:r>
        <w:r w:rsidR="003B5FF2">
          <w:rPr>
            <w:noProof/>
            <w:webHidden/>
          </w:rPr>
          <w:fldChar w:fldCharType="separate"/>
        </w:r>
        <w:r w:rsidR="003B5FF2">
          <w:rPr>
            <w:noProof/>
            <w:webHidden/>
          </w:rPr>
          <w:t>42</w:t>
        </w:r>
        <w:r w:rsidR="003B5FF2">
          <w:rPr>
            <w:noProof/>
            <w:webHidden/>
          </w:rPr>
          <w:fldChar w:fldCharType="end"/>
        </w:r>
      </w:hyperlink>
    </w:p>
    <w:p w14:paraId="45B8EE25" w14:textId="3C22A3DF" w:rsidR="003B5FF2" w:rsidRDefault="00977063">
      <w:pPr>
        <w:pStyle w:val="TableofFigures"/>
        <w:tabs>
          <w:tab w:val="right" w:leader="dot" w:pos="9016"/>
        </w:tabs>
        <w:rPr>
          <w:rFonts w:asciiTheme="minorHAnsi" w:eastAsiaTheme="minorEastAsia" w:hAnsiTheme="minorHAnsi" w:cstheme="minorBidi"/>
          <w:noProof/>
          <w:sz w:val="22"/>
          <w:lang w:val="en-GB" w:eastAsia="en-GB"/>
        </w:rPr>
      </w:pPr>
      <w:hyperlink w:anchor="_Toc42212150" w:history="1">
        <w:r w:rsidR="003B5FF2" w:rsidRPr="00C0715F">
          <w:rPr>
            <w:rStyle w:val="Hyperlink"/>
            <w:rFonts w:ascii="Times" w:hAnsi="Times"/>
            <w:noProof/>
          </w:rPr>
          <w:t>Table 21: Total municipal conditional grants funding by national departments</w:t>
        </w:r>
        <w:r w:rsidR="003B5FF2">
          <w:rPr>
            <w:noProof/>
            <w:webHidden/>
          </w:rPr>
          <w:tab/>
        </w:r>
        <w:r w:rsidR="003B5FF2">
          <w:rPr>
            <w:noProof/>
            <w:webHidden/>
          </w:rPr>
          <w:fldChar w:fldCharType="begin"/>
        </w:r>
        <w:r w:rsidR="003B5FF2">
          <w:rPr>
            <w:noProof/>
            <w:webHidden/>
          </w:rPr>
          <w:instrText xml:space="preserve"> PAGEREF _Toc42212150 \h </w:instrText>
        </w:r>
        <w:r w:rsidR="003B5FF2">
          <w:rPr>
            <w:noProof/>
            <w:webHidden/>
          </w:rPr>
        </w:r>
        <w:r w:rsidR="003B5FF2">
          <w:rPr>
            <w:noProof/>
            <w:webHidden/>
          </w:rPr>
          <w:fldChar w:fldCharType="separate"/>
        </w:r>
        <w:r w:rsidR="003B5FF2">
          <w:rPr>
            <w:noProof/>
            <w:webHidden/>
          </w:rPr>
          <w:t>42</w:t>
        </w:r>
        <w:r w:rsidR="003B5FF2">
          <w:rPr>
            <w:noProof/>
            <w:webHidden/>
          </w:rPr>
          <w:fldChar w:fldCharType="end"/>
        </w:r>
      </w:hyperlink>
    </w:p>
    <w:p w14:paraId="6294E58B" w14:textId="4760B77E" w:rsidR="003B5FF2" w:rsidRDefault="00977063">
      <w:pPr>
        <w:pStyle w:val="TableofFigures"/>
        <w:tabs>
          <w:tab w:val="right" w:leader="dot" w:pos="9016"/>
        </w:tabs>
        <w:rPr>
          <w:rFonts w:asciiTheme="minorHAnsi" w:eastAsiaTheme="minorEastAsia" w:hAnsiTheme="minorHAnsi" w:cstheme="minorBidi"/>
          <w:noProof/>
          <w:sz w:val="22"/>
          <w:lang w:val="en-GB" w:eastAsia="en-GB"/>
        </w:rPr>
      </w:pPr>
      <w:hyperlink w:anchor="_Toc42212151" w:history="1">
        <w:r w:rsidR="003B5FF2" w:rsidRPr="00C0715F">
          <w:rPr>
            <w:rStyle w:val="Hyperlink"/>
            <w:noProof/>
          </w:rPr>
          <w:t>Table 22: Conditional grants recommended for potential reprioritisation or refocussing</w:t>
        </w:r>
        <w:r w:rsidR="003B5FF2">
          <w:rPr>
            <w:noProof/>
            <w:webHidden/>
          </w:rPr>
          <w:tab/>
        </w:r>
        <w:r w:rsidR="003B5FF2">
          <w:rPr>
            <w:noProof/>
            <w:webHidden/>
          </w:rPr>
          <w:fldChar w:fldCharType="begin"/>
        </w:r>
        <w:r w:rsidR="003B5FF2">
          <w:rPr>
            <w:noProof/>
            <w:webHidden/>
          </w:rPr>
          <w:instrText xml:space="preserve"> PAGEREF _Toc42212151 \h </w:instrText>
        </w:r>
        <w:r w:rsidR="003B5FF2">
          <w:rPr>
            <w:noProof/>
            <w:webHidden/>
          </w:rPr>
        </w:r>
        <w:r w:rsidR="003B5FF2">
          <w:rPr>
            <w:noProof/>
            <w:webHidden/>
          </w:rPr>
          <w:fldChar w:fldCharType="separate"/>
        </w:r>
        <w:r w:rsidR="003B5FF2">
          <w:rPr>
            <w:noProof/>
            <w:webHidden/>
          </w:rPr>
          <w:t>43</w:t>
        </w:r>
        <w:r w:rsidR="003B5FF2">
          <w:rPr>
            <w:noProof/>
            <w:webHidden/>
          </w:rPr>
          <w:fldChar w:fldCharType="end"/>
        </w:r>
      </w:hyperlink>
    </w:p>
    <w:p w14:paraId="0536F91D" w14:textId="559E9D77" w:rsidR="003B5FF2" w:rsidRDefault="00977063">
      <w:pPr>
        <w:pStyle w:val="TableofFigures"/>
        <w:tabs>
          <w:tab w:val="right" w:leader="dot" w:pos="9016"/>
        </w:tabs>
        <w:rPr>
          <w:rFonts w:asciiTheme="minorHAnsi" w:eastAsiaTheme="minorEastAsia" w:hAnsiTheme="minorHAnsi" w:cstheme="minorBidi"/>
          <w:noProof/>
          <w:sz w:val="22"/>
          <w:lang w:val="en-GB" w:eastAsia="en-GB"/>
        </w:rPr>
      </w:pPr>
      <w:hyperlink w:anchor="_Toc42212152" w:history="1">
        <w:r w:rsidR="003B5FF2" w:rsidRPr="00C0715F">
          <w:rPr>
            <w:rStyle w:val="Hyperlink"/>
            <w:rFonts w:ascii="Times" w:hAnsi="Times"/>
            <w:noProof/>
          </w:rPr>
          <w:t>Table 23: Summary of performance and 2020 MTEF allocations of Learning and Culture Conditional Grants where reprioritisations are proposed</w:t>
        </w:r>
        <w:r w:rsidR="003B5FF2">
          <w:rPr>
            <w:noProof/>
            <w:webHidden/>
          </w:rPr>
          <w:tab/>
        </w:r>
        <w:r w:rsidR="003B5FF2">
          <w:rPr>
            <w:noProof/>
            <w:webHidden/>
          </w:rPr>
          <w:fldChar w:fldCharType="begin"/>
        </w:r>
        <w:r w:rsidR="003B5FF2">
          <w:rPr>
            <w:noProof/>
            <w:webHidden/>
          </w:rPr>
          <w:instrText xml:space="preserve"> PAGEREF _Toc42212152 \h </w:instrText>
        </w:r>
        <w:r w:rsidR="003B5FF2">
          <w:rPr>
            <w:noProof/>
            <w:webHidden/>
          </w:rPr>
        </w:r>
        <w:r w:rsidR="003B5FF2">
          <w:rPr>
            <w:noProof/>
            <w:webHidden/>
          </w:rPr>
          <w:fldChar w:fldCharType="separate"/>
        </w:r>
        <w:r w:rsidR="003B5FF2">
          <w:rPr>
            <w:noProof/>
            <w:webHidden/>
          </w:rPr>
          <w:t>44</w:t>
        </w:r>
        <w:r w:rsidR="003B5FF2">
          <w:rPr>
            <w:noProof/>
            <w:webHidden/>
          </w:rPr>
          <w:fldChar w:fldCharType="end"/>
        </w:r>
      </w:hyperlink>
    </w:p>
    <w:p w14:paraId="28FF8B6D" w14:textId="2DA87EAB" w:rsidR="003B5FF2" w:rsidRDefault="00977063">
      <w:pPr>
        <w:pStyle w:val="TableofFigures"/>
        <w:tabs>
          <w:tab w:val="right" w:leader="dot" w:pos="9016"/>
        </w:tabs>
        <w:rPr>
          <w:rFonts w:asciiTheme="minorHAnsi" w:eastAsiaTheme="minorEastAsia" w:hAnsiTheme="minorHAnsi" w:cstheme="minorBidi"/>
          <w:noProof/>
          <w:sz w:val="22"/>
          <w:lang w:val="en-GB" w:eastAsia="en-GB"/>
        </w:rPr>
      </w:pPr>
      <w:hyperlink w:anchor="_Toc42212153" w:history="1">
        <w:r w:rsidR="003B5FF2" w:rsidRPr="00C0715F">
          <w:rPr>
            <w:rStyle w:val="Hyperlink"/>
            <w:noProof/>
          </w:rPr>
          <w:t>Table 24 provides a description of the conditional grants within the health functional category that are recommended for reprioritisation.</w:t>
        </w:r>
        <w:r w:rsidR="003B5FF2">
          <w:rPr>
            <w:noProof/>
            <w:webHidden/>
          </w:rPr>
          <w:tab/>
        </w:r>
        <w:r w:rsidR="003B5FF2">
          <w:rPr>
            <w:noProof/>
            <w:webHidden/>
          </w:rPr>
          <w:fldChar w:fldCharType="begin"/>
        </w:r>
        <w:r w:rsidR="003B5FF2">
          <w:rPr>
            <w:noProof/>
            <w:webHidden/>
          </w:rPr>
          <w:instrText xml:space="preserve"> PAGEREF _Toc42212153 \h </w:instrText>
        </w:r>
        <w:r w:rsidR="003B5FF2">
          <w:rPr>
            <w:noProof/>
            <w:webHidden/>
          </w:rPr>
        </w:r>
        <w:r w:rsidR="003B5FF2">
          <w:rPr>
            <w:noProof/>
            <w:webHidden/>
          </w:rPr>
          <w:fldChar w:fldCharType="separate"/>
        </w:r>
        <w:r w:rsidR="003B5FF2">
          <w:rPr>
            <w:noProof/>
            <w:webHidden/>
          </w:rPr>
          <w:t>47</w:t>
        </w:r>
        <w:r w:rsidR="003B5FF2">
          <w:rPr>
            <w:noProof/>
            <w:webHidden/>
          </w:rPr>
          <w:fldChar w:fldCharType="end"/>
        </w:r>
      </w:hyperlink>
    </w:p>
    <w:p w14:paraId="6E94AFC8" w14:textId="794BD910" w:rsidR="003B5FF2" w:rsidRDefault="00977063">
      <w:pPr>
        <w:pStyle w:val="TableofFigures"/>
        <w:tabs>
          <w:tab w:val="right" w:leader="dot" w:pos="9016"/>
        </w:tabs>
        <w:rPr>
          <w:rFonts w:asciiTheme="minorHAnsi" w:eastAsiaTheme="minorEastAsia" w:hAnsiTheme="minorHAnsi" w:cstheme="minorBidi"/>
          <w:noProof/>
          <w:sz w:val="22"/>
          <w:lang w:val="en-GB" w:eastAsia="en-GB"/>
        </w:rPr>
      </w:pPr>
      <w:hyperlink w:anchor="_Toc42212154" w:history="1">
        <w:r w:rsidR="003B5FF2" w:rsidRPr="00C0715F">
          <w:rPr>
            <w:rStyle w:val="Hyperlink"/>
            <w:noProof/>
          </w:rPr>
          <w:t>Table 24</w:t>
        </w:r>
        <w:r w:rsidR="003B5FF2" w:rsidRPr="00C0715F">
          <w:rPr>
            <w:rStyle w:val="Hyperlink"/>
            <w:rFonts w:ascii="Times" w:hAnsi="Times"/>
            <w:noProof/>
          </w:rPr>
          <w:t xml:space="preserve"> Summary of performance and 2020 MTEF allocations of Health Conditional Grants where reprioritisation is proposed</w:t>
        </w:r>
        <w:r w:rsidR="003B5FF2">
          <w:rPr>
            <w:noProof/>
            <w:webHidden/>
          </w:rPr>
          <w:tab/>
        </w:r>
        <w:r w:rsidR="003B5FF2">
          <w:rPr>
            <w:noProof/>
            <w:webHidden/>
          </w:rPr>
          <w:fldChar w:fldCharType="begin"/>
        </w:r>
        <w:r w:rsidR="003B5FF2">
          <w:rPr>
            <w:noProof/>
            <w:webHidden/>
          </w:rPr>
          <w:instrText xml:space="preserve"> PAGEREF _Toc42212154 \h </w:instrText>
        </w:r>
        <w:r w:rsidR="003B5FF2">
          <w:rPr>
            <w:noProof/>
            <w:webHidden/>
          </w:rPr>
        </w:r>
        <w:r w:rsidR="003B5FF2">
          <w:rPr>
            <w:noProof/>
            <w:webHidden/>
          </w:rPr>
          <w:fldChar w:fldCharType="separate"/>
        </w:r>
        <w:r w:rsidR="003B5FF2">
          <w:rPr>
            <w:noProof/>
            <w:webHidden/>
          </w:rPr>
          <w:t>47</w:t>
        </w:r>
        <w:r w:rsidR="003B5FF2">
          <w:rPr>
            <w:noProof/>
            <w:webHidden/>
          </w:rPr>
          <w:fldChar w:fldCharType="end"/>
        </w:r>
      </w:hyperlink>
    </w:p>
    <w:p w14:paraId="59288E08" w14:textId="1FB91ADD" w:rsidR="003B5FF2" w:rsidRDefault="00977063">
      <w:pPr>
        <w:pStyle w:val="TableofFigures"/>
        <w:tabs>
          <w:tab w:val="right" w:leader="dot" w:pos="9016"/>
        </w:tabs>
        <w:rPr>
          <w:rFonts w:asciiTheme="minorHAnsi" w:eastAsiaTheme="minorEastAsia" w:hAnsiTheme="minorHAnsi" w:cstheme="minorBidi"/>
          <w:noProof/>
          <w:sz w:val="22"/>
          <w:lang w:val="en-GB" w:eastAsia="en-GB"/>
        </w:rPr>
      </w:pPr>
      <w:hyperlink w:anchor="_Toc42212155" w:history="1">
        <w:r w:rsidR="003B5FF2" w:rsidRPr="00C0715F">
          <w:rPr>
            <w:rStyle w:val="Hyperlink"/>
            <w:rFonts w:ascii="Times" w:hAnsi="Times"/>
            <w:noProof/>
          </w:rPr>
          <w:t>Table 25: Summary of performance and 2020 MTEF allocations of Community Development Conditional Grants where reprioritisation is proposed</w:t>
        </w:r>
        <w:r w:rsidR="003B5FF2">
          <w:rPr>
            <w:noProof/>
            <w:webHidden/>
          </w:rPr>
          <w:tab/>
        </w:r>
        <w:r w:rsidR="003B5FF2">
          <w:rPr>
            <w:noProof/>
            <w:webHidden/>
          </w:rPr>
          <w:fldChar w:fldCharType="begin"/>
        </w:r>
        <w:r w:rsidR="003B5FF2">
          <w:rPr>
            <w:noProof/>
            <w:webHidden/>
          </w:rPr>
          <w:instrText xml:space="preserve"> PAGEREF _Toc42212155 \h </w:instrText>
        </w:r>
        <w:r w:rsidR="003B5FF2">
          <w:rPr>
            <w:noProof/>
            <w:webHidden/>
          </w:rPr>
        </w:r>
        <w:r w:rsidR="003B5FF2">
          <w:rPr>
            <w:noProof/>
            <w:webHidden/>
          </w:rPr>
          <w:fldChar w:fldCharType="separate"/>
        </w:r>
        <w:r w:rsidR="003B5FF2">
          <w:rPr>
            <w:noProof/>
            <w:webHidden/>
          </w:rPr>
          <w:t>48</w:t>
        </w:r>
        <w:r w:rsidR="003B5FF2">
          <w:rPr>
            <w:noProof/>
            <w:webHidden/>
          </w:rPr>
          <w:fldChar w:fldCharType="end"/>
        </w:r>
      </w:hyperlink>
    </w:p>
    <w:p w14:paraId="03DDA4D9" w14:textId="6541EDC2" w:rsidR="003B5FF2" w:rsidRDefault="00977063">
      <w:pPr>
        <w:pStyle w:val="TableofFigures"/>
        <w:tabs>
          <w:tab w:val="right" w:leader="dot" w:pos="9016"/>
        </w:tabs>
        <w:rPr>
          <w:rFonts w:asciiTheme="minorHAnsi" w:eastAsiaTheme="minorEastAsia" w:hAnsiTheme="minorHAnsi" w:cstheme="minorBidi"/>
          <w:noProof/>
          <w:sz w:val="22"/>
          <w:lang w:val="en-GB" w:eastAsia="en-GB"/>
        </w:rPr>
      </w:pPr>
      <w:hyperlink w:anchor="_Toc42212156" w:history="1">
        <w:r w:rsidR="003B5FF2" w:rsidRPr="00C0715F">
          <w:rPr>
            <w:rStyle w:val="Hyperlink"/>
            <w:noProof/>
          </w:rPr>
          <w:t>Table 26 presents conditional grant allocations in the Economic Development functional area.</w:t>
        </w:r>
        <w:r w:rsidR="003B5FF2">
          <w:rPr>
            <w:noProof/>
            <w:webHidden/>
          </w:rPr>
          <w:tab/>
        </w:r>
        <w:r w:rsidR="003B5FF2">
          <w:rPr>
            <w:noProof/>
            <w:webHidden/>
          </w:rPr>
          <w:fldChar w:fldCharType="begin"/>
        </w:r>
        <w:r w:rsidR="003B5FF2">
          <w:rPr>
            <w:noProof/>
            <w:webHidden/>
          </w:rPr>
          <w:instrText xml:space="preserve"> PAGEREF _Toc42212156 \h </w:instrText>
        </w:r>
        <w:r w:rsidR="003B5FF2">
          <w:rPr>
            <w:noProof/>
            <w:webHidden/>
          </w:rPr>
        </w:r>
        <w:r w:rsidR="003B5FF2">
          <w:rPr>
            <w:noProof/>
            <w:webHidden/>
          </w:rPr>
          <w:fldChar w:fldCharType="separate"/>
        </w:r>
        <w:r w:rsidR="003B5FF2">
          <w:rPr>
            <w:noProof/>
            <w:webHidden/>
          </w:rPr>
          <w:t>50</w:t>
        </w:r>
        <w:r w:rsidR="003B5FF2">
          <w:rPr>
            <w:noProof/>
            <w:webHidden/>
          </w:rPr>
          <w:fldChar w:fldCharType="end"/>
        </w:r>
      </w:hyperlink>
    </w:p>
    <w:p w14:paraId="6909C76F" w14:textId="66905201" w:rsidR="003B5FF2" w:rsidRDefault="00977063">
      <w:pPr>
        <w:pStyle w:val="TableofFigures"/>
        <w:tabs>
          <w:tab w:val="right" w:leader="dot" w:pos="9016"/>
        </w:tabs>
        <w:rPr>
          <w:rFonts w:asciiTheme="minorHAnsi" w:eastAsiaTheme="minorEastAsia" w:hAnsiTheme="minorHAnsi" w:cstheme="minorBidi"/>
          <w:noProof/>
          <w:sz w:val="22"/>
          <w:lang w:val="en-GB" w:eastAsia="en-GB"/>
        </w:rPr>
      </w:pPr>
      <w:hyperlink w:anchor="_Toc42212157" w:history="1">
        <w:r w:rsidR="003B5FF2" w:rsidRPr="00C0715F">
          <w:rPr>
            <w:rStyle w:val="Hyperlink"/>
            <w:noProof/>
          </w:rPr>
          <w:t>Table 26</w:t>
        </w:r>
        <w:r w:rsidR="003B5FF2" w:rsidRPr="00C0715F">
          <w:rPr>
            <w:rStyle w:val="Hyperlink"/>
            <w:rFonts w:ascii="Times" w:hAnsi="Times"/>
            <w:noProof/>
          </w:rPr>
          <w:t xml:space="preserve"> </w:t>
        </w:r>
        <w:r w:rsidR="003B5FF2" w:rsidRPr="00C0715F">
          <w:rPr>
            <w:rStyle w:val="Hyperlink"/>
            <w:noProof/>
          </w:rPr>
          <w:t>Summary of performance and 2020 MTEF allocations of Economic Development Conditional Grants where reprioritisation is proposed</w:t>
        </w:r>
        <w:r w:rsidR="003B5FF2">
          <w:rPr>
            <w:noProof/>
            <w:webHidden/>
          </w:rPr>
          <w:tab/>
        </w:r>
        <w:r w:rsidR="003B5FF2">
          <w:rPr>
            <w:noProof/>
            <w:webHidden/>
          </w:rPr>
          <w:fldChar w:fldCharType="begin"/>
        </w:r>
        <w:r w:rsidR="003B5FF2">
          <w:rPr>
            <w:noProof/>
            <w:webHidden/>
          </w:rPr>
          <w:instrText xml:space="preserve"> PAGEREF _Toc42212157 \h </w:instrText>
        </w:r>
        <w:r w:rsidR="003B5FF2">
          <w:rPr>
            <w:noProof/>
            <w:webHidden/>
          </w:rPr>
        </w:r>
        <w:r w:rsidR="003B5FF2">
          <w:rPr>
            <w:noProof/>
            <w:webHidden/>
          </w:rPr>
          <w:fldChar w:fldCharType="separate"/>
        </w:r>
        <w:r w:rsidR="003B5FF2">
          <w:rPr>
            <w:noProof/>
            <w:webHidden/>
          </w:rPr>
          <w:t>50</w:t>
        </w:r>
        <w:r w:rsidR="003B5FF2">
          <w:rPr>
            <w:noProof/>
            <w:webHidden/>
          </w:rPr>
          <w:fldChar w:fldCharType="end"/>
        </w:r>
      </w:hyperlink>
    </w:p>
    <w:p w14:paraId="699E7F8F" w14:textId="20AD77A4" w:rsidR="00214BA1" w:rsidRPr="000D33E4" w:rsidRDefault="00E827B9" w:rsidP="007B1E55">
      <w:pPr>
        <w:pStyle w:val="default"/>
        <w:tabs>
          <w:tab w:val="num" w:pos="0"/>
        </w:tabs>
        <w:spacing w:before="0" w:beforeAutospacing="0" w:after="0" w:afterAutospacing="0"/>
        <w:contextualSpacing/>
        <w:rPr>
          <w:rFonts w:ascii="Times" w:hAnsi="Times"/>
          <w:color w:val="000000"/>
          <w:sz w:val="22"/>
          <w:szCs w:val="22"/>
        </w:rPr>
      </w:pPr>
      <w:r>
        <w:rPr>
          <w:rFonts w:ascii="Times" w:hAnsi="Times"/>
          <w:color w:val="000000"/>
          <w:szCs w:val="22"/>
          <w:lang w:eastAsia="en-US"/>
        </w:rPr>
        <w:fldChar w:fldCharType="end"/>
      </w:r>
    </w:p>
    <w:p w14:paraId="00907848" w14:textId="77777777" w:rsidR="00214BA1" w:rsidRPr="00327ED6" w:rsidRDefault="00214BA1" w:rsidP="00327ED6">
      <w:pPr>
        <w:pStyle w:val="Heading1"/>
      </w:pPr>
      <w:bookmarkStart w:id="4" w:name="_Toc42211903"/>
      <w:r w:rsidRPr="00327ED6">
        <w:lastRenderedPageBreak/>
        <w:t>List of Figures</w:t>
      </w:r>
      <w:bookmarkEnd w:id="4"/>
    </w:p>
    <w:p w14:paraId="08B5FE6D" w14:textId="3F04BF33" w:rsidR="0035298A" w:rsidRDefault="00E827B9">
      <w:pPr>
        <w:pStyle w:val="TableofFigures"/>
        <w:tabs>
          <w:tab w:val="right" w:leader="dot" w:pos="9016"/>
        </w:tabs>
        <w:rPr>
          <w:rFonts w:asciiTheme="minorHAnsi" w:eastAsiaTheme="minorEastAsia" w:hAnsiTheme="minorHAnsi" w:cstheme="minorBidi"/>
          <w:noProof/>
          <w:sz w:val="22"/>
          <w:lang w:val="en-GB" w:eastAsia="en-GB"/>
        </w:rPr>
      </w:pPr>
      <w:r w:rsidRPr="00E827B9">
        <w:rPr>
          <w:rFonts w:ascii="Times" w:hAnsi="Times"/>
        </w:rPr>
        <w:fldChar w:fldCharType="begin"/>
      </w:r>
      <w:r w:rsidRPr="00E827B9">
        <w:rPr>
          <w:rFonts w:ascii="Times" w:hAnsi="Times"/>
        </w:rPr>
        <w:instrText xml:space="preserve"> TOC \h \z \c "Figure" </w:instrText>
      </w:r>
      <w:r w:rsidRPr="00E827B9">
        <w:rPr>
          <w:rFonts w:ascii="Times" w:hAnsi="Times"/>
        </w:rPr>
        <w:fldChar w:fldCharType="separate"/>
      </w:r>
      <w:hyperlink w:anchor="_Toc42211433" w:history="1">
        <w:r w:rsidR="0035298A" w:rsidRPr="00C34AD0">
          <w:rPr>
            <w:rStyle w:val="Hyperlink"/>
            <w:rFonts w:ascii="Times" w:hAnsi="Times"/>
            <w:noProof/>
          </w:rPr>
          <w:t>Figure 1:</w:t>
        </w:r>
        <w:r w:rsidR="0035298A" w:rsidRPr="00C34AD0">
          <w:rPr>
            <w:rStyle w:val="Hyperlink"/>
            <w:rFonts w:ascii="Times" w:hAnsi="Times"/>
            <w:i/>
            <w:iCs/>
            <w:noProof/>
          </w:rPr>
          <w:t xml:space="preserve"> </w:t>
        </w:r>
        <w:r w:rsidR="0035298A" w:rsidRPr="00C34AD0">
          <w:rPr>
            <w:rStyle w:val="Hyperlink"/>
            <w:rFonts w:ascii="Times" w:hAnsi="Times"/>
            <w:iCs/>
            <w:noProof/>
          </w:rPr>
          <w:t>Economic outlook projections for the world, United States, China, Euro area, and United Kingdom, 2019-2021</w:t>
        </w:r>
        <w:r w:rsidR="0035298A">
          <w:rPr>
            <w:noProof/>
            <w:webHidden/>
          </w:rPr>
          <w:tab/>
        </w:r>
        <w:r w:rsidR="0035298A">
          <w:rPr>
            <w:noProof/>
            <w:webHidden/>
          </w:rPr>
          <w:fldChar w:fldCharType="begin"/>
        </w:r>
        <w:r w:rsidR="0035298A">
          <w:rPr>
            <w:noProof/>
            <w:webHidden/>
          </w:rPr>
          <w:instrText xml:space="preserve"> PAGEREF _Toc42211433 \h </w:instrText>
        </w:r>
        <w:r w:rsidR="0035298A">
          <w:rPr>
            <w:noProof/>
            <w:webHidden/>
          </w:rPr>
        </w:r>
        <w:r w:rsidR="0035298A">
          <w:rPr>
            <w:noProof/>
            <w:webHidden/>
          </w:rPr>
          <w:fldChar w:fldCharType="separate"/>
        </w:r>
        <w:r w:rsidR="0035298A">
          <w:rPr>
            <w:noProof/>
            <w:webHidden/>
          </w:rPr>
          <w:t>4</w:t>
        </w:r>
        <w:r w:rsidR="0035298A">
          <w:rPr>
            <w:noProof/>
            <w:webHidden/>
          </w:rPr>
          <w:fldChar w:fldCharType="end"/>
        </w:r>
      </w:hyperlink>
    </w:p>
    <w:p w14:paraId="48EE499A" w14:textId="5A40FDD9" w:rsidR="0035298A" w:rsidRDefault="00977063">
      <w:pPr>
        <w:pStyle w:val="TableofFigures"/>
        <w:tabs>
          <w:tab w:val="right" w:leader="dot" w:pos="9016"/>
        </w:tabs>
        <w:rPr>
          <w:rFonts w:asciiTheme="minorHAnsi" w:eastAsiaTheme="minorEastAsia" w:hAnsiTheme="minorHAnsi" w:cstheme="minorBidi"/>
          <w:noProof/>
          <w:sz w:val="22"/>
          <w:lang w:val="en-GB" w:eastAsia="en-GB"/>
        </w:rPr>
      </w:pPr>
      <w:hyperlink w:anchor="_Toc42211434" w:history="1">
        <w:r w:rsidR="0035298A" w:rsidRPr="00C34AD0">
          <w:rPr>
            <w:rStyle w:val="Hyperlink"/>
            <w:rFonts w:ascii="Times" w:hAnsi="Times"/>
            <w:noProof/>
          </w:rPr>
          <w:t>Figure 2: South Africa quarter-to-quarter GDP growth, 2016 Q2 – 2019 Q4</w:t>
        </w:r>
        <w:r w:rsidR="0035298A">
          <w:rPr>
            <w:noProof/>
            <w:webHidden/>
          </w:rPr>
          <w:tab/>
        </w:r>
        <w:r w:rsidR="0035298A">
          <w:rPr>
            <w:noProof/>
            <w:webHidden/>
          </w:rPr>
          <w:fldChar w:fldCharType="begin"/>
        </w:r>
        <w:r w:rsidR="0035298A">
          <w:rPr>
            <w:noProof/>
            <w:webHidden/>
          </w:rPr>
          <w:instrText xml:space="preserve"> PAGEREF _Toc42211434 \h </w:instrText>
        </w:r>
        <w:r w:rsidR="0035298A">
          <w:rPr>
            <w:noProof/>
            <w:webHidden/>
          </w:rPr>
        </w:r>
        <w:r w:rsidR="0035298A">
          <w:rPr>
            <w:noProof/>
            <w:webHidden/>
          </w:rPr>
          <w:fldChar w:fldCharType="separate"/>
        </w:r>
        <w:r w:rsidR="0035298A">
          <w:rPr>
            <w:noProof/>
            <w:webHidden/>
          </w:rPr>
          <w:t>6</w:t>
        </w:r>
        <w:r w:rsidR="0035298A">
          <w:rPr>
            <w:noProof/>
            <w:webHidden/>
          </w:rPr>
          <w:fldChar w:fldCharType="end"/>
        </w:r>
      </w:hyperlink>
    </w:p>
    <w:p w14:paraId="788A8703" w14:textId="4F81F5AB" w:rsidR="0035298A" w:rsidRDefault="00977063">
      <w:pPr>
        <w:pStyle w:val="TableofFigures"/>
        <w:tabs>
          <w:tab w:val="right" w:leader="dot" w:pos="9016"/>
        </w:tabs>
        <w:rPr>
          <w:rFonts w:asciiTheme="minorHAnsi" w:eastAsiaTheme="minorEastAsia" w:hAnsiTheme="minorHAnsi" w:cstheme="minorBidi"/>
          <w:noProof/>
          <w:sz w:val="22"/>
          <w:lang w:val="en-GB" w:eastAsia="en-GB"/>
        </w:rPr>
      </w:pPr>
      <w:hyperlink w:anchor="_Toc42211435" w:history="1">
        <w:r w:rsidR="0035298A" w:rsidRPr="00C34AD0">
          <w:rPr>
            <w:rStyle w:val="Hyperlink"/>
            <w:rFonts w:ascii="Times" w:hAnsi="Times"/>
            <w:noProof/>
          </w:rPr>
          <w:t>Figure 3: Projections for GDP growth in South Africa, 2020</w:t>
        </w:r>
        <w:r w:rsidR="0035298A">
          <w:rPr>
            <w:noProof/>
            <w:webHidden/>
          </w:rPr>
          <w:tab/>
        </w:r>
        <w:r w:rsidR="0035298A">
          <w:rPr>
            <w:noProof/>
            <w:webHidden/>
          </w:rPr>
          <w:fldChar w:fldCharType="begin"/>
        </w:r>
        <w:r w:rsidR="0035298A">
          <w:rPr>
            <w:noProof/>
            <w:webHidden/>
          </w:rPr>
          <w:instrText xml:space="preserve"> PAGEREF _Toc42211435 \h </w:instrText>
        </w:r>
        <w:r w:rsidR="0035298A">
          <w:rPr>
            <w:noProof/>
            <w:webHidden/>
          </w:rPr>
        </w:r>
        <w:r w:rsidR="0035298A">
          <w:rPr>
            <w:noProof/>
            <w:webHidden/>
          </w:rPr>
          <w:fldChar w:fldCharType="separate"/>
        </w:r>
        <w:r w:rsidR="0035298A">
          <w:rPr>
            <w:noProof/>
            <w:webHidden/>
          </w:rPr>
          <w:t>7</w:t>
        </w:r>
        <w:r w:rsidR="0035298A">
          <w:rPr>
            <w:noProof/>
            <w:webHidden/>
          </w:rPr>
          <w:fldChar w:fldCharType="end"/>
        </w:r>
      </w:hyperlink>
    </w:p>
    <w:p w14:paraId="756A77C5" w14:textId="2DC083E4" w:rsidR="0035298A" w:rsidRDefault="00977063">
      <w:pPr>
        <w:pStyle w:val="TableofFigures"/>
        <w:tabs>
          <w:tab w:val="right" w:leader="dot" w:pos="9016"/>
        </w:tabs>
        <w:rPr>
          <w:rFonts w:asciiTheme="minorHAnsi" w:eastAsiaTheme="minorEastAsia" w:hAnsiTheme="minorHAnsi" w:cstheme="minorBidi"/>
          <w:noProof/>
          <w:sz w:val="22"/>
          <w:lang w:val="en-GB" w:eastAsia="en-GB"/>
        </w:rPr>
      </w:pPr>
      <w:hyperlink w:anchor="_Toc42211436" w:history="1">
        <w:r w:rsidR="0035298A" w:rsidRPr="00C34AD0">
          <w:rPr>
            <w:rStyle w:val="Hyperlink"/>
            <w:rFonts w:ascii="Times" w:hAnsi="Times"/>
            <w:noProof/>
          </w:rPr>
          <w:t>Figure 4:</w:t>
        </w:r>
        <w:r w:rsidR="0035298A" w:rsidRPr="00C34AD0">
          <w:rPr>
            <w:rStyle w:val="Hyperlink"/>
            <w:rFonts w:ascii="Times" w:hAnsi="Times"/>
            <w:i/>
            <w:iCs/>
            <w:noProof/>
          </w:rPr>
          <w:t xml:space="preserve"> </w:t>
        </w:r>
        <w:r w:rsidR="0035298A" w:rsidRPr="00C34AD0">
          <w:rPr>
            <w:rStyle w:val="Hyperlink"/>
            <w:rFonts w:ascii="Times" w:hAnsi="Times"/>
            <w:noProof/>
          </w:rPr>
          <w:t>South Africa budget deficits as a percentage of GDP projections, 2018/19-2022/23</w:t>
        </w:r>
        <w:r w:rsidR="0035298A">
          <w:rPr>
            <w:noProof/>
            <w:webHidden/>
          </w:rPr>
          <w:tab/>
        </w:r>
        <w:r w:rsidR="0035298A">
          <w:rPr>
            <w:noProof/>
            <w:webHidden/>
          </w:rPr>
          <w:fldChar w:fldCharType="begin"/>
        </w:r>
        <w:r w:rsidR="0035298A">
          <w:rPr>
            <w:noProof/>
            <w:webHidden/>
          </w:rPr>
          <w:instrText xml:space="preserve"> PAGEREF _Toc42211436 \h </w:instrText>
        </w:r>
        <w:r w:rsidR="0035298A">
          <w:rPr>
            <w:noProof/>
            <w:webHidden/>
          </w:rPr>
        </w:r>
        <w:r w:rsidR="0035298A">
          <w:rPr>
            <w:noProof/>
            <w:webHidden/>
          </w:rPr>
          <w:fldChar w:fldCharType="separate"/>
        </w:r>
        <w:r w:rsidR="0035298A">
          <w:rPr>
            <w:noProof/>
            <w:webHidden/>
          </w:rPr>
          <w:t>9</w:t>
        </w:r>
        <w:r w:rsidR="0035298A">
          <w:rPr>
            <w:noProof/>
            <w:webHidden/>
          </w:rPr>
          <w:fldChar w:fldCharType="end"/>
        </w:r>
      </w:hyperlink>
    </w:p>
    <w:p w14:paraId="1081C02C" w14:textId="24798313" w:rsidR="0035298A" w:rsidRDefault="00977063">
      <w:pPr>
        <w:pStyle w:val="TableofFigures"/>
        <w:tabs>
          <w:tab w:val="right" w:leader="dot" w:pos="9016"/>
        </w:tabs>
        <w:rPr>
          <w:rFonts w:asciiTheme="minorHAnsi" w:eastAsiaTheme="minorEastAsia" w:hAnsiTheme="minorHAnsi" w:cstheme="minorBidi"/>
          <w:noProof/>
          <w:sz w:val="22"/>
          <w:lang w:val="en-GB" w:eastAsia="en-GB"/>
        </w:rPr>
      </w:pPr>
      <w:hyperlink w:anchor="_Toc42211437" w:history="1">
        <w:r w:rsidR="0035298A" w:rsidRPr="00C34AD0">
          <w:rPr>
            <w:rStyle w:val="Hyperlink"/>
            <w:rFonts w:ascii="Times" w:hAnsi="Times"/>
            <w:noProof/>
          </w:rPr>
          <w:t>Figure 5: Budget deficit as percentage of GDP, 2018-2021</w:t>
        </w:r>
        <w:r w:rsidR="0035298A">
          <w:rPr>
            <w:noProof/>
            <w:webHidden/>
          </w:rPr>
          <w:tab/>
        </w:r>
        <w:r w:rsidR="0035298A">
          <w:rPr>
            <w:noProof/>
            <w:webHidden/>
          </w:rPr>
          <w:fldChar w:fldCharType="begin"/>
        </w:r>
        <w:r w:rsidR="0035298A">
          <w:rPr>
            <w:noProof/>
            <w:webHidden/>
          </w:rPr>
          <w:instrText xml:space="preserve"> PAGEREF _Toc42211437 \h </w:instrText>
        </w:r>
        <w:r w:rsidR="0035298A">
          <w:rPr>
            <w:noProof/>
            <w:webHidden/>
          </w:rPr>
        </w:r>
        <w:r w:rsidR="0035298A">
          <w:rPr>
            <w:noProof/>
            <w:webHidden/>
          </w:rPr>
          <w:fldChar w:fldCharType="separate"/>
        </w:r>
        <w:r w:rsidR="0035298A">
          <w:rPr>
            <w:noProof/>
            <w:webHidden/>
          </w:rPr>
          <w:t>9</w:t>
        </w:r>
        <w:r w:rsidR="0035298A">
          <w:rPr>
            <w:noProof/>
            <w:webHidden/>
          </w:rPr>
          <w:fldChar w:fldCharType="end"/>
        </w:r>
      </w:hyperlink>
    </w:p>
    <w:p w14:paraId="5CB61859" w14:textId="067B79B1" w:rsidR="0035298A" w:rsidRDefault="00977063">
      <w:pPr>
        <w:pStyle w:val="TableofFigures"/>
        <w:tabs>
          <w:tab w:val="right" w:leader="dot" w:pos="9016"/>
        </w:tabs>
        <w:rPr>
          <w:rFonts w:asciiTheme="minorHAnsi" w:eastAsiaTheme="minorEastAsia" w:hAnsiTheme="minorHAnsi" w:cstheme="minorBidi"/>
          <w:noProof/>
          <w:sz w:val="22"/>
          <w:lang w:val="en-GB" w:eastAsia="en-GB"/>
        </w:rPr>
      </w:pPr>
      <w:hyperlink w:anchor="_Toc42211438" w:history="1">
        <w:r w:rsidR="0035298A" w:rsidRPr="00C34AD0">
          <w:rPr>
            <w:rStyle w:val="Hyperlink"/>
            <w:rFonts w:ascii="Times" w:hAnsi="Times"/>
            <w:noProof/>
          </w:rPr>
          <w:t>Figure 6: Government debt as a percentage of GDP, 2015/16-2022/23</w:t>
        </w:r>
        <w:r w:rsidR="0035298A">
          <w:rPr>
            <w:noProof/>
            <w:webHidden/>
          </w:rPr>
          <w:tab/>
        </w:r>
        <w:r w:rsidR="0035298A">
          <w:rPr>
            <w:noProof/>
            <w:webHidden/>
          </w:rPr>
          <w:fldChar w:fldCharType="begin"/>
        </w:r>
        <w:r w:rsidR="0035298A">
          <w:rPr>
            <w:noProof/>
            <w:webHidden/>
          </w:rPr>
          <w:instrText xml:space="preserve"> PAGEREF _Toc42211438 \h </w:instrText>
        </w:r>
        <w:r w:rsidR="0035298A">
          <w:rPr>
            <w:noProof/>
            <w:webHidden/>
          </w:rPr>
        </w:r>
        <w:r w:rsidR="0035298A">
          <w:rPr>
            <w:noProof/>
            <w:webHidden/>
          </w:rPr>
          <w:fldChar w:fldCharType="separate"/>
        </w:r>
        <w:r w:rsidR="0035298A">
          <w:rPr>
            <w:noProof/>
            <w:webHidden/>
          </w:rPr>
          <w:t>10</w:t>
        </w:r>
        <w:r w:rsidR="0035298A">
          <w:rPr>
            <w:noProof/>
            <w:webHidden/>
          </w:rPr>
          <w:fldChar w:fldCharType="end"/>
        </w:r>
      </w:hyperlink>
    </w:p>
    <w:p w14:paraId="50D0E94B" w14:textId="22E1F220" w:rsidR="0035298A" w:rsidRDefault="00977063">
      <w:pPr>
        <w:pStyle w:val="TableofFigures"/>
        <w:tabs>
          <w:tab w:val="right" w:leader="dot" w:pos="9016"/>
        </w:tabs>
        <w:rPr>
          <w:rFonts w:asciiTheme="minorHAnsi" w:eastAsiaTheme="minorEastAsia" w:hAnsiTheme="minorHAnsi" w:cstheme="minorBidi"/>
          <w:noProof/>
          <w:sz w:val="22"/>
          <w:lang w:val="en-GB" w:eastAsia="en-GB"/>
        </w:rPr>
      </w:pPr>
      <w:hyperlink w:anchor="_Toc42211439" w:history="1">
        <w:r w:rsidR="0035298A" w:rsidRPr="00C34AD0">
          <w:rPr>
            <w:rStyle w:val="Hyperlink"/>
            <w:rFonts w:ascii="Times" w:hAnsi="Times"/>
            <w:noProof/>
          </w:rPr>
          <w:t>Figure 7: Government debt as a percentage of GDP, 2018-2021</w:t>
        </w:r>
        <w:r w:rsidR="0035298A">
          <w:rPr>
            <w:noProof/>
            <w:webHidden/>
          </w:rPr>
          <w:tab/>
        </w:r>
        <w:r w:rsidR="0035298A">
          <w:rPr>
            <w:noProof/>
            <w:webHidden/>
          </w:rPr>
          <w:fldChar w:fldCharType="begin"/>
        </w:r>
        <w:r w:rsidR="0035298A">
          <w:rPr>
            <w:noProof/>
            <w:webHidden/>
          </w:rPr>
          <w:instrText xml:space="preserve"> PAGEREF _Toc42211439 \h </w:instrText>
        </w:r>
        <w:r w:rsidR="0035298A">
          <w:rPr>
            <w:noProof/>
            <w:webHidden/>
          </w:rPr>
        </w:r>
        <w:r w:rsidR="0035298A">
          <w:rPr>
            <w:noProof/>
            <w:webHidden/>
          </w:rPr>
          <w:fldChar w:fldCharType="separate"/>
        </w:r>
        <w:r w:rsidR="0035298A">
          <w:rPr>
            <w:noProof/>
            <w:webHidden/>
          </w:rPr>
          <w:t>11</w:t>
        </w:r>
        <w:r w:rsidR="0035298A">
          <w:rPr>
            <w:noProof/>
            <w:webHidden/>
          </w:rPr>
          <w:fldChar w:fldCharType="end"/>
        </w:r>
      </w:hyperlink>
    </w:p>
    <w:p w14:paraId="7992CFB7" w14:textId="286FAB5B" w:rsidR="0035298A" w:rsidRDefault="00977063">
      <w:pPr>
        <w:pStyle w:val="TableofFigures"/>
        <w:tabs>
          <w:tab w:val="right" w:leader="dot" w:pos="9016"/>
        </w:tabs>
        <w:rPr>
          <w:rFonts w:asciiTheme="minorHAnsi" w:eastAsiaTheme="minorEastAsia" w:hAnsiTheme="minorHAnsi" w:cstheme="minorBidi"/>
          <w:noProof/>
          <w:sz w:val="22"/>
          <w:lang w:val="en-GB" w:eastAsia="en-GB"/>
        </w:rPr>
      </w:pPr>
      <w:hyperlink w:anchor="_Toc42211440" w:history="1">
        <w:r w:rsidR="0035298A" w:rsidRPr="00C34AD0">
          <w:rPr>
            <w:rStyle w:val="Hyperlink"/>
            <w:rFonts w:ascii="Times" w:hAnsi="Times"/>
            <w:noProof/>
          </w:rPr>
          <w:t>Figure 8: Tax revenue under-recovery, April 2020</w:t>
        </w:r>
        <w:r w:rsidR="0035298A">
          <w:rPr>
            <w:noProof/>
            <w:webHidden/>
          </w:rPr>
          <w:tab/>
        </w:r>
        <w:r w:rsidR="0035298A">
          <w:rPr>
            <w:noProof/>
            <w:webHidden/>
          </w:rPr>
          <w:fldChar w:fldCharType="begin"/>
        </w:r>
        <w:r w:rsidR="0035298A">
          <w:rPr>
            <w:noProof/>
            <w:webHidden/>
          </w:rPr>
          <w:instrText xml:space="preserve"> PAGEREF _Toc42211440 \h </w:instrText>
        </w:r>
        <w:r w:rsidR="0035298A">
          <w:rPr>
            <w:noProof/>
            <w:webHidden/>
          </w:rPr>
        </w:r>
        <w:r w:rsidR="0035298A">
          <w:rPr>
            <w:noProof/>
            <w:webHidden/>
          </w:rPr>
          <w:fldChar w:fldCharType="separate"/>
        </w:r>
        <w:r w:rsidR="0035298A">
          <w:rPr>
            <w:noProof/>
            <w:webHidden/>
          </w:rPr>
          <w:t>13</w:t>
        </w:r>
        <w:r w:rsidR="0035298A">
          <w:rPr>
            <w:noProof/>
            <w:webHidden/>
          </w:rPr>
          <w:fldChar w:fldCharType="end"/>
        </w:r>
      </w:hyperlink>
    </w:p>
    <w:p w14:paraId="103787C9" w14:textId="026EAC15" w:rsidR="0035298A" w:rsidRDefault="00977063">
      <w:pPr>
        <w:pStyle w:val="TableofFigures"/>
        <w:tabs>
          <w:tab w:val="right" w:leader="dot" w:pos="9016"/>
        </w:tabs>
        <w:rPr>
          <w:rFonts w:asciiTheme="minorHAnsi" w:eastAsiaTheme="minorEastAsia" w:hAnsiTheme="minorHAnsi" w:cstheme="minorBidi"/>
          <w:noProof/>
          <w:sz w:val="22"/>
          <w:lang w:val="en-GB" w:eastAsia="en-GB"/>
        </w:rPr>
      </w:pPr>
      <w:hyperlink w:anchor="_Toc42211441" w:history="1">
        <w:r w:rsidR="0035298A" w:rsidRPr="00C34AD0">
          <w:rPr>
            <w:rStyle w:val="Hyperlink"/>
            <w:rFonts w:ascii="Times" w:hAnsi="Times"/>
            <w:noProof/>
          </w:rPr>
          <w:t>Figure 9: Allocations to the main functional categories, 2016/17 to 2022/23 (R billion)</w:t>
        </w:r>
        <w:r w:rsidR="0035298A">
          <w:rPr>
            <w:noProof/>
            <w:webHidden/>
          </w:rPr>
          <w:tab/>
        </w:r>
        <w:r w:rsidR="0035298A">
          <w:rPr>
            <w:noProof/>
            <w:webHidden/>
          </w:rPr>
          <w:fldChar w:fldCharType="begin"/>
        </w:r>
        <w:r w:rsidR="0035298A">
          <w:rPr>
            <w:noProof/>
            <w:webHidden/>
          </w:rPr>
          <w:instrText xml:space="preserve"> PAGEREF _Toc42211441 \h </w:instrText>
        </w:r>
        <w:r w:rsidR="0035298A">
          <w:rPr>
            <w:noProof/>
            <w:webHidden/>
          </w:rPr>
        </w:r>
        <w:r w:rsidR="0035298A">
          <w:rPr>
            <w:noProof/>
            <w:webHidden/>
          </w:rPr>
          <w:fldChar w:fldCharType="separate"/>
        </w:r>
        <w:r w:rsidR="0035298A">
          <w:rPr>
            <w:noProof/>
            <w:webHidden/>
          </w:rPr>
          <w:t>15</w:t>
        </w:r>
        <w:r w:rsidR="0035298A">
          <w:rPr>
            <w:noProof/>
            <w:webHidden/>
          </w:rPr>
          <w:fldChar w:fldCharType="end"/>
        </w:r>
      </w:hyperlink>
    </w:p>
    <w:p w14:paraId="3D60D780" w14:textId="54D489F6" w:rsidR="0035298A" w:rsidRDefault="00977063">
      <w:pPr>
        <w:pStyle w:val="TableofFigures"/>
        <w:tabs>
          <w:tab w:val="right" w:leader="dot" w:pos="9016"/>
        </w:tabs>
        <w:rPr>
          <w:rFonts w:asciiTheme="minorHAnsi" w:eastAsiaTheme="minorEastAsia" w:hAnsiTheme="minorHAnsi" w:cstheme="minorBidi"/>
          <w:noProof/>
          <w:sz w:val="22"/>
          <w:lang w:val="en-GB" w:eastAsia="en-GB"/>
        </w:rPr>
      </w:pPr>
      <w:hyperlink w:anchor="_Toc42211442" w:history="1">
        <w:r w:rsidR="0035298A" w:rsidRPr="00C34AD0">
          <w:rPr>
            <w:rStyle w:val="Hyperlink"/>
            <w:rFonts w:ascii="Times" w:hAnsi="Times"/>
            <w:noProof/>
          </w:rPr>
          <w:t xml:space="preserve">Figure 10: </w:t>
        </w:r>
        <w:r w:rsidR="0035298A" w:rsidRPr="00C34AD0">
          <w:rPr>
            <w:rStyle w:val="Hyperlink"/>
            <w:rFonts w:ascii="Times" w:hAnsi="Times"/>
            <w:noProof/>
            <w:lang w:val="en-US"/>
          </w:rPr>
          <w:t>Real annual average growth over the periods 2016/17-2019/20 and 2020/21-2022/23</w:t>
        </w:r>
        <w:r w:rsidR="0035298A">
          <w:rPr>
            <w:noProof/>
            <w:webHidden/>
          </w:rPr>
          <w:tab/>
        </w:r>
        <w:r w:rsidR="0035298A">
          <w:rPr>
            <w:noProof/>
            <w:webHidden/>
          </w:rPr>
          <w:fldChar w:fldCharType="begin"/>
        </w:r>
        <w:r w:rsidR="0035298A">
          <w:rPr>
            <w:noProof/>
            <w:webHidden/>
          </w:rPr>
          <w:instrText xml:space="preserve"> PAGEREF _Toc42211442 \h </w:instrText>
        </w:r>
        <w:r w:rsidR="0035298A">
          <w:rPr>
            <w:noProof/>
            <w:webHidden/>
          </w:rPr>
        </w:r>
        <w:r w:rsidR="0035298A">
          <w:rPr>
            <w:noProof/>
            <w:webHidden/>
          </w:rPr>
          <w:fldChar w:fldCharType="separate"/>
        </w:r>
        <w:r w:rsidR="0035298A">
          <w:rPr>
            <w:noProof/>
            <w:webHidden/>
          </w:rPr>
          <w:t>16</w:t>
        </w:r>
        <w:r w:rsidR="0035298A">
          <w:rPr>
            <w:noProof/>
            <w:webHidden/>
          </w:rPr>
          <w:fldChar w:fldCharType="end"/>
        </w:r>
      </w:hyperlink>
    </w:p>
    <w:p w14:paraId="47382D28" w14:textId="1A10F449" w:rsidR="0035298A" w:rsidRDefault="00977063">
      <w:pPr>
        <w:pStyle w:val="TableofFigures"/>
        <w:tabs>
          <w:tab w:val="right" w:leader="dot" w:pos="9016"/>
        </w:tabs>
        <w:rPr>
          <w:rFonts w:asciiTheme="minorHAnsi" w:eastAsiaTheme="minorEastAsia" w:hAnsiTheme="minorHAnsi" w:cstheme="minorBidi"/>
          <w:noProof/>
          <w:sz w:val="22"/>
          <w:lang w:val="en-GB" w:eastAsia="en-GB"/>
        </w:rPr>
      </w:pPr>
      <w:hyperlink w:anchor="_Toc42211443" w:history="1">
        <w:r w:rsidR="0035298A" w:rsidRPr="00C34AD0">
          <w:rPr>
            <w:rStyle w:val="Hyperlink"/>
            <w:rFonts w:ascii="Times" w:hAnsi="Times"/>
            <w:bCs/>
            <w:noProof/>
          </w:rPr>
          <w:t>Figure 11: Covid-19 fiscal intervention in G20 countries as a percentage of GDP – April 2020</w:t>
        </w:r>
        <w:r w:rsidR="0035298A">
          <w:rPr>
            <w:noProof/>
            <w:webHidden/>
          </w:rPr>
          <w:tab/>
        </w:r>
        <w:r w:rsidR="0035298A">
          <w:rPr>
            <w:noProof/>
            <w:webHidden/>
          </w:rPr>
          <w:fldChar w:fldCharType="begin"/>
        </w:r>
        <w:r w:rsidR="0035298A">
          <w:rPr>
            <w:noProof/>
            <w:webHidden/>
          </w:rPr>
          <w:instrText xml:space="preserve"> PAGEREF _Toc42211443 \h </w:instrText>
        </w:r>
        <w:r w:rsidR="0035298A">
          <w:rPr>
            <w:noProof/>
            <w:webHidden/>
          </w:rPr>
        </w:r>
        <w:r w:rsidR="0035298A">
          <w:rPr>
            <w:noProof/>
            <w:webHidden/>
          </w:rPr>
          <w:fldChar w:fldCharType="separate"/>
        </w:r>
        <w:r w:rsidR="0035298A">
          <w:rPr>
            <w:noProof/>
            <w:webHidden/>
          </w:rPr>
          <w:t>22</w:t>
        </w:r>
        <w:r w:rsidR="0035298A">
          <w:rPr>
            <w:noProof/>
            <w:webHidden/>
          </w:rPr>
          <w:fldChar w:fldCharType="end"/>
        </w:r>
      </w:hyperlink>
    </w:p>
    <w:p w14:paraId="51292156" w14:textId="44BB1D9C" w:rsidR="0035298A" w:rsidRDefault="00977063">
      <w:pPr>
        <w:pStyle w:val="TableofFigures"/>
        <w:tabs>
          <w:tab w:val="right" w:leader="dot" w:pos="9016"/>
        </w:tabs>
        <w:rPr>
          <w:rFonts w:asciiTheme="minorHAnsi" w:eastAsiaTheme="minorEastAsia" w:hAnsiTheme="minorHAnsi" w:cstheme="minorBidi"/>
          <w:noProof/>
          <w:sz w:val="22"/>
          <w:lang w:val="en-GB" w:eastAsia="en-GB"/>
        </w:rPr>
      </w:pPr>
      <w:hyperlink w:anchor="_Toc42211444" w:history="1">
        <w:r w:rsidR="0035298A" w:rsidRPr="00C34AD0">
          <w:rPr>
            <w:rStyle w:val="Hyperlink"/>
            <w:noProof/>
          </w:rPr>
          <w:t>Figure 12: Unemployment rate in South Africa, 2008-2019</w:t>
        </w:r>
        <w:r w:rsidR="0035298A">
          <w:rPr>
            <w:noProof/>
            <w:webHidden/>
          </w:rPr>
          <w:tab/>
        </w:r>
        <w:r w:rsidR="0035298A">
          <w:rPr>
            <w:noProof/>
            <w:webHidden/>
          </w:rPr>
          <w:fldChar w:fldCharType="begin"/>
        </w:r>
        <w:r w:rsidR="0035298A">
          <w:rPr>
            <w:noProof/>
            <w:webHidden/>
          </w:rPr>
          <w:instrText xml:space="preserve"> PAGEREF _Toc42211444 \h </w:instrText>
        </w:r>
        <w:r w:rsidR="0035298A">
          <w:rPr>
            <w:noProof/>
            <w:webHidden/>
          </w:rPr>
        </w:r>
        <w:r w:rsidR="0035298A">
          <w:rPr>
            <w:noProof/>
            <w:webHidden/>
          </w:rPr>
          <w:fldChar w:fldCharType="separate"/>
        </w:r>
        <w:r w:rsidR="0035298A">
          <w:rPr>
            <w:noProof/>
            <w:webHidden/>
          </w:rPr>
          <w:t>25</w:t>
        </w:r>
        <w:r w:rsidR="0035298A">
          <w:rPr>
            <w:noProof/>
            <w:webHidden/>
          </w:rPr>
          <w:fldChar w:fldCharType="end"/>
        </w:r>
      </w:hyperlink>
    </w:p>
    <w:p w14:paraId="31F0B6DC" w14:textId="7DC64F65" w:rsidR="0035298A" w:rsidRDefault="00977063">
      <w:pPr>
        <w:pStyle w:val="TableofFigures"/>
        <w:tabs>
          <w:tab w:val="right" w:leader="dot" w:pos="9016"/>
        </w:tabs>
        <w:rPr>
          <w:rFonts w:asciiTheme="minorHAnsi" w:eastAsiaTheme="minorEastAsia" w:hAnsiTheme="minorHAnsi" w:cstheme="minorBidi"/>
          <w:noProof/>
          <w:sz w:val="22"/>
          <w:lang w:val="en-GB" w:eastAsia="en-GB"/>
        </w:rPr>
      </w:pPr>
      <w:hyperlink w:anchor="_Toc42211445" w:history="1">
        <w:r w:rsidR="0035298A" w:rsidRPr="00C34AD0">
          <w:rPr>
            <w:rStyle w:val="Hyperlink"/>
            <w:noProof/>
          </w:rPr>
          <w:t>Figure 13: Infrastructure spending by national departments over the 2020 MTEF period (by function in R million)</w:t>
        </w:r>
        <w:r w:rsidR="0035298A">
          <w:rPr>
            <w:noProof/>
            <w:webHidden/>
          </w:rPr>
          <w:tab/>
        </w:r>
        <w:r w:rsidR="0035298A">
          <w:rPr>
            <w:noProof/>
            <w:webHidden/>
          </w:rPr>
          <w:fldChar w:fldCharType="begin"/>
        </w:r>
        <w:r w:rsidR="0035298A">
          <w:rPr>
            <w:noProof/>
            <w:webHidden/>
          </w:rPr>
          <w:instrText xml:space="preserve"> PAGEREF _Toc42211445 \h </w:instrText>
        </w:r>
        <w:r w:rsidR="0035298A">
          <w:rPr>
            <w:noProof/>
            <w:webHidden/>
          </w:rPr>
        </w:r>
        <w:r w:rsidR="0035298A">
          <w:rPr>
            <w:noProof/>
            <w:webHidden/>
          </w:rPr>
          <w:fldChar w:fldCharType="separate"/>
        </w:r>
        <w:r w:rsidR="0035298A">
          <w:rPr>
            <w:noProof/>
            <w:webHidden/>
          </w:rPr>
          <w:t>40</w:t>
        </w:r>
        <w:r w:rsidR="0035298A">
          <w:rPr>
            <w:noProof/>
            <w:webHidden/>
          </w:rPr>
          <w:fldChar w:fldCharType="end"/>
        </w:r>
      </w:hyperlink>
    </w:p>
    <w:p w14:paraId="76BC3F7F" w14:textId="5F4F8534" w:rsidR="00214BA1" w:rsidRPr="00E827B9" w:rsidRDefault="00E827B9" w:rsidP="007B1E55">
      <w:pPr>
        <w:rPr>
          <w:rFonts w:ascii="Times" w:hAnsi="Times"/>
        </w:rPr>
      </w:pPr>
      <w:r w:rsidRPr="00E827B9">
        <w:rPr>
          <w:rFonts w:ascii="Times" w:hAnsi="Times"/>
        </w:rPr>
        <w:fldChar w:fldCharType="end"/>
      </w:r>
    </w:p>
    <w:p w14:paraId="2EDCD4B6" w14:textId="77777777" w:rsidR="00214BA1" w:rsidRPr="000D33E4" w:rsidRDefault="00214BA1" w:rsidP="007B1E55">
      <w:pPr>
        <w:rPr>
          <w:rFonts w:ascii="Times" w:hAnsi="Times"/>
        </w:rPr>
      </w:pPr>
    </w:p>
    <w:p w14:paraId="68D92168" w14:textId="77777777" w:rsidR="00D70AA1" w:rsidRPr="000D33E4" w:rsidRDefault="00D70AA1" w:rsidP="007B1E55">
      <w:pPr>
        <w:rPr>
          <w:rFonts w:ascii="Times" w:hAnsi="Times"/>
        </w:rPr>
        <w:sectPr w:rsidR="00D70AA1" w:rsidRPr="000D33E4" w:rsidSect="003103A3">
          <w:headerReference w:type="default" r:id="rId9"/>
          <w:footerReference w:type="even" r:id="rId10"/>
          <w:footerReference w:type="default" r:id="rId11"/>
          <w:pgSz w:w="11906" w:h="16838"/>
          <w:pgMar w:top="1440" w:right="1440" w:bottom="1440" w:left="1440" w:header="708" w:footer="708" w:gutter="0"/>
          <w:pgBorders w:display="firstPage" w:offsetFrom="page">
            <w:top w:val="single" w:sz="4" w:space="24" w:color="339966"/>
            <w:left w:val="single" w:sz="4" w:space="24" w:color="339966"/>
            <w:bottom w:val="single" w:sz="4" w:space="24" w:color="339966"/>
            <w:right w:val="single" w:sz="4" w:space="24" w:color="339966"/>
          </w:pgBorders>
          <w:pgNumType w:fmt="lowerRoman"/>
          <w:cols w:space="708"/>
          <w:titlePg/>
          <w:docGrid w:linePitch="360"/>
        </w:sectPr>
      </w:pPr>
    </w:p>
    <w:p w14:paraId="6CE38412" w14:textId="77777777" w:rsidR="00822E84" w:rsidRPr="00B82EEE" w:rsidRDefault="00822E84" w:rsidP="00B4512F">
      <w:pPr>
        <w:pStyle w:val="IntenseQuote"/>
      </w:pPr>
      <w:bookmarkStart w:id="5" w:name="_Toc42211904"/>
      <w:r w:rsidRPr="00B82EEE">
        <w:lastRenderedPageBreak/>
        <w:t>Section 1</w:t>
      </w:r>
      <w:r w:rsidR="00830E97">
        <w:t>:</w:t>
      </w:r>
      <w:r w:rsidR="00B82EEE" w:rsidRPr="00B82EEE">
        <w:br/>
        <w:t>Introduction</w:t>
      </w:r>
      <w:bookmarkEnd w:id="5"/>
    </w:p>
    <w:p w14:paraId="6F4E98F4" w14:textId="77777777" w:rsidR="00B82EEE" w:rsidRDefault="00B82EEE" w:rsidP="00B82EEE">
      <w:pPr>
        <w:rPr>
          <w:rFonts w:ascii="Times" w:hAnsi="Times"/>
          <w:szCs w:val="24"/>
        </w:rPr>
      </w:pPr>
    </w:p>
    <w:p w14:paraId="354EB091" w14:textId="0E7E869B" w:rsidR="009067EC" w:rsidRPr="009A7F2D" w:rsidRDefault="00E871D1" w:rsidP="009A7F2D">
      <w:pPr>
        <w:rPr>
          <w:szCs w:val="24"/>
        </w:rPr>
      </w:pPr>
      <w:r w:rsidRPr="009A7F2D">
        <w:rPr>
          <w:rFonts w:ascii="Times" w:hAnsi="Times"/>
          <w:szCs w:val="24"/>
        </w:rPr>
        <w:t>The 2020</w:t>
      </w:r>
      <w:r w:rsidR="00797DEF" w:rsidRPr="009A7F2D">
        <w:rPr>
          <w:rFonts w:ascii="Times" w:hAnsi="Times"/>
          <w:szCs w:val="24"/>
        </w:rPr>
        <w:t xml:space="preserve"> </w:t>
      </w:r>
      <w:r w:rsidRPr="009A7F2D">
        <w:rPr>
          <w:rFonts w:ascii="Times" w:hAnsi="Times"/>
          <w:szCs w:val="24"/>
        </w:rPr>
        <w:t>budget</w:t>
      </w:r>
      <w:r w:rsidR="00797DEF" w:rsidRPr="009A7F2D">
        <w:rPr>
          <w:rFonts w:ascii="Times" w:hAnsi="Times"/>
          <w:szCs w:val="24"/>
        </w:rPr>
        <w:t xml:space="preserve"> </w:t>
      </w:r>
      <w:r w:rsidRPr="009A7F2D">
        <w:rPr>
          <w:rFonts w:ascii="Times" w:hAnsi="Times"/>
          <w:szCs w:val="24"/>
        </w:rPr>
        <w:t xml:space="preserve">was </w:t>
      </w:r>
      <w:r w:rsidR="00797DEF" w:rsidRPr="009A7F2D">
        <w:rPr>
          <w:rFonts w:ascii="Times" w:hAnsi="Times"/>
          <w:szCs w:val="24"/>
        </w:rPr>
        <w:t>formulated against the backdrop</w:t>
      </w:r>
      <w:r w:rsidR="008C485C" w:rsidRPr="009A7F2D">
        <w:rPr>
          <w:rFonts w:ascii="Times" w:hAnsi="Times"/>
          <w:szCs w:val="24"/>
        </w:rPr>
        <w:t xml:space="preserve"> of a</w:t>
      </w:r>
      <w:r w:rsidR="00797DEF" w:rsidRPr="009A7F2D">
        <w:rPr>
          <w:rFonts w:ascii="Times" w:hAnsi="Times"/>
          <w:szCs w:val="24"/>
        </w:rPr>
        <w:t xml:space="preserve"> </w:t>
      </w:r>
      <w:r w:rsidR="00325542" w:rsidRPr="009A7F2D">
        <w:rPr>
          <w:rFonts w:ascii="Times" w:hAnsi="Times"/>
          <w:szCs w:val="24"/>
        </w:rPr>
        <w:t>deteriorating economic environment</w:t>
      </w:r>
      <w:r w:rsidR="008C485C" w:rsidRPr="009A7F2D">
        <w:rPr>
          <w:rFonts w:ascii="Times" w:hAnsi="Times"/>
          <w:szCs w:val="24"/>
        </w:rPr>
        <w:t xml:space="preserve">. </w:t>
      </w:r>
      <w:r w:rsidR="00325542" w:rsidRPr="009A7F2D">
        <w:rPr>
          <w:rFonts w:ascii="Times" w:hAnsi="Times"/>
          <w:szCs w:val="24"/>
        </w:rPr>
        <w:t xml:space="preserve">The economy was facing economic headwinds from both international and domestic fronts. </w:t>
      </w:r>
      <w:r w:rsidR="003D08CC" w:rsidRPr="009A7F2D">
        <w:rPr>
          <w:rFonts w:ascii="Times" w:hAnsi="Times"/>
          <w:szCs w:val="24"/>
        </w:rPr>
        <w:t xml:space="preserve">In 2019 the economy registered an </w:t>
      </w:r>
      <w:r w:rsidR="00A828F2" w:rsidRPr="009A7F2D">
        <w:rPr>
          <w:rFonts w:ascii="Times" w:hAnsi="Times"/>
          <w:szCs w:val="24"/>
        </w:rPr>
        <w:t>overall</w:t>
      </w:r>
      <w:r w:rsidR="003D08CC" w:rsidRPr="009A7F2D">
        <w:rPr>
          <w:rFonts w:ascii="Times" w:hAnsi="Times"/>
          <w:szCs w:val="24"/>
        </w:rPr>
        <w:t xml:space="preserve"> </w:t>
      </w:r>
      <w:r w:rsidR="00A828F2" w:rsidRPr="009A7F2D">
        <w:rPr>
          <w:rFonts w:ascii="Times" w:hAnsi="Times"/>
          <w:szCs w:val="24"/>
        </w:rPr>
        <w:t>0.</w:t>
      </w:r>
      <w:r w:rsidR="003D08CC" w:rsidRPr="009A7F2D">
        <w:rPr>
          <w:rFonts w:ascii="Times" w:hAnsi="Times"/>
          <w:szCs w:val="24"/>
        </w:rPr>
        <w:t>2</w:t>
      </w:r>
      <w:r w:rsidR="005521C9" w:rsidRPr="009A7F2D">
        <w:rPr>
          <w:rFonts w:ascii="Times" w:hAnsi="Times"/>
          <w:szCs w:val="24"/>
        </w:rPr>
        <w:t xml:space="preserve"> per cent</w:t>
      </w:r>
      <w:r w:rsidR="003D08CC" w:rsidRPr="009A7F2D">
        <w:rPr>
          <w:rFonts w:ascii="Times" w:hAnsi="Times"/>
          <w:szCs w:val="24"/>
        </w:rPr>
        <w:t xml:space="preserve"> growth</w:t>
      </w:r>
      <w:r w:rsidR="00A828F2" w:rsidRPr="009A7F2D">
        <w:rPr>
          <w:rFonts w:ascii="Times" w:hAnsi="Times"/>
          <w:szCs w:val="24"/>
        </w:rPr>
        <w:t xml:space="preserve"> rate. After registering -0.8</w:t>
      </w:r>
      <w:r w:rsidR="002D69A1" w:rsidRPr="009A7F2D">
        <w:rPr>
          <w:rFonts w:ascii="Times" w:hAnsi="Times"/>
          <w:szCs w:val="24"/>
        </w:rPr>
        <w:t xml:space="preserve"> per cent</w:t>
      </w:r>
      <w:r w:rsidR="00A828F2" w:rsidRPr="009A7F2D">
        <w:rPr>
          <w:rFonts w:ascii="Times" w:hAnsi="Times"/>
          <w:szCs w:val="24"/>
        </w:rPr>
        <w:t xml:space="preserve"> and -1.4</w:t>
      </w:r>
      <w:r w:rsidR="002D69A1" w:rsidRPr="009A7F2D">
        <w:rPr>
          <w:rFonts w:ascii="Times" w:hAnsi="Times"/>
          <w:szCs w:val="24"/>
        </w:rPr>
        <w:t xml:space="preserve"> per cent</w:t>
      </w:r>
      <w:r w:rsidR="00A828F2" w:rsidRPr="009A7F2D">
        <w:rPr>
          <w:rFonts w:ascii="Times" w:hAnsi="Times"/>
          <w:szCs w:val="24"/>
        </w:rPr>
        <w:t xml:space="preserve"> growth rates in the last two quarters of 2019, the economy </w:t>
      </w:r>
      <w:r w:rsidR="008A54A0" w:rsidRPr="009A7F2D">
        <w:rPr>
          <w:rFonts w:ascii="Times" w:hAnsi="Times"/>
          <w:szCs w:val="24"/>
        </w:rPr>
        <w:t xml:space="preserve">had </w:t>
      </w:r>
      <w:r w:rsidR="00325542" w:rsidRPr="009A7F2D">
        <w:rPr>
          <w:rFonts w:ascii="Times" w:hAnsi="Times"/>
          <w:szCs w:val="24"/>
        </w:rPr>
        <w:t xml:space="preserve">effectively </w:t>
      </w:r>
      <w:r w:rsidR="008A54A0" w:rsidRPr="009A7F2D">
        <w:rPr>
          <w:rFonts w:ascii="Times" w:hAnsi="Times"/>
          <w:szCs w:val="24"/>
        </w:rPr>
        <w:t xml:space="preserve">slipped into a </w:t>
      </w:r>
      <w:r w:rsidR="00A828F2" w:rsidRPr="009A7F2D">
        <w:rPr>
          <w:rFonts w:ascii="Times" w:hAnsi="Times"/>
          <w:szCs w:val="24"/>
        </w:rPr>
        <w:t>technical recession</w:t>
      </w:r>
      <w:r w:rsidR="008A54A0" w:rsidRPr="009A7F2D">
        <w:rPr>
          <w:rFonts w:ascii="Times" w:hAnsi="Times"/>
          <w:szCs w:val="24"/>
        </w:rPr>
        <w:t xml:space="preserve">. </w:t>
      </w:r>
      <w:r w:rsidR="00325542" w:rsidRPr="009A7F2D">
        <w:rPr>
          <w:rFonts w:ascii="Times" w:hAnsi="Times"/>
          <w:szCs w:val="24"/>
        </w:rPr>
        <w:t>This p</w:t>
      </w:r>
      <w:r w:rsidR="00813BF7" w:rsidRPr="009A7F2D">
        <w:rPr>
          <w:rFonts w:ascii="Times" w:hAnsi="Times"/>
          <w:szCs w:val="24"/>
        </w:rPr>
        <w:t xml:space="preserve">oor growth </w:t>
      </w:r>
      <w:r w:rsidR="00325542" w:rsidRPr="009A7F2D">
        <w:rPr>
          <w:rFonts w:ascii="Times" w:hAnsi="Times"/>
          <w:szCs w:val="24"/>
        </w:rPr>
        <w:t xml:space="preserve">trajectory </w:t>
      </w:r>
      <w:r w:rsidR="00813BF7" w:rsidRPr="009A7F2D">
        <w:rPr>
          <w:rFonts w:ascii="Times" w:hAnsi="Times"/>
          <w:szCs w:val="24"/>
        </w:rPr>
        <w:t>has pushed</w:t>
      </w:r>
      <w:r w:rsidR="008A54A0" w:rsidRPr="009A7F2D">
        <w:rPr>
          <w:rFonts w:ascii="Times" w:hAnsi="Times"/>
          <w:szCs w:val="24"/>
        </w:rPr>
        <w:t xml:space="preserve"> more South Africans into poverty </w:t>
      </w:r>
      <w:r w:rsidR="00813BF7" w:rsidRPr="009A7F2D">
        <w:rPr>
          <w:rFonts w:ascii="Times" w:hAnsi="Times"/>
          <w:szCs w:val="24"/>
        </w:rPr>
        <w:t>and unemployment</w:t>
      </w:r>
      <w:r w:rsidR="00325542" w:rsidRPr="009A7F2D">
        <w:rPr>
          <w:rFonts w:ascii="Times" w:hAnsi="Times"/>
          <w:szCs w:val="24"/>
        </w:rPr>
        <w:t xml:space="preserve"> and lowered the value of their average incomes</w:t>
      </w:r>
      <w:r w:rsidR="00813BF7" w:rsidRPr="009A7F2D">
        <w:rPr>
          <w:rFonts w:ascii="Times" w:hAnsi="Times"/>
          <w:szCs w:val="24"/>
        </w:rPr>
        <w:t>. T</w:t>
      </w:r>
      <w:r w:rsidR="004E523D" w:rsidRPr="009A7F2D">
        <w:rPr>
          <w:rFonts w:ascii="Times" w:hAnsi="Times"/>
          <w:szCs w:val="24"/>
        </w:rPr>
        <w:t xml:space="preserve">he </w:t>
      </w:r>
      <w:r w:rsidR="00A828F2" w:rsidRPr="009A7F2D">
        <w:rPr>
          <w:rFonts w:ascii="Times" w:hAnsi="Times"/>
          <w:szCs w:val="24"/>
        </w:rPr>
        <w:t>income</w:t>
      </w:r>
      <w:r w:rsidR="00324DC4">
        <w:rPr>
          <w:rFonts w:ascii="Times" w:hAnsi="Times"/>
          <w:szCs w:val="24"/>
        </w:rPr>
        <w:t>s</w:t>
      </w:r>
      <w:r w:rsidR="00A828F2" w:rsidRPr="009A7F2D">
        <w:rPr>
          <w:rFonts w:ascii="Times" w:hAnsi="Times"/>
          <w:szCs w:val="24"/>
        </w:rPr>
        <w:t xml:space="preserve"> available </w:t>
      </w:r>
      <w:r w:rsidR="00813BF7" w:rsidRPr="009A7F2D">
        <w:rPr>
          <w:rFonts w:ascii="Times" w:hAnsi="Times"/>
          <w:szCs w:val="24"/>
        </w:rPr>
        <w:t xml:space="preserve">for households </w:t>
      </w:r>
      <w:r w:rsidR="00A828F2" w:rsidRPr="009A7F2D">
        <w:rPr>
          <w:rFonts w:ascii="Times" w:hAnsi="Times"/>
          <w:szCs w:val="24"/>
        </w:rPr>
        <w:t xml:space="preserve">to sustain themselves and invest </w:t>
      </w:r>
      <w:r w:rsidR="002D69A1" w:rsidRPr="009A7F2D">
        <w:rPr>
          <w:rFonts w:ascii="Times" w:hAnsi="Times"/>
          <w:szCs w:val="24"/>
        </w:rPr>
        <w:t>i</w:t>
      </w:r>
      <w:r w:rsidR="004E523D" w:rsidRPr="009A7F2D">
        <w:rPr>
          <w:rFonts w:ascii="Times" w:hAnsi="Times"/>
          <w:szCs w:val="24"/>
        </w:rPr>
        <w:t>n</w:t>
      </w:r>
      <w:r w:rsidR="00A828F2" w:rsidRPr="009A7F2D">
        <w:rPr>
          <w:rFonts w:ascii="Times" w:hAnsi="Times"/>
          <w:szCs w:val="24"/>
        </w:rPr>
        <w:t xml:space="preserve"> the</w:t>
      </w:r>
      <w:r w:rsidR="008A54A0" w:rsidRPr="009A7F2D">
        <w:rPr>
          <w:rFonts w:ascii="Times" w:hAnsi="Times"/>
          <w:szCs w:val="24"/>
        </w:rPr>
        <w:t>ir</w:t>
      </w:r>
      <w:r w:rsidR="00A828F2" w:rsidRPr="009A7F2D">
        <w:rPr>
          <w:rFonts w:ascii="Times" w:hAnsi="Times"/>
          <w:szCs w:val="24"/>
        </w:rPr>
        <w:t xml:space="preserve"> future </w:t>
      </w:r>
      <w:r w:rsidR="00325542" w:rsidRPr="009A7F2D">
        <w:rPr>
          <w:rFonts w:ascii="Times" w:hAnsi="Times"/>
          <w:szCs w:val="24"/>
        </w:rPr>
        <w:t>has</w:t>
      </w:r>
      <w:r w:rsidR="00813BF7" w:rsidRPr="009A7F2D">
        <w:rPr>
          <w:rFonts w:ascii="Times" w:hAnsi="Times"/>
          <w:szCs w:val="24"/>
        </w:rPr>
        <w:t xml:space="preserve"> </w:t>
      </w:r>
      <w:r w:rsidR="008A54A0" w:rsidRPr="009A7F2D">
        <w:rPr>
          <w:rFonts w:ascii="Times" w:hAnsi="Times"/>
          <w:szCs w:val="24"/>
        </w:rPr>
        <w:t>diminish</w:t>
      </w:r>
      <w:r w:rsidR="00325542" w:rsidRPr="009A7F2D">
        <w:rPr>
          <w:rFonts w:ascii="Times" w:hAnsi="Times"/>
          <w:szCs w:val="24"/>
        </w:rPr>
        <w:t>ed</w:t>
      </w:r>
      <w:r w:rsidR="008A54A0" w:rsidRPr="009A7F2D">
        <w:rPr>
          <w:rFonts w:ascii="Times" w:hAnsi="Times"/>
          <w:szCs w:val="24"/>
        </w:rPr>
        <w:t xml:space="preserve"> at an accelerated </w:t>
      </w:r>
      <w:r w:rsidR="004E523D" w:rsidRPr="009A7F2D">
        <w:rPr>
          <w:rFonts w:ascii="Times" w:hAnsi="Times"/>
          <w:szCs w:val="24"/>
        </w:rPr>
        <w:t>pace</w:t>
      </w:r>
      <w:r w:rsidR="00A828F2" w:rsidRPr="009A7F2D">
        <w:rPr>
          <w:rFonts w:ascii="Times" w:hAnsi="Times"/>
          <w:szCs w:val="24"/>
        </w:rPr>
        <w:t>.</w:t>
      </w:r>
    </w:p>
    <w:p w14:paraId="26D8821E" w14:textId="77777777" w:rsidR="009067EC" w:rsidRPr="00471832" w:rsidRDefault="009067EC" w:rsidP="00471832">
      <w:pPr>
        <w:rPr>
          <w:rFonts w:ascii="Times" w:hAnsi="Times"/>
          <w:szCs w:val="24"/>
        </w:rPr>
      </w:pPr>
    </w:p>
    <w:p w14:paraId="5B0491C3" w14:textId="145F623D" w:rsidR="009067EC" w:rsidRPr="009A7F2D" w:rsidRDefault="004E523D" w:rsidP="009A7F2D">
      <w:pPr>
        <w:rPr>
          <w:szCs w:val="24"/>
        </w:rPr>
      </w:pPr>
      <w:r w:rsidRPr="009A7F2D">
        <w:rPr>
          <w:rFonts w:ascii="Times" w:hAnsi="Times"/>
          <w:szCs w:val="24"/>
        </w:rPr>
        <w:t xml:space="preserve">The events post the 2020 February budget </w:t>
      </w:r>
      <w:r w:rsidR="00325542" w:rsidRPr="009A7F2D">
        <w:rPr>
          <w:rFonts w:ascii="Times" w:hAnsi="Times"/>
          <w:szCs w:val="24"/>
        </w:rPr>
        <w:t xml:space="preserve">have </w:t>
      </w:r>
      <w:r w:rsidR="00324DC4">
        <w:rPr>
          <w:rFonts w:ascii="Times" w:hAnsi="Times"/>
          <w:szCs w:val="24"/>
        </w:rPr>
        <w:t>already mad</w:t>
      </w:r>
      <w:r w:rsidRPr="009A7F2D">
        <w:rPr>
          <w:rFonts w:ascii="Times" w:hAnsi="Times"/>
          <w:szCs w:val="24"/>
        </w:rPr>
        <w:t>e 2020 one of the most difficult year</w:t>
      </w:r>
      <w:r w:rsidR="002D69A1" w:rsidRPr="009A7F2D">
        <w:rPr>
          <w:rFonts w:ascii="Times" w:hAnsi="Times"/>
          <w:szCs w:val="24"/>
        </w:rPr>
        <w:t>s</w:t>
      </w:r>
      <w:r w:rsidRPr="009A7F2D">
        <w:rPr>
          <w:rFonts w:ascii="Times" w:hAnsi="Times"/>
          <w:szCs w:val="24"/>
        </w:rPr>
        <w:t xml:space="preserve"> in </w:t>
      </w:r>
      <w:r w:rsidR="00F05C72" w:rsidRPr="009A7F2D">
        <w:rPr>
          <w:rFonts w:ascii="Times" w:hAnsi="Times"/>
          <w:szCs w:val="24"/>
        </w:rPr>
        <w:t>South Africa</w:t>
      </w:r>
      <w:r w:rsidRPr="009A7F2D">
        <w:rPr>
          <w:rFonts w:ascii="Times" w:hAnsi="Times"/>
          <w:szCs w:val="24"/>
        </w:rPr>
        <w:t xml:space="preserve">’s </w:t>
      </w:r>
      <w:r w:rsidR="00325542" w:rsidRPr="009A7F2D">
        <w:rPr>
          <w:rFonts w:ascii="Times" w:hAnsi="Times"/>
          <w:szCs w:val="24"/>
        </w:rPr>
        <w:t xml:space="preserve">recent </w:t>
      </w:r>
      <w:r w:rsidRPr="009A7F2D">
        <w:rPr>
          <w:rFonts w:ascii="Times" w:hAnsi="Times"/>
          <w:szCs w:val="24"/>
        </w:rPr>
        <w:t xml:space="preserve">economic history. </w:t>
      </w:r>
      <w:r w:rsidR="00A055B9" w:rsidRPr="009A7F2D">
        <w:rPr>
          <w:rFonts w:ascii="Times" w:hAnsi="Times"/>
          <w:szCs w:val="24"/>
        </w:rPr>
        <w:t>First, the economy has suffered immense setbacks as a result of the Covid-19 pandemic. O</w:t>
      </w:r>
      <w:r w:rsidR="00742DD0" w:rsidRPr="009A7F2D">
        <w:rPr>
          <w:rFonts w:ascii="Times" w:hAnsi="Times"/>
          <w:szCs w:val="24"/>
        </w:rPr>
        <w:t>n</w:t>
      </w:r>
      <w:r w:rsidR="00742DD0" w:rsidRPr="009A7F2D">
        <w:rPr>
          <w:rFonts w:ascii="Times" w:hAnsi="Times"/>
          <w:spacing w:val="3"/>
          <w:szCs w:val="24"/>
          <w:shd w:val="clear" w:color="auto" w:fill="FFFFFF"/>
        </w:rPr>
        <w:t xml:space="preserve"> </w:t>
      </w:r>
      <w:r w:rsidR="002D69A1" w:rsidRPr="009A7F2D">
        <w:rPr>
          <w:rFonts w:ascii="Times" w:hAnsi="Times"/>
          <w:spacing w:val="3"/>
          <w:szCs w:val="24"/>
          <w:shd w:val="clear" w:color="auto" w:fill="FFFFFF"/>
        </w:rPr>
        <w:t xml:space="preserve">5 </w:t>
      </w:r>
      <w:r w:rsidR="00742DD0" w:rsidRPr="009A7F2D">
        <w:rPr>
          <w:rFonts w:ascii="Times" w:hAnsi="Times"/>
          <w:spacing w:val="3"/>
          <w:szCs w:val="24"/>
          <w:shd w:val="clear" w:color="auto" w:fill="FFFFFF"/>
        </w:rPr>
        <w:t xml:space="preserve">March 2020, the </w:t>
      </w:r>
      <w:r w:rsidR="00742DD0" w:rsidRPr="009A7F2D">
        <w:rPr>
          <w:rFonts w:ascii="Times" w:hAnsi="Times" w:cs="Arial"/>
          <w:color w:val="222222"/>
          <w:szCs w:val="24"/>
          <w:shd w:val="clear" w:color="auto" w:fill="FFFFFF"/>
        </w:rPr>
        <w:t>pandemic reached the shores of South Africa</w:t>
      </w:r>
      <w:r w:rsidR="00325542" w:rsidRPr="009A7F2D">
        <w:rPr>
          <w:rFonts w:ascii="Times" w:hAnsi="Times" w:cs="Arial"/>
          <w:color w:val="222222"/>
          <w:szCs w:val="24"/>
          <w:shd w:val="clear" w:color="auto" w:fill="FFFFFF"/>
        </w:rPr>
        <w:t xml:space="preserve"> and forced most economic activities to a standstill. </w:t>
      </w:r>
      <w:r w:rsidR="00742DD0" w:rsidRPr="009A7F2D">
        <w:rPr>
          <w:rFonts w:ascii="Times" w:hAnsi="Times"/>
          <w:spacing w:val="3"/>
          <w:szCs w:val="24"/>
          <w:shd w:val="clear" w:color="auto" w:fill="FFFFFF"/>
        </w:rPr>
        <w:t xml:space="preserve">Almost three weeks </w:t>
      </w:r>
      <w:r w:rsidR="00924280" w:rsidRPr="009A7F2D">
        <w:rPr>
          <w:rFonts w:ascii="Times" w:hAnsi="Times"/>
          <w:spacing w:val="3"/>
          <w:szCs w:val="24"/>
          <w:shd w:val="clear" w:color="auto" w:fill="FFFFFF"/>
        </w:rPr>
        <w:t>after the first case of the coronavirus was identified,</w:t>
      </w:r>
      <w:r w:rsidR="00742DD0" w:rsidRPr="009A7F2D">
        <w:rPr>
          <w:rFonts w:ascii="Times" w:hAnsi="Times"/>
          <w:spacing w:val="3"/>
          <w:szCs w:val="24"/>
          <w:shd w:val="clear" w:color="auto" w:fill="FFFFFF"/>
        </w:rPr>
        <w:t xml:space="preserve"> a national state of disaster was declared</w:t>
      </w:r>
      <w:r w:rsidR="00A30FA8" w:rsidRPr="009A7F2D">
        <w:rPr>
          <w:rFonts w:ascii="Times" w:hAnsi="Times"/>
          <w:spacing w:val="3"/>
          <w:szCs w:val="24"/>
          <w:shd w:val="clear" w:color="auto" w:fill="FFFFFF"/>
        </w:rPr>
        <w:t xml:space="preserve"> on</w:t>
      </w:r>
      <w:r w:rsidR="00A30FA8" w:rsidRPr="009A7F2D">
        <w:rPr>
          <w:rFonts w:ascii="Times" w:hAnsi="Times" w:cs="Arial"/>
          <w:szCs w:val="24"/>
          <w:shd w:val="clear" w:color="auto" w:fill="FFFFFF"/>
        </w:rPr>
        <w:t xml:space="preserve"> 23 March 2020</w:t>
      </w:r>
      <w:r w:rsidR="00A30FA8" w:rsidRPr="009A7F2D">
        <w:rPr>
          <w:rFonts w:ascii="Times" w:hAnsi="Times"/>
          <w:spacing w:val="3"/>
          <w:szCs w:val="24"/>
          <w:shd w:val="clear" w:color="auto" w:fill="FFFFFF"/>
        </w:rPr>
        <w:t>. This was</w:t>
      </w:r>
      <w:r w:rsidR="00924280" w:rsidRPr="009A7F2D">
        <w:rPr>
          <w:rFonts w:ascii="Times" w:hAnsi="Times"/>
          <w:spacing w:val="3"/>
          <w:szCs w:val="24"/>
          <w:shd w:val="clear" w:color="auto" w:fill="FFFFFF"/>
        </w:rPr>
        <w:t xml:space="preserve"> </w:t>
      </w:r>
      <w:r w:rsidR="00742DD0" w:rsidRPr="009A7F2D">
        <w:rPr>
          <w:rFonts w:ascii="Times" w:hAnsi="Times"/>
          <w:spacing w:val="3"/>
          <w:szCs w:val="24"/>
          <w:shd w:val="clear" w:color="auto" w:fill="FFFFFF"/>
        </w:rPr>
        <w:t xml:space="preserve">followed </w:t>
      </w:r>
      <w:r w:rsidR="00924280" w:rsidRPr="009A7F2D">
        <w:rPr>
          <w:rFonts w:ascii="Times" w:hAnsi="Times"/>
          <w:spacing w:val="3"/>
          <w:szCs w:val="24"/>
          <w:shd w:val="clear" w:color="auto" w:fill="FFFFFF"/>
        </w:rPr>
        <w:t>three days later</w:t>
      </w:r>
      <w:r w:rsidR="00A30FA8" w:rsidRPr="009A7F2D">
        <w:rPr>
          <w:rFonts w:ascii="Times" w:hAnsi="Times"/>
          <w:spacing w:val="3"/>
          <w:szCs w:val="24"/>
          <w:shd w:val="clear" w:color="auto" w:fill="FFFFFF"/>
        </w:rPr>
        <w:t>,</w:t>
      </w:r>
      <w:r w:rsidR="00924280" w:rsidRPr="009A7F2D">
        <w:rPr>
          <w:rFonts w:ascii="Times" w:hAnsi="Times" w:cs="Arial"/>
          <w:szCs w:val="24"/>
          <w:shd w:val="clear" w:color="auto" w:fill="FFFFFF"/>
        </w:rPr>
        <w:t xml:space="preserve"> on 26 </w:t>
      </w:r>
      <w:r w:rsidR="00924280" w:rsidRPr="00F729D4">
        <w:rPr>
          <w:rFonts w:ascii="Times" w:hAnsi="Times" w:cs="Arial"/>
          <w:szCs w:val="24"/>
          <w:shd w:val="clear" w:color="auto" w:fill="FFFFFF"/>
        </w:rPr>
        <w:t>March 2020</w:t>
      </w:r>
      <w:r w:rsidR="00A30FA8" w:rsidRPr="00F729D4">
        <w:rPr>
          <w:rFonts w:ascii="Times" w:hAnsi="Times" w:cs="Arial"/>
          <w:szCs w:val="24"/>
          <w:shd w:val="clear" w:color="auto" w:fill="FFFFFF"/>
        </w:rPr>
        <w:t>,</w:t>
      </w:r>
      <w:r w:rsidR="00924280" w:rsidRPr="00F729D4">
        <w:rPr>
          <w:rFonts w:ascii="Times" w:hAnsi="Times" w:cs="Arial"/>
          <w:szCs w:val="24"/>
          <w:shd w:val="clear" w:color="auto" w:fill="FFFFFF"/>
        </w:rPr>
        <w:t xml:space="preserve"> </w:t>
      </w:r>
      <w:r w:rsidR="00742DD0" w:rsidRPr="00F729D4">
        <w:rPr>
          <w:rFonts w:ascii="Times" w:hAnsi="Times"/>
          <w:spacing w:val="3"/>
          <w:szCs w:val="24"/>
          <w:shd w:val="clear" w:color="auto" w:fill="FFFFFF"/>
        </w:rPr>
        <w:t xml:space="preserve">by a </w:t>
      </w:r>
      <w:r w:rsidR="00742DD0" w:rsidRPr="00BB7F14">
        <w:rPr>
          <w:spacing w:val="3"/>
          <w:szCs w:val="24"/>
          <w:shd w:val="clear" w:color="auto" w:fill="FFFFFF"/>
        </w:rPr>
        <w:t xml:space="preserve">national lockdown to contain the spread of the virus and flatten the </w:t>
      </w:r>
      <w:r w:rsidR="00742DD0" w:rsidRPr="00BB7F14">
        <w:rPr>
          <w:color w:val="333333"/>
          <w:szCs w:val="24"/>
        </w:rPr>
        <w:t>epidemic curve</w:t>
      </w:r>
      <w:r w:rsidR="00742DD0" w:rsidRPr="00BB7F14">
        <w:rPr>
          <w:spacing w:val="3"/>
          <w:szCs w:val="24"/>
          <w:shd w:val="clear" w:color="auto" w:fill="FFFFFF"/>
        </w:rPr>
        <w:t xml:space="preserve">. </w:t>
      </w:r>
      <w:r w:rsidR="00122C44" w:rsidRPr="00BB7F14">
        <w:rPr>
          <w:szCs w:val="24"/>
          <w:shd w:val="clear" w:color="auto" w:fill="FFFFFF"/>
        </w:rPr>
        <w:t xml:space="preserve">As of </w:t>
      </w:r>
      <w:r w:rsidR="00BB7F14" w:rsidRPr="00BB7F14">
        <w:rPr>
          <w:szCs w:val="24"/>
          <w:shd w:val="clear" w:color="auto" w:fill="FFFFFF"/>
        </w:rPr>
        <w:t>2 June</w:t>
      </w:r>
      <w:r w:rsidR="00742DD0" w:rsidRPr="00BB7F14">
        <w:rPr>
          <w:szCs w:val="24"/>
          <w:shd w:val="clear" w:color="auto" w:fill="FFFFFF"/>
        </w:rPr>
        <w:t xml:space="preserve"> 2020, South Af</w:t>
      </w:r>
      <w:r w:rsidR="00F729D4" w:rsidRPr="00BB7F14">
        <w:rPr>
          <w:szCs w:val="24"/>
          <w:shd w:val="clear" w:color="auto" w:fill="FFFFFF"/>
        </w:rPr>
        <w:t xml:space="preserve">rica had </w:t>
      </w:r>
      <w:r w:rsidR="00BB7F14" w:rsidRPr="00BB7F14">
        <w:rPr>
          <w:color w:val="000000"/>
          <w:shd w:val="clear" w:color="auto" w:fill="FFFFFF"/>
        </w:rPr>
        <w:t xml:space="preserve">35 812 </w:t>
      </w:r>
      <w:r w:rsidR="00122C44" w:rsidRPr="00BB7F14">
        <w:rPr>
          <w:szCs w:val="24"/>
          <w:shd w:val="clear" w:color="auto" w:fill="FFFFFF"/>
        </w:rPr>
        <w:t xml:space="preserve">confirmed cases and </w:t>
      </w:r>
      <w:r w:rsidR="00BB7F14" w:rsidRPr="00BB7F14">
        <w:rPr>
          <w:color w:val="000000"/>
          <w:shd w:val="clear" w:color="auto" w:fill="FFFFFF"/>
        </w:rPr>
        <w:t>755</w:t>
      </w:r>
      <w:r w:rsidR="00742DD0" w:rsidRPr="00BB7F14">
        <w:rPr>
          <w:szCs w:val="24"/>
          <w:shd w:val="clear" w:color="auto" w:fill="FFFFFF"/>
        </w:rPr>
        <w:t> </w:t>
      </w:r>
      <w:r w:rsidR="00A055B9" w:rsidRPr="00BB7F14">
        <w:rPr>
          <w:rStyle w:val="Emphasis"/>
          <w:bCs/>
          <w:i w:val="0"/>
          <w:szCs w:val="24"/>
          <w:shd w:val="clear" w:color="auto" w:fill="FFFFFF"/>
        </w:rPr>
        <w:t>Covid</w:t>
      </w:r>
      <w:r w:rsidR="00A055B9" w:rsidRPr="00BB7F14">
        <w:rPr>
          <w:i/>
          <w:szCs w:val="24"/>
          <w:shd w:val="clear" w:color="auto" w:fill="FFFFFF"/>
        </w:rPr>
        <w:t>-</w:t>
      </w:r>
      <w:r w:rsidR="00A055B9" w:rsidRPr="00BB7F14">
        <w:rPr>
          <w:rStyle w:val="Emphasis"/>
          <w:bCs/>
          <w:i w:val="0"/>
          <w:szCs w:val="24"/>
          <w:shd w:val="clear" w:color="auto" w:fill="FFFFFF"/>
        </w:rPr>
        <w:t>19</w:t>
      </w:r>
      <w:r w:rsidR="00A055B9" w:rsidRPr="00BB7F14">
        <w:rPr>
          <w:szCs w:val="24"/>
          <w:shd w:val="clear" w:color="auto" w:fill="FFFFFF"/>
        </w:rPr>
        <w:t> </w:t>
      </w:r>
      <w:r w:rsidR="00924280" w:rsidRPr="00BB7F14">
        <w:rPr>
          <w:szCs w:val="24"/>
          <w:shd w:val="clear" w:color="auto" w:fill="FFFFFF"/>
        </w:rPr>
        <w:t>related deaths, and</w:t>
      </w:r>
      <w:r w:rsidR="002D1A25" w:rsidRPr="00BB7F14">
        <w:rPr>
          <w:szCs w:val="24"/>
          <w:shd w:val="clear" w:color="auto" w:fill="FFFFFF"/>
        </w:rPr>
        <w:t xml:space="preserve"> the coronavirus </w:t>
      </w:r>
      <w:r w:rsidR="00335C5D" w:rsidRPr="00BB7F14">
        <w:rPr>
          <w:szCs w:val="24"/>
          <w:shd w:val="clear" w:color="auto" w:fill="FFFFFF"/>
        </w:rPr>
        <w:t>continues to</w:t>
      </w:r>
      <w:r w:rsidR="002D1A25" w:rsidRPr="00BB7F14">
        <w:rPr>
          <w:szCs w:val="24"/>
          <w:shd w:val="clear" w:color="auto" w:fill="FFFFFF"/>
        </w:rPr>
        <w:t xml:space="preserve"> spread</w:t>
      </w:r>
      <w:r w:rsidR="00924280" w:rsidRPr="00BB7F14">
        <w:rPr>
          <w:szCs w:val="24"/>
          <w:shd w:val="clear" w:color="auto" w:fill="FFFFFF"/>
        </w:rPr>
        <w:t xml:space="preserve"> relentlessly.</w:t>
      </w:r>
    </w:p>
    <w:p w14:paraId="5958D003" w14:textId="77777777" w:rsidR="009067EC" w:rsidRPr="00471832" w:rsidRDefault="009067EC" w:rsidP="009A7F2D">
      <w:pPr>
        <w:rPr>
          <w:rFonts w:ascii="Times" w:hAnsi="Times"/>
          <w:szCs w:val="24"/>
        </w:rPr>
      </w:pPr>
    </w:p>
    <w:p w14:paraId="675AEEF8" w14:textId="77777777" w:rsidR="00FF4A46" w:rsidRDefault="00813BF7" w:rsidP="009A7F2D">
      <w:pPr>
        <w:rPr>
          <w:rFonts w:ascii="Times" w:hAnsi="Times"/>
          <w:szCs w:val="24"/>
        </w:rPr>
      </w:pPr>
      <w:r w:rsidRPr="009A7F2D">
        <w:rPr>
          <w:rFonts w:ascii="Times" w:hAnsi="Times"/>
          <w:szCs w:val="24"/>
        </w:rPr>
        <w:t>Second</w:t>
      </w:r>
      <w:r w:rsidR="00A055B9" w:rsidRPr="009A7F2D">
        <w:rPr>
          <w:rFonts w:ascii="Times" w:hAnsi="Times"/>
          <w:szCs w:val="24"/>
        </w:rPr>
        <w:t>, a</w:t>
      </w:r>
      <w:r w:rsidR="0008168B" w:rsidRPr="009A7F2D">
        <w:rPr>
          <w:rFonts w:ascii="Times" w:hAnsi="Times"/>
          <w:szCs w:val="24"/>
        </w:rPr>
        <w:t>t the same time as</w:t>
      </w:r>
      <w:r w:rsidR="00A055B9" w:rsidRPr="009A7F2D">
        <w:rPr>
          <w:rFonts w:ascii="Times" w:hAnsi="Times"/>
          <w:szCs w:val="24"/>
        </w:rPr>
        <w:t xml:space="preserve"> the country was </w:t>
      </w:r>
      <w:r w:rsidR="0008168B" w:rsidRPr="009A7F2D">
        <w:rPr>
          <w:rFonts w:ascii="Times" w:hAnsi="Times"/>
          <w:szCs w:val="24"/>
          <w:shd w:val="clear" w:color="auto" w:fill="FFFFFF"/>
        </w:rPr>
        <w:t>attempting to</w:t>
      </w:r>
      <w:r w:rsidR="00A055B9" w:rsidRPr="009A7F2D">
        <w:rPr>
          <w:rFonts w:ascii="Times" w:hAnsi="Times"/>
          <w:szCs w:val="24"/>
          <w:shd w:val="clear" w:color="auto" w:fill="FFFFFF"/>
        </w:rPr>
        <w:t xml:space="preserve"> </w:t>
      </w:r>
      <w:r w:rsidR="001F5DE2" w:rsidRPr="009A7F2D">
        <w:rPr>
          <w:rFonts w:ascii="Times" w:hAnsi="Times"/>
          <w:szCs w:val="24"/>
          <w:shd w:val="clear" w:color="auto" w:fill="FFFFFF"/>
        </w:rPr>
        <w:t>contain</w:t>
      </w:r>
      <w:r w:rsidR="00A055B9" w:rsidRPr="009A7F2D">
        <w:rPr>
          <w:rFonts w:ascii="Times" w:hAnsi="Times"/>
          <w:szCs w:val="24"/>
          <w:shd w:val="clear" w:color="auto" w:fill="FFFFFF"/>
        </w:rPr>
        <w:t xml:space="preserve"> the </w:t>
      </w:r>
      <w:r w:rsidRPr="009A7F2D">
        <w:rPr>
          <w:rFonts w:ascii="Times" w:hAnsi="Times"/>
          <w:szCs w:val="24"/>
          <w:shd w:val="clear" w:color="auto" w:fill="FFFFFF"/>
        </w:rPr>
        <w:t>spread of</w:t>
      </w:r>
      <w:r w:rsidR="00A055B9" w:rsidRPr="009A7F2D">
        <w:rPr>
          <w:rFonts w:ascii="Times" w:hAnsi="Times"/>
          <w:szCs w:val="24"/>
          <w:shd w:val="clear" w:color="auto" w:fill="FFFFFF"/>
        </w:rPr>
        <w:t xml:space="preserve"> Covid-19, Moody’s downgraded </w:t>
      </w:r>
      <w:r w:rsidR="001F5DE2" w:rsidRPr="009A7F2D">
        <w:rPr>
          <w:rFonts w:ascii="Times" w:hAnsi="Times"/>
          <w:szCs w:val="24"/>
          <w:lang w:val="en-GB" w:eastAsia="en-GB"/>
        </w:rPr>
        <w:t xml:space="preserve">South Africa’s sovereign debt rating to junk status </w:t>
      </w:r>
      <w:r w:rsidRPr="009A7F2D">
        <w:rPr>
          <w:rFonts w:ascii="Times" w:hAnsi="Times"/>
          <w:szCs w:val="24"/>
        </w:rPr>
        <w:t>on 27</w:t>
      </w:r>
      <w:r w:rsidR="00A055B9" w:rsidRPr="009A7F2D">
        <w:rPr>
          <w:rFonts w:ascii="Times" w:hAnsi="Times"/>
          <w:szCs w:val="24"/>
        </w:rPr>
        <w:t xml:space="preserve"> March 2020.</w:t>
      </w:r>
      <w:r w:rsidR="001F5DE2" w:rsidRPr="009A7F2D">
        <w:rPr>
          <w:rFonts w:ascii="Times" w:hAnsi="Times"/>
          <w:szCs w:val="24"/>
        </w:rPr>
        <w:t xml:space="preserve"> </w:t>
      </w:r>
      <w:r w:rsidR="00742DD0" w:rsidRPr="009A7F2D">
        <w:rPr>
          <w:rFonts w:ascii="Times" w:hAnsi="Times"/>
          <w:szCs w:val="24"/>
        </w:rPr>
        <w:t xml:space="preserve">The </w:t>
      </w:r>
      <w:r w:rsidR="001F5DE2" w:rsidRPr="009A7F2D">
        <w:rPr>
          <w:rFonts w:ascii="Times" w:hAnsi="Times"/>
          <w:szCs w:val="24"/>
        </w:rPr>
        <w:t>cost of losing the last investment grade rating, coupled with</w:t>
      </w:r>
      <w:r w:rsidR="00335C5D">
        <w:rPr>
          <w:rFonts w:ascii="Times" w:hAnsi="Times"/>
          <w:szCs w:val="24"/>
        </w:rPr>
        <w:t xml:space="preserve"> the</w:t>
      </w:r>
      <w:r w:rsidR="001F5DE2" w:rsidRPr="009A7F2D">
        <w:rPr>
          <w:rFonts w:ascii="Times" w:hAnsi="Times"/>
          <w:szCs w:val="24"/>
        </w:rPr>
        <w:t xml:space="preserve"> Covid-19 pandemic </w:t>
      </w:r>
      <w:r w:rsidRPr="009A7F2D">
        <w:rPr>
          <w:rFonts w:ascii="Times" w:hAnsi="Times"/>
          <w:szCs w:val="24"/>
        </w:rPr>
        <w:t xml:space="preserve">have weighed down all prospects for a </w:t>
      </w:r>
      <w:r w:rsidR="0008168B" w:rsidRPr="009A7F2D">
        <w:rPr>
          <w:rFonts w:ascii="Times" w:hAnsi="Times"/>
          <w:szCs w:val="24"/>
        </w:rPr>
        <w:t xml:space="preserve">growth </w:t>
      </w:r>
      <w:r w:rsidRPr="009A7F2D">
        <w:rPr>
          <w:rFonts w:ascii="Times" w:hAnsi="Times"/>
          <w:szCs w:val="24"/>
        </w:rPr>
        <w:t xml:space="preserve">turnaround in 2020. Many growth forecasts are </w:t>
      </w:r>
      <w:r w:rsidR="002D1A25">
        <w:rPr>
          <w:rFonts w:ascii="Times" w:hAnsi="Times"/>
          <w:szCs w:val="24"/>
        </w:rPr>
        <w:t xml:space="preserve">already </w:t>
      </w:r>
      <w:r w:rsidRPr="009A7F2D">
        <w:rPr>
          <w:rFonts w:ascii="Times" w:hAnsi="Times"/>
          <w:szCs w:val="24"/>
        </w:rPr>
        <w:t xml:space="preserve">pointing to a bleak future. </w:t>
      </w:r>
      <w:r w:rsidR="00F05C72" w:rsidRPr="009A7F2D">
        <w:rPr>
          <w:rFonts w:ascii="Times" w:hAnsi="Times"/>
          <w:szCs w:val="24"/>
        </w:rPr>
        <w:t xml:space="preserve">According to </w:t>
      </w:r>
      <w:r w:rsidR="00884982" w:rsidRPr="009A7F2D">
        <w:rPr>
          <w:rFonts w:ascii="Times" w:hAnsi="Times"/>
          <w:szCs w:val="24"/>
        </w:rPr>
        <w:t xml:space="preserve">different forecasts, South Africa’s GDP growth in 2020 </w:t>
      </w:r>
      <w:r w:rsidR="00F05C72" w:rsidRPr="009A7F2D">
        <w:rPr>
          <w:rFonts w:ascii="Times" w:hAnsi="Times"/>
          <w:szCs w:val="24"/>
        </w:rPr>
        <w:t>is</w:t>
      </w:r>
      <w:r w:rsidRPr="009A7F2D">
        <w:rPr>
          <w:rFonts w:ascii="Times" w:hAnsi="Times"/>
          <w:szCs w:val="24"/>
        </w:rPr>
        <w:t xml:space="preserve"> expected</w:t>
      </w:r>
      <w:r w:rsidR="00F05C72" w:rsidRPr="009A7F2D">
        <w:rPr>
          <w:rFonts w:ascii="Times" w:hAnsi="Times"/>
          <w:szCs w:val="24"/>
        </w:rPr>
        <w:t xml:space="preserve"> to </w:t>
      </w:r>
      <w:r w:rsidR="0008168B" w:rsidRPr="009A7F2D">
        <w:rPr>
          <w:rFonts w:ascii="Times" w:hAnsi="Times"/>
          <w:szCs w:val="24"/>
        </w:rPr>
        <w:t>s</w:t>
      </w:r>
      <w:r w:rsidR="00335C5D">
        <w:rPr>
          <w:rFonts w:ascii="Times" w:hAnsi="Times"/>
          <w:szCs w:val="24"/>
        </w:rPr>
        <w:t>l</w:t>
      </w:r>
      <w:r w:rsidR="0008168B" w:rsidRPr="009A7F2D">
        <w:rPr>
          <w:rFonts w:ascii="Times" w:hAnsi="Times"/>
          <w:szCs w:val="24"/>
        </w:rPr>
        <w:t xml:space="preserve">ow down </w:t>
      </w:r>
      <w:r w:rsidR="00F05C72" w:rsidRPr="009A7F2D">
        <w:rPr>
          <w:rFonts w:ascii="Times" w:hAnsi="Times"/>
          <w:szCs w:val="24"/>
        </w:rPr>
        <w:t>significantly</w:t>
      </w:r>
      <w:r w:rsidR="00884982" w:rsidRPr="009A7F2D">
        <w:rPr>
          <w:rFonts w:ascii="Times" w:hAnsi="Times"/>
          <w:szCs w:val="24"/>
        </w:rPr>
        <w:t xml:space="preserve">. Forecasts </w:t>
      </w:r>
      <w:r w:rsidR="0008168B" w:rsidRPr="009A7F2D">
        <w:rPr>
          <w:rFonts w:ascii="Times" w:hAnsi="Times"/>
          <w:szCs w:val="24"/>
        </w:rPr>
        <w:t>to date</w:t>
      </w:r>
      <w:r w:rsidR="00884982" w:rsidRPr="009A7F2D">
        <w:rPr>
          <w:rFonts w:ascii="Times" w:hAnsi="Times"/>
          <w:szCs w:val="24"/>
        </w:rPr>
        <w:t xml:space="preserve"> range from </w:t>
      </w:r>
      <w:r w:rsidR="002D1A25">
        <w:rPr>
          <w:rFonts w:ascii="Times" w:hAnsi="Times"/>
          <w:szCs w:val="24"/>
        </w:rPr>
        <w:t>-</w:t>
      </w:r>
      <w:r w:rsidR="00884982" w:rsidRPr="009A7F2D">
        <w:rPr>
          <w:rFonts w:ascii="Times" w:hAnsi="Times"/>
          <w:szCs w:val="24"/>
        </w:rPr>
        <w:t>5.4 per</w:t>
      </w:r>
      <w:r w:rsidR="0008168B" w:rsidRPr="009A7F2D">
        <w:rPr>
          <w:rFonts w:ascii="Times" w:hAnsi="Times"/>
          <w:szCs w:val="24"/>
        </w:rPr>
        <w:t xml:space="preserve"> </w:t>
      </w:r>
      <w:r w:rsidR="00884982" w:rsidRPr="009A7F2D">
        <w:rPr>
          <w:rFonts w:ascii="Times" w:hAnsi="Times"/>
          <w:szCs w:val="24"/>
        </w:rPr>
        <w:t xml:space="preserve">cent to </w:t>
      </w:r>
      <w:r w:rsidR="002D1A25">
        <w:rPr>
          <w:rFonts w:ascii="Times" w:hAnsi="Times"/>
          <w:szCs w:val="24"/>
        </w:rPr>
        <w:t>-</w:t>
      </w:r>
      <w:r w:rsidR="00884982" w:rsidRPr="009A7F2D">
        <w:rPr>
          <w:rFonts w:ascii="Times" w:hAnsi="Times"/>
          <w:szCs w:val="24"/>
        </w:rPr>
        <w:t>20.4 per</w:t>
      </w:r>
      <w:r w:rsidR="0008168B" w:rsidRPr="009A7F2D">
        <w:rPr>
          <w:rFonts w:ascii="Times" w:hAnsi="Times"/>
          <w:szCs w:val="24"/>
        </w:rPr>
        <w:t xml:space="preserve"> </w:t>
      </w:r>
      <w:r w:rsidR="00884982" w:rsidRPr="009A7F2D">
        <w:rPr>
          <w:rFonts w:ascii="Times" w:hAnsi="Times"/>
          <w:szCs w:val="24"/>
        </w:rPr>
        <w:t>cent (see</w:t>
      </w:r>
      <w:r w:rsidR="00E45380">
        <w:rPr>
          <w:rFonts w:ascii="Times" w:hAnsi="Times"/>
          <w:szCs w:val="24"/>
        </w:rPr>
        <w:t xml:space="preserve"> </w:t>
      </w:r>
      <w:r w:rsidR="00E45380" w:rsidRPr="00E45380">
        <w:rPr>
          <w:rFonts w:ascii="Times" w:hAnsi="Times"/>
          <w:szCs w:val="24"/>
        </w:rPr>
        <w:fldChar w:fldCharType="begin"/>
      </w:r>
      <w:r w:rsidR="00E45380" w:rsidRPr="00E45380">
        <w:rPr>
          <w:rFonts w:ascii="Times" w:hAnsi="Times"/>
          <w:szCs w:val="24"/>
        </w:rPr>
        <w:instrText xml:space="preserve"> REF _Ref40874589 \h </w:instrText>
      </w:r>
      <w:r w:rsidR="00E45380">
        <w:rPr>
          <w:rFonts w:ascii="Times" w:hAnsi="Times"/>
          <w:szCs w:val="24"/>
        </w:rPr>
        <w:instrText xml:space="preserve"> \* MERGEFORMAT </w:instrText>
      </w:r>
      <w:r w:rsidR="00E45380" w:rsidRPr="00E45380">
        <w:rPr>
          <w:rFonts w:ascii="Times" w:hAnsi="Times"/>
          <w:szCs w:val="24"/>
        </w:rPr>
      </w:r>
      <w:r w:rsidR="00E45380" w:rsidRPr="00E45380">
        <w:rPr>
          <w:rFonts w:ascii="Times" w:hAnsi="Times"/>
          <w:szCs w:val="24"/>
        </w:rPr>
        <w:fldChar w:fldCharType="separate"/>
      </w:r>
      <w:r w:rsidR="00335C5D" w:rsidRPr="006E2094">
        <w:rPr>
          <w:rFonts w:ascii="Times" w:hAnsi="Times"/>
          <w:szCs w:val="24"/>
        </w:rPr>
        <w:t xml:space="preserve">Figure </w:t>
      </w:r>
      <w:r w:rsidR="00335C5D" w:rsidRPr="006E2094">
        <w:rPr>
          <w:rFonts w:ascii="Times" w:hAnsi="Times"/>
          <w:noProof/>
          <w:szCs w:val="24"/>
        </w:rPr>
        <w:t>3</w:t>
      </w:r>
      <w:r w:rsidR="00E45380" w:rsidRPr="00E45380">
        <w:rPr>
          <w:rFonts w:ascii="Times" w:hAnsi="Times"/>
          <w:szCs w:val="24"/>
        </w:rPr>
        <w:fldChar w:fldCharType="end"/>
      </w:r>
      <w:r w:rsidR="006960B9" w:rsidRPr="009A7F2D">
        <w:rPr>
          <w:rFonts w:ascii="Times" w:hAnsi="Times"/>
          <w:szCs w:val="24"/>
        </w:rPr>
        <w:t>)</w:t>
      </w:r>
      <w:r w:rsidR="00F05C72" w:rsidRPr="009A7F2D">
        <w:rPr>
          <w:rFonts w:ascii="Times" w:hAnsi="Times"/>
          <w:szCs w:val="24"/>
        </w:rPr>
        <w:t xml:space="preserve">. </w:t>
      </w:r>
      <w:r w:rsidRPr="009A7F2D">
        <w:rPr>
          <w:rFonts w:ascii="Times" w:hAnsi="Times" w:cs="Arial"/>
          <w:szCs w:val="24"/>
          <w:shd w:val="clear" w:color="auto" w:fill="FFFFFF"/>
        </w:rPr>
        <w:t xml:space="preserve">The Covid-19 pandemic has caused unprecedented disruptions to the socio-economic landscape of </w:t>
      </w:r>
      <w:r w:rsidR="00924280" w:rsidRPr="009A7F2D">
        <w:rPr>
          <w:rFonts w:ascii="Times" w:hAnsi="Times" w:cs="Arial"/>
          <w:szCs w:val="24"/>
          <w:shd w:val="clear" w:color="auto" w:fill="FFFFFF"/>
        </w:rPr>
        <w:t xml:space="preserve">South Africa, as it is doing in </w:t>
      </w:r>
      <w:r w:rsidR="00DA774B" w:rsidRPr="009A7F2D">
        <w:rPr>
          <w:rFonts w:ascii="Times" w:hAnsi="Times" w:cs="Arial"/>
          <w:szCs w:val="24"/>
          <w:shd w:val="clear" w:color="auto" w:fill="FFFFFF"/>
        </w:rPr>
        <w:t xml:space="preserve">most </w:t>
      </w:r>
      <w:r w:rsidR="00924280" w:rsidRPr="009A7F2D">
        <w:rPr>
          <w:rFonts w:ascii="Times" w:hAnsi="Times" w:cs="Arial"/>
          <w:szCs w:val="24"/>
          <w:shd w:val="clear" w:color="auto" w:fill="FFFFFF"/>
        </w:rPr>
        <w:t xml:space="preserve">other </w:t>
      </w:r>
      <w:r w:rsidRPr="009A7F2D">
        <w:rPr>
          <w:rFonts w:ascii="Times" w:hAnsi="Times" w:cs="Arial"/>
          <w:szCs w:val="24"/>
          <w:shd w:val="clear" w:color="auto" w:fill="FFFFFF"/>
        </w:rPr>
        <w:t xml:space="preserve">countries. </w:t>
      </w:r>
      <w:r w:rsidR="00EA7FC7" w:rsidRPr="009A7F2D">
        <w:rPr>
          <w:rFonts w:ascii="Times" w:hAnsi="Times"/>
          <w:szCs w:val="24"/>
        </w:rPr>
        <w:t>Governments across the world have been forced to make difficult choices between protectin</w:t>
      </w:r>
      <w:r w:rsidR="00F729D4">
        <w:rPr>
          <w:rFonts w:ascii="Times" w:hAnsi="Times"/>
          <w:szCs w:val="24"/>
        </w:rPr>
        <w:t>g</w:t>
      </w:r>
      <w:r w:rsidR="00EA7FC7" w:rsidRPr="009A7F2D">
        <w:rPr>
          <w:rFonts w:ascii="Times" w:hAnsi="Times"/>
          <w:szCs w:val="24"/>
        </w:rPr>
        <w:t xml:space="preserve"> lives</w:t>
      </w:r>
      <w:r w:rsidR="00DA774B" w:rsidRPr="009A7F2D">
        <w:rPr>
          <w:rFonts w:ascii="Times" w:hAnsi="Times"/>
          <w:szCs w:val="24"/>
        </w:rPr>
        <w:t xml:space="preserve"> on the one hand</w:t>
      </w:r>
      <w:r w:rsidR="00EA7FC7" w:rsidRPr="009A7F2D">
        <w:rPr>
          <w:rFonts w:ascii="Times" w:hAnsi="Times"/>
          <w:szCs w:val="24"/>
        </w:rPr>
        <w:t xml:space="preserve">, </w:t>
      </w:r>
      <w:r w:rsidR="00DA774B" w:rsidRPr="009A7F2D">
        <w:rPr>
          <w:rFonts w:ascii="Times" w:hAnsi="Times"/>
          <w:szCs w:val="24"/>
        </w:rPr>
        <w:t xml:space="preserve">and </w:t>
      </w:r>
      <w:r w:rsidR="00EA7FC7" w:rsidRPr="009A7F2D">
        <w:rPr>
          <w:rFonts w:ascii="Times" w:hAnsi="Times"/>
          <w:szCs w:val="24"/>
        </w:rPr>
        <w:t>livelihoods and economies</w:t>
      </w:r>
      <w:r w:rsidR="00DA774B" w:rsidRPr="009A7F2D">
        <w:rPr>
          <w:rFonts w:ascii="Times" w:hAnsi="Times"/>
          <w:szCs w:val="24"/>
        </w:rPr>
        <w:t xml:space="preserve"> on the other</w:t>
      </w:r>
      <w:r w:rsidR="00EA7FC7" w:rsidRPr="009A7F2D">
        <w:rPr>
          <w:rFonts w:ascii="Times" w:hAnsi="Times"/>
          <w:szCs w:val="24"/>
        </w:rPr>
        <w:t xml:space="preserve">. </w:t>
      </w:r>
      <w:r w:rsidRPr="009A7F2D">
        <w:rPr>
          <w:rFonts w:ascii="Times" w:hAnsi="Times"/>
          <w:szCs w:val="24"/>
        </w:rPr>
        <w:t xml:space="preserve">The pandemic has </w:t>
      </w:r>
      <w:r w:rsidR="00645EEF" w:rsidRPr="009A7F2D">
        <w:rPr>
          <w:rFonts w:ascii="Times" w:hAnsi="Times"/>
          <w:szCs w:val="24"/>
        </w:rPr>
        <w:t xml:space="preserve">turned </w:t>
      </w:r>
      <w:r w:rsidR="00DA774B" w:rsidRPr="009A7F2D">
        <w:rPr>
          <w:rFonts w:ascii="Times" w:hAnsi="Times"/>
          <w:szCs w:val="24"/>
        </w:rPr>
        <w:t xml:space="preserve">South Africa’s </w:t>
      </w:r>
      <w:r w:rsidR="00645EEF" w:rsidRPr="009A7F2D">
        <w:rPr>
          <w:rFonts w:ascii="Times" w:hAnsi="Times"/>
          <w:szCs w:val="24"/>
        </w:rPr>
        <w:t>February 2020 budget upside down</w:t>
      </w:r>
      <w:r w:rsidR="00645EEF" w:rsidRPr="009A7F2D">
        <w:rPr>
          <w:rFonts w:ascii="Times" w:eastAsiaTheme="minorEastAsia" w:hAnsi="Times" w:cs="Arial"/>
          <w:kern w:val="24"/>
          <w:szCs w:val="24"/>
          <w:lang w:eastAsia="en-GB"/>
        </w:rPr>
        <w:t xml:space="preserve"> as the need to d</w:t>
      </w:r>
      <w:r w:rsidR="00D3497A" w:rsidRPr="009A7F2D">
        <w:rPr>
          <w:rFonts w:ascii="Times" w:hAnsi="Times"/>
          <w:szCs w:val="24"/>
        </w:rPr>
        <w:t xml:space="preserve">eal with health </w:t>
      </w:r>
      <w:r w:rsidR="00D2420F" w:rsidRPr="009A7F2D">
        <w:rPr>
          <w:rFonts w:ascii="Times" w:hAnsi="Times"/>
          <w:szCs w:val="24"/>
        </w:rPr>
        <w:t>challenges,</w:t>
      </w:r>
      <w:r w:rsidR="00645EEF" w:rsidRPr="009A7F2D">
        <w:rPr>
          <w:rFonts w:ascii="Times" w:hAnsi="Times"/>
          <w:szCs w:val="24"/>
        </w:rPr>
        <w:t xml:space="preserve"> deliver on </w:t>
      </w:r>
      <w:r w:rsidR="00D3497A" w:rsidRPr="009A7F2D">
        <w:rPr>
          <w:rFonts w:ascii="Times" w:hAnsi="Times"/>
          <w:szCs w:val="24"/>
        </w:rPr>
        <w:t>essential services</w:t>
      </w:r>
      <w:r w:rsidR="00645EEF" w:rsidRPr="009A7F2D">
        <w:rPr>
          <w:rFonts w:ascii="Times" w:hAnsi="Times"/>
          <w:szCs w:val="24"/>
        </w:rPr>
        <w:t>, p</w:t>
      </w:r>
      <w:r w:rsidR="00D3497A" w:rsidRPr="009A7F2D">
        <w:rPr>
          <w:rFonts w:ascii="Times" w:hAnsi="Times"/>
          <w:szCs w:val="24"/>
        </w:rPr>
        <w:t>rotect households against wage and livelihood loss</w:t>
      </w:r>
      <w:r w:rsidR="00645EEF" w:rsidRPr="009A7F2D">
        <w:rPr>
          <w:rFonts w:ascii="Times" w:hAnsi="Times"/>
          <w:szCs w:val="24"/>
        </w:rPr>
        <w:t>es</w:t>
      </w:r>
      <w:r w:rsidR="00924280" w:rsidRPr="009A7F2D">
        <w:rPr>
          <w:rFonts w:ascii="Times" w:hAnsi="Times"/>
          <w:szCs w:val="24"/>
        </w:rPr>
        <w:t>,</w:t>
      </w:r>
      <w:r w:rsidR="00645EEF" w:rsidRPr="009A7F2D">
        <w:rPr>
          <w:rFonts w:ascii="Times" w:hAnsi="Times"/>
          <w:szCs w:val="24"/>
        </w:rPr>
        <w:t xml:space="preserve"> and businesses against falling markets</w:t>
      </w:r>
      <w:r w:rsidR="008F0034" w:rsidRPr="009A7F2D">
        <w:rPr>
          <w:rFonts w:ascii="Times" w:hAnsi="Times"/>
          <w:szCs w:val="24"/>
        </w:rPr>
        <w:t xml:space="preserve"> have </w:t>
      </w:r>
      <w:r w:rsidR="00DA774B" w:rsidRPr="009A7F2D">
        <w:rPr>
          <w:rFonts w:ascii="Times" w:hAnsi="Times"/>
          <w:szCs w:val="24"/>
        </w:rPr>
        <w:t>taken precedence</w:t>
      </w:r>
      <w:r w:rsidR="008D2D88">
        <w:rPr>
          <w:rFonts w:ascii="Times" w:hAnsi="Times"/>
          <w:szCs w:val="24"/>
        </w:rPr>
        <w:t xml:space="preserve"> over the planned budget</w:t>
      </w:r>
      <w:r w:rsidR="008F0034" w:rsidRPr="009A7F2D">
        <w:rPr>
          <w:rFonts w:ascii="Times" w:hAnsi="Times"/>
          <w:szCs w:val="24"/>
        </w:rPr>
        <w:t>.</w:t>
      </w:r>
    </w:p>
    <w:p w14:paraId="2DF5DEF6" w14:textId="77777777" w:rsidR="00FF4A46" w:rsidRDefault="00FF4A46" w:rsidP="009A7F2D">
      <w:pPr>
        <w:rPr>
          <w:rFonts w:ascii="Times" w:hAnsi="Times"/>
          <w:szCs w:val="24"/>
        </w:rPr>
      </w:pPr>
    </w:p>
    <w:p w14:paraId="7D955F26" w14:textId="0A401E2C" w:rsidR="00FF4A46" w:rsidRPr="00FF4A46" w:rsidRDefault="00FF4A46" w:rsidP="00FF4A46">
      <w:pPr>
        <w:kinsoku w:val="0"/>
        <w:overflowPunct w:val="0"/>
        <w:spacing w:line="240" w:lineRule="auto"/>
        <w:contextualSpacing/>
        <w:textAlignment w:val="baseline"/>
        <w:rPr>
          <w:szCs w:val="24"/>
          <w:lang w:val="en-GB" w:eastAsia="en-GB"/>
        </w:rPr>
      </w:pPr>
      <w:r w:rsidRPr="00FF4A46">
        <w:rPr>
          <w:szCs w:val="24"/>
        </w:rPr>
        <w:t xml:space="preserve">The Covid-19 pandemic has </w:t>
      </w:r>
      <w:r>
        <w:rPr>
          <w:szCs w:val="24"/>
        </w:rPr>
        <w:t xml:space="preserve">caused an unprecedented health shock. It has </w:t>
      </w:r>
      <w:r w:rsidRPr="00FF4A46">
        <w:rPr>
          <w:szCs w:val="24"/>
        </w:rPr>
        <w:t>put the health sector and its budget under tremendous pressure. The needs of that sector have been amplified man</w:t>
      </w:r>
      <w:r w:rsidR="00B50984">
        <w:rPr>
          <w:szCs w:val="24"/>
        </w:rPr>
        <w:t>y times</w:t>
      </w:r>
      <w:r w:rsidRPr="00FF4A46">
        <w:rPr>
          <w:szCs w:val="24"/>
        </w:rPr>
        <w:t xml:space="preserve">. </w:t>
      </w:r>
      <w:r w:rsidRPr="00FF4A46">
        <w:rPr>
          <w:rFonts w:eastAsiaTheme="minorEastAsia"/>
          <w:kern w:val="24"/>
          <w:szCs w:val="24"/>
          <w:lang w:val="en-US" w:eastAsia="en-GB"/>
        </w:rPr>
        <w:t>Health care access, specifically, effective ambulance system</w:t>
      </w:r>
      <w:r>
        <w:rPr>
          <w:rFonts w:eastAsiaTheme="minorEastAsia"/>
          <w:kern w:val="24"/>
          <w:szCs w:val="24"/>
          <w:lang w:val="en-US" w:eastAsia="en-GB"/>
        </w:rPr>
        <w:t>s, intensive c</w:t>
      </w:r>
      <w:r w:rsidRPr="00FF4A46">
        <w:rPr>
          <w:rFonts w:eastAsiaTheme="minorEastAsia"/>
          <w:kern w:val="24"/>
          <w:szCs w:val="24"/>
          <w:lang w:val="en-US" w:eastAsia="en-GB"/>
        </w:rPr>
        <w:t xml:space="preserve">are units (ICUs) </w:t>
      </w:r>
      <w:r>
        <w:rPr>
          <w:rFonts w:eastAsiaTheme="minorEastAsia"/>
          <w:kern w:val="24"/>
          <w:szCs w:val="24"/>
          <w:lang w:val="en-US" w:eastAsia="en-GB"/>
        </w:rPr>
        <w:t xml:space="preserve">equipped </w:t>
      </w:r>
      <w:r w:rsidRPr="00FF4A46">
        <w:rPr>
          <w:rFonts w:eastAsiaTheme="minorEastAsia"/>
          <w:kern w:val="24"/>
          <w:szCs w:val="24"/>
          <w:lang w:val="en-US" w:eastAsia="en-GB"/>
        </w:rPr>
        <w:t>with ventilators and drugs</w:t>
      </w:r>
      <w:r>
        <w:rPr>
          <w:rFonts w:eastAsiaTheme="minorEastAsia"/>
          <w:kern w:val="24"/>
          <w:szCs w:val="24"/>
          <w:lang w:val="en-US" w:eastAsia="en-GB"/>
        </w:rPr>
        <w:t xml:space="preserve"> are needed. There is also a need for c</w:t>
      </w:r>
      <w:r w:rsidRPr="00FF4A46">
        <w:rPr>
          <w:rFonts w:eastAsiaTheme="minorEastAsia"/>
          <w:color w:val="000000" w:themeColor="text1"/>
          <w:kern w:val="24"/>
          <w:szCs w:val="24"/>
          <w:lang w:val="en-US" w:eastAsia="en-GB"/>
        </w:rPr>
        <w:t xml:space="preserve">onstruction of field hospitals/clinics </w:t>
      </w:r>
      <w:r>
        <w:rPr>
          <w:rFonts w:eastAsiaTheme="minorEastAsia"/>
          <w:color w:val="000000" w:themeColor="text1"/>
          <w:kern w:val="24"/>
          <w:szCs w:val="24"/>
          <w:lang w:val="en-US" w:eastAsia="en-GB"/>
        </w:rPr>
        <w:lastRenderedPageBreak/>
        <w:t xml:space="preserve">especially in cities. The need for investment in COVID-19 related technologies cannot be overemphasized as well as in research capacity. </w:t>
      </w:r>
    </w:p>
    <w:p w14:paraId="334C6FF2" w14:textId="140DBB6B" w:rsidR="00FF4A46" w:rsidRDefault="00FF4A46" w:rsidP="009A7F2D">
      <w:pPr>
        <w:rPr>
          <w:rFonts w:ascii="Times" w:hAnsi="Times"/>
          <w:szCs w:val="24"/>
        </w:rPr>
      </w:pPr>
    </w:p>
    <w:p w14:paraId="5E0F3633" w14:textId="23551A7E" w:rsidR="00D2420F" w:rsidRPr="009A7F2D" w:rsidRDefault="00645EEF" w:rsidP="009A7F2D">
      <w:pPr>
        <w:rPr>
          <w:szCs w:val="24"/>
        </w:rPr>
      </w:pPr>
      <w:r w:rsidRPr="009A7F2D">
        <w:rPr>
          <w:rFonts w:ascii="Times" w:hAnsi="Times"/>
          <w:szCs w:val="24"/>
        </w:rPr>
        <w:t>Budget</w:t>
      </w:r>
      <w:r w:rsidR="008F0034" w:rsidRPr="009A7F2D">
        <w:rPr>
          <w:rFonts w:ascii="Times" w:hAnsi="Times"/>
          <w:szCs w:val="24"/>
        </w:rPr>
        <w:t>ary</w:t>
      </w:r>
      <w:r w:rsidRPr="009A7F2D">
        <w:rPr>
          <w:rFonts w:ascii="Times" w:hAnsi="Times"/>
          <w:szCs w:val="24"/>
        </w:rPr>
        <w:t xml:space="preserve"> </w:t>
      </w:r>
      <w:r w:rsidR="008F0034" w:rsidRPr="009A7F2D">
        <w:rPr>
          <w:rFonts w:ascii="Times" w:hAnsi="Times"/>
          <w:szCs w:val="24"/>
        </w:rPr>
        <w:t>changes have become unavoidable</w:t>
      </w:r>
      <w:r w:rsidR="002D1A25">
        <w:rPr>
          <w:rFonts w:ascii="Times" w:hAnsi="Times"/>
          <w:szCs w:val="24"/>
        </w:rPr>
        <w:t xml:space="preserve"> and it is anticipated the Minister of Finance will present an adjustment budget in the near future</w:t>
      </w:r>
      <w:r w:rsidR="008F0034" w:rsidRPr="009A7F2D">
        <w:rPr>
          <w:rFonts w:ascii="Times" w:hAnsi="Times"/>
          <w:szCs w:val="24"/>
        </w:rPr>
        <w:t>.</w:t>
      </w:r>
      <w:r w:rsidR="00325542" w:rsidRPr="009A7F2D">
        <w:rPr>
          <w:rFonts w:ascii="Times" w:hAnsi="Times"/>
          <w:szCs w:val="24"/>
        </w:rPr>
        <w:t xml:space="preserve"> </w:t>
      </w:r>
      <w:r w:rsidR="006F2C42">
        <w:rPr>
          <w:szCs w:val="24"/>
        </w:rPr>
        <w:t xml:space="preserve"> </w:t>
      </w:r>
      <w:r w:rsidR="00797DEF" w:rsidRPr="009A7F2D">
        <w:rPr>
          <w:rFonts w:ascii="Times" w:hAnsi="Times"/>
          <w:szCs w:val="24"/>
        </w:rPr>
        <w:t xml:space="preserve">It is against this background </w:t>
      </w:r>
      <w:r w:rsidR="00924280" w:rsidRPr="009A7F2D">
        <w:rPr>
          <w:rFonts w:ascii="Times" w:hAnsi="Times"/>
          <w:szCs w:val="24"/>
        </w:rPr>
        <w:t xml:space="preserve">and pending budget adjustments </w:t>
      </w:r>
      <w:r w:rsidR="00797DEF" w:rsidRPr="009A7F2D">
        <w:rPr>
          <w:rFonts w:ascii="Times" w:hAnsi="Times"/>
          <w:szCs w:val="24"/>
        </w:rPr>
        <w:t xml:space="preserve">that </w:t>
      </w:r>
      <w:r w:rsidR="00563E1B">
        <w:rPr>
          <w:rFonts w:ascii="Times" w:hAnsi="Times"/>
          <w:szCs w:val="24"/>
        </w:rPr>
        <w:t>the Select</w:t>
      </w:r>
      <w:r w:rsidR="008F0034" w:rsidRPr="009A7F2D">
        <w:rPr>
          <w:rFonts w:ascii="Times" w:hAnsi="Times"/>
          <w:szCs w:val="24"/>
        </w:rPr>
        <w:t xml:space="preserve"> Committee on Appropriations </w:t>
      </w:r>
      <w:r w:rsidR="00646930" w:rsidRPr="009A7F2D">
        <w:rPr>
          <w:rFonts w:ascii="Times" w:hAnsi="Times"/>
          <w:szCs w:val="24"/>
        </w:rPr>
        <w:t xml:space="preserve">(SCoA) </w:t>
      </w:r>
      <w:r w:rsidR="00924280" w:rsidRPr="009A7F2D">
        <w:rPr>
          <w:rFonts w:ascii="Times" w:hAnsi="Times"/>
          <w:szCs w:val="24"/>
        </w:rPr>
        <w:t>has</w:t>
      </w:r>
      <w:r w:rsidR="008F0034" w:rsidRPr="009A7F2D">
        <w:rPr>
          <w:rFonts w:ascii="Times" w:hAnsi="Times"/>
          <w:szCs w:val="24"/>
        </w:rPr>
        <w:t xml:space="preserve"> requested </w:t>
      </w:r>
      <w:r w:rsidR="00646930" w:rsidRPr="009A7F2D">
        <w:rPr>
          <w:rFonts w:ascii="Times" w:hAnsi="Times"/>
          <w:szCs w:val="24"/>
        </w:rPr>
        <w:t xml:space="preserve">the </w:t>
      </w:r>
      <w:r w:rsidR="00E45380">
        <w:rPr>
          <w:rFonts w:ascii="Times" w:hAnsi="Times"/>
          <w:szCs w:val="24"/>
        </w:rPr>
        <w:t>Commission</w:t>
      </w:r>
      <w:r w:rsidR="00E45380" w:rsidRPr="009A7F2D">
        <w:rPr>
          <w:rFonts w:ascii="Times" w:hAnsi="Times"/>
          <w:szCs w:val="24"/>
        </w:rPr>
        <w:t xml:space="preserve"> </w:t>
      </w:r>
      <w:r w:rsidR="008F0034" w:rsidRPr="009A7F2D">
        <w:rPr>
          <w:rFonts w:ascii="Times" w:hAnsi="Times"/>
          <w:szCs w:val="24"/>
        </w:rPr>
        <w:t>to brief it on the financial and fiscal implications of the Covid-19 pandemic. The Commission makes t</w:t>
      </w:r>
      <w:r w:rsidR="00797DEF" w:rsidRPr="009A7F2D">
        <w:rPr>
          <w:rFonts w:ascii="Times" w:hAnsi="Times"/>
          <w:szCs w:val="24"/>
        </w:rPr>
        <w:t>his submission in terms of Section 4 (4c) of the Money Bills Amendment Procedure and Related Matters Act</w:t>
      </w:r>
      <w:r w:rsidR="00646930" w:rsidRPr="009A7F2D">
        <w:rPr>
          <w:rFonts w:ascii="Times" w:hAnsi="Times"/>
          <w:szCs w:val="24"/>
        </w:rPr>
        <w:t>, 2009</w:t>
      </w:r>
      <w:r w:rsidR="00797DEF" w:rsidRPr="009A7F2D">
        <w:rPr>
          <w:rFonts w:ascii="Times" w:hAnsi="Times"/>
          <w:szCs w:val="24"/>
        </w:rPr>
        <w:t xml:space="preserve"> (</w:t>
      </w:r>
      <w:r w:rsidR="00646930" w:rsidRPr="009A7F2D">
        <w:rPr>
          <w:rFonts w:ascii="Times" w:hAnsi="Times"/>
          <w:szCs w:val="24"/>
        </w:rPr>
        <w:t xml:space="preserve">Act No. </w:t>
      </w:r>
      <w:r w:rsidR="00504FFC" w:rsidRPr="009A7F2D">
        <w:rPr>
          <w:rFonts w:ascii="Times" w:hAnsi="Times"/>
          <w:szCs w:val="24"/>
        </w:rPr>
        <w:t xml:space="preserve">9 of </w:t>
      </w:r>
      <w:r w:rsidR="00797DEF" w:rsidRPr="009A7F2D">
        <w:rPr>
          <w:rFonts w:ascii="Times" w:hAnsi="Times"/>
          <w:szCs w:val="24"/>
        </w:rPr>
        <w:t>2009)</w:t>
      </w:r>
      <w:r w:rsidR="008F0034" w:rsidRPr="009A7F2D">
        <w:rPr>
          <w:rFonts w:ascii="Times" w:hAnsi="Times"/>
          <w:szCs w:val="24"/>
        </w:rPr>
        <w:t xml:space="preserve"> and Part 1 (3) {1} of the Financial and Fiscal Commission Act</w:t>
      </w:r>
      <w:r w:rsidR="00504FFC" w:rsidRPr="009A7F2D">
        <w:rPr>
          <w:rFonts w:ascii="Times" w:hAnsi="Times"/>
          <w:szCs w:val="24"/>
        </w:rPr>
        <w:t xml:space="preserve">, </w:t>
      </w:r>
      <w:r w:rsidR="00B27E9D" w:rsidRPr="009A7F2D">
        <w:rPr>
          <w:rFonts w:ascii="Times" w:hAnsi="Times"/>
          <w:szCs w:val="24"/>
        </w:rPr>
        <w:t>1997</w:t>
      </w:r>
      <w:r w:rsidR="008F0034" w:rsidRPr="009A7F2D">
        <w:rPr>
          <w:rFonts w:ascii="Times" w:hAnsi="Times"/>
          <w:szCs w:val="24"/>
        </w:rPr>
        <w:t xml:space="preserve"> (</w:t>
      </w:r>
      <w:r w:rsidR="00504FFC" w:rsidRPr="009A7F2D">
        <w:rPr>
          <w:rFonts w:ascii="Times" w:hAnsi="Times"/>
          <w:szCs w:val="24"/>
        </w:rPr>
        <w:t xml:space="preserve">Act No. </w:t>
      </w:r>
      <w:r w:rsidR="00626E61" w:rsidRPr="009A7F2D">
        <w:rPr>
          <w:rFonts w:ascii="Times" w:hAnsi="Times"/>
          <w:szCs w:val="24"/>
        </w:rPr>
        <w:t xml:space="preserve">99 of 1997, as amended by Act No. 25 of </w:t>
      </w:r>
      <w:r w:rsidR="008F0034" w:rsidRPr="009A7F2D">
        <w:rPr>
          <w:rFonts w:ascii="Times" w:hAnsi="Times"/>
          <w:szCs w:val="24"/>
        </w:rPr>
        <w:t>2003</w:t>
      </w:r>
      <w:r w:rsidR="00626E61" w:rsidRPr="009A7F2D">
        <w:rPr>
          <w:rFonts w:ascii="Times" w:hAnsi="Times"/>
          <w:szCs w:val="24"/>
        </w:rPr>
        <w:t xml:space="preserve"> and Act No. </w:t>
      </w:r>
      <w:r w:rsidR="00D854C8" w:rsidRPr="009A7F2D">
        <w:rPr>
          <w:rFonts w:ascii="Times" w:hAnsi="Times"/>
          <w:szCs w:val="24"/>
        </w:rPr>
        <w:t>4 of 2015</w:t>
      </w:r>
      <w:r w:rsidR="008F0034" w:rsidRPr="009A7F2D">
        <w:rPr>
          <w:rFonts w:ascii="Times" w:hAnsi="Times"/>
          <w:szCs w:val="24"/>
        </w:rPr>
        <w:t>)</w:t>
      </w:r>
      <w:r w:rsidR="00D854C8" w:rsidRPr="009A7F2D">
        <w:rPr>
          <w:rFonts w:ascii="Times" w:hAnsi="Times"/>
          <w:szCs w:val="24"/>
        </w:rPr>
        <w:t xml:space="preserve"> (FFC Act)</w:t>
      </w:r>
      <w:r w:rsidR="008F0034" w:rsidRPr="009A7F2D">
        <w:rPr>
          <w:rFonts w:ascii="Times" w:hAnsi="Times"/>
          <w:szCs w:val="24"/>
        </w:rPr>
        <w:t xml:space="preserve">. The FFC Act </w:t>
      </w:r>
      <w:r w:rsidR="00797DEF" w:rsidRPr="009A7F2D">
        <w:rPr>
          <w:rFonts w:ascii="Times" w:hAnsi="Times"/>
          <w:szCs w:val="24"/>
        </w:rPr>
        <w:t>provides for the Commission to act as a consultative body for,</w:t>
      </w:r>
      <w:r w:rsidR="008F0034" w:rsidRPr="009A7F2D">
        <w:rPr>
          <w:rFonts w:ascii="Times" w:hAnsi="Times"/>
          <w:szCs w:val="24"/>
        </w:rPr>
        <w:t xml:space="preserve"> and to make recommendations </w:t>
      </w:r>
      <w:r w:rsidR="008B73F1" w:rsidRPr="009A7F2D">
        <w:rPr>
          <w:rFonts w:ascii="Times" w:hAnsi="Times"/>
          <w:szCs w:val="24"/>
        </w:rPr>
        <w:t xml:space="preserve">on financial and fiscal matters </w:t>
      </w:r>
      <w:r w:rsidR="008F0034" w:rsidRPr="009A7F2D">
        <w:rPr>
          <w:rFonts w:ascii="Times" w:hAnsi="Times"/>
          <w:szCs w:val="24"/>
        </w:rPr>
        <w:t>to</w:t>
      </w:r>
      <w:r w:rsidR="00797DEF" w:rsidRPr="009A7F2D">
        <w:rPr>
          <w:rFonts w:ascii="Times" w:hAnsi="Times"/>
          <w:szCs w:val="24"/>
        </w:rPr>
        <w:t xml:space="preserve"> organs of state in the national, provincial and local spheres of government.</w:t>
      </w:r>
      <w:r w:rsidR="008C485C" w:rsidRPr="009A7F2D">
        <w:rPr>
          <w:rFonts w:ascii="Times" w:hAnsi="Times"/>
          <w:szCs w:val="24"/>
        </w:rPr>
        <w:t xml:space="preserve"> </w:t>
      </w:r>
    </w:p>
    <w:p w14:paraId="089F3433" w14:textId="77777777" w:rsidR="00D2420F" w:rsidRPr="00471832" w:rsidRDefault="00D2420F" w:rsidP="009A7F2D">
      <w:pPr>
        <w:rPr>
          <w:rFonts w:ascii="Times" w:hAnsi="Times"/>
          <w:szCs w:val="24"/>
        </w:rPr>
      </w:pPr>
    </w:p>
    <w:p w14:paraId="5EA22AB1" w14:textId="77777777" w:rsidR="00D2420F" w:rsidRPr="009A7F2D" w:rsidRDefault="00E53471" w:rsidP="009A7F2D">
      <w:pPr>
        <w:rPr>
          <w:szCs w:val="24"/>
        </w:rPr>
      </w:pPr>
      <w:r w:rsidRPr="009A7F2D">
        <w:rPr>
          <w:rFonts w:ascii="Times" w:hAnsi="Times"/>
          <w:szCs w:val="24"/>
        </w:rPr>
        <w:t xml:space="preserve">In line with the request from the </w:t>
      </w:r>
      <w:r w:rsidR="00D854C8" w:rsidRPr="009A7F2D">
        <w:rPr>
          <w:rFonts w:ascii="Times" w:hAnsi="Times"/>
          <w:szCs w:val="24"/>
        </w:rPr>
        <w:t>SCoA</w:t>
      </w:r>
      <w:r w:rsidRPr="009A7F2D">
        <w:rPr>
          <w:rFonts w:ascii="Times" w:hAnsi="Times"/>
          <w:szCs w:val="24"/>
        </w:rPr>
        <w:t>, this submission is focused on the following four areas:</w:t>
      </w:r>
    </w:p>
    <w:p w14:paraId="0E4CC1EA" w14:textId="77777777" w:rsidR="000C75FC" w:rsidRPr="00235B2D" w:rsidRDefault="008F0034" w:rsidP="001702E8">
      <w:pPr>
        <w:pStyle w:val="ListParagraph"/>
        <w:numPr>
          <w:ilvl w:val="0"/>
          <w:numId w:val="15"/>
        </w:numPr>
        <w:ind w:left="567" w:hanging="567"/>
      </w:pPr>
      <w:r w:rsidRPr="00235B2D">
        <w:t>Assessment of macroeconomic and fiscal outlook</w:t>
      </w:r>
      <w:r w:rsidR="00AF4B67" w:rsidRPr="00235B2D">
        <w:t>;</w:t>
      </w:r>
      <w:r w:rsidR="00E53471" w:rsidRPr="00235B2D">
        <w:t xml:space="preserve"> </w:t>
      </w:r>
    </w:p>
    <w:p w14:paraId="31B7D9EB" w14:textId="77777777" w:rsidR="000C75FC" w:rsidRPr="00235B2D" w:rsidRDefault="00E53471" w:rsidP="001702E8">
      <w:pPr>
        <w:pStyle w:val="ListParagraph"/>
        <w:numPr>
          <w:ilvl w:val="0"/>
          <w:numId w:val="15"/>
        </w:numPr>
        <w:ind w:left="567" w:hanging="567"/>
      </w:pPr>
      <w:r w:rsidRPr="00235B2D">
        <w:t xml:space="preserve">Assessment of the </w:t>
      </w:r>
      <w:r w:rsidR="008F0034" w:rsidRPr="00235B2D">
        <w:t xml:space="preserve">revenue and expenditure proposals as contained in </w:t>
      </w:r>
      <w:r w:rsidR="00924280" w:rsidRPr="00235B2D">
        <w:t xml:space="preserve">the </w:t>
      </w:r>
      <w:r w:rsidR="008F0034" w:rsidRPr="00235B2D">
        <w:t>2020 Budget</w:t>
      </w:r>
      <w:r w:rsidR="00AF4B67" w:rsidRPr="00235B2D">
        <w:t>;</w:t>
      </w:r>
    </w:p>
    <w:p w14:paraId="752FD0C7" w14:textId="77777777" w:rsidR="00924280" w:rsidRPr="00235B2D" w:rsidRDefault="00924280" w:rsidP="001702E8">
      <w:pPr>
        <w:pStyle w:val="ListParagraph"/>
        <w:numPr>
          <w:ilvl w:val="0"/>
          <w:numId w:val="15"/>
        </w:numPr>
        <w:ind w:left="567" w:hanging="567"/>
      </w:pPr>
      <w:r w:rsidRPr="00235B2D">
        <w:t>Assessment of Government’s fiscal and monetary responses to Covid-19 on growth and transformation</w:t>
      </w:r>
      <w:r w:rsidR="00AF4B67" w:rsidRPr="00235B2D">
        <w:t>;</w:t>
      </w:r>
    </w:p>
    <w:p w14:paraId="46695C47" w14:textId="77777777" w:rsidR="000C75FC" w:rsidRPr="00235B2D" w:rsidRDefault="00F625C8" w:rsidP="001702E8">
      <w:pPr>
        <w:pStyle w:val="ListParagraph"/>
        <w:numPr>
          <w:ilvl w:val="0"/>
          <w:numId w:val="15"/>
        </w:numPr>
        <w:ind w:left="567" w:hanging="567"/>
      </w:pPr>
      <w:r w:rsidRPr="00235B2D">
        <w:t>Reprioritisation for</w:t>
      </w:r>
      <w:r w:rsidR="008F0034" w:rsidRPr="00235B2D">
        <w:t xml:space="preserve"> Covid-19 pandemic</w:t>
      </w:r>
      <w:r w:rsidRPr="00235B2D">
        <w:t>: An FFC per</w:t>
      </w:r>
      <w:r w:rsidR="00AF4B67" w:rsidRPr="00235B2D">
        <w:t>s</w:t>
      </w:r>
      <w:r w:rsidRPr="00235B2D">
        <w:t>pective</w:t>
      </w:r>
      <w:r w:rsidR="00AF4B67" w:rsidRPr="00235B2D">
        <w:t>.</w:t>
      </w:r>
    </w:p>
    <w:p w14:paraId="5305DE8B" w14:textId="77777777" w:rsidR="00822E84" w:rsidRPr="000D33E4" w:rsidRDefault="00822E84" w:rsidP="00822E84">
      <w:pPr>
        <w:rPr>
          <w:rFonts w:ascii="Times" w:hAnsi="Times"/>
          <w:color w:val="000000" w:themeColor="text1"/>
        </w:rPr>
      </w:pPr>
      <w:r w:rsidRPr="000D33E4">
        <w:rPr>
          <w:rFonts w:ascii="Times" w:hAnsi="Times"/>
        </w:rPr>
        <w:br w:type="page"/>
      </w:r>
    </w:p>
    <w:p w14:paraId="233750AA" w14:textId="77777777" w:rsidR="002A7550" w:rsidRPr="00B82EEE" w:rsidRDefault="001C61D7" w:rsidP="00B4512F">
      <w:pPr>
        <w:pStyle w:val="IntenseQuote"/>
        <w:rPr>
          <w:b/>
        </w:rPr>
      </w:pPr>
      <w:bookmarkStart w:id="6" w:name="_Toc42211905"/>
      <w:r w:rsidRPr="00B82EEE">
        <w:lastRenderedPageBreak/>
        <w:t>Section 2</w:t>
      </w:r>
      <w:r w:rsidR="00830E97">
        <w:t>:</w:t>
      </w:r>
      <w:r w:rsidR="00B82EEE" w:rsidRPr="00B82EEE">
        <w:br/>
        <w:t>The Covid-19 p</w:t>
      </w:r>
      <w:r w:rsidR="00B82EEE">
        <w:t>a</w:t>
      </w:r>
      <w:r w:rsidR="00B82EEE" w:rsidRPr="00B82EEE">
        <w:t>ndemic and the macroeconomic and fiscal policy outlook</w:t>
      </w:r>
      <w:bookmarkEnd w:id="6"/>
    </w:p>
    <w:p w14:paraId="1C1E5F41" w14:textId="77777777" w:rsidR="00BA44C6" w:rsidRPr="00B544D2" w:rsidRDefault="00BA44C6" w:rsidP="00D5507E">
      <w:pPr>
        <w:pStyle w:val="Heading2"/>
      </w:pPr>
      <w:bookmarkStart w:id="7" w:name="_Toc42211906"/>
      <w:bookmarkStart w:id="8" w:name="_Toc32331484"/>
      <w:r w:rsidRPr="00B544D2">
        <w:t xml:space="preserve">Global </w:t>
      </w:r>
      <w:r w:rsidR="00B544D2">
        <w:t>e</w:t>
      </w:r>
      <w:r w:rsidRPr="00B544D2">
        <w:t>conomy</w:t>
      </w:r>
      <w:bookmarkEnd w:id="7"/>
      <w:r w:rsidR="002D39CB">
        <w:t xml:space="preserve"> </w:t>
      </w:r>
      <w:bookmarkEnd w:id="8"/>
    </w:p>
    <w:p w14:paraId="5438FDC1" w14:textId="77777777" w:rsidR="000C75FC" w:rsidRPr="000D33E4" w:rsidRDefault="000C75FC" w:rsidP="00B82EEE">
      <w:pPr>
        <w:ind w:left="-284"/>
        <w:rPr>
          <w:rFonts w:ascii="Times" w:hAnsi="Times"/>
        </w:rPr>
      </w:pPr>
    </w:p>
    <w:p w14:paraId="296BB759" w14:textId="3F219FE8" w:rsidR="00EA7FC7" w:rsidRPr="009A7F2D" w:rsidRDefault="00F625C8" w:rsidP="00D5507E">
      <w:pPr>
        <w:rPr>
          <w:szCs w:val="24"/>
        </w:rPr>
      </w:pPr>
      <w:r w:rsidRPr="009A7F2D">
        <w:rPr>
          <w:rFonts w:ascii="Times" w:hAnsi="Times"/>
          <w:szCs w:val="24"/>
        </w:rPr>
        <w:t xml:space="preserve">Within a </w:t>
      </w:r>
      <w:r w:rsidR="00BA44C6" w:rsidRPr="009A7F2D">
        <w:rPr>
          <w:rFonts w:ascii="Times" w:hAnsi="Times"/>
          <w:szCs w:val="24"/>
        </w:rPr>
        <w:t xml:space="preserve">short </w:t>
      </w:r>
      <w:r w:rsidRPr="009A7F2D">
        <w:rPr>
          <w:rFonts w:ascii="Times" w:hAnsi="Times"/>
          <w:szCs w:val="24"/>
        </w:rPr>
        <w:t xml:space="preserve">space of time, </w:t>
      </w:r>
      <w:r w:rsidR="00B544D2" w:rsidRPr="00471832">
        <w:rPr>
          <w:rFonts w:ascii="Times" w:hAnsi="Times"/>
          <w:szCs w:val="24"/>
        </w:rPr>
        <w:t>Covid-19 has</w:t>
      </w:r>
      <w:r w:rsidRPr="009A7F2D">
        <w:rPr>
          <w:rFonts w:ascii="Times" w:hAnsi="Times"/>
          <w:szCs w:val="24"/>
        </w:rPr>
        <w:t xml:space="preserve"> turned</w:t>
      </w:r>
      <w:r w:rsidR="00BA44C6" w:rsidRPr="009A7F2D">
        <w:rPr>
          <w:rFonts w:ascii="Times" w:hAnsi="Times"/>
          <w:szCs w:val="24"/>
        </w:rPr>
        <w:t xml:space="preserve"> the global economy upside down.</w:t>
      </w:r>
      <w:r w:rsidRPr="009A7F2D">
        <w:rPr>
          <w:rFonts w:ascii="Times" w:hAnsi="Times"/>
          <w:szCs w:val="24"/>
        </w:rPr>
        <w:t xml:space="preserve"> </w:t>
      </w:r>
      <w:r w:rsidR="00BA44C6" w:rsidRPr="009A7F2D">
        <w:rPr>
          <w:rFonts w:ascii="Times" w:hAnsi="Times"/>
          <w:szCs w:val="24"/>
        </w:rPr>
        <w:t xml:space="preserve">In many countries companies, offices, airports, schools and shops have been closed </w:t>
      </w:r>
      <w:r w:rsidRPr="009A7F2D">
        <w:rPr>
          <w:rFonts w:ascii="Times" w:hAnsi="Times"/>
          <w:szCs w:val="24"/>
        </w:rPr>
        <w:t>in order to</w:t>
      </w:r>
      <w:r w:rsidR="00BA44C6" w:rsidRPr="009A7F2D">
        <w:rPr>
          <w:rFonts w:ascii="Times" w:hAnsi="Times"/>
          <w:szCs w:val="24"/>
        </w:rPr>
        <w:t xml:space="preserve"> contain the </w:t>
      </w:r>
      <w:r w:rsidRPr="009A7F2D">
        <w:rPr>
          <w:rFonts w:ascii="Times" w:hAnsi="Times"/>
          <w:szCs w:val="24"/>
        </w:rPr>
        <w:t xml:space="preserve">spread of the </w:t>
      </w:r>
      <w:r w:rsidR="00B544D2" w:rsidRPr="00471832">
        <w:rPr>
          <w:rFonts w:ascii="Times" w:hAnsi="Times"/>
          <w:szCs w:val="24"/>
        </w:rPr>
        <w:t>Covid</w:t>
      </w:r>
      <w:r w:rsidR="00BA44C6" w:rsidRPr="009A7F2D">
        <w:rPr>
          <w:rFonts w:ascii="Times" w:hAnsi="Times"/>
          <w:szCs w:val="24"/>
        </w:rPr>
        <w:t xml:space="preserve">-19 virus. In many ways, </w:t>
      </w:r>
      <w:r w:rsidR="00B544D2" w:rsidRPr="00471832">
        <w:rPr>
          <w:rFonts w:ascii="Times" w:hAnsi="Times"/>
          <w:szCs w:val="24"/>
        </w:rPr>
        <w:t>Covid</w:t>
      </w:r>
      <w:r w:rsidR="00BA44C6" w:rsidRPr="009A7F2D">
        <w:rPr>
          <w:rFonts w:ascii="Times" w:hAnsi="Times"/>
          <w:szCs w:val="24"/>
        </w:rPr>
        <w:t>-19 presents stark choices between life</w:t>
      </w:r>
      <w:r w:rsidR="008B73F1">
        <w:rPr>
          <w:rFonts w:ascii="Times" w:hAnsi="Times"/>
          <w:szCs w:val="24"/>
        </w:rPr>
        <w:t xml:space="preserve"> and</w:t>
      </w:r>
      <w:r w:rsidR="00BA44C6" w:rsidRPr="009A7F2D">
        <w:rPr>
          <w:rFonts w:ascii="Times" w:hAnsi="Times"/>
          <w:szCs w:val="24"/>
        </w:rPr>
        <w:t xml:space="preserve"> death</w:t>
      </w:r>
      <w:r w:rsidR="008B73F1">
        <w:rPr>
          <w:rFonts w:ascii="Times" w:hAnsi="Times"/>
          <w:szCs w:val="24"/>
        </w:rPr>
        <w:t>,</w:t>
      </w:r>
      <w:r w:rsidR="00BA44C6" w:rsidRPr="009A7F2D">
        <w:rPr>
          <w:rFonts w:ascii="Times" w:hAnsi="Times"/>
          <w:szCs w:val="24"/>
        </w:rPr>
        <w:t xml:space="preserve"> and the economy. The current situat</w:t>
      </w:r>
      <w:r w:rsidR="00EA7FC7" w:rsidRPr="009A7F2D">
        <w:rPr>
          <w:rFonts w:ascii="Times" w:hAnsi="Times"/>
          <w:szCs w:val="24"/>
        </w:rPr>
        <w:t xml:space="preserve">ion is such that forecasting </w:t>
      </w:r>
      <w:r w:rsidR="00BA44C6" w:rsidRPr="009A7F2D">
        <w:rPr>
          <w:rFonts w:ascii="Times" w:hAnsi="Times"/>
          <w:szCs w:val="24"/>
        </w:rPr>
        <w:t xml:space="preserve">global growth is almost impossible because economic outcomes are a function of unpredictable factors that interact in ways hard to foresee. The unknown aspects of </w:t>
      </w:r>
      <w:r w:rsidR="00B544D2" w:rsidRPr="00471832">
        <w:rPr>
          <w:rFonts w:ascii="Times" w:hAnsi="Times"/>
          <w:szCs w:val="24"/>
        </w:rPr>
        <w:t>Covid-19</w:t>
      </w:r>
      <w:r w:rsidR="00BA44C6" w:rsidRPr="009A7F2D">
        <w:rPr>
          <w:rFonts w:ascii="Times" w:hAnsi="Times"/>
          <w:szCs w:val="24"/>
        </w:rPr>
        <w:t xml:space="preserve"> include, among others, the trail of the pandemic, </w:t>
      </w:r>
      <w:r w:rsidR="00B544D2" w:rsidRPr="00471832">
        <w:rPr>
          <w:rFonts w:ascii="Times" w:hAnsi="Times"/>
          <w:szCs w:val="24"/>
        </w:rPr>
        <w:t>efforts to develop</w:t>
      </w:r>
      <w:r w:rsidR="00BA44C6" w:rsidRPr="009A7F2D">
        <w:rPr>
          <w:rFonts w:ascii="Times" w:hAnsi="Times"/>
          <w:szCs w:val="24"/>
        </w:rPr>
        <w:t xml:space="preserve"> a vaccine,</w:t>
      </w:r>
      <w:r w:rsidR="00BA44C6" w:rsidRPr="009A7F2D">
        <w:rPr>
          <w:rFonts w:ascii="Times" w:hAnsi="Times"/>
          <w:szCs w:val="24"/>
          <w:lang w:eastAsia="en-ZA"/>
        </w:rPr>
        <w:t xml:space="preserve"> effectiveness of containment efforts, </w:t>
      </w:r>
      <w:r w:rsidR="00BA44C6" w:rsidRPr="009A7F2D">
        <w:rPr>
          <w:rFonts w:ascii="Times" w:hAnsi="Times"/>
          <w:szCs w:val="24"/>
        </w:rPr>
        <w:t>level of supply interruptions and productivity losses, impact of the contraction in global financial market conditions, changes in spending patterns, behavioural changes, confidence effects,</w:t>
      </w:r>
      <w:r w:rsidR="000C75FC" w:rsidRPr="009A7F2D">
        <w:rPr>
          <w:rFonts w:ascii="Times" w:hAnsi="Times"/>
          <w:szCs w:val="24"/>
        </w:rPr>
        <w:t xml:space="preserve"> and volatile commodity prices.</w:t>
      </w:r>
    </w:p>
    <w:p w14:paraId="246589D4" w14:textId="77777777" w:rsidR="00EA7FC7" w:rsidRPr="00471832" w:rsidRDefault="00EA7FC7" w:rsidP="00D5507E">
      <w:pPr>
        <w:rPr>
          <w:rFonts w:ascii="Times" w:hAnsi="Times"/>
          <w:szCs w:val="24"/>
        </w:rPr>
      </w:pPr>
    </w:p>
    <w:p w14:paraId="66656234" w14:textId="53272427" w:rsidR="00993033" w:rsidRPr="009A7F2D" w:rsidRDefault="00BA44C6" w:rsidP="00D5507E">
      <w:pPr>
        <w:rPr>
          <w:szCs w:val="24"/>
        </w:rPr>
      </w:pPr>
      <w:r w:rsidRPr="009A7F2D">
        <w:rPr>
          <w:rFonts w:ascii="Times" w:hAnsi="Times"/>
          <w:szCs w:val="24"/>
        </w:rPr>
        <w:t xml:space="preserve">Global growth </w:t>
      </w:r>
      <w:r w:rsidR="00B544D2" w:rsidRPr="00471832">
        <w:rPr>
          <w:rFonts w:ascii="Times" w:hAnsi="Times"/>
          <w:szCs w:val="24"/>
        </w:rPr>
        <w:t xml:space="preserve">had already </w:t>
      </w:r>
      <w:r w:rsidRPr="009A7F2D">
        <w:rPr>
          <w:rFonts w:ascii="Times" w:hAnsi="Times"/>
          <w:szCs w:val="24"/>
        </w:rPr>
        <w:t xml:space="preserve">slowed before </w:t>
      </w:r>
      <w:r w:rsidR="00B544D2" w:rsidRPr="00471832">
        <w:rPr>
          <w:rFonts w:ascii="Times" w:hAnsi="Times"/>
          <w:szCs w:val="24"/>
        </w:rPr>
        <w:t>the onset of Covid-19</w:t>
      </w:r>
      <w:r w:rsidRPr="009A7F2D">
        <w:rPr>
          <w:rFonts w:ascii="Times" w:hAnsi="Times"/>
          <w:szCs w:val="24"/>
        </w:rPr>
        <w:t>. In 2019, the global economy grew by 2.4 per</w:t>
      </w:r>
      <w:r w:rsidR="00B544D2" w:rsidRPr="00471832">
        <w:rPr>
          <w:rFonts w:ascii="Times" w:hAnsi="Times"/>
          <w:szCs w:val="24"/>
        </w:rPr>
        <w:t xml:space="preserve"> </w:t>
      </w:r>
      <w:r w:rsidRPr="009A7F2D">
        <w:rPr>
          <w:rFonts w:ascii="Times" w:hAnsi="Times"/>
          <w:szCs w:val="24"/>
        </w:rPr>
        <w:t>cent, the lowest rate since the global financial crisis</w:t>
      </w:r>
      <w:r w:rsidR="00B544D2" w:rsidRPr="00471832">
        <w:rPr>
          <w:rFonts w:ascii="Times" w:hAnsi="Times"/>
          <w:szCs w:val="24"/>
        </w:rPr>
        <w:t xml:space="preserve"> of</w:t>
      </w:r>
      <w:r w:rsidRPr="009A7F2D">
        <w:rPr>
          <w:rFonts w:ascii="Times" w:hAnsi="Times"/>
          <w:szCs w:val="24"/>
        </w:rPr>
        <w:t xml:space="preserve"> a decade ago</w:t>
      </w:r>
      <w:r w:rsidRPr="00471832">
        <w:rPr>
          <w:rStyle w:val="FootnoteReference"/>
          <w:rFonts w:ascii="Times" w:hAnsi="Times"/>
          <w:szCs w:val="24"/>
        </w:rPr>
        <w:footnoteReference w:id="1"/>
      </w:r>
      <w:r w:rsidRPr="009A7F2D">
        <w:rPr>
          <w:rFonts w:ascii="Times" w:hAnsi="Times"/>
          <w:szCs w:val="24"/>
        </w:rPr>
        <w:t xml:space="preserve">. This sluggish growth </w:t>
      </w:r>
      <w:r w:rsidR="00EA7FC7" w:rsidRPr="009A7F2D">
        <w:rPr>
          <w:rFonts w:ascii="Times" w:hAnsi="Times"/>
          <w:szCs w:val="24"/>
        </w:rPr>
        <w:t>was driven largely by</w:t>
      </w:r>
      <w:r w:rsidRPr="009A7F2D">
        <w:rPr>
          <w:rFonts w:ascii="Times" w:hAnsi="Times"/>
          <w:szCs w:val="24"/>
        </w:rPr>
        <w:t xml:space="preserve"> weak global trade and investment. This impacted both advanced economies as well as emerging market and developing economies (EMDEs). Geopolitical tensions, intensifying social unrest and</w:t>
      </w:r>
      <w:r w:rsidRPr="009A7F2D">
        <w:rPr>
          <w:rFonts w:ascii="Times" w:hAnsi="Times"/>
          <w:color w:val="000000"/>
          <w:szCs w:val="24"/>
          <w:lang w:eastAsia="en-ZA"/>
        </w:rPr>
        <w:t xml:space="preserve"> </w:t>
      </w:r>
      <w:r w:rsidRPr="009A7F2D">
        <w:rPr>
          <w:rFonts w:ascii="Times" w:hAnsi="Times"/>
          <w:szCs w:val="24"/>
        </w:rPr>
        <w:t>weather-related disasters also</w:t>
      </w:r>
      <w:r w:rsidRPr="009A7F2D">
        <w:rPr>
          <w:rFonts w:ascii="Times" w:hAnsi="Times"/>
          <w:color w:val="000000"/>
          <w:szCs w:val="24"/>
          <w:lang w:eastAsia="en-ZA"/>
        </w:rPr>
        <w:t xml:space="preserve"> </w:t>
      </w:r>
      <w:r w:rsidRPr="009A7F2D">
        <w:rPr>
          <w:rFonts w:ascii="Times" w:hAnsi="Times"/>
          <w:szCs w:val="24"/>
        </w:rPr>
        <w:t xml:space="preserve">weighed </w:t>
      </w:r>
      <w:r w:rsidR="00EA7FC7" w:rsidRPr="009A7F2D">
        <w:rPr>
          <w:rFonts w:ascii="Times" w:hAnsi="Times"/>
          <w:szCs w:val="24"/>
        </w:rPr>
        <w:t>down g</w:t>
      </w:r>
      <w:r w:rsidRPr="009A7F2D">
        <w:rPr>
          <w:rFonts w:ascii="Times" w:hAnsi="Times"/>
          <w:szCs w:val="24"/>
        </w:rPr>
        <w:t xml:space="preserve">lobal economic activity. </w:t>
      </w:r>
      <w:r w:rsidR="000D4D8F" w:rsidRPr="00471832">
        <w:rPr>
          <w:rFonts w:ascii="Times" w:hAnsi="Times"/>
          <w:szCs w:val="24"/>
        </w:rPr>
        <w:t xml:space="preserve">While </w:t>
      </w:r>
      <w:r w:rsidRPr="009A7F2D">
        <w:rPr>
          <w:rFonts w:ascii="Times" w:hAnsi="Times"/>
          <w:szCs w:val="24"/>
        </w:rPr>
        <w:t>consensus on a rebound in global activity in 2020</w:t>
      </w:r>
      <w:r w:rsidR="000D4D8F" w:rsidRPr="00471832">
        <w:rPr>
          <w:rFonts w:ascii="Times" w:hAnsi="Times"/>
          <w:szCs w:val="24"/>
        </w:rPr>
        <w:t xml:space="preserve"> existed, </w:t>
      </w:r>
      <w:r w:rsidRPr="009A7F2D">
        <w:rPr>
          <w:rFonts w:ascii="Times" w:hAnsi="Times"/>
          <w:szCs w:val="24"/>
        </w:rPr>
        <w:t xml:space="preserve">this projected pickup was already </w:t>
      </w:r>
      <w:r w:rsidR="00ED514A" w:rsidRPr="00471832">
        <w:rPr>
          <w:rFonts w:ascii="Times" w:hAnsi="Times"/>
          <w:szCs w:val="24"/>
        </w:rPr>
        <w:t>in doubt</w:t>
      </w:r>
      <w:r w:rsidRPr="009A7F2D">
        <w:rPr>
          <w:rFonts w:ascii="Times" w:hAnsi="Times"/>
          <w:szCs w:val="24"/>
        </w:rPr>
        <w:t xml:space="preserve">, because it was premised on a recovery in a few large EMDEs, whereas growth was projected to decelerate in China, the </w:t>
      </w:r>
      <w:r w:rsidR="00ED514A" w:rsidRPr="00471832">
        <w:rPr>
          <w:rFonts w:ascii="Times" w:hAnsi="Times"/>
          <w:szCs w:val="24"/>
        </w:rPr>
        <w:t>E</w:t>
      </w:r>
      <w:r w:rsidRPr="009A7F2D">
        <w:rPr>
          <w:rFonts w:ascii="Times" w:hAnsi="Times"/>
          <w:szCs w:val="24"/>
        </w:rPr>
        <w:t xml:space="preserve">uro area, and the United States. The outbreak and spread of </w:t>
      </w:r>
      <w:r w:rsidR="00ED514A" w:rsidRPr="00471832">
        <w:rPr>
          <w:rFonts w:ascii="Times" w:hAnsi="Times"/>
          <w:szCs w:val="24"/>
        </w:rPr>
        <w:t>Covid-19</w:t>
      </w:r>
      <w:r w:rsidRPr="009A7F2D">
        <w:rPr>
          <w:rFonts w:ascii="Times" w:hAnsi="Times"/>
          <w:szCs w:val="24"/>
        </w:rPr>
        <w:t xml:space="preserve"> means that this rebound will not only fail to materialise, but global </w:t>
      </w:r>
      <w:r w:rsidR="00EA7FC7" w:rsidRPr="009A7F2D">
        <w:rPr>
          <w:rFonts w:ascii="Times" w:hAnsi="Times"/>
          <w:szCs w:val="24"/>
        </w:rPr>
        <w:t xml:space="preserve">economic </w:t>
      </w:r>
      <w:r w:rsidRPr="009A7F2D">
        <w:rPr>
          <w:rFonts w:ascii="Times" w:hAnsi="Times"/>
          <w:szCs w:val="24"/>
        </w:rPr>
        <w:t>activity will instead contract in 2020.</w:t>
      </w:r>
    </w:p>
    <w:p w14:paraId="5A755D13" w14:textId="77777777" w:rsidR="00993033" w:rsidRPr="00471832" w:rsidRDefault="00993033" w:rsidP="009A7F2D">
      <w:pPr>
        <w:ind w:left="-284"/>
        <w:rPr>
          <w:rFonts w:ascii="Times" w:hAnsi="Times"/>
          <w:szCs w:val="24"/>
        </w:rPr>
      </w:pPr>
    </w:p>
    <w:p w14:paraId="6380893A" w14:textId="6EFA7D6C" w:rsidR="00BA44C6" w:rsidRPr="009A7F2D" w:rsidRDefault="00BA44C6" w:rsidP="00D5507E">
      <w:pPr>
        <w:rPr>
          <w:szCs w:val="24"/>
        </w:rPr>
      </w:pPr>
      <w:r w:rsidRPr="009A7F2D">
        <w:rPr>
          <w:rFonts w:ascii="Times" w:hAnsi="Times"/>
          <w:szCs w:val="24"/>
        </w:rPr>
        <w:t>Initial data indicate</w:t>
      </w:r>
      <w:r w:rsidR="00EA7FC7" w:rsidRPr="009A7F2D">
        <w:rPr>
          <w:rFonts w:ascii="Times" w:hAnsi="Times"/>
          <w:szCs w:val="24"/>
        </w:rPr>
        <w:t>s</w:t>
      </w:r>
      <w:r w:rsidRPr="009A7F2D">
        <w:rPr>
          <w:rFonts w:ascii="Times" w:hAnsi="Times"/>
          <w:szCs w:val="24"/>
        </w:rPr>
        <w:t xml:space="preserve"> that the economic impact of </w:t>
      </w:r>
      <w:r w:rsidR="00ED514A" w:rsidRPr="00471832">
        <w:rPr>
          <w:rFonts w:ascii="Times" w:hAnsi="Times"/>
          <w:szCs w:val="24"/>
        </w:rPr>
        <w:t>Covid-19</w:t>
      </w:r>
      <w:r w:rsidRPr="009A7F2D">
        <w:rPr>
          <w:rFonts w:ascii="Times" w:hAnsi="Times"/>
          <w:szCs w:val="24"/>
        </w:rPr>
        <w:t xml:space="preserve"> is widespread and is </w:t>
      </w:r>
      <w:r w:rsidR="00EA7FC7" w:rsidRPr="009A7F2D">
        <w:rPr>
          <w:rFonts w:ascii="Times" w:hAnsi="Times"/>
          <w:szCs w:val="24"/>
        </w:rPr>
        <w:t xml:space="preserve">shifting </w:t>
      </w:r>
      <w:r w:rsidRPr="009A7F2D">
        <w:rPr>
          <w:rFonts w:ascii="Times" w:hAnsi="Times"/>
          <w:szCs w:val="24"/>
        </w:rPr>
        <w:t>the global economy towards a recession.</w:t>
      </w:r>
      <w:r w:rsidRPr="009A7F2D">
        <w:rPr>
          <w:rFonts w:ascii="Times" w:hAnsi="Times"/>
          <w:color w:val="000000"/>
          <w:szCs w:val="24"/>
          <w:lang w:eastAsia="en-ZA"/>
        </w:rPr>
        <w:t xml:space="preserve"> Global growth is estimated to contract by 3.0 per</w:t>
      </w:r>
      <w:r w:rsidR="00ED514A" w:rsidRPr="00471832">
        <w:rPr>
          <w:rFonts w:ascii="Times" w:hAnsi="Times"/>
          <w:color w:val="000000"/>
          <w:szCs w:val="24"/>
          <w:lang w:eastAsia="en-ZA"/>
        </w:rPr>
        <w:t xml:space="preserve"> </w:t>
      </w:r>
      <w:r w:rsidRPr="009A7F2D">
        <w:rPr>
          <w:rFonts w:ascii="Times" w:hAnsi="Times"/>
          <w:color w:val="000000"/>
          <w:szCs w:val="24"/>
          <w:lang w:eastAsia="en-ZA"/>
        </w:rPr>
        <w:t xml:space="preserve">cent in 2020, </w:t>
      </w:r>
      <w:r w:rsidR="00EA7FC7" w:rsidRPr="009A7F2D">
        <w:rPr>
          <w:rFonts w:ascii="Times" w:hAnsi="Times"/>
          <w:color w:val="000000"/>
          <w:szCs w:val="24"/>
          <w:lang w:eastAsia="en-ZA"/>
        </w:rPr>
        <w:t xml:space="preserve">and </w:t>
      </w:r>
      <w:r w:rsidRPr="009A7F2D">
        <w:rPr>
          <w:rFonts w:ascii="Times" w:hAnsi="Times"/>
          <w:color w:val="000000"/>
          <w:szCs w:val="24"/>
          <w:lang w:eastAsia="en-ZA"/>
        </w:rPr>
        <w:t xml:space="preserve">this projection surpasses the economic deceleration that was recorded during the 2009 global financial crisis. </w:t>
      </w:r>
      <w:r w:rsidRPr="009A7F2D">
        <w:rPr>
          <w:rFonts w:ascii="Times" w:hAnsi="Times"/>
          <w:szCs w:val="24"/>
        </w:rPr>
        <w:t xml:space="preserve">The downturn in economic activity in the United States is projected at </w:t>
      </w:r>
      <w:r w:rsidR="000A4FCE">
        <w:rPr>
          <w:rFonts w:ascii="Times" w:hAnsi="Times"/>
          <w:szCs w:val="24"/>
        </w:rPr>
        <w:t>-</w:t>
      </w:r>
      <w:r w:rsidRPr="009A7F2D">
        <w:rPr>
          <w:rFonts w:ascii="Times" w:hAnsi="Times"/>
          <w:szCs w:val="24"/>
        </w:rPr>
        <w:t>5.9 per</w:t>
      </w:r>
      <w:r w:rsidR="00ED514A" w:rsidRPr="00471832">
        <w:rPr>
          <w:rFonts w:ascii="Times" w:hAnsi="Times"/>
          <w:szCs w:val="24"/>
        </w:rPr>
        <w:t xml:space="preserve"> </w:t>
      </w:r>
      <w:r w:rsidRPr="009A7F2D">
        <w:rPr>
          <w:rFonts w:ascii="Times" w:hAnsi="Times"/>
          <w:szCs w:val="24"/>
        </w:rPr>
        <w:t xml:space="preserve">cent, </w:t>
      </w:r>
      <w:r w:rsidR="00E526E0" w:rsidRPr="00471832">
        <w:rPr>
          <w:rFonts w:ascii="Times" w:hAnsi="Times"/>
          <w:szCs w:val="24"/>
        </w:rPr>
        <w:t xml:space="preserve">in the </w:t>
      </w:r>
      <w:r w:rsidRPr="009A7F2D">
        <w:rPr>
          <w:rFonts w:ascii="Times" w:hAnsi="Times"/>
          <w:szCs w:val="24"/>
        </w:rPr>
        <w:t xml:space="preserve">Euro area </w:t>
      </w:r>
      <w:r w:rsidR="00E526E0" w:rsidRPr="00471832">
        <w:rPr>
          <w:rFonts w:ascii="Times" w:hAnsi="Times"/>
          <w:szCs w:val="24"/>
        </w:rPr>
        <w:t xml:space="preserve">at </w:t>
      </w:r>
      <w:r w:rsidRPr="009A7F2D">
        <w:rPr>
          <w:rFonts w:ascii="Times" w:hAnsi="Times"/>
          <w:szCs w:val="24"/>
        </w:rPr>
        <w:t>-7.5 per</w:t>
      </w:r>
      <w:r w:rsidR="00E526E0" w:rsidRPr="00471832">
        <w:rPr>
          <w:rFonts w:ascii="Times" w:hAnsi="Times"/>
          <w:szCs w:val="24"/>
        </w:rPr>
        <w:t xml:space="preserve"> </w:t>
      </w:r>
      <w:r w:rsidRPr="009A7F2D">
        <w:rPr>
          <w:rFonts w:ascii="Times" w:hAnsi="Times"/>
          <w:szCs w:val="24"/>
        </w:rPr>
        <w:t xml:space="preserve">cent, </w:t>
      </w:r>
      <w:r w:rsidR="00E526E0" w:rsidRPr="00471832">
        <w:rPr>
          <w:rFonts w:ascii="Times" w:hAnsi="Times"/>
          <w:szCs w:val="24"/>
        </w:rPr>
        <w:t xml:space="preserve">in the </w:t>
      </w:r>
      <w:r w:rsidRPr="009A7F2D">
        <w:rPr>
          <w:rFonts w:ascii="Times" w:hAnsi="Times"/>
          <w:szCs w:val="24"/>
        </w:rPr>
        <w:t xml:space="preserve">United Kingdom </w:t>
      </w:r>
      <w:r w:rsidR="00E526E0" w:rsidRPr="00471832">
        <w:rPr>
          <w:rFonts w:ascii="Times" w:hAnsi="Times"/>
          <w:szCs w:val="24"/>
        </w:rPr>
        <w:t xml:space="preserve">at </w:t>
      </w:r>
      <w:r w:rsidRPr="009A7F2D">
        <w:rPr>
          <w:rFonts w:ascii="Times" w:hAnsi="Times"/>
          <w:szCs w:val="24"/>
        </w:rPr>
        <w:t>-6.5 per</w:t>
      </w:r>
      <w:r w:rsidR="00E526E0" w:rsidRPr="00471832">
        <w:rPr>
          <w:rFonts w:ascii="Times" w:hAnsi="Times"/>
          <w:szCs w:val="24"/>
        </w:rPr>
        <w:t xml:space="preserve"> </w:t>
      </w:r>
      <w:r w:rsidRPr="009A7F2D">
        <w:rPr>
          <w:rFonts w:ascii="Times" w:hAnsi="Times"/>
          <w:szCs w:val="24"/>
        </w:rPr>
        <w:t>cent</w:t>
      </w:r>
      <w:r w:rsidR="00E526E0" w:rsidRPr="00471832">
        <w:rPr>
          <w:rFonts w:ascii="Times" w:hAnsi="Times"/>
          <w:szCs w:val="24"/>
        </w:rPr>
        <w:t>,</w:t>
      </w:r>
      <w:r w:rsidRPr="009A7F2D">
        <w:rPr>
          <w:rFonts w:ascii="Times" w:hAnsi="Times"/>
          <w:szCs w:val="24"/>
        </w:rPr>
        <w:t xml:space="preserve"> and </w:t>
      </w:r>
      <w:r w:rsidR="00E526E0" w:rsidRPr="00471832">
        <w:rPr>
          <w:rFonts w:ascii="Times" w:hAnsi="Times"/>
          <w:szCs w:val="24"/>
        </w:rPr>
        <w:t xml:space="preserve">in </w:t>
      </w:r>
      <w:r w:rsidRPr="009A7F2D">
        <w:rPr>
          <w:rFonts w:ascii="Times" w:hAnsi="Times"/>
          <w:szCs w:val="24"/>
        </w:rPr>
        <w:t xml:space="preserve">China </w:t>
      </w:r>
      <w:r w:rsidR="00E526E0" w:rsidRPr="00471832">
        <w:rPr>
          <w:rFonts w:ascii="Times" w:hAnsi="Times"/>
          <w:szCs w:val="24"/>
        </w:rPr>
        <w:t xml:space="preserve">at </w:t>
      </w:r>
      <w:r w:rsidRPr="009A7F2D">
        <w:rPr>
          <w:rFonts w:ascii="Times" w:hAnsi="Times"/>
          <w:szCs w:val="24"/>
        </w:rPr>
        <w:t>1.2 per</w:t>
      </w:r>
      <w:r w:rsidR="00E526E0" w:rsidRPr="00471832">
        <w:rPr>
          <w:rFonts w:ascii="Times" w:hAnsi="Times"/>
          <w:szCs w:val="24"/>
        </w:rPr>
        <w:t xml:space="preserve"> </w:t>
      </w:r>
      <w:r w:rsidRPr="009A7F2D">
        <w:rPr>
          <w:rFonts w:ascii="Times" w:hAnsi="Times"/>
          <w:szCs w:val="24"/>
        </w:rPr>
        <w:t>ce</w:t>
      </w:r>
      <w:r w:rsidR="00EA7FC7" w:rsidRPr="009A7F2D">
        <w:rPr>
          <w:rFonts w:ascii="Times" w:hAnsi="Times"/>
          <w:szCs w:val="24"/>
        </w:rPr>
        <w:t>nt. These are key South Africa’s trading</w:t>
      </w:r>
      <w:r w:rsidRPr="009A7F2D">
        <w:rPr>
          <w:rFonts w:ascii="Times" w:hAnsi="Times"/>
          <w:szCs w:val="24"/>
        </w:rPr>
        <w:t xml:space="preserve"> partners. The economic slowdown in these economies will, in all likelihood</w:t>
      </w:r>
      <w:r w:rsidR="00EA7FC7" w:rsidRPr="009A7F2D">
        <w:rPr>
          <w:rFonts w:ascii="Times" w:hAnsi="Times"/>
          <w:szCs w:val="24"/>
        </w:rPr>
        <w:t>, negatively</w:t>
      </w:r>
      <w:r w:rsidRPr="009A7F2D">
        <w:rPr>
          <w:rFonts w:ascii="Times" w:hAnsi="Times"/>
          <w:szCs w:val="24"/>
        </w:rPr>
        <w:t xml:space="preserve"> impact the South African economy. The deep contraction in most of South African trading partners is shown in </w:t>
      </w:r>
      <w:r w:rsidR="00DF0799" w:rsidRPr="00CA33F6">
        <w:rPr>
          <w:rFonts w:ascii="Times" w:hAnsi="Times"/>
          <w:color w:val="000000" w:themeColor="text1"/>
          <w:szCs w:val="24"/>
        </w:rPr>
        <w:fldChar w:fldCharType="begin"/>
      </w:r>
      <w:r w:rsidR="00DF0799" w:rsidRPr="0044169C">
        <w:rPr>
          <w:rFonts w:ascii="Times" w:hAnsi="Times"/>
          <w:color w:val="000000" w:themeColor="text1"/>
          <w:szCs w:val="24"/>
        </w:rPr>
        <w:instrText xml:space="preserve"> REF _Ref41124040 \h </w:instrText>
      </w:r>
      <w:r w:rsidR="00DF0799" w:rsidRPr="00CA33F6">
        <w:rPr>
          <w:rFonts w:ascii="Times" w:hAnsi="Times"/>
          <w:color w:val="000000" w:themeColor="text1"/>
          <w:szCs w:val="24"/>
        </w:rPr>
      </w:r>
      <w:r w:rsidR="00DF0799" w:rsidRPr="00CA33F6">
        <w:rPr>
          <w:rFonts w:ascii="Times" w:hAnsi="Times"/>
          <w:color w:val="000000" w:themeColor="text1"/>
          <w:szCs w:val="24"/>
        </w:rPr>
        <w:fldChar w:fldCharType="separate"/>
      </w:r>
      <w:r w:rsidR="00DF0799" w:rsidRPr="0044169C">
        <w:rPr>
          <w:rFonts w:ascii="Times" w:hAnsi="Times"/>
          <w:color w:val="000000" w:themeColor="text1"/>
          <w:szCs w:val="24"/>
        </w:rPr>
        <w:t xml:space="preserve">Figure </w:t>
      </w:r>
      <w:r w:rsidR="00DF0799" w:rsidRPr="0044169C">
        <w:rPr>
          <w:rFonts w:ascii="Times" w:hAnsi="Times"/>
          <w:noProof/>
          <w:color w:val="000000" w:themeColor="text1"/>
          <w:szCs w:val="24"/>
        </w:rPr>
        <w:t>1</w:t>
      </w:r>
      <w:r w:rsidR="00DF0799" w:rsidRPr="00CA33F6">
        <w:rPr>
          <w:rFonts w:ascii="Times" w:hAnsi="Times"/>
          <w:color w:val="000000" w:themeColor="text1"/>
          <w:szCs w:val="24"/>
        </w:rPr>
        <w:fldChar w:fldCharType="end"/>
      </w:r>
      <w:r w:rsidR="00DF0799">
        <w:rPr>
          <w:rFonts w:ascii="Times" w:hAnsi="Times"/>
          <w:szCs w:val="24"/>
        </w:rPr>
        <w:t xml:space="preserve"> </w:t>
      </w:r>
      <w:r w:rsidRPr="009A7F2D">
        <w:rPr>
          <w:rFonts w:ascii="Times" w:hAnsi="Times"/>
          <w:szCs w:val="24"/>
        </w:rPr>
        <w:t>below. Contractions of a similar magnitude are also projected for other countries as locali</w:t>
      </w:r>
      <w:r w:rsidR="00DF0799">
        <w:rPr>
          <w:rFonts w:ascii="Times" w:hAnsi="Times"/>
          <w:szCs w:val="24"/>
        </w:rPr>
        <w:t>s</w:t>
      </w:r>
      <w:r w:rsidRPr="009A7F2D">
        <w:rPr>
          <w:rFonts w:ascii="Times" w:hAnsi="Times"/>
          <w:szCs w:val="24"/>
        </w:rPr>
        <w:t xml:space="preserve">ed outbreaks combined with strict containment measures weigh </w:t>
      </w:r>
      <w:r w:rsidR="00EA7FC7" w:rsidRPr="009A7F2D">
        <w:rPr>
          <w:rFonts w:ascii="Times" w:hAnsi="Times"/>
          <w:szCs w:val="24"/>
        </w:rPr>
        <w:t>down most economic activities</w:t>
      </w:r>
      <w:r w:rsidRPr="009A7F2D">
        <w:rPr>
          <w:rFonts w:ascii="Times" w:hAnsi="Times"/>
          <w:szCs w:val="24"/>
        </w:rPr>
        <w:t>.</w:t>
      </w:r>
      <w:r w:rsidRPr="009A7F2D">
        <w:rPr>
          <w:rFonts w:ascii="Times" w:hAnsi="Times"/>
          <w:color w:val="000000"/>
          <w:szCs w:val="24"/>
          <w:lang w:eastAsia="en-ZA"/>
        </w:rPr>
        <w:t xml:space="preserve"> Brazil’s growth is forecasted at </w:t>
      </w:r>
      <w:r w:rsidR="00DF0799">
        <w:rPr>
          <w:rFonts w:ascii="Times" w:hAnsi="Times"/>
          <w:color w:val="000000"/>
          <w:szCs w:val="24"/>
          <w:lang w:eastAsia="en-ZA"/>
        </w:rPr>
        <w:t>-</w:t>
      </w:r>
      <w:r w:rsidRPr="009A7F2D">
        <w:rPr>
          <w:rFonts w:ascii="Times" w:hAnsi="Times"/>
          <w:color w:val="000000"/>
          <w:szCs w:val="24"/>
          <w:lang w:eastAsia="en-ZA"/>
        </w:rPr>
        <w:t>5.3 per</w:t>
      </w:r>
      <w:r w:rsidR="00E526E0" w:rsidRPr="00471832">
        <w:rPr>
          <w:rFonts w:ascii="Times" w:hAnsi="Times"/>
          <w:color w:val="000000"/>
          <w:szCs w:val="24"/>
          <w:lang w:eastAsia="en-ZA"/>
        </w:rPr>
        <w:t xml:space="preserve"> </w:t>
      </w:r>
      <w:r w:rsidRPr="009A7F2D">
        <w:rPr>
          <w:rFonts w:ascii="Times" w:hAnsi="Times"/>
          <w:color w:val="000000"/>
          <w:szCs w:val="24"/>
          <w:lang w:eastAsia="en-ZA"/>
        </w:rPr>
        <w:t>cent, Mexico (</w:t>
      </w:r>
      <w:r w:rsidR="00DF0799">
        <w:rPr>
          <w:rFonts w:ascii="Times" w:hAnsi="Times"/>
          <w:color w:val="000000"/>
          <w:szCs w:val="24"/>
          <w:lang w:eastAsia="en-ZA"/>
        </w:rPr>
        <w:t>-</w:t>
      </w:r>
      <w:r w:rsidRPr="009A7F2D">
        <w:rPr>
          <w:rFonts w:ascii="Times" w:hAnsi="Times"/>
          <w:color w:val="000000"/>
          <w:szCs w:val="24"/>
          <w:lang w:eastAsia="en-ZA"/>
        </w:rPr>
        <w:t>6.6 per</w:t>
      </w:r>
      <w:r w:rsidR="00E526E0" w:rsidRPr="00471832">
        <w:rPr>
          <w:rFonts w:ascii="Times" w:hAnsi="Times"/>
          <w:color w:val="000000"/>
          <w:szCs w:val="24"/>
          <w:lang w:eastAsia="en-ZA"/>
        </w:rPr>
        <w:t xml:space="preserve"> </w:t>
      </w:r>
      <w:r w:rsidRPr="009A7F2D">
        <w:rPr>
          <w:rFonts w:ascii="Times" w:hAnsi="Times"/>
          <w:color w:val="000000"/>
          <w:szCs w:val="24"/>
          <w:lang w:eastAsia="en-ZA"/>
        </w:rPr>
        <w:t>cent), Russia (</w:t>
      </w:r>
      <w:r w:rsidR="00DF0799">
        <w:rPr>
          <w:rFonts w:ascii="Times" w:hAnsi="Times"/>
          <w:color w:val="000000"/>
          <w:szCs w:val="24"/>
          <w:lang w:eastAsia="en-ZA"/>
        </w:rPr>
        <w:t>-</w:t>
      </w:r>
      <w:r w:rsidRPr="009A7F2D">
        <w:rPr>
          <w:rFonts w:ascii="Times" w:hAnsi="Times"/>
          <w:color w:val="000000"/>
          <w:szCs w:val="24"/>
          <w:lang w:eastAsia="en-ZA"/>
        </w:rPr>
        <w:t>5.5 per</w:t>
      </w:r>
      <w:r w:rsidR="00E526E0" w:rsidRPr="00471832">
        <w:rPr>
          <w:rFonts w:ascii="Times" w:hAnsi="Times"/>
          <w:color w:val="000000"/>
          <w:szCs w:val="24"/>
          <w:lang w:eastAsia="en-ZA"/>
        </w:rPr>
        <w:t xml:space="preserve"> </w:t>
      </w:r>
      <w:r w:rsidRPr="009A7F2D">
        <w:rPr>
          <w:rFonts w:ascii="Times" w:hAnsi="Times"/>
          <w:color w:val="000000"/>
          <w:szCs w:val="24"/>
          <w:lang w:eastAsia="en-ZA"/>
        </w:rPr>
        <w:t>cent)</w:t>
      </w:r>
      <w:r w:rsidR="00EA7FC7" w:rsidRPr="009A7F2D">
        <w:rPr>
          <w:rFonts w:ascii="Times" w:hAnsi="Times"/>
          <w:color w:val="000000"/>
          <w:szCs w:val="24"/>
          <w:lang w:eastAsia="en-ZA"/>
        </w:rPr>
        <w:t>, and</w:t>
      </w:r>
      <w:r w:rsidRPr="009A7F2D">
        <w:rPr>
          <w:rFonts w:ascii="Times" w:hAnsi="Times"/>
          <w:color w:val="000000"/>
          <w:szCs w:val="24"/>
          <w:lang w:eastAsia="en-ZA"/>
        </w:rPr>
        <w:t xml:space="preserve"> Nigeria (</w:t>
      </w:r>
      <w:r w:rsidR="00DF0799">
        <w:rPr>
          <w:rFonts w:ascii="Times" w:hAnsi="Times"/>
          <w:color w:val="000000"/>
          <w:szCs w:val="24"/>
          <w:lang w:eastAsia="en-ZA"/>
        </w:rPr>
        <w:t>-</w:t>
      </w:r>
      <w:r w:rsidRPr="009A7F2D">
        <w:rPr>
          <w:rFonts w:ascii="Times" w:hAnsi="Times"/>
          <w:color w:val="000000"/>
          <w:szCs w:val="24"/>
          <w:lang w:eastAsia="en-ZA"/>
        </w:rPr>
        <w:t>3.4 per</w:t>
      </w:r>
      <w:r w:rsidR="00E526E0" w:rsidRPr="00471832">
        <w:rPr>
          <w:rFonts w:ascii="Times" w:hAnsi="Times"/>
          <w:color w:val="000000"/>
          <w:szCs w:val="24"/>
          <w:lang w:eastAsia="en-ZA"/>
        </w:rPr>
        <w:t xml:space="preserve"> </w:t>
      </w:r>
      <w:r w:rsidRPr="009A7F2D">
        <w:rPr>
          <w:rFonts w:ascii="Times" w:hAnsi="Times"/>
          <w:color w:val="000000"/>
          <w:szCs w:val="24"/>
          <w:lang w:eastAsia="en-ZA"/>
        </w:rPr>
        <w:t>cent)</w:t>
      </w:r>
      <w:r w:rsidRPr="00471832">
        <w:rPr>
          <w:rStyle w:val="FootnoteReference"/>
          <w:rFonts w:ascii="Times" w:hAnsi="Times"/>
          <w:color w:val="000000"/>
          <w:szCs w:val="24"/>
          <w:lang w:eastAsia="en-ZA"/>
        </w:rPr>
        <w:footnoteReference w:id="2"/>
      </w:r>
      <w:r w:rsidRPr="009A7F2D">
        <w:rPr>
          <w:rFonts w:ascii="Times" w:hAnsi="Times"/>
          <w:color w:val="000000"/>
          <w:szCs w:val="24"/>
          <w:lang w:eastAsia="en-ZA"/>
        </w:rPr>
        <w:t xml:space="preserve">. </w:t>
      </w:r>
    </w:p>
    <w:p w14:paraId="551D626A" w14:textId="77777777" w:rsidR="00EA7FC7" w:rsidRPr="000D33E4" w:rsidRDefault="00EA7FC7" w:rsidP="00822E84">
      <w:pPr>
        <w:rPr>
          <w:rFonts w:ascii="Times" w:hAnsi="Times"/>
        </w:rPr>
      </w:pPr>
    </w:p>
    <w:p w14:paraId="63556F5F" w14:textId="564FCC7C" w:rsidR="00BA44C6" w:rsidRPr="009A7F2D" w:rsidRDefault="00BA44C6" w:rsidP="00D5507E">
      <w:pPr>
        <w:pStyle w:val="Caption"/>
        <w:keepNext/>
        <w:rPr>
          <w:rFonts w:ascii="Times" w:hAnsi="Times"/>
          <w:bCs w:val="0"/>
          <w:iCs/>
          <w:color w:val="004B45"/>
          <w:sz w:val="24"/>
          <w:szCs w:val="24"/>
        </w:rPr>
      </w:pPr>
      <w:bookmarkStart w:id="9" w:name="_Ref41124040"/>
      <w:bookmarkStart w:id="10" w:name="_Toc40897039"/>
      <w:bookmarkStart w:id="11" w:name="_Toc42211433"/>
      <w:r w:rsidRPr="009A7F2D">
        <w:rPr>
          <w:rFonts w:ascii="Times" w:hAnsi="Times"/>
          <w:color w:val="004B45"/>
          <w:sz w:val="24"/>
          <w:szCs w:val="24"/>
        </w:rPr>
        <w:t xml:space="preserve">Figure </w:t>
      </w:r>
      <w:r w:rsidRPr="009A7F2D">
        <w:rPr>
          <w:rFonts w:ascii="Times" w:hAnsi="Times"/>
          <w:color w:val="004B45"/>
          <w:sz w:val="24"/>
          <w:szCs w:val="24"/>
        </w:rPr>
        <w:fldChar w:fldCharType="begin"/>
      </w:r>
      <w:r w:rsidRPr="009A7F2D">
        <w:rPr>
          <w:rFonts w:ascii="Times" w:hAnsi="Times"/>
          <w:color w:val="004B45"/>
          <w:sz w:val="24"/>
          <w:szCs w:val="24"/>
        </w:rPr>
        <w:instrText xml:space="preserve"> SEQ Figure \* ARABIC </w:instrText>
      </w:r>
      <w:r w:rsidRPr="009A7F2D">
        <w:rPr>
          <w:rFonts w:ascii="Times" w:hAnsi="Times"/>
          <w:color w:val="004B45"/>
          <w:sz w:val="24"/>
          <w:szCs w:val="24"/>
        </w:rPr>
        <w:fldChar w:fldCharType="separate"/>
      </w:r>
      <w:r w:rsidR="00835259">
        <w:rPr>
          <w:rFonts w:ascii="Times" w:hAnsi="Times"/>
          <w:noProof/>
          <w:color w:val="004B45"/>
          <w:sz w:val="24"/>
          <w:szCs w:val="24"/>
        </w:rPr>
        <w:t>1</w:t>
      </w:r>
      <w:r w:rsidRPr="009A7F2D">
        <w:rPr>
          <w:rFonts w:ascii="Times" w:hAnsi="Times"/>
          <w:color w:val="004B45"/>
          <w:sz w:val="24"/>
          <w:szCs w:val="24"/>
        </w:rPr>
        <w:fldChar w:fldCharType="end"/>
      </w:r>
      <w:bookmarkEnd w:id="9"/>
      <w:r w:rsidRPr="009A7F2D">
        <w:rPr>
          <w:rFonts w:ascii="Times" w:hAnsi="Times"/>
          <w:color w:val="004B45"/>
          <w:sz w:val="24"/>
          <w:szCs w:val="24"/>
        </w:rPr>
        <w:t>:</w:t>
      </w:r>
      <w:r w:rsidRPr="009A7F2D">
        <w:rPr>
          <w:rFonts w:ascii="Times" w:hAnsi="Times"/>
          <w:i/>
          <w:iCs/>
          <w:color w:val="004B45"/>
          <w:sz w:val="24"/>
          <w:szCs w:val="24"/>
        </w:rPr>
        <w:t xml:space="preserve"> </w:t>
      </w:r>
      <w:r w:rsidRPr="009A7F2D">
        <w:rPr>
          <w:rFonts w:ascii="Times" w:hAnsi="Times"/>
          <w:bCs w:val="0"/>
          <w:iCs/>
          <w:color w:val="004B45"/>
          <w:sz w:val="24"/>
          <w:szCs w:val="24"/>
        </w:rPr>
        <w:t xml:space="preserve">Economic </w:t>
      </w:r>
      <w:r w:rsidR="00AF4B67" w:rsidRPr="009A7F2D">
        <w:rPr>
          <w:rFonts w:ascii="Times" w:hAnsi="Times"/>
          <w:bCs w:val="0"/>
          <w:iCs/>
          <w:color w:val="004B45"/>
          <w:sz w:val="24"/>
          <w:szCs w:val="24"/>
        </w:rPr>
        <w:t>o</w:t>
      </w:r>
      <w:r w:rsidRPr="009A7F2D">
        <w:rPr>
          <w:rFonts w:ascii="Times" w:hAnsi="Times"/>
          <w:bCs w:val="0"/>
          <w:iCs/>
          <w:color w:val="004B45"/>
          <w:sz w:val="24"/>
          <w:szCs w:val="24"/>
        </w:rPr>
        <w:t xml:space="preserve">utlook </w:t>
      </w:r>
      <w:r w:rsidR="00AF4B67" w:rsidRPr="009A7F2D">
        <w:rPr>
          <w:rFonts w:ascii="Times" w:hAnsi="Times"/>
          <w:bCs w:val="0"/>
          <w:iCs/>
          <w:color w:val="004B45"/>
          <w:sz w:val="24"/>
          <w:szCs w:val="24"/>
        </w:rPr>
        <w:t>p</w:t>
      </w:r>
      <w:r w:rsidRPr="009A7F2D">
        <w:rPr>
          <w:rFonts w:ascii="Times" w:hAnsi="Times"/>
          <w:bCs w:val="0"/>
          <w:iCs/>
          <w:color w:val="004B45"/>
          <w:sz w:val="24"/>
          <w:szCs w:val="24"/>
        </w:rPr>
        <w:t xml:space="preserve">rojections for the </w:t>
      </w:r>
      <w:r w:rsidR="00AF4B67" w:rsidRPr="009A7F2D">
        <w:rPr>
          <w:rFonts w:ascii="Times" w:hAnsi="Times"/>
          <w:bCs w:val="0"/>
          <w:iCs/>
          <w:color w:val="004B45"/>
          <w:sz w:val="24"/>
          <w:szCs w:val="24"/>
        </w:rPr>
        <w:t>w</w:t>
      </w:r>
      <w:r w:rsidRPr="009A7F2D">
        <w:rPr>
          <w:rFonts w:ascii="Times" w:hAnsi="Times"/>
          <w:bCs w:val="0"/>
          <w:iCs/>
          <w:color w:val="004B45"/>
          <w:sz w:val="24"/>
          <w:szCs w:val="24"/>
        </w:rPr>
        <w:t>orld, United States, Chin</w:t>
      </w:r>
      <w:r w:rsidR="00AF4B67" w:rsidRPr="009A7F2D">
        <w:rPr>
          <w:rFonts w:ascii="Times" w:hAnsi="Times"/>
          <w:bCs w:val="0"/>
          <w:iCs/>
          <w:color w:val="004B45"/>
          <w:sz w:val="24"/>
          <w:szCs w:val="24"/>
        </w:rPr>
        <w:t>a,</w:t>
      </w:r>
      <w:r w:rsidRPr="009A7F2D">
        <w:rPr>
          <w:rFonts w:ascii="Times" w:hAnsi="Times"/>
          <w:bCs w:val="0"/>
          <w:iCs/>
          <w:color w:val="004B45"/>
          <w:sz w:val="24"/>
          <w:szCs w:val="24"/>
        </w:rPr>
        <w:t xml:space="preserve"> Euro </w:t>
      </w:r>
      <w:r w:rsidR="00AF4B67" w:rsidRPr="009A7F2D">
        <w:rPr>
          <w:rFonts w:ascii="Times" w:hAnsi="Times"/>
          <w:bCs w:val="0"/>
          <w:iCs/>
          <w:color w:val="004B45"/>
          <w:sz w:val="24"/>
          <w:szCs w:val="24"/>
        </w:rPr>
        <w:t>a</w:t>
      </w:r>
      <w:r w:rsidRPr="009A7F2D">
        <w:rPr>
          <w:rFonts w:ascii="Times" w:hAnsi="Times"/>
          <w:bCs w:val="0"/>
          <w:iCs/>
          <w:color w:val="004B45"/>
          <w:sz w:val="24"/>
          <w:szCs w:val="24"/>
        </w:rPr>
        <w:t>rea, and United Kingdom, 2019-2021</w:t>
      </w:r>
      <w:bookmarkEnd w:id="10"/>
      <w:bookmarkEnd w:id="11"/>
    </w:p>
    <w:p w14:paraId="5F9E7ACF" w14:textId="77777777" w:rsidR="00AF4B67" w:rsidRDefault="00BA44C6" w:rsidP="00D5507E">
      <w:pPr>
        <w:keepNext/>
        <w:rPr>
          <w:rFonts w:ascii="Times" w:hAnsi="Times"/>
          <w:i/>
          <w:iCs/>
          <w:sz w:val="20"/>
          <w:szCs w:val="20"/>
        </w:rPr>
      </w:pPr>
      <w:r w:rsidRPr="009A7F2D">
        <w:rPr>
          <w:rFonts w:ascii="Times" w:hAnsi="Times"/>
          <w:noProof/>
          <w:shd w:val="clear" w:color="auto" w:fill="C0504D" w:themeFill="accent2"/>
          <w:lang w:eastAsia="en-ZA"/>
        </w:rPr>
        <w:drawing>
          <wp:inline distT="0" distB="0" distL="0" distR="0" wp14:anchorId="455F4D1B" wp14:editId="741DEF21">
            <wp:extent cx="6057900" cy="2095500"/>
            <wp:effectExtent l="0" t="0" r="0" b="0"/>
            <wp:docPr id="6" name="Chart 6">
              <a:extLst xmlns:a="http://schemas.openxmlformats.org/drawingml/2006/main">
                <a:ext uri="{FF2B5EF4-FFF2-40B4-BE49-F238E27FC236}">
                  <a16:creationId xmlns:a16="http://schemas.microsoft.com/office/drawing/2014/main" id="{8295B9AB-AE5A-45F6-9C9B-FC14DD1375B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5DDA353C" w14:textId="77777777" w:rsidR="00BA44C6" w:rsidRPr="000D33E4" w:rsidRDefault="00BA44C6" w:rsidP="00D5507E">
      <w:pPr>
        <w:keepNext/>
        <w:rPr>
          <w:rFonts w:ascii="Times" w:hAnsi="Times"/>
        </w:rPr>
      </w:pPr>
      <w:r w:rsidRPr="009A7F2D">
        <w:rPr>
          <w:rFonts w:ascii="Times" w:hAnsi="Times"/>
          <w:i/>
          <w:iCs/>
          <w:sz w:val="20"/>
          <w:szCs w:val="20"/>
        </w:rPr>
        <w:t xml:space="preserve">Source: </w:t>
      </w:r>
      <w:r w:rsidRPr="009A7F2D">
        <w:rPr>
          <w:rFonts w:ascii="Times" w:hAnsi="Times"/>
          <w:i/>
          <w:iCs/>
          <w:sz w:val="20"/>
          <w:szCs w:val="20"/>
          <w:lang w:val="en-US"/>
        </w:rPr>
        <w:t xml:space="preserve">IMF </w:t>
      </w:r>
      <w:r w:rsidRPr="009A7F2D">
        <w:rPr>
          <w:rFonts w:ascii="Times" w:hAnsi="Times"/>
          <w:i/>
          <w:iCs/>
          <w:sz w:val="20"/>
          <w:szCs w:val="20"/>
        </w:rPr>
        <w:t>World Economic Outlook, 2020</w:t>
      </w:r>
    </w:p>
    <w:p w14:paraId="17391711" w14:textId="77777777" w:rsidR="00BA4686" w:rsidRPr="000D33E4" w:rsidRDefault="00BA4686" w:rsidP="00B97D22">
      <w:pPr>
        <w:rPr>
          <w:rFonts w:ascii="Times" w:hAnsi="Times"/>
        </w:rPr>
      </w:pPr>
    </w:p>
    <w:p w14:paraId="0436999B" w14:textId="77777777" w:rsidR="00EA7FC7" w:rsidRPr="009A7F2D" w:rsidRDefault="00BA44C6" w:rsidP="009A7F2D">
      <w:pPr>
        <w:rPr>
          <w:szCs w:val="24"/>
        </w:rPr>
      </w:pPr>
      <w:r w:rsidRPr="009A7F2D">
        <w:rPr>
          <w:rFonts w:ascii="Times" w:hAnsi="Times"/>
          <w:szCs w:val="24"/>
        </w:rPr>
        <w:t xml:space="preserve">The effect of </w:t>
      </w:r>
      <w:r w:rsidR="008B0F56" w:rsidRPr="009A7F2D">
        <w:rPr>
          <w:rFonts w:ascii="Times" w:hAnsi="Times"/>
          <w:szCs w:val="24"/>
        </w:rPr>
        <w:t>Covid</w:t>
      </w:r>
      <w:r w:rsidRPr="009A7F2D">
        <w:rPr>
          <w:rFonts w:ascii="Times" w:hAnsi="Times"/>
          <w:szCs w:val="24"/>
        </w:rPr>
        <w:t xml:space="preserve">-19 on global growth is estimated to be more severe in relation to other pandemics because the </w:t>
      </w:r>
      <w:r w:rsidR="008B0F56" w:rsidRPr="009A7F2D">
        <w:rPr>
          <w:rFonts w:ascii="Times" w:hAnsi="Times"/>
          <w:szCs w:val="24"/>
        </w:rPr>
        <w:t>Covid</w:t>
      </w:r>
      <w:r w:rsidRPr="009A7F2D">
        <w:rPr>
          <w:rFonts w:ascii="Times" w:hAnsi="Times"/>
          <w:szCs w:val="24"/>
        </w:rPr>
        <w:t xml:space="preserve">-19 virus is significantly more contagious and the integration of the Chinese economy into </w:t>
      </w:r>
      <w:r w:rsidR="00EA7FC7" w:rsidRPr="009A7F2D">
        <w:rPr>
          <w:rFonts w:ascii="Times" w:hAnsi="Times"/>
          <w:szCs w:val="24"/>
        </w:rPr>
        <w:t xml:space="preserve">the </w:t>
      </w:r>
      <w:r w:rsidRPr="009A7F2D">
        <w:rPr>
          <w:rFonts w:ascii="Times" w:hAnsi="Times"/>
          <w:szCs w:val="24"/>
        </w:rPr>
        <w:t>global economy is more extensive. In comparison to the Severe Acute Respiratory Syndrome (SARS) outbreak in 2002, China</w:t>
      </w:r>
      <w:r w:rsidR="008B0F56" w:rsidRPr="009A7F2D">
        <w:rPr>
          <w:rFonts w:ascii="Times" w:hAnsi="Times"/>
          <w:szCs w:val="24"/>
        </w:rPr>
        <w:t xml:space="preserve"> today</w:t>
      </w:r>
      <w:r w:rsidRPr="009A7F2D">
        <w:rPr>
          <w:rFonts w:ascii="Times" w:hAnsi="Times"/>
          <w:szCs w:val="24"/>
        </w:rPr>
        <w:t xml:space="preserve"> plays a much bigger role in global output, trade, commodity ma</w:t>
      </w:r>
      <w:r w:rsidR="00C2443F" w:rsidRPr="009A7F2D">
        <w:rPr>
          <w:rFonts w:ascii="Times" w:hAnsi="Times"/>
          <w:szCs w:val="24"/>
        </w:rPr>
        <w:t>rkets and international tourism.</w:t>
      </w:r>
    </w:p>
    <w:p w14:paraId="3DAF8C27" w14:textId="77777777" w:rsidR="00EA7FC7" w:rsidRPr="00471832" w:rsidRDefault="00EA7FC7" w:rsidP="00471832">
      <w:pPr>
        <w:rPr>
          <w:rFonts w:ascii="Times" w:hAnsi="Times"/>
          <w:szCs w:val="24"/>
        </w:rPr>
      </w:pPr>
    </w:p>
    <w:p w14:paraId="12A07A87" w14:textId="77777777" w:rsidR="00C2443F" w:rsidRPr="009A7F2D" w:rsidRDefault="00BA44C6" w:rsidP="009A7F2D">
      <w:pPr>
        <w:rPr>
          <w:szCs w:val="24"/>
        </w:rPr>
      </w:pPr>
      <w:r w:rsidRPr="009A7F2D">
        <w:rPr>
          <w:rFonts w:ascii="Times" w:hAnsi="Times"/>
          <w:szCs w:val="24"/>
        </w:rPr>
        <w:t xml:space="preserve">Countries around the world have responded with massive monetary and fiscal responses to the fight against the </w:t>
      </w:r>
      <w:r w:rsidR="008B0F56" w:rsidRPr="009A7F2D">
        <w:rPr>
          <w:rFonts w:ascii="Times" w:hAnsi="Times"/>
          <w:szCs w:val="24"/>
        </w:rPr>
        <w:t>Covid</w:t>
      </w:r>
      <w:r w:rsidRPr="009A7F2D">
        <w:rPr>
          <w:rFonts w:ascii="Times" w:hAnsi="Times"/>
          <w:szCs w:val="24"/>
        </w:rPr>
        <w:t xml:space="preserve">-19 virus. Central banks have taken bold steps to provide further monetary accommodation, boost liquidity, and ensure the smooth functioning of financial markets. Huge fiscal stimulus packages to lessen the economic impacts of the virus have been deployed globally to support households and the business sector. However, aggressive containment measures, heightened uncertainty, financial market turmoil, and stringent cross-border travel restrictions are most likely to weaken global growth in the short to medium term. </w:t>
      </w:r>
    </w:p>
    <w:p w14:paraId="31895606" w14:textId="77777777" w:rsidR="00C2443F" w:rsidRPr="00471832" w:rsidRDefault="00C2443F" w:rsidP="00471832">
      <w:pPr>
        <w:rPr>
          <w:rFonts w:ascii="Times" w:hAnsi="Times"/>
          <w:szCs w:val="24"/>
        </w:rPr>
      </w:pPr>
    </w:p>
    <w:p w14:paraId="7CB5FADE" w14:textId="77777777" w:rsidR="00C2443F" w:rsidRPr="009A7F2D" w:rsidRDefault="00BA44C6" w:rsidP="009A7F2D">
      <w:pPr>
        <w:rPr>
          <w:szCs w:val="24"/>
        </w:rPr>
      </w:pPr>
      <w:r w:rsidRPr="009A7F2D">
        <w:rPr>
          <w:rFonts w:ascii="Times" w:hAnsi="Times"/>
          <w:szCs w:val="24"/>
        </w:rPr>
        <w:t>Global growth is projected to recover to 5.8 per</w:t>
      </w:r>
      <w:r w:rsidR="008B0F56" w:rsidRPr="009A7F2D">
        <w:rPr>
          <w:rFonts w:ascii="Times" w:hAnsi="Times"/>
          <w:szCs w:val="24"/>
        </w:rPr>
        <w:t xml:space="preserve"> </w:t>
      </w:r>
      <w:r w:rsidRPr="009A7F2D">
        <w:rPr>
          <w:rFonts w:ascii="Times" w:hAnsi="Times"/>
          <w:szCs w:val="24"/>
        </w:rPr>
        <w:t>cent in 2021</w:t>
      </w:r>
      <w:r w:rsidRPr="00471832">
        <w:rPr>
          <w:rStyle w:val="FootnoteReference"/>
          <w:rFonts w:ascii="Times" w:hAnsi="Times"/>
          <w:szCs w:val="24"/>
        </w:rPr>
        <w:footnoteReference w:id="3"/>
      </w:r>
      <w:r w:rsidRPr="009A7F2D">
        <w:rPr>
          <w:rFonts w:ascii="Times" w:hAnsi="Times"/>
          <w:szCs w:val="24"/>
        </w:rPr>
        <w:t>.</w:t>
      </w:r>
      <w:r w:rsidRPr="009A7F2D">
        <w:rPr>
          <w:rFonts w:ascii="Times" w:hAnsi="Times"/>
          <w:szCs w:val="24"/>
          <w:lang w:eastAsia="en-ZA"/>
        </w:rPr>
        <w:t xml:space="preserve"> </w:t>
      </w:r>
      <w:r w:rsidR="008B0F56" w:rsidRPr="009A7F2D">
        <w:rPr>
          <w:rFonts w:ascii="Times" w:hAnsi="Times"/>
          <w:szCs w:val="24"/>
        </w:rPr>
        <w:t>However, t</w:t>
      </w:r>
      <w:r w:rsidRPr="009A7F2D">
        <w:rPr>
          <w:rFonts w:ascii="Times" w:hAnsi="Times"/>
          <w:szCs w:val="24"/>
        </w:rPr>
        <w:t xml:space="preserve">he recovery in 2021 hinges on the pandemic fading in </w:t>
      </w:r>
      <w:r w:rsidR="00C2443F" w:rsidRPr="009A7F2D">
        <w:rPr>
          <w:rFonts w:ascii="Times" w:hAnsi="Times"/>
          <w:szCs w:val="24"/>
        </w:rPr>
        <w:t>the second half of 2020, allowing</w:t>
      </w:r>
      <w:r w:rsidRPr="009A7F2D">
        <w:rPr>
          <w:rFonts w:ascii="Times" w:hAnsi="Times"/>
          <w:szCs w:val="24"/>
        </w:rPr>
        <w:t xml:space="preserve"> containment measures to be slowly lifted and restoring consumer and investor confidence. The strength of the recovery is extremely uncertain because aspects that underpin it may simply not materiali</w:t>
      </w:r>
      <w:r w:rsidR="008B0F56" w:rsidRPr="009A7F2D">
        <w:rPr>
          <w:rFonts w:ascii="Times" w:hAnsi="Times"/>
          <w:szCs w:val="24"/>
        </w:rPr>
        <w:t>s</w:t>
      </w:r>
      <w:r w:rsidRPr="009A7F2D">
        <w:rPr>
          <w:rFonts w:ascii="Times" w:hAnsi="Times"/>
          <w:szCs w:val="24"/>
        </w:rPr>
        <w:t xml:space="preserve">e, and worse global growth outcomes are possible, depending on the pathway of the pandemic and the severity of the associated economic and financial consequences. </w:t>
      </w:r>
    </w:p>
    <w:p w14:paraId="6C661CEB" w14:textId="77777777" w:rsidR="00C2443F" w:rsidRPr="00471832" w:rsidRDefault="00C2443F" w:rsidP="00471832">
      <w:pPr>
        <w:rPr>
          <w:rFonts w:ascii="Times" w:hAnsi="Times"/>
          <w:szCs w:val="24"/>
        </w:rPr>
      </w:pPr>
    </w:p>
    <w:p w14:paraId="24705065" w14:textId="77777777" w:rsidR="00BA44C6" w:rsidRPr="009A7F2D" w:rsidRDefault="00BA44C6" w:rsidP="009A7F2D">
      <w:pPr>
        <w:rPr>
          <w:szCs w:val="24"/>
        </w:rPr>
      </w:pPr>
      <w:r w:rsidRPr="009A7F2D">
        <w:rPr>
          <w:rFonts w:ascii="Times" w:hAnsi="Times"/>
          <w:szCs w:val="24"/>
        </w:rPr>
        <w:t>The implication for South Africa emanating from the global economic outlook are twofold</w:t>
      </w:r>
      <w:r w:rsidR="008B0F56" w:rsidRPr="009A7F2D">
        <w:rPr>
          <w:rFonts w:ascii="Times" w:hAnsi="Times"/>
          <w:szCs w:val="24"/>
        </w:rPr>
        <w:t>:</w:t>
      </w:r>
      <w:r w:rsidRPr="009A7F2D">
        <w:rPr>
          <w:rFonts w:ascii="Times" w:hAnsi="Times"/>
          <w:szCs w:val="24"/>
        </w:rPr>
        <w:t xml:space="preserve"> First, through the disruption in trade and value chains, particularly affecting commodity export. Second, through foreign financing flows reduction.</w:t>
      </w:r>
      <w:r w:rsidR="002D39CB">
        <w:rPr>
          <w:rFonts w:ascii="Times" w:hAnsi="Times"/>
          <w:szCs w:val="24"/>
        </w:rPr>
        <w:t xml:space="preserve"> </w:t>
      </w:r>
    </w:p>
    <w:p w14:paraId="03C8F143" w14:textId="77777777" w:rsidR="00BA44C6" w:rsidRPr="000D33E4" w:rsidRDefault="00BA44C6" w:rsidP="00382145">
      <w:pPr>
        <w:pStyle w:val="Heading2"/>
      </w:pPr>
      <w:bookmarkStart w:id="12" w:name="_Toc32331485"/>
      <w:bookmarkStart w:id="13" w:name="_Toc42211907"/>
      <w:r w:rsidRPr="000D33E4">
        <w:t>Domestic economy</w:t>
      </w:r>
      <w:bookmarkEnd w:id="12"/>
      <w:bookmarkEnd w:id="13"/>
    </w:p>
    <w:p w14:paraId="4EDC3E27" w14:textId="77777777" w:rsidR="000C75FC" w:rsidRPr="000D33E4" w:rsidRDefault="000C75FC" w:rsidP="00471832">
      <w:pPr>
        <w:rPr>
          <w:rFonts w:ascii="Times" w:hAnsi="Times"/>
        </w:rPr>
      </w:pPr>
    </w:p>
    <w:p w14:paraId="72493B73" w14:textId="5E04BD0E" w:rsidR="00C2443F" w:rsidRPr="000D33E4" w:rsidRDefault="00BA44C6" w:rsidP="009A7F2D">
      <w:r w:rsidRPr="000D33E4">
        <w:t>South Africa is in a difficult</w:t>
      </w:r>
      <w:r w:rsidR="00C2443F" w:rsidRPr="000D33E4">
        <w:t xml:space="preserve"> </w:t>
      </w:r>
      <w:r w:rsidRPr="000D33E4">
        <w:t xml:space="preserve">position. The economy is confronted by three key hurdles: First, economic growth has been </w:t>
      </w:r>
      <w:r w:rsidR="00C2443F" w:rsidRPr="000D33E4">
        <w:t>consistently</w:t>
      </w:r>
      <w:r w:rsidRPr="000D33E4">
        <w:t xml:space="preserve"> sluggish because private investment, exports, and productivity have been relatively flat. Second, public finances are characterised by deteriorating fiscal and debt positions and inefficient spending. Third, most </w:t>
      </w:r>
      <w:r w:rsidR="008B0F56">
        <w:t>state-owned entities (</w:t>
      </w:r>
      <w:r w:rsidRPr="000D33E4">
        <w:t>SOEs</w:t>
      </w:r>
      <w:r w:rsidR="008B0F56">
        <w:t>)</w:t>
      </w:r>
      <w:r w:rsidRPr="000D33E4">
        <w:t xml:space="preserve"> are </w:t>
      </w:r>
      <w:r w:rsidR="008B0F56">
        <w:t>experiencing</w:t>
      </w:r>
      <w:r w:rsidRPr="000D33E4">
        <w:t xml:space="preserve"> major financial and operational difficulties and </w:t>
      </w:r>
      <w:r w:rsidR="008B0F56">
        <w:t xml:space="preserve">efforts to bail them out </w:t>
      </w:r>
      <w:r w:rsidRPr="000D33E4">
        <w:t>are draining the fiscus. Consequently, unemployment has remained hi</w:t>
      </w:r>
      <w:r w:rsidR="00C2443F" w:rsidRPr="000D33E4">
        <w:t xml:space="preserve">gh, </w:t>
      </w:r>
      <w:r w:rsidR="008B0F56">
        <w:t xml:space="preserve">with </w:t>
      </w:r>
      <w:r w:rsidR="00C2443F" w:rsidRPr="000D33E4">
        <w:t xml:space="preserve">poverty and inequality barely </w:t>
      </w:r>
      <w:r w:rsidR="00280A6C">
        <w:t>reducing</w:t>
      </w:r>
      <w:r w:rsidRPr="000D33E4">
        <w:t xml:space="preserve">. </w:t>
      </w:r>
    </w:p>
    <w:p w14:paraId="7E7AB072" w14:textId="77777777" w:rsidR="00C2443F" w:rsidRPr="000D33E4" w:rsidRDefault="00C2443F" w:rsidP="00471832">
      <w:pPr>
        <w:rPr>
          <w:rFonts w:ascii="Times" w:hAnsi="Times"/>
        </w:rPr>
      </w:pPr>
    </w:p>
    <w:p w14:paraId="43D0076A" w14:textId="144F27F7" w:rsidR="00BA4686" w:rsidRPr="000D33E4" w:rsidRDefault="00BA44C6" w:rsidP="009A7F2D">
      <w:r w:rsidRPr="000D33E4">
        <w:t>The South African economy contracted by 1.4 per</w:t>
      </w:r>
      <w:r w:rsidR="008B0F56">
        <w:t xml:space="preserve"> </w:t>
      </w:r>
      <w:r w:rsidRPr="000D33E4">
        <w:t>cent on a seasonally adjusted annual rate (</w:t>
      </w:r>
      <w:r w:rsidR="008B0F56">
        <w:t>SAAR</w:t>
      </w:r>
      <w:r w:rsidRPr="000D33E4">
        <w:t xml:space="preserve">) in the fourth quarter of 2019. Seven out of ten sectors recorded a reduction in production during </w:t>
      </w:r>
      <w:r w:rsidR="008B0F56">
        <w:t>this quarter</w:t>
      </w:r>
      <w:r w:rsidRPr="000D33E4">
        <w:t>. Given a downward revision to the third quarter of 2019 growth rate from -0.6 per</w:t>
      </w:r>
      <w:r w:rsidR="008B0F56">
        <w:t xml:space="preserve"> </w:t>
      </w:r>
      <w:r w:rsidRPr="000D33E4">
        <w:t>cent quarter-on-quarter (</w:t>
      </w:r>
      <w:r w:rsidR="008B0F56">
        <w:t>QoQ</w:t>
      </w:r>
      <w:r w:rsidRPr="000D33E4">
        <w:t xml:space="preserve">) </w:t>
      </w:r>
      <w:r w:rsidR="008B0F56">
        <w:t>SAAR</w:t>
      </w:r>
      <w:r w:rsidRPr="000D33E4">
        <w:t xml:space="preserve"> to -0.8 per</w:t>
      </w:r>
      <w:r w:rsidR="008B0F56">
        <w:t xml:space="preserve"> </w:t>
      </w:r>
      <w:r w:rsidRPr="000D33E4">
        <w:t xml:space="preserve">cent, this means that the country is in its second technical recession (two successive quarters of negative growth) in two years. The previous recession was recorded in the first two quarters of 2018 when power outages </w:t>
      </w:r>
      <w:r w:rsidR="00C2443F" w:rsidRPr="000D33E4">
        <w:t xml:space="preserve">inhibited </w:t>
      </w:r>
      <w:r w:rsidRPr="000D33E4">
        <w:t>growth significantly. The South African economy grew by 0.2 per</w:t>
      </w:r>
      <w:r w:rsidR="008B0F56">
        <w:t xml:space="preserve"> </w:t>
      </w:r>
      <w:r w:rsidRPr="000D33E4">
        <w:t>cent in 2019. This is the lowest growth rate since the global financial crisis</w:t>
      </w:r>
      <w:r w:rsidR="008B0F56">
        <w:t xml:space="preserve"> of</w:t>
      </w:r>
      <w:r w:rsidRPr="000D33E4">
        <w:t xml:space="preserve"> ten years ago. Electricity disruptions weighed on both industry and services. The finance, real estate </w:t>
      </w:r>
      <w:r w:rsidR="008B0F56">
        <w:t>and</w:t>
      </w:r>
      <w:r w:rsidRPr="000D33E4">
        <w:t xml:space="preserve"> business services sector was the only major contributor to growth on an annual basis, expanding by 2.3 per</w:t>
      </w:r>
      <w:r w:rsidR="008B0F56">
        <w:t xml:space="preserve"> </w:t>
      </w:r>
      <w:r w:rsidRPr="000D33E4">
        <w:t xml:space="preserve">cent in 2019. Agriculture contracted by </w:t>
      </w:r>
      <w:r w:rsidR="0044169C">
        <w:t>-</w:t>
      </w:r>
      <w:r w:rsidRPr="000D33E4">
        <w:t>6.9 per</w:t>
      </w:r>
      <w:r w:rsidR="008B0F56">
        <w:t xml:space="preserve"> </w:t>
      </w:r>
      <w:r w:rsidRPr="000D33E4">
        <w:t>cent, construction</w:t>
      </w:r>
      <w:r w:rsidR="002D39CB">
        <w:t xml:space="preserve"> </w:t>
      </w:r>
      <w:r w:rsidR="008B0F56">
        <w:t xml:space="preserve">by </w:t>
      </w:r>
      <w:r w:rsidRPr="000D33E4">
        <w:t>-3.3 per</w:t>
      </w:r>
      <w:r w:rsidR="008B0F56">
        <w:t xml:space="preserve"> </w:t>
      </w:r>
      <w:r w:rsidRPr="000D33E4">
        <w:t xml:space="preserve">cent, electricity, gas </w:t>
      </w:r>
      <w:r w:rsidR="008B0F56">
        <w:t>and</w:t>
      </w:r>
      <w:r w:rsidRPr="000D33E4">
        <w:t xml:space="preserve"> water</w:t>
      </w:r>
      <w:r w:rsidR="002D39CB">
        <w:t xml:space="preserve"> </w:t>
      </w:r>
      <w:r w:rsidR="008B0F56">
        <w:t xml:space="preserve">by </w:t>
      </w:r>
      <w:r w:rsidRPr="000D33E4">
        <w:t>-2 per</w:t>
      </w:r>
      <w:r w:rsidR="003A4F4B">
        <w:t xml:space="preserve"> </w:t>
      </w:r>
      <w:r w:rsidRPr="000D33E4">
        <w:t>cent gross fixed capital formation</w:t>
      </w:r>
      <w:r w:rsidR="003A4F4B">
        <w:t xml:space="preserve"> by </w:t>
      </w:r>
      <w:r w:rsidRPr="000D33E4">
        <w:t>-0.9 per</w:t>
      </w:r>
      <w:r w:rsidR="003A4F4B">
        <w:t xml:space="preserve"> </w:t>
      </w:r>
      <w:r w:rsidRPr="000D33E4">
        <w:t xml:space="preserve">cent, exports </w:t>
      </w:r>
      <w:r w:rsidR="003A4F4B">
        <w:t xml:space="preserve">by </w:t>
      </w:r>
      <w:r w:rsidRPr="000D33E4">
        <w:t>-2.5 per</w:t>
      </w:r>
      <w:r w:rsidR="003A4F4B">
        <w:t xml:space="preserve"> </w:t>
      </w:r>
      <w:r w:rsidRPr="000D33E4">
        <w:t xml:space="preserve">cent and imports </w:t>
      </w:r>
      <w:r w:rsidR="003A4F4B">
        <w:t xml:space="preserve">by </w:t>
      </w:r>
      <w:r w:rsidRPr="000D33E4">
        <w:t>-0.5 per</w:t>
      </w:r>
      <w:r w:rsidR="003A4F4B">
        <w:t xml:space="preserve"> </w:t>
      </w:r>
      <w:r w:rsidRPr="000D33E4">
        <w:t>cent. Consumer spending was the main driver behind economic growth on an annual basis in 2019, with household consumption rising by 1.0 per</w:t>
      </w:r>
      <w:r w:rsidR="003A4F4B">
        <w:t xml:space="preserve"> </w:t>
      </w:r>
      <w:r w:rsidRPr="000D33E4">
        <w:t>cent</w:t>
      </w:r>
      <w:r w:rsidRPr="000D33E4">
        <w:rPr>
          <w:rStyle w:val="FootnoteReference"/>
          <w:rFonts w:ascii="Times" w:hAnsi="Times"/>
        </w:rPr>
        <w:footnoteReference w:id="4"/>
      </w:r>
      <w:r w:rsidRPr="000D33E4">
        <w:t xml:space="preserve">. South Africa’s economic performance reflects high levels of volatility anchored on a low trend </w:t>
      </w:r>
      <w:r w:rsidR="00B97D22">
        <w:t>(</w:t>
      </w:r>
      <w:r w:rsidR="003A4F4B">
        <w:fldChar w:fldCharType="begin"/>
      </w:r>
      <w:r w:rsidR="003A4F4B">
        <w:instrText xml:space="preserve"> REF _Ref40874155 \h </w:instrText>
      </w:r>
      <w:r w:rsidR="003A4F4B">
        <w:fldChar w:fldCharType="separate"/>
      </w:r>
      <w:r w:rsidR="003A4F4B" w:rsidRPr="000D33E4">
        <w:rPr>
          <w:rFonts w:ascii="Times" w:hAnsi="Times"/>
        </w:rPr>
        <w:t xml:space="preserve">Figure </w:t>
      </w:r>
      <w:r w:rsidR="003A4F4B" w:rsidRPr="000D33E4">
        <w:rPr>
          <w:rFonts w:ascii="Times" w:hAnsi="Times"/>
          <w:noProof/>
        </w:rPr>
        <w:t>2</w:t>
      </w:r>
      <w:r w:rsidR="003A4F4B">
        <w:fldChar w:fldCharType="end"/>
      </w:r>
      <w:r w:rsidR="00B97D22">
        <w:t>)</w:t>
      </w:r>
      <w:r w:rsidRPr="000D33E4">
        <w:t xml:space="preserve">. </w:t>
      </w:r>
    </w:p>
    <w:p w14:paraId="1EB94D0B" w14:textId="77777777" w:rsidR="00D2420F" w:rsidRPr="000D33E4" w:rsidRDefault="00D2420F" w:rsidP="00471832">
      <w:pPr>
        <w:rPr>
          <w:rFonts w:ascii="Times" w:hAnsi="Times"/>
        </w:rPr>
      </w:pPr>
    </w:p>
    <w:p w14:paraId="45CD692D" w14:textId="4F81BDEC" w:rsidR="00BA44C6" w:rsidRPr="009A7F2D" w:rsidRDefault="00BA44C6" w:rsidP="009A7F2D">
      <w:pPr>
        <w:pStyle w:val="Caption"/>
        <w:keepNext/>
        <w:spacing w:after="60"/>
        <w:rPr>
          <w:rFonts w:ascii="Times" w:hAnsi="Times"/>
          <w:color w:val="004C45" w:themeColor="text2"/>
          <w:sz w:val="24"/>
          <w:szCs w:val="24"/>
        </w:rPr>
      </w:pPr>
      <w:bookmarkStart w:id="14" w:name="_Ref40874155"/>
      <w:bookmarkStart w:id="15" w:name="_Toc40897040"/>
      <w:bookmarkStart w:id="16" w:name="_Toc42211434"/>
      <w:r w:rsidRPr="009A7F2D">
        <w:rPr>
          <w:rFonts w:ascii="Times" w:hAnsi="Times"/>
          <w:color w:val="004C45" w:themeColor="text2"/>
          <w:sz w:val="24"/>
          <w:szCs w:val="24"/>
        </w:rPr>
        <w:t xml:space="preserve">Figure </w:t>
      </w:r>
      <w:r w:rsidRPr="009A7F2D">
        <w:rPr>
          <w:rFonts w:ascii="Times" w:hAnsi="Times"/>
          <w:color w:val="004C45" w:themeColor="text2"/>
          <w:sz w:val="24"/>
          <w:szCs w:val="24"/>
        </w:rPr>
        <w:fldChar w:fldCharType="begin"/>
      </w:r>
      <w:r w:rsidRPr="009A7F2D">
        <w:rPr>
          <w:rFonts w:ascii="Times" w:hAnsi="Times"/>
          <w:color w:val="004C45" w:themeColor="text2"/>
          <w:sz w:val="24"/>
          <w:szCs w:val="24"/>
        </w:rPr>
        <w:instrText xml:space="preserve"> SEQ Figure \* ARABIC </w:instrText>
      </w:r>
      <w:r w:rsidRPr="009A7F2D">
        <w:rPr>
          <w:rFonts w:ascii="Times" w:hAnsi="Times"/>
          <w:color w:val="004C45" w:themeColor="text2"/>
          <w:sz w:val="24"/>
          <w:szCs w:val="24"/>
        </w:rPr>
        <w:fldChar w:fldCharType="separate"/>
      </w:r>
      <w:r w:rsidR="00835259">
        <w:rPr>
          <w:rFonts w:ascii="Times" w:hAnsi="Times"/>
          <w:noProof/>
          <w:color w:val="004C45" w:themeColor="text2"/>
          <w:sz w:val="24"/>
          <w:szCs w:val="24"/>
        </w:rPr>
        <w:t>2</w:t>
      </w:r>
      <w:r w:rsidRPr="009A7F2D">
        <w:rPr>
          <w:rFonts w:ascii="Times" w:hAnsi="Times"/>
          <w:color w:val="004C45" w:themeColor="text2"/>
          <w:sz w:val="24"/>
          <w:szCs w:val="24"/>
        </w:rPr>
        <w:fldChar w:fldCharType="end"/>
      </w:r>
      <w:bookmarkEnd w:id="14"/>
      <w:r w:rsidRPr="009A7F2D">
        <w:rPr>
          <w:rFonts w:ascii="Times" w:hAnsi="Times"/>
          <w:color w:val="004C45" w:themeColor="text2"/>
          <w:sz w:val="24"/>
          <w:szCs w:val="24"/>
        </w:rPr>
        <w:t>: South Africa quarter-to-quarter GDP growth, 2016</w:t>
      </w:r>
      <w:r w:rsidR="003A4F4B" w:rsidRPr="009A7F2D">
        <w:rPr>
          <w:rFonts w:ascii="Times" w:hAnsi="Times"/>
          <w:color w:val="004C45" w:themeColor="text2"/>
          <w:sz w:val="24"/>
          <w:szCs w:val="24"/>
        </w:rPr>
        <w:t xml:space="preserve"> </w:t>
      </w:r>
      <w:r w:rsidRPr="009A7F2D">
        <w:rPr>
          <w:rFonts w:ascii="Times" w:hAnsi="Times"/>
          <w:color w:val="004C45" w:themeColor="text2"/>
          <w:sz w:val="24"/>
          <w:szCs w:val="24"/>
        </w:rPr>
        <w:t>Q2</w:t>
      </w:r>
      <w:r w:rsidR="003A4F4B" w:rsidRPr="009A7F2D">
        <w:rPr>
          <w:rFonts w:ascii="Times" w:hAnsi="Times"/>
          <w:color w:val="004C45" w:themeColor="text2"/>
          <w:sz w:val="24"/>
          <w:szCs w:val="24"/>
        </w:rPr>
        <w:t xml:space="preserve"> – </w:t>
      </w:r>
      <w:r w:rsidRPr="009A7F2D">
        <w:rPr>
          <w:rFonts w:ascii="Times" w:hAnsi="Times"/>
          <w:color w:val="004C45" w:themeColor="text2"/>
          <w:sz w:val="24"/>
          <w:szCs w:val="24"/>
        </w:rPr>
        <w:t>2019</w:t>
      </w:r>
      <w:r w:rsidR="003A4F4B" w:rsidRPr="009A7F2D">
        <w:rPr>
          <w:rFonts w:ascii="Times" w:hAnsi="Times"/>
          <w:color w:val="004C45" w:themeColor="text2"/>
          <w:sz w:val="24"/>
          <w:szCs w:val="24"/>
        </w:rPr>
        <w:t xml:space="preserve"> </w:t>
      </w:r>
      <w:r w:rsidRPr="009A7F2D">
        <w:rPr>
          <w:rFonts w:ascii="Times" w:hAnsi="Times"/>
          <w:color w:val="004C45" w:themeColor="text2"/>
          <w:sz w:val="24"/>
          <w:szCs w:val="24"/>
        </w:rPr>
        <w:t>Q4</w:t>
      </w:r>
      <w:bookmarkEnd w:id="15"/>
      <w:bookmarkEnd w:id="16"/>
      <w:r w:rsidR="002D39CB">
        <w:rPr>
          <w:rFonts w:ascii="Times" w:hAnsi="Times"/>
          <w:color w:val="004C45" w:themeColor="text2"/>
          <w:sz w:val="24"/>
          <w:szCs w:val="24"/>
        </w:rPr>
        <w:t xml:space="preserve">   </w:t>
      </w:r>
      <w:r w:rsidRPr="009A7F2D">
        <w:rPr>
          <w:rFonts w:ascii="Times" w:hAnsi="Times"/>
          <w:color w:val="004C45" w:themeColor="text2"/>
          <w:sz w:val="24"/>
          <w:szCs w:val="24"/>
        </w:rPr>
        <w:t xml:space="preserve"> </w:t>
      </w:r>
    </w:p>
    <w:p w14:paraId="7448B671" w14:textId="77777777" w:rsidR="00BA44C6" w:rsidRPr="000D33E4" w:rsidRDefault="00BA44C6" w:rsidP="009A7F2D">
      <w:pPr>
        <w:keepNext/>
        <w:jc w:val="left"/>
        <w:rPr>
          <w:rFonts w:ascii="Times" w:hAnsi="Times"/>
        </w:rPr>
      </w:pPr>
      <w:r w:rsidRPr="000D33E4">
        <w:rPr>
          <w:rFonts w:ascii="Times" w:hAnsi="Times"/>
          <w:noProof/>
          <w:lang w:eastAsia="en-ZA"/>
        </w:rPr>
        <w:drawing>
          <wp:inline distT="0" distB="0" distL="0" distR="0" wp14:anchorId="3B6BBB87" wp14:editId="381218F3">
            <wp:extent cx="6092825" cy="2425148"/>
            <wp:effectExtent l="0" t="0" r="15875" b="13335"/>
            <wp:docPr id="7" name="Chart 7">
              <a:extLst xmlns:a="http://schemas.openxmlformats.org/drawingml/2006/main">
                <a:ext uri="{FF2B5EF4-FFF2-40B4-BE49-F238E27FC236}">
                  <a16:creationId xmlns:a16="http://schemas.microsoft.com/office/drawing/2014/main" id="{A1FF2176-3534-49D6-BF34-04AE3A2D4D0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Pr="009A7F2D">
        <w:rPr>
          <w:rFonts w:ascii="Times" w:hAnsi="Times"/>
          <w:i/>
          <w:iCs/>
          <w:sz w:val="20"/>
          <w:szCs w:val="20"/>
        </w:rPr>
        <w:t>Source: Statistics South Africa, 2020</w:t>
      </w:r>
    </w:p>
    <w:p w14:paraId="248BF7C0" w14:textId="77777777" w:rsidR="00C2443F" w:rsidRPr="000D33E4" w:rsidRDefault="00C2443F" w:rsidP="009A7F2D"/>
    <w:p w14:paraId="28AC4D67" w14:textId="0580D302" w:rsidR="00C2443F" w:rsidRPr="009A7F2D" w:rsidRDefault="00BA44C6" w:rsidP="009A7F2D">
      <w:pPr>
        <w:rPr>
          <w:szCs w:val="24"/>
        </w:rPr>
      </w:pPr>
      <w:r w:rsidRPr="009A7F2D">
        <w:rPr>
          <w:rFonts w:ascii="Times" w:hAnsi="Times"/>
          <w:szCs w:val="24"/>
        </w:rPr>
        <w:t xml:space="preserve">South Africa’s real GDP has been negative since 2015, and is forecast to remain negative until 2021, implying </w:t>
      </w:r>
      <w:r w:rsidR="003A4F4B" w:rsidRPr="009A7F2D">
        <w:rPr>
          <w:rFonts w:ascii="Times" w:hAnsi="Times"/>
          <w:szCs w:val="24"/>
        </w:rPr>
        <w:t xml:space="preserve">a </w:t>
      </w:r>
      <w:r w:rsidRPr="009A7F2D">
        <w:rPr>
          <w:rFonts w:ascii="Times" w:hAnsi="Times"/>
          <w:szCs w:val="24"/>
        </w:rPr>
        <w:t xml:space="preserve">worsening standard of living for South Africans. The sluggish growth is </w:t>
      </w:r>
      <w:r w:rsidR="008F71D0">
        <w:rPr>
          <w:rFonts w:ascii="Times" w:hAnsi="Times"/>
          <w:szCs w:val="24"/>
        </w:rPr>
        <w:t xml:space="preserve">a </w:t>
      </w:r>
      <w:r w:rsidRPr="009A7F2D">
        <w:rPr>
          <w:rFonts w:ascii="Times" w:hAnsi="Times"/>
          <w:szCs w:val="24"/>
        </w:rPr>
        <w:t xml:space="preserve">reflection </w:t>
      </w:r>
      <w:r w:rsidR="00C2443F" w:rsidRPr="009A7F2D">
        <w:rPr>
          <w:rFonts w:ascii="Times" w:hAnsi="Times"/>
          <w:szCs w:val="24"/>
        </w:rPr>
        <w:t>of a</w:t>
      </w:r>
      <w:r w:rsidRPr="009A7F2D">
        <w:rPr>
          <w:rFonts w:ascii="Times" w:hAnsi="Times"/>
          <w:szCs w:val="24"/>
        </w:rPr>
        <w:t xml:space="preserve"> number of constraints including persistent policy uncertainty, constrained fiscal space, subdued business confidence, infrastructure bottlenecks, and weakening external demand.</w:t>
      </w:r>
    </w:p>
    <w:p w14:paraId="75223B49" w14:textId="77777777" w:rsidR="00C2443F" w:rsidRPr="00471832" w:rsidRDefault="00C2443F" w:rsidP="00471832">
      <w:pPr>
        <w:rPr>
          <w:rFonts w:ascii="Times" w:hAnsi="Times"/>
          <w:szCs w:val="24"/>
        </w:rPr>
      </w:pPr>
    </w:p>
    <w:p w14:paraId="3D495BAD" w14:textId="77777777" w:rsidR="00C2443F" w:rsidRPr="009A7F2D" w:rsidRDefault="00BA44C6" w:rsidP="009A7F2D">
      <w:pPr>
        <w:rPr>
          <w:szCs w:val="24"/>
        </w:rPr>
      </w:pPr>
      <w:r w:rsidRPr="009A7F2D">
        <w:rPr>
          <w:rFonts w:ascii="Times" w:hAnsi="Times"/>
          <w:szCs w:val="24"/>
        </w:rPr>
        <w:t>Whereas external factors could explain the underperformance of the economy, the divergence of growth in South Africa compared to other similar EMDEs suggest that domestic factors have played an important role.</w:t>
      </w:r>
    </w:p>
    <w:p w14:paraId="424ED4F0" w14:textId="77777777" w:rsidR="00C2443F" w:rsidRPr="00471832" w:rsidRDefault="00C2443F" w:rsidP="00471832">
      <w:pPr>
        <w:rPr>
          <w:rFonts w:ascii="Times" w:hAnsi="Times"/>
          <w:szCs w:val="24"/>
        </w:rPr>
      </w:pPr>
    </w:p>
    <w:p w14:paraId="654BD3E7" w14:textId="7EAEEF4E" w:rsidR="00884982" w:rsidRPr="009A7F2D" w:rsidRDefault="00BA44C6" w:rsidP="009A7F2D">
      <w:pPr>
        <w:rPr>
          <w:szCs w:val="24"/>
        </w:rPr>
      </w:pPr>
      <w:r w:rsidRPr="009A7F2D">
        <w:rPr>
          <w:rFonts w:ascii="Times" w:hAnsi="Times"/>
          <w:szCs w:val="24"/>
        </w:rPr>
        <w:t xml:space="preserve">The South African economy </w:t>
      </w:r>
      <w:r w:rsidR="003A4F4B" w:rsidRPr="009A7F2D">
        <w:rPr>
          <w:rFonts w:ascii="Times" w:hAnsi="Times"/>
          <w:szCs w:val="24"/>
        </w:rPr>
        <w:t xml:space="preserve">thus </w:t>
      </w:r>
      <w:r w:rsidRPr="009A7F2D">
        <w:rPr>
          <w:rFonts w:ascii="Times" w:hAnsi="Times"/>
          <w:szCs w:val="24"/>
        </w:rPr>
        <w:t>entered 2020 on a fragile footing before the dramatic external developments related to the Covid-19 pandemic emerged.</w:t>
      </w:r>
      <w:r w:rsidR="002D39CB">
        <w:rPr>
          <w:rFonts w:ascii="Times" w:hAnsi="Times"/>
          <w:szCs w:val="24"/>
        </w:rPr>
        <w:t xml:space="preserve"> </w:t>
      </w:r>
      <w:r w:rsidR="003A4F4B" w:rsidRPr="009A7F2D">
        <w:rPr>
          <w:rFonts w:ascii="Times" w:hAnsi="Times"/>
          <w:szCs w:val="24"/>
        </w:rPr>
        <w:t xml:space="preserve">Projections and scenarios by both public and private institutions show that </w:t>
      </w:r>
      <w:r w:rsidR="008B0F56" w:rsidRPr="009A7F2D">
        <w:rPr>
          <w:rFonts w:ascii="Times" w:hAnsi="Times"/>
          <w:szCs w:val="24"/>
        </w:rPr>
        <w:t>Covid</w:t>
      </w:r>
      <w:r w:rsidRPr="009A7F2D">
        <w:rPr>
          <w:rFonts w:ascii="Times" w:hAnsi="Times"/>
          <w:szCs w:val="24"/>
        </w:rPr>
        <w:t>-19 will push the country into a deep economic contraction this year.</w:t>
      </w:r>
      <w:r w:rsidRPr="009A7F2D">
        <w:rPr>
          <w:rFonts w:ascii="Times" w:hAnsi="Times"/>
          <w:color w:val="000000"/>
          <w:szCs w:val="24"/>
          <w:lang w:eastAsia="en-ZA"/>
        </w:rPr>
        <w:t xml:space="preserve"> The second quarter of </w:t>
      </w:r>
      <w:r w:rsidRPr="009A7F2D">
        <w:rPr>
          <w:rFonts w:ascii="Times" w:hAnsi="Times"/>
          <w:szCs w:val="24"/>
        </w:rPr>
        <w:t>2020 will largely capture the economic impact of the restrictive measures (lockdown)</w:t>
      </w:r>
      <w:r w:rsidR="008F71D0">
        <w:rPr>
          <w:rFonts w:ascii="Times" w:hAnsi="Times"/>
          <w:szCs w:val="24"/>
        </w:rPr>
        <w:t>, and</w:t>
      </w:r>
      <w:r w:rsidRPr="009A7F2D">
        <w:rPr>
          <w:rFonts w:ascii="Times" w:hAnsi="Times"/>
          <w:szCs w:val="24"/>
        </w:rPr>
        <w:t xml:space="preserve"> is expected to play a defining role in this year’s growth outcome.</w:t>
      </w:r>
      <w:r w:rsidR="002D39CB">
        <w:rPr>
          <w:rFonts w:ascii="Times" w:hAnsi="Times"/>
          <w:szCs w:val="24"/>
        </w:rPr>
        <w:t xml:space="preserve"> </w:t>
      </w:r>
      <w:r w:rsidRPr="009A7F2D">
        <w:rPr>
          <w:rFonts w:ascii="Times" w:hAnsi="Times"/>
          <w:szCs w:val="24"/>
        </w:rPr>
        <w:t>Preliminary evidence shows that</w:t>
      </w:r>
      <w:r w:rsidR="003A4F4B" w:rsidRPr="009A7F2D">
        <w:rPr>
          <w:rFonts w:ascii="Times" w:hAnsi="Times"/>
          <w:szCs w:val="24"/>
        </w:rPr>
        <w:t>, while</w:t>
      </w:r>
      <w:r w:rsidRPr="009A7F2D">
        <w:rPr>
          <w:rFonts w:ascii="Times" w:hAnsi="Times"/>
          <w:szCs w:val="24"/>
        </w:rPr>
        <w:t xml:space="preserve"> </w:t>
      </w:r>
      <w:r w:rsidR="00884982" w:rsidRPr="009A7F2D">
        <w:rPr>
          <w:rFonts w:ascii="Times" w:hAnsi="Times"/>
          <w:szCs w:val="24"/>
        </w:rPr>
        <w:t xml:space="preserve">the </w:t>
      </w:r>
      <w:r w:rsidRPr="009A7F2D">
        <w:rPr>
          <w:rFonts w:ascii="Times" w:hAnsi="Times"/>
          <w:szCs w:val="24"/>
        </w:rPr>
        <w:t xml:space="preserve">restrictive measures to contain the Covid-19 pandemic have been effective in </w:t>
      </w:r>
      <w:r w:rsidR="00884982" w:rsidRPr="009A7F2D">
        <w:rPr>
          <w:rFonts w:ascii="Times" w:hAnsi="Times"/>
          <w:szCs w:val="24"/>
        </w:rPr>
        <w:t>cont</w:t>
      </w:r>
      <w:r w:rsidR="003A4F4B" w:rsidRPr="009A7F2D">
        <w:rPr>
          <w:rFonts w:ascii="Times" w:hAnsi="Times"/>
          <w:szCs w:val="24"/>
        </w:rPr>
        <w:t>a</w:t>
      </w:r>
      <w:r w:rsidR="00884982" w:rsidRPr="009A7F2D">
        <w:rPr>
          <w:rFonts w:ascii="Times" w:hAnsi="Times"/>
          <w:szCs w:val="24"/>
        </w:rPr>
        <w:t>ining</w:t>
      </w:r>
      <w:r w:rsidRPr="009A7F2D">
        <w:rPr>
          <w:rFonts w:ascii="Times" w:hAnsi="Times"/>
          <w:szCs w:val="24"/>
        </w:rPr>
        <w:t xml:space="preserve"> the spread of the virus, the economic ramifications will be severe. Aggressive monetary stimulus and a substantial fiscal relief package will keep businesses afloat and prevent a large proportion of the population from </w:t>
      </w:r>
      <w:r w:rsidR="003A4F4B" w:rsidRPr="009A7F2D">
        <w:rPr>
          <w:rFonts w:ascii="Times" w:hAnsi="Times"/>
          <w:szCs w:val="24"/>
        </w:rPr>
        <w:t xml:space="preserve">becoming </w:t>
      </w:r>
      <w:r w:rsidRPr="009A7F2D">
        <w:rPr>
          <w:rFonts w:ascii="Times" w:hAnsi="Times"/>
          <w:szCs w:val="24"/>
        </w:rPr>
        <w:t>destitut</w:t>
      </w:r>
      <w:r w:rsidR="003A4F4B" w:rsidRPr="009A7F2D">
        <w:rPr>
          <w:rFonts w:ascii="Times" w:hAnsi="Times"/>
          <w:szCs w:val="24"/>
        </w:rPr>
        <w:t>e</w:t>
      </w:r>
      <w:r w:rsidRPr="009A7F2D">
        <w:rPr>
          <w:rFonts w:ascii="Times" w:hAnsi="Times"/>
          <w:szCs w:val="24"/>
        </w:rPr>
        <w:t xml:space="preserve">, economic production will </w:t>
      </w:r>
      <w:r w:rsidR="006C4534">
        <w:rPr>
          <w:rFonts w:ascii="Times" w:hAnsi="Times"/>
          <w:szCs w:val="24"/>
        </w:rPr>
        <w:t xml:space="preserve">nevertheless </w:t>
      </w:r>
      <w:r w:rsidR="003A4F4B" w:rsidRPr="009A7F2D">
        <w:rPr>
          <w:rFonts w:ascii="Times" w:hAnsi="Times"/>
          <w:szCs w:val="24"/>
        </w:rPr>
        <w:t>be sever</w:t>
      </w:r>
      <w:r w:rsidR="00E45380">
        <w:rPr>
          <w:rFonts w:ascii="Times" w:hAnsi="Times"/>
          <w:szCs w:val="24"/>
        </w:rPr>
        <w:t>e</w:t>
      </w:r>
      <w:r w:rsidR="003A4F4B" w:rsidRPr="009A7F2D">
        <w:rPr>
          <w:rFonts w:ascii="Times" w:hAnsi="Times"/>
          <w:szCs w:val="24"/>
        </w:rPr>
        <w:t>ly negatively affected in 2020</w:t>
      </w:r>
      <w:r w:rsidRPr="009A7F2D">
        <w:rPr>
          <w:rFonts w:ascii="Times" w:hAnsi="Times"/>
          <w:szCs w:val="24"/>
        </w:rPr>
        <w:t>. Consumer spending, which is the engine of growth, is expected to decelerate substantially because the lockdown prevents certain types of consumption</w:t>
      </w:r>
      <w:r w:rsidR="003A4F4B" w:rsidRPr="009A7F2D">
        <w:rPr>
          <w:rFonts w:ascii="Times" w:hAnsi="Times"/>
          <w:szCs w:val="24"/>
        </w:rPr>
        <w:t>,</w:t>
      </w:r>
      <w:r w:rsidRPr="009A7F2D">
        <w:rPr>
          <w:rFonts w:ascii="Times" w:hAnsi="Times"/>
          <w:szCs w:val="24"/>
        </w:rPr>
        <w:t xml:space="preserve"> while job losses and lower profits constrain spending over the longer term. Public investment is expected to decrease, the fiscal support package will result in a marked increase in government spending, and government consumption is projected to increase</w:t>
      </w:r>
      <w:r w:rsidR="00BA4686" w:rsidRPr="009A7F2D">
        <w:rPr>
          <w:rFonts w:ascii="Times" w:hAnsi="Times"/>
          <w:szCs w:val="24"/>
        </w:rPr>
        <w:t>.</w:t>
      </w:r>
    </w:p>
    <w:p w14:paraId="290D2128" w14:textId="77777777" w:rsidR="00884982" w:rsidRPr="00471832" w:rsidRDefault="00884982" w:rsidP="00471832">
      <w:pPr>
        <w:rPr>
          <w:rFonts w:ascii="Times" w:hAnsi="Times"/>
          <w:szCs w:val="24"/>
        </w:rPr>
      </w:pPr>
    </w:p>
    <w:p w14:paraId="77BDC602" w14:textId="1F0C392F" w:rsidR="006960B9" w:rsidRPr="009A7F2D" w:rsidRDefault="00BA44C6" w:rsidP="009A7F2D">
      <w:pPr>
        <w:rPr>
          <w:szCs w:val="24"/>
        </w:rPr>
      </w:pPr>
      <w:r w:rsidRPr="009A7F2D">
        <w:rPr>
          <w:rFonts w:ascii="Times" w:hAnsi="Times"/>
          <w:szCs w:val="24"/>
        </w:rPr>
        <w:t xml:space="preserve">The latest forecasts show that in 2020, South Africa’s real GDP will contract by </w:t>
      </w:r>
      <w:r w:rsidR="007E4A3F">
        <w:rPr>
          <w:rFonts w:ascii="Times" w:hAnsi="Times"/>
          <w:szCs w:val="24"/>
        </w:rPr>
        <w:t>-</w:t>
      </w:r>
      <w:r w:rsidRPr="009A7F2D">
        <w:rPr>
          <w:rFonts w:ascii="Times" w:hAnsi="Times"/>
          <w:szCs w:val="24"/>
        </w:rPr>
        <w:t>6.2 per</w:t>
      </w:r>
      <w:r w:rsidR="003A4F4B" w:rsidRPr="009A7F2D">
        <w:rPr>
          <w:rFonts w:ascii="Times" w:hAnsi="Times"/>
          <w:szCs w:val="24"/>
        </w:rPr>
        <w:t xml:space="preserve"> </w:t>
      </w:r>
      <w:r w:rsidRPr="009A7F2D">
        <w:rPr>
          <w:rFonts w:ascii="Times" w:hAnsi="Times"/>
          <w:szCs w:val="24"/>
        </w:rPr>
        <w:t xml:space="preserve">cent (South African Reserve Bank), between </w:t>
      </w:r>
      <w:r w:rsidR="007E4A3F">
        <w:rPr>
          <w:rFonts w:ascii="Times" w:hAnsi="Times"/>
          <w:szCs w:val="24"/>
        </w:rPr>
        <w:t>-</w:t>
      </w:r>
      <w:r w:rsidRPr="009A7F2D">
        <w:rPr>
          <w:rFonts w:ascii="Times" w:hAnsi="Times"/>
          <w:szCs w:val="24"/>
        </w:rPr>
        <w:t xml:space="preserve">5.4 and up to </w:t>
      </w:r>
      <w:r w:rsidR="007E4A3F">
        <w:rPr>
          <w:rFonts w:ascii="Times" w:hAnsi="Times"/>
          <w:szCs w:val="24"/>
        </w:rPr>
        <w:t>-</w:t>
      </w:r>
      <w:r w:rsidRPr="009A7F2D">
        <w:rPr>
          <w:rFonts w:ascii="Times" w:hAnsi="Times"/>
          <w:szCs w:val="24"/>
        </w:rPr>
        <w:t>16.1 per</w:t>
      </w:r>
      <w:r w:rsidR="003A4F4B" w:rsidRPr="009A7F2D">
        <w:rPr>
          <w:rFonts w:ascii="Times" w:hAnsi="Times"/>
          <w:szCs w:val="24"/>
        </w:rPr>
        <w:t xml:space="preserve"> </w:t>
      </w:r>
      <w:r w:rsidRPr="009A7F2D">
        <w:rPr>
          <w:rFonts w:ascii="Times" w:hAnsi="Times"/>
          <w:szCs w:val="24"/>
        </w:rPr>
        <w:t xml:space="preserve">cent (National Treasury), between </w:t>
      </w:r>
      <w:r w:rsidR="007E4A3F">
        <w:rPr>
          <w:rFonts w:ascii="Times" w:hAnsi="Times"/>
          <w:szCs w:val="24"/>
        </w:rPr>
        <w:t>-</w:t>
      </w:r>
      <w:r w:rsidRPr="009A7F2D">
        <w:rPr>
          <w:rFonts w:ascii="Times" w:hAnsi="Times"/>
          <w:szCs w:val="24"/>
        </w:rPr>
        <w:t xml:space="preserve">6.9 and up to </w:t>
      </w:r>
      <w:r w:rsidR="007E4A3F">
        <w:rPr>
          <w:rFonts w:ascii="Times" w:hAnsi="Times"/>
          <w:szCs w:val="24"/>
        </w:rPr>
        <w:t>-</w:t>
      </w:r>
      <w:r w:rsidRPr="009A7F2D">
        <w:rPr>
          <w:rFonts w:ascii="Times" w:hAnsi="Times"/>
          <w:szCs w:val="24"/>
        </w:rPr>
        <w:t>8 per</w:t>
      </w:r>
      <w:r w:rsidR="003A4F4B" w:rsidRPr="009A7F2D">
        <w:rPr>
          <w:rFonts w:ascii="Times" w:hAnsi="Times"/>
          <w:szCs w:val="24"/>
        </w:rPr>
        <w:t xml:space="preserve"> </w:t>
      </w:r>
      <w:r w:rsidRPr="009A7F2D">
        <w:rPr>
          <w:rFonts w:ascii="Times" w:hAnsi="Times"/>
          <w:szCs w:val="24"/>
        </w:rPr>
        <w:t xml:space="preserve">cent (World Bank), </w:t>
      </w:r>
      <w:r w:rsidR="007E4A3F">
        <w:rPr>
          <w:rFonts w:ascii="Times" w:hAnsi="Times"/>
          <w:szCs w:val="24"/>
        </w:rPr>
        <w:t>-</w:t>
      </w:r>
      <w:r w:rsidRPr="009A7F2D">
        <w:rPr>
          <w:rFonts w:ascii="Times" w:hAnsi="Times"/>
          <w:szCs w:val="24"/>
        </w:rPr>
        <w:t xml:space="preserve">5.8 </w:t>
      </w:r>
      <w:r w:rsidR="000C75FC" w:rsidRPr="009A7F2D">
        <w:rPr>
          <w:rFonts w:ascii="Times" w:hAnsi="Times"/>
          <w:szCs w:val="24"/>
        </w:rPr>
        <w:t>per</w:t>
      </w:r>
      <w:r w:rsidR="003A4F4B" w:rsidRPr="009A7F2D">
        <w:rPr>
          <w:rFonts w:ascii="Times" w:hAnsi="Times"/>
          <w:szCs w:val="24"/>
        </w:rPr>
        <w:t xml:space="preserve"> </w:t>
      </w:r>
      <w:r w:rsidR="000C75FC" w:rsidRPr="009A7F2D">
        <w:rPr>
          <w:rFonts w:ascii="Times" w:hAnsi="Times"/>
          <w:szCs w:val="24"/>
        </w:rPr>
        <w:t>cent (</w:t>
      </w:r>
      <w:r w:rsidRPr="009A7F2D">
        <w:rPr>
          <w:rFonts w:ascii="Times" w:hAnsi="Times"/>
          <w:szCs w:val="24"/>
        </w:rPr>
        <w:t xml:space="preserve">International Monetary Fund), between </w:t>
      </w:r>
      <w:r w:rsidR="007E4A3F">
        <w:rPr>
          <w:rFonts w:ascii="Times" w:hAnsi="Times"/>
          <w:szCs w:val="24"/>
        </w:rPr>
        <w:t>-</w:t>
      </w:r>
      <w:r w:rsidRPr="009A7F2D">
        <w:rPr>
          <w:rFonts w:ascii="Times" w:hAnsi="Times"/>
          <w:szCs w:val="24"/>
        </w:rPr>
        <w:t xml:space="preserve">8.4 and up to </w:t>
      </w:r>
      <w:r w:rsidR="007E4A3F">
        <w:rPr>
          <w:rFonts w:ascii="Times" w:hAnsi="Times"/>
          <w:szCs w:val="24"/>
        </w:rPr>
        <w:t>-</w:t>
      </w:r>
      <w:r w:rsidRPr="009A7F2D">
        <w:rPr>
          <w:rFonts w:ascii="Times" w:hAnsi="Times"/>
          <w:szCs w:val="24"/>
        </w:rPr>
        <w:t>20.4 per</w:t>
      </w:r>
      <w:r w:rsidR="003A4F4B" w:rsidRPr="009A7F2D">
        <w:rPr>
          <w:rFonts w:ascii="Times" w:hAnsi="Times"/>
          <w:szCs w:val="24"/>
        </w:rPr>
        <w:t xml:space="preserve"> </w:t>
      </w:r>
      <w:r w:rsidRPr="009A7F2D">
        <w:rPr>
          <w:rFonts w:ascii="Times" w:hAnsi="Times"/>
          <w:szCs w:val="24"/>
        </w:rPr>
        <w:t xml:space="preserve">cent (PwC), and between </w:t>
      </w:r>
      <w:r w:rsidR="007E4A3F">
        <w:rPr>
          <w:rFonts w:ascii="Times" w:hAnsi="Times"/>
          <w:szCs w:val="24"/>
        </w:rPr>
        <w:t>-</w:t>
      </w:r>
      <w:r w:rsidRPr="009A7F2D">
        <w:rPr>
          <w:rFonts w:ascii="Times" w:hAnsi="Times"/>
          <w:szCs w:val="24"/>
        </w:rPr>
        <w:t xml:space="preserve">2.1 and up to </w:t>
      </w:r>
      <w:r w:rsidR="007E4A3F">
        <w:rPr>
          <w:rFonts w:ascii="Times" w:hAnsi="Times"/>
          <w:szCs w:val="24"/>
        </w:rPr>
        <w:t>-</w:t>
      </w:r>
      <w:r w:rsidRPr="009A7F2D">
        <w:rPr>
          <w:rFonts w:ascii="Times" w:hAnsi="Times"/>
          <w:szCs w:val="24"/>
        </w:rPr>
        <w:t>8.3 per</w:t>
      </w:r>
      <w:r w:rsidR="003A4F4B" w:rsidRPr="009A7F2D">
        <w:rPr>
          <w:rFonts w:ascii="Times" w:hAnsi="Times"/>
          <w:szCs w:val="24"/>
        </w:rPr>
        <w:t xml:space="preserve"> </w:t>
      </w:r>
      <w:r w:rsidRPr="009A7F2D">
        <w:rPr>
          <w:rFonts w:ascii="Times" w:hAnsi="Times"/>
          <w:szCs w:val="24"/>
        </w:rPr>
        <w:t>cent (McKinsey &amp; Company) as shown in</w:t>
      </w:r>
      <w:r w:rsidR="003A4F4B" w:rsidRPr="009A7F2D">
        <w:rPr>
          <w:rFonts w:ascii="Times" w:hAnsi="Times"/>
          <w:szCs w:val="24"/>
        </w:rPr>
        <w:t xml:space="preserve"> </w:t>
      </w:r>
      <w:r w:rsidR="003A4F4B" w:rsidRPr="009A7F2D">
        <w:rPr>
          <w:rFonts w:ascii="Times" w:hAnsi="Times"/>
          <w:szCs w:val="24"/>
        </w:rPr>
        <w:fldChar w:fldCharType="begin"/>
      </w:r>
      <w:r w:rsidR="003A4F4B" w:rsidRPr="009A7F2D">
        <w:rPr>
          <w:rFonts w:ascii="Times" w:hAnsi="Times"/>
          <w:szCs w:val="24"/>
        </w:rPr>
        <w:instrText xml:space="preserve"> REF _Ref40874589 \h </w:instrText>
      </w:r>
      <w:r w:rsidR="00B97D22" w:rsidRPr="00471832">
        <w:rPr>
          <w:rFonts w:ascii="Times" w:hAnsi="Times"/>
          <w:szCs w:val="24"/>
        </w:rPr>
        <w:instrText xml:space="preserve"> \* MERGEFORMAT </w:instrText>
      </w:r>
      <w:r w:rsidR="003A4F4B" w:rsidRPr="009A7F2D">
        <w:rPr>
          <w:rFonts w:ascii="Times" w:hAnsi="Times"/>
          <w:szCs w:val="24"/>
        </w:rPr>
      </w:r>
      <w:r w:rsidR="003A4F4B" w:rsidRPr="009A7F2D">
        <w:rPr>
          <w:rFonts w:ascii="Times" w:hAnsi="Times"/>
          <w:szCs w:val="24"/>
        </w:rPr>
        <w:fldChar w:fldCharType="separate"/>
      </w:r>
      <w:r w:rsidR="003A4F4B" w:rsidRPr="00471832">
        <w:rPr>
          <w:rFonts w:ascii="Times" w:hAnsi="Times"/>
          <w:szCs w:val="24"/>
        </w:rPr>
        <w:t xml:space="preserve">Figure </w:t>
      </w:r>
      <w:r w:rsidR="003A4F4B" w:rsidRPr="00471832">
        <w:rPr>
          <w:rFonts w:ascii="Times" w:hAnsi="Times"/>
          <w:noProof/>
          <w:szCs w:val="24"/>
        </w:rPr>
        <w:t>3</w:t>
      </w:r>
      <w:r w:rsidR="003A4F4B" w:rsidRPr="009A7F2D">
        <w:rPr>
          <w:rFonts w:ascii="Times" w:hAnsi="Times"/>
          <w:szCs w:val="24"/>
        </w:rPr>
        <w:fldChar w:fldCharType="end"/>
      </w:r>
      <w:r w:rsidRPr="009A7F2D">
        <w:rPr>
          <w:rFonts w:ascii="Times" w:hAnsi="Times"/>
          <w:szCs w:val="24"/>
        </w:rPr>
        <w:t xml:space="preserve">. The deep contraction </w:t>
      </w:r>
      <w:r w:rsidR="003A4F4B" w:rsidRPr="009A7F2D">
        <w:rPr>
          <w:rFonts w:ascii="Times" w:hAnsi="Times"/>
          <w:szCs w:val="24"/>
        </w:rPr>
        <w:t xml:space="preserve">will </w:t>
      </w:r>
      <w:r w:rsidRPr="009A7F2D">
        <w:rPr>
          <w:rFonts w:ascii="Times" w:hAnsi="Times"/>
          <w:szCs w:val="24"/>
        </w:rPr>
        <w:t>result primarily from disruptions in household and business spending on transport, food and beverages, and entertainment, as well as prolonged pressure on exports. South Africa’s recent sovereign</w:t>
      </w:r>
      <w:r w:rsidR="007E4A3F">
        <w:rPr>
          <w:rFonts w:ascii="Times" w:hAnsi="Times"/>
          <w:szCs w:val="24"/>
        </w:rPr>
        <w:t xml:space="preserve"> </w:t>
      </w:r>
      <w:r w:rsidRPr="009A7F2D">
        <w:rPr>
          <w:rFonts w:ascii="Times" w:hAnsi="Times"/>
          <w:szCs w:val="24"/>
        </w:rPr>
        <w:t>credit downgrade is likely to exacerbate this outlook.</w:t>
      </w:r>
    </w:p>
    <w:p w14:paraId="466229B2" w14:textId="77777777" w:rsidR="006960B9" w:rsidRPr="00471832" w:rsidRDefault="006960B9" w:rsidP="00471832">
      <w:pPr>
        <w:rPr>
          <w:rFonts w:ascii="Times" w:hAnsi="Times"/>
          <w:szCs w:val="24"/>
        </w:rPr>
      </w:pPr>
    </w:p>
    <w:p w14:paraId="3EE66BF4" w14:textId="32FA7DD1" w:rsidR="00BA44C6" w:rsidRPr="009A7F2D" w:rsidRDefault="003A4F4B" w:rsidP="009A7F2D">
      <w:pPr>
        <w:rPr>
          <w:szCs w:val="24"/>
        </w:rPr>
      </w:pPr>
      <w:r w:rsidRPr="009A7F2D">
        <w:rPr>
          <w:rFonts w:ascii="Times" w:hAnsi="Times"/>
          <w:szCs w:val="24"/>
        </w:rPr>
        <w:t>Much</w:t>
      </w:r>
      <w:r w:rsidR="00BA44C6" w:rsidRPr="009A7F2D">
        <w:rPr>
          <w:rFonts w:ascii="Times" w:hAnsi="Times"/>
          <w:szCs w:val="24"/>
        </w:rPr>
        <w:t xml:space="preserve"> </w:t>
      </w:r>
      <w:r w:rsidR="0010081F">
        <w:rPr>
          <w:rFonts w:ascii="Times" w:hAnsi="Times"/>
          <w:szCs w:val="24"/>
        </w:rPr>
        <w:t xml:space="preserve">uncertainty </w:t>
      </w:r>
      <w:r w:rsidR="00BA44C6" w:rsidRPr="009A7F2D">
        <w:rPr>
          <w:rFonts w:ascii="Times" w:hAnsi="Times"/>
          <w:szCs w:val="24"/>
        </w:rPr>
        <w:t>surrounds the strength of the recovery</w:t>
      </w:r>
      <w:r w:rsidRPr="009A7F2D">
        <w:rPr>
          <w:rFonts w:ascii="Times" w:hAnsi="Times"/>
          <w:szCs w:val="24"/>
        </w:rPr>
        <w:t xml:space="preserve"> expected in 2021</w:t>
      </w:r>
      <w:r w:rsidR="00BA44C6" w:rsidRPr="009A7F2D">
        <w:rPr>
          <w:rFonts w:ascii="Times" w:hAnsi="Times"/>
          <w:szCs w:val="24"/>
        </w:rPr>
        <w:t xml:space="preserve">, primarily because </w:t>
      </w:r>
      <w:r w:rsidRPr="009A7F2D">
        <w:rPr>
          <w:rFonts w:ascii="Times" w:hAnsi="Times"/>
          <w:szCs w:val="24"/>
        </w:rPr>
        <w:t>much</w:t>
      </w:r>
      <w:r w:rsidR="00BA44C6" w:rsidRPr="009A7F2D">
        <w:rPr>
          <w:rFonts w:ascii="Times" w:hAnsi="Times"/>
          <w:szCs w:val="24"/>
        </w:rPr>
        <w:t xml:space="preserve"> depends on the pathway of the pandemic, </w:t>
      </w:r>
      <w:r w:rsidRPr="009A7F2D">
        <w:rPr>
          <w:rFonts w:ascii="Times" w:hAnsi="Times"/>
          <w:szCs w:val="24"/>
        </w:rPr>
        <w:t xml:space="preserve">and </w:t>
      </w:r>
      <w:r w:rsidR="00BA44C6" w:rsidRPr="009A7F2D">
        <w:rPr>
          <w:rFonts w:ascii="Times" w:hAnsi="Times"/>
          <w:szCs w:val="24"/>
        </w:rPr>
        <w:t xml:space="preserve">the gravity of </w:t>
      </w:r>
      <w:r w:rsidRPr="009A7F2D">
        <w:rPr>
          <w:rFonts w:ascii="Times" w:hAnsi="Times"/>
          <w:szCs w:val="24"/>
        </w:rPr>
        <w:t xml:space="preserve">its </w:t>
      </w:r>
      <w:r w:rsidR="00BA44C6" w:rsidRPr="009A7F2D">
        <w:rPr>
          <w:rFonts w:ascii="Times" w:hAnsi="Times"/>
          <w:szCs w:val="24"/>
        </w:rPr>
        <w:t>economic and financial ramifications. The South African Reserve Bank (SARB) expects the economy to recover and post 2.2 per</w:t>
      </w:r>
      <w:r w:rsidRPr="009A7F2D">
        <w:rPr>
          <w:rFonts w:ascii="Times" w:hAnsi="Times"/>
          <w:szCs w:val="24"/>
        </w:rPr>
        <w:t xml:space="preserve"> </w:t>
      </w:r>
      <w:r w:rsidR="00BA44C6" w:rsidRPr="009A7F2D">
        <w:rPr>
          <w:rFonts w:ascii="Times" w:hAnsi="Times"/>
          <w:szCs w:val="24"/>
        </w:rPr>
        <w:t xml:space="preserve">cent GDP growth </w:t>
      </w:r>
      <w:r w:rsidRPr="009A7F2D">
        <w:rPr>
          <w:rFonts w:ascii="Times" w:hAnsi="Times"/>
          <w:szCs w:val="24"/>
        </w:rPr>
        <w:t xml:space="preserve">in 2021 </w:t>
      </w:r>
      <w:r w:rsidR="00BA44C6" w:rsidRPr="009A7F2D">
        <w:rPr>
          <w:rFonts w:ascii="Times" w:hAnsi="Times"/>
          <w:szCs w:val="24"/>
        </w:rPr>
        <w:t>and a further 2.7 per</w:t>
      </w:r>
      <w:r w:rsidRPr="009A7F2D">
        <w:rPr>
          <w:rFonts w:ascii="Times" w:hAnsi="Times"/>
          <w:szCs w:val="24"/>
        </w:rPr>
        <w:t xml:space="preserve"> </w:t>
      </w:r>
      <w:r w:rsidR="00BA44C6" w:rsidRPr="009A7F2D">
        <w:rPr>
          <w:rFonts w:ascii="Times" w:hAnsi="Times"/>
          <w:szCs w:val="24"/>
        </w:rPr>
        <w:t>cent in 2022. The IMF projects the GDP growth to be as high as 4 per</w:t>
      </w:r>
      <w:r w:rsidRPr="009A7F2D">
        <w:rPr>
          <w:rFonts w:ascii="Times" w:hAnsi="Times"/>
          <w:szCs w:val="24"/>
        </w:rPr>
        <w:t xml:space="preserve"> </w:t>
      </w:r>
      <w:r w:rsidR="00BA44C6" w:rsidRPr="009A7F2D">
        <w:rPr>
          <w:rFonts w:ascii="Times" w:hAnsi="Times"/>
          <w:szCs w:val="24"/>
        </w:rPr>
        <w:t>cent in 2021, a rate last achieved before the global financial crisis</w:t>
      </w:r>
      <w:r w:rsidRPr="009A7F2D">
        <w:rPr>
          <w:rFonts w:ascii="Times" w:hAnsi="Times"/>
          <w:szCs w:val="24"/>
        </w:rPr>
        <w:t xml:space="preserve"> of</w:t>
      </w:r>
      <w:r w:rsidR="00BA44C6" w:rsidRPr="009A7F2D">
        <w:rPr>
          <w:rFonts w:ascii="Times" w:hAnsi="Times"/>
          <w:szCs w:val="24"/>
        </w:rPr>
        <w:t xml:space="preserve"> ten years ago. It is worth noting that the enduring uncertainty about contagion, falling business and consumer confidence, business closures and structural shifts in companies and household behaviour (e.g. social distancing), supply chain disruptions and weakness in aggregate demand could temper the rebound. </w:t>
      </w:r>
    </w:p>
    <w:p w14:paraId="28C844C3" w14:textId="77777777" w:rsidR="006960B9" w:rsidRPr="00471832" w:rsidRDefault="006960B9" w:rsidP="00471832">
      <w:pPr>
        <w:rPr>
          <w:rFonts w:ascii="Times" w:hAnsi="Times"/>
          <w:szCs w:val="24"/>
        </w:rPr>
      </w:pPr>
    </w:p>
    <w:p w14:paraId="2602AD81" w14:textId="01622E6C" w:rsidR="00BA44C6" w:rsidRPr="009A7F2D" w:rsidRDefault="00BA44C6" w:rsidP="0000237A">
      <w:pPr>
        <w:pStyle w:val="Caption"/>
        <w:keepNext/>
        <w:spacing w:after="60"/>
        <w:rPr>
          <w:rFonts w:ascii="Times" w:hAnsi="Times"/>
          <w:color w:val="004C45" w:themeColor="text2"/>
          <w:sz w:val="24"/>
          <w:szCs w:val="24"/>
        </w:rPr>
      </w:pPr>
      <w:bookmarkStart w:id="17" w:name="_Ref40874589"/>
      <w:bookmarkStart w:id="18" w:name="_Toc40897041"/>
      <w:bookmarkStart w:id="19" w:name="_Toc42211435"/>
      <w:r w:rsidRPr="009A7F2D">
        <w:rPr>
          <w:rFonts w:ascii="Times" w:hAnsi="Times"/>
          <w:color w:val="004C45" w:themeColor="text2"/>
          <w:sz w:val="24"/>
          <w:szCs w:val="24"/>
        </w:rPr>
        <w:t xml:space="preserve">Figure </w:t>
      </w:r>
      <w:r w:rsidRPr="009A7F2D">
        <w:rPr>
          <w:rFonts w:ascii="Times" w:hAnsi="Times"/>
          <w:color w:val="004C45" w:themeColor="text2"/>
          <w:sz w:val="24"/>
          <w:szCs w:val="24"/>
        </w:rPr>
        <w:fldChar w:fldCharType="begin"/>
      </w:r>
      <w:r w:rsidRPr="009A7F2D">
        <w:rPr>
          <w:rFonts w:ascii="Times" w:hAnsi="Times"/>
          <w:color w:val="004C45" w:themeColor="text2"/>
          <w:sz w:val="24"/>
          <w:szCs w:val="24"/>
        </w:rPr>
        <w:instrText xml:space="preserve"> SEQ Figure \* ARABIC </w:instrText>
      </w:r>
      <w:r w:rsidRPr="009A7F2D">
        <w:rPr>
          <w:rFonts w:ascii="Times" w:hAnsi="Times"/>
          <w:color w:val="004C45" w:themeColor="text2"/>
          <w:sz w:val="24"/>
          <w:szCs w:val="24"/>
        </w:rPr>
        <w:fldChar w:fldCharType="separate"/>
      </w:r>
      <w:r w:rsidR="00835259">
        <w:rPr>
          <w:rFonts w:ascii="Times" w:hAnsi="Times"/>
          <w:noProof/>
          <w:color w:val="004C45" w:themeColor="text2"/>
          <w:sz w:val="24"/>
          <w:szCs w:val="24"/>
        </w:rPr>
        <w:t>3</w:t>
      </w:r>
      <w:r w:rsidRPr="009A7F2D">
        <w:rPr>
          <w:rFonts w:ascii="Times" w:hAnsi="Times"/>
          <w:color w:val="004C45" w:themeColor="text2"/>
          <w:sz w:val="24"/>
          <w:szCs w:val="24"/>
        </w:rPr>
        <w:fldChar w:fldCharType="end"/>
      </w:r>
      <w:bookmarkEnd w:id="17"/>
      <w:r w:rsidRPr="009A7F2D">
        <w:rPr>
          <w:rFonts w:ascii="Times" w:hAnsi="Times"/>
          <w:color w:val="004C45" w:themeColor="text2"/>
          <w:sz w:val="24"/>
          <w:szCs w:val="24"/>
        </w:rPr>
        <w:t>: Projections for GDP growth in South Africa, 2020</w:t>
      </w:r>
      <w:bookmarkEnd w:id="18"/>
      <w:bookmarkEnd w:id="19"/>
    </w:p>
    <w:p w14:paraId="4FC6FE56" w14:textId="77777777" w:rsidR="00BA44C6" w:rsidRPr="000D33E4" w:rsidRDefault="00BA44C6" w:rsidP="009A7F2D">
      <w:pPr>
        <w:keepNext/>
        <w:jc w:val="right"/>
        <w:rPr>
          <w:rFonts w:ascii="Times" w:hAnsi="Times"/>
        </w:rPr>
      </w:pPr>
      <w:r w:rsidRPr="000D33E4">
        <w:rPr>
          <w:rFonts w:ascii="Times" w:hAnsi="Times"/>
          <w:noProof/>
          <w:lang w:eastAsia="en-ZA"/>
        </w:rPr>
        <w:drawing>
          <wp:inline distT="0" distB="0" distL="0" distR="0" wp14:anchorId="1120F132" wp14:editId="37D1C72F">
            <wp:extent cx="6098540" cy="1973580"/>
            <wp:effectExtent l="0" t="0" r="16510" b="7620"/>
            <wp:docPr id="13" name="Chart 13">
              <a:extLst xmlns:a="http://schemas.openxmlformats.org/drawingml/2006/main">
                <a:ext uri="{FF2B5EF4-FFF2-40B4-BE49-F238E27FC236}">
                  <a16:creationId xmlns:a16="http://schemas.microsoft.com/office/drawing/2014/main" id="{86D1CE1F-B3CD-460E-B3D0-F6416FD92C6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2018063B" w14:textId="77777777" w:rsidR="00BA44C6" w:rsidRPr="009A7F2D" w:rsidRDefault="00BA44C6" w:rsidP="009A7F2D">
      <w:pPr>
        <w:keepNext/>
        <w:rPr>
          <w:rFonts w:ascii="Times" w:hAnsi="Times"/>
          <w:i/>
          <w:iCs/>
          <w:sz w:val="20"/>
          <w:szCs w:val="20"/>
        </w:rPr>
      </w:pPr>
      <w:r w:rsidRPr="009A7F2D">
        <w:rPr>
          <w:rFonts w:ascii="Times" w:hAnsi="Times"/>
          <w:i/>
          <w:iCs/>
          <w:sz w:val="20"/>
          <w:szCs w:val="20"/>
        </w:rPr>
        <w:t>Source: National Treasury, South African Reserve Bank, IMF, PwC, Mc</w:t>
      </w:r>
      <w:r w:rsidR="00D5507E">
        <w:rPr>
          <w:rFonts w:ascii="Times" w:hAnsi="Times"/>
          <w:i/>
          <w:iCs/>
          <w:sz w:val="20"/>
          <w:szCs w:val="20"/>
        </w:rPr>
        <w:t>K</w:t>
      </w:r>
      <w:r w:rsidRPr="009A7F2D">
        <w:rPr>
          <w:rFonts w:ascii="Times" w:hAnsi="Times"/>
          <w:i/>
          <w:iCs/>
          <w:sz w:val="20"/>
          <w:szCs w:val="20"/>
        </w:rPr>
        <w:t>insey &amp; Company</w:t>
      </w:r>
    </w:p>
    <w:p w14:paraId="54B3C8DE" w14:textId="77777777" w:rsidR="00D2420F" w:rsidRPr="009A7F2D" w:rsidRDefault="00BA44C6" w:rsidP="009A7F2D">
      <w:pPr>
        <w:keepNext/>
        <w:rPr>
          <w:rFonts w:ascii="Times" w:hAnsi="Times"/>
          <w:i/>
          <w:iCs/>
          <w:sz w:val="20"/>
          <w:szCs w:val="20"/>
        </w:rPr>
      </w:pPr>
      <w:r w:rsidRPr="009A7F2D">
        <w:rPr>
          <w:rFonts w:ascii="Times" w:hAnsi="Times"/>
          <w:i/>
          <w:iCs/>
          <w:sz w:val="20"/>
          <w:szCs w:val="20"/>
        </w:rPr>
        <w:t xml:space="preserve">NB *projection of worst-case scenario by institution </w:t>
      </w:r>
      <w:bookmarkStart w:id="20" w:name="_Hlk40611319"/>
    </w:p>
    <w:p w14:paraId="102DD8C6" w14:textId="77777777" w:rsidR="000C75FC" w:rsidRPr="000D33E4" w:rsidRDefault="000C75FC" w:rsidP="00471832">
      <w:pPr>
        <w:rPr>
          <w:rFonts w:ascii="Times" w:hAnsi="Times"/>
        </w:rPr>
      </w:pPr>
    </w:p>
    <w:p w14:paraId="49E1DB87" w14:textId="77777777" w:rsidR="00D2420F" w:rsidRPr="009A7F2D" w:rsidRDefault="00BA44C6" w:rsidP="009A7F2D">
      <w:pPr>
        <w:rPr>
          <w:szCs w:val="24"/>
        </w:rPr>
      </w:pPr>
      <w:r w:rsidRPr="009A7F2D">
        <w:rPr>
          <w:rFonts w:ascii="Times" w:hAnsi="Times"/>
          <w:szCs w:val="24"/>
        </w:rPr>
        <w:t xml:space="preserve">South Africa’s sovereign credit rating </w:t>
      </w:r>
      <w:bookmarkEnd w:id="20"/>
      <w:r w:rsidRPr="009A7F2D">
        <w:rPr>
          <w:rFonts w:ascii="Times" w:hAnsi="Times"/>
          <w:szCs w:val="24"/>
        </w:rPr>
        <w:t xml:space="preserve">is critical in determining the cost of borrowing for </w:t>
      </w:r>
      <w:r w:rsidR="00166E25" w:rsidRPr="009A7F2D">
        <w:rPr>
          <w:rFonts w:ascii="Times" w:hAnsi="Times"/>
          <w:szCs w:val="24"/>
        </w:rPr>
        <w:t>the country</w:t>
      </w:r>
      <w:r w:rsidRPr="009A7F2D">
        <w:rPr>
          <w:rFonts w:ascii="Times" w:hAnsi="Times"/>
          <w:szCs w:val="24"/>
        </w:rPr>
        <w:t xml:space="preserve"> in capital markets. Moody’s Investor’s Service downgraded South African local</w:t>
      </w:r>
      <w:r w:rsidR="00166E25" w:rsidRPr="009A7F2D">
        <w:rPr>
          <w:rFonts w:ascii="Times" w:hAnsi="Times"/>
          <w:szCs w:val="24"/>
        </w:rPr>
        <w:t xml:space="preserve"> </w:t>
      </w:r>
      <w:r w:rsidRPr="009A7F2D">
        <w:rPr>
          <w:rFonts w:ascii="Times" w:hAnsi="Times"/>
          <w:szCs w:val="24"/>
        </w:rPr>
        <w:t xml:space="preserve">currency sovereign credit rating from Baa3 to Ba1, one notch below investment grade in March </w:t>
      </w:r>
      <w:r w:rsidR="00166E25" w:rsidRPr="009A7F2D">
        <w:rPr>
          <w:rFonts w:ascii="Times" w:hAnsi="Times"/>
          <w:szCs w:val="24"/>
        </w:rPr>
        <w:t>2020</w:t>
      </w:r>
      <w:r w:rsidRPr="009A7F2D">
        <w:rPr>
          <w:rFonts w:ascii="Times" w:hAnsi="Times"/>
          <w:szCs w:val="24"/>
        </w:rPr>
        <w:t xml:space="preserve">. This downgrade aligned Moody’s rating with </w:t>
      </w:r>
      <w:r w:rsidR="00166E25" w:rsidRPr="009A7F2D">
        <w:rPr>
          <w:rFonts w:ascii="Times" w:hAnsi="Times"/>
          <w:szCs w:val="24"/>
        </w:rPr>
        <w:t xml:space="preserve">2017’s </w:t>
      </w:r>
      <w:r w:rsidRPr="009A7F2D">
        <w:rPr>
          <w:rFonts w:ascii="Times" w:hAnsi="Times"/>
          <w:szCs w:val="24"/>
        </w:rPr>
        <w:t>sub-investment grad</w:t>
      </w:r>
      <w:r w:rsidR="00166E25" w:rsidRPr="009A7F2D">
        <w:rPr>
          <w:rFonts w:ascii="Times" w:hAnsi="Times"/>
          <w:szCs w:val="24"/>
        </w:rPr>
        <w:t>ing</w:t>
      </w:r>
      <w:r w:rsidRPr="009A7F2D">
        <w:rPr>
          <w:rFonts w:ascii="Times" w:hAnsi="Times"/>
          <w:szCs w:val="24"/>
        </w:rPr>
        <w:t xml:space="preserve"> by Fitch Ratings and S&amp;P </w:t>
      </w:r>
      <w:r w:rsidR="00166E25" w:rsidRPr="009A7F2D">
        <w:rPr>
          <w:rFonts w:ascii="Times" w:hAnsi="Times"/>
          <w:szCs w:val="24"/>
        </w:rPr>
        <w:t>of</w:t>
      </w:r>
      <w:r w:rsidRPr="009A7F2D">
        <w:rPr>
          <w:rFonts w:ascii="Times" w:hAnsi="Times"/>
          <w:szCs w:val="24"/>
        </w:rPr>
        <w:t xml:space="preserve"> South Africa. Against the backdrop of a deteriorating fiscal position and weak trend growth, </w:t>
      </w:r>
      <w:r w:rsidR="00D37C78" w:rsidRPr="009A7F2D">
        <w:rPr>
          <w:rFonts w:ascii="Times" w:hAnsi="Times"/>
          <w:szCs w:val="24"/>
        </w:rPr>
        <w:t xml:space="preserve">the </w:t>
      </w:r>
      <w:r w:rsidRPr="009A7F2D">
        <w:rPr>
          <w:rFonts w:ascii="Times" w:hAnsi="Times"/>
          <w:szCs w:val="24"/>
        </w:rPr>
        <w:t xml:space="preserve">sovereign credit rating downgrade by Moody’s to sub-investment grade means increased costs of borrowing will further worsen debt sustainability prospects. Moreover, the slump in economic activity will result in a notable revenue underperformance while efforts to contain the virus will necessitate an increase in unplanned spending. </w:t>
      </w:r>
    </w:p>
    <w:p w14:paraId="78AF9B56" w14:textId="77777777" w:rsidR="000C75FC" w:rsidRPr="00471832" w:rsidRDefault="000C75FC" w:rsidP="00471832">
      <w:pPr>
        <w:rPr>
          <w:rFonts w:ascii="Times" w:hAnsi="Times"/>
          <w:szCs w:val="24"/>
        </w:rPr>
      </w:pPr>
    </w:p>
    <w:p w14:paraId="03E73585" w14:textId="5B477079" w:rsidR="00BA44C6" w:rsidRPr="009A7F2D" w:rsidRDefault="00BA44C6" w:rsidP="009A7F2D">
      <w:pPr>
        <w:rPr>
          <w:szCs w:val="24"/>
        </w:rPr>
      </w:pPr>
      <w:r w:rsidRPr="009A7F2D">
        <w:rPr>
          <w:rFonts w:ascii="Times" w:hAnsi="Times"/>
          <w:szCs w:val="24"/>
        </w:rPr>
        <w:t>Fitch Ratings also downgraded South Africa’s long-term, foreign</w:t>
      </w:r>
      <w:r w:rsidR="00371982">
        <w:rPr>
          <w:rFonts w:ascii="Times" w:hAnsi="Times"/>
          <w:szCs w:val="24"/>
        </w:rPr>
        <w:t xml:space="preserve"> </w:t>
      </w:r>
      <w:r w:rsidRPr="009A7F2D">
        <w:rPr>
          <w:rFonts w:ascii="Times" w:hAnsi="Times"/>
          <w:szCs w:val="24"/>
        </w:rPr>
        <w:t xml:space="preserve">currency sovereign credit </w:t>
      </w:r>
      <w:r w:rsidR="00822E84" w:rsidRPr="009A7F2D">
        <w:rPr>
          <w:rFonts w:ascii="Times" w:hAnsi="Times"/>
          <w:szCs w:val="24"/>
        </w:rPr>
        <w:t>rating from</w:t>
      </w:r>
      <w:r w:rsidRPr="009A7F2D">
        <w:rPr>
          <w:rFonts w:ascii="Times" w:hAnsi="Times"/>
          <w:szCs w:val="24"/>
        </w:rPr>
        <w:t xml:space="preserve"> BB+ to BB while maintaining the outlook at negative. Fitch is now the only ratings agency that considers both South Africa’s foreign currency and local currency issuer default ratings two notches below investment grade. </w:t>
      </w:r>
      <w:r w:rsidR="000D5D8D">
        <w:rPr>
          <w:rFonts w:ascii="Times" w:hAnsi="Times"/>
          <w:szCs w:val="24"/>
        </w:rPr>
        <w:t>South Africa</w:t>
      </w:r>
      <w:r w:rsidRPr="009A7F2D">
        <w:rPr>
          <w:rFonts w:ascii="Times" w:hAnsi="Times"/>
          <w:szCs w:val="24"/>
        </w:rPr>
        <w:t xml:space="preserve"> runs the risk of sliding down a slippery slope in which the inability to address concerns raised by ratings agencies pushes </w:t>
      </w:r>
      <w:r w:rsidR="000D5D8D">
        <w:rPr>
          <w:rFonts w:ascii="Times" w:hAnsi="Times"/>
          <w:szCs w:val="24"/>
        </w:rPr>
        <w:t>it</w:t>
      </w:r>
      <w:r w:rsidRPr="009A7F2D">
        <w:rPr>
          <w:rFonts w:ascii="Times" w:hAnsi="Times"/>
          <w:szCs w:val="24"/>
        </w:rPr>
        <w:t xml:space="preserve"> deeper into junk territory. The inability to halt the country’s slide deeper into junk will have a severe impact on the country’s economic future. </w:t>
      </w:r>
      <w:r w:rsidR="00D37C78" w:rsidRPr="00232BC6">
        <w:rPr>
          <w:rFonts w:ascii="Times" w:hAnsi="Times"/>
          <w:szCs w:val="24"/>
        </w:rPr>
        <w:fldChar w:fldCharType="begin"/>
      </w:r>
      <w:r w:rsidR="00D37C78" w:rsidRPr="00232BC6">
        <w:rPr>
          <w:rFonts w:ascii="Times" w:hAnsi="Times"/>
          <w:szCs w:val="24"/>
        </w:rPr>
        <w:instrText xml:space="preserve"> REF _Ref40875645 \h </w:instrText>
      </w:r>
      <w:r w:rsidR="00B97D22" w:rsidRPr="00232BC6">
        <w:rPr>
          <w:rFonts w:ascii="Times" w:hAnsi="Times"/>
          <w:szCs w:val="24"/>
        </w:rPr>
        <w:instrText xml:space="preserve"> \* MERGEFORMAT </w:instrText>
      </w:r>
      <w:r w:rsidR="00D37C78" w:rsidRPr="00232BC6">
        <w:rPr>
          <w:rFonts w:ascii="Times" w:hAnsi="Times"/>
          <w:szCs w:val="24"/>
        </w:rPr>
      </w:r>
      <w:r w:rsidR="00D37C78" w:rsidRPr="00232BC6">
        <w:rPr>
          <w:rFonts w:ascii="Times" w:hAnsi="Times"/>
          <w:szCs w:val="24"/>
        </w:rPr>
        <w:fldChar w:fldCharType="separate"/>
      </w:r>
      <w:r w:rsidR="00EF5F22" w:rsidRPr="00EF5F22">
        <w:rPr>
          <w:rFonts w:ascii="Times" w:hAnsi="Times"/>
          <w:iCs/>
          <w:szCs w:val="24"/>
        </w:rPr>
        <w:t xml:space="preserve">Table </w:t>
      </w:r>
      <w:r w:rsidR="00EF5F22" w:rsidRPr="00EF5F22">
        <w:rPr>
          <w:rFonts w:ascii="Times" w:hAnsi="Times"/>
          <w:iCs/>
          <w:noProof/>
          <w:szCs w:val="24"/>
        </w:rPr>
        <w:t>1</w:t>
      </w:r>
      <w:r w:rsidR="00D37C78" w:rsidRPr="00232BC6">
        <w:rPr>
          <w:rFonts w:ascii="Times" w:hAnsi="Times"/>
          <w:szCs w:val="24"/>
        </w:rPr>
        <w:fldChar w:fldCharType="end"/>
      </w:r>
      <w:r w:rsidR="00B97D22">
        <w:rPr>
          <w:rFonts w:ascii="Times" w:hAnsi="Times"/>
          <w:szCs w:val="24"/>
        </w:rPr>
        <w:t xml:space="preserve"> </w:t>
      </w:r>
      <w:r w:rsidRPr="009A7F2D">
        <w:rPr>
          <w:rFonts w:ascii="Times" w:hAnsi="Times"/>
          <w:szCs w:val="24"/>
        </w:rPr>
        <w:t>shows the long-term rating scales comparison for South Africa</w:t>
      </w:r>
      <w:r w:rsidR="00EF5F22">
        <w:rPr>
          <w:rFonts w:ascii="Times" w:hAnsi="Times"/>
          <w:szCs w:val="24"/>
        </w:rPr>
        <w:t>’s</w:t>
      </w:r>
      <w:r w:rsidRPr="009A7F2D">
        <w:rPr>
          <w:rFonts w:ascii="Times" w:hAnsi="Times"/>
          <w:szCs w:val="24"/>
        </w:rPr>
        <w:t xml:space="preserve"> credit ratings. </w:t>
      </w:r>
    </w:p>
    <w:p w14:paraId="57FCEBC8" w14:textId="77777777" w:rsidR="00BA4686" w:rsidRPr="00471832" w:rsidRDefault="00BA4686" w:rsidP="00471832">
      <w:pPr>
        <w:rPr>
          <w:rFonts w:ascii="Times" w:hAnsi="Times"/>
          <w:szCs w:val="24"/>
        </w:rPr>
      </w:pPr>
    </w:p>
    <w:p w14:paraId="1CEE47E7" w14:textId="43049280" w:rsidR="00BA44C6" w:rsidRPr="009A7F2D" w:rsidRDefault="00D2420F" w:rsidP="0000237A">
      <w:pPr>
        <w:pStyle w:val="Caption"/>
        <w:keepNext/>
        <w:spacing w:after="60" w:line="240" w:lineRule="auto"/>
        <w:rPr>
          <w:rFonts w:ascii="Times" w:hAnsi="Times"/>
          <w:bCs w:val="0"/>
          <w:iCs/>
          <w:color w:val="004C45" w:themeColor="text2"/>
          <w:sz w:val="24"/>
          <w:szCs w:val="24"/>
        </w:rPr>
      </w:pPr>
      <w:r w:rsidRPr="009A7F2D">
        <w:rPr>
          <w:rFonts w:ascii="Times" w:hAnsi="Times"/>
          <w:bCs w:val="0"/>
          <w:i/>
          <w:iCs/>
          <w:color w:val="004C45" w:themeColor="text2"/>
          <w:sz w:val="24"/>
          <w:szCs w:val="24"/>
        </w:rPr>
        <w:t xml:space="preserve"> </w:t>
      </w:r>
      <w:bookmarkStart w:id="21" w:name="_Ref40875645"/>
      <w:bookmarkStart w:id="22" w:name="_Toc42212129"/>
      <w:r w:rsidR="00BA44C6" w:rsidRPr="009A7F2D">
        <w:rPr>
          <w:rFonts w:ascii="Times" w:hAnsi="Times"/>
          <w:bCs w:val="0"/>
          <w:iCs/>
          <w:color w:val="004C45" w:themeColor="text2"/>
          <w:sz w:val="24"/>
          <w:szCs w:val="24"/>
        </w:rPr>
        <w:t xml:space="preserve">Table </w:t>
      </w:r>
      <w:r w:rsidR="00BA44C6" w:rsidRPr="009A7F2D">
        <w:rPr>
          <w:rFonts w:ascii="Times" w:hAnsi="Times"/>
          <w:bCs w:val="0"/>
          <w:iCs/>
          <w:color w:val="004C45" w:themeColor="text2"/>
          <w:sz w:val="24"/>
          <w:szCs w:val="24"/>
        </w:rPr>
        <w:fldChar w:fldCharType="begin"/>
      </w:r>
      <w:r w:rsidR="00BA44C6" w:rsidRPr="009A7F2D">
        <w:rPr>
          <w:rFonts w:ascii="Times" w:hAnsi="Times"/>
          <w:bCs w:val="0"/>
          <w:iCs/>
          <w:color w:val="004C45" w:themeColor="text2"/>
          <w:sz w:val="24"/>
          <w:szCs w:val="24"/>
        </w:rPr>
        <w:instrText xml:space="preserve"> SEQ Table \* ARABIC </w:instrText>
      </w:r>
      <w:r w:rsidR="00BA44C6" w:rsidRPr="009A7F2D">
        <w:rPr>
          <w:rFonts w:ascii="Times" w:hAnsi="Times"/>
          <w:bCs w:val="0"/>
          <w:iCs/>
          <w:color w:val="004C45" w:themeColor="text2"/>
          <w:sz w:val="24"/>
          <w:szCs w:val="24"/>
        </w:rPr>
        <w:fldChar w:fldCharType="separate"/>
      </w:r>
      <w:r w:rsidR="00492893">
        <w:rPr>
          <w:rFonts w:ascii="Times" w:hAnsi="Times"/>
          <w:bCs w:val="0"/>
          <w:iCs/>
          <w:noProof/>
          <w:color w:val="004C45" w:themeColor="text2"/>
          <w:sz w:val="24"/>
          <w:szCs w:val="24"/>
        </w:rPr>
        <w:t>1</w:t>
      </w:r>
      <w:r w:rsidR="00BA44C6" w:rsidRPr="009A7F2D">
        <w:rPr>
          <w:rFonts w:ascii="Times" w:hAnsi="Times"/>
          <w:bCs w:val="0"/>
          <w:iCs/>
          <w:color w:val="004C45" w:themeColor="text2"/>
          <w:sz w:val="24"/>
          <w:szCs w:val="24"/>
        </w:rPr>
        <w:fldChar w:fldCharType="end"/>
      </w:r>
      <w:bookmarkEnd w:id="21"/>
      <w:r w:rsidR="00BA44C6" w:rsidRPr="009A7F2D">
        <w:rPr>
          <w:rFonts w:ascii="Times" w:hAnsi="Times"/>
          <w:bCs w:val="0"/>
          <w:iCs/>
          <w:color w:val="004C45" w:themeColor="text2"/>
          <w:sz w:val="24"/>
          <w:szCs w:val="24"/>
        </w:rPr>
        <w:t xml:space="preserve">: South Africa </w:t>
      </w:r>
      <w:r w:rsidR="00D37C78" w:rsidRPr="009A7F2D">
        <w:rPr>
          <w:rFonts w:ascii="Times" w:hAnsi="Times"/>
          <w:bCs w:val="0"/>
          <w:iCs/>
          <w:color w:val="004C45" w:themeColor="text2"/>
          <w:sz w:val="24"/>
          <w:szCs w:val="24"/>
        </w:rPr>
        <w:t>c</w:t>
      </w:r>
      <w:r w:rsidR="00BA44C6" w:rsidRPr="009A7F2D">
        <w:rPr>
          <w:rFonts w:ascii="Times" w:hAnsi="Times"/>
          <w:bCs w:val="0"/>
          <w:iCs/>
          <w:color w:val="004C45" w:themeColor="text2"/>
          <w:sz w:val="24"/>
          <w:szCs w:val="24"/>
        </w:rPr>
        <w:t xml:space="preserve">redit </w:t>
      </w:r>
      <w:r w:rsidR="00D37C78" w:rsidRPr="009A7F2D">
        <w:rPr>
          <w:rFonts w:ascii="Times" w:hAnsi="Times"/>
          <w:bCs w:val="0"/>
          <w:iCs/>
          <w:color w:val="004C45" w:themeColor="text2"/>
          <w:sz w:val="24"/>
          <w:szCs w:val="24"/>
        </w:rPr>
        <w:t>r</w:t>
      </w:r>
      <w:r w:rsidR="00BA44C6" w:rsidRPr="009A7F2D">
        <w:rPr>
          <w:rFonts w:ascii="Times" w:hAnsi="Times"/>
          <w:bCs w:val="0"/>
          <w:iCs/>
          <w:color w:val="004C45" w:themeColor="text2"/>
          <w:sz w:val="24"/>
          <w:szCs w:val="24"/>
        </w:rPr>
        <w:t xml:space="preserve">atings: Long-term </w:t>
      </w:r>
      <w:r w:rsidR="00D37C78" w:rsidRPr="009A7F2D">
        <w:rPr>
          <w:rFonts w:ascii="Times" w:hAnsi="Times"/>
          <w:bCs w:val="0"/>
          <w:iCs/>
          <w:color w:val="004C45" w:themeColor="text2"/>
          <w:sz w:val="24"/>
          <w:szCs w:val="24"/>
        </w:rPr>
        <w:t>r</w:t>
      </w:r>
      <w:r w:rsidR="00BA44C6" w:rsidRPr="009A7F2D">
        <w:rPr>
          <w:rFonts w:ascii="Times" w:hAnsi="Times"/>
          <w:bCs w:val="0"/>
          <w:iCs/>
          <w:color w:val="004C45" w:themeColor="text2"/>
          <w:sz w:val="24"/>
          <w:szCs w:val="24"/>
        </w:rPr>
        <w:t xml:space="preserve">ating </w:t>
      </w:r>
      <w:r w:rsidR="00D37C78" w:rsidRPr="009A7F2D">
        <w:rPr>
          <w:rFonts w:ascii="Times" w:hAnsi="Times"/>
          <w:bCs w:val="0"/>
          <w:iCs/>
          <w:color w:val="004C45" w:themeColor="text2"/>
          <w:sz w:val="24"/>
          <w:szCs w:val="24"/>
        </w:rPr>
        <w:t>s</w:t>
      </w:r>
      <w:r w:rsidR="00BA44C6" w:rsidRPr="009A7F2D">
        <w:rPr>
          <w:rFonts w:ascii="Times" w:hAnsi="Times"/>
          <w:bCs w:val="0"/>
          <w:iCs/>
          <w:color w:val="004C45" w:themeColor="text2"/>
          <w:sz w:val="24"/>
          <w:szCs w:val="24"/>
        </w:rPr>
        <w:t xml:space="preserve">cales </w:t>
      </w:r>
      <w:r w:rsidR="00D37C78" w:rsidRPr="009A7F2D">
        <w:rPr>
          <w:rFonts w:ascii="Times" w:hAnsi="Times"/>
          <w:bCs w:val="0"/>
          <w:iCs/>
          <w:color w:val="004C45" w:themeColor="text2"/>
          <w:sz w:val="24"/>
          <w:szCs w:val="24"/>
        </w:rPr>
        <w:t>c</w:t>
      </w:r>
      <w:r w:rsidR="00BA44C6" w:rsidRPr="009A7F2D">
        <w:rPr>
          <w:rFonts w:ascii="Times" w:hAnsi="Times"/>
          <w:bCs w:val="0"/>
          <w:iCs/>
          <w:color w:val="004C45" w:themeColor="text2"/>
          <w:sz w:val="24"/>
          <w:szCs w:val="24"/>
        </w:rPr>
        <w:t>omparison</w:t>
      </w:r>
      <w:bookmarkEnd w:id="22"/>
    </w:p>
    <w:tbl>
      <w:tblPr>
        <w:tblStyle w:val="GridTable1Light-Accent31"/>
        <w:tblW w:w="4953" w:type="pct"/>
        <w:tblInd w:w="-5" w:type="dxa"/>
        <w:tblLook w:val="04A0" w:firstRow="1" w:lastRow="0" w:firstColumn="1" w:lastColumn="0" w:noHBand="0" w:noVBand="1"/>
      </w:tblPr>
      <w:tblGrid>
        <w:gridCol w:w="3098"/>
        <w:gridCol w:w="1595"/>
        <w:gridCol w:w="1686"/>
        <w:gridCol w:w="1844"/>
        <w:gridCol w:w="1314"/>
      </w:tblGrid>
      <w:tr w:rsidR="00BA44C6" w:rsidRPr="000D33E4" w14:paraId="33847BD5" w14:textId="77777777" w:rsidTr="009A7F2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4" w:type="pct"/>
            <w:tcBorders>
              <w:bottom w:val="none" w:sz="0" w:space="0" w:color="auto"/>
            </w:tcBorders>
            <w:hideMark/>
          </w:tcPr>
          <w:p w14:paraId="7C492023" w14:textId="77777777" w:rsidR="00BA44C6" w:rsidRPr="000D33E4" w:rsidRDefault="00BA44C6" w:rsidP="009A7F2D">
            <w:pPr>
              <w:keepNext/>
              <w:spacing w:line="240" w:lineRule="auto"/>
              <w:rPr>
                <w:rFonts w:ascii="Times" w:eastAsia="Calibri" w:hAnsi="Times"/>
                <w:b w:val="0"/>
                <w:sz w:val="18"/>
                <w:szCs w:val="18"/>
              </w:rPr>
            </w:pPr>
            <w:r w:rsidRPr="000D33E4">
              <w:rPr>
                <w:rFonts w:ascii="Times" w:eastAsia="Calibri" w:hAnsi="Times"/>
                <w:b w:val="0"/>
                <w:sz w:val="18"/>
                <w:szCs w:val="18"/>
              </w:rPr>
              <w:t>Description</w:t>
            </w:r>
          </w:p>
        </w:tc>
        <w:tc>
          <w:tcPr>
            <w:tcW w:w="836" w:type="pct"/>
            <w:tcBorders>
              <w:bottom w:val="none" w:sz="0" w:space="0" w:color="auto"/>
            </w:tcBorders>
            <w:hideMark/>
          </w:tcPr>
          <w:p w14:paraId="1C62D9E6" w14:textId="77777777" w:rsidR="00BA44C6" w:rsidRPr="000D33E4" w:rsidRDefault="00BA44C6" w:rsidP="009A7F2D">
            <w:pPr>
              <w:keepNext/>
              <w:spacing w:line="240" w:lineRule="auto"/>
              <w:jc w:val="center"/>
              <w:cnfStyle w:val="100000000000" w:firstRow="1" w:lastRow="0" w:firstColumn="0" w:lastColumn="0" w:oddVBand="0" w:evenVBand="0" w:oddHBand="0" w:evenHBand="0" w:firstRowFirstColumn="0" w:firstRowLastColumn="0" w:lastRowFirstColumn="0" w:lastRowLastColumn="0"/>
              <w:rPr>
                <w:rFonts w:ascii="Times" w:eastAsia="Calibri" w:hAnsi="Times"/>
                <w:b w:val="0"/>
                <w:sz w:val="18"/>
                <w:szCs w:val="18"/>
              </w:rPr>
            </w:pPr>
            <w:r w:rsidRPr="000D33E4">
              <w:rPr>
                <w:rFonts w:ascii="Times" w:eastAsia="Calibri" w:hAnsi="Times"/>
                <w:b w:val="0"/>
                <w:sz w:val="18"/>
                <w:szCs w:val="18"/>
              </w:rPr>
              <w:t>S&amp;P</w:t>
            </w:r>
          </w:p>
        </w:tc>
        <w:tc>
          <w:tcPr>
            <w:tcW w:w="884" w:type="pct"/>
            <w:tcBorders>
              <w:bottom w:val="none" w:sz="0" w:space="0" w:color="auto"/>
            </w:tcBorders>
            <w:hideMark/>
          </w:tcPr>
          <w:p w14:paraId="174E17B6" w14:textId="77777777" w:rsidR="00BA44C6" w:rsidRPr="000D33E4" w:rsidRDefault="00BA44C6" w:rsidP="009A7F2D">
            <w:pPr>
              <w:keepNext/>
              <w:spacing w:line="240" w:lineRule="auto"/>
              <w:jc w:val="center"/>
              <w:cnfStyle w:val="100000000000" w:firstRow="1" w:lastRow="0" w:firstColumn="0" w:lastColumn="0" w:oddVBand="0" w:evenVBand="0" w:oddHBand="0" w:evenHBand="0" w:firstRowFirstColumn="0" w:firstRowLastColumn="0" w:lastRowFirstColumn="0" w:lastRowLastColumn="0"/>
              <w:rPr>
                <w:rFonts w:ascii="Times" w:eastAsia="Calibri" w:hAnsi="Times"/>
                <w:b w:val="0"/>
                <w:sz w:val="18"/>
                <w:szCs w:val="18"/>
              </w:rPr>
            </w:pPr>
            <w:r w:rsidRPr="000D33E4">
              <w:rPr>
                <w:rFonts w:ascii="Times" w:eastAsia="Calibri" w:hAnsi="Times"/>
                <w:b w:val="0"/>
                <w:sz w:val="18"/>
                <w:szCs w:val="18"/>
              </w:rPr>
              <w:t>Moody's</w:t>
            </w:r>
          </w:p>
        </w:tc>
        <w:tc>
          <w:tcPr>
            <w:tcW w:w="967" w:type="pct"/>
            <w:tcBorders>
              <w:bottom w:val="none" w:sz="0" w:space="0" w:color="auto"/>
            </w:tcBorders>
            <w:hideMark/>
          </w:tcPr>
          <w:p w14:paraId="29F05BB6" w14:textId="77777777" w:rsidR="00BA44C6" w:rsidRPr="000D33E4" w:rsidRDefault="00BA44C6" w:rsidP="009A7F2D">
            <w:pPr>
              <w:keepNext/>
              <w:spacing w:line="240" w:lineRule="auto"/>
              <w:jc w:val="center"/>
              <w:cnfStyle w:val="100000000000" w:firstRow="1" w:lastRow="0" w:firstColumn="0" w:lastColumn="0" w:oddVBand="0" w:evenVBand="0" w:oddHBand="0" w:evenHBand="0" w:firstRowFirstColumn="0" w:firstRowLastColumn="0" w:lastRowFirstColumn="0" w:lastRowLastColumn="0"/>
              <w:rPr>
                <w:rFonts w:ascii="Times" w:eastAsia="Calibri" w:hAnsi="Times"/>
                <w:b w:val="0"/>
                <w:sz w:val="18"/>
                <w:szCs w:val="18"/>
              </w:rPr>
            </w:pPr>
            <w:r w:rsidRPr="000D33E4">
              <w:rPr>
                <w:rFonts w:ascii="Times" w:eastAsia="Calibri" w:hAnsi="Times"/>
                <w:b w:val="0"/>
                <w:sz w:val="18"/>
                <w:szCs w:val="18"/>
              </w:rPr>
              <w:t>Fitch</w:t>
            </w:r>
          </w:p>
        </w:tc>
        <w:tc>
          <w:tcPr>
            <w:tcW w:w="690" w:type="pct"/>
            <w:tcBorders>
              <w:bottom w:val="none" w:sz="0" w:space="0" w:color="auto"/>
            </w:tcBorders>
            <w:hideMark/>
          </w:tcPr>
          <w:p w14:paraId="04FB309C" w14:textId="77777777" w:rsidR="00BA44C6" w:rsidRPr="000D33E4" w:rsidRDefault="00BA44C6" w:rsidP="009A7F2D">
            <w:pPr>
              <w:keepNext/>
              <w:spacing w:line="240" w:lineRule="auto"/>
              <w:jc w:val="center"/>
              <w:cnfStyle w:val="100000000000" w:firstRow="1" w:lastRow="0" w:firstColumn="0" w:lastColumn="0" w:oddVBand="0" w:evenVBand="0" w:oddHBand="0" w:evenHBand="0" w:firstRowFirstColumn="0" w:firstRowLastColumn="0" w:lastRowFirstColumn="0" w:lastRowLastColumn="0"/>
              <w:rPr>
                <w:rFonts w:ascii="Times" w:eastAsia="Calibri" w:hAnsi="Times"/>
                <w:b w:val="0"/>
                <w:sz w:val="18"/>
                <w:szCs w:val="18"/>
              </w:rPr>
            </w:pPr>
            <w:r w:rsidRPr="000D33E4">
              <w:rPr>
                <w:rFonts w:ascii="Times" w:eastAsia="Calibri" w:hAnsi="Times"/>
                <w:b w:val="0"/>
                <w:sz w:val="18"/>
                <w:szCs w:val="18"/>
              </w:rPr>
              <w:t>Grade</w:t>
            </w:r>
          </w:p>
        </w:tc>
      </w:tr>
      <w:tr w:rsidR="00BA44C6" w:rsidRPr="000D33E4" w14:paraId="777A1F37" w14:textId="77777777" w:rsidTr="009A7F2D">
        <w:tc>
          <w:tcPr>
            <w:cnfStyle w:val="001000000000" w:firstRow="0" w:lastRow="0" w:firstColumn="1" w:lastColumn="0" w:oddVBand="0" w:evenVBand="0" w:oddHBand="0" w:evenHBand="0" w:firstRowFirstColumn="0" w:firstRowLastColumn="0" w:lastRowFirstColumn="0" w:lastRowLastColumn="0"/>
            <w:tcW w:w="1624" w:type="pct"/>
            <w:hideMark/>
          </w:tcPr>
          <w:p w14:paraId="7C8F65D4" w14:textId="77777777" w:rsidR="00BA44C6" w:rsidRPr="000D33E4" w:rsidRDefault="00BA44C6" w:rsidP="009A7F2D">
            <w:pPr>
              <w:keepNext/>
              <w:spacing w:line="240" w:lineRule="auto"/>
              <w:rPr>
                <w:rFonts w:ascii="Times" w:eastAsia="Calibri" w:hAnsi="Times"/>
                <w:b w:val="0"/>
                <w:sz w:val="18"/>
                <w:szCs w:val="18"/>
              </w:rPr>
            </w:pPr>
            <w:r w:rsidRPr="000D33E4">
              <w:rPr>
                <w:rFonts w:ascii="Times" w:eastAsia="Calibri" w:hAnsi="Times"/>
                <w:b w:val="0"/>
                <w:sz w:val="18"/>
                <w:szCs w:val="18"/>
              </w:rPr>
              <w:t>Prime</w:t>
            </w:r>
          </w:p>
        </w:tc>
        <w:tc>
          <w:tcPr>
            <w:tcW w:w="836" w:type="pct"/>
            <w:hideMark/>
          </w:tcPr>
          <w:p w14:paraId="244272D9" w14:textId="77777777" w:rsidR="00BA44C6" w:rsidRPr="000D33E4" w:rsidRDefault="00BA44C6" w:rsidP="009A7F2D">
            <w:pPr>
              <w:keepNext/>
              <w:spacing w:line="240" w:lineRule="auto"/>
              <w:jc w:val="center"/>
              <w:cnfStyle w:val="000000000000" w:firstRow="0" w:lastRow="0" w:firstColumn="0" w:lastColumn="0" w:oddVBand="0" w:evenVBand="0" w:oddHBand="0" w:evenHBand="0" w:firstRowFirstColumn="0" w:firstRowLastColumn="0" w:lastRowFirstColumn="0" w:lastRowLastColumn="0"/>
              <w:rPr>
                <w:rFonts w:ascii="Times" w:eastAsia="Calibri" w:hAnsi="Times"/>
                <w:sz w:val="18"/>
                <w:szCs w:val="18"/>
              </w:rPr>
            </w:pPr>
            <w:r w:rsidRPr="000D33E4">
              <w:rPr>
                <w:rFonts w:ascii="Times" w:eastAsia="Calibri" w:hAnsi="Times"/>
                <w:sz w:val="18"/>
                <w:szCs w:val="18"/>
              </w:rPr>
              <w:t>AAA</w:t>
            </w:r>
          </w:p>
        </w:tc>
        <w:tc>
          <w:tcPr>
            <w:tcW w:w="884" w:type="pct"/>
            <w:hideMark/>
          </w:tcPr>
          <w:p w14:paraId="243CB9FD" w14:textId="77777777" w:rsidR="00BA44C6" w:rsidRPr="000D33E4" w:rsidRDefault="00BA44C6" w:rsidP="009A7F2D">
            <w:pPr>
              <w:keepNext/>
              <w:spacing w:line="240" w:lineRule="auto"/>
              <w:jc w:val="center"/>
              <w:cnfStyle w:val="000000000000" w:firstRow="0" w:lastRow="0" w:firstColumn="0" w:lastColumn="0" w:oddVBand="0" w:evenVBand="0" w:oddHBand="0" w:evenHBand="0" w:firstRowFirstColumn="0" w:firstRowLastColumn="0" w:lastRowFirstColumn="0" w:lastRowLastColumn="0"/>
              <w:rPr>
                <w:rFonts w:ascii="Times" w:eastAsia="Calibri" w:hAnsi="Times"/>
                <w:sz w:val="18"/>
                <w:szCs w:val="18"/>
              </w:rPr>
            </w:pPr>
            <w:r w:rsidRPr="000D33E4">
              <w:rPr>
                <w:rFonts w:ascii="Times" w:eastAsia="Calibri" w:hAnsi="Times"/>
                <w:sz w:val="18"/>
                <w:szCs w:val="18"/>
              </w:rPr>
              <w:t>Aaa</w:t>
            </w:r>
          </w:p>
        </w:tc>
        <w:tc>
          <w:tcPr>
            <w:tcW w:w="967" w:type="pct"/>
            <w:hideMark/>
          </w:tcPr>
          <w:p w14:paraId="48B7D981" w14:textId="77777777" w:rsidR="00BA44C6" w:rsidRPr="000D33E4" w:rsidRDefault="00BA44C6" w:rsidP="009A7F2D">
            <w:pPr>
              <w:keepNext/>
              <w:spacing w:line="240" w:lineRule="auto"/>
              <w:jc w:val="center"/>
              <w:cnfStyle w:val="000000000000" w:firstRow="0" w:lastRow="0" w:firstColumn="0" w:lastColumn="0" w:oddVBand="0" w:evenVBand="0" w:oddHBand="0" w:evenHBand="0" w:firstRowFirstColumn="0" w:firstRowLastColumn="0" w:lastRowFirstColumn="0" w:lastRowLastColumn="0"/>
              <w:rPr>
                <w:rFonts w:ascii="Times" w:eastAsia="Calibri" w:hAnsi="Times"/>
                <w:sz w:val="18"/>
                <w:szCs w:val="18"/>
              </w:rPr>
            </w:pPr>
            <w:r w:rsidRPr="000D33E4">
              <w:rPr>
                <w:rFonts w:ascii="Times" w:eastAsia="Calibri" w:hAnsi="Times"/>
                <w:sz w:val="18"/>
                <w:szCs w:val="18"/>
              </w:rPr>
              <w:t>AAA</w:t>
            </w:r>
          </w:p>
        </w:tc>
        <w:tc>
          <w:tcPr>
            <w:tcW w:w="690" w:type="pct"/>
            <w:hideMark/>
          </w:tcPr>
          <w:p w14:paraId="5020055A" w14:textId="77777777" w:rsidR="00BA44C6" w:rsidRPr="000D33E4" w:rsidRDefault="00BA44C6" w:rsidP="009A7F2D">
            <w:pPr>
              <w:keepNext/>
              <w:spacing w:line="240" w:lineRule="auto"/>
              <w:jc w:val="center"/>
              <w:cnfStyle w:val="000000000000" w:firstRow="0" w:lastRow="0" w:firstColumn="0" w:lastColumn="0" w:oddVBand="0" w:evenVBand="0" w:oddHBand="0" w:evenHBand="0" w:firstRowFirstColumn="0" w:firstRowLastColumn="0" w:lastRowFirstColumn="0" w:lastRowLastColumn="0"/>
              <w:rPr>
                <w:rFonts w:ascii="Times" w:eastAsia="Calibri" w:hAnsi="Times"/>
                <w:sz w:val="18"/>
                <w:szCs w:val="18"/>
              </w:rPr>
            </w:pPr>
            <w:r w:rsidRPr="000D33E4">
              <w:rPr>
                <w:rFonts w:ascii="Times" w:eastAsia="Calibri" w:hAnsi="Times"/>
                <w:bCs/>
                <w:sz w:val="18"/>
                <w:szCs w:val="18"/>
              </w:rPr>
              <w:t>Investment</w:t>
            </w:r>
          </w:p>
        </w:tc>
      </w:tr>
      <w:tr w:rsidR="00BA44C6" w:rsidRPr="000D33E4" w14:paraId="2F9CD2A7" w14:textId="77777777" w:rsidTr="009A7F2D">
        <w:trPr>
          <w:gridAfter w:val="4"/>
          <w:wAfter w:w="3376" w:type="pct"/>
        </w:trPr>
        <w:tc>
          <w:tcPr>
            <w:cnfStyle w:val="001000000000" w:firstRow="0" w:lastRow="0" w:firstColumn="1" w:lastColumn="0" w:oddVBand="0" w:evenVBand="0" w:oddHBand="0" w:evenHBand="0" w:firstRowFirstColumn="0" w:firstRowLastColumn="0" w:lastRowFirstColumn="0" w:lastRowLastColumn="0"/>
            <w:tcW w:w="1624" w:type="pct"/>
            <w:hideMark/>
          </w:tcPr>
          <w:p w14:paraId="230C72CC" w14:textId="77777777" w:rsidR="00BA44C6" w:rsidRPr="000D33E4" w:rsidRDefault="00BA44C6" w:rsidP="009A7F2D">
            <w:pPr>
              <w:keepNext/>
              <w:spacing w:line="240" w:lineRule="auto"/>
              <w:rPr>
                <w:rFonts w:ascii="Times" w:eastAsia="Calibri" w:hAnsi="Times"/>
                <w:b w:val="0"/>
                <w:sz w:val="18"/>
                <w:szCs w:val="18"/>
              </w:rPr>
            </w:pPr>
          </w:p>
        </w:tc>
      </w:tr>
      <w:tr w:rsidR="00BA44C6" w:rsidRPr="000D33E4" w14:paraId="6D1FBC7A" w14:textId="77777777" w:rsidTr="009A7F2D">
        <w:trPr>
          <w:gridAfter w:val="4"/>
          <w:wAfter w:w="3376" w:type="pct"/>
        </w:trPr>
        <w:tc>
          <w:tcPr>
            <w:cnfStyle w:val="001000000000" w:firstRow="0" w:lastRow="0" w:firstColumn="1" w:lastColumn="0" w:oddVBand="0" w:evenVBand="0" w:oddHBand="0" w:evenHBand="0" w:firstRowFirstColumn="0" w:firstRowLastColumn="0" w:lastRowFirstColumn="0" w:lastRowLastColumn="0"/>
            <w:tcW w:w="1624" w:type="pct"/>
            <w:hideMark/>
          </w:tcPr>
          <w:p w14:paraId="2E4A22A4" w14:textId="77777777" w:rsidR="00BA44C6" w:rsidRPr="000D33E4" w:rsidRDefault="00BA44C6" w:rsidP="009A7F2D">
            <w:pPr>
              <w:keepNext/>
              <w:spacing w:line="240" w:lineRule="auto"/>
              <w:rPr>
                <w:rFonts w:ascii="Times" w:eastAsia="Calibri" w:hAnsi="Times"/>
                <w:b w:val="0"/>
                <w:sz w:val="18"/>
                <w:szCs w:val="18"/>
              </w:rPr>
            </w:pPr>
          </w:p>
        </w:tc>
      </w:tr>
      <w:tr w:rsidR="00BA44C6" w:rsidRPr="000D33E4" w14:paraId="4448953D" w14:textId="77777777" w:rsidTr="009A7F2D">
        <w:tc>
          <w:tcPr>
            <w:cnfStyle w:val="001000000000" w:firstRow="0" w:lastRow="0" w:firstColumn="1" w:lastColumn="0" w:oddVBand="0" w:evenVBand="0" w:oddHBand="0" w:evenHBand="0" w:firstRowFirstColumn="0" w:firstRowLastColumn="0" w:lastRowFirstColumn="0" w:lastRowLastColumn="0"/>
            <w:tcW w:w="1624" w:type="pct"/>
            <w:hideMark/>
          </w:tcPr>
          <w:p w14:paraId="758E786C" w14:textId="77777777" w:rsidR="00BA44C6" w:rsidRPr="000D33E4" w:rsidRDefault="00BA44C6" w:rsidP="009A7F2D">
            <w:pPr>
              <w:keepNext/>
              <w:spacing w:line="240" w:lineRule="auto"/>
              <w:rPr>
                <w:rFonts w:ascii="Times" w:eastAsia="Calibri" w:hAnsi="Times"/>
                <w:b w:val="0"/>
                <w:sz w:val="18"/>
                <w:szCs w:val="18"/>
              </w:rPr>
            </w:pPr>
            <w:r w:rsidRPr="000D33E4">
              <w:rPr>
                <w:rFonts w:ascii="Times" w:eastAsia="Calibri" w:hAnsi="Times"/>
                <w:b w:val="0"/>
                <w:sz w:val="18"/>
                <w:szCs w:val="18"/>
              </w:rPr>
              <w:t>High Medium Grade</w:t>
            </w:r>
          </w:p>
        </w:tc>
        <w:tc>
          <w:tcPr>
            <w:tcW w:w="836" w:type="pct"/>
            <w:hideMark/>
          </w:tcPr>
          <w:p w14:paraId="75AEBAD9" w14:textId="77777777" w:rsidR="00BA44C6" w:rsidRPr="000D33E4" w:rsidRDefault="00BA44C6" w:rsidP="009A7F2D">
            <w:pPr>
              <w:keepNext/>
              <w:spacing w:line="240" w:lineRule="auto"/>
              <w:jc w:val="center"/>
              <w:cnfStyle w:val="000000000000" w:firstRow="0" w:lastRow="0" w:firstColumn="0" w:lastColumn="0" w:oddVBand="0" w:evenVBand="0" w:oddHBand="0" w:evenHBand="0" w:firstRowFirstColumn="0" w:firstRowLastColumn="0" w:lastRowFirstColumn="0" w:lastRowLastColumn="0"/>
              <w:rPr>
                <w:rFonts w:ascii="Times" w:eastAsia="Calibri" w:hAnsi="Times"/>
                <w:sz w:val="18"/>
                <w:szCs w:val="18"/>
              </w:rPr>
            </w:pPr>
            <w:r w:rsidRPr="000D33E4">
              <w:rPr>
                <w:rFonts w:ascii="Times" w:eastAsia="Calibri" w:hAnsi="Times"/>
                <w:sz w:val="18"/>
                <w:szCs w:val="18"/>
              </w:rPr>
              <w:t>AA+</w:t>
            </w:r>
          </w:p>
        </w:tc>
        <w:tc>
          <w:tcPr>
            <w:tcW w:w="884" w:type="pct"/>
            <w:hideMark/>
          </w:tcPr>
          <w:p w14:paraId="4B42FB29" w14:textId="77777777" w:rsidR="00BA44C6" w:rsidRPr="000D33E4" w:rsidRDefault="00BA44C6" w:rsidP="009A7F2D">
            <w:pPr>
              <w:keepNext/>
              <w:spacing w:line="240" w:lineRule="auto"/>
              <w:jc w:val="center"/>
              <w:cnfStyle w:val="000000000000" w:firstRow="0" w:lastRow="0" w:firstColumn="0" w:lastColumn="0" w:oddVBand="0" w:evenVBand="0" w:oddHBand="0" w:evenHBand="0" w:firstRowFirstColumn="0" w:firstRowLastColumn="0" w:lastRowFirstColumn="0" w:lastRowLastColumn="0"/>
              <w:rPr>
                <w:rFonts w:ascii="Times" w:eastAsia="Calibri" w:hAnsi="Times"/>
                <w:sz w:val="18"/>
                <w:szCs w:val="18"/>
              </w:rPr>
            </w:pPr>
            <w:r w:rsidRPr="000D33E4">
              <w:rPr>
                <w:rFonts w:ascii="Times" w:eastAsia="Calibri" w:hAnsi="Times"/>
                <w:sz w:val="18"/>
                <w:szCs w:val="18"/>
              </w:rPr>
              <w:t>Aa1</w:t>
            </w:r>
          </w:p>
        </w:tc>
        <w:tc>
          <w:tcPr>
            <w:tcW w:w="967" w:type="pct"/>
            <w:hideMark/>
          </w:tcPr>
          <w:p w14:paraId="63AA3620" w14:textId="77777777" w:rsidR="00BA44C6" w:rsidRPr="000D33E4" w:rsidRDefault="00BA44C6" w:rsidP="009A7F2D">
            <w:pPr>
              <w:keepNext/>
              <w:spacing w:line="240" w:lineRule="auto"/>
              <w:jc w:val="center"/>
              <w:cnfStyle w:val="000000000000" w:firstRow="0" w:lastRow="0" w:firstColumn="0" w:lastColumn="0" w:oddVBand="0" w:evenVBand="0" w:oddHBand="0" w:evenHBand="0" w:firstRowFirstColumn="0" w:firstRowLastColumn="0" w:lastRowFirstColumn="0" w:lastRowLastColumn="0"/>
              <w:rPr>
                <w:rFonts w:ascii="Times" w:eastAsia="Calibri" w:hAnsi="Times"/>
                <w:sz w:val="18"/>
                <w:szCs w:val="18"/>
              </w:rPr>
            </w:pPr>
            <w:r w:rsidRPr="000D33E4">
              <w:rPr>
                <w:rFonts w:ascii="Times" w:eastAsia="Calibri" w:hAnsi="Times"/>
                <w:sz w:val="18"/>
                <w:szCs w:val="18"/>
              </w:rPr>
              <w:t>AA+</w:t>
            </w:r>
          </w:p>
        </w:tc>
        <w:tc>
          <w:tcPr>
            <w:tcW w:w="690" w:type="pct"/>
            <w:hideMark/>
          </w:tcPr>
          <w:p w14:paraId="13EB487D" w14:textId="77777777" w:rsidR="00BA44C6" w:rsidRPr="000D33E4" w:rsidRDefault="00BA44C6" w:rsidP="009A7F2D">
            <w:pPr>
              <w:keepNext/>
              <w:spacing w:line="240" w:lineRule="auto"/>
              <w:jc w:val="center"/>
              <w:cnfStyle w:val="000000000000" w:firstRow="0" w:lastRow="0" w:firstColumn="0" w:lastColumn="0" w:oddVBand="0" w:evenVBand="0" w:oddHBand="0" w:evenHBand="0" w:firstRowFirstColumn="0" w:firstRowLastColumn="0" w:lastRowFirstColumn="0" w:lastRowLastColumn="0"/>
              <w:rPr>
                <w:rFonts w:ascii="Times" w:eastAsia="Calibri" w:hAnsi="Times"/>
                <w:sz w:val="18"/>
                <w:szCs w:val="18"/>
              </w:rPr>
            </w:pPr>
          </w:p>
        </w:tc>
      </w:tr>
      <w:tr w:rsidR="00BA44C6" w:rsidRPr="000D33E4" w14:paraId="05A8B105" w14:textId="77777777" w:rsidTr="009A7F2D">
        <w:tc>
          <w:tcPr>
            <w:cnfStyle w:val="001000000000" w:firstRow="0" w:lastRow="0" w:firstColumn="1" w:lastColumn="0" w:oddVBand="0" w:evenVBand="0" w:oddHBand="0" w:evenHBand="0" w:firstRowFirstColumn="0" w:firstRowLastColumn="0" w:lastRowFirstColumn="0" w:lastRowLastColumn="0"/>
            <w:tcW w:w="1624" w:type="pct"/>
            <w:hideMark/>
          </w:tcPr>
          <w:p w14:paraId="2F9216FC" w14:textId="77777777" w:rsidR="00BA44C6" w:rsidRPr="000D33E4" w:rsidRDefault="00BA44C6" w:rsidP="009A7F2D">
            <w:pPr>
              <w:keepNext/>
              <w:spacing w:line="240" w:lineRule="auto"/>
              <w:rPr>
                <w:rFonts w:ascii="Times" w:eastAsia="Calibri" w:hAnsi="Times"/>
                <w:b w:val="0"/>
                <w:sz w:val="18"/>
                <w:szCs w:val="18"/>
              </w:rPr>
            </w:pPr>
          </w:p>
        </w:tc>
        <w:tc>
          <w:tcPr>
            <w:tcW w:w="836" w:type="pct"/>
            <w:hideMark/>
          </w:tcPr>
          <w:p w14:paraId="12888283" w14:textId="77777777" w:rsidR="00BA44C6" w:rsidRPr="000D33E4" w:rsidRDefault="00BA44C6" w:rsidP="009A7F2D">
            <w:pPr>
              <w:keepNext/>
              <w:spacing w:line="240" w:lineRule="auto"/>
              <w:jc w:val="center"/>
              <w:cnfStyle w:val="000000000000" w:firstRow="0" w:lastRow="0" w:firstColumn="0" w:lastColumn="0" w:oddVBand="0" w:evenVBand="0" w:oddHBand="0" w:evenHBand="0" w:firstRowFirstColumn="0" w:firstRowLastColumn="0" w:lastRowFirstColumn="0" w:lastRowLastColumn="0"/>
              <w:rPr>
                <w:rFonts w:ascii="Times" w:eastAsia="Calibri" w:hAnsi="Times"/>
                <w:sz w:val="18"/>
                <w:szCs w:val="18"/>
              </w:rPr>
            </w:pPr>
            <w:r w:rsidRPr="000D33E4">
              <w:rPr>
                <w:rFonts w:ascii="Times" w:eastAsia="Calibri" w:hAnsi="Times"/>
                <w:sz w:val="18"/>
                <w:szCs w:val="18"/>
              </w:rPr>
              <w:t>AA</w:t>
            </w:r>
          </w:p>
        </w:tc>
        <w:tc>
          <w:tcPr>
            <w:tcW w:w="884" w:type="pct"/>
            <w:hideMark/>
          </w:tcPr>
          <w:p w14:paraId="1A03A193" w14:textId="77777777" w:rsidR="00BA44C6" w:rsidRPr="000D33E4" w:rsidRDefault="00BA44C6" w:rsidP="009A7F2D">
            <w:pPr>
              <w:keepNext/>
              <w:spacing w:line="240" w:lineRule="auto"/>
              <w:jc w:val="center"/>
              <w:cnfStyle w:val="000000000000" w:firstRow="0" w:lastRow="0" w:firstColumn="0" w:lastColumn="0" w:oddVBand="0" w:evenVBand="0" w:oddHBand="0" w:evenHBand="0" w:firstRowFirstColumn="0" w:firstRowLastColumn="0" w:lastRowFirstColumn="0" w:lastRowLastColumn="0"/>
              <w:rPr>
                <w:rFonts w:ascii="Times" w:eastAsia="Calibri" w:hAnsi="Times"/>
                <w:sz w:val="18"/>
                <w:szCs w:val="18"/>
              </w:rPr>
            </w:pPr>
            <w:r w:rsidRPr="000D33E4">
              <w:rPr>
                <w:rFonts w:ascii="Times" w:eastAsia="Calibri" w:hAnsi="Times"/>
                <w:sz w:val="18"/>
                <w:szCs w:val="18"/>
              </w:rPr>
              <w:t>Aa2</w:t>
            </w:r>
          </w:p>
        </w:tc>
        <w:tc>
          <w:tcPr>
            <w:tcW w:w="967" w:type="pct"/>
            <w:hideMark/>
          </w:tcPr>
          <w:p w14:paraId="185A50E8" w14:textId="77777777" w:rsidR="00BA44C6" w:rsidRPr="000D33E4" w:rsidRDefault="00BA44C6" w:rsidP="009A7F2D">
            <w:pPr>
              <w:keepNext/>
              <w:spacing w:line="240" w:lineRule="auto"/>
              <w:jc w:val="center"/>
              <w:cnfStyle w:val="000000000000" w:firstRow="0" w:lastRow="0" w:firstColumn="0" w:lastColumn="0" w:oddVBand="0" w:evenVBand="0" w:oddHBand="0" w:evenHBand="0" w:firstRowFirstColumn="0" w:firstRowLastColumn="0" w:lastRowFirstColumn="0" w:lastRowLastColumn="0"/>
              <w:rPr>
                <w:rFonts w:ascii="Times" w:eastAsia="Calibri" w:hAnsi="Times"/>
                <w:sz w:val="18"/>
                <w:szCs w:val="18"/>
              </w:rPr>
            </w:pPr>
            <w:r w:rsidRPr="000D33E4">
              <w:rPr>
                <w:rFonts w:ascii="Times" w:eastAsia="Calibri" w:hAnsi="Times"/>
                <w:sz w:val="18"/>
                <w:szCs w:val="18"/>
              </w:rPr>
              <w:t>AA</w:t>
            </w:r>
          </w:p>
        </w:tc>
        <w:tc>
          <w:tcPr>
            <w:tcW w:w="690" w:type="pct"/>
            <w:hideMark/>
          </w:tcPr>
          <w:p w14:paraId="5BDE9937" w14:textId="77777777" w:rsidR="00BA44C6" w:rsidRPr="000D33E4" w:rsidRDefault="00BA44C6" w:rsidP="009A7F2D">
            <w:pPr>
              <w:keepNext/>
              <w:spacing w:line="240" w:lineRule="auto"/>
              <w:jc w:val="center"/>
              <w:cnfStyle w:val="000000000000" w:firstRow="0" w:lastRow="0" w:firstColumn="0" w:lastColumn="0" w:oddVBand="0" w:evenVBand="0" w:oddHBand="0" w:evenHBand="0" w:firstRowFirstColumn="0" w:firstRowLastColumn="0" w:lastRowFirstColumn="0" w:lastRowLastColumn="0"/>
              <w:rPr>
                <w:rFonts w:ascii="Times" w:eastAsia="Calibri" w:hAnsi="Times"/>
                <w:sz w:val="18"/>
                <w:szCs w:val="18"/>
              </w:rPr>
            </w:pPr>
          </w:p>
        </w:tc>
      </w:tr>
      <w:tr w:rsidR="00BA44C6" w:rsidRPr="000D33E4" w14:paraId="535A9167" w14:textId="77777777" w:rsidTr="009A7F2D">
        <w:tc>
          <w:tcPr>
            <w:cnfStyle w:val="001000000000" w:firstRow="0" w:lastRow="0" w:firstColumn="1" w:lastColumn="0" w:oddVBand="0" w:evenVBand="0" w:oddHBand="0" w:evenHBand="0" w:firstRowFirstColumn="0" w:firstRowLastColumn="0" w:lastRowFirstColumn="0" w:lastRowLastColumn="0"/>
            <w:tcW w:w="1624" w:type="pct"/>
            <w:hideMark/>
          </w:tcPr>
          <w:p w14:paraId="339BBEB8" w14:textId="77777777" w:rsidR="00BA44C6" w:rsidRPr="000D33E4" w:rsidRDefault="00BA44C6" w:rsidP="009A7F2D">
            <w:pPr>
              <w:keepNext/>
              <w:spacing w:line="240" w:lineRule="auto"/>
              <w:rPr>
                <w:rFonts w:ascii="Times" w:eastAsia="Calibri" w:hAnsi="Times"/>
                <w:b w:val="0"/>
                <w:sz w:val="18"/>
                <w:szCs w:val="18"/>
              </w:rPr>
            </w:pPr>
          </w:p>
        </w:tc>
        <w:tc>
          <w:tcPr>
            <w:tcW w:w="836" w:type="pct"/>
            <w:hideMark/>
          </w:tcPr>
          <w:p w14:paraId="78F071A1" w14:textId="77777777" w:rsidR="00BA44C6" w:rsidRPr="000D33E4" w:rsidRDefault="00BA44C6" w:rsidP="009A7F2D">
            <w:pPr>
              <w:keepNext/>
              <w:spacing w:line="240" w:lineRule="auto"/>
              <w:jc w:val="center"/>
              <w:cnfStyle w:val="000000000000" w:firstRow="0" w:lastRow="0" w:firstColumn="0" w:lastColumn="0" w:oddVBand="0" w:evenVBand="0" w:oddHBand="0" w:evenHBand="0" w:firstRowFirstColumn="0" w:firstRowLastColumn="0" w:lastRowFirstColumn="0" w:lastRowLastColumn="0"/>
              <w:rPr>
                <w:rFonts w:ascii="Times" w:eastAsia="Calibri" w:hAnsi="Times"/>
                <w:sz w:val="18"/>
                <w:szCs w:val="18"/>
              </w:rPr>
            </w:pPr>
            <w:r w:rsidRPr="000D33E4">
              <w:rPr>
                <w:rFonts w:ascii="Times" w:eastAsia="Calibri" w:hAnsi="Times"/>
                <w:sz w:val="18"/>
                <w:szCs w:val="18"/>
              </w:rPr>
              <w:t>AA-</w:t>
            </w:r>
          </w:p>
        </w:tc>
        <w:tc>
          <w:tcPr>
            <w:tcW w:w="884" w:type="pct"/>
            <w:hideMark/>
          </w:tcPr>
          <w:p w14:paraId="3B44370F" w14:textId="77777777" w:rsidR="00BA44C6" w:rsidRPr="000D33E4" w:rsidRDefault="00BA44C6" w:rsidP="009A7F2D">
            <w:pPr>
              <w:keepNext/>
              <w:spacing w:line="240" w:lineRule="auto"/>
              <w:jc w:val="center"/>
              <w:cnfStyle w:val="000000000000" w:firstRow="0" w:lastRow="0" w:firstColumn="0" w:lastColumn="0" w:oddVBand="0" w:evenVBand="0" w:oddHBand="0" w:evenHBand="0" w:firstRowFirstColumn="0" w:firstRowLastColumn="0" w:lastRowFirstColumn="0" w:lastRowLastColumn="0"/>
              <w:rPr>
                <w:rFonts w:ascii="Times" w:eastAsia="Calibri" w:hAnsi="Times"/>
                <w:sz w:val="18"/>
                <w:szCs w:val="18"/>
              </w:rPr>
            </w:pPr>
            <w:r w:rsidRPr="000D33E4">
              <w:rPr>
                <w:rFonts w:ascii="Times" w:eastAsia="Calibri" w:hAnsi="Times"/>
                <w:sz w:val="18"/>
                <w:szCs w:val="18"/>
              </w:rPr>
              <w:t>Aa3</w:t>
            </w:r>
          </w:p>
        </w:tc>
        <w:tc>
          <w:tcPr>
            <w:tcW w:w="967" w:type="pct"/>
            <w:hideMark/>
          </w:tcPr>
          <w:p w14:paraId="430100CF" w14:textId="77777777" w:rsidR="00BA44C6" w:rsidRPr="000D33E4" w:rsidRDefault="00BA44C6" w:rsidP="009A7F2D">
            <w:pPr>
              <w:keepNext/>
              <w:spacing w:line="240" w:lineRule="auto"/>
              <w:jc w:val="center"/>
              <w:cnfStyle w:val="000000000000" w:firstRow="0" w:lastRow="0" w:firstColumn="0" w:lastColumn="0" w:oddVBand="0" w:evenVBand="0" w:oddHBand="0" w:evenHBand="0" w:firstRowFirstColumn="0" w:firstRowLastColumn="0" w:lastRowFirstColumn="0" w:lastRowLastColumn="0"/>
              <w:rPr>
                <w:rFonts w:ascii="Times" w:eastAsia="Calibri" w:hAnsi="Times"/>
                <w:sz w:val="18"/>
                <w:szCs w:val="18"/>
              </w:rPr>
            </w:pPr>
            <w:r w:rsidRPr="000D33E4">
              <w:rPr>
                <w:rFonts w:ascii="Times" w:eastAsia="Calibri" w:hAnsi="Times"/>
                <w:sz w:val="18"/>
                <w:szCs w:val="18"/>
              </w:rPr>
              <w:t>AA-</w:t>
            </w:r>
          </w:p>
        </w:tc>
        <w:tc>
          <w:tcPr>
            <w:tcW w:w="690" w:type="pct"/>
            <w:hideMark/>
          </w:tcPr>
          <w:p w14:paraId="1888CE2F" w14:textId="77777777" w:rsidR="00BA44C6" w:rsidRPr="000D33E4" w:rsidRDefault="00BA44C6" w:rsidP="009A7F2D">
            <w:pPr>
              <w:keepNext/>
              <w:spacing w:line="240" w:lineRule="auto"/>
              <w:jc w:val="center"/>
              <w:cnfStyle w:val="000000000000" w:firstRow="0" w:lastRow="0" w:firstColumn="0" w:lastColumn="0" w:oddVBand="0" w:evenVBand="0" w:oddHBand="0" w:evenHBand="0" w:firstRowFirstColumn="0" w:firstRowLastColumn="0" w:lastRowFirstColumn="0" w:lastRowLastColumn="0"/>
              <w:rPr>
                <w:rFonts w:ascii="Times" w:eastAsia="Calibri" w:hAnsi="Times"/>
                <w:sz w:val="18"/>
                <w:szCs w:val="18"/>
              </w:rPr>
            </w:pPr>
          </w:p>
        </w:tc>
      </w:tr>
      <w:tr w:rsidR="00BA44C6" w:rsidRPr="000D33E4" w14:paraId="2644E92D" w14:textId="77777777" w:rsidTr="009A7F2D">
        <w:trPr>
          <w:gridAfter w:val="4"/>
          <w:wAfter w:w="3376" w:type="pct"/>
        </w:trPr>
        <w:tc>
          <w:tcPr>
            <w:cnfStyle w:val="001000000000" w:firstRow="0" w:lastRow="0" w:firstColumn="1" w:lastColumn="0" w:oddVBand="0" w:evenVBand="0" w:oddHBand="0" w:evenHBand="0" w:firstRowFirstColumn="0" w:firstRowLastColumn="0" w:lastRowFirstColumn="0" w:lastRowLastColumn="0"/>
            <w:tcW w:w="1624" w:type="pct"/>
            <w:hideMark/>
          </w:tcPr>
          <w:p w14:paraId="5488FC53" w14:textId="77777777" w:rsidR="00BA44C6" w:rsidRPr="000D33E4" w:rsidRDefault="00BA44C6" w:rsidP="009A7F2D">
            <w:pPr>
              <w:keepNext/>
              <w:spacing w:line="240" w:lineRule="auto"/>
              <w:rPr>
                <w:rFonts w:ascii="Times" w:eastAsia="Calibri" w:hAnsi="Times"/>
                <w:b w:val="0"/>
                <w:sz w:val="18"/>
                <w:szCs w:val="18"/>
              </w:rPr>
            </w:pPr>
          </w:p>
        </w:tc>
      </w:tr>
      <w:tr w:rsidR="00BA44C6" w:rsidRPr="000D33E4" w14:paraId="18C8FB51" w14:textId="77777777" w:rsidTr="009A7F2D">
        <w:trPr>
          <w:gridAfter w:val="4"/>
          <w:wAfter w:w="3376" w:type="pct"/>
        </w:trPr>
        <w:tc>
          <w:tcPr>
            <w:cnfStyle w:val="001000000000" w:firstRow="0" w:lastRow="0" w:firstColumn="1" w:lastColumn="0" w:oddVBand="0" w:evenVBand="0" w:oddHBand="0" w:evenHBand="0" w:firstRowFirstColumn="0" w:firstRowLastColumn="0" w:lastRowFirstColumn="0" w:lastRowLastColumn="0"/>
            <w:tcW w:w="1624" w:type="pct"/>
            <w:hideMark/>
          </w:tcPr>
          <w:p w14:paraId="3CB221D7" w14:textId="77777777" w:rsidR="00BA44C6" w:rsidRPr="000D33E4" w:rsidRDefault="00BA44C6" w:rsidP="009A7F2D">
            <w:pPr>
              <w:keepNext/>
              <w:spacing w:line="240" w:lineRule="auto"/>
              <w:rPr>
                <w:rFonts w:ascii="Times" w:eastAsia="Calibri" w:hAnsi="Times"/>
                <w:b w:val="0"/>
                <w:sz w:val="18"/>
                <w:szCs w:val="18"/>
              </w:rPr>
            </w:pPr>
          </w:p>
        </w:tc>
      </w:tr>
      <w:tr w:rsidR="00BA44C6" w:rsidRPr="000D33E4" w14:paraId="1B63C59E" w14:textId="77777777" w:rsidTr="009A7F2D">
        <w:tc>
          <w:tcPr>
            <w:cnfStyle w:val="001000000000" w:firstRow="0" w:lastRow="0" w:firstColumn="1" w:lastColumn="0" w:oddVBand="0" w:evenVBand="0" w:oddHBand="0" w:evenHBand="0" w:firstRowFirstColumn="0" w:firstRowLastColumn="0" w:lastRowFirstColumn="0" w:lastRowLastColumn="0"/>
            <w:tcW w:w="1624" w:type="pct"/>
            <w:hideMark/>
          </w:tcPr>
          <w:p w14:paraId="715E0D77" w14:textId="77777777" w:rsidR="00BA44C6" w:rsidRPr="000D33E4" w:rsidRDefault="00BA44C6" w:rsidP="009A7F2D">
            <w:pPr>
              <w:keepNext/>
              <w:spacing w:line="240" w:lineRule="auto"/>
              <w:rPr>
                <w:rFonts w:ascii="Times" w:eastAsia="Calibri" w:hAnsi="Times"/>
                <w:b w:val="0"/>
                <w:sz w:val="18"/>
                <w:szCs w:val="18"/>
              </w:rPr>
            </w:pPr>
            <w:r w:rsidRPr="000D33E4">
              <w:rPr>
                <w:rFonts w:ascii="Times" w:eastAsia="Calibri" w:hAnsi="Times"/>
                <w:b w:val="0"/>
                <w:sz w:val="18"/>
                <w:szCs w:val="18"/>
              </w:rPr>
              <w:t>Upper Medium Grade</w:t>
            </w:r>
          </w:p>
        </w:tc>
        <w:tc>
          <w:tcPr>
            <w:tcW w:w="836" w:type="pct"/>
            <w:hideMark/>
          </w:tcPr>
          <w:p w14:paraId="40379387" w14:textId="77777777" w:rsidR="00BA44C6" w:rsidRPr="000D33E4" w:rsidRDefault="00BA44C6" w:rsidP="009A7F2D">
            <w:pPr>
              <w:keepNext/>
              <w:spacing w:line="240" w:lineRule="auto"/>
              <w:jc w:val="center"/>
              <w:cnfStyle w:val="000000000000" w:firstRow="0" w:lastRow="0" w:firstColumn="0" w:lastColumn="0" w:oddVBand="0" w:evenVBand="0" w:oddHBand="0" w:evenHBand="0" w:firstRowFirstColumn="0" w:firstRowLastColumn="0" w:lastRowFirstColumn="0" w:lastRowLastColumn="0"/>
              <w:rPr>
                <w:rFonts w:ascii="Times" w:eastAsia="Calibri" w:hAnsi="Times"/>
                <w:sz w:val="18"/>
                <w:szCs w:val="18"/>
              </w:rPr>
            </w:pPr>
            <w:r w:rsidRPr="000D33E4">
              <w:rPr>
                <w:rFonts w:ascii="Times" w:eastAsia="Calibri" w:hAnsi="Times"/>
                <w:sz w:val="18"/>
                <w:szCs w:val="18"/>
              </w:rPr>
              <w:t>A+</w:t>
            </w:r>
          </w:p>
        </w:tc>
        <w:tc>
          <w:tcPr>
            <w:tcW w:w="884" w:type="pct"/>
            <w:hideMark/>
          </w:tcPr>
          <w:p w14:paraId="2F238147" w14:textId="77777777" w:rsidR="00BA44C6" w:rsidRPr="000D33E4" w:rsidRDefault="00BA44C6" w:rsidP="009A7F2D">
            <w:pPr>
              <w:keepNext/>
              <w:spacing w:line="240" w:lineRule="auto"/>
              <w:jc w:val="center"/>
              <w:cnfStyle w:val="000000000000" w:firstRow="0" w:lastRow="0" w:firstColumn="0" w:lastColumn="0" w:oddVBand="0" w:evenVBand="0" w:oddHBand="0" w:evenHBand="0" w:firstRowFirstColumn="0" w:firstRowLastColumn="0" w:lastRowFirstColumn="0" w:lastRowLastColumn="0"/>
              <w:rPr>
                <w:rFonts w:ascii="Times" w:eastAsia="Calibri" w:hAnsi="Times"/>
                <w:sz w:val="18"/>
                <w:szCs w:val="18"/>
              </w:rPr>
            </w:pPr>
            <w:r w:rsidRPr="000D33E4">
              <w:rPr>
                <w:rFonts w:ascii="Times" w:eastAsia="Calibri" w:hAnsi="Times"/>
                <w:sz w:val="18"/>
                <w:szCs w:val="18"/>
              </w:rPr>
              <w:t>A1</w:t>
            </w:r>
          </w:p>
        </w:tc>
        <w:tc>
          <w:tcPr>
            <w:tcW w:w="967" w:type="pct"/>
            <w:hideMark/>
          </w:tcPr>
          <w:p w14:paraId="00235577" w14:textId="77777777" w:rsidR="00BA44C6" w:rsidRPr="000D33E4" w:rsidRDefault="00BA44C6" w:rsidP="009A7F2D">
            <w:pPr>
              <w:keepNext/>
              <w:spacing w:line="240" w:lineRule="auto"/>
              <w:jc w:val="center"/>
              <w:cnfStyle w:val="000000000000" w:firstRow="0" w:lastRow="0" w:firstColumn="0" w:lastColumn="0" w:oddVBand="0" w:evenVBand="0" w:oddHBand="0" w:evenHBand="0" w:firstRowFirstColumn="0" w:firstRowLastColumn="0" w:lastRowFirstColumn="0" w:lastRowLastColumn="0"/>
              <w:rPr>
                <w:rFonts w:ascii="Times" w:eastAsia="Calibri" w:hAnsi="Times"/>
                <w:sz w:val="18"/>
                <w:szCs w:val="18"/>
              </w:rPr>
            </w:pPr>
            <w:r w:rsidRPr="000D33E4">
              <w:rPr>
                <w:rFonts w:ascii="Times" w:eastAsia="Calibri" w:hAnsi="Times"/>
                <w:sz w:val="18"/>
                <w:szCs w:val="18"/>
              </w:rPr>
              <w:t>A+</w:t>
            </w:r>
          </w:p>
        </w:tc>
        <w:tc>
          <w:tcPr>
            <w:tcW w:w="690" w:type="pct"/>
            <w:hideMark/>
          </w:tcPr>
          <w:p w14:paraId="66927372" w14:textId="77777777" w:rsidR="00BA44C6" w:rsidRPr="000D33E4" w:rsidRDefault="00BA44C6" w:rsidP="009A7F2D">
            <w:pPr>
              <w:keepNext/>
              <w:spacing w:line="240" w:lineRule="auto"/>
              <w:jc w:val="center"/>
              <w:cnfStyle w:val="000000000000" w:firstRow="0" w:lastRow="0" w:firstColumn="0" w:lastColumn="0" w:oddVBand="0" w:evenVBand="0" w:oddHBand="0" w:evenHBand="0" w:firstRowFirstColumn="0" w:firstRowLastColumn="0" w:lastRowFirstColumn="0" w:lastRowLastColumn="0"/>
              <w:rPr>
                <w:rFonts w:ascii="Times" w:eastAsia="Calibri" w:hAnsi="Times"/>
                <w:sz w:val="18"/>
                <w:szCs w:val="18"/>
              </w:rPr>
            </w:pPr>
          </w:p>
        </w:tc>
      </w:tr>
      <w:tr w:rsidR="00BA44C6" w:rsidRPr="000D33E4" w14:paraId="34B9B24B" w14:textId="77777777" w:rsidTr="009A7F2D">
        <w:tc>
          <w:tcPr>
            <w:cnfStyle w:val="001000000000" w:firstRow="0" w:lastRow="0" w:firstColumn="1" w:lastColumn="0" w:oddVBand="0" w:evenVBand="0" w:oddHBand="0" w:evenHBand="0" w:firstRowFirstColumn="0" w:firstRowLastColumn="0" w:lastRowFirstColumn="0" w:lastRowLastColumn="0"/>
            <w:tcW w:w="1624" w:type="pct"/>
            <w:hideMark/>
          </w:tcPr>
          <w:p w14:paraId="5DA10128" w14:textId="77777777" w:rsidR="00BA44C6" w:rsidRPr="000D33E4" w:rsidRDefault="00BA44C6" w:rsidP="009A7F2D">
            <w:pPr>
              <w:keepNext/>
              <w:spacing w:line="240" w:lineRule="auto"/>
              <w:rPr>
                <w:rFonts w:ascii="Times" w:eastAsia="Calibri" w:hAnsi="Times"/>
                <w:b w:val="0"/>
                <w:sz w:val="18"/>
                <w:szCs w:val="18"/>
              </w:rPr>
            </w:pPr>
          </w:p>
        </w:tc>
        <w:tc>
          <w:tcPr>
            <w:tcW w:w="836" w:type="pct"/>
            <w:hideMark/>
          </w:tcPr>
          <w:p w14:paraId="04B655AB" w14:textId="77777777" w:rsidR="00BA44C6" w:rsidRPr="000D33E4" w:rsidRDefault="00BA44C6" w:rsidP="009A7F2D">
            <w:pPr>
              <w:keepNext/>
              <w:spacing w:line="240" w:lineRule="auto"/>
              <w:jc w:val="center"/>
              <w:cnfStyle w:val="000000000000" w:firstRow="0" w:lastRow="0" w:firstColumn="0" w:lastColumn="0" w:oddVBand="0" w:evenVBand="0" w:oddHBand="0" w:evenHBand="0" w:firstRowFirstColumn="0" w:firstRowLastColumn="0" w:lastRowFirstColumn="0" w:lastRowLastColumn="0"/>
              <w:rPr>
                <w:rFonts w:ascii="Times" w:eastAsia="Calibri" w:hAnsi="Times"/>
                <w:sz w:val="18"/>
                <w:szCs w:val="18"/>
              </w:rPr>
            </w:pPr>
            <w:r w:rsidRPr="000D33E4">
              <w:rPr>
                <w:rFonts w:ascii="Times" w:eastAsia="Calibri" w:hAnsi="Times"/>
                <w:sz w:val="18"/>
                <w:szCs w:val="18"/>
              </w:rPr>
              <w:t>A</w:t>
            </w:r>
          </w:p>
        </w:tc>
        <w:tc>
          <w:tcPr>
            <w:tcW w:w="884" w:type="pct"/>
            <w:hideMark/>
          </w:tcPr>
          <w:p w14:paraId="62013771" w14:textId="77777777" w:rsidR="00BA44C6" w:rsidRPr="000D33E4" w:rsidRDefault="00BA44C6" w:rsidP="009A7F2D">
            <w:pPr>
              <w:keepNext/>
              <w:spacing w:line="240" w:lineRule="auto"/>
              <w:jc w:val="center"/>
              <w:cnfStyle w:val="000000000000" w:firstRow="0" w:lastRow="0" w:firstColumn="0" w:lastColumn="0" w:oddVBand="0" w:evenVBand="0" w:oddHBand="0" w:evenHBand="0" w:firstRowFirstColumn="0" w:firstRowLastColumn="0" w:lastRowFirstColumn="0" w:lastRowLastColumn="0"/>
              <w:rPr>
                <w:rFonts w:ascii="Times" w:eastAsia="Calibri" w:hAnsi="Times"/>
                <w:sz w:val="18"/>
                <w:szCs w:val="18"/>
              </w:rPr>
            </w:pPr>
            <w:r w:rsidRPr="000D33E4">
              <w:rPr>
                <w:rFonts w:ascii="Times" w:eastAsia="Calibri" w:hAnsi="Times"/>
                <w:sz w:val="18"/>
                <w:szCs w:val="18"/>
              </w:rPr>
              <w:t>A2</w:t>
            </w:r>
          </w:p>
        </w:tc>
        <w:tc>
          <w:tcPr>
            <w:tcW w:w="967" w:type="pct"/>
            <w:hideMark/>
          </w:tcPr>
          <w:p w14:paraId="63B8DE56" w14:textId="77777777" w:rsidR="00BA44C6" w:rsidRPr="000D33E4" w:rsidRDefault="00BA44C6" w:rsidP="009A7F2D">
            <w:pPr>
              <w:keepNext/>
              <w:spacing w:line="240" w:lineRule="auto"/>
              <w:jc w:val="center"/>
              <w:cnfStyle w:val="000000000000" w:firstRow="0" w:lastRow="0" w:firstColumn="0" w:lastColumn="0" w:oddVBand="0" w:evenVBand="0" w:oddHBand="0" w:evenHBand="0" w:firstRowFirstColumn="0" w:firstRowLastColumn="0" w:lastRowFirstColumn="0" w:lastRowLastColumn="0"/>
              <w:rPr>
                <w:rFonts w:ascii="Times" w:eastAsia="Calibri" w:hAnsi="Times"/>
                <w:sz w:val="18"/>
                <w:szCs w:val="18"/>
              </w:rPr>
            </w:pPr>
            <w:r w:rsidRPr="000D33E4">
              <w:rPr>
                <w:rFonts w:ascii="Times" w:eastAsia="Calibri" w:hAnsi="Times"/>
                <w:sz w:val="18"/>
                <w:szCs w:val="18"/>
              </w:rPr>
              <w:t>A</w:t>
            </w:r>
          </w:p>
        </w:tc>
        <w:tc>
          <w:tcPr>
            <w:tcW w:w="690" w:type="pct"/>
            <w:hideMark/>
          </w:tcPr>
          <w:p w14:paraId="463685D9" w14:textId="77777777" w:rsidR="00BA44C6" w:rsidRPr="000D33E4" w:rsidRDefault="00BA44C6" w:rsidP="009A7F2D">
            <w:pPr>
              <w:keepNext/>
              <w:spacing w:line="240" w:lineRule="auto"/>
              <w:jc w:val="center"/>
              <w:cnfStyle w:val="000000000000" w:firstRow="0" w:lastRow="0" w:firstColumn="0" w:lastColumn="0" w:oddVBand="0" w:evenVBand="0" w:oddHBand="0" w:evenHBand="0" w:firstRowFirstColumn="0" w:firstRowLastColumn="0" w:lastRowFirstColumn="0" w:lastRowLastColumn="0"/>
              <w:rPr>
                <w:rFonts w:ascii="Times" w:eastAsia="Calibri" w:hAnsi="Times"/>
                <w:sz w:val="18"/>
                <w:szCs w:val="18"/>
              </w:rPr>
            </w:pPr>
          </w:p>
        </w:tc>
      </w:tr>
      <w:tr w:rsidR="00BA44C6" w:rsidRPr="000D33E4" w14:paraId="58E33572" w14:textId="77777777" w:rsidTr="009A7F2D">
        <w:tc>
          <w:tcPr>
            <w:cnfStyle w:val="001000000000" w:firstRow="0" w:lastRow="0" w:firstColumn="1" w:lastColumn="0" w:oddVBand="0" w:evenVBand="0" w:oddHBand="0" w:evenHBand="0" w:firstRowFirstColumn="0" w:firstRowLastColumn="0" w:lastRowFirstColumn="0" w:lastRowLastColumn="0"/>
            <w:tcW w:w="1624" w:type="pct"/>
            <w:hideMark/>
          </w:tcPr>
          <w:p w14:paraId="52F9C6A1" w14:textId="77777777" w:rsidR="00BA44C6" w:rsidRPr="000D33E4" w:rsidRDefault="00BA44C6" w:rsidP="009A7F2D">
            <w:pPr>
              <w:keepNext/>
              <w:spacing w:line="240" w:lineRule="auto"/>
              <w:rPr>
                <w:rFonts w:ascii="Times" w:eastAsia="Calibri" w:hAnsi="Times"/>
                <w:b w:val="0"/>
                <w:sz w:val="18"/>
                <w:szCs w:val="18"/>
              </w:rPr>
            </w:pPr>
          </w:p>
        </w:tc>
        <w:tc>
          <w:tcPr>
            <w:tcW w:w="836" w:type="pct"/>
            <w:hideMark/>
          </w:tcPr>
          <w:p w14:paraId="5345F118" w14:textId="77777777" w:rsidR="00BA44C6" w:rsidRPr="000D33E4" w:rsidRDefault="00BA44C6" w:rsidP="009A7F2D">
            <w:pPr>
              <w:keepNext/>
              <w:spacing w:line="240" w:lineRule="auto"/>
              <w:jc w:val="center"/>
              <w:cnfStyle w:val="000000000000" w:firstRow="0" w:lastRow="0" w:firstColumn="0" w:lastColumn="0" w:oddVBand="0" w:evenVBand="0" w:oddHBand="0" w:evenHBand="0" w:firstRowFirstColumn="0" w:firstRowLastColumn="0" w:lastRowFirstColumn="0" w:lastRowLastColumn="0"/>
              <w:rPr>
                <w:rFonts w:ascii="Times" w:eastAsia="Calibri" w:hAnsi="Times"/>
                <w:sz w:val="18"/>
                <w:szCs w:val="18"/>
              </w:rPr>
            </w:pPr>
            <w:r w:rsidRPr="000D33E4">
              <w:rPr>
                <w:rFonts w:ascii="Times" w:eastAsia="Calibri" w:hAnsi="Times"/>
                <w:sz w:val="18"/>
                <w:szCs w:val="18"/>
              </w:rPr>
              <w:t>A-</w:t>
            </w:r>
          </w:p>
        </w:tc>
        <w:tc>
          <w:tcPr>
            <w:tcW w:w="884" w:type="pct"/>
            <w:hideMark/>
          </w:tcPr>
          <w:p w14:paraId="3D3F010F" w14:textId="77777777" w:rsidR="00BA44C6" w:rsidRPr="000D33E4" w:rsidRDefault="00BA44C6" w:rsidP="009A7F2D">
            <w:pPr>
              <w:keepNext/>
              <w:spacing w:line="240" w:lineRule="auto"/>
              <w:jc w:val="center"/>
              <w:cnfStyle w:val="000000000000" w:firstRow="0" w:lastRow="0" w:firstColumn="0" w:lastColumn="0" w:oddVBand="0" w:evenVBand="0" w:oddHBand="0" w:evenHBand="0" w:firstRowFirstColumn="0" w:firstRowLastColumn="0" w:lastRowFirstColumn="0" w:lastRowLastColumn="0"/>
              <w:rPr>
                <w:rFonts w:ascii="Times" w:eastAsia="Calibri" w:hAnsi="Times"/>
                <w:sz w:val="18"/>
                <w:szCs w:val="18"/>
              </w:rPr>
            </w:pPr>
            <w:r w:rsidRPr="000D33E4">
              <w:rPr>
                <w:rFonts w:ascii="Times" w:eastAsia="Calibri" w:hAnsi="Times"/>
                <w:sz w:val="18"/>
                <w:szCs w:val="18"/>
              </w:rPr>
              <w:t>A3</w:t>
            </w:r>
          </w:p>
        </w:tc>
        <w:tc>
          <w:tcPr>
            <w:tcW w:w="967" w:type="pct"/>
            <w:hideMark/>
          </w:tcPr>
          <w:p w14:paraId="35186009" w14:textId="77777777" w:rsidR="00BA44C6" w:rsidRPr="000D33E4" w:rsidRDefault="00BA44C6" w:rsidP="009A7F2D">
            <w:pPr>
              <w:keepNext/>
              <w:spacing w:line="240" w:lineRule="auto"/>
              <w:jc w:val="center"/>
              <w:cnfStyle w:val="000000000000" w:firstRow="0" w:lastRow="0" w:firstColumn="0" w:lastColumn="0" w:oddVBand="0" w:evenVBand="0" w:oddHBand="0" w:evenHBand="0" w:firstRowFirstColumn="0" w:firstRowLastColumn="0" w:lastRowFirstColumn="0" w:lastRowLastColumn="0"/>
              <w:rPr>
                <w:rFonts w:ascii="Times" w:eastAsia="Calibri" w:hAnsi="Times"/>
                <w:sz w:val="18"/>
                <w:szCs w:val="18"/>
              </w:rPr>
            </w:pPr>
            <w:r w:rsidRPr="000D33E4">
              <w:rPr>
                <w:rFonts w:ascii="Times" w:eastAsia="Calibri" w:hAnsi="Times"/>
                <w:sz w:val="18"/>
                <w:szCs w:val="18"/>
              </w:rPr>
              <w:t>A-</w:t>
            </w:r>
          </w:p>
        </w:tc>
        <w:tc>
          <w:tcPr>
            <w:tcW w:w="690" w:type="pct"/>
            <w:hideMark/>
          </w:tcPr>
          <w:p w14:paraId="03290CF8" w14:textId="77777777" w:rsidR="00BA44C6" w:rsidRPr="000D33E4" w:rsidRDefault="00BA44C6" w:rsidP="009A7F2D">
            <w:pPr>
              <w:keepNext/>
              <w:spacing w:line="240" w:lineRule="auto"/>
              <w:jc w:val="center"/>
              <w:cnfStyle w:val="000000000000" w:firstRow="0" w:lastRow="0" w:firstColumn="0" w:lastColumn="0" w:oddVBand="0" w:evenVBand="0" w:oddHBand="0" w:evenHBand="0" w:firstRowFirstColumn="0" w:firstRowLastColumn="0" w:lastRowFirstColumn="0" w:lastRowLastColumn="0"/>
              <w:rPr>
                <w:rFonts w:ascii="Times" w:eastAsia="Calibri" w:hAnsi="Times"/>
                <w:sz w:val="18"/>
                <w:szCs w:val="18"/>
              </w:rPr>
            </w:pPr>
          </w:p>
        </w:tc>
      </w:tr>
      <w:tr w:rsidR="00BA44C6" w:rsidRPr="000D33E4" w14:paraId="7E8AE185" w14:textId="77777777" w:rsidTr="009A7F2D">
        <w:trPr>
          <w:gridAfter w:val="4"/>
          <w:wAfter w:w="3376" w:type="pct"/>
        </w:trPr>
        <w:tc>
          <w:tcPr>
            <w:cnfStyle w:val="001000000000" w:firstRow="0" w:lastRow="0" w:firstColumn="1" w:lastColumn="0" w:oddVBand="0" w:evenVBand="0" w:oddHBand="0" w:evenHBand="0" w:firstRowFirstColumn="0" w:firstRowLastColumn="0" w:lastRowFirstColumn="0" w:lastRowLastColumn="0"/>
            <w:tcW w:w="1624" w:type="pct"/>
            <w:hideMark/>
          </w:tcPr>
          <w:p w14:paraId="1F864ED4" w14:textId="77777777" w:rsidR="00BA44C6" w:rsidRPr="000D33E4" w:rsidRDefault="00BA44C6" w:rsidP="009A7F2D">
            <w:pPr>
              <w:keepNext/>
              <w:spacing w:line="240" w:lineRule="auto"/>
              <w:rPr>
                <w:rFonts w:ascii="Times" w:eastAsia="Calibri" w:hAnsi="Times"/>
                <w:b w:val="0"/>
                <w:sz w:val="18"/>
                <w:szCs w:val="18"/>
              </w:rPr>
            </w:pPr>
          </w:p>
        </w:tc>
      </w:tr>
      <w:tr w:rsidR="00BA44C6" w:rsidRPr="000D33E4" w14:paraId="1B22C409" w14:textId="77777777" w:rsidTr="009A7F2D">
        <w:trPr>
          <w:gridAfter w:val="4"/>
          <w:wAfter w:w="3376" w:type="pct"/>
        </w:trPr>
        <w:tc>
          <w:tcPr>
            <w:cnfStyle w:val="001000000000" w:firstRow="0" w:lastRow="0" w:firstColumn="1" w:lastColumn="0" w:oddVBand="0" w:evenVBand="0" w:oddHBand="0" w:evenHBand="0" w:firstRowFirstColumn="0" w:firstRowLastColumn="0" w:lastRowFirstColumn="0" w:lastRowLastColumn="0"/>
            <w:tcW w:w="1624" w:type="pct"/>
            <w:hideMark/>
          </w:tcPr>
          <w:p w14:paraId="30FAA899" w14:textId="77777777" w:rsidR="00BA44C6" w:rsidRPr="000D33E4" w:rsidRDefault="00BA44C6" w:rsidP="009A7F2D">
            <w:pPr>
              <w:keepNext/>
              <w:spacing w:line="240" w:lineRule="auto"/>
              <w:rPr>
                <w:rFonts w:ascii="Times" w:eastAsia="Calibri" w:hAnsi="Times"/>
                <w:b w:val="0"/>
                <w:sz w:val="18"/>
                <w:szCs w:val="18"/>
              </w:rPr>
            </w:pPr>
          </w:p>
        </w:tc>
      </w:tr>
      <w:tr w:rsidR="00BA44C6" w:rsidRPr="000D33E4" w14:paraId="598AF250" w14:textId="77777777" w:rsidTr="009A7F2D">
        <w:tc>
          <w:tcPr>
            <w:cnfStyle w:val="001000000000" w:firstRow="0" w:lastRow="0" w:firstColumn="1" w:lastColumn="0" w:oddVBand="0" w:evenVBand="0" w:oddHBand="0" w:evenHBand="0" w:firstRowFirstColumn="0" w:firstRowLastColumn="0" w:lastRowFirstColumn="0" w:lastRowLastColumn="0"/>
            <w:tcW w:w="1624" w:type="pct"/>
            <w:hideMark/>
          </w:tcPr>
          <w:p w14:paraId="1FC74791" w14:textId="77777777" w:rsidR="00BA44C6" w:rsidRPr="000D33E4" w:rsidRDefault="00BA44C6" w:rsidP="009A7F2D">
            <w:pPr>
              <w:keepNext/>
              <w:spacing w:line="240" w:lineRule="auto"/>
              <w:rPr>
                <w:rFonts w:ascii="Times" w:eastAsia="Calibri" w:hAnsi="Times"/>
                <w:b w:val="0"/>
                <w:sz w:val="18"/>
                <w:szCs w:val="18"/>
              </w:rPr>
            </w:pPr>
            <w:r w:rsidRPr="000D33E4">
              <w:rPr>
                <w:rFonts w:ascii="Times" w:eastAsia="Calibri" w:hAnsi="Times"/>
                <w:b w:val="0"/>
                <w:sz w:val="18"/>
                <w:szCs w:val="18"/>
              </w:rPr>
              <w:t>Lower Medium Grade</w:t>
            </w:r>
          </w:p>
        </w:tc>
        <w:tc>
          <w:tcPr>
            <w:tcW w:w="836" w:type="pct"/>
            <w:hideMark/>
          </w:tcPr>
          <w:p w14:paraId="3B11454A" w14:textId="77777777" w:rsidR="00BA44C6" w:rsidRPr="000D33E4" w:rsidRDefault="00BA44C6" w:rsidP="009A7F2D">
            <w:pPr>
              <w:keepNext/>
              <w:spacing w:line="240" w:lineRule="auto"/>
              <w:jc w:val="center"/>
              <w:cnfStyle w:val="000000000000" w:firstRow="0" w:lastRow="0" w:firstColumn="0" w:lastColumn="0" w:oddVBand="0" w:evenVBand="0" w:oddHBand="0" w:evenHBand="0" w:firstRowFirstColumn="0" w:firstRowLastColumn="0" w:lastRowFirstColumn="0" w:lastRowLastColumn="0"/>
              <w:rPr>
                <w:rFonts w:ascii="Times" w:eastAsia="Calibri" w:hAnsi="Times"/>
                <w:sz w:val="18"/>
                <w:szCs w:val="18"/>
              </w:rPr>
            </w:pPr>
            <w:r w:rsidRPr="000D33E4">
              <w:rPr>
                <w:rFonts w:ascii="Times" w:eastAsia="Calibri" w:hAnsi="Times"/>
                <w:sz w:val="18"/>
                <w:szCs w:val="18"/>
              </w:rPr>
              <w:t>BBB+</w:t>
            </w:r>
          </w:p>
        </w:tc>
        <w:tc>
          <w:tcPr>
            <w:tcW w:w="884" w:type="pct"/>
            <w:hideMark/>
          </w:tcPr>
          <w:p w14:paraId="209C09E4" w14:textId="77777777" w:rsidR="00BA44C6" w:rsidRPr="000D33E4" w:rsidRDefault="00BA44C6" w:rsidP="009A7F2D">
            <w:pPr>
              <w:keepNext/>
              <w:spacing w:line="240" w:lineRule="auto"/>
              <w:jc w:val="center"/>
              <w:cnfStyle w:val="000000000000" w:firstRow="0" w:lastRow="0" w:firstColumn="0" w:lastColumn="0" w:oddVBand="0" w:evenVBand="0" w:oddHBand="0" w:evenHBand="0" w:firstRowFirstColumn="0" w:firstRowLastColumn="0" w:lastRowFirstColumn="0" w:lastRowLastColumn="0"/>
              <w:rPr>
                <w:rFonts w:ascii="Times" w:eastAsia="Calibri" w:hAnsi="Times"/>
                <w:sz w:val="18"/>
                <w:szCs w:val="18"/>
              </w:rPr>
            </w:pPr>
            <w:r w:rsidRPr="000D33E4">
              <w:rPr>
                <w:rFonts w:ascii="Times" w:eastAsia="Calibri" w:hAnsi="Times"/>
                <w:sz w:val="18"/>
                <w:szCs w:val="18"/>
              </w:rPr>
              <w:t>Baa1</w:t>
            </w:r>
          </w:p>
        </w:tc>
        <w:tc>
          <w:tcPr>
            <w:tcW w:w="967" w:type="pct"/>
            <w:hideMark/>
          </w:tcPr>
          <w:p w14:paraId="1D3439C9" w14:textId="77777777" w:rsidR="00BA44C6" w:rsidRPr="000D33E4" w:rsidRDefault="00BA44C6" w:rsidP="009A7F2D">
            <w:pPr>
              <w:keepNext/>
              <w:spacing w:line="240" w:lineRule="auto"/>
              <w:jc w:val="center"/>
              <w:cnfStyle w:val="000000000000" w:firstRow="0" w:lastRow="0" w:firstColumn="0" w:lastColumn="0" w:oddVBand="0" w:evenVBand="0" w:oddHBand="0" w:evenHBand="0" w:firstRowFirstColumn="0" w:firstRowLastColumn="0" w:lastRowFirstColumn="0" w:lastRowLastColumn="0"/>
              <w:rPr>
                <w:rFonts w:ascii="Times" w:eastAsia="Calibri" w:hAnsi="Times"/>
                <w:sz w:val="18"/>
                <w:szCs w:val="18"/>
              </w:rPr>
            </w:pPr>
            <w:r w:rsidRPr="000D33E4">
              <w:rPr>
                <w:rFonts w:ascii="Times" w:eastAsia="Calibri" w:hAnsi="Times"/>
                <w:sz w:val="18"/>
                <w:szCs w:val="18"/>
              </w:rPr>
              <w:t>BBB+</w:t>
            </w:r>
          </w:p>
        </w:tc>
        <w:tc>
          <w:tcPr>
            <w:tcW w:w="690" w:type="pct"/>
            <w:hideMark/>
          </w:tcPr>
          <w:p w14:paraId="77999235" w14:textId="77777777" w:rsidR="00BA44C6" w:rsidRPr="000D33E4" w:rsidRDefault="00BA44C6" w:rsidP="009A7F2D">
            <w:pPr>
              <w:keepNext/>
              <w:spacing w:line="240" w:lineRule="auto"/>
              <w:jc w:val="center"/>
              <w:cnfStyle w:val="000000000000" w:firstRow="0" w:lastRow="0" w:firstColumn="0" w:lastColumn="0" w:oddVBand="0" w:evenVBand="0" w:oddHBand="0" w:evenHBand="0" w:firstRowFirstColumn="0" w:firstRowLastColumn="0" w:lastRowFirstColumn="0" w:lastRowLastColumn="0"/>
              <w:rPr>
                <w:rFonts w:ascii="Times" w:eastAsia="Calibri" w:hAnsi="Times"/>
                <w:sz w:val="18"/>
                <w:szCs w:val="18"/>
              </w:rPr>
            </w:pPr>
          </w:p>
        </w:tc>
      </w:tr>
      <w:tr w:rsidR="00BA44C6" w:rsidRPr="000D33E4" w14:paraId="570056BC" w14:textId="77777777" w:rsidTr="009A7F2D">
        <w:tc>
          <w:tcPr>
            <w:cnfStyle w:val="001000000000" w:firstRow="0" w:lastRow="0" w:firstColumn="1" w:lastColumn="0" w:oddVBand="0" w:evenVBand="0" w:oddHBand="0" w:evenHBand="0" w:firstRowFirstColumn="0" w:firstRowLastColumn="0" w:lastRowFirstColumn="0" w:lastRowLastColumn="0"/>
            <w:tcW w:w="1624" w:type="pct"/>
            <w:hideMark/>
          </w:tcPr>
          <w:p w14:paraId="427ED907" w14:textId="77777777" w:rsidR="00BA44C6" w:rsidRPr="000D33E4" w:rsidRDefault="00BA44C6" w:rsidP="009A7F2D">
            <w:pPr>
              <w:keepNext/>
              <w:spacing w:line="240" w:lineRule="auto"/>
              <w:rPr>
                <w:rFonts w:ascii="Times" w:eastAsia="Calibri" w:hAnsi="Times"/>
                <w:b w:val="0"/>
                <w:sz w:val="18"/>
                <w:szCs w:val="18"/>
              </w:rPr>
            </w:pPr>
          </w:p>
        </w:tc>
        <w:tc>
          <w:tcPr>
            <w:tcW w:w="836" w:type="pct"/>
            <w:hideMark/>
          </w:tcPr>
          <w:p w14:paraId="1758C5F3" w14:textId="77777777" w:rsidR="00BA44C6" w:rsidRPr="000D33E4" w:rsidRDefault="00BA44C6" w:rsidP="009A7F2D">
            <w:pPr>
              <w:keepNext/>
              <w:spacing w:line="240" w:lineRule="auto"/>
              <w:jc w:val="center"/>
              <w:cnfStyle w:val="000000000000" w:firstRow="0" w:lastRow="0" w:firstColumn="0" w:lastColumn="0" w:oddVBand="0" w:evenVBand="0" w:oddHBand="0" w:evenHBand="0" w:firstRowFirstColumn="0" w:firstRowLastColumn="0" w:lastRowFirstColumn="0" w:lastRowLastColumn="0"/>
              <w:rPr>
                <w:rFonts w:ascii="Times" w:eastAsia="Calibri" w:hAnsi="Times"/>
                <w:sz w:val="18"/>
                <w:szCs w:val="18"/>
              </w:rPr>
            </w:pPr>
            <w:r w:rsidRPr="000D33E4">
              <w:rPr>
                <w:rFonts w:ascii="Times" w:eastAsia="Calibri" w:hAnsi="Times"/>
                <w:sz w:val="18"/>
                <w:szCs w:val="18"/>
              </w:rPr>
              <w:t>BBB</w:t>
            </w:r>
          </w:p>
        </w:tc>
        <w:tc>
          <w:tcPr>
            <w:tcW w:w="884" w:type="pct"/>
            <w:hideMark/>
          </w:tcPr>
          <w:p w14:paraId="43AEBE0A" w14:textId="77777777" w:rsidR="00BA44C6" w:rsidRPr="000D33E4" w:rsidRDefault="00BA44C6" w:rsidP="009A7F2D">
            <w:pPr>
              <w:keepNext/>
              <w:spacing w:line="240" w:lineRule="auto"/>
              <w:jc w:val="center"/>
              <w:cnfStyle w:val="000000000000" w:firstRow="0" w:lastRow="0" w:firstColumn="0" w:lastColumn="0" w:oddVBand="0" w:evenVBand="0" w:oddHBand="0" w:evenHBand="0" w:firstRowFirstColumn="0" w:firstRowLastColumn="0" w:lastRowFirstColumn="0" w:lastRowLastColumn="0"/>
              <w:rPr>
                <w:rFonts w:ascii="Times" w:eastAsia="Calibri" w:hAnsi="Times"/>
                <w:sz w:val="18"/>
                <w:szCs w:val="18"/>
              </w:rPr>
            </w:pPr>
            <w:r w:rsidRPr="000D33E4">
              <w:rPr>
                <w:rFonts w:ascii="Times" w:eastAsia="Calibri" w:hAnsi="Times"/>
                <w:sz w:val="18"/>
                <w:szCs w:val="18"/>
              </w:rPr>
              <w:t>Baa2</w:t>
            </w:r>
          </w:p>
        </w:tc>
        <w:tc>
          <w:tcPr>
            <w:tcW w:w="967" w:type="pct"/>
            <w:hideMark/>
          </w:tcPr>
          <w:p w14:paraId="21BD5968" w14:textId="77777777" w:rsidR="00BA44C6" w:rsidRPr="000D33E4" w:rsidRDefault="00BA44C6" w:rsidP="009A7F2D">
            <w:pPr>
              <w:keepNext/>
              <w:spacing w:line="240" w:lineRule="auto"/>
              <w:jc w:val="center"/>
              <w:cnfStyle w:val="000000000000" w:firstRow="0" w:lastRow="0" w:firstColumn="0" w:lastColumn="0" w:oddVBand="0" w:evenVBand="0" w:oddHBand="0" w:evenHBand="0" w:firstRowFirstColumn="0" w:firstRowLastColumn="0" w:lastRowFirstColumn="0" w:lastRowLastColumn="0"/>
              <w:rPr>
                <w:rFonts w:ascii="Times" w:eastAsia="Calibri" w:hAnsi="Times"/>
                <w:sz w:val="18"/>
                <w:szCs w:val="18"/>
              </w:rPr>
            </w:pPr>
            <w:r w:rsidRPr="000D33E4">
              <w:rPr>
                <w:rFonts w:ascii="Times" w:eastAsia="Calibri" w:hAnsi="Times"/>
                <w:sz w:val="18"/>
                <w:szCs w:val="18"/>
              </w:rPr>
              <w:t>BBB</w:t>
            </w:r>
          </w:p>
        </w:tc>
        <w:tc>
          <w:tcPr>
            <w:tcW w:w="690" w:type="pct"/>
            <w:hideMark/>
          </w:tcPr>
          <w:p w14:paraId="781BA11A" w14:textId="77777777" w:rsidR="00BA44C6" w:rsidRPr="000D33E4" w:rsidRDefault="00BA44C6" w:rsidP="009A7F2D">
            <w:pPr>
              <w:keepNext/>
              <w:spacing w:line="240" w:lineRule="auto"/>
              <w:jc w:val="center"/>
              <w:cnfStyle w:val="000000000000" w:firstRow="0" w:lastRow="0" w:firstColumn="0" w:lastColumn="0" w:oddVBand="0" w:evenVBand="0" w:oddHBand="0" w:evenHBand="0" w:firstRowFirstColumn="0" w:firstRowLastColumn="0" w:lastRowFirstColumn="0" w:lastRowLastColumn="0"/>
              <w:rPr>
                <w:rFonts w:ascii="Times" w:eastAsia="Calibri" w:hAnsi="Times"/>
                <w:sz w:val="18"/>
                <w:szCs w:val="18"/>
              </w:rPr>
            </w:pPr>
          </w:p>
        </w:tc>
      </w:tr>
      <w:tr w:rsidR="00BA44C6" w:rsidRPr="000D33E4" w14:paraId="115E31E7" w14:textId="77777777" w:rsidTr="009A7F2D">
        <w:tc>
          <w:tcPr>
            <w:cnfStyle w:val="001000000000" w:firstRow="0" w:lastRow="0" w:firstColumn="1" w:lastColumn="0" w:oddVBand="0" w:evenVBand="0" w:oddHBand="0" w:evenHBand="0" w:firstRowFirstColumn="0" w:firstRowLastColumn="0" w:lastRowFirstColumn="0" w:lastRowLastColumn="0"/>
            <w:tcW w:w="1624" w:type="pct"/>
            <w:hideMark/>
          </w:tcPr>
          <w:p w14:paraId="430C408A" w14:textId="77777777" w:rsidR="00BA44C6" w:rsidRPr="000D33E4" w:rsidRDefault="00BA44C6" w:rsidP="009A7F2D">
            <w:pPr>
              <w:keepNext/>
              <w:spacing w:line="240" w:lineRule="auto"/>
              <w:rPr>
                <w:rFonts w:ascii="Times" w:eastAsia="Calibri" w:hAnsi="Times"/>
                <w:b w:val="0"/>
                <w:sz w:val="18"/>
                <w:szCs w:val="18"/>
              </w:rPr>
            </w:pPr>
          </w:p>
        </w:tc>
        <w:tc>
          <w:tcPr>
            <w:tcW w:w="836" w:type="pct"/>
            <w:hideMark/>
          </w:tcPr>
          <w:p w14:paraId="4814CA98" w14:textId="77777777" w:rsidR="00BA44C6" w:rsidRPr="000D33E4" w:rsidRDefault="00BA44C6" w:rsidP="009A7F2D">
            <w:pPr>
              <w:keepNext/>
              <w:spacing w:line="240" w:lineRule="auto"/>
              <w:jc w:val="center"/>
              <w:cnfStyle w:val="000000000000" w:firstRow="0" w:lastRow="0" w:firstColumn="0" w:lastColumn="0" w:oddVBand="0" w:evenVBand="0" w:oddHBand="0" w:evenHBand="0" w:firstRowFirstColumn="0" w:firstRowLastColumn="0" w:lastRowFirstColumn="0" w:lastRowLastColumn="0"/>
              <w:rPr>
                <w:rFonts w:ascii="Times" w:eastAsia="Calibri" w:hAnsi="Times"/>
                <w:sz w:val="18"/>
                <w:szCs w:val="18"/>
              </w:rPr>
            </w:pPr>
            <w:r w:rsidRPr="000D33E4">
              <w:rPr>
                <w:rFonts w:ascii="Times" w:eastAsia="Calibri" w:hAnsi="Times"/>
                <w:sz w:val="18"/>
                <w:szCs w:val="18"/>
              </w:rPr>
              <w:t>BBB-</w:t>
            </w:r>
          </w:p>
        </w:tc>
        <w:tc>
          <w:tcPr>
            <w:tcW w:w="884" w:type="pct"/>
            <w:hideMark/>
          </w:tcPr>
          <w:p w14:paraId="60AD089A" w14:textId="77777777" w:rsidR="00BA44C6" w:rsidRPr="000D33E4" w:rsidRDefault="00BA44C6" w:rsidP="009A7F2D">
            <w:pPr>
              <w:keepNext/>
              <w:spacing w:line="240" w:lineRule="auto"/>
              <w:jc w:val="center"/>
              <w:cnfStyle w:val="000000000000" w:firstRow="0" w:lastRow="0" w:firstColumn="0" w:lastColumn="0" w:oddVBand="0" w:evenVBand="0" w:oddHBand="0" w:evenHBand="0" w:firstRowFirstColumn="0" w:firstRowLastColumn="0" w:lastRowFirstColumn="0" w:lastRowLastColumn="0"/>
              <w:rPr>
                <w:rFonts w:ascii="Times" w:eastAsia="Calibri" w:hAnsi="Times"/>
                <w:sz w:val="18"/>
                <w:szCs w:val="18"/>
              </w:rPr>
            </w:pPr>
            <w:r w:rsidRPr="000D33E4">
              <w:rPr>
                <w:rFonts w:ascii="Times" w:eastAsia="Calibri" w:hAnsi="Times"/>
                <w:sz w:val="18"/>
                <w:szCs w:val="18"/>
              </w:rPr>
              <w:t>Baa3</w:t>
            </w:r>
          </w:p>
        </w:tc>
        <w:tc>
          <w:tcPr>
            <w:tcW w:w="967" w:type="pct"/>
            <w:hideMark/>
          </w:tcPr>
          <w:p w14:paraId="692FDE8C" w14:textId="77777777" w:rsidR="00BA44C6" w:rsidRPr="000D33E4" w:rsidRDefault="00BA44C6" w:rsidP="009A7F2D">
            <w:pPr>
              <w:keepNext/>
              <w:spacing w:line="240" w:lineRule="auto"/>
              <w:jc w:val="center"/>
              <w:cnfStyle w:val="000000000000" w:firstRow="0" w:lastRow="0" w:firstColumn="0" w:lastColumn="0" w:oddVBand="0" w:evenVBand="0" w:oddHBand="0" w:evenHBand="0" w:firstRowFirstColumn="0" w:firstRowLastColumn="0" w:lastRowFirstColumn="0" w:lastRowLastColumn="0"/>
              <w:rPr>
                <w:rFonts w:ascii="Times" w:eastAsia="Calibri" w:hAnsi="Times"/>
                <w:sz w:val="18"/>
                <w:szCs w:val="18"/>
              </w:rPr>
            </w:pPr>
            <w:r w:rsidRPr="000D33E4">
              <w:rPr>
                <w:rFonts w:ascii="Times" w:eastAsia="Calibri" w:hAnsi="Times"/>
                <w:sz w:val="18"/>
                <w:szCs w:val="18"/>
              </w:rPr>
              <w:t>BBB-</w:t>
            </w:r>
          </w:p>
        </w:tc>
        <w:tc>
          <w:tcPr>
            <w:tcW w:w="690" w:type="pct"/>
            <w:hideMark/>
          </w:tcPr>
          <w:p w14:paraId="6C79A28F" w14:textId="77777777" w:rsidR="00BA44C6" w:rsidRPr="000D33E4" w:rsidRDefault="00BA44C6" w:rsidP="009A7F2D">
            <w:pPr>
              <w:keepNext/>
              <w:spacing w:line="240" w:lineRule="auto"/>
              <w:jc w:val="center"/>
              <w:cnfStyle w:val="000000000000" w:firstRow="0" w:lastRow="0" w:firstColumn="0" w:lastColumn="0" w:oddVBand="0" w:evenVBand="0" w:oddHBand="0" w:evenHBand="0" w:firstRowFirstColumn="0" w:firstRowLastColumn="0" w:lastRowFirstColumn="0" w:lastRowLastColumn="0"/>
              <w:rPr>
                <w:rFonts w:ascii="Times" w:eastAsia="Calibri" w:hAnsi="Times"/>
                <w:sz w:val="18"/>
                <w:szCs w:val="18"/>
              </w:rPr>
            </w:pPr>
          </w:p>
        </w:tc>
      </w:tr>
      <w:tr w:rsidR="00BA44C6" w:rsidRPr="000D33E4" w14:paraId="3C8DE4B6" w14:textId="77777777" w:rsidTr="009A7F2D">
        <w:trPr>
          <w:gridAfter w:val="4"/>
          <w:wAfter w:w="3376" w:type="pct"/>
        </w:trPr>
        <w:tc>
          <w:tcPr>
            <w:cnfStyle w:val="001000000000" w:firstRow="0" w:lastRow="0" w:firstColumn="1" w:lastColumn="0" w:oddVBand="0" w:evenVBand="0" w:oddHBand="0" w:evenHBand="0" w:firstRowFirstColumn="0" w:firstRowLastColumn="0" w:lastRowFirstColumn="0" w:lastRowLastColumn="0"/>
            <w:tcW w:w="1624" w:type="pct"/>
            <w:hideMark/>
          </w:tcPr>
          <w:p w14:paraId="65AD1866" w14:textId="77777777" w:rsidR="00BA44C6" w:rsidRPr="000D33E4" w:rsidRDefault="00BA44C6" w:rsidP="009A7F2D">
            <w:pPr>
              <w:keepNext/>
              <w:spacing w:line="240" w:lineRule="auto"/>
              <w:rPr>
                <w:rFonts w:ascii="Times" w:eastAsia="Calibri" w:hAnsi="Times"/>
                <w:b w:val="0"/>
                <w:sz w:val="18"/>
                <w:szCs w:val="18"/>
              </w:rPr>
            </w:pPr>
          </w:p>
        </w:tc>
      </w:tr>
      <w:tr w:rsidR="00BA44C6" w:rsidRPr="000D33E4" w14:paraId="53B3AB5A" w14:textId="77777777" w:rsidTr="009A7F2D">
        <w:trPr>
          <w:gridAfter w:val="4"/>
          <w:wAfter w:w="3376" w:type="pct"/>
        </w:trPr>
        <w:tc>
          <w:tcPr>
            <w:cnfStyle w:val="001000000000" w:firstRow="0" w:lastRow="0" w:firstColumn="1" w:lastColumn="0" w:oddVBand="0" w:evenVBand="0" w:oddHBand="0" w:evenHBand="0" w:firstRowFirstColumn="0" w:firstRowLastColumn="0" w:lastRowFirstColumn="0" w:lastRowLastColumn="0"/>
            <w:tcW w:w="1624" w:type="pct"/>
            <w:hideMark/>
          </w:tcPr>
          <w:p w14:paraId="2A8BE3EC" w14:textId="77777777" w:rsidR="00BA44C6" w:rsidRPr="000D33E4" w:rsidRDefault="00BA44C6" w:rsidP="009A7F2D">
            <w:pPr>
              <w:keepNext/>
              <w:spacing w:line="240" w:lineRule="auto"/>
              <w:rPr>
                <w:rFonts w:ascii="Times" w:eastAsia="Calibri" w:hAnsi="Times"/>
                <w:b w:val="0"/>
                <w:sz w:val="18"/>
                <w:szCs w:val="18"/>
              </w:rPr>
            </w:pPr>
          </w:p>
        </w:tc>
      </w:tr>
      <w:tr w:rsidR="009A7F2D" w:rsidRPr="000D33E4" w14:paraId="636AD0C5" w14:textId="77777777" w:rsidTr="009A7F2D">
        <w:tc>
          <w:tcPr>
            <w:cnfStyle w:val="001000000000" w:firstRow="0" w:lastRow="0" w:firstColumn="1" w:lastColumn="0" w:oddVBand="0" w:evenVBand="0" w:oddHBand="0" w:evenHBand="0" w:firstRowFirstColumn="0" w:firstRowLastColumn="0" w:lastRowFirstColumn="0" w:lastRowLastColumn="0"/>
            <w:tcW w:w="1624" w:type="pct"/>
            <w:shd w:val="clear" w:color="auto" w:fill="F2F2F2" w:themeFill="background1" w:themeFillShade="F2"/>
            <w:hideMark/>
          </w:tcPr>
          <w:p w14:paraId="2EC174A3" w14:textId="77777777" w:rsidR="00BA44C6" w:rsidRPr="000D33E4" w:rsidRDefault="00BA44C6" w:rsidP="009A7F2D">
            <w:pPr>
              <w:keepNext/>
              <w:spacing w:line="240" w:lineRule="auto"/>
              <w:rPr>
                <w:rFonts w:ascii="Times" w:eastAsia="Calibri" w:hAnsi="Times"/>
                <w:b w:val="0"/>
                <w:sz w:val="18"/>
                <w:szCs w:val="18"/>
              </w:rPr>
            </w:pPr>
            <w:r w:rsidRPr="000D33E4">
              <w:rPr>
                <w:rFonts w:ascii="Times" w:eastAsia="Calibri" w:hAnsi="Times"/>
                <w:b w:val="0"/>
                <w:sz w:val="18"/>
                <w:szCs w:val="18"/>
              </w:rPr>
              <w:t>Speculative</w:t>
            </w:r>
          </w:p>
        </w:tc>
        <w:tc>
          <w:tcPr>
            <w:tcW w:w="836" w:type="pct"/>
            <w:shd w:val="clear" w:color="auto" w:fill="F2F2F2" w:themeFill="background1" w:themeFillShade="F2"/>
            <w:hideMark/>
          </w:tcPr>
          <w:p w14:paraId="4EA45BFE" w14:textId="77777777" w:rsidR="00BA44C6" w:rsidRPr="000D33E4" w:rsidRDefault="00BA44C6" w:rsidP="009A7F2D">
            <w:pPr>
              <w:keepNext/>
              <w:spacing w:line="240" w:lineRule="auto"/>
              <w:jc w:val="center"/>
              <w:cnfStyle w:val="000000000000" w:firstRow="0" w:lastRow="0" w:firstColumn="0" w:lastColumn="0" w:oddVBand="0" w:evenVBand="0" w:oddHBand="0" w:evenHBand="0" w:firstRowFirstColumn="0" w:firstRowLastColumn="0" w:lastRowFirstColumn="0" w:lastRowLastColumn="0"/>
              <w:rPr>
                <w:rFonts w:ascii="Times" w:eastAsia="Calibri" w:hAnsi="Times"/>
                <w:sz w:val="18"/>
                <w:szCs w:val="18"/>
              </w:rPr>
            </w:pPr>
            <w:r w:rsidRPr="000D33E4">
              <w:rPr>
                <w:rFonts w:ascii="Times" w:eastAsia="Calibri" w:hAnsi="Times"/>
                <w:sz w:val="18"/>
                <w:szCs w:val="18"/>
              </w:rPr>
              <w:t>BB+</w:t>
            </w:r>
          </w:p>
        </w:tc>
        <w:tc>
          <w:tcPr>
            <w:tcW w:w="884" w:type="pct"/>
            <w:shd w:val="clear" w:color="auto" w:fill="92D050"/>
            <w:hideMark/>
          </w:tcPr>
          <w:p w14:paraId="126A03C1" w14:textId="77777777" w:rsidR="00BA44C6" w:rsidRPr="000D33E4" w:rsidRDefault="00BA44C6" w:rsidP="009A7F2D">
            <w:pPr>
              <w:keepNext/>
              <w:spacing w:line="240" w:lineRule="auto"/>
              <w:jc w:val="center"/>
              <w:cnfStyle w:val="000000000000" w:firstRow="0" w:lastRow="0" w:firstColumn="0" w:lastColumn="0" w:oddVBand="0" w:evenVBand="0" w:oddHBand="0" w:evenHBand="0" w:firstRowFirstColumn="0" w:firstRowLastColumn="0" w:lastRowFirstColumn="0" w:lastRowLastColumn="0"/>
              <w:rPr>
                <w:rFonts w:ascii="Times" w:eastAsia="Calibri" w:hAnsi="Times"/>
                <w:bCs/>
                <w:sz w:val="18"/>
                <w:szCs w:val="18"/>
              </w:rPr>
            </w:pPr>
            <w:r w:rsidRPr="000D33E4">
              <w:rPr>
                <w:rFonts w:ascii="Times" w:eastAsia="Calibri" w:hAnsi="Times"/>
                <w:bCs/>
                <w:sz w:val="18"/>
                <w:szCs w:val="18"/>
              </w:rPr>
              <w:t>Ba1</w:t>
            </w:r>
          </w:p>
          <w:p w14:paraId="081ECCD9" w14:textId="77777777" w:rsidR="00BA44C6" w:rsidRPr="000D33E4" w:rsidRDefault="00BA44C6" w:rsidP="009A7F2D">
            <w:pPr>
              <w:keepNext/>
              <w:spacing w:line="240" w:lineRule="auto"/>
              <w:jc w:val="center"/>
              <w:cnfStyle w:val="000000000000" w:firstRow="0" w:lastRow="0" w:firstColumn="0" w:lastColumn="0" w:oddVBand="0" w:evenVBand="0" w:oddHBand="0" w:evenHBand="0" w:firstRowFirstColumn="0" w:firstRowLastColumn="0" w:lastRowFirstColumn="0" w:lastRowLastColumn="0"/>
              <w:rPr>
                <w:rFonts w:ascii="Times" w:eastAsia="Calibri" w:hAnsi="Times"/>
                <w:bCs/>
                <w:sz w:val="18"/>
                <w:szCs w:val="18"/>
              </w:rPr>
            </w:pPr>
            <w:r w:rsidRPr="000D33E4">
              <w:rPr>
                <w:rFonts w:ascii="Times" w:eastAsia="Calibri" w:hAnsi="Times"/>
                <w:bCs/>
                <w:sz w:val="18"/>
                <w:szCs w:val="18"/>
              </w:rPr>
              <w:t>Negative outlook</w:t>
            </w:r>
            <w:r w:rsidR="000D74C0">
              <w:rPr>
                <w:rFonts w:ascii="Times" w:eastAsia="Calibri" w:hAnsi="Times"/>
                <w:bCs/>
                <w:sz w:val="18"/>
                <w:szCs w:val="18"/>
              </w:rPr>
              <w:t xml:space="preserve"> *</w:t>
            </w:r>
          </w:p>
        </w:tc>
        <w:tc>
          <w:tcPr>
            <w:tcW w:w="967" w:type="pct"/>
            <w:shd w:val="clear" w:color="auto" w:fill="F2F2F2" w:themeFill="background1" w:themeFillShade="F2"/>
            <w:hideMark/>
          </w:tcPr>
          <w:p w14:paraId="20A54A1F" w14:textId="77777777" w:rsidR="00BA44C6" w:rsidRPr="000D33E4" w:rsidRDefault="00BA44C6" w:rsidP="009A7F2D">
            <w:pPr>
              <w:keepNext/>
              <w:spacing w:line="240" w:lineRule="auto"/>
              <w:jc w:val="center"/>
              <w:cnfStyle w:val="000000000000" w:firstRow="0" w:lastRow="0" w:firstColumn="0" w:lastColumn="0" w:oddVBand="0" w:evenVBand="0" w:oddHBand="0" w:evenHBand="0" w:firstRowFirstColumn="0" w:firstRowLastColumn="0" w:lastRowFirstColumn="0" w:lastRowLastColumn="0"/>
              <w:rPr>
                <w:rFonts w:ascii="Times" w:eastAsia="Calibri" w:hAnsi="Times"/>
                <w:sz w:val="18"/>
                <w:szCs w:val="18"/>
              </w:rPr>
            </w:pPr>
            <w:r w:rsidRPr="000D33E4">
              <w:rPr>
                <w:rFonts w:ascii="Times" w:eastAsia="Calibri" w:hAnsi="Times"/>
                <w:sz w:val="18"/>
                <w:szCs w:val="18"/>
              </w:rPr>
              <w:t>BB+</w:t>
            </w:r>
          </w:p>
        </w:tc>
        <w:tc>
          <w:tcPr>
            <w:tcW w:w="690" w:type="pct"/>
            <w:shd w:val="clear" w:color="auto" w:fill="F2F2F2" w:themeFill="background1" w:themeFillShade="F2"/>
            <w:hideMark/>
          </w:tcPr>
          <w:p w14:paraId="00193DF7" w14:textId="77777777" w:rsidR="00BA44C6" w:rsidRPr="000D33E4" w:rsidRDefault="00BA44C6" w:rsidP="009A7F2D">
            <w:pPr>
              <w:keepNext/>
              <w:spacing w:line="240" w:lineRule="auto"/>
              <w:jc w:val="center"/>
              <w:cnfStyle w:val="000000000000" w:firstRow="0" w:lastRow="0" w:firstColumn="0" w:lastColumn="0" w:oddVBand="0" w:evenVBand="0" w:oddHBand="0" w:evenHBand="0" w:firstRowFirstColumn="0" w:firstRowLastColumn="0" w:lastRowFirstColumn="0" w:lastRowLastColumn="0"/>
              <w:rPr>
                <w:rFonts w:ascii="Times" w:eastAsia="Calibri" w:hAnsi="Times"/>
                <w:sz w:val="18"/>
                <w:szCs w:val="18"/>
              </w:rPr>
            </w:pPr>
            <w:r w:rsidRPr="000D33E4">
              <w:rPr>
                <w:rFonts w:ascii="Times" w:eastAsia="Calibri" w:hAnsi="Times"/>
                <w:bCs/>
                <w:sz w:val="18"/>
                <w:szCs w:val="18"/>
              </w:rPr>
              <w:t>Speculative</w:t>
            </w:r>
          </w:p>
        </w:tc>
      </w:tr>
      <w:tr w:rsidR="009A7F2D" w:rsidRPr="000D33E4" w14:paraId="2681174F" w14:textId="77777777" w:rsidTr="009A7F2D">
        <w:tc>
          <w:tcPr>
            <w:cnfStyle w:val="001000000000" w:firstRow="0" w:lastRow="0" w:firstColumn="1" w:lastColumn="0" w:oddVBand="0" w:evenVBand="0" w:oddHBand="0" w:evenHBand="0" w:firstRowFirstColumn="0" w:firstRowLastColumn="0" w:lastRowFirstColumn="0" w:lastRowLastColumn="0"/>
            <w:tcW w:w="1624" w:type="pct"/>
            <w:shd w:val="clear" w:color="auto" w:fill="F2F2F2" w:themeFill="background1" w:themeFillShade="F2"/>
            <w:hideMark/>
          </w:tcPr>
          <w:p w14:paraId="13D7FD92" w14:textId="77777777" w:rsidR="00BA44C6" w:rsidRPr="000D33E4" w:rsidRDefault="00BA44C6" w:rsidP="009A7F2D">
            <w:pPr>
              <w:keepNext/>
              <w:spacing w:line="240" w:lineRule="auto"/>
              <w:rPr>
                <w:rFonts w:ascii="Times" w:eastAsia="Calibri" w:hAnsi="Times"/>
                <w:b w:val="0"/>
                <w:sz w:val="18"/>
                <w:szCs w:val="18"/>
              </w:rPr>
            </w:pPr>
          </w:p>
        </w:tc>
        <w:tc>
          <w:tcPr>
            <w:tcW w:w="836" w:type="pct"/>
            <w:shd w:val="clear" w:color="auto" w:fill="F2F2F2" w:themeFill="background1" w:themeFillShade="F2"/>
            <w:hideMark/>
          </w:tcPr>
          <w:p w14:paraId="60278FA5" w14:textId="77777777" w:rsidR="00BA44C6" w:rsidRPr="000D33E4" w:rsidRDefault="00BA44C6" w:rsidP="009A7F2D">
            <w:pPr>
              <w:keepNext/>
              <w:spacing w:line="240" w:lineRule="auto"/>
              <w:jc w:val="center"/>
              <w:cnfStyle w:val="000000000000" w:firstRow="0" w:lastRow="0" w:firstColumn="0" w:lastColumn="0" w:oddVBand="0" w:evenVBand="0" w:oddHBand="0" w:evenHBand="0" w:firstRowFirstColumn="0" w:firstRowLastColumn="0" w:lastRowFirstColumn="0" w:lastRowLastColumn="0"/>
              <w:rPr>
                <w:rFonts w:ascii="Times" w:eastAsia="Calibri" w:hAnsi="Times"/>
                <w:sz w:val="18"/>
                <w:szCs w:val="18"/>
              </w:rPr>
            </w:pPr>
            <w:r w:rsidRPr="000D33E4">
              <w:rPr>
                <w:rFonts w:ascii="Times" w:eastAsia="Calibri" w:hAnsi="Times"/>
                <w:sz w:val="18"/>
                <w:szCs w:val="18"/>
              </w:rPr>
              <w:t>BB</w:t>
            </w:r>
          </w:p>
        </w:tc>
        <w:tc>
          <w:tcPr>
            <w:tcW w:w="884" w:type="pct"/>
            <w:shd w:val="clear" w:color="auto" w:fill="F2F2F2" w:themeFill="background1" w:themeFillShade="F2"/>
            <w:hideMark/>
          </w:tcPr>
          <w:p w14:paraId="68BEA353" w14:textId="77777777" w:rsidR="00BA44C6" w:rsidRPr="000D33E4" w:rsidRDefault="00BA44C6" w:rsidP="009A7F2D">
            <w:pPr>
              <w:keepNext/>
              <w:spacing w:line="240" w:lineRule="auto"/>
              <w:jc w:val="center"/>
              <w:cnfStyle w:val="000000000000" w:firstRow="0" w:lastRow="0" w:firstColumn="0" w:lastColumn="0" w:oddVBand="0" w:evenVBand="0" w:oddHBand="0" w:evenHBand="0" w:firstRowFirstColumn="0" w:firstRowLastColumn="0" w:lastRowFirstColumn="0" w:lastRowLastColumn="0"/>
              <w:rPr>
                <w:rFonts w:ascii="Times" w:eastAsia="Calibri" w:hAnsi="Times"/>
                <w:sz w:val="18"/>
                <w:szCs w:val="18"/>
              </w:rPr>
            </w:pPr>
            <w:r w:rsidRPr="000D33E4">
              <w:rPr>
                <w:rFonts w:ascii="Times" w:eastAsia="Calibri" w:hAnsi="Times"/>
                <w:sz w:val="18"/>
                <w:szCs w:val="18"/>
              </w:rPr>
              <w:t>Ba2</w:t>
            </w:r>
          </w:p>
        </w:tc>
        <w:tc>
          <w:tcPr>
            <w:tcW w:w="967" w:type="pct"/>
            <w:shd w:val="clear" w:color="auto" w:fill="92D050"/>
            <w:hideMark/>
          </w:tcPr>
          <w:p w14:paraId="748CA70D" w14:textId="77777777" w:rsidR="00BA44C6" w:rsidRPr="000D33E4" w:rsidRDefault="00BA44C6" w:rsidP="009A7F2D">
            <w:pPr>
              <w:keepNext/>
              <w:spacing w:line="240" w:lineRule="auto"/>
              <w:jc w:val="center"/>
              <w:cnfStyle w:val="000000000000" w:firstRow="0" w:lastRow="0" w:firstColumn="0" w:lastColumn="0" w:oddVBand="0" w:evenVBand="0" w:oddHBand="0" w:evenHBand="0" w:firstRowFirstColumn="0" w:firstRowLastColumn="0" w:lastRowFirstColumn="0" w:lastRowLastColumn="0"/>
              <w:rPr>
                <w:rFonts w:ascii="Times" w:eastAsia="Calibri" w:hAnsi="Times"/>
                <w:bCs/>
                <w:sz w:val="18"/>
                <w:szCs w:val="18"/>
              </w:rPr>
            </w:pPr>
            <w:r w:rsidRPr="000D33E4">
              <w:rPr>
                <w:rFonts w:ascii="Times" w:eastAsia="Calibri" w:hAnsi="Times"/>
                <w:bCs/>
                <w:sz w:val="18"/>
                <w:szCs w:val="18"/>
              </w:rPr>
              <w:t>BB</w:t>
            </w:r>
          </w:p>
          <w:p w14:paraId="52F1A03F" w14:textId="77777777" w:rsidR="00BA44C6" w:rsidRPr="000D33E4" w:rsidRDefault="00BA44C6" w:rsidP="009A7F2D">
            <w:pPr>
              <w:keepNext/>
              <w:spacing w:line="240" w:lineRule="auto"/>
              <w:jc w:val="center"/>
              <w:cnfStyle w:val="000000000000" w:firstRow="0" w:lastRow="0" w:firstColumn="0" w:lastColumn="0" w:oddVBand="0" w:evenVBand="0" w:oddHBand="0" w:evenHBand="0" w:firstRowFirstColumn="0" w:firstRowLastColumn="0" w:lastRowFirstColumn="0" w:lastRowLastColumn="0"/>
              <w:rPr>
                <w:rFonts w:ascii="Times" w:eastAsia="Calibri" w:hAnsi="Times"/>
                <w:bCs/>
                <w:sz w:val="18"/>
                <w:szCs w:val="18"/>
              </w:rPr>
            </w:pPr>
            <w:r w:rsidRPr="000D33E4">
              <w:rPr>
                <w:rFonts w:ascii="Times" w:eastAsia="Calibri" w:hAnsi="Times"/>
                <w:bCs/>
                <w:sz w:val="18"/>
                <w:szCs w:val="18"/>
              </w:rPr>
              <w:t>Negative Outlook</w:t>
            </w:r>
            <w:r w:rsidR="000D74C0">
              <w:rPr>
                <w:rFonts w:ascii="Times" w:eastAsia="Calibri" w:hAnsi="Times"/>
                <w:bCs/>
                <w:sz w:val="18"/>
                <w:szCs w:val="18"/>
              </w:rPr>
              <w:t xml:space="preserve"> *</w:t>
            </w:r>
          </w:p>
        </w:tc>
        <w:tc>
          <w:tcPr>
            <w:tcW w:w="690" w:type="pct"/>
            <w:shd w:val="clear" w:color="auto" w:fill="F2F2F2" w:themeFill="background1" w:themeFillShade="F2"/>
            <w:hideMark/>
          </w:tcPr>
          <w:p w14:paraId="1A9D7AEA" w14:textId="77777777" w:rsidR="00BA44C6" w:rsidRPr="000D33E4" w:rsidRDefault="00BA44C6" w:rsidP="009A7F2D">
            <w:pPr>
              <w:keepNext/>
              <w:spacing w:line="240" w:lineRule="auto"/>
              <w:jc w:val="center"/>
              <w:cnfStyle w:val="000000000000" w:firstRow="0" w:lastRow="0" w:firstColumn="0" w:lastColumn="0" w:oddVBand="0" w:evenVBand="0" w:oddHBand="0" w:evenHBand="0" w:firstRowFirstColumn="0" w:firstRowLastColumn="0" w:lastRowFirstColumn="0" w:lastRowLastColumn="0"/>
              <w:rPr>
                <w:rFonts w:ascii="Times" w:eastAsia="Calibri" w:hAnsi="Times"/>
                <w:sz w:val="18"/>
                <w:szCs w:val="18"/>
              </w:rPr>
            </w:pPr>
          </w:p>
        </w:tc>
      </w:tr>
      <w:tr w:rsidR="009A7F2D" w:rsidRPr="000D33E4" w14:paraId="08B36B63" w14:textId="77777777" w:rsidTr="009A7F2D">
        <w:tc>
          <w:tcPr>
            <w:cnfStyle w:val="001000000000" w:firstRow="0" w:lastRow="0" w:firstColumn="1" w:lastColumn="0" w:oddVBand="0" w:evenVBand="0" w:oddHBand="0" w:evenHBand="0" w:firstRowFirstColumn="0" w:firstRowLastColumn="0" w:lastRowFirstColumn="0" w:lastRowLastColumn="0"/>
            <w:tcW w:w="1624" w:type="pct"/>
            <w:shd w:val="clear" w:color="auto" w:fill="F2F2F2" w:themeFill="background1" w:themeFillShade="F2"/>
            <w:hideMark/>
          </w:tcPr>
          <w:p w14:paraId="4168034C" w14:textId="77777777" w:rsidR="00BA44C6" w:rsidRPr="000D33E4" w:rsidRDefault="00BA44C6" w:rsidP="009A7F2D">
            <w:pPr>
              <w:keepNext/>
              <w:spacing w:line="240" w:lineRule="auto"/>
              <w:rPr>
                <w:rFonts w:ascii="Times" w:eastAsia="Calibri" w:hAnsi="Times"/>
                <w:b w:val="0"/>
                <w:sz w:val="18"/>
                <w:szCs w:val="18"/>
              </w:rPr>
            </w:pPr>
          </w:p>
        </w:tc>
        <w:tc>
          <w:tcPr>
            <w:tcW w:w="836" w:type="pct"/>
            <w:shd w:val="clear" w:color="auto" w:fill="92D050"/>
            <w:hideMark/>
          </w:tcPr>
          <w:p w14:paraId="4E534D08" w14:textId="77777777" w:rsidR="00BA44C6" w:rsidRPr="000D33E4" w:rsidRDefault="00BA44C6" w:rsidP="009A7F2D">
            <w:pPr>
              <w:keepNext/>
              <w:spacing w:line="240" w:lineRule="auto"/>
              <w:jc w:val="center"/>
              <w:cnfStyle w:val="000000000000" w:firstRow="0" w:lastRow="0" w:firstColumn="0" w:lastColumn="0" w:oddVBand="0" w:evenVBand="0" w:oddHBand="0" w:evenHBand="0" w:firstRowFirstColumn="0" w:firstRowLastColumn="0" w:lastRowFirstColumn="0" w:lastRowLastColumn="0"/>
              <w:rPr>
                <w:rFonts w:ascii="Times" w:eastAsia="Calibri" w:hAnsi="Times"/>
                <w:bCs/>
                <w:sz w:val="18"/>
                <w:szCs w:val="18"/>
              </w:rPr>
            </w:pPr>
            <w:r w:rsidRPr="000D33E4">
              <w:rPr>
                <w:rFonts w:ascii="Times" w:eastAsia="Calibri" w:hAnsi="Times"/>
                <w:bCs/>
                <w:sz w:val="18"/>
                <w:szCs w:val="18"/>
              </w:rPr>
              <w:t>BB-</w:t>
            </w:r>
          </w:p>
          <w:p w14:paraId="6CBEFE40" w14:textId="77777777" w:rsidR="00BA44C6" w:rsidRPr="000D33E4" w:rsidRDefault="00BA44C6" w:rsidP="009A7F2D">
            <w:pPr>
              <w:keepNext/>
              <w:spacing w:line="240" w:lineRule="auto"/>
              <w:jc w:val="center"/>
              <w:cnfStyle w:val="000000000000" w:firstRow="0" w:lastRow="0" w:firstColumn="0" w:lastColumn="0" w:oddVBand="0" w:evenVBand="0" w:oddHBand="0" w:evenHBand="0" w:firstRowFirstColumn="0" w:firstRowLastColumn="0" w:lastRowFirstColumn="0" w:lastRowLastColumn="0"/>
              <w:rPr>
                <w:rFonts w:ascii="Times" w:eastAsia="Calibri" w:hAnsi="Times"/>
                <w:bCs/>
                <w:sz w:val="18"/>
                <w:szCs w:val="18"/>
              </w:rPr>
            </w:pPr>
            <w:r w:rsidRPr="000D33E4">
              <w:rPr>
                <w:rFonts w:ascii="Times" w:eastAsia="Calibri" w:hAnsi="Times"/>
                <w:bCs/>
                <w:sz w:val="18"/>
                <w:szCs w:val="18"/>
              </w:rPr>
              <w:t>Stable Outlook</w:t>
            </w:r>
            <w:r w:rsidR="000D74C0">
              <w:rPr>
                <w:rFonts w:ascii="Times" w:eastAsia="Calibri" w:hAnsi="Times"/>
                <w:bCs/>
                <w:sz w:val="18"/>
                <w:szCs w:val="18"/>
              </w:rPr>
              <w:t xml:space="preserve"> *</w:t>
            </w:r>
          </w:p>
        </w:tc>
        <w:tc>
          <w:tcPr>
            <w:tcW w:w="884" w:type="pct"/>
            <w:shd w:val="clear" w:color="auto" w:fill="F2F2F2" w:themeFill="background1" w:themeFillShade="F2"/>
            <w:hideMark/>
          </w:tcPr>
          <w:p w14:paraId="762CCEFD" w14:textId="77777777" w:rsidR="00BA44C6" w:rsidRPr="000D33E4" w:rsidRDefault="00BA44C6" w:rsidP="009A7F2D">
            <w:pPr>
              <w:keepNext/>
              <w:spacing w:line="240" w:lineRule="auto"/>
              <w:jc w:val="center"/>
              <w:cnfStyle w:val="000000000000" w:firstRow="0" w:lastRow="0" w:firstColumn="0" w:lastColumn="0" w:oddVBand="0" w:evenVBand="0" w:oddHBand="0" w:evenHBand="0" w:firstRowFirstColumn="0" w:firstRowLastColumn="0" w:lastRowFirstColumn="0" w:lastRowLastColumn="0"/>
              <w:rPr>
                <w:rFonts w:ascii="Times" w:eastAsia="Calibri" w:hAnsi="Times"/>
                <w:sz w:val="18"/>
                <w:szCs w:val="18"/>
              </w:rPr>
            </w:pPr>
            <w:r w:rsidRPr="000D33E4">
              <w:rPr>
                <w:rFonts w:ascii="Times" w:eastAsia="Calibri" w:hAnsi="Times"/>
                <w:sz w:val="18"/>
                <w:szCs w:val="18"/>
              </w:rPr>
              <w:t>Ba3</w:t>
            </w:r>
          </w:p>
        </w:tc>
        <w:tc>
          <w:tcPr>
            <w:tcW w:w="967" w:type="pct"/>
            <w:shd w:val="clear" w:color="auto" w:fill="F2F2F2" w:themeFill="background1" w:themeFillShade="F2"/>
            <w:hideMark/>
          </w:tcPr>
          <w:p w14:paraId="300DB5EC" w14:textId="77777777" w:rsidR="00BA44C6" w:rsidRPr="000D33E4" w:rsidRDefault="00BA44C6" w:rsidP="009A7F2D">
            <w:pPr>
              <w:keepNext/>
              <w:spacing w:line="240" w:lineRule="auto"/>
              <w:jc w:val="center"/>
              <w:cnfStyle w:val="000000000000" w:firstRow="0" w:lastRow="0" w:firstColumn="0" w:lastColumn="0" w:oddVBand="0" w:evenVBand="0" w:oddHBand="0" w:evenHBand="0" w:firstRowFirstColumn="0" w:firstRowLastColumn="0" w:lastRowFirstColumn="0" w:lastRowLastColumn="0"/>
              <w:rPr>
                <w:rFonts w:ascii="Times" w:eastAsia="Calibri" w:hAnsi="Times"/>
                <w:sz w:val="18"/>
                <w:szCs w:val="18"/>
              </w:rPr>
            </w:pPr>
            <w:r w:rsidRPr="000D33E4">
              <w:rPr>
                <w:rFonts w:ascii="Times" w:eastAsia="Calibri" w:hAnsi="Times"/>
                <w:sz w:val="18"/>
                <w:szCs w:val="18"/>
              </w:rPr>
              <w:t>BB-</w:t>
            </w:r>
          </w:p>
        </w:tc>
        <w:tc>
          <w:tcPr>
            <w:tcW w:w="690" w:type="pct"/>
            <w:shd w:val="clear" w:color="auto" w:fill="F2F2F2" w:themeFill="background1" w:themeFillShade="F2"/>
            <w:hideMark/>
          </w:tcPr>
          <w:p w14:paraId="1908FBDF" w14:textId="77777777" w:rsidR="00BA44C6" w:rsidRPr="000D33E4" w:rsidRDefault="00BA44C6" w:rsidP="009A7F2D">
            <w:pPr>
              <w:keepNext/>
              <w:spacing w:line="240" w:lineRule="auto"/>
              <w:jc w:val="center"/>
              <w:cnfStyle w:val="000000000000" w:firstRow="0" w:lastRow="0" w:firstColumn="0" w:lastColumn="0" w:oddVBand="0" w:evenVBand="0" w:oddHBand="0" w:evenHBand="0" w:firstRowFirstColumn="0" w:firstRowLastColumn="0" w:lastRowFirstColumn="0" w:lastRowLastColumn="0"/>
              <w:rPr>
                <w:rFonts w:ascii="Times" w:eastAsia="Calibri" w:hAnsi="Times"/>
                <w:sz w:val="18"/>
                <w:szCs w:val="18"/>
              </w:rPr>
            </w:pPr>
          </w:p>
        </w:tc>
      </w:tr>
      <w:tr w:rsidR="00BA44C6" w:rsidRPr="000D33E4" w14:paraId="2BD3B765" w14:textId="77777777" w:rsidTr="009A7F2D">
        <w:trPr>
          <w:gridAfter w:val="4"/>
          <w:wAfter w:w="3376" w:type="pct"/>
        </w:trPr>
        <w:tc>
          <w:tcPr>
            <w:cnfStyle w:val="001000000000" w:firstRow="0" w:lastRow="0" w:firstColumn="1" w:lastColumn="0" w:oddVBand="0" w:evenVBand="0" w:oddHBand="0" w:evenHBand="0" w:firstRowFirstColumn="0" w:firstRowLastColumn="0" w:lastRowFirstColumn="0" w:lastRowLastColumn="0"/>
            <w:tcW w:w="1624" w:type="pct"/>
            <w:shd w:val="clear" w:color="auto" w:fill="F2F2F2" w:themeFill="background1" w:themeFillShade="F2"/>
            <w:hideMark/>
          </w:tcPr>
          <w:p w14:paraId="662B727B" w14:textId="77777777" w:rsidR="00BA44C6" w:rsidRPr="000D33E4" w:rsidRDefault="00BA44C6" w:rsidP="009A7F2D">
            <w:pPr>
              <w:keepNext/>
              <w:spacing w:line="240" w:lineRule="auto"/>
              <w:rPr>
                <w:rFonts w:ascii="Times" w:eastAsia="Calibri" w:hAnsi="Times"/>
                <w:b w:val="0"/>
                <w:sz w:val="18"/>
                <w:szCs w:val="18"/>
              </w:rPr>
            </w:pPr>
          </w:p>
        </w:tc>
      </w:tr>
      <w:tr w:rsidR="00BA44C6" w:rsidRPr="000D33E4" w14:paraId="59B388FA" w14:textId="77777777" w:rsidTr="009A7F2D">
        <w:trPr>
          <w:gridAfter w:val="4"/>
          <w:wAfter w:w="3376" w:type="pct"/>
        </w:trPr>
        <w:tc>
          <w:tcPr>
            <w:cnfStyle w:val="001000000000" w:firstRow="0" w:lastRow="0" w:firstColumn="1" w:lastColumn="0" w:oddVBand="0" w:evenVBand="0" w:oddHBand="0" w:evenHBand="0" w:firstRowFirstColumn="0" w:firstRowLastColumn="0" w:lastRowFirstColumn="0" w:lastRowLastColumn="0"/>
            <w:tcW w:w="1624" w:type="pct"/>
            <w:shd w:val="clear" w:color="auto" w:fill="F2F2F2" w:themeFill="background1" w:themeFillShade="F2"/>
            <w:hideMark/>
          </w:tcPr>
          <w:p w14:paraId="742F67F1" w14:textId="77777777" w:rsidR="00BA44C6" w:rsidRPr="000D33E4" w:rsidRDefault="00BA44C6" w:rsidP="009A7F2D">
            <w:pPr>
              <w:keepNext/>
              <w:spacing w:line="240" w:lineRule="auto"/>
              <w:rPr>
                <w:rFonts w:ascii="Times" w:eastAsia="Calibri" w:hAnsi="Times"/>
                <w:b w:val="0"/>
                <w:sz w:val="18"/>
                <w:szCs w:val="18"/>
              </w:rPr>
            </w:pPr>
          </w:p>
        </w:tc>
      </w:tr>
      <w:tr w:rsidR="009A7F2D" w:rsidRPr="000D33E4" w14:paraId="27C81060" w14:textId="77777777" w:rsidTr="009A7F2D">
        <w:tc>
          <w:tcPr>
            <w:cnfStyle w:val="001000000000" w:firstRow="0" w:lastRow="0" w:firstColumn="1" w:lastColumn="0" w:oddVBand="0" w:evenVBand="0" w:oddHBand="0" w:evenHBand="0" w:firstRowFirstColumn="0" w:firstRowLastColumn="0" w:lastRowFirstColumn="0" w:lastRowLastColumn="0"/>
            <w:tcW w:w="1624" w:type="pct"/>
            <w:shd w:val="clear" w:color="auto" w:fill="F2F2F2" w:themeFill="background1" w:themeFillShade="F2"/>
            <w:hideMark/>
          </w:tcPr>
          <w:p w14:paraId="579AC58C" w14:textId="77777777" w:rsidR="00BA44C6" w:rsidRPr="000D33E4" w:rsidRDefault="00BA44C6" w:rsidP="009A7F2D">
            <w:pPr>
              <w:keepNext/>
              <w:spacing w:line="240" w:lineRule="auto"/>
              <w:rPr>
                <w:rFonts w:ascii="Times" w:eastAsia="Calibri" w:hAnsi="Times"/>
                <w:b w:val="0"/>
                <w:sz w:val="18"/>
                <w:szCs w:val="18"/>
              </w:rPr>
            </w:pPr>
            <w:r w:rsidRPr="000D33E4">
              <w:rPr>
                <w:rFonts w:ascii="Times" w:eastAsia="Calibri" w:hAnsi="Times"/>
                <w:b w:val="0"/>
                <w:sz w:val="18"/>
                <w:szCs w:val="18"/>
              </w:rPr>
              <w:t>Highly Speculative</w:t>
            </w:r>
          </w:p>
        </w:tc>
        <w:tc>
          <w:tcPr>
            <w:tcW w:w="836" w:type="pct"/>
            <w:shd w:val="clear" w:color="auto" w:fill="F2F2F2" w:themeFill="background1" w:themeFillShade="F2"/>
            <w:hideMark/>
          </w:tcPr>
          <w:p w14:paraId="679966D2" w14:textId="77777777" w:rsidR="00BA44C6" w:rsidRPr="000D33E4" w:rsidRDefault="00BA44C6" w:rsidP="009A7F2D">
            <w:pPr>
              <w:keepNext/>
              <w:spacing w:line="240" w:lineRule="auto"/>
              <w:jc w:val="center"/>
              <w:cnfStyle w:val="000000000000" w:firstRow="0" w:lastRow="0" w:firstColumn="0" w:lastColumn="0" w:oddVBand="0" w:evenVBand="0" w:oddHBand="0" w:evenHBand="0" w:firstRowFirstColumn="0" w:firstRowLastColumn="0" w:lastRowFirstColumn="0" w:lastRowLastColumn="0"/>
              <w:rPr>
                <w:rFonts w:ascii="Times" w:eastAsia="Calibri" w:hAnsi="Times"/>
                <w:sz w:val="18"/>
                <w:szCs w:val="18"/>
              </w:rPr>
            </w:pPr>
            <w:r w:rsidRPr="000D33E4">
              <w:rPr>
                <w:rFonts w:ascii="Times" w:eastAsia="Calibri" w:hAnsi="Times"/>
                <w:sz w:val="18"/>
                <w:szCs w:val="18"/>
              </w:rPr>
              <w:t>B+</w:t>
            </w:r>
          </w:p>
        </w:tc>
        <w:tc>
          <w:tcPr>
            <w:tcW w:w="884" w:type="pct"/>
            <w:shd w:val="clear" w:color="auto" w:fill="F2F2F2" w:themeFill="background1" w:themeFillShade="F2"/>
            <w:hideMark/>
          </w:tcPr>
          <w:p w14:paraId="030A73C3" w14:textId="77777777" w:rsidR="00BA44C6" w:rsidRPr="000D33E4" w:rsidRDefault="00BA44C6" w:rsidP="009A7F2D">
            <w:pPr>
              <w:keepNext/>
              <w:spacing w:line="240" w:lineRule="auto"/>
              <w:jc w:val="center"/>
              <w:cnfStyle w:val="000000000000" w:firstRow="0" w:lastRow="0" w:firstColumn="0" w:lastColumn="0" w:oddVBand="0" w:evenVBand="0" w:oddHBand="0" w:evenHBand="0" w:firstRowFirstColumn="0" w:firstRowLastColumn="0" w:lastRowFirstColumn="0" w:lastRowLastColumn="0"/>
              <w:rPr>
                <w:rFonts w:ascii="Times" w:eastAsia="Calibri" w:hAnsi="Times"/>
                <w:sz w:val="18"/>
                <w:szCs w:val="18"/>
              </w:rPr>
            </w:pPr>
            <w:r w:rsidRPr="000D33E4">
              <w:rPr>
                <w:rFonts w:ascii="Times" w:eastAsia="Calibri" w:hAnsi="Times"/>
                <w:sz w:val="18"/>
                <w:szCs w:val="18"/>
              </w:rPr>
              <w:t>B1</w:t>
            </w:r>
          </w:p>
        </w:tc>
        <w:tc>
          <w:tcPr>
            <w:tcW w:w="967" w:type="pct"/>
            <w:shd w:val="clear" w:color="auto" w:fill="F2F2F2" w:themeFill="background1" w:themeFillShade="F2"/>
            <w:hideMark/>
          </w:tcPr>
          <w:p w14:paraId="4307C1C7" w14:textId="77777777" w:rsidR="00BA44C6" w:rsidRPr="000D33E4" w:rsidRDefault="00BA44C6" w:rsidP="009A7F2D">
            <w:pPr>
              <w:keepNext/>
              <w:spacing w:line="240" w:lineRule="auto"/>
              <w:jc w:val="center"/>
              <w:cnfStyle w:val="000000000000" w:firstRow="0" w:lastRow="0" w:firstColumn="0" w:lastColumn="0" w:oddVBand="0" w:evenVBand="0" w:oddHBand="0" w:evenHBand="0" w:firstRowFirstColumn="0" w:firstRowLastColumn="0" w:lastRowFirstColumn="0" w:lastRowLastColumn="0"/>
              <w:rPr>
                <w:rFonts w:ascii="Times" w:eastAsia="Calibri" w:hAnsi="Times"/>
                <w:sz w:val="18"/>
                <w:szCs w:val="18"/>
              </w:rPr>
            </w:pPr>
            <w:r w:rsidRPr="000D33E4">
              <w:rPr>
                <w:rFonts w:ascii="Times" w:eastAsia="Calibri" w:hAnsi="Times"/>
                <w:sz w:val="18"/>
                <w:szCs w:val="18"/>
              </w:rPr>
              <w:t>B+</w:t>
            </w:r>
          </w:p>
        </w:tc>
        <w:tc>
          <w:tcPr>
            <w:tcW w:w="690" w:type="pct"/>
            <w:shd w:val="clear" w:color="auto" w:fill="F2F2F2" w:themeFill="background1" w:themeFillShade="F2"/>
            <w:hideMark/>
          </w:tcPr>
          <w:p w14:paraId="1BA1C325" w14:textId="77777777" w:rsidR="00BA44C6" w:rsidRPr="000D33E4" w:rsidRDefault="00BA44C6" w:rsidP="009A7F2D">
            <w:pPr>
              <w:keepNext/>
              <w:spacing w:line="240" w:lineRule="auto"/>
              <w:jc w:val="center"/>
              <w:cnfStyle w:val="000000000000" w:firstRow="0" w:lastRow="0" w:firstColumn="0" w:lastColumn="0" w:oddVBand="0" w:evenVBand="0" w:oddHBand="0" w:evenHBand="0" w:firstRowFirstColumn="0" w:firstRowLastColumn="0" w:lastRowFirstColumn="0" w:lastRowLastColumn="0"/>
              <w:rPr>
                <w:rFonts w:ascii="Times" w:eastAsia="Calibri" w:hAnsi="Times"/>
                <w:sz w:val="18"/>
                <w:szCs w:val="18"/>
              </w:rPr>
            </w:pPr>
          </w:p>
        </w:tc>
      </w:tr>
      <w:tr w:rsidR="009A7F2D" w:rsidRPr="000D33E4" w14:paraId="334390C4" w14:textId="77777777" w:rsidTr="009A7F2D">
        <w:tc>
          <w:tcPr>
            <w:cnfStyle w:val="001000000000" w:firstRow="0" w:lastRow="0" w:firstColumn="1" w:lastColumn="0" w:oddVBand="0" w:evenVBand="0" w:oddHBand="0" w:evenHBand="0" w:firstRowFirstColumn="0" w:firstRowLastColumn="0" w:lastRowFirstColumn="0" w:lastRowLastColumn="0"/>
            <w:tcW w:w="1624" w:type="pct"/>
            <w:shd w:val="clear" w:color="auto" w:fill="F2F2F2" w:themeFill="background1" w:themeFillShade="F2"/>
            <w:hideMark/>
          </w:tcPr>
          <w:p w14:paraId="4128F39D" w14:textId="77777777" w:rsidR="00BA44C6" w:rsidRPr="000D33E4" w:rsidRDefault="00BA44C6" w:rsidP="009A7F2D">
            <w:pPr>
              <w:keepNext/>
              <w:spacing w:line="240" w:lineRule="auto"/>
              <w:rPr>
                <w:rFonts w:ascii="Times" w:eastAsia="Calibri" w:hAnsi="Times"/>
                <w:b w:val="0"/>
                <w:sz w:val="18"/>
                <w:szCs w:val="18"/>
              </w:rPr>
            </w:pPr>
          </w:p>
        </w:tc>
        <w:tc>
          <w:tcPr>
            <w:tcW w:w="836" w:type="pct"/>
            <w:shd w:val="clear" w:color="auto" w:fill="F2F2F2" w:themeFill="background1" w:themeFillShade="F2"/>
            <w:hideMark/>
          </w:tcPr>
          <w:p w14:paraId="5B16A57A" w14:textId="77777777" w:rsidR="00BA44C6" w:rsidRPr="000D33E4" w:rsidRDefault="00BA44C6" w:rsidP="009A7F2D">
            <w:pPr>
              <w:keepNext/>
              <w:spacing w:line="240" w:lineRule="auto"/>
              <w:jc w:val="center"/>
              <w:cnfStyle w:val="000000000000" w:firstRow="0" w:lastRow="0" w:firstColumn="0" w:lastColumn="0" w:oddVBand="0" w:evenVBand="0" w:oddHBand="0" w:evenHBand="0" w:firstRowFirstColumn="0" w:firstRowLastColumn="0" w:lastRowFirstColumn="0" w:lastRowLastColumn="0"/>
              <w:rPr>
                <w:rFonts w:ascii="Times" w:eastAsia="Calibri" w:hAnsi="Times"/>
                <w:sz w:val="18"/>
                <w:szCs w:val="18"/>
              </w:rPr>
            </w:pPr>
            <w:r w:rsidRPr="000D33E4">
              <w:rPr>
                <w:rFonts w:ascii="Times" w:eastAsia="Calibri" w:hAnsi="Times"/>
                <w:sz w:val="18"/>
                <w:szCs w:val="18"/>
              </w:rPr>
              <w:t>B</w:t>
            </w:r>
          </w:p>
        </w:tc>
        <w:tc>
          <w:tcPr>
            <w:tcW w:w="884" w:type="pct"/>
            <w:shd w:val="clear" w:color="auto" w:fill="F2F2F2" w:themeFill="background1" w:themeFillShade="F2"/>
            <w:hideMark/>
          </w:tcPr>
          <w:p w14:paraId="0ED71230" w14:textId="77777777" w:rsidR="00BA44C6" w:rsidRPr="000D33E4" w:rsidRDefault="00BA44C6" w:rsidP="009A7F2D">
            <w:pPr>
              <w:keepNext/>
              <w:spacing w:line="240" w:lineRule="auto"/>
              <w:jc w:val="center"/>
              <w:cnfStyle w:val="000000000000" w:firstRow="0" w:lastRow="0" w:firstColumn="0" w:lastColumn="0" w:oddVBand="0" w:evenVBand="0" w:oddHBand="0" w:evenHBand="0" w:firstRowFirstColumn="0" w:firstRowLastColumn="0" w:lastRowFirstColumn="0" w:lastRowLastColumn="0"/>
              <w:rPr>
                <w:rFonts w:ascii="Times" w:eastAsia="Calibri" w:hAnsi="Times"/>
                <w:sz w:val="18"/>
                <w:szCs w:val="18"/>
              </w:rPr>
            </w:pPr>
            <w:r w:rsidRPr="000D33E4">
              <w:rPr>
                <w:rFonts w:ascii="Times" w:eastAsia="Calibri" w:hAnsi="Times"/>
                <w:sz w:val="18"/>
                <w:szCs w:val="18"/>
              </w:rPr>
              <w:t>B2</w:t>
            </w:r>
          </w:p>
        </w:tc>
        <w:tc>
          <w:tcPr>
            <w:tcW w:w="967" w:type="pct"/>
            <w:shd w:val="clear" w:color="auto" w:fill="F2F2F2" w:themeFill="background1" w:themeFillShade="F2"/>
            <w:hideMark/>
          </w:tcPr>
          <w:p w14:paraId="6BE17F3F" w14:textId="77777777" w:rsidR="00BA44C6" w:rsidRPr="000D33E4" w:rsidRDefault="00BA44C6" w:rsidP="009A7F2D">
            <w:pPr>
              <w:keepNext/>
              <w:spacing w:line="240" w:lineRule="auto"/>
              <w:jc w:val="center"/>
              <w:cnfStyle w:val="000000000000" w:firstRow="0" w:lastRow="0" w:firstColumn="0" w:lastColumn="0" w:oddVBand="0" w:evenVBand="0" w:oddHBand="0" w:evenHBand="0" w:firstRowFirstColumn="0" w:firstRowLastColumn="0" w:lastRowFirstColumn="0" w:lastRowLastColumn="0"/>
              <w:rPr>
                <w:rFonts w:ascii="Times" w:eastAsia="Calibri" w:hAnsi="Times"/>
                <w:sz w:val="18"/>
                <w:szCs w:val="18"/>
              </w:rPr>
            </w:pPr>
            <w:r w:rsidRPr="000D33E4">
              <w:rPr>
                <w:rFonts w:ascii="Times" w:eastAsia="Calibri" w:hAnsi="Times"/>
                <w:sz w:val="18"/>
                <w:szCs w:val="18"/>
              </w:rPr>
              <w:t>B</w:t>
            </w:r>
          </w:p>
        </w:tc>
        <w:tc>
          <w:tcPr>
            <w:tcW w:w="690" w:type="pct"/>
            <w:shd w:val="clear" w:color="auto" w:fill="F2F2F2" w:themeFill="background1" w:themeFillShade="F2"/>
            <w:hideMark/>
          </w:tcPr>
          <w:p w14:paraId="44DB7C7D" w14:textId="77777777" w:rsidR="00BA44C6" w:rsidRPr="000D33E4" w:rsidRDefault="00BA44C6" w:rsidP="009A7F2D">
            <w:pPr>
              <w:keepNext/>
              <w:spacing w:line="240" w:lineRule="auto"/>
              <w:jc w:val="center"/>
              <w:cnfStyle w:val="000000000000" w:firstRow="0" w:lastRow="0" w:firstColumn="0" w:lastColumn="0" w:oddVBand="0" w:evenVBand="0" w:oddHBand="0" w:evenHBand="0" w:firstRowFirstColumn="0" w:firstRowLastColumn="0" w:lastRowFirstColumn="0" w:lastRowLastColumn="0"/>
              <w:rPr>
                <w:rFonts w:ascii="Times" w:eastAsia="Calibri" w:hAnsi="Times"/>
                <w:sz w:val="18"/>
                <w:szCs w:val="18"/>
              </w:rPr>
            </w:pPr>
          </w:p>
        </w:tc>
      </w:tr>
      <w:tr w:rsidR="009A7F2D" w:rsidRPr="000D33E4" w14:paraId="20DCA584" w14:textId="77777777" w:rsidTr="009A7F2D">
        <w:tc>
          <w:tcPr>
            <w:cnfStyle w:val="001000000000" w:firstRow="0" w:lastRow="0" w:firstColumn="1" w:lastColumn="0" w:oddVBand="0" w:evenVBand="0" w:oddHBand="0" w:evenHBand="0" w:firstRowFirstColumn="0" w:firstRowLastColumn="0" w:lastRowFirstColumn="0" w:lastRowLastColumn="0"/>
            <w:tcW w:w="1624" w:type="pct"/>
            <w:shd w:val="clear" w:color="auto" w:fill="F2F2F2" w:themeFill="background1" w:themeFillShade="F2"/>
            <w:hideMark/>
          </w:tcPr>
          <w:p w14:paraId="42158260" w14:textId="77777777" w:rsidR="00BA44C6" w:rsidRPr="000D33E4" w:rsidRDefault="00BA44C6" w:rsidP="009A7F2D">
            <w:pPr>
              <w:keepNext/>
              <w:spacing w:line="240" w:lineRule="auto"/>
              <w:rPr>
                <w:rFonts w:ascii="Times" w:eastAsia="Calibri" w:hAnsi="Times"/>
                <w:b w:val="0"/>
                <w:sz w:val="18"/>
                <w:szCs w:val="18"/>
              </w:rPr>
            </w:pPr>
          </w:p>
        </w:tc>
        <w:tc>
          <w:tcPr>
            <w:tcW w:w="836" w:type="pct"/>
            <w:shd w:val="clear" w:color="auto" w:fill="F2F2F2" w:themeFill="background1" w:themeFillShade="F2"/>
            <w:hideMark/>
          </w:tcPr>
          <w:p w14:paraId="4E37682D" w14:textId="77777777" w:rsidR="00BA44C6" w:rsidRPr="000D33E4" w:rsidRDefault="00BA44C6" w:rsidP="009A7F2D">
            <w:pPr>
              <w:keepNext/>
              <w:spacing w:line="240" w:lineRule="auto"/>
              <w:jc w:val="center"/>
              <w:cnfStyle w:val="000000000000" w:firstRow="0" w:lastRow="0" w:firstColumn="0" w:lastColumn="0" w:oddVBand="0" w:evenVBand="0" w:oddHBand="0" w:evenHBand="0" w:firstRowFirstColumn="0" w:firstRowLastColumn="0" w:lastRowFirstColumn="0" w:lastRowLastColumn="0"/>
              <w:rPr>
                <w:rFonts w:ascii="Times" w:eastAsia="Calibri" w:hAnsi="Times"/>
                <w:sz w:val="18"/>
                <w:szCs w:val="18"/>
              </w:rPr>
            </w:pPr>
            <w:r w:rsidRPr="000D33E4">
              <w:rPr>
                <w:rFonts w:ascii="Times" w:eastAsia="Calibri" w:hAnsi="Times"/>
                <w:sz w:val="18"/>
                <w:szCs w:val="18"/>
              </w:rPr>
              <w:t>B-</w:t>
            </w:r>
          </w:p>
        </w:tc>
        <w:tc>
          <w:tcPr>
            <w:tcW w:w="884" w:type="pct"/>
            <w:shd w:val="clear" w:color="auto" w:fill="F2F2F2" w:themeFill="background1" w:themeFillShade="F2"/>
            <w:hideMark/>
          </w:tcPr>
          <w:p w14:paraId="3EA4753E" w14:textId="77777777" w:rsidR="00BA44C6" w:rsidRPr="000D33E4" w:rsidRDefault="00BA44C6" w:rsidP="009A7F2D">
            <w:pPr>
              <w:keepNext/>
              <w:spacing w:line="240" w:lineRule="auto"/>
              <w:jc w:val="center"/>
              <w:cnfStyle w:val="000000000000" w:firstRow="0" w:lastRow="0" w:firstColumn="0" w:lastColumn="0" w:oddVBand="0" w:evenVBand="0" w:oddHBand="0" w:evenHBand="0" w:firstRowFirstColumn="0" w:firstRowLastColumn="0" w:lastRowFirstColumn="0" w:lastRowLastColumn="0"/>
              <w:rPr>
                <w:rFonts w:ascii="Times" w:eastAsia="Calibri" w:hAnsi="Times"/>
                <w:sz w:val="18"/>
                <w:szCs w:val="18"/>
              </w:rPr>
            </w:pPr>
            <w:r w:rsidRPr="000D33E4">
              <w:rPr>
                <w:rFonts w:ascii="Times" w:eastAsia="Calibri" w:hAnsi="Times"/>
                <w:sz w:val="18"/>
                <w:szCs w:val="18"/>
              </w:rPr>
              <w:t>B3</w:t>
            </w:r>
          </w:p>
        </w:tc>
        <w:tc>
          <w:tcPr>
            <w:tcW w:w="967" w:type="pct"/>
            <w:shd w:val="clear" w:color="auto" w:fill="F2F2F2" w:themeFill="background1" w:themeFillShade="F2"/>
            <w:hideMark/>
          </w:tcPr>
          <w:p w14:paraId="46329EC5" w14:textId="77777777" w:rsidR="00BA44C6" w:rsidRPr="000D33E4" w:rsidRDefault="00BA44C6" w:rsidP="009A7F2D">
            <w:pPr>
              <w:keepNext/>
              <w:spacing w:line="240" w:lineRule="auto"/>
              <w:jc w:val="center"/>
              <w:cnfStyle w:val="000000000000" w:firstRow="0" w:lastRow="0" w:firstColumn="0" w:lastColumn="0" w:oddVBand="0" w:evenVBand="0" w:oddHBand="0" w:evenHBand="0" w:firstRowFirstColumn="0" w:firstRowLastColumn="0" w:lastRowFirstColumn="0" w:lastRowLastColumn="0"/>
              <w:rPr>
                <w:rFonts w:ascii="Times" w:eastAsia="Calibri" w:hAnsi="Times"/>
                <w:sz w:val="18"/>
                <w:szCs w:val="18"/>
              </w:rPr>
            </w:pPr>
            <w:r w:rsidRPr="000D33E4">
              <w:rPr>
                <w:rFonts w:ascii="Times" w:eastAsia="Calibri" w:hAnsi="Times"/>
                <w:sz w:val="18"/>
                <w:szCs w:val="18"/>
              </w:rPr>
              <w:t>B-</w:t>
            </w:r>
          </w:p>
        </w:tc>
        <w:tc>
          <w:tcPr>
            <w:tcW w:w="690" w:type="pct"/>
            <w:shd w:val="clear" w:color="auto" w:fill="F2F2F2" w:themeFill="background1" w:themeFillShade="F2"/>
            <w:hideMark/>
          </w:tcPr>
          <w:p w14:paraId="1F01BDD7" w14:textId="77777777" w:rsidR="00BA44C6" w:rsidRPr="000D33E4" w:rsidRDefault="00BA44C6" w:rsidP="009A7F2D">
            <w:pPr>
              <w:keepNext/>
              <w:spacing w:line="240" w:lineRule="auto"/>
              <w:jc w:val="center"/>
              <w:cnfStyle w:val="000000000000" w:firstRow="0" w:lastRow="0" w:firstColumn="0" w:lastColumn="0" w:oddVBand="0" w:evenVBand="0" w:oddHBand="0" w:evenHBand="0" w:firstRowFirstColumn="0" w:firstRowLastColumn="0" w:lastRowFirstColumn="0" w:lastRowLastColumn="0"/>
              <w:rPr>
                <w:rFonts w:ascii="Times" w:eastAsia="Calibri" w:hAnsi="Times"/>
                <w:sz w:val="18"/>
                <w:szCs w:val="18"/>
              </w:rPr>
            </w:pPr>
          </w:p>
        </w:tc>
      </w:tr>
      <w:tr w:rsidR="00BA44C6" w:rsidRPr="000D33E4" w14:paraId="1B0BB228" w14:textId="77777777" w:rsidTr="009A7F2D">
        <w:trPr>
          <w:gridAfter w:val="4"/>
          <w:wAfter w:w="3376" w:type="pct"/>
        </w:trPr>
        <w:tc>
          <w:tcPr>
            <w:cnfStyle w:val="001000000000" w:firstRow="0" w:lastRow="0" w:firstColumn="1" w:lastColumn="0" w:oddVBand="0" w:evenVBand="0" w:oddHBand="0" w:evenHBand="0" w:firstRowFirstColumn="0" w:firstRowLastColumn="0" w:lastRowFirstColumn="0" w:lastRowLastColumn="0"/>
            <w:tcW w:w="1624" w:type="pct"/>
            <w:hideMark/>
          </w:tcPr>
          <w:p w14:paraId="4BC68C93" w14:textId="77777777" w:rsidR="00BA44C6" w:rsidRPr="000D33E4" w:rsidRDefault="00BA44C6" w:rsidP="009A7F2D">
            <w:pPr>
              <w:keepNext/>
              <w:spacing w:line="240" w:lineRule="auto"/>
              <w:rPr>
                <w:rFonts w:ascii="Times" w:eastAsia="Calibri" w:hAnsi="Times"/>
                <w:b w:val="0"/>
                <w:sz w:val="18"/>
                <w:szCs w:val="18"/>
              </w:rPr>
            </w:pPr>
          </w:p>
        </w:tc>
      </w:tr>
      <w:tr w:rsidR="00BA44C6" w:rsidRPr="000D33E4" w14:paraId="634FB0BC" w14:textId="77777777" w:rsidTr="009A7F2D">
        <w:trPr>
          <w:gridAfter w:val="4"/>
          <w:wAfter w:w="3376" w:type="pct"/>
        </w:trPr>
        <w:tc>
          <w:tcPr>
            <w:cnfStyle w:val="001000000000" w:firstRow="0" w:lastRow="0" w:firstColumn="1" w:lastColumn="0" w:oddVBand="0" w:evenVBand="0" w:oddHBand="0" w:evenHBand="0" w:firstRowFirstColumn="0" w:firstRowLastColumn="0" w:lastRowFirstColumn="0" w:lastRowLastColumn="0"/>
            <w:tcW w:w="1624" w:type="pct"/>
            <w:hideMark/>
          </w:tcPr>
          <w:p w14:paraId="2ABE5856" w14:textId="77777777" w:rsidR="00BA44C6" w:rsidRPr="000D33E4" w:rsidRDefault="00BA44C6" w:rsidP="009A7F2D">
            <w:pPr>
              <w:keepNext/>
              <w:spacing w:line="240" w:lineRule="auto"/>
              <w:rPr>
                <w:rFonts w:ascii="Times" w:eastAsia="Calibri" w:hAnsi="Times"/>
                <w:b w:val="0"/>
                <w:sz w:val="18"/>
                <w:szCs w:val="18"/>
              </w:rPr>
            </w:pPr>
          </w:p>
        </w:tc>
      </w:tr>
    </w:tbl>
    <w:p w14:paraId="033BFFCE" w14:textId="77777777" w:rsidR="00BA44C6" w:rsidRPr="009A7F2D" w:rsidRDefault="00BA44C6" w:rsidP="009A7F2D">
      <w:pPr>
        <w:keepNext/>
        <w:spacing w:line="240" w:lineRule="auto"/>
        <w:jc w:val="left"/>
        <w:rPr>
          <w:rFonts w:ascii="Times" w:hAnsi="Times"/>
          <w:i/>
          <w:iCs/>
          <w:sz w:val="20"/>
          <w:szCs w:val="20"/>
        </w:rPr>
      </w:pPr>
      <w:r w:rsidRPr="009A7F2D">
        <w:rPr>
          <w:rFonts w:ascii="Times" w:hAnsi="Times"/>
          <w:i/>
          <w:iCs/>
          <w:sz w:val="20"/>
          <w:szCs w:val="20"/>
        </w:rPr>
        <w:t>Source:</w:t>
      </w:r>
      <w:r w:rsidR="00D37C78">
        <w:rPr>
          <w:rFonts w:ascii="Times" w:hAnsi="Times"/>
          <w:i/>
          <w:iCs/>
          <w:sz w:val="20"/>
          <w:szCs w:val="20"/>
        </w:rPr>
        <w:t xml:space="preserve"> </w:t>
      </w:r>
      <w:r w:rsidRPr="009A7F2D">
        <w:rPr>
          <w:rFonts w:ascii="Times" w:hAnsi="Times"/>
          <w:i/>
          <w:iCs/>
          <w:sz w:val="20"/>
          <w:szCs w:val="20"/>
        </w:rPr>
        <w:t>World Government Bonds, 2020</w:t>
      </w:r>
    </w:p>
    <w:p w14:paraId="2FD13DB4" w14:textId="77777777" w:rsidR="00BA44C6" w:rsidRPr="000D33E4" w:rsidRDefault="00B97D22" w:rsidP="009A7F2D">
      <w:pPr>
        <w:keepNext/>
        <w:spacing w:line="240" w:lineRule="auto"/>
        <w:rPr>
          <w:rFonts w:ascii="Times" w:hAnsi="Times"/>
          <w:b/>
          <w:bCs/>
        </w:rPr>
      </w:pPr>
      <w:r>
        <w:rPr>
          <w:rFonts w:ascii="Times" w:hAnsi="Times"/>
          <w:i/>
          <w:iCs/>
          <w:sz w:val="20"/>
          <w:szCs w:val="20"/>
        </w:rPr>
        <w:t>N</w:t>
      </w:r>
      <w:r w:rsidR="00BA44C6" w:rsidRPr="009A7F2D">
        <w:rPr>
          <w:rFonts w:ascii="Times" w:hAnsi="Times"/>
          <w:i/>
          <w:iCs/>
          <w:sz w:val="20"/>
          <w:szCs w:val="20"/>
        </w:rPr>
        <w:t>B:</w:t>
      </w:r>
      <w:r w:rsidR="002D39CB">
        <w:rPr>
          <w:rFonts w:ascii="Times" w:hAnsi="Times"/>
          <w:i/>
          <w:iCs/>
          <w:sz w:val="20"/>
          <w:szCs w:val="20"/>
        </w:rPr>
        <w:t xml:space="preserve"> </w:t>
      </w:r>
      <w:r w:rsidR="000D74C0">
        <w:rPr>
          <w:rFonts w:ascii="Times" w:hAnsi="Times"/>
          <w:i/>
          <w:iCs/>
          <w:sz w:val="20"/>
          <w:szCs w:val="20"/>
        </w:rPr>
        <w:t>* represents</w:t>
      </w:r>
      <w:r w:rsidR="00BA44C6" w:rsidRPr="009A7F2D">
        <w:rPr>
          <w:rFonts w:ascii="Times" w:hAnsi="Times"/>
          <w:i/>
          <w:iCs/>
          <w:sz w:val="20"/>
          <w:szCs w:val="20"/>
        </w:rPr>
        <w:t xml:space="preserve"> South Africa</w:t>
      </w:r>
      <w:r w:rsidR="00BA4686" w:rsidRPr="009A7F2D">
        <w:rPr>
          <w:rFonts w:ascii="Times" w:hAnsi="Times"/>
          <w:i/>
          <w:iCs/>
          <w:sz w:val="20"/>
          <w:szCs w:val="20"/>
        </w:rPr>
        <w:t>’s</w:t>
      </w:r>
      <w:r w:rsidR="00BA44C6" w:rsidRPr="009A7F2D">
        <w:rPr>
          <w:rFonts w:ascii="Times" w:hAnsi="Times"/>
          <w:i/>
          <w:iCs/>
          <w:sz w:val="20"/>
          <w:szCs w:val="20"/>
        </w:rPr>
        <w:t xml:space="preserve"> credit rating</w:t>
      </w:r>
      <w:r w:rsidR="002D39CB">
        <w:rPr>
          <w:rFonts w:ascii="Times" w:hAnsi="Times"/>
          <w:b/>
          <w:bCs/>
          <w:sz w:val="20"/>
          <w:szCs w:val="20"/>
        </w:rPr>
        <w:t xml:space="preserve"> </w:t>
      </w:r>
      <w:r w:rsidR="00BA44C6" w:rsidRPr="000D33E4">
        <w:rPr>
          <w:rFonts w:ascii="Times" w:hAnsi="Times"/>
          <w:b/>
          <w:bCs/>
        </w:rPr>
        <w:t xml:space="preserve"> </w:t>
      </w:r>
    </w:p>
    <w:p w14:paraId="09390141" w14:textId="77777777" w:rsidR="00BA44C6" w:rsidRPr="000D33E4" w:rsidRDefault="00BA44C6" w:rsidP="00471832">
      <w:pPr>
        <w:rPr>
          <w:rFonts w:ascii="Times" w:hAnsi="Times"/>
        </w:rPr>
      </w:pPr>
    </w:p>
    <w:p w14:paraId="6AF1E371" w14:textId="77777777" w:rsidR="00BA44C6" w:rsidRPr="00471832" w:rsidRDefault="00BA44C6" w:rsidP="00382145">
      <w:pPr>
        <w:pStyle w:val="Heading2"/>
      </w:pPr>
      <w:bookmarkStart w:id="23" w:name="_Toc32331486"/>
      <w:bookmarkStart w:id="24" w:name="_Toc42211908"/>
      <w:r w:rsidRPr="00471832">
        <w:t>Government debt and liabilities</w:t>
      </w:r>
      <w:bookmarkEnd w:id="23"/>
      <w:bookmarkEnd w:id="24"/>
    </w:p>
    <w:p w14:paraId="5CAF552B" w14:textId="77777777" w:rsidR="000C75FC" w:rsidRPr="000D33E4" w:rsidRDefault="000C75FC" w:rsidP="00471832">
      <w:pPr>
        <w:rPr>
          <w:rFonts w:ascii="Times" w:hAnsi="Times"/>
        </w:rPr>
      </w:pPr>
    </w:p>
    <w:p w14:paraId="4D633AD9" w14:textId="0BA87DC0" w:rsidR="00BA44C6" w:rsidRDefault="00BA44C6" w:rsidP="009A7F2D">
      <w:pPr>
        <w:rPr>
          <w:rFonts w:ascii="Times" w:hAnsi="Times"/>
          <w:i/>
          <w:iCs/>
          <w:sz w:val="22"/>
        </w:rPr>
      </w:pPr>
      <w:r w:rsidRPr="0028060E">
        <w:t>South Africa’s fiscal position remains dire. The fiscal trajectory is unsustainable. The tax base is faltering, unproductive spending is rising, a</w:t>
      </w:r>
      <w:r w:rsidR="006960B9" w:rsidRPr="0028060E">
        <w:t xml:space="preserve">nd taxable income is </w:t>
      </w:r>
      <w:r w:rsidR="0044169C">
        <w:t>diminishing.</w:t>
      </w:r>
      <w:r w:rsidRPr="0028060E">
        <w:t xml:space="preserve"> The situation will be exacerbated further by increasing borrowing costs. The fiscal deficit has widened to its largest point since </w:t>
      </w:r>
      <w:r w:rsidR="00986F01" w:rsidRPr="0028060E">
        <w:t xml:space="preserve">the </w:t>
      </w:r>
      <w:r w:rsidRPr="0028060E">
        <w:t>1990s. This has left South Africa with no fiscal space</w:t>
      </w:r>
      <w:r w:rsidR="00E91B1A">
        <w:t xml:space="preserve"> to spare</w:t>
      </w:r>
      <w:r w:rsidRPr="0028060E">
        <w:t xml:space="preserve">. Some of the key drivers of the fiscal deficit relate to weaknesses in public enterprises that are weighing on the fiscus through bailouts or administrative interventions. There are </w:t>
      </w:r>
      <w:bookmarkStart w:id="25" w:name="_Hlk40701857"/>
      <w:r w:rsidRPr="0028060E">
        <w:t xml:space="preserve">massive differences to deficit projection in the 2019 Budget, 2019 MTBPS and 2020 Budget </w:t>
      </w:r>
      <w:bookmarkEnd w:id="25"/>
      <w:r w:rsidR="00986F01" w:rsidRPr="0028060E">
        <w:t>as shown in</w:t>
      </w:r>
      <w:r w:rsidR="00253108">
        <w:rPr>
          <w:b/>
          <w:bCs/>
        </w:rPr>
        <w:t xml:space="preserve"> </w:t>
      </w:r>
      <w:r w:rsidR="00253108" w:rsidRPr="00E91B1A">
        <w:rPr>
          <w:b/>
          <w:bCs/>
          <w:color w:val="000000" w:themeColor="text1"/>
        </w:rPr>
        <w:fldChar w:fldCharType="begin"/>
      </w:r>
      <w:r w:rsidR="00253108" w:rsidRPr="00E91B1A">
        <w:rPr>
          <w:b/>
          <w:bCs/>
          <w:color w:val="000000" w:themeColor="text1"/>
        </w:rPr>
        <w:instrText xml:space="preserve"> REF _Ref40876889 \h </w:instrText>
      </w:r>
      <w:r w:rsidR="00E45380" w:rsidRPr="00E91B1A">
        <w:rPr>
          <w:b/>
          <w:bCs/>
          <w:color w:val="000000" w:themeColor="text1"/>
        </w:rPr>
        <w:instrText xml:space="preserve"> \* MERGEFORMAT </w:instrText>
      </w:r>
      <w:r w:rsidR="00253108" w:rsidRPr="00E91B1A">
        <w:rPr>
          <w:b/>
          <w:bCs/>
          <w:color w:val="000000" w:themeColor="text1"/>
        </w:rPr>
      </w:r>
      <w:r w:rsidR="00253108" w:rsidRPr="00E91B1A">
        <w:rPr>
          <w:b/>
          <w:bCs/>
          <w:color w:val="000000" w:themeColor="text1"/>
        </w:rPr>
        <w:fldChar w:fldCharType="separate"/>
      </w:r>
      <w:r w:rsidR="00253108" w:rsidRPr="00E91B1A">
        <w:rPr>
          <w:rFonts w:ascii="Times" w:hAnsi="Times"/>
          <w:color w:val="000000" w:themeColor="text1"/>
        </w:rPr>
        <w:t xml:space="preserve">Figure </w:t>
      </w:r>
      <w:r w:rsidR="00253108" w:rsidRPr="00E91B1A">
        <w:rPr>
          <w:rFonts w:ascii="Times" w:hAnsi="Times"/>
          <w:noProof/>
          <w:color w:val="000000" w:themeColor="text1"/>
        </w:rPr>
        <w:t>4</w:t>
      </w:r>
      <w:r w:rsidR="00253108" w:rsidRPr="00E91B1A">
        <w:rPr>
          <w:b/>
          <w:bCs/>
          <w:color w:val="000000" w:themeColor="text1"/>
        </w:rPr>
        <w:fldChar w:fldCharType="end"/>
      </w:r>
      <w:r w:rsidRPr="0028060E">
        <w:t xml:space="preserve">. This demonstrates a substantial deterioration in fiscal metrics. This fiscal slippage has impacted negatively on South Africa’s sovereign credit rating and resulted in severe economic consequences as detailed above. </w:t>
      </w:r>
    </w:p>
    <w:p w14:paraId="72D563B5" w14:textId="77777777" w:rsidR="00B97D22" w:rsidRPr="009A7F2D" w:rsidRDefault="00B97D22" w:rsidP="009A7F2D"/>
    <w:p w14:paraId="7F5EFE87" w14:textId="3C644477" w:rsidR="00986F01" w:rsidRPr="00E91B1A" w:rsidRDefault="00986F01" w:rsidP="00232BC6">
      <w:pPr>
        <w:pStyle w:val="Caption"/>
        <w:keepNext/>
        <w:spacing w:after="60"/>
        <w:rPr>
          <w:rFonts w:ascii="Times" w:hAnsi="Times"/>
        </w:rPr>
      </w:pPr>
      <w:bookmarkStart w:id="26" w:name="_Ref40876889"/>
      <w:bookmarkStart w:id="27" w:name="_Toc40897042"/>
      <w:bookmarkStart w:id="28" w:name="_Toc42211436"/>
      <w:r w:rsidRPr="00232BC6">
        <w:rPr>
          <w:rFonts w:ascii="Times" w:hAnsi="Times"/>
          <w:color w:val="004C45" w:themeColor="text2"/>
          <w:sz w:val="24"/>
          <w:szCs w:val="24"/>
        </w:rPr>
        <w:t xml:space="preserve">Figure </w:t>
      </w:r>
      <w:r w:rsidRPr="00232BC6">
        <w:rPr>
          <w:rFonts w:ascii="Times" w:hAnsi="Times"/>
          <w:color w:val="004C45" w:themeColor="text2"/>
          <w:sz w:val="24"/>
          <w:szCs w:val="24"/>
        </w:rPr>
        <w:fldChar w:fldCharType="begin"/>
      </w:r>
      <w:r w:rsidRPr="00232BC6">
        <w:rPr>
          <w:rFonts w:ascii="Times" w:hAnsi="Times"/>
          <w:color w:val="004C45" w:themeColor="text2"/>
          <w:sz w:val="24"/>
          <w:szCs w:val="24"/>
        </w:rPr>
        <w:instrText xml:space="preserve"> SEQ Figure \* ARABIC </w:instrText>
      </w:r>
      <w:r w:rsidRPr="00232BC6">
        <w:rPr>
          <w:rFonts w:ascii="Times" w:hAnsi="Times"/>
          <w:color w:val="004C45" w:themeColor="text2"/>
          <w:sz w:val="24"/>
          <w:szCs w:val="24"/>
        </w:rPr>
        <w:fldChar w:fldCharType="separate"/>
      </w:r>
      <w:r w:rsidR="00835259">
        <w:rPr>
          <w:rFonts w:ascii="Times" w:hAnsi="Times"/>
          <w:noProof/>
          <w:color w:val="004C45" w:themeColor="text2"/>
          <w:sz w:val="24"/>
          <w:szCs w:val="24"/>
        </w:rPr>
        <w:t>4</w:t>
      </w:r>
      <w:r w:rsidRPr="00232BC6">
        <w:rPr>
          <w:rFonts w:ascii="Times" w:hAnsi="Times"/>
          <w:color w:val="004C45" w:themeColor="text2"/>
          <w:sz w:val="24"/>
          <w:szCs w:val="24"/>
        </w:rPr>
        <w:fldChar w:fldCharType="end"/>
      </w:r>
      <w:bookmarkEnd w:id="26"/>
      <w:r w:rsidR="00B97D22" w:rsidRPr="00232BC6">
        <w:rPr>
          <w:rFonts w:ascii="Times" w:hAnsi="Times"/>
          <w:color w:val="004C45" w:themeColor="text2"/>
          <w:sz w:val="24"/>
          <w:szCs w:val="24"/>
        </w:rPr>
        <w:t>:</w:t>
      </w:r>
      <w:r w:rsidRPr="00232BC6">
        <w:rPr>
          <w:rFonts w:ascii="Times" w:hAnsi="Times"/>
          <w:i/>
          <w:iCs/>
          <w:color w:val="004C45" w:themeColor="text2"/>
          <w:sz w:val="24"/>
          <w:szCs w:val="24"/>
        </w:rPr>
        <w:t xml:space="preserve"> </w:t>
      </w:r>
      <w:r w:rsidRPr="00E91B1A">
        <w:rPr>
          <w:rFonts w:ascii="Times" w:hAnsi="Times"/>
          <w:color w:val="004C45" w:themeColor="text2"/>
          <w:sz w:val="24"/>
          <w:szCs w:val="24"/>
        </w:rPr>
        <w:t>South Africa budget deficits as a percentage of GDP projections, 2018/19-2022/23</w:t>
      </w:r>
      <w:bookmarkEnd w:id="27"/>
      <w:bookmarkEnd w:id="28"/>
    </w:p>
    <w:p w14:paraId="7A5770E8" w14:textId="77777777" w:rsidR="00B97D22" w:rsidRDefault="00BA44C6" w:rsidP="00232BC6">
      <w:pPr>
        <w:keepNext/>
        <w:jc w:val="left"/>
        <w:rPr>
          <w:rFonts w:ascii="Times" w:hAnsi="Times"/>
        </w:rPr>
      </w:pPr>
      <w:r w:rsidRPr="009A7F2D">
        <w:rPr>
          <w:rFonts w:ascii="Times" w:hAnsi="Times"/>
          <w:noProof/>
          <w:shd w:val="clear" w:color="auto" w:fill="9BBB59" w:themeFill="accent3"/>
          <w:lang w:eastAsia="en-ZA"/>
        </w:rPr>
        <w:drawing>
          <wp:inline distT="0" distB="0" distL="0" distR="0" wp14:anchorId="05D31C83" wp14:editId="53F405D9">
            <wp:extent cx="6129020" cy="2537460"/>
            <wp:effectExtent l="0" t="0" r="17780" b="15240"/>
            <wp:docPr id="8" name="Chart 8">
              <a:extLst xmlns:a="http://schemas.openxmlformats.org/drawingml/2006/main">
                <a:ext uri="{FF2B5EF4-FFF2-40B4-BE49-F238E27FC236}">
                  <a16:creationId xmlns:a16="http://schemas.microsoft.com/office/drawing/2014/main" id="{A25163C2-2043-45C8-9F16-94AE57756EB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07937BD5" w14:textId="77777777" w:rsidR="00BA44C6" w:rsidRPr="000D33E4" w:rsidRDefault="00B97D22" w:rsidP="00232BC6">
      <w:pPr>
        <w:keepNext/>
        <w:jc w:val="left"/>
        <w:rPr>
          <w:rFonts w:ascii="Times" w:hAnsi="Times"/>
        </w:rPr>
      </w:pPr>
      <w:r w:rsidRPr="009A7F2D">
        <w:rPr>
          <w:rFonts w:ascii="Times" w:hAnsi="Times"/>
          <w:i/>
          <w:iCs/>
          <w:sz w:val="20"/>
          <w:szCs w:val="20"/>
        </w:rPr>
        <w:t xml:space="preserve">Source: </w:t>
      </w:r>
      <w:r w:rsidR="00BA44C6" w:rsidRPr="009A7F2D">
        <w:rPr>
          <w:rFonts w:ascii="Times" w:hAnsi="Times"/>
          <w:i/>
          <w:iCs/>
          <w:sz w:val="20"/>
          <w:szCs w:val="20"/>
        </w:rPr>
        <w:t>National Treasury, 2019</w:t>
      </w:r>
      <w:r>
        <w:rPr>
          <w:rFonts w:ascii="Times" w:hAnsi="Times"/>
          <w:i/>
          <w:iCs/>
          <w:sz w:val="20"/>
          <w:szCs w:val="20"/>
        </w:rPr>
        <w:t xml:space="preserve"> and </w:t>
      </w:r>
      <w:r w:rsidR="00BA44C6" w:rsidRPr="009A7F2D">
        <w:rPr>
          <w:rFonts w:ascii="Times" w:hAnsi="Times"/>
          <w:i/>
          <w:iCs/>
          <w:sz w:val="20"/>
          <w:szCs w:val="20"/>
        </w:rPr>
        <w:t>2020</w:t>
      </w:r>
    </w:p>
    <w:p w14:paraId="40023E1F" w14:textId="77777777" w:rsidR="00B013FE" w:rsidRPr="000D33E4" w:rsidRDefault="00B013FE" w:rsidP="00B013FE">
      <w:pPr>
        <w:ind w:left="2268"/>
        <w:rPr>
          <w:rFonts w:ascii="Times" w:hAnsi="Times"/>
        </w:rPr>
      </w:pPr>
    </w:p>
    <w:p w14:paraId="3115F764" w14:textId="41418547" w:rsidR="00B013FE" w:rsidRDefault="00BA44C6" w:rsidP="00B013FE">
      <w:pPr>
        <w:rPr>
          <w:szCs w:val="24"/>
        </w:rPr>
      </w:pPr>
      <w:r w:rsidRPr="00471832">
        <w:rPr>
          <w:szCs w:val="24"/>
        </w:rPr>
        <w:t xml:space="preserve">As </w:t>
      </w:r>
      <w:r w:rsidR="00E679CF">
        <w:rPr>
          <w:szCs w:val="24"/>
        </w:rPr>
        <w:t>previously</w:t>
      </w:r>
      <w:r w:rsidR="00E679CF" w:rsidRPr="00471832">
        <w:rPr>
          <w:szCs w:val="24"/>
        </w:rPr>
        <w:t xml:space="preserve"> </w:t>
      </w:r>
      <w:r w:rsidRPr="00471832">
        <w:rPr>
          <w:szCs w:val="24"/>
        </w:rPr>
        <w:t xml:space="preserve">stated, the </w:t>
      </w:r>
      <w:r w:rsidR="008B0F56" w:rsidRPr="00471832">
        <w:rPr>
          <w:szCs w:val="24"/>
        </w:rPr>
        <w:t>Covid</w:t>
      </w:r>
      <w:r w:rsidRPr="00471832">
        <w:rPr>
          <w:szCs w:val="24"/>
        </w:rPr>
        <w:t xml:space="preserve">-19 pandemic is expected to have a significant negative impact on South Africa’s economic growth. </w:t>
      </w:r>
      <w:r w:rsidR="00A51D7C">
        <w:rPr>
          <w:szCs w:val="24"/>
        </w:rPr>
        <w:t>G</w:t>
      </w:r>
      <w:r w:rsidRPr="00471832">
        <w:rPr>
          <w:szCs w:val="24"/>
        </w:rPr>
        <w:t>overnment tax revenues will also fall as a result of deceleration in economic activity and trade. Spending on health and support to households</w:t>
      </w:r>
      <w:r w:rsidR="00A51D7C">
        <w:rPr>
          <w:szCs w:val="24"/>
        </w:rPr>
        <w:t xml:space="preserve"> and</w:t>
      </w:r>
      <w:r w:rsidRPr="00471832">
        <w:rPr>
          <w:szCs w:val="24"/>
        </w:rPr>
        <w:t xml:space="preserve"> businesses is increasing to lessen the health and economic impacts of </w:t>
      </w:r>
      <w:r w:rsidR="008B0F56" w:rsidRPr="00471832">
        <w:rPr>
          <w:szCs w:val="24"/>
        </w:rPr>
        <w:t>Covid</w:t>
      </w:r>
      <w:r w:rsidRPr="00471832">
        <w:rPr>
          <w:szCs w:val="24"/>
        </w:rPr>
        <w:t>-19. The fiscal position in 2020, therefore, is set to become significantly more expansionary. The overall fiscal deficit is estimated to widen. Whereas the 2020 Budget projected the fiscal deficit to widen from -4.2 per</w:t>
      </w:r>
      <w:r w:rsidR="00A51D7C">
        <w:rPr>
          <w:szCs w:val="24"/>
        </w:rPr>
        <w:t xml:space="preserve"> </w:t>
      </w:r>
      <w:r w:rsidRPr="00471832">
        <w:rPr>
          <w:szCs w:val="24"/>
        </w:rPr>
        <w:t xml:space="preserve">cent </w:t>
      </w:r>
      <w:bookmarkStart w:id="29" w:name="_Hlk40702704"/>
      <w:r w:rsidRPr="00471832">
        <w:rPr>
          <w:szCs w:val="24"/>
        </w:rPr>
        <w:t xml:space="preserve">of GDP </w:t>
      </w:r>
      <w:bookmarkEnd w:id="29"/>
      <w:r w:rsidRPr="00471832">
        <w:rPr>
          <w:szCs w:val="24"/>
        </w:rPr>
        <w:t>in 2018 to -6.8 per</w:t>
      </w:r>
      <w:r w:rsidR="00A51D7C">
        <w:rPr>
          <w:szCs w:val="24"/>
        </w:rPr>
        <w:t xml:space="preserve"> </w:t>
      </w:r>
      <w:r w:rsidRPr="00471832">
        <w:rPr>
          <w:szCs w:val="24"/>
        </w:rPr>
        <w:t>cent of GDP in 2020 before marginally narrowing to -6.2 per</w:t>
      </w:r>
      <w:r w:rsidR="00A51D7C">
        <w:rPr>
          <w:szCs w:val="24"/>
        </w:rPr>
        <w:t xml:space="preserve"> </w:t>
      </w:r>
      <w:r w:rsidRPr="00471832">
        <w:rPr>
          <w:szCs w:val="24"/>
        </w:rPr>
        <w:t xml:space="preserve">cent of GDP in 2021, the IMF projects that because of the </w:t>
      </w:r>
      <w:r w:rsidR="008B0F56" w:rsidRPr="00471832">
        <w:rPr>
          <w:szCs w:val="24"/>
        </w:rPr>
        <w:t>Covid</w:t>
      </w:r>
      <w:r w:rsidRPr="00471832">
        <w:rPr>
          <w:szCs w:val="24"/>
        </w:rPr>
        <w:t>-19 pandemic, the fiscal deficit will widen from -4.1 per</w:t>
      </w:r>
      <w:r w:rsidR="00A51D7C">
        <w:rPr>
          <w:szCs w:val="24"/>
        </w:rPr>
        <w:t xml:space="preserve"> </w:t>
      </w:r>
      <w:r w:rsidRPr="00471832">
        <w:rPr>
          <w:szCs w:val="24"/>
        </w:rPr>
        <w:t>cent of GDP in 2018 to -13.3 per</w:t>
      </w:r>
      <w:r w:rsidR="00A51D7C">
        <w:rPr>
          <w:szCs w:val="24"/>
        </w:rPr>
        <w:t xml:space="preserve"> </w:t>
      </w:r>
      <w:r w:rsidRPr="00471832">
        <w:rPr>
          <w:szCs w:val="24"/>
        </w:rPr>
        <w:t>cent of GDP in 2020 before recovering to -12.7 per</w:t>
      </w:r>
      <w:r w:rsidR="00A51D7C">
        <w:rPr>
          <w:szCs w:val="24"/>
        </w:rPr>
        <w:t xml:space="preserve"> </w:t>
      </w:r>
      <w:r w:rsidRPr="00471832">
        <w:rPr>
          <w:szCs w:val="24"/>
        </w:rPr>
        <w:t xml:space="preserve">cent of GDP in 2021 </w:t>
      </w:r>
      <w:r w:rsidR="00A51D7C" w:rsidRPr="009A7F2D">
        <w:rPr>
          <w:rFonts w:ascii="Times" w:hAnsi="Times"/>
          <w:szCs w:val="24"/>
        </w:rPr>
        <w:t>(</w:t>
      </w:r>
      <w:r w:rsidR="00A51D7C" w:rsidRPr="009A7F2D">
        <w:rPr>
          <w:rFonts w:ascii="Times" w:hAnsi="Times"/>
          <w:szCs w:val="24"/>
        </w:rPr>
        <w:fldChar w:fldCharType="begin"/>
      </w:r>
      <w:r w:rsidR="00A51D7C" w:rsidRPr="009A7F2D">
        <w:rPr>
          <w:rFonts w:ascii="Times" w:hAnsi="Times"/>
          <w:szCs w:val="24"/>
        </w:rPr>
        <w:instrText xml:space="preserve"> REF _Ref40877321 \h </w:instrText>
      </w:r>
      <w:r w:rsidR="00A51D7C" w:rsidRPr="00A51D7C">
        <w:rPr>
          <w:rFonts w:ascii="Times" w:hAnsi="Times"/>
          <w:szCs w:val="24"/>
        </w:rPr>
        <w:instrText xml:space="preserve"> \* MERGEFORMAT </w:instrText>
      </w:r>
      <w:r w:rsidR="00A51D7C" w:rsidRPr="009A7F2D">
        <w:rPr>
          <w:rFonts w:ascii="Times" w:hAnsi="Times"/>
          <w:szCs w:val="24"/>
        </w:rPr>
      </w:r>
      <w:r w:rsidR="00A51D7C" w:rsidRPr="009A7F2D">
        <w:rPr>
          <w:rFonts w:ascii="Times" w:hAnsi="Times"/>
          <w:szCs w:val="24"/>
        </w:rPr>
        <w:fldChar w:fldCharType="separate"/>
      </w:r>
      <w:r w:rsidR="00A51D7C" w:rsidRPr="00471832">
        <w:rPr>
          <w:rFonts w:ascii="Times" w:hAnsi="Times"/>
          <w:szCs w:val="24"/>
        </w:rPr>
        <w:t xml:space="preserve">Figure </w:t>
      </w:r>
      <w:r w:rsidR="00A51D7C" w:rsidRPr="00471832">
        <w:rPr>
          <w:rFonts w:ascii="Times" w:hAnsi="Times"/>
          <w:noProof/>
          <w:szCs w:val="24"/>
        </w:rPr>
        <w:t>5</w:t>
      </w:r>
      <w:r w:rsidR="00A51D7C" w:rsidRPr="009A7F2D">
        <w:rPr>
          <w:rFonts w:ascii="Times" w:hAnsi="Times"/>
          <w:szCs w:val="24"/>
        </w:rPr>
        <w:fldChar w:fldCharType="end"/>
      </w:r>
      <w:r w:rsidR="00A51D7C" w:rsidRPr="009A7F2D">
        <w:rPr>
          <w:rFonts w:ascii="Times" w:hAnsi="Times"/>
          <w:szCs w:val="24"/>
        </w:rPr>
        <w:t>)</w:t>
      </w:r>
      <w:r w:rsidR="00E90245">
        <w:rPr>
          <w:rFonts w:ascii="Times" w:hAnsi="Times"/>
          <w:szCs w:val="24"/>
        </w:rPr>
        <w:t>.</w:t>
      </w:r>
      <w:r w:rsidRPr="00471832">
        <w:rPr>
          <w:szCs w:val="24"/>
        </w:rPr>
        <w:t xml:space="preserve"> </w:t>
      </w:r>
    </w:p>
    <w:p w14:paraId="32C07FC9" w14:textId="77777777" w:rsidR="00E90245" w:rsidRPr="000D33E4" w:rsidRDefault="00E90245" w:rsidP="00B013FE">
      <w:pPr>
        <w:rPr>
          <w:rFonts w:ascii="Times" w:hAnsi="Times"/>
        </w:rPr>
      </w:pPr>
    </w:p>
    <w:p w14:paraId="1DF30E4D" w14:textId="21A8FB36" w:rsidR="00BA44C6" w:rsidRPr="009A7F2D" w:rsidRDefault="00BA44C6" w:rsidP="009A7F2D">
      <w:pPr>
        <w:pStyle w:val="Caption"/>
        <w:keepNext/>
        <w:spacing w:after="60"/>
        <w:rPr>
          <w:rFonts w:ascii="Times" w:hAnsi="Times"/>
          <w:color w:val="004C45" w:themeColor="text2"/>
          <w:sz w:val="24"/>
          <w:szCs w:val="24"/>
        </w:rPr>
      </w:pPr>
      <w:bookmarkStart w:id="30" w:name="_Ref40877321"/>
      <w:bookmarkStart w:id="31" w:name="_Toc40897043"/>
      <w:bookmarkStart w:id="32" w:name="_Toc42211437"/>
      <w:r w:rsidRPr="009A7F2D">
        <w:rPr>
          <w:rFonts w:ascii="Times" w:hAnsi="Times"/>
          <w:color w:val="004C45" w:themeColor="text2"/>
          <w:sz w:val="24"/>
          <w:szCs w:val="24"/>
        </w:rPr>
        <w:t xml:space="preserve">Figure </w:t>
      </w:r>
      <w:r w:rsidRPr="009A7F2D">
        <w:rPr>
          <w:rFonts w:ascii="Times" w:hAnsi="Times"/>
          <w:color w:val="004C45" w:themeColor="text2"/>
          <w:sz w:val="24"/>
          <w:szCs w:val="24"/>
        </w:rPr>
        <w:fldChar w:fldCharType="begin"/>
      </w:r>
      <w:r w:rsidRPr="009A7F2D">
        <w:rPr>
          <w:rFonts w:ascii="Times" w:hAnsi="Times"/>
          <w:color w:val="004C45" w:themeColor="text2"/>
          <w:sz w:val="24"/>
          <w:szCs w:val="24"/>
        </w:rPr>
        <w:instrText xml:space="preserve"> SEQ Figure \* ARABIC </w:instrText>
      </w:r>
      <w:r w:rsidRPr="009A7F2D">
        <w:rPr>
          <w:rFonts w:ascii="Times" w:hAnsi="Times"/>
          <w:color w:val="004C45" w:themeColor="text2"/>
          <w:sz w:val="24"/>
          <w:szCs w:val="24"/>
        </w:rPr>
        <w:fldChar w:fldCharType="separate"/>
      </w:r>
      <w:r w:rsidR="00835259">
        <w:rPr>
          <w:rFonts w:ascii="Times" w:hAnsi="Times"/>
          <w:noProof/>
          <w:color w:val="004C45" w:themeColor="text2"/>
          <w:sz w:val="24"/>
          <w:szCs w:val="24"/>
        </w:rPr>
        <w:t>5</w:t>
      </w:r>
      <w:r w:rsidRPr="009A7F2D">
        <w:rPr>
          <w:rFonts w:ascii="Times" w:hAnsi="Times"/>
          <w:color w:val="004C45" w:themeColor="text2"/>
          <w:sz w:val="24"/>
          <w:szCs w:val="24"/>
        </w:rPr>
        <w:fldChar w:fldCharType="end"/>
      </w:r>
      <w:bookmarkEnd w:id="30"/>
      <w:r w:rsidRPr="009A7F2D">
        <w:rPr>
          <w:rFonts w:ascii="Times" w:hAnsi="Times"/>
          <w:color w:val="004C45" w:themeColor="text2"/>
          <w:sz w:val="24"/>
          <w:szCs w:val="24"/>
        </w:rPr>
        <w:t>: Budget deficit as percentage of GDP, 2018-2021</w:t>
      </w:r>
      <w:bookmarkEnd w:id="31"/>
      <w:bookmarkEnd w:id="32"/>
    </w:p>
    <w:p w14:paraId="10785001" w14:textId="77777777" w:rsidR="00A51D7C" w:rsidRDefault="00BA44C6" w:rsidP="00A51D7C">
      <w:pPr>
        <w:keepNext/>
        <w:rPr>
          <w:rFonts w:ascii="Times" w:hAnsi="Times"/>
        </w:rPr>
      </w:pPr>
      <w:r w:rsidRPr="000D33E4">
        <w:rPr>
          <w:rFonts w:ascii="Times" w:hAnsi="Times"/>
          <w:noProof/>
          <w:lang w:eastAsia="en-ZA"/>
        </w:rPr>
        <w:drawing>
          <wp:inline distT="0" distB="0" distL="0" distR="0" wp14:anchorId="135DCBEC" wp14:editId="1064D6A8">
            <wp:extent cx="6118225" cy="2286000"/>
            <wp:effectExtent l="0" t="0" r="15875" b="0"/>
            <wp:docPr id="14" name="Chart 14">
              <a:extLst xmlns:a="http://schemas.openxmlformats.org/drawingml/2006/main">
                <a:ext uri="{FF2B5EF4-FFF2-40B4-BE49-F238E27FC236}">
                  <a16:creationId xmlns:a16="http://schemas.microsoft.com/office/drawing/2014/main" id="{74E920AE-9AAD-4200-A150-A2D4B5E20F1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72A1FA65" w14:textId="77777777" w:rsidR="00BA4686" w:rsidRPr="009A7F2D" w:rsidRDefault="00BA44C6" w:rsidP="009A7F2D">
      <w:pPr>
        <w:keepNext/>
        <w:rPr>
          <w:rFonts w:ascii="Times" w:hAnsi="Times"/>
          <w:i/>
          <w:iCs/>
          <w:sz w:val="20"/>
          <w:szCs w:val="20"/>
        </w:rPr>
      </w:pPr>
      <w:r w:rsidRPr="009A7F2D">
        <w:rPr>
          <w:rFonts w:ascii="Times" w:hAnsi="Times"/>
          <w:i/>
          <w:iCs/>
          <w:sz w:val="20"/>
          <w:szCs w:val="20"/>
        </w:rPr>
        <w:t>Source: National Treasury, 2020; IMF, 2020</w:t>
      </w:r>
    </w:p>
    <w:p w14:paraId="4B0FF232" w14:textId="77777777" w:rsidR="00B013FE" w:rsidRPr="000D33E4" w:rsidRDefault="00B013FE" w:rsidP="00B013FE">
      <w:pPr>
        <w:rPr>
          <w:rFonts w:ascii="Times" w:hAnsi="Times"/>
          <w:b/>
          <w:bCs/>
        </w:rPr>
      </w:pPr>
    </w:p>
    <w:p w14:paraId="3DCB4B98" w14:textId="17F59221" w:rsidR="00BA44C6" w:rsidRPr="00471832" w:rsidRDefault="00BA44C6" w:rsidP="009A7F2D">
      <w:pPr>
        <w:rPr>
          <w:szCs w:val="24"/>
        </w:rPr>
      </w:pPr>
      <w:r w:rsidRPr="00471832">
        <w:rPr>
          <w:szCs w:val="24"/>
        </w:rPr>
        <w:t>Government debt trajectory has worsened as a result of sustained weakening in the growth outlook and the materiali</w:t>
      </w:r>
      <w:r w:rsidR="00471832">
        <w:rPr>
          <w:szCs w:val="24"/>
        </w:rPr>
        <w:t>s</w:t>
      </w:r>
      <w:r w:rsidRPr="00471832">
        <w:rPr>
          <w:szCs w:val="24"/>
        </w:rPr>
        <w:t>ation of contingent liabilities from SOEs. Government debt is expected to increase by R869 billion over the medium term</w:t>
      </w:r>
      <w:r w:rsidR="00471832">
        <w:rPr>
          <w:szCs w:val="24"/>
        </w:rPr>
        <w:t xml:space="preserve"> </w:t>
      </w:r>
      <w:r w:rsidRPr="00471832">
        <w:rPr>
          <w:szCs w:val="24"/>
        </w:rPr>
        <w:t>to R4.38 trillion, or 71.6 per cent of GDP, by 2022/23. Net debt will reach 67.8 per cent of GDP over the same period. Contingent liabilities are expected to increase from R879.6 billion in 2018/19 to R1.02 trillion by 2021/22. Almost 80 per</w:t>
      </w:r>
      <w:r w:rsidR="00471832">
        <w:rPr>
          <w:szCs w:val="24"/>
        </w:rPr>
        <w:t xml:space="preserve"> </w:t>
      </w:r>
      <w:r w:rsidRPr="00471832">
        <w:rPr>
          <w:szCs w:val="24"/>
        </w:rPr>
        <w:t xml:space="preserve">cent of the increase in contingent liabilities results from SOE loan guarantees, necessitated by their </w:t>
      </w:r>
      <w:r w:rsidR="00A65CAC">
        <w:rPr>
          <w:szCs w:val="24"/>
        </w:rPr>
        <w:t>persistent</w:t>
      </w:r>
      <w:r w:rsidR="00A65CAC" w:rsidRPr="00471832">
        <w:rPr>
          <w:szCs w:val="24"/>
        </w:rPr>
        <w:t xml:space="preserve"> </w:t>
      </w:r>
      <w:r w:rsidRPr="00471832">
        <w:rPr>
          <w:szCs w:val="24"/>
        </w:rPr>
        <w:t>cash deficits and weak balance sheets. Guarantees to SOEs amount to 10.5 per</w:t>
      </w:r>
      <w:r w:rsidR="00471832">
        <w:rPr>
          <w:szCs w:val="24"/>
        </w:rPr>
        <w:t xml:space="preserve"> </w:t>
      </w:r>
      <w:r w:rsidRPr="00471832">
        <w:rPr>
          <w:szCs w:val="24"/>
        </w:rPr>
        <w:t xml:space="preserve">cent of GDP. Several SOEs have required significant budget transfers and may require more if adequate </w:t>
      </w:r>
      <w:r w:rsidR="00BA2CFE">
        <w:rPr>
          <w:szCs w:val="24"/>
        </w:rPr>
        <w:t xml:space="preserve">and decisive </w:t>
      </w:r>
      <w:r w:rsidRPr="00471832">
        <w:rPr>
          <w:szCs w:val="24"/>
        </w:rPr>
        <w:t xml:space="preserve">corrective actions are </w:t>
      </w:r>
      <w:r w:rsidR="00710522" w:rsidRPr="00471832">
        <w:rPr>
          <w:szCs w:val="24"/>
        </w:rPr>
        <w:t xml:space="preserve">not taken. </w:t>
      </w:r>
      <w:r w:rsidR="00471832" w:rsidRPr="009A7F2D">
        <w:rPr>
          <w:rFonts w:ascii="Times" w:hAnsi="Times"/>
          <w:szCs w:val="24"/>
        </w:rPr>
        <w:fldChar w:fldCharType="begin"/>
      </w:r>
      <w:r w:rsidR="00471832" w:rsidRPr="009A7F2D">
        <w:rPr>
          <w:rFonts w:ascii="Times" w:hAnsi="Times"/>
          <w:szCs w:val="24"/>
        </w:rPr>
        <w:instrText xml:space="preserve"> REF _Ref40877725 \h </w:instrText>
      </w:r>
      <w:r w:rsidR="00471832" w:rsidRPr="00471832">
        <w:rPr>
          <w:rFonts w:ascii="Times" w:hAnsi="Times"/>
          <w:szCs w:val="24"/>
        </w:rPr>
        <w:instrText xml:space="preserve"> \* MERGEFORMAT </w:instrText>
      </w:r>
      <w:r w:rsidR="00471832" w:rsidRPr="009A7F2D">
        <w:rPr>
          <w:rFonts w:ascii="Times" w:hAnsi="Times"/>
          <w:szCs w:val="24"/>
        </w:rPr>
      </w:r>
      <w:r w:rsidR="00471832" w:rsidRPr="009A7F2D">
        <w:rPr>
          <w:rFonts w:ascii="Times" w:hAnsi="Times"/>
          <w:szCs w:val="24"/>
        </w:rPr>
        <w:fldChar w:fldCharType="separate"/>
      </w:r>
      <w:r w:rsidR="00471832" w:rsidRPr="00471832">
        <w:rPr>
          <w:rFonts w:ascii="Times" w:hAnsi="Times"/>
          <w:szCs w:val="24"/>
        </w:rPr>
        <w:t xml:space="preserve">Figure </w:t>
      </w:r>
      <w:r w:rsidR="00471832" w:rsidRPr="00471832">
        <w:rPr>
          <w:rFonts w:ascii="Times" w:hAnsi="Times"/>
          <w:noProof/>
          <w:szCs w:val="24"/>
        </w:rPr>
        <w:t>6</w:t>
      </w:r>
      <w:r w:rsidR="00471832" w:rsidRPr="009A7F2D">
        <w:rPr>
          <w:rFonts w:ascii="Times" w:hAnsi="Times"/>
          <w:szCs w:val="24"/>
        </w:rPr>
        <w:fldChar w:fldCharType="end"/>
      </w:r>
      <w:r w:rsidR="00471832">
        <w:rPr>
          <w:szCs w:val="24"/>
        </w:rPr>
        <w:t xml:space="preserve"> </w:t>
      </w:r>
      <w:r w:rsidRPr="00471832">
        <w:rPr>
          <w:szCs w:val="24"/>
        </w:rPr>
        <w:t xml:space="preserve">shows the huge differences to government debt </w:t>
      </w:r>
      <w:r w:rsidR="00471832">
        <w:rPr>
          <w:szCs w:val="24"/>
        </w:rPr>
        <w:t>between</w:t>
      </w:r>
      <w:r w:rsidRPr="00471832">
        <w:rPr>
          <w:szCs w:val="24"/>
        </w:rPr>
        <w:t xml:space="preserve"> the 2019 Budget and 2020 Budget. </w:t>
      </w:r>
    </w:p>
    <w:p w14:paraId="3B1FE17B" w14:textId="77777777" w:rsidR="00986F01" w:rsidRPr="000D33E4" w:rsidRDefault="00986F01" w:rsidP="00986F01">
      <w:pPr>
        <w:rPr>
          <w:rFonts w:ascii="Times" w:hAnsi="Times"/>
        </w:rPr>
      </w:pPr>
    </w:p>
    <w:p w14:paraId="511A0EAA" w14:textId="63991BC8" w:rsidR="00BA44C6" w:rsidRPr="009A7F2D" w:rsidRDefault="00BA44C6" w:rsidP="009A7F2D">
      <w:pPr>
        <w:pStyle w:val="Caption"/>
        <w:keepNext/>
        <w:spacing w:after="60"/>
        <w:rPr>
          <w:rFonts w:ascii="Times" w:hAnsi="Times"/>
          <w:color w:val="004C45" w:themeColor="text2"/>
          <w:sz w:val="24"/>
          <w:szCs w:val="24"/>
        </w:rPr>
      </w:pPr>
      <w:bookmarkStart w:id="33" w:name="_Ref40877725"/>
      <w:bookmarkStart w:id="34" w:name="_Toc40897044"/>
      <w:bookmarkStart w:id="35" w:name="_Toc42211438"/>
      <w:r w:rsidRPr="009A7F2D">
        <w:rPr>
          <w:rFonts w:ascii="Times" w:hAnsi="Times"/>
          <w:color w:val="004C45" w:themeColor="text2"/>
          <w:sz w:val="24"/>
          <w:szCs w:val="24"/>
        </w:rPr>
        <w:t xml:space="preserve">Figure </w:t>
      </w:r>
      <w:r w:rsidRPr="009A7F2D">
        <w:rPr>
          <w:rFonts w:ascii="Times" w:hAnsi="Times"/>
          <w:color w:val="004C45" w:themeColor="text2"/>
          <w:sz w:val="24"/>
          <w:szCs w:val="24"/>
        </w:rPr>
        <w:fldChar w:fldCharType="begin"/>
      </w:r>
      <w:r w:rsidRPr="009A7F2D">
        <w:rPr>
          <w:rFonts w:ascii="Times" w:hAnsi="Times"/>
          <w:color w:val="004C45" w:themeColor="text2"/>
          <w:sz w:val="24"/>
          <w:szCs w:val="24"/>
        </w:rPr>
        <w:instrText xml:space="preserve"> SEQ Figure \* ARABIC </w:instrText>
      </w:r>
      <w:r w:rsidRPr="009A7F2D">
        <w:rPr>
          <w:rFonts w:ascii="Times" w:hAnsi="Times"/>
          <w:color w:val="004C45" w:themeColor="text2"/>
          <w:sz w:val="24"/>
          <w:szCs w:val="24"/>
        </w:rPr>
        <w:fldChar w:fldCharType="separate"/>
      </w:r>
      <w:r w:rsidR="00835259">
        <w:rPr>
          <w:rFonts w:ascii="Times" w:hAnsi="Times"/>
          <w:noProof/>
          <w:color w:val="004C45" w:themeColor="text2"/>
          <w:sz w:val="24"/>
          <w:szCs w:val="24"/>
        </w:rPr>
        <w:t>6</w:t>
      </w:r>
      <w:r w:rsidRPr="009A7F2D">
        <w:rPr>
          <w:rFonts w:ascii="Times" w:hAnsi="Times"/>
          <w:color w:val="004C45" w:themeColor="text2"/>
          <w:sz w:val="24"/>
          <w:szCs w:val="24"/>
        </w:rPr>
        <w:fldChar w:fldCharType="end"/>
      </w:r>
      <w:bookmarkEnd w:id="33"/>
      <w:r w:rsidRPr="009A7F2D">
        <w:rPr>
          <w:rFonts w:ascii="Times" w:hAnsi="Times"/>
          <w:color w:val="004C45" w:themeColor="text2"/>
          <w:sz w:val="24"/>
          <w:szCs w:val="24"/>
        </w:rPr>
        <w:t>: Government debt as a percentage of GDP, 2015/16-2022/23</w:t>
      </w:r>
      <w:bookmarkEnd w:id="34"/>
      <w:bookmarkEnd w:id="35"/>
      <w:r w:rsidRPr="009A7F2D">
        <w:rPr>
          <w:rFonts w:ascii="Times" w:hAnsi="Times"/>
          <w:color w:val="004C45" w:themeColor="text2"/>
          <w:sz w:val="24"/>
          <w:szCs w:val="24"/>
        </w:rPr>
        <w:t xml:space="preserve"> </w:t>
      </w:r>
    </w:p>
    <w:p w14:paraId="6FB16792" w14:textId="77777777" w:rsidR="00822E84" w:rsidRPr="000D33E4" w:rsidRDefault="00BA44C6" w:rsidP="00471832">
      <w:pPr>
        <w:jc w:val="right"/>
        <w:rPr>
          <w:rFonts w:ascii="Times" w:hAnsi="Times"/>
        </w:rPr>
      </w:pPr>
      <w:r w:rsidRPr="000D33E4">
        <w:rPr>
          <w:rFonts w:ascii="Times" w:hAnsi="Times"/>
          <w:noProof/>
          <w:lang w:eastAsia="en-ZA"/>
        </w:rPr>
        <w:drawing>
          <wp:inline distT="0" distB="0" distL="0" distR="0" wp14:anchorId="078BAE2C" wp14:editId="3C17C268">
            <wp:extent cx="6099213" cy="2371725"/>
            <wp:effectExtent l="0" t="0" r="9525" b="15875"/>
            <wp:docPr id="10" name="Chart 10">
              <a:extLst xmlns:a="http://schemas.openxmlformats.org/drawingml/2006/main">
                <a:ext uri="{FF2B5EF4-FFF2-40B4-BE49-F238E27FC236}">
                  <a16:creationId xmlns:a16="http://schemas.microsoft.com/office/drawing/2014/main" id="{39A0AC72-5EAC-4675-AF02-10E12692EBD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03DF47C0" w14:textId="77777777" w:rsidR="00BA44C6" w:rsidRPr="009A7F2D" w:rsidRDefault="00BA44C6" w:rsidP="00471832">
      <w:pPr>
        <w:rPr>
          <w:rFonts w:ascii="Times" w:hAnsi="Times"/>
          <w:i/>
          <w:iCs/>
          <w:sz w:val="20"/>
          <w:szCs w:val="20"/>
        </w:rPr>
      </w:pPr>
      <w:r w:rsidRPr="009A7F2D">
        <w:rPr>
          <w:rFonts w:ascii="Times" w:hAnsi="Times"/>
          <w:i/>
          <w:iCs/>
          <w:sz w:val="20"/>
          <w:szCs w:val="20"/>
        </w:rPr>
        <w:t>Source: National Treasury, 2019</w:t>
      </w:r>
      <w:r w:rsidR="00471832">
        <w:rPr>
          <w:rFonts w:ascii="Times" w:hAnsi="Times"/>
          <w:i/>
          <w:iCs/>
          <w:sz w:val="20"/>
          <w:szCs w:val="20"/>
        </w:rPr>
        <w:t xml:space="preserve"> and </w:t>
      </w:r>
      <w:r w:rsidRPr="009A7F2D">
        <w:rPr>
          <w:rFonts w:ascii="Times" w:hAnsi="Times"/>
          <w:i/>
          <w:iCs/>
          <w:sz w:val="20"/>
          <w:szCs w:val="20"/>
        </w:rPr>
        <w:t>2020</w:t>
      </w:r>
    </w:p>
    <w:p w14:paraId="27D04008" w14:textId="77777777" w:rsidR="00BA4686" w:rsidRPr="000D33E4" w:rsidRDefault="00BA4686" w:rsidP="003D5A8F">
      <w:pPr>
        <w:ind w:left="360"/>
        <w:rPr>
          <w:rFonts w:ascii="Times" w:hAnsi="Times"/>
        </w:rPr>
      </w:pPr>
    </w:p>
    <w:p w14:paraId="7B353DFB" w14:textId="3A670749" w:rsidR="00B013FE" w:rsidRPr="000D33E4" w:rsidRDefault="00BA44C6" w:rsidP="009A7F2D">
      <w:r w:rsidRPr="000D33E4">
        <w:t>The debt outlook projections are premised on support to Eskom</w:t>
      </w:r>
      <w:r w:rsidR="00BA2CFE" w:rsidRPr="00BA2CFE">
        <w:t xml:space="preserve"> </w:t>
      </w:r>
      <w:r w:rsidR="00BA2CFE">
        <w:t>for continuity of electricity supply</w:t>
      </w:r>
      <w:r w:rsidR="00BA2CFE" w:rsidRPr="000D33E4">
        <w:t>,</w:t>
      </w:r>
      <w:r w:rsidRPr="000D33E4">
        <w:t xml:space="preserve"> fiscal consolidation considerations and implementation of growth-enhancing reforms. If these assumptions do not materialise, the debt trajectory could deteriorate. On the positive side, debt outlook could benefit from the large rand denomination and long maturities of government debt as well as the deep local institutional investor base.</w:t>
      </w:r>
    </w:p>
    <w:p w14:paraId="4497C689" w14:textId="77777777" w:rsidR="000C75FC" w:rsidRPr="000D33E4" w:rsidRDefault="000C75FC" w:rsidP="000C75FC">
      <w:pPr>
        <w:rPr>
          <w:rFonts w:ascii="Times" w:hAnsi="Times"/>
        </w:rPr>
      </w:pPr>
    </w:p>
    <w:p w14:paraId="0DA85575" w14:textId="4F5D5F61" w:rsidR="00DE5A92" w:rsidRPr="00425106" w:rsidRDefault="00BA44C6" w:rsidP="00DE5A92">
      <w:r w:rsidRPr="000D33E4">
        <w:t xml:space="preserve">The current debt levels, contingent liabilities, and increasing interest </w:t>
      </w:r>
      <w:r w:rsidR="00BA2CFE">
        <w:t>costs expenditure</w:t>
      </w:r>
      <w:r w:rsidRPr="000D33E4">
        <w:t xml:space="preserve"> have completely exhausted the fiscal space necessary for responding to shocks, resulting in larger adjustments in an environment of sluggish growth.</w:t>
      </w:r>
      <w:r w:rsidR="00986F01" w:rsidRPr="000D33E4">
        <w:t xml:space="preserve"> </w:t>
      </w:r>
      <w:r w:rsidRPr="000D33E4">
        <w:t xml:space="preserve">The </w:t>
      </w:r>
      <w:r w:rsidR="008B0F56">
        <w:t>Covid</w:t>
      </w:r>
      <w:r w:rsidRPr="000D33E4">
        <w:t>-19 outbreak and its finan</w:t>
      </w:r>
      <w:r w:rsidR="00BA2CFE">
        <w:t>cial and economic consequences are</w:t>
      </w:r>
      <w:r w:rsidRPr="000D33E4">
        <w:t xml:space="preserve"> expected to cause a major increase in the public debt ratios in South Africa as compared with previous projections. Whereas the 2020 Budget projected government debt to increase from 56.7 per</w:t>
      </w:r>
      <w:r w:rsidR="00471832">
        <w:t xml:space="preserve"> </w:t>
      </w:r>
      <w:r w:rsidRPr="000D33E4">
        <w:t>cent of GDP in 2018 to 69.1 per</w:t>
      </w:r>
      <w:r w:rsidR="00471832">
        <w:t xml:space="preserve"> </w:t>
      </w:r>
      <w:r w:rsidRPr="000D33E4">
        <w:t>cent of GDP in 2021, the IMF estimates that government debt will increase from 56.7 per</w:t>
      </w:r>
      <w:r w:rsidR="00471832">
        <w:t xml:space="preserve"> </w:t>
      </w:r>
      <w:r w:rsidRPr="000D33E4">
        <w:t>cent of GDP in 2018 to 85.6 per</w:t>
      </w:r>
      <w:r w:rsidR="00471832">
        <w:t xml:space="preserve"> </w:t>
      </w:r>
      <w:r w:rsidRPr="000D33E4">
        <w:t xml:space="preserve">cent in 2021 because of the impact </w:t>
      </w:r>
      <w:r w:rsidR="00710522" w:rsidRPr="000D33E4">
        <w:t xml:space="preserve">of </w:t>
      </w:r>
      <w:r w:rsidR="008B0F56">
        <w:t>Covid</w:t>
      </w:r>
      <w:r w:rsidR="00710522" w:rsidRPr="000D33E4">
        <w:t xml:space="preserve">-19 </w:t>
      </w:r>
      <w:r w:rsidR="00471832">
        <w:t>(</w:t>
      </w:r>
      <w:r w:rsidR="00F35833">
        <w:fldChar w:fldCharType="begin"/>
      </w:r>
      <w:r w:rsidR="00F35833">
        <w:instrText xml:space="preserve"> REF _Ref40878037 \h </w:instrText>
      </w:r>
      <w:r w:rsidR="00F35833">
        <w:fldChar w:fldCharType="separate"/>
      </w:r>
      <w:r w:rsidR="00342369" w:rsidRPr="006C101C">
        <w:rPr>
          <w:rFonts w:ascii="Times" w:hAnsi="Times"/>
          <w:color w:val="000000" w:themeColor="text1"/>
          <w:szCs w:val="24"/>
        </w:rPr>
        <w:t xml:space="preserve">Figure </w:t>
      </w:r>
      <w:r w:rsidR="00342369" w:rsidRPr="006C101C">
        <w:rPr>
          <w:rFonts w:ascii="Times" w:hAnsi="Times"/>
          <w:noProof/>
          <w:color w:val="000000" w:themeColor="text1"/>
          <w:szCs w:val="24"/>
        </w:rPr>
        <w:t>7</w:t>
      </w:r>
      <w:r w:rsidR="00F35833">
        <w:fldChar w:fldCharType="end"/>
      </w:r>
      <w:r w:rsidR="00471832">
        <w:t>)</w:t>
      </w:r>
      <w:r w:rsidRPr="000D33E4">
        <w:t xml:space="preserve">. </w:t>
      </w:r>
      <w:r w:rsidR="00DE5A92">
        <w:t>The</w:t>
      </w:r>
      <w:r w:rsidR="00BA2CFE">
        <w:t xml:space="preserve"> preliminary</w:t>
      </w:r>
      <w:r w:rsidR="00DE5A92">
        <w:t xml:space="preserve"> projections by the Commission show that </w:t>
      </w:r>
      <w:r w:rsidR="00DE5A92" w:rsidRPr="00425106">
        <w:t xml:space="preserve">in 2021, South Africa’ debt-to-GDP ratio </w:t>
      </w:r>
      <w:r w:rsidR="00DE5A92">
        <w:t xml:space="preserve">will </w:t>
      </w:r>
      <w:r w:rsidR="00DE5A92" w:rsidRPr="00425106">
        <w:t xml:space="preserve">exceed hundred per cent of its GDP at 104.2 per cent relative to the </w:t>
      </w:r>
      <w:r w:rsidR="00DE5A92">
        <w:t xml:space="preserve">2020 Budget </w:t>
      </w:r>
      <w:r w:rsidR="00DE5A92" w:rsidRPr="00425106">
        <w:t>projection of 69.1 per cent</w:t>
      </w:r>
      <w:r w:rsidR="00DE5A92">
        <w:t xml:space="preserve"> as shown in </w:t>
      </w:r>
      <w:r w:rsidR="004513B8" w:rsidRPr="004513B8">
        <w:rPr>
          <w:color w:val="000000" w:themeColor="text1"/>
        </w:rPr>
        <w:fldChar w:fldCharType="begin"/>
      </w:r>
      <w:r w:rsidR="004513B8" w:rsidRPr="004513B8">
        <w:rPr>
          <w:color w:val="000000" w:themeColor="text1"/>
        </w:rPr>
        <w:instrText xml:space="preserve"> REF _Ref40878037 \h </w:instrText>
      </w:r>
      <w:r w:rsidR="004513B8" w:rsidRPr="004513B8">
        <w:rPr>
          <w:color w:val="000000" w:themeColor="text1"/>
        </w:rPr>
      </w:r>
      <w:r w:rsidR="004513B8" w:rsidRPr="004513B8">
        <w:rPr>
          <w:color w:val="000000" w:themeColor="text1"/>
        </w:rPr>
        <w:fldChar w:fldCharType="separate"/>
      </w:r>
      <w:r w:rsidR="004513B8" w:rsidRPr="004513B8">
        <w:rPr>
          <w:rFonts w:ascii="Times" w:hAnsi="Times"/>
          <w:color w:val="000000" w:themeColor="text1"/>
          <w:szCs w:val="24"/>
        </w:rPr>
        <w:t xml:space="preserve">Figure </w:t>
      </w:r>
      <w:r w:rsidR="004513B8" w:rsidRPr="004513B8">
        <w:rPr>
          <w:rFonts w:ascii="Times" w:hAnsi="Times"/>
          <w:noProof/>
          <w:color w:val="000000" w:themeColor="text1"/>
          <w:szCs w:val="24"/>
        </w:rPr>
        <w:t>7</w:t>
      </w:r>
      <w:r w:rsidR="004513B8" w:rsidRPr="004513B8">
        <w:rPr>
          <w:color w:val="000000" w:themeColor="text1"/>
        </w:rPr>
        <w:fldChar w:fldCharType="end"/>
      </w:r>
      <w:r w:rsidR="00DE5A92">
        <w:t xml:space="preserve"> below</w:t>
      </w:r>
      <w:r w:rsidR="00DE5A92" w:rsidRPr="00425106">
        <w:t xml:space="preserve">. </w:t>
      </w:r>
      <w:r w:rsidR="00314D1F">
        <w:t xml:space="preserve">The only fiscal instrument under government’s direct control </w:t>
      </w:r>
      <w:r w:rsidR="0025007B">
        <w:t xml:space="preserve">to stabilise the debt-to-GDP ratio </w:t>
      </w:r>
      <w:r w:rsidR="00314D1F">
        <w:t xml:space="preserve">is that </w:t>
      </w:r>
      <w:r w:rsidR="00DE5A92" w:rsidRPr="00425106">
        <w:t xml:space="preserve">of </w:t>
      </w:r>
      <w:r w:rsidR="00BA2CFE">
        <w:t xml:space="preserve">the </w:t>
      </w:r>
      <w:r w:rsidR="00DE5A92" w:rsidRPr="00425106">
        <w:t xml:space="preserve">primary </w:t>
      </w:r>
      <w:r w:rsidR="00BA2CFE">
        <w:t xml:space="preserve">budget </w:t>
      </w:r>
      <w:r w:rsidR="00DE5A92" w:rsidRPr="00425106">
        <w:t>balance</w:t>
      </w:r>
      <w:r w:rsidR="00314D1F">
        <w:t xml:space="preserve">. </w:t>
      </w:r>
      <w:r w:rsidR="008F7033">
        <w:t xml:space="preserve">For </w:t>
      </w:r>
      <w:r w:rsidR="008F7033" w:rsidRPr="00425106">
        <w:t>South</w:t>
      </w:r>
      <w:r w:rsidR="005A4066" w:rsidRPr="00425106">
        <w:t xml:space="preserve"> Africa to maintain its debt at its current level of 62.2 per cent in 2019 for 2020, </w:t>
      </w:r>
      <w:r w:rsidR="007A79E5">
        <w:t xml:space="preserve">and should all else be equal, </w:t>
      </w:r>
      <w:r w:rsidR="00180A5E">
        <w:t xml:space="preserve">the </w:t>
      </w:r>
      <w:r w:rsidR="00BA2CFE">
        <w:t xml:space="preserve">FFC estimates that the </w:t>
      </w:r>
      <w:r w:rsidR="00180A5E">
        <w:t>country</w:t>
      </w:r>
      <w:r w:rsidR="005A4066" w:rsidRPr="00425106">
        <w:t xml:space="preserve"> </w:t>
      </w:r>
      <w:r w:rsidR="007A79E5">
        <w:t>will</w:t>
      </w:r>
      <w:r w:rsidR="005A4066" w:rsidRPr="00425106">
        <w:t xml:space="preserve"> have to maintain a primary surplus equivalent of 9.3 per cent of its GDP in 2020</w:t>
      </w:r>
      <w:r w:rsidR="00DE5A92" w:rsidRPr="00425106">
        <w:t xml:space="preserve">. Failing </w:t>
      </w:r>
      <w:r w:rsidR="005A4066">
        <w:t>this</w:t>
      </w:r>
      <w:r w:rsidR="00DE5A92" w:rsidRPr="00425106">
        <w:t xml:space="preserve">, the debt-to-GDP ratio </w:t>
      </w:r>
      <w:r w:rsidR="007A79E5">
        <w:t>will</w:t>
      </w:r>
      <w:r w:rsidR="007A79E5" w:rsidRPr="00425106">
        <w:t xml:space="preserve"> </w:t>
      </w:r>
      <w:r w:rsidR="00DE5A92" w:rsidRPr="00425106">
        <w:t>reach 84.1 per cent in 2020.</w:t>
      </w:r>
    </w:p>
    <w:p w14:paraId="0DE31B42" w14:textId="77777777" w:rsidR="00BA4686" w:rsidRPr="000D33E4" w:rsidRDefault="00BA4686" w:rsidP="009A7F2D"/>
    <w:p w14:paraId="5C997DD4" w14:textId="0FE99993" w:rsidR="00B826E6" w:rsidRDefault="00B826E6" w:rsidP="009A7F2D">
      <w:pPr>
        <w:pStyle w:val="Caption"/>
        <w:keepNext/>
        <w:spacing w:after="60"/>
        <w:rPr>
          <w:rFonts w:ascii="Times" w:hAnsi="Times"/>
          <w:color w:val="004C45" w:themeColor="text2"/>
          <w:sz w:val="24"/>
          <w:szCs w:val="24"/>
        </w:rPr>
      </w:pPr>
      <w:bookmarkStart w:id="36" w:name="_Ref40878037"/>
      <w:bookmarkStart w:id="37" w:name="_Toc40897045"/>
      <w:bookmarkStart w:id="38" w:name="_Toc42211439"/>
      <w:r w:rsidRPr="0000237A">
        <w:rPr>
          <w:rFonts w:ascii="Times" w:hAnsi="Times"/>
          <w:color w:val="004C45" w:themeColor="text2"/>
          <w:sz w:val="24"/>
          <w:szCs w:val="24"/>
        </w:rPr>
        <w:t xml:space="preserve">Figure </w:t>
      </w:r>
      <w:r w:rsidRPr="0000237A">
        <w:rPr>
          <w:rFonts w:ascii="Times" w:hAnsi="Times"/>
          <w:color w:val="004C45" w:themeColor="text2"/>
          <w:sz w:val="24"/>
          <w:szCs w:val="24"/>
        </w:rPr>
        <w:fldChar w:fldCharType="begin"/>
      </w:r>
      <w:r w:rsidRPr="0000237A">
        <w:rPr>
          <w:rFonts w:ascii="Times" w:hAnsi="Times"/>
          <w:color w:val="004C45" w:themeColor="text2"/>
          <w:sz w:val="24"/>
          <w:szCs w:val="24"/>
        </w:rPr>
        <w:instrText xml:space="preserve"> SEQ Figure \* ARABIC </w:instrText>
      </w:r>
      <w:r w:rsidRPr="0000237A">
        <w:rPr>
          <w:rFonts w:ascii="Times" w:hAnsi="Times"/>
          <w:color w:val="004C45" w:themeColor="text2"/>
          <w:sz w:val="24"/>
          <w:szCs w:val="24"/>
        </w:rPr>
        <w:fldChar w:fldCharType="separate"/>
      </w:r>
      <w:r w:rsidR="00835259">
        <w:rPr>
          <w:rFonts w:ascii="Times" w:hAnsi="Times"/>
          <w:noProof/>
          <w:color w:val="004C45" w:themeColor="text2"/>
          <w:sz w:val="24"/>
          <w:szCs w:val="24"/>
        </w:rPr>
        <w:t>7</w:t>
      </w:r>
      <w:r w:rsidRPr="0000237A">
        <w:rPr>
          <w:rFonts w:ascii="Times" w:hAnsi="Times"/>
          <w:color w:val="004C45" w:themeColor="text2"/>
          <w:sz w:val="24"/>
          <w:szCs w:val="24"/>
        </w:rPr>
        <w:fldChar w:fldCharType="end"/>
      </w:r>
      <w:bookmarkEnd w:id="36"/>
      <w:r w:rsidR="00E45380" w:rsidRPr="0000237A">
        <w:rPr>
          <w:rFonts w:ascii="Times" w:hAnsi="Times"/>
          <w:color w:val="004C45" w:themeColor="text2"/>
          <w:sz w:val="24"/>
          <w:szCs w:val="24"/>
        </w:rPr>
        <w:t>:</w:t>
      </w:r>
      <w:r w:rsidRPr="0000237A">
        <w:rPr>
          <w:rFonts w:ascii="Times" w:hAnsi="Times"/>
          <w:color w:val="004C45" w:themeColor="text2"/>
          <w:sz w:val="24"/>
          <w:szCs w:val="24"/>
        </w:rPr>
        <w:t xml:space="preserve"> Government debt as a percentage of GDP, 2018-2021</w:t>
      </w:r>
      <w:bookmarkEnd w:id="37"/>
      <w:bookmarkEnd w:id="38"/>
    </w:p>
    <w:p w14:paraId="077D1977" w14:textId="77777777" w:rsidR="00DE5A92" w:rsidRDefault="00DE5A92" w:rsidP="00DE5A92">
      <w:r>
        <w:rPr>
          <w:noProof/>
          <w:lang w:eastAsia="en-ZA"/>
        </w:rPr>
        <w:drawing>
          <wp:inline distT="0" distB="0" distL="0" distR="0" wp14:anchorId="2AF46E18" wp14:editId="2FA6A180">
            <wp:extent cx="6088380" cy="2705100"/>
            <wp:effectExtent l="0" t="0" r="7620" b="1270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6546AFD6" w14:textId="77777777" w:rsidR="00DE5A92" w:rsidRPr="009A7F2D" w:rsidRDefault="00DE5A92" w:rsidP="00DE5A92">
      <w:pPr>
        <w:rPr>
          <w:rFonts w:ascii="Times" w:hAnsi="Times"/>
          <w:i/>
          <w:iCs/>
          <w:sz w:val="20"/>
          <w:szCs w:val="20"/>
        </w:rPr>
      </w:pPr>
      <w:r w:rsidRPr="009A7F2D">
        <w:rPr>
          <w:rFonts w:ascii="Times" w:hAnsi="Times"/>
          <w:i/>
          <w:iCs/>
          <w:sz w:val="20"/>
          <w:szCs w:val="20"/>
        </w:rPr>
        <w:t xml:space="preserve">Source: National Treasury </w:t>
      </w:r>
      <w:r>
        <w:rPr>
          <w:rFonts w:ascii="Times" w:hAnsi="Times"/>
          <w:i/>
          <w:iCs/>
          <w:sz w:val="20"/>
          <w:szCs w:val="20"/>
        </w:rPr>
        <w:t>(</w:t>
      </w:r>
      <w:r w:rsidRPr="009A7F2D">
        <w:rPr>
          <w:rFonts w:ascii="Times" w:hAnsi="Times"/>
          <w:i/>
          <w:iCs/>
          <w:sz w:val="20"/>
          <w:szCs w:val="20"/>
        </w:rPr>
        <w:t>2020</w:t>
      </w:r>
      <w:r>
        <w:rPr>
          <w:rFonts w:ascii="Times" w:hAnsi="Times"/>
          <w:i/>
          <w:iCs/>
          <w:sz w:val="20"/>
          <w:szCs w:val="20"/>
        </w:rPr>
        <w:t>)</w:t>
      </w:r>
      <w:r w:rsidRPr="009A7F2D">
        <w:rPr>
          <w:rFonts w:ascii="Times" w:hAnsi="Times"/>
          <w:i/>
          <w:iCs/>
          <w:sz w:val="20"/>
          <w:szCs w:val="20"/>
        </w:rPr>
        <w:t xml:space="preserve">, IMF </w:t>
      </w:r>
      <w:r>
        <w:rPr>
          <w:rFonts w:ascii="Times" w:hAnsi="Times"/>
          <w:i/>
          <w:iCs/>
          <w:sz w:val="20"/>
          <w:szCs w:val="20"/>
        </w:rPr>
        <w:t>(</w:t>
      </w:r>
      <w:r w:rsidRPr="009A7F2D">
        <w:rPr>
          <w:rFonts w:ascii="Times" w:hAnsi="Times"/>
          <w:i/>
          <w:iCs/>
          <w:sz w:val="20"/>
          <w:szCs w:val="20"/>
        </w:rPr>
        <w:t>2020</w:t>
      </w:r>
      <w:r>
        <w:rPr>
          <w:rFonts w:ascii="Times" w:hAnsi="Times"/>
          <w:i/>
          <w:iCs/>
          <w:sz w:val="20"/>
          <w:szCs w:val="20"/>
        </w:rPr>
        <w:t>), FFC (2020)</w:t>
      </w:r>
    </w:p>
    <w:p w14:paraId="63D49B21" w14:textId="77777777" w:rsidR="00DE5A92" w:rsidRPr="00DE5A92" w:rsidRDefault="00DE5A92" w:rsidP="00DE5A92"/>
    <w:p w14:paraId="6E501A86" w14:textId="77777777" w:rsidR="00471832" w:rsidRDefault="00BA44C6" w:rsidP="00471832">
      <w:pPr>
        <w:rPr>
          <w:rFonts w:ascii="Times" w:hAnsi="Times"/>
        </w:rPr>
      </w:pPr>
      <w:r w:rsidRPr="000D33E4">
        <w:rPr>
          <w:rFonts w:ascii="Times" w:hAnsi="Times"/>
        </w:rPr>
        <w:t xml:space="preserve"> </w:t>
      </w:r>
    </w:p>
    <w:p w14:paraId="12168935" w14:textId="77777777" w:rsidR="00E90245" w:rsidRDefault="00E90245">
      <w:pPr>
        <w:spacing w:line="240" w:lineRule="auto"/>
      </w:pPr>
      <w:r>
        <w:br w:type="page"/>
      </w:r>
    </w:p>
    <w:p w14:paraId="059A79EB" w14:textId="6A65B428" w:rsidR="001063C5" w:rsidRPr="00B82EEE" w:rsidRDefault="0003600A" w:rsidP="00B4512F">
      <w:pPr>
        <w:pStyle w:val="IntenseQuote"/>
      </w:pPr>
      <w:bookmarkStart w:id="39" w:name="_Toc42211909"/>
      <w:r w:rsidRPr="00B82EEE">
        <w:t>Section 3</w:t>
      </w:r>
      <w:r w:rsidR="00830E97">
        <w:t>:</w:t>
      </w:r>
      <w:r w:rsidR="00B82EEE" w:rsidRPr="00B82EEE">
        <w:t xml:space="preserve"> </w:t>
      </w:r>
      <w:r w:rsidR="00B82EEE" w:rsidRPr="00B82EEE">
        <w:br/>
        <w:t>Overview of FFC</w:t>
      </w:r>
      <w:r w:rsidR="00BE6B6F">
        <w:t>’s</w:t>
      </w:r>
      <w:r w:rsidR="00B82EEE" w:rsidRPr="00B82EEE">
        <w:t xml:space="preserve"> response to</w:t>
      </w:r>
      <w:r w:rsidR="00B82EEE" w:rsidRPr="00B82EEE">
        <w:br/>
        <w:t>revenue and expenditure proposals</w:t>
      </w:r>
      <w:r w:rsidR="00B82EEE" w:rsidRPr="00B82EEE">
        <w:br/>
        <w:t>in the 2020 Budget</w:t>
      </w:r>
      <w:bookmarkEnd w:id="39"/>
    </w:p>
    <w:p w14:paraId="1243E0AD" w14:textId="77777777" w:rsidR="00B013FE" w:rsidRPr="000D33E4" w:rsidRDefault="00B013FE" w:rsidP="00B013FE">
      <w:pPr>
        <w:rPr>
          <w:rFonts w:ascii="Times" w:hAnsi="Times"/>
        </w:rPr>
      </w:pPr>
    </w:p>
    <w:p w14:paraId="510EF815" w14:textId="77777777" w:rsidR="00B11D59" w:rsidRPr="000D33E4" w:rsidRDefault="00A907A0" w:rsidP="009A7F2D">
      <w:r w:rsidRPr="000D33E4">
        <w:t xml:space="preserve">Section 3 </w:t>
      </w:r>
      <w:r w:rsidR="00986F01" w:rsidRPr="000D33E4">
        <w:t>recaps</w:t>
      </w:r>
      <w:r w:rsidRPr="000D33E4">
        <w:t xml:space="preserve"> the Commission’s response to </w:t>
      </w:r>
      <w:r w:rsidR="00B82EEE">
        <w:t>government’s</w:t>
      </w:r>
      <w:r w:rsidR="00B82EEE" w:rsidRPr="000D33E4">
        <w:t xml:space="preserve"> </w:t>
      </w:r>
      <w:r w:rsidRPr="000D33E4">
        <w:t>revenue and expenditure plans as contained</w:t>
      </w:r>
      <w:r w:rsidR="00986F01" w:rsidRPr="000D33E4">
        <w:t xml:space="preserve"> in the February 2020 Budget,</w:t>
      </w:r>
      <w:r w:rsidRPr="000D33E4">
        <w:t xml:space="preserve"> which the Commission presented to the Standing Committee on Finance on 3 March 2020 and to the </w:t>
      </w:r>
      <w:r w:rsidR="00B82EEE">
        <w:t>SCoA</w:t>
      </w:r>
      <w:r w:rsidRPr="000D33E4">
        <w:t xml:space="preserve"> on 4 March 2020.</w:t>
      </w:r>
    </w:p>
    <w:p w14:paraId="4650100D" w14:textId="77777777" w:rsidR="00B11D59" w:rsidRPr="000D33E4" w:rsidRDefault="00B11D59" w:rsidP="00B11D59">
      <w:pPr>
        <w:rPr>
          <w:rFonts w:ascii="Times" w:hAnsi="Times"/>
        </w:rPr>
      </w:pPr>
    </w:p>
    <w:p w14:paraId="08849513" w14:textId="77777777" w:rsidR="00A907A0" w:rsidRPr="000D33E4" w:rsidRDefault="00A907A0" w:rsidP="00382145">
      <w:pPr>
        <w:pStyle w:val="Heading2"/>
      </w:pPr>
      <w:bookmarkStart w:id="40" w:name="_Toc42211910"/>
      <w:r w:rsidRPr="000D33E4">
        <w:t>Revenue</w:t>
      </w:r>
      <w:r w:rsidR="00986F01" w:rsidRPr="000D33E4">
        <w:t>s</w:t>
      </w:r>
      <w:bookmarkEnd w:id="40"/>
    </w:p>
    <w:p w14:paraId="61579EEA" w14:textId="77777777" w:rsidR="00A907A0" w:rsidRPr="000D33E4" w:rsidRDefault="00A907A0" w:rsidP="007B1E55">
      <w:pPr>
        <w:contextualSpacing/>
        <w:rPr>
          <w:rFonts w:ascii="Times" w:hAnsi="Times"/>
        </w:rPr>
      </w:pPr>
    </w:p>
    <w:p w14:paraId="79786CDE" w14:textId="72B97D15" w:rsidR="00BE6C51" w:rsidRPr="000D33E4" w:rsidRDefault="00BA2CFE" w:rsidP="009A7F2D">
      <w:r>
        <w:t xml:space="preserve">The Budget 2020 highlighted that this </w:t>
      </w:r>
      <w:r w:rsidR="00A907A0" w:rsidRPr="000D33E4">
        <w:t xml:space="preserve">is a challenging time for tax administrations and the taxpayers they serve and from whom they collect taxes. On the one hand, there is the need to provide support, through the tax system, to boost a struggling economy; on the other, </w:t>
      </w:r>
      <w:r w:rsidR="00B82EEE">
        <w:t xml:space="preserve">is </w:t>
      </w:r>
      <w:r w:rsidR="00A907A0" w:rsidRPr="000D33E4">
        <w:t>the imperative to find additional sources of funding to support such measures. Tax revenues are confronted with multiple challenges emanating from cash flow as a result of extending deadlines to pay tax as well as absolute costs, arising from permanently for</w:t>
      </w:r>
      <w:r w:rsidR="00B82EEE">
        <w:t>e</w:t>
      </w:r>
      <w:r w:rsidR="00A907A0" w:rsidRPr="000D33E4">
        <w:t>going tax that wou</w:t>
      </w:r>
      <w:r w:rsidR="0003600A" w:rsidRPr="000D33E4">
        <w:t>ld otherwise have been payable.</w:t>
      </w:r>
    </w:p>
    <w:p w14:paraId="1BF57623" w14:textId="77777777" w:rsidR="00BE6C51" w:rsidRPr="000D33E4" w:rsidRDefault="00BE6C51" w:rsidP="00BE6C51">
      <w:pPr>
        <w:rPr>
          <w:rFonts w:ascii="Times" w:hAnsi="Times"/>
        </w:rPr>
      </w:pPr>
    </w:p>
    <w:p w14:paraId="32C1EF5D" w14:textId="7A43FC1C" w:rsidR="00B826E6" w:rsidRDefault="00A907A0" w:rsidP="009A7F2D">
      <w:r w:rsidRPr="000D33E4">
        <w:t xml:space="preserve">The South African Revenue Service (SARS) has projected that revenue performance will be lower </w:t>
      </w:r>
      <w:r w:rsidR="00B82EEE" w:rsidRPr="000D33E4">
        <w:t>by between 15 and 20 per</w:t>
      </w:r>
      <w:r w:rsidR="00BE6B6F">
        <w:t xml:space="preserve"> </w:t>
      </w:r>
      <w:r w:rsidR="00B82EEE" w:rsidRPr="000D33E4">
        <w:t xml:space="preserve">cent </w:t>
      </w:r>
      <w:r w:rsidRPr="000D33E4">
        <w:t xml:space="preserve">than </w:t>
      </w:r>
      <w:r w:rsidR="00BE6B6F">
        <w:t xml:space="preserve">forecast in </w:t>
      </w:r>
      <w:r w:rsidRPr="000D33E4">
        <w:t xml:space="preserve">the </w:t>
      </w:r>
      <w:r w:rsidR="00BE6C51" w:rsidRPr="000D33E4">
        <w:t xml:space="preserve">February </w:t>
      </w:r>
      <w:r w:rsidRPr="000D33E4">
        <w:t>2020 Budget</w:t>
      </w:r>
      <w:r w:rsidR="00B82EEE">
        <w:t xml:space="preserve">. This </w:t>
      </w:r>
      <w:r w:rsidR="00BE6C51" w:rsidRPr="000D33E4">
        <w:t xml:space="preserve">translates </w:t>
      </w:r>
      <w:r w:rsidRPr="000D33E4">
        <w:t xml:space="preserve">to </w:t>
      </w:r>
      <w:r w:rsidR="00BE6C51" w:rsidRPr="000D33E4">
        <w:t xml:space="preserve">a </w:t>
      </w:r>
      <w:r w:rsidRPr="000D33E4">
        <w:t>revenue under-</w:t>
      </w:r>
      <w:r w:rsidRPr="00D37EC1">
        <w:rPr>
          <w:color w:val="000000" w:themeColor="text1"/>
        </w:rPr>
        <w:t>recovery of R285 billion</w:t>
      </w:r>
      <w:r w:rsidR="000436AB" w:rsidRPr="00D37EC1">
        <w:rPr>
          <w:rStyle w:val="FootnoteReference"/>
          <w:color w:val="000000" w:themeColor="text1"/>
        </w:rPr>
        <w:footnoteReference w:id="5"/>
      </w:r>
      <w:r w:rsidRPr="00D37EC1">
        <w:rPr>
          <w:color w:val="000000" w:themeColor="text1"/>
        </w:rPr>
        <w:t>. Preliminary assessment by SARS show</w:t>
      </w:r>
      <w:r w:rsidR="00BE6C51" w:rsidRPr="00D37EC1">
        <w:rPr>
          <w:color w:val="000000" w:themeColor="text1"/>
        </w:rPr>
        <w:t>s</w:t>
      </w:r>
      <w:r w:rsidRPr="00D37EC1">
        <w:rPr>
          <w:color w:val="000000" w:themeColor="text1"/>
        </w:rPr>
        <w:t xml:space="preserve"> an under-recovery of around R9 billion for April 2020</w:t>
      </w:r>
      <w:r w:rsidRPr="000D33E4">
        <w:t xml:space="preserve">, reflecting a year-on-year decline of </w:t>
      </w:r>
      <w:r w:rsidR="00BE6B6F">
        <w:t>-</w:t>
      </w:r>
      <w:r w:rsidRPr="000D33E4">
        <w:t>8.8 per</w:t>
      </w:r>
      <w:r w:rsidR="00B82EEE">
        <w:t xml:space="preserve"> </w:t>
      </w:r>
      <w:r w:rsidRPr="000D33E4">
        <w:t>cent. This revenue under-recovery results from decline</w:t>
      </w:r>
      <w:r w:rsidR="0028060E">
        <w:t>s</w:t>
      </w:r>
      <w:r w:rsidRPr="000D33E4">
        <w:t xml:space="preserve"> in income tax</w:t>
      </w:r>
      <w:r w:rsidR="0028060E">
        <w:t xml:space="preserve"> (-5.2 per cent)</w:t>
      </w:r>
      <w:r w:rsidRPr="000D33E4">
        <w:t xml:space="preserve">, corporate </w:t>
      </w:r>
      <w:r w:rsidR="002834E6" w:rsidRPr="000D33E4">
        <w:t>taxes (</w:t>
      </w:r>
      <w:r w:rsidR="0028060E" w:rsidRPr="000D33E4">
        <w:t>-55.4 per</w:t>
      </w:r>
      <w:r w:rsidR="0028060E">
        <w:t xml:space="preserve"> </w:t>
      </w:r>
      <w:r w:rsidR="0028060E" w:rsidRPr="000D33E4">
        <w:t>cent)</w:t>
      </w:r>
      <w:r w:rsidRPr="000D33E4">
        <w:t>, VAT</w:t>
      </w:r>
      <w:r w:rsidR="0028060E">
        <w:t xml:space="preserve"> </w:t>
      </w:r>
      <w:r w:rsidR="0028060E" w:rsidRPr="000D33E4">
        <w:t>(</w:t>
      </w:r>
      <w:r w:rsidR="0028060E">
        <w:t>-</w:t>
      </w:r>
      <w:r w:rsidR="0028060E" w:rsidRPr="000D33E4">
        <w:t>4.3 per</w:t>
      </w:r>
      <w:r w:rsidR="00214B7A">
        <w:t xml:space="preserve"> </w:t>
      </w:r>
      <w:r w:rsidR="0028060E" w:rsidRPr="000D33E4">
        <w:t>cent)</w:t>
      </w:r>
      <w:r w:rsidR="0028060E">
        <w:t>,</w:t>
      </w:r>
      <w:r w:rsidRPr="000D33E4">
        <w:t xml:space="preserve"> import tax</w:t>
      </w:r>
      <w:r w:rsidR="0028060E">
        <w:t xml:space="preserve"> </w:t>
      </w:r>
      <w:r w:rsidR="0028060E" w:rsidRPr="000D33E4">
        <w:t>(-19.7 per</w:t>
      </w:r>
      <w:r w:rsidR="0028060E">
        <w:t xml:space="preserve"> </w:t>
      </w:r>
      <w:r w:rsidR="0028060E" w:rsidRPr="000D33E4">
        <w:t>cent)</w:t>
      </w:r>
      <w:r w:rsidRPr="000D33E4">
        <w:t xml:space="preserve">, </w:t>
      </w:r>
      <w:r w:rsidR="0028060E">
        <w:t xml:space="preserve">and </w:t>
      </w:r>
      <w:r w:rsidRPr="000D33E4">
        <w:t xml:space="preserve">specific excise duties </w:t>
      </w:r>
      <w:r w:rsidR="0028060E" w:rsidRPr="000D33E4">
        <w:t>(</w:t>
      </w:r>
      <w:r w:rsidR="0028060E">
        <w:t>-</w:t>
      </w:r>
      <w:r w:rsidR="0028060E" w:rsidRPr="000D33E4">
        <w:t>54.7 per</w:t>
      </w:r>
      <w:r w:rsidR="00214B7A">
        <w:t xml:space="preserve"> </w:t>
      </w:r>
      <w:r w:rsidR="0028060E" w:rsidRPr="000D33E4">
        <w:t xml:space="preserve">cent) </w:t>
      </w:r>
      <w:r w:rsidRPr="000D33E4">
        <w:t xml:space="preserve">as shown in </w:t>
      </w:r>
      <w:r w:rsidR="0028060E">
        <w:fldChar w:fldCharType="begin"/>
      </w:r>
      <w:r w:rsidR="0028060E">
        <w:instrText xml:space="preserve"> REF _Ref40879792 \h </w:instrText>
      </w:r>
      <w:r w:rsidR="0028060E">
        <w:fldChar w:fldCharType="separate"/>
      </w:r>
      <w:r w:rsidR="0028060E" w:rsidRPr="000D33E4">
        <w:rPr>
          <w:rFonts w:ascii="Times" w:hAnsi="Times"/>
        </w:rPr>
        <w:t xml:space="preserve">Figure </w:t>
      </w:r>
      <w:r w:rsidR="0028060E" w:rsidRPr="000D33E4">
        <w:rPr>
          <w:rFonts w:ascii="Times" w:hAnsi="Times"/>
          <w:noProof/>
        </w:rPr>
        <w:t>8</w:t>
      </w:r>
      <w:r w:rsidR="0028060E">
        <w:fldChar w:fldCharType="end"/>
      </w:r>
      <w:r w:rsidRPr="000D33E4">
        <w:t>.</w:t>
      </w:r>
    </w:p>
    <w:p w14:paraId="1CD02B69" w14:textId="77777777" w:rsidR="00E80E51" w:rsidRPr="000D33E4" w:rsidRDefault="00E80E51" w:rsidP="009A7F2D"/>
    <w:p w14:paraId="573D8FF1" w14:textId="77777777" w:rsidR="00E80E51" w:rsidRPr="000D33E4" w:rsidRDefault="00E80E51" w:rsidP="00E80E51">
      <w:r w:rsidRPr="000D33E4">
        <w:t xml:space="preserve">The current policy imperatives dictate, for now, an increase in public expenditure to make available health facilities to control the pandemic in an environment of low tax revenue. The Commission recommends that tax policy should prioritise fiscal support to ensure that the economy survives the pandemic because under the current circumstances increasing tax revenues is not a feasible policy option. </w:t>
      </w:r>
    </w:p>
    <w:p w14:paraId="550883AC" w14:textId="77777777" w:rsidR="00A907A0" w:rsidRPr="000D33E4" w:rsidRDefault="00A907A0" w:rsidP="009A7F2D">
      <w:pPr>
        <w:ind w:left="567" w:hanging="567"/>
      </w:pPr>
    </w:p>
    <w:p w14:paraId="42B042DD" w14:textId="398363FE" w:rsidR="00B826E6" w:rsidRPr="009A7F2D" w:rsidRDefault="00B826E6" w:rsidP="00B826E6">
      <w:pPr>
        <w:pStyle w:val="Caption"/>
        <w:keepNext/>
        <w:rPr>
          <w:rFonts w:ascii="Times" w:hAnsi="Times"/>
          <w:color w:val="004C45" w:themeColor="text2"/>
          <w:sz w:val="24"/>
          <w:szCs w:val="24"/>
        </w:rPr>
      </w:pPr>
      <w:bookmarkStart w:id="41" w:name="_Ref40879792"/>
      <w:bookmarkStart w:id="42" w:name="_Toc40897046"/>
      <w:bookmarkStart w:id="43" w:name="_Toc42211440"/>
      <w:r w:rsidRPr="009A7F2D">
        <w:rPr>
          <w:rFonts w:ascii="Times" w:hAnsi="Times"/>
          <w:color w:val="004C45" w:themeColor="text2"/>
          <w:sz w:val="24"/>
          <w:szCs w:val="24"/>
        </w:rPr>
        <w:t xml:space="preserve">Figure </w:t>
      </w:r>
      <w:r w:rsidRPr="009A7F2D">
        <w:rPr>
          <w:rFonts w:ascii="Times" w:hAnsi="Times"/>
          <w:color w:val="004C45" w:themeColor="text2"/>
          <w:sz w:val="24"/>
          <w:szCs w:val="24"/>
        </w:rPr>
        <w:fldChar w:fldCharType="begin"/>
      </w:r>
      <w:r w:rsidRPr="009A7F2D">
        <w:rPr>
          <w:rFonts w:ascii="Times" w:hAnsi="Times"/>
          <w:color w:val="004C45" w:themeColor="text2"/>
          <w:sz w:val="24"/>
          <w:szCs w:val="24"/>
        </w:rPr>
        <w:instrText xml:space="preserve"> SEQ Figure \* ARABIC </w:instrText>
      </w:r>
      <w:r w:rsidRPr="009A7F2D">
        <w:rPr>
          <w:rFonts w:ascii="Times" w:hAnsi="Times"/>
          <w:color w:val="004C45" w:themeColor="text2"/>
          <w:sz w:val="24"/>
          <w:szCs w:val="24"/>
        </w:rPr>
        <w:fldChar w:fldCharType="separate"/>
      </w:r>
      <w:r w:rsidR="00835259">
        <w:rPr>
          <w:rFonts w:ascii="Times" w:hAnsi="Times"/>
          <w:noProof/>
          <w:color w:val="004C45" w:themeColor="text2"/>
          <w:sz w:val="24"/>
          <w:szCs w:val="24"/>
        </w:rPr>
        <w:t>8</w:t>
      </w:r>
      <w:r w:rsidRPr="009A7F2D">
        <w:rPr>
          <w:rFonts w:ascii="Times" w:hAnsi="Times"/>
          <w:color w:val="004C45" w:themeColor="text2"/>
          <w:sz w:val="24"/>
          <w:szCs w:val="24"/>
        </w:rPr>
        <w:fldChar w:fldCharType="end"/>
      </w:r>
      <w:bookmarkEnd w:id="41"/>
      <w:r w:rsidR="0028060E" w:rsidRPr="009A7F2D">
        <w:rPr>
          <w:rFonts w:ascii="Times" w:hAnsi="Times"/>
          <w:color w:val="004C45" w:themeColor="text2"/>
          <w:sz w:val="24"/>
          <w:szCs w:val="24"/>
        </w:rPr>
        <w:t>:</w:t>
      </w:r>
      <w:r w:rsidRPr="009A7F2D">
        <w:rPr>
          <w:rFonts w:ascii="Times" w:hAnsi="Times"/>
          <w:color w:val="004C45" w:themeColor="text2"/>
          <w:sz w:val="24"/>
          <w:szCs w:val="24"/>
        </w:rPr>
        <w:t xml:space="preserve"> Tax </w:t>
      </w:r>
      <w:r w:rsidR="0028060E" w:rsidRPr="009A7F2D">
        <w:rPr>
          <w:rFonts w:ascii="Times" w:hAnsi="Times"/>
          <w:color w:val="004C45" w:themeColor="text2"/>
          <w:sz w:val="24"/>
          <w:szCs w:val="24"/>
        </w:rPr>
        <w:t>r</w:t>
      </w:r>
      <w:r w:rsidRPr="009A7F2D">
        <w:rPr>
          <w:rFonts w:ascii="Times" w:hAnsi="Times"/>
          <w:color w:val="004C45" w:themeColor="text2"/>
          <w:sz w:val="24"/>
          <w:szCs w:val="24"/>
        </w:rPr>
        <w:t>evenue under-recovery, April 2020</w:t>
      </w:r>
      <w:bookmarkEnd w:id="42"/>
      <w:bookmarkEnd w:id="43"/>
    </w:p>
    <w:p w14:paraId="7F01E8E8" w14:textId="77777777" w:rsidR="00A907A0" w:rsidRPr="000D33E4" w:rsidRDefault="00A907A0" w:rsidP="0028060E">
      <w:pPr>
        <w:contextualSpacing/>
        <w:rPr>
          <w:rFonts w:ascii="Times" w:hAnsi="Times"/>
        </w:rPr>
      </w:pPr>
      <w:r w:rsidRPr="000D33E4">
        <w:rPr>
          <w:rFonts w:ascii="Times" w:hAnsi="Times"/>
          <w:noProof/>
          <w:lang w:eastAsia="en-ZA"/>
        </w:rPr>
        <w:drawing>
          <wp:inline distT="0" distB="0" distL="0" distR="0" wp14:anchorId="20A6D8F4" wp14:editId="3BDDCACE">
            <wp:extent cx="6120143" cy="2247900"/>
            <wp:effectExtent l="0" t="0" r="13970" b="0"/>
            <wp:docPr id="12" name="Chart 12">
              <a:extLst xmlns:a="http://schemas.openxmlformats.org/drawingml/2006/main">
                <a:ext uri="{FF2B5EF4-FFF2-40B4-BE49-F238E27FC236}">
                  <a16:creationId xmlns:a16="http://schemas.microsoft.com/office/drawing/2014/main" id="{F0CB0D7C-597D-491B-AC5C-0930F63A147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0750F735" w14:textId="77777777" w:rsidR="00A907A0" w:rsidRPr="009A7F2D" w:rsidRDefault="00A907A0" w:rsidP="0028060E">
      <w:pPr>
        <w:contextualSpacing/>
        <w:rPr>
          <w:rFonts w:ascii="Times" w:hAnsi="Times"/>
          <w:i/>
          <w:iCs/>
          <w:sz w:val="20"/>
          <w:szCs w:val="18"/>
        </w:rPr>
      </w:pPr>
      <w:r w:rsidRPr="009A7F2D">
        <w:rPr>
          <w:rFonts w:ascii="Times" w:hAnsi="Times"/>
          <w:i/>
          <w:iCs/>
          <w:sz w:val="20"/>
          <w:szCs w:val="18"/>
        </w:rPr>
        <w:t>Source: SARS, 2020</w:t>
      </w:r>
    </w:p>
    <w:p w14:paraId="4013C411" w14:textId="77777777" w:rsidR="00E80E51" w:rsidRDefault="00E80E51" w:rsidP="00E80E51"/>
    <w:p w14:paraId="560631BE" w14:textId="77777777" w:rsidR="00A907A0" w:rsidRPr="000D33E4" w:rsidRDefault="003D5A8F" w:rsidP="00382145">
      <w:pPr>
        <w:pStyle w:val="Heading2"/>
      </w:pPr>
      <w:bookmarkStart w:id="44" w:name="_Toc42211911"/>
      <w:r w:rsidRPr="000D33E4">
        <w:t>Expenditure</w:t>
      </w:r>
      <w:bookmarkEnd w:id="44"/>
    </w:p>
    <w:p w14:paraId="46AF1765" w14:textId="77777777" w:rsidR="00B11D59" w:rsidRPr="000D33E4" w:rsidRDefault="00B11D59" w:rsidP="00B11D59">
      <w:pPr>
        <w:rPr>
          <w:rFonts w:ascii="Times" w:hAnsi="Times"/>
        </w:rPr>
      </w:pPr>
    </w:p>
    <w:p w14:paraId="46216192" w14:textId="0250EB8E" w:rsidR="00A907A0" w:rsidRPr="000D33E4" w:rsidRDefault="00A907A0" w:rsidP="009A7F2D">
      <w:r w:rsidRPr="000D33E4">
        <w:t xml:space="preserve">To manage cost pressures, Budget 2020 </w:t>
      </w:r>
      <w:r w:rsidR="007C5C80">
        <w:t>reduced</w:t>
      </w:r>
      <w:r w:rsidR="007C5C80" w:rsidRPr="000D33E4">
        <w:t xml:space="preserve"> </w:t>
      </w:r>
      <w:r w:rsidRPr="000D33E4">
        <w:t>various baselines (</w:t>
      </w:r>
      <w:r w:rsidR="0028060E" w:rsidRPr="009A7F2D">
        <w:rPr>
          <w:rFonts w:ascii="Times" w:hAnsi="Times"/>
        </w:rPr>
        <w:fldChar w:fldCharType="begin"/>
      </w:r>
      <w:r w:rsidR="0028060E" w:rsidRPr="009A7F2D">
        <w:rPr>
          <w:rFonts w:ascii="Times" w:hAnsi="Times"/>
        </w:rPr>
        <w:instrText xml:space="preserve"> REF _Ref40880052 \h </w:instrText>
      </w:r>
      <w:r w:rsidR="0028060E">
        <w:rPr>
          <w:rFonts w:ascii="Times" w:hAnsi="Times"/>
        </w:rPr>
        <w:instrText xml:space="preserve"> \* MERGEFORMAT </w:instrText>
      </w:r>
      <w:r w:rsidR="0028060E" w:rsidRPr="009A7F2D">
        <w:rPr>
          <w:rFonts w:ascii="Times" w:hAnsi="Times"/>
        </w:rPr>
      </w:r>
      <w:r w:rsidR="0028060E" w:rsidRPr="009A7F2D">
        <w:rPr>
          <w:rFonts w:ascii="Times" w:hAnsi="Times"/>
        </w:rPr>
        <w:fldChar w:fldCharType="separate"/>
      </w:r>
      <w:r w:rsidR="0028060E" w:rsidRPr="0028060E">
        <w:rPr>
          <w:rFonts w:ascii="Times" w:hAnsi="Times"/>
        </w:rPr>
        <w:t xml:space="preserve">Table </w:t>
      </w:r>
      <w:r w:rsidR="0028060E" w:rsidRPr="0028060E">
        <w:rPr>
          <w:rFonts w:ascii="Times" w:hAnsi="Times"/>
          <w:noProof/>
        </w:rPr>
        <w:t>2</w:t>
      </w:r>
      <w:r w:rsidR="0028060E" w:rsidRPr="009A7F2D">
        <w:rPr>
          <w:rFonts w:ascii="Times" w:hAnsi="Times"/>
        </w:rPr>
        <w:fldChar w:fldCharType="end"/>
      </w:r>
      <w:r w:rsidR="00BA2CFE">
        <w:t xml:space="preserve">). Reductions amounting </w:t>
      </w:r>
      <w:r w:rsidR="00BA2CFE" w:rsidRPr="00D37EC1">
        <w:rPr>
          <w:color w:val="000000" w:themeColor="text1"/>
        </w:rPr>
        <w:t xml:space="preserve">to </w:t>
      </w:r>
      <w:r w:rsidR="006A435E">
        <w:rPr>
          <w:color w:val="000000" w:themeColor="text1"/>
        </w:rPr>
        <w:t>R1</w:t>
      </w:r>
      <w:r w:rsidRPr="00D37EC1">
        <w:rPr>
          <w:color w:val="000000" w:themeColor="text1"/>
        </w:rPr>
        <w:t xml:space="preserve">60 billion will be implemented over the next three years with the bulk of this amount (61 per cent) projected to come from downward adjustments of baseline wage bill estimates. The largest portion of wage bill </w:t>
      </w:r>
      <w:r w:rsidRPr="000D33E4">
        <w:t>reductions are projected to come into effect in the outer year of the MTEF period (2022/23). There will be R101 billion of programme base</w:t>
      </w:r>
      <w:r w:rsidR="00BA2CFE">
        <w:t xml:space="preserve">line reductions. Of the </w:t>
      </w:r>
      <w:r w:rsidR="00BA2CFE" w:rsidRPr="00D37EC1">
        <w:rPr>
          <w:color w:val="000000" w:themeColor="text1"/>
        </w:rPr>
        <w:t xml:space="preserve">total </w:t>
      </w:r>
      <w:r w:rsidR="006A435E">
        <w:rPr>
          <w:color w:val="000000" w:themeColor="text1"/>
        </w:rPr>
        <w:t>R1</w:t>
      </w:r>
      <w:r w:rsidR="00BA2CFE" w:rsidRPr="00D37EC1">
        <w:rPr>
          <w:color w:val="000000" w:themeColor="text1"/>
        </w:rPr>
        <w:t>60</w:t>
      </w:r>
      <w:r w:rsidRPr="00D37EC1">
        <w:rPr>
          <w:color w:val="000000" w:themeColor="text1"/>
        </w:rPr>
        <w:t xml:space="preserve"> billion </w:t>
      </w:r>
      <w:r w:rsidRPr="000D33E4">
        <w:t>of baseline savings, R111 billion will be allocated to pressing priorities. Over half of this amount (55 per cent) will go to</w:t>
      </w:r>
      <w:r w:rsidR="00BE6C51" w:rsidRPr="000D33E4">
        <w:t>wards</w:t>
      </w:r>
      <w:r w:rsidRPr="000D33E4">
        <w:t xml:space="preserve"> financially supporting SOEs, particularly Eskom and South African Airways</w:t>
      </w:r>
      <w:r w:rsidR="00277EB4">
        <w:t>,</w:t>
      </w:r>
      <w:r w:rsidRPr="000D33E4">
        <w:t xml:space="preserve"> while 20 per cent is in respect of additions to government programme allocations. Most (73 per cent) of the addition to SOEs will be allocated in 2020/21. </w:t>
      </w:r>
    </w:p>
    <w:p w14:paraId="09A8FCC1" w14:textId="77777777" w:rsidR="00A907A0" w:rsidRPr="000D33E4" w:rsidRDefault="00A907A0" w:rsidP="007B1E55">
      <w:pPr>
        <w:rPr>
          <w:rFonts w:ascii="Times" w:hAnsi="Times"/>
        </w:rPr>
      </w:pPr>
    </w:p>
    <w:p w14:paraId="32F51C01" w14:textId="57C3B2E9" w:rsidR="00B826E6" w:rsidRPr="009A7F2D" w:rsidRDefault="00B826E6" w:rsidP="009A7F2D">
      <w:pPr>
        <w:pStyle w:val="Caption"/>
        <w:keepNext/>
        <w:spacing w:after="60" w:line="240" w:lineRule="auto"/>
        <w:rPr>
          <w:rFonts w:ascii="Times" w:hAnsi="Times"/>
          <w:color w:val="004C45" w:themeColor="text2"/>
          <w:sz w:val="24"/>
          <w:szCs w:val="24"/>
        </w:rPr>
      </w:pPr>
      <w:bookmarkStart w:id="45" w:name="_Ref40880052"/>
      <w:bookmarkStart w:id="46" w:name="_Toc42212130"/>
      <w:r w:rsidRPr="009A7F2D">
        <w:rPr>
          <w:rFonts w:ascii="Times" w:hAnsi="Times"/>
          <w:color w:val="004C45" w:themeColor="text2"/>
          <w:sz w:val="24"/>
          <w:szCs w:val="24"/>
        </w:rPr>
        <w:t xml:space="preserve">Table </w:t>
      </w:r>
      <w:r w:rsidRPr="009A7F2D">
        <w:rPr>
          <w:rFonts w:ascii="Times" w:hAnsi="Times"/>
          <w:color w:val="004C45" w:themeColor="text2"/>
          <w:sz w:val="24"/>
          <w:szCs w:val="24"/>
        </w:rPr>
        <w:fldChar w:fldCharType="begin"/>
      </w:r>
      <w:r w:rsidRPr="009A7F2D">
        <w:rPr>
          <w:rFonts w:ascii="Times" w:hAnsi="Times"/>
          <w:color w:val="004C45" w:themeColor="text2"/>
          <w:sz w:val="24"/>
          <w:szCs w:val="24"/>
        </w:rPr>
        <w:instrText xml:space="preserve"> SEQ Table \* ARABIC </w:instrText>
      </w:r>
      <w:r w:rsidRPr="009A7F2D">
        <w:rPr>
          <w:rFonts w:ascii="Times" w:hAnsi="Times"/>
          <w:color w:val="004C45" w:themeColor="text2"/>
          <w:sz w:val="24"/>
          <w:szCs w:val="24"/>
        </w:rPr>
        <w:fldChar w:fldCharType="separate"/>
      </w:r>
      <w:r w:rsidR="00492893">
        <w:rPr>
          <w:rFonts w:ascii="Times" w:hAnsi="Times"/>
          <w:noProof/>
          <w:color w:val="004C45" w:themeColor="text2"/>
          <w:sz w:val="24"/>
          <w:szCs w:val="24"/>
        </w:rPr>
        <w:t>2</w:t>
      </w:r>
      <w:r w:rsidRPr="009A7F2D">
        <w:rPr>
          <w:rFonts w:ascii="Times" w:hAnsi="Times"/>
          <w:color w:val="004C45" w:themeColor="text2"/>
          <w:sz w:val="24"/>
          <w:szCs w:val="24"/>
        </w:rPr>
        <w:fldChar w:fldCharType="end"/>
      </w:r>
      <w:bookmarkEnd w:id="45"/>
      <w:r w:rsidR="00D71D8C">
        <w:rPr>
          <w:rFonts w:ascii="Times" w:hAnsi="Times"/>
          <w:color w:val="004C45" w:themeColor="text2"/>
          <w:sz w:val="24"/>
          <w:szCs w:val="24"/>
        </w:rPr>
        <w:t>:</w:t>
      </w:r>
      <w:r w:rsidRPr="009A7F2D">
        <w:rPr>
          <w:rFonts w:ascii="Times" w:hAnsi="Times"/>
          <w:color w:val="004C45" w:themeColor="text2"/>
          <w:sz w:val="24"/>
          <w:szCs w:val="24"/>
        </w:rPr>
        <w:t xml:space="preserve"> Baseline shifts in Budget 2020</w:t>
      </w:r>
      <w:bookmarkEnd w:id="46"/>
    </w:p>
    <w:tbl>
      <w:tblPr>
        <w:tblStyle w:val="GridTable1Light-Accent31"/>
        <w:tblW w:w="9498" w:type="dxa"/>
        <w:jc w:val="center"/>
        <w:tblLook w:val="04A0" w:firstRow="1" w:lastRow="0" w:firstColumn="1" w:lastColumn="0" w:noHBand="0" w:noVBand="1"/>
      </w:tblPr>
      <w:tblGrid>
        <w:gridCol w:w="4595"/>
        <w:gridCol w:w="1080"/>
        <w:gridCol w:w="994"/>
        <w:gridCol w:w="1147"/>
        <w:gridCol w:w="1682"/>
      </w:tblGrid>
      <w:tr w:rsidR="00A907A0" w:rsidRPr="000D33E4" w14:paraId="74A86749" w14:textId="77777777" w:rsidTr="00CC643A">
        <w:trPr>
          <w:cnfStyle w:val="100000000000" w:firstRow="1" w:lastRow="0" w:firstColumn="0" w:lastColumn="0" w:oddVBand="0" w:evenVBand="0" w:oddHBand="0" w:evenHBand="0" w:firstRowFirstColumn="0" w:firstRowLastColumn="0" w:lastRowFirstColumn="0" w:lastRowLastColumn="0"/>
          <w:trHeight w:val="204"/>
          <w:jc w:val="center"/>
        </w:trPr>
        <w:tc>
          <w:tcPr>
            <w:cnfStyle w:val="001000000000" w:firstRow="0" w:lastRow="0" w:firstColumn="1" w:lastColumn="0" w:oddVBand="0" w:evenVBand="0" w:oddHBand="0" w:evenHBand="0" w:firstRowFirstColumn="0" w:firstRowLastColumn="0" w:lastRowFirstColumn="0" w:lastRowLastColumn="0"/>
            <w:tcW w:w="4595" w:type="dxa"/>
            <w:tcBorders>
              <w:bottom w:val="none" w:sz="0" w:space="0" w:color="auto"/>
            </w:tcBorders>
            <w:noWrap/>
            <w:hideMark/>
          </w:tcPr>
          <w:p w14:paraId="00402C6E" w14:textId="77777777" w:rsidR="00A907A0" w:rsidRPr="009A7F2D" w:rsidRDefault="00A907A0" w:rsidP="009A7F2D">
            <w:pPr>
              <w:keepNext/>
              <w:rPr>
                <w:rFonts w:ascii="Times" w:hAnsi="Times"/>
                <w:b w:val="0"/>
                <w:sz w:val="20"/>
                <w:szCs w:val="20"/>
                <w:lang w:val="en-US"/>
              </w:rPr>
            </w:pPr>
          </w:p>
        </w:tc>
        <w:tc>
          <w:tcPr>
            <w:tcW w:w="1080" w:type="dxa"/>
            <w:tcBorders>
              <w:bottom w:val="none" w:sz="0" w:space="0" w:color="auto"/>
            </w:tcBorders>
            <w:noWrap/>
            <w:hideMark/>
          </w:tcPr>
          <w:p w14:paraId="38F5382D" w14:textId="77777777" w:rsidR="00A907A0" w:rsidRPr="00CC643A" w:rsidRDefault="00A907A0" w:rsidP="00643E3C">
            <w:pPr>
              <w:keepNext/>
              <w:jc w:val="center"/>
              <w:cnfStyle w:val="100000000000" w:firstRow="1" w:lastRow="0" w:firstColumn="0" w:lastColumn="0" w:oddVBand="0" w:evenVBand="0" w:oddHBand="0" w:evenHBand="0" w:firstRowFirstColumn="0" w:firstRowLastColumn="0" w:lastRowFirstColumn="0" w:lastRowLastColumn="0"/>
              <w:rPr>
                <w:rFonts w:ascii="Times" w:hAnsi="Times"/>
                <w:bCs w:val="0"/>
                <w:color w:val="000000"/>
                <w:sz w:val="20"/>
                <w:szCs w:val="20"/>
                <w:lang w:val="en-US"/>
              </w:rPr>
            </w:pPr>
            <w:r w:rsidRPr="00C7772C">
              <w:rPr>
                <w:rFonts w:ascii="Times" w:hAnsi="Times"/>
                <w:color w:val="000000"/>
                <w:sz w:val="20"/>
                <w:szCs w:val="20"/>
                <w:lang w:val="en-US"/>
              </w:rPr>
              <w:t>MTEF</w:t>
            </w:r>
            <w:r w:rsidR="00E827B9" w:rsidRPr="00C7772C">
              <w:rPr>
                <w:rFonts w:ascii="Times" w:hAnsi="Times"/>
                <w:color w:val="000000"/>
                <w:sz w:val="20"/>
                <w:szCs w:val="20"/>
                <w:lang w:val="en-US"/>
              </w:rPr>
              <w:t xml:space="preserve"> total</w:t>
            </w:r>
          </w:p>
        </w:tc>
        <w:tc>
          <w:tcPr>
            <w:tcW w:w="994" w:type="dxa"/>
            <w:tcBorders>
              <w:bottom w:val="none" w:sz="0" w:space="0" w:color="auto"/>
            </w:tcBorders>
            <w:noWrap/>
            <w:vAlign w:val="center"/>
            <w:hideMark/>
          </w:tcPr>
          <w:p w14:paraId="3278E360" w14:textId="77777777" w:rsidR="00A907A0" w:rsidRPr="00CC643A" w:rsidRDefault="00A907A0" w:rsidP="00C7772C">
            <w:pPr>
              <w:keepNext/>
              <w:jc w:val="center"/>
              <w:cnfStyle w:val="100000000000" w:firstRow="1" w:lastRow="0" w:firstColumn="0" w:lastColumn="0" w:oddVBand="0" w:evenVBand="0" w:oddHBand="0" w:evenHBand="0" w:firstRowFirstColumn="0" w:firstRowLastColumn="0" w:lastRowFirstColumn="0" w:lastRowLastColumn="0"/>
              <w:rPr>
                <w:rFonts w:ascii="Times" w:hAnsi="Times"/>
                <w:bCs w:val="0"/>
                <w:color w:val="000000"/>
                <w:sz w:val="20"/>
                <w:szCs w:val="20"/>
                <w:lang w:val="en-US"/>
              </w:rPr>
            </w:pPr>
            <w:r w:rsidRPr="00C7772C">
              <w:rPr>
                <w:rFonts w:ascii="Times" w:hAnsi="Times"/>
                <w:color w:val="000000"/>
                <w:sz w:val="20"/>
                <w:szCs w:val="20"/>
                <w:lang w:val="en-US"/>
              </w:rPr>
              <w:t>2020/21</w:t>
            </w:r>
          </w:p>
        </w:tc>
        <w:tc>
          <w:tcPr>
            <w:tcW w:w="1147" w:type="dxa"/>
            <w:tcBorders>
              <w:bottom w:val="none" w:sz="0" w:space="0" w:color="auto"/>
            </w:tcBorders>
            <w:noWrap/>
            <w:vAlign w:val="center"/>
            <w:hideMark/>
          </w:tcPr>
          <w:p w14:paraId="3D0BBE6E" w14:textId="77777777" w:rsidR="00A907A0" w:rsidRPr="00CC643A" w:rsidRDefault="00A907A0" w:rsidP="00C7772C">
            <w:pPr>
              <w:keepNext/>
              <w:jc w:val="center"/>
              <w:cnfStyle w:val="100000000000" w:firstRow="1" w:lastRow="0" w:firstColumn="0" w:lastColumn="0" w:oddVBand="0" w:evenVBand="0" w:oddHBand="0" w:evenHBand="0" w:firstRowFirstColumn="0" w:firstRowLastColumn="0" w:lastRowFirstColumn="0" w:lastRowLastColumn="0"/>
              <w:rPr>
                <w:rFonts w:ascii="Times" w:hAnsi="Times"/>
                <w:bCs w:val="0"/>
                <w:color w:val="000000"/>
                <w:sz w:val="20"/>
                <w:szCs w:val="20"/>
                <w:lang w:val="en-US"/>
              </w:rPr>
            </w:pPr>
            <w:r w:rsidRPr="00C7772C">
              <w:rPr>
                <w:rFonts w:ascii="Times" w:hAnsi="Times"/>
                <w:color w:val="000000"/>
                <w:sz w:val="20"/>
                <w:szCs w:val="20"/>
                <w:lang w:val="en-US"/>
              </w:rPr>
              <w:t>2021/22</w:t>
            </w:r>
          </w:p>
        </w:tc>
        <w:tc>
          <w:tcPr>
            <w:tcW w:w="1682" w:type="dxa"/>
            <w:tcBorders>
              <w:bottom w:val="none" w:sz="0" w:space="0" w:color="auto"/>
            </w:tcBorders>
            <w:noWrap/>
            <w:vAlign w:val="center"/>
            <w:hideMark/>
          </w:tcPr>
          <w:p w14:paraId="278000B8" w14:textId="77777777" w:rsidR="00A907A0" w:rsidRPr="00CC643A" w:rsidRDefault="00A907A0" w:rsidP="00C7772C">
            <w:pPr>
              <w:keepNext/>
              <w:jc w:val="center"/>
              <w:cnfStyle w:val="100000000000" w:firstRow="1" w:lastRow="0" w:firstColumn="0" w:lastColumn="0" w:oddVBand="0" w:evenVBand="0" w:oddHBand="0" w:evenHBand="0" w:firstRowFirstColumn="0" w:firstRowLastColumn="0" w:lastRowFirstColumn="0" w:lastRowLastColumn="0"/>
              <w:rPr>
                <w:rFonts w:ascii="Times" w:hAnsi="Times"/>
                <w:bCs w:val="0"/>
                <w:color w:val="000000"/>
                <w:sz w:val="20"/>
                <w:szCs w:val="20"/>
                <w:lang w:val="en-US"/>
              </w:rPr>
            </w:pPr>
            <w:r w:rsidRPr="00C7772C">
              <w:rPr>
                <w:rFonts w:ascii="Times" w:hAnsi="Times"/>
                <w:color w:val="000000"/>
                <w:sz w:val="20"/>
                <w:szCs w:val="20"/>
                <w:lang w:val="en-US"/>
              </w:rPr>
              <w:t>2022/23</w:t>
            </w:r>
          </w:p>
        </w:tc>
      </w:tr>
      <w:tr w:rsidR="00A907A0" w:rsidRPr="000D33E4" w14:paraId="4636C93B" w14:textId="77777777" w:rsidTr="009A7F2D">
        <w:trPr>
          <w:trHeight w:val="204"/>
          <w:jc w:val="center"/>
        </w:trPr>
        <w:tc>
          <w:tcPr>
            <w:cnfStyle w:val="001000000000" w:firstRow="0" w:lastRow="0" w:firstColumn="1" w:lastColumn="0" w:oddVBand="0" w:evenVBand="0" w:oddHBand="0" w:evenHBand="0" w:firstRowFirstColumn="0" w:firstRowLastColumn="0" w:lastRowFirstColumn="0" w:lastRowLastColumn="0"/>
            <w:tcW w:w="4595" w:type="dxa"/>
            <w:noWrap/>
            <w:hideMark/>
          </w:tcPr>
          <w:p w14:paraId="7B8F508E" w14:textId="77777777" w:rsidR="00A907A0" w:rsidRPr="009A7F2D" w:rsidRDefault="00A907A0" w:rsidP="009A7F2D">
            <w:pPr>
              <w:keepNext/>
              <w:rPr>
                <w:rFonts w:ascii="Times" w:hAnsi="Times"/>
                <w:b w:val="0"/>
                <w:color w:val="000000"/>
                <w:sz w:val="20"/>
                <w:szCs w:val="20"/>
                <w:lang w:val="en-US"/>
              </w:rPr>
            </w:pPr>
            <w:r w:rsidRPr="009A7F2D">
              <w:rPr>
                <w:rFonts w:ascii="Times" w:hAnsi="Times"/>
                <w:b w:val="0"/>
                <w:color w:val="000000"/>
                <w:sz w:val="20"/>
                <w:szCs w:val="20"/>
                <w:lang w:val="en-US"/>
              </w:rPr>
              <w:t>Baseline reductions and reallocations</w:t>
            </w:r>
          </w:p>
        </w:tc>
        <w:tc>
          <w:tcPr>
            <w:tcW w:w="1080" w:type="dxa"/>
            <w:noWrap/>
            <w:hideMark/>
          </w:tcPr>
          <w:p w14:paraId="44124D4C" w14:textId="77777777" w:rsidR="00A907A0" w:rsidRPr="009A7F2D" w:rsidRDefault="00A907A0" w:rsidP="00A87760">
            <w:pPr>
              <w:keepNext/>
              <w:jc w:val="center"/>
              <w:cnfStyle w:val="000000000000" w:firstRow="0" w:lastRow="0" w:firstColumn="0" w:lastColumn="0" w:oddVBand="0" w:evenVBand="0" w:oddHBand="0" w:evenHBand="0" w:firstRowFirstColumn="0" w:firstRowLastColumn="0" w:lastRowFirstColumn="0" w:lastRowLastColumn="0"/>
              <w:rPr>
                <w:rFonts w:ascii="Times" w:hAnsi="Times"/>
                <w:bCs/>
                <w:color w:val="000000"/>
                <w:sz w:val="20"/>
                <w:szCs w:val="20"/>
                <w:lang w:val="en-US"/>
              </w:rPr>
            </w:pPr>
            <w:r w:rsidRPr="009A7F2D">
              <w:rPr>
                <w:rFonts w:ascii="Times" w:hAnsi="Times"/>
                <w:bCs/>
                <w:color w:val="000000"/>
                <w:sz w:val="20"/>
                <w:szCs w:val="20"/>
                <w:lang w:val="en-US"/>
              </w:rPr>
              <w:t>-261</w:t>
            </w:r>
          </w:p>
        </w:tc>
        <w:tc>
          <w:tcPr>
            <w:tcW w:w="994" w:type="dxa"/>
            <w:noWrap/>
            <w:hideMark/>
          </w:tcPr>
          <w:p w14:paraId="0D2C443D" w14:textId="77777777" w:rsidR="00A907A0" w:rsidRPr="009A7F2D" w:rsidRDefault="00A907A0" w:rsidP="00A87760">
            <w:pPr>
              <w:keepNext/>
              <w:jc w:val="center"/>
              <w:cnfStyle w:val="000000000000" w:firstRow="0" w:lastRow="0" w:firstColumn="0" w:lastColumn="0" w:oddVBand="0" w:evenVBand="0" w:oddHBand="0" w:evenHBand="0" w:firstRowFirstColumn="0" w:firstRowLastColumn="0" w:lastRowFirstColumn="0" w:lastRowLastColumn="0"/>
              <w:rPr>
                <w:rFonts w:ascii="Times" w:hAnsi="Times"/>
                <w:bCs/>
                <w:color w:val="000000"/>
                <w:sz w:val="20"/>
                <w:szCs w:val="20"/>
                <w:lang w:val="en-US"/>
              </w:rPr>
            </w:pPr>
            <w:r w:rsidRPr="009A7F2D">
              <w:rPr>
                <w:rFonts w:ascii="Times" w:hAnsi="Times"/>
                <w:bCs/>
                <w:color w:val="000000"/>
                <w:sz w:val="20"/>
                <w:szCs w:val="20"/>
                <w:lang w:val="en-US"/>
              </w:rPr>
              <w:t>-66</w:t>
            </w:r>
          </w:p>
        </w:tc>
        <w:tc>
          <w:tcPr>
            <w:tcW w:w="1147" w:type="dxa"/>
            <w:noWrap/>
            <w:hideMark/>
          </w:tcPr>
          <w:p w14:paraId="764293A6" w14:textId="77777777" w:rsidR="00A907A0" w:rsidRPr="009A7F2D" w:rsidRDefault="00A907A0" w:rsidP="00A87760">
            <w:pPr>
              <w:keepNext/>
              <w:jc w:val="center"/>
              <w:cnfStyle w:val="000000000000" w:firstRow="0" w:lastRow="0" w:firstColumn="0" w:lastColumn="0" w:oddVBand="0" w:evenVBand="0" w:oddHBand="0" w:evenHBand="0" w:firstRowFirstColumn="0" w:firstRowLastColumn="0" w:lastRowFirstColumn="0" w:lastRowLastColumn="0"/>
              <w:rPr>
                <w:rFonts w:ascii="Times" w:hAnsi="Times"/>
                <w:bCs/>
                <w:color w:val="000000"/>
                <w:sz w:val="20"/>
                <w:szCs w:val="20"/>
                <w:lang w:val="en-US"/>
              </w:rPr>
            </w:pPr>
            <w:r w:rsidRPr="009A7F2D">
              <w:rPr>
                <w:rFonts w:ascii="Times" w:hAnsi="Times"/>
                <w:bCs/>
                <w:color w:val="000000"/>
                <w:sz w:val="20"/>
                <w:szCs w:val="20"/>
                <w:lang w:val="en-US"/>
              </w:rPr>
              <w:t>-88</w:t>
            </w:r>
          </w:p>
        </w:tc>
        <w:tc>
          <w:tcPr>
            <w:tcW w:w="1682" w:type="dxa"/>
            <w:noWrap/>
            <w:hideMark/>
          </w:tcPr>
          <w:p w14:paraId="7327500C" w14:textId="77777777" w:rsidR="00A907A0" w:rsidRPr="009A7F2D" w:rsidRDefault="00A907A0" w:rsidP="00A87760">
            <w:pPr>
              <w:keepNext/>
              <w:jc w:val="center"/>
              <w:cnfStyle w:val="000000000000" w:firstRow="0" w:lastRow="0" w:firstColumn="0" w:lastColumn="0" w:oddVBand="0" w:evenVBand="0" w:oddHBand="0" w:evenHBand="0" w:firstRowFirstColumn="0" w:firstRowLastColumn="0" w:lastRowFirstColumn="0" w:lastRowLastColumn="0"/>
              <w:rPr>
                <w:rFonts w:ascii="Times" w:hAnsi="Times"/>
                <w:bCs/>
                <w:color w:val="000000"/>
                <w:sz w:val="20"/>
                <w:szCs w:val="20"/>
                <w:lang w:val="en-US"/>
              </w:rPr>
            </w:pPr>
            <w:r w:rsidRPr="009A7F2D">
              <w:rPr>
                <w:rFonts w:ascii="Times" w:hAnsi="Times"/>
                <w:bCs/>
                <w:color w:val="000000"/>
                <w:sz w:val="20"/>
                <w:szCs w:val="20"/>
                <w:lang w:val="en-US"/>
              </w:rPr>
              <w:t>-107</w:t>
            </w:r>
          </w:p>
        </w:tc>
      </w:tr>
      <w:tr w:rsidR="00A907A0" w:rsidRPr="000D33E4" w14:paraId="2EB02D5E" w14:textId="77777777" w:rsidTr="009A7F2D">
        <w:trPr>
          <w:trHeight w:val="204"/>
          <w:jc w:val="center"/>
        </w:trPr>
        <w:tc>
          <w:tcPr>
            <w:cnfStyle w:val="001000000000" w:firstRow="0" w:lastRow="0" w:firstColumn="1" w:lastColumn="0" w:oddVBand="0" w:evenVBand="0" w:oddHBand="0" w:evenHBand="0" w:firstRowFirstColumn="0" w:firstRowLastColumn="0" w:lastRowFirstColumn="0" w:lastRowLastColumn="0"/>
            <w:tcW w:w="4595" w:type="dxa"/>
            <w:noWrap/>
            <w:hideMark/>
          </w:tcPr>
          <w:p w14:paraId="3ED2B36D" w14:textId="77777777" w:rsidR="00A907A0" w:rsidRPr="009A7F2D" w:rsidRDefault="00A907A0" w:rsidP="009A7F2D">
            <w:pPr>
              <w:keepNext/>
              <w:rPr>
                <w:rFonts w:ascii="Times" w:hAnsi="Times"/>
                <w:b w:val="0"/>
                <w:color w:val="000000"/>
                <w:sz w:val="20"/>
                <w:szCs w:val="20"/>
                <w:lang w:val="en-US"/>
              </w:rPr>
            </w:pPr>
            <w:r w:rsidRPr="009A7F2D">
              <w:rPr>
                <w:rFonts w:ascii="Times" w:hAnsi="Times"/>
                <w:b w:val="0"/>
                <w:color w:val="000000"/>
                <w:sz w:val="20"/>
                <w:szCs w:val="20"/>
                <w:lang w:val="en-US"/>
              </w:rPr>
              <w:t>Programme baseline reductions</w:t>
            </w:r>
          </w:p>
        </w:tc>
        <w:tc>
          <w:tcPr>
            <w:tcW w:w="1080" w:type="dxa"/>
            <w:noWrap/>
            <w:hideMark/>
          </w:tcPr>
          <w:p w14:paraId="343A3204" w14:textId="77777777" w:rsidR="00A907A0" w:rsidRPr="009A7F2D" w:rsidRDefault="00A907A0" w:rsidP="00A87760">
            <w:pPr>
              <w:keepNext/>
              <w:jc w:val="center"/>
              <w:cnfStyle w:val="000000000000" w:firstRow="0" w:lastRow="0" w:firstColumn="0" w:lastColumn="0" w:oddVBand="0" w:evenVBand="0" w:oddHBand="0" w:evenHBand="0" w:firstRowFirstColumn="0" w:firstRowLastColumn="0" w:lastRowFirstColumn="0" w:lastRowLastColumn="0"/>
              <w:rPr>
                <w:rFonts w:ascii="Times" w:hAnsi="Times"/>
                <w:color w:val="000000"/>
                <w:sz w:val="20"/>
                <w:szCs w:val="20"/>
                <w:lang w:val="en-US"/>
              </w:rPr>
            </w:pPr>
            <w:r w:rsidRPr="009A7F2D">
              <w:rPr>
                <w:rFonts w:ascii="Times" w:hAnsi="Times"/>
                <w:color w:val="000000"/>
                <w:sz w:val="20"/>
                <w:szCs w:val="20"/>
                <w:lang w:val="en-US"/>
              </w:rPr>
              <w:t>-101</w:t>
            </w:r>
          </w:p>
        </w:tc>
        <w:tc>
          <w:tcPr>
            <w:tcW w:w="994" w:type="dxa"/>
            <w:noWrap/>
            <w:hideMark/>
          </w:tcPr>
          <w:p w14:paraId="379D9FFE" w14:textId="77777777" w:rsidR="00A907A0" w:rsidRPr="009A7F2D" w:rsidRDefault="00A907A0" w:rsidP="00A87760">
            <w:pPr>
              <w:keepNext/>
              <w:jc w:val="center"/>
              <w:cnfStyle w:val="000000000000" w:firstRow="0" w:lastRow="0" w:firstColumn="0" w:lastColumn="0" w:oddVBand="0" w:evenVBand="0" w:oddHBand="0" w:evenHBand="0" w:firstRowFirstColumn="0" w:firstRowLastColumn="0" w:lastRowFirstColumn="0" w:lastRowLastColumn="0"/>
              <w:rPr>
                <w:rFonts w:ascii="Times" w:hAnsi="Times"/>
                <w:color w:val="000000"/>
                <w:sz w:val="20"/>
                <w:szCs w:val="20"/>
                <w:lang w:val="en-US"/>
              </w:rPr>
            </w:pPr>
            <w:r w:rsidRPr="009A7F2D">
              <w:rPr>
                <w:rFonts w:ascii="Times" w:hAnsi="Times"/>
                <w:color w:val="000000"/>
                <w:sz w:val="20"/>
                <w:szCs w:val="20"/>
                <w:lang w:val="en-US"/>
              </w:rPr>
              <w:t>-28</w:t>
            </w:r>
          </w:p>
        </w:tc>
        <w:tc>
          <w:tcPr>
            <w:tcW w:w="1147" w:type="dxa"/>
            <w:noWrap/>
            <w:hideMark/>
          </w:tcPr>
          <w:p w14:paraId="350F9343" w14:textId="77777777" w:rsidR="00A907A0" w:rsidRPr="009A7F2D" w:rsidRDefault="00A907A0" w:rsidP="00A87760">
            <w:pPr>
              <w:keepNext/>
              <w:jc w:val="center"/>
              <w:cnfStyle w:val="000000000000" w:firstRow="0" w:lastRow="0" w:firstColumn="0" w:lastColumn="0" w:oddVBand="0" w:evenVBand="0" w:oddHBand="0" w:evenHBand="0" w:firstRowFirstColumn="0" w:firstRowLastColumn="0" w:lastRowFirstColumn="0" w:lastRowLastColumn="0"/>
              <w:rPr>
                <w:rFonts w:ascii="Times" w:hAnsi="Times"/>
                <w:color w:val="000000"/>
                <w:sz w:val="20"/>
                <w:szCs w:val="20"/>
                <w:lang w:val="en-US"/>
              </w:rPr>
            </w:pPr>
            <w:r w:rsidRPr="009A7F2D">
              <w:rPr>
                <w:rFonts w:ascii="Times" w:hAnsi="Times"/>
                <w:color w:val="000000"/>
                <w:sz w:val="20"/>
                <w:szCs w:val="20"/>
                <w:lang w:val="en-US"/>
              </w:rPr>
              <w:t>-33</w:t>
            </w:r>
          </w:p>
        </w:tc>
        <w:tc>
          <w:tcPr>
            <w:tcW w:w="1682" w:type="dxa"/>
            <w:noWrap/>
            <w:hideMark/>
          </w:tcPr>
          <w:p w14:paraId="31914FD3" w14:textId="77777777" w:rsidR="00A907A0" w:rsidRPr="009A7F2D" w:rsidRDefault="00A907A0" w:rsidP="00A87760">
            <w:pPr>
              <w:keepNext/>
              <w:jc w:val="center"/>
              <w:cnfStyle w:val="000000000000" w:firstRow="0" w:lastRow="0" w:firstColumn="0" w:lastColumn="0" w:oddVBand="0" w:evenVBand="0" w:oddHBand="0" w:evenHBand="0" w:firstRowFirstColumn="0" w:firstRowLastColumn="0" w:lastRowFirstColumn="0" w:lastRowLastColumn="0"/>
              <w:rPr>
                <w:rFonts w:ascii="Times" w:hAnsi="Times"/>
                <w:color w:val="000000"/>
                <w:sz w:val="20"/>
                <w:szCs w:val="20"/>
                <w:lang w:val="en-US"/>
              </w:rPr>
            </w:pPr>
            <w:r w:rsidRPr="009A7F2D">
              <w:rPr>
                <w:rFonts w:ascii="Times" w:hAnsi="Times"/>
                <w:color w:val="000000"/>
                <w:sz w:val="20"/>
                <w:szCs w:val="20"/>
                <w:lang w:val="en-US"/>
              </w:rPr>
              <w:t>-39</w:t>
            </w:r>
          </w:p>
        </w:tc>
      </w:tr>
      <w:tr w:rsidR="00A907A0" w:rsidRPr="000D33E4" w14:paraId="63DA6B69" w14:textId="77777777" w:rsidTr="009A7F2D">
        <w:trPr>
          <w:trHeight w:val="204"/>
          <w:jc w:val="center"/>
        </w:trPr>
        <w:tc>
          <w:tcPr>
            <w:cnfStyle w:val="001000000000" w:firstRow="0" w:lastRow="0" w:firstColumn="1" w:lastColumn="0" w:oddVBand="0" w:evenVBand="0" w:oddHBand="0" w:evenHBand="0" w:firstRowFirstColumn="0" w:firstRowLastColumn="0" w:lastRowFirstColumn="0" w:lastRowLastColumn="0"/>
            <w:tcW w:w="4595" w:type="dxa"/>
            <w:noWrap/>
            <w:hideMark/>
          </w:tcPr>
          <w:p w14:paraId="37C92F37" w14:textId="77777777" w:rsidR="00A907A0" w:rsidRPr="009A7F2D" w:rsidRDefault="00A907A0" w:rsidP="009A7F2D">
            <w:pPr>
              <w:keepNext/>
              <w:rPr>
                <w:rFonts w:ascii="Times" w:hAnsi="Times"/>
                <w:b w:val="0"/>
                <w:color w:val="000000"/>
                <w:sz w:val="20"/>
                <w:szCs w:val="20"/>
                <w:lang w:val="en-US"/>
              </w:rPr>
            </w:pPr>
            <w:r w:rsidRPr="009A7F2D">
              <w:rPr>
                <w:rFonts w:ascii="Times" w:hAnsi="Times"/>
                <w:b w:val="0"/>
                <w:color w:val="000000"/>
                <w:sz w:val="20"/>
                <w:szCs w:val="20"/>
                <w:lang w:val="en-US"/>
              </w:rPr>
              <w:t>Wage bill reductions</w:t>
            </w:r>
          </w:p>
        </w:tc>
        <w:tc>
          <w:tcPr>
            <w:tcW w:w="1080" w:type="dxa"/>
            <w:noWrap/>
            <w:hideMark/>
          </w:tcPr>
          <w:p w14:paraId="3C251012" w14:textId="77777777" w:rsidR="00A907A0" w:rsidRPr="009A7F2D" w:rsidRDefault="00A907A0" w:rsidP="00A87760">
            <w:pPr>
              <w:keepNext/>
              <w:jc w:val="center"/>
              <w:cnfStyle w:val="000000000000" w:firstRow="0" w:lastRow="0" w:firstColumn="0" w:lastColumn="0" w:oddVBand="0" w:evenVBand="0" w:oddHBand="0" w:evenHBand="0" w:firstRowFirstColumn="0" w:firstRowLastColumn="0" w:lastRowFirstColumn="0" w:lastRowLastColumn="0"/>
              <w:rPr>
                <w:rFonts w:ascii="Times" w:hAnsi="Times"/>
                <w:color w:val="000000"/>
                <w:sz w:val="20"/>
                <w:szCs w:val="20"/>
                <w:lang w:val="en-US"/>
              </w:rPr>
            </w:pPr>
            <w:r w:rsidRPr="009A7F2D">
              <w:rPr>
                <w:rFonts w:ascii="Times" w:hAnsi="Times"/>
                <w:color w:val="000000"/>
                <w:sz w:val="20"/>
                <w:szCs w:val="20"/>
                <w:lang w:val="en-US"/>
              </w:rPr>
              <w:t>-160</w:t>
            </w:r>
          </w:p>
        </w:tc>
        <w:tc>
          <w:tcPr>
            <w:tcW w:w="994" w:type="dxa"/>
            <w:noWrap/>
            <w:hideMark/>
          </w:tcPr>
          <w:p w14:paraId="74E65A21" w14:textId="77777777" w:rsidR="00A907A0" w:rsidRPr="009A7F2D" w:rsidRDefault="00A907A0" w:rsidP="00A87760">
            <w:pPr>
              <w:keepNext/>
              <w:jc w:val="center"/>
              <w:cnfStyle w:val="000000000000" w:firstRow="0" w:lastRow="0" w:firstColumn="0" w:lastColumn="0" w:oddVBand="0" w:evenVBand="0" w:oddHBand="0" w:evenHBand="0" w:firstRowFirstColumn="0" w:firstRowLastColumn="0" w:lastRowFirstColumn="0" w:lastRowLastColumn="0"/>
              <w:rPr>
                <w:rFonts w:ascii="Times" w:hAnsi="Times"/>
                <w:color w:val="000000"/>
                <w:sz w:val="20"/>
                <w:szCs w:val="20"/>
                <w:lang w:val="en-US"/>
              </w:rPr>
            </w:pPr>
            <w:r w:rsidRPr="009A7F2D">
              <w:rPr>
                <w:rFonts w:ascii="Times" w:hAnsi="Times"/>
                <w:color w:val="000000"/>
                <w:sz w:val="20"/>
                <w:szCs w:val="20"/>
                <w:lang w:val="en-US"/>
              </w:rPr>
              <w:t>-38</w:t>
            </w:r>
          </w:p>
        </w:tc>
        <w:tc>
          <w:tcPr>
            <w:tcW w:w="1147" w:type="dxa"/>
            <w:noWrap/>
            <w:hideMark/>
          </w:tcPr>
          <w:p w14:paraId="441C8ACA" w14:textId="77777777" w:rsidR="00A907A0" w:rsidRPr="009A7F2D" w:rsidRDefault="00A907A0" w:rsidP="00A87760">
            <w:pPr>
              <w:keepNext/>
              <w:jc w:val="center"/>
              <w:cnfStyle w:val="000000000000" w:firstRow="0" w:lastRow="0" w:firstColumn="0" w:lastColumn="0" w:oddVBand="0" w:evenVBand="0" w:oddHBand="0" w:evenHBand="0" w:firstRowFirstColumn="0" w:firstRowLastColumn="0" w:lastRowFirstColumn="0" w:lastRowLastColumn="0"/>
              <w:rPr>
                <w:rFonts w:ascii="Times" w:hAnsi="Times"/>
                <w:color w:val="000000"/>
                <w:sz w:val="20"/>
                <w:szCs w:val="20"/>
                <w:lang w:val="en-US"/>
              </w:rPr>
            </w:pPr>
            <w:r w:rsidRPr="009A7F2D">
              <w:rPr>
                <w:rFonts w:ascii="Times" w:hAnsi="Times"/>
                <w:color w:val="000000"/>
                <w:sz w:val="20"/>
                <w:szCs w:val="20"/>
                <w:lang w:val="en-US"/>
              </w:rPr>
              <w:t>-55</w:t>
            </w:r>
          </w:p>
        </w:tc>
        <w:tc>
          <w:tcPr>
            <w:tcW w:w="1682" w:type="dxa"/>
            <w:noWrap/>
            <w:hideMark/>
          </w:tcPr>
          <w:p w14:paraId="16054951" w14:textId="77777777" w:rsidR="00A907A0" w:rsidRPr="009A7F2D" w:rsidRDefault="00A907A0" w:rsidP="00A87760">
            <w:pPr>
              <w:keepNext/>
              <w:jc w:val="center"/>
              <w:cnfStyle w:val="000000000000" w:firstRow="0" w:lastRow="0" w:firstColumn="0" w:lastColumn="0" w:oddVBand="0" w:evenVBand="0" w:oddHBand="0" w:evenHBand="0" w:firstRowFirstColumn="0" w:firstRowLastColumn="0" w:lastRowFirstColumn="0" w:lastRowLastColumn="0"/>
              <w:rPr>
                <w:rFonts w:ascii="Times" w:hAnsi="Times"/>
                <w:color w:val="000000"/>
                <w:sz w:val="20"/>
                <w:szCs w:val="20"/>
                <w:lang w:val="en-US"/>
              </w:rPr>
            </w:pPr>
            <w:r w:rsidRPr="009A7F2D">
              <w:rPr>
                <w:rFonts w:ascii="Times" w:hAnsi="Times"/>
                <w:color w:val="000000"/>
                <w:sz w:val="20"/>
                <w:szCs w:val="20"/>
                <w:lang w:val="en-US"/>
              </w:rPr>
              <w:t>-67</w:t>
            </w:r>
          </w:p>
        </w:tc>
      </w:tr>
      <w:tr w:rsidR="00A907A0" w:rsidRPr="000D33E4" w14:paraId="2F9C11DA" w14:textId="77777777" w:rsidTr="009A7F2D">
        <w:trPr>
          <w:trHeight w:val="204"/>
          <w:jc w:val="center"/>
        </w:trPr>
        <w:tc>
          <w:tcPr>
            <w:cnfStyle w:val="001000000000" w:firstRow="0" w:lastRow="0" w:firstColumn="1" w:lastColumn="0" w:oddVBand="0" w:evenVBand="0" w:oddHBand="0" w:evenHBand="0" w:firstRowFirstColumn="0" w:firstRowLastColumn="0" w:lastRowFirstColumn="0" w:lastRowLastColumn="0"/>
            <w:tcW w:w="4595" w:type="dxa"/>
            <w:noWrap/>
            <w:hideMark/>
          </w:tcPr>
          <w:p w14:paraId="4D5783D2" w14:textId="77777777" w:rsidR="00A907A0" w:rsidRPr="009A7F2D" w:rsidRDefault="00A907A0" w:rsidP="009A7F2D">
            <w:pPr>
              <w:keepNext/>
              <w:rPr>
                <w:rFonts w:ascii="Times" w:hAnsi="Times"/>
                <w:b w:val="0"/>
                <w:color w:val="000000"/>
                <w:sz w:val="20"/>
                <w:szCs w:val="20"/>
                <w:lang w:val="en-US"/>
              </w:rPr>
            </w:pPr>
            <w:r w:rsidRPr="009A7F2D">
              <w:rPr>
                <w:rFonts w:ascii="Times" w:hAnsi="Times"/>
                <w:b w:val="0"/>
                <w:color w:val="000000"/>
                <w:sz w:val="20"/>
                <w:szCs w:val="20"/>
                <w:lang w:val="en-US"/>
              </w:rPr>
              <w:t>Baseline allocations</w:t>
            </w:r>
          </w:p>
        </w:tc>
        <w:tc>
          <w:tcPr>
            <w:tcW w:w="1080" w:type="dxa"/>
            <w:noWrap/>
            <w:hideMark/>
          </w:tcPr>
          <w:p w14:paraId="3168DF9D" w14:textId="77777777" w:rsidR="00A907A0" w:rsidRPr="009A7F2D" w:rsidRDefault="00A907A0" w:rsidP="00A87760">
            <w:pPr>
              <w:keepNext/>
              <w:jc w:val="center"/>
              <w:cnfStyle w:val="000000000000" w:firstRow="0" w:lastRow="0" w:firstColumn="0" w:lastColumn="0" w:oddVBand="0" w:evenVBand="0" w:oddHBand="0" w:evenHBand="0" w:firstRowFirstColumn="0" w:firstRowLastColumn="0" w:lastRowFirstColumn="0" w:lastRowLastColumn="0"/>
              <w:rPr>
                <w:rFonts w:ascii="Times" w:hAnsi="Times"/>
                <w:bCs/>
                <w:color w:val="000000"/>
                <w:sz w:val="20"/>
                <w:szCs w:val="20"/>
                <w:lang w:val="en-US"/>
              </w:rPr>
            </w:pPr>
            <w:r w:rsidRPr="009A7F2D">
              <w:rPr>
                <w:rFonts w:ascii="Times" w:hAnsi="Times"/>
                <w:bCs/>
                <w:color w:val="000000"/>
                <w:sz w:val="20"/>
                <w:szCs w:val="20"/>
                <w:lang w:val="en-US"/>
              </w:rPr>
              <w:t>111</w:t>
            </w:r>
          </w:p>
        </w:tc>
        <w:tc>
          <w:tcPr>
            <w:tcW w:w="994" w:type="dxa"/>
            <w:noWrap/>
            <w:hideMark/>
          </w:tcPr>
          <w:p w14:paraId="1F575916" w14:textId="77777777" w:rsidR="00A907A0" w:rsidRPr="009A7F2D" w:rsidRDefault="00A907A0" w:rsidP="00A87760">
            <w:pPr>
              <w:keepNext/>
              <w:jc w:val="center"/>
              <w:cnfStyle w:val="000000000000" w:firstRow="0" w:lastRow="0" w:firstColumn="0" w:lastColumn="0" w:oddVBand="0" w:evenVBand="0" w:oddHBand="0" w:evenHBand="0" w:firstRowFirstColumn="0" w:firstRowLastColumn="0" w:lastRowFirstColumn="0" w:lastRowLastColumn="0"/>
              <w:rPr>
                <w:rFonts w:ascii="Times" w:hAnsi="Times"/>
                <w:bCs/>
                <w:color w:val="000000"/>
                <w:sz w:val="20"/>
                <w:szCs w:val="20"/>
                <w:lang w:val="en-US"/>
              </w:rPr>
            </w:pPr>
            <w:r w:rsidRPr="009A7F2D">
              <w:rPr>
                <w:rFonts w:ascii="Times" w:hAnsi="Times"/>
                <w:bCs/>
                <w:color w:val="000000"/>
                <w:sz w:val="20"/>
                <w:szCs w:val="20"/>
                <w:lang w:val="en-US"/>
              </w:rPr>
              <w:t>59</w:t>
            </w:r>
          </w:p>
        </w:tc>
        <w:tc>
          <w:tcPr>
            <w:tcW w:w="1147" w:type="dxa"/>
            <w:noWrap/>
            <w:hideMark/>
          </w:tcPr>
          <w:p w14:paraId="75016CAB" w14:textId="77777777" w:rsidR="00A907A0" w:rsidRPr="009A7F2D" w:rsidRDefault="00A907A0" w:rsidP="00A87760">
            <w:pPr>
              <w:keepNext/>
              <w:jc w:val="center"/>
              <w:cnfStyle w:val="000000000000" w:firstRow="0" w:lastRow="0" w:firstColumn="0" w:lastColumn="0" w:oddVBand="0" w:evenVBand="0" w:oddHBand="0" w:evenHBand="0" w:firstRowFirstColumn="0" w:firstRowLastColumn="0" w:lastRowFirstColumn="0" w:lastRowLastColumn="0"/>
              <w:rPr>
                <w:rFonts w:ascii="Times" w:hAnsi="Times"/>
                <w:bCs/>
                <w:color w:val="000000"/>
                <w:sz w:val="20"/>
                <w:szCs w:val="20"/>
                <w:lang w:val="en-US"/>
              </w:rPr>
            </w:pPr>
            <w:r w:rsidRPr="009A7F2D">
              <w:rPr>
                <w:rFonts w:ascii="Times" w:hAnsi="Times"/>
                <w:bCs/>
                <w:color w:val="000000"/>
                <w:sz w:val="20"/>
                <w:szCs w:val="20"/>
                <w:lang w:val="en-US"/>
              </w:rPr>
              <w:t>30</w:t>
            </w:r>
          </w:p>
        </w:tc>
        <w:tc>
          <w:tcPr>
            <w:tcW w:w="1682" w:type="dxa"/>
            <w:noWrap/>
            <w:hideMark/>
          </w:tcPr>
          <w:p w14:paraId="52B2C77E" w14:textId="77777777" w:rsidR="00A907A0" w:rsidRPr="009A7F2D" w:rsidRDefault="00A907A0" w:rsidP="00A87760">
            <w:pPr>
              <w:keepNext/>
              <w:jc w:val="center"/>
              <w:cnfStyle w:val="000000000000" w:firstRow="0" w:lastRow="0" w:firstColumn="0" w:lastColumn="0" w:oddVBand="0" w:evenVBand="0" w:oddHBand="0" w:evenHBand="0" w:firstRowFirstColumn="0" w:firstRowLastColumn="0" w:lastRowFirstColumn="0" w:lastRowLastColumn="0"/>
              <w:rPr>
                <w:rFonts w:ascii="Times" w:hAnsi="Times"/>
                <w:bCs/>
                <w:color w:val="000000"/>
                <w:sz w:val="20"/>
                <w:szCs w:val="20"/>
                <w:lang w:val="en-US"/>
              </w:rPr>
            </w:pPr>
            <w:r w:rsidRPr="009A7F2D">
              <w:rPr>
                <w:rFonts w:ascii="Times" w:hAnsi="Times"/>
                <w:bCs/>
                <w:color w:val="000000"/>
                <w:sz w:val="20"/>
                <w:szCs w:val="20"/>
                <w:lang w:val="en-US"/>
              </w:rPr>
              <w:t>22</w:t>
            </w:r>
          </w:p>
        </w:tc>
      </w:tr>
      <w:tr w:rsidR="00A907A0" w:rsidRPr="000D33E4" w14:paraId="4128D4C0" w14:textId="77777777" w:rsidTr="009A7F2D">
        <w:trPr>
          <w:trHeight w:val="204"/>
          <w:jc w:val="center"/>
        </w:trPr>
        <w:tc>
          <w:tcPr>
            <w:cnfStyle w:val="001000000000" w:firstRow="0" w:lastRow="0" w:firstColumn="1" w:lastColumn="0" w:oddVBand="0" w:evenVBand="0" w:oddHBand="0" w:evenHBand="0" w:firstRowFirstColumn="0" w:firstRowLastColumn="0" w:lastRowFirstColumn="0" w:lastRowLastColumn="0"/>
            <w:tcW w:w="4595" w:type="dxa"/>
            <w:noWrap/>
            <w:hideMark/>
          </w:tcPr>
          <w:p w14:paraId="1165B350" w14:textId="09BCB20A" w:rsidR="00A907A0" w:rsidRPr="009A7F2D" w:rsidRDefault="00A907A0" w:rsidP="009A7F2D">
            <w:pPr>
              <w:keepNext/>
              <w:rPr>
                <w:rFonts w:ascii="Times" w:hAnsi="Times"/>
                <w:b w:val="0"/>
                <w:color w:val="000000"/>
                <w:sz w:val="20"/>
                <w:szCs w:val="20"/>
                <w:lang w:val="en-US"/>
              </w:rPr>
            </w:pPr>
            <w:r w:rsidRPr="009A7F2D">
              <w:rPr>
                <w:rFonts w:ascii="Times" w:hAnsi="Times"/>
                <w:b w:val="0"/>
                <w:color w:val="000000"/>
                <w:sz w:val="20"/>
                <w:szCs w:val="20"/>
                <w:lang w:val="en-US"/>
              </w:rPr>
              <w:t xml:space="preserve">Financial support for state-owned </w:t>
            </w:r>
            <w:r w:rsidR="00EC1326">
              <w:rPr>
                <w:rFonts w:ascii="Times" w:hAnsi="Times"/>
                <w:b w:val="0"/>
                <w:color w:val="000000"/>
                <w:sz w:val="20"/>
                <w:szCs w:val="20"/>
                <w:lang w:val="en-US"/>
              </w:rPr>
              <w:t>entities</w:t>
            </w:r>
          </w:p>
        </w:tc>
        <w:tc>
          <w:tcPr>
            <w:tcW w:w="1080" w:type="dxa"/>
            <w:noWrap/>
            <w:hideMark/>
          </w:tcPr>
          <w:p w14:paraId="059CB2BF" w14:textId="77777777" w:rsidR="00A907A0" w:rsidRPr="009A7F2D" w:rsidRDefault="00A907A0" w:rsidP="00A87760">
            <w:pPr>
              <w:keepNext/>
              <w:jc w:val="center"/>
              <w:cnfStyle w:val="000000000000" w:firstRow="0" w:lastRow="0" w:firstColumn="0" w:lastColumn="0" w:oddVBand="0" w:evenVBand="0" w:oddHBand="0" w:evenHBand="0" w:firstRowFirstColumn="0" w:firstRowLastColumn="0" w:lastRowFirstColumn="0" w:lastRowLastColumn="0"/>
              <w:rPr>
                <w:rFonts w:ascii="Times" w:hAnsi="Times"/>
                <w:color w:val="000000"/>
                <w:sz w:val="20"/>
                <w:szCs w:val="20"/>
                <w:lang w:val="en-US"/>
              </w:rPr>
            </w:pPr>
            <w:r w:rsidRPr="009A7F2D">
              <w:rPr>
                <w:rFonts w:ascii="Times" w:hAnsi="Times"/>
                <w:color w:val="000000"/>
                <w:sz w:val="20"/>
                <w:szCs w:val="20"/>
                <w:lang w:val="en-US"/>
              </w:rPr>
              <w:t>60</w:t>
            </w:r>
          </w:p>
        </w:tc>
        <w:tc>
          <w:tcPr>
            <w:tcW w:w="994" w:type="dxa"/>
            <w:noWrap/>
            <w:hideMark/>
          </w:tcPr>
          <w:p w14:paraId="67820314" w14:textId="77777777" w:rsidR="00A907A0" w:rsidRPr="009A7F2D" w:rsidRDefault="00A907A0" w:rsidP="00A87760">
            <w:pPr>
              <w:keepNext/>
              <w:jc w:val="center"/>
              <w:cnfStyle w:val="000000000000" w:firstRow="0" w:lastRow="0" w:firstColumn="0" w:lastColumn="0" w:oddVBand="0" w:evenVBand="0" w:oddHBand="0" w:evenHBand="0" w:firstRowFirstColumn="0" w:firstRowLastColumn="0" w:lastRowFirstColumn="0" w:lastRowLastColumn="0"/>
              <w:rPr>
                <w:rFonts w:ascii="Times" w:hAnsi="Times"/>
                <w:color w:val="000000"/>
                <w:sz w:val="20"/>
                <w:szCs w:val="20"/>
                <w:lang w:val="en-US"/>
              </w:rPr>
            </w:pPr>
            <w:r w:rsidRPr="009A7F2D">
              <w:rPr>
                <w:rFonts w:ascii="Times" w:hAnsi="Times"/>
                <w:color w:val="000000"/>
                <w:sz w:val="20"/>
                <w:szCs w:val="20"/>
                <w:lang w:val="en-US"/>
              </w:rPr>
              <w:t>44</w:t>
            </w:r>
          </w:p>
        </w:tc>
        <w:tc>
          <w:tcPr>
            <w:tcW w:w="1147" w:type="dxa"/>
            <w:noWrap/>
            <w:hideMark/>
          </w:tcPr>
          <w:p w14:paraId="01BD113A" w14:textId="77777777" w:rsidR="00A907A0" w:rsidRPr="009A7F2D" w:rsidRDefault="00A907A0" w:rsidP="00A87760">
            <w:pPr>
              <w:keepNext/>
              <w:jc w:val="center"/>
              <w:cnfStyle w:val="000000000000" w:firstRow="0" w:lastRow="0" w:firstColumn="0" w:lastColumn="0" w:oddVBand="0" w:evenVBand="0" w:oddHBand="0" w:evenHBand="0" w:firstRowFirstColumn="0" w:firstRowLastColumn="0" w:lastRowFirstColumn="0" w:lastRowLastColumn="0"/>
              <w:rPr>
                <w:rFonts w:ascii="Times" w:hAnsi="Times"/>
                <w:color w:val="000000"/>
                <w:sz w:val="20"/>
                <w:szCs w:val="20"/>
                <w:lang w:val="en-US"/>
              </w:rPr>
            </w:pPr>
            <w:r w:rsidRPr="009A7F2D">
              <w:rPr>
                <w:rFonts w:ascii="Times" w:hAnsi="Times"/>
                <w:color w:val="000000"/>
                <w:sz w:val="20"/>
                <w:szCs w:val="20"/>
                <w:lang w:val="en-US"/>
              </w:rPr>
              <w:t>14</w:t>
            </w:r>
          </w:p>
        </w:tc>
        <w:tc>
          <w:tcPr>
            <w:tcW w:w="1682" w:type="dxa"/>
            <w:noWrap/>
            <w:hideMark/>
          </w:tcPr>
          <w:p w14:paraId="4D4A9451" w14:textId="77777777" w:rsidR="00A907A0" w:rsidRPr="009A7F2D" w:rsidRDefault="00A907A0" w:rsidP="00A87760">
            <w:pPr>
              <w:keepNext/>
              <w:jc w:val="center"/>
              <w:cnfStyle w:val="000000000000" w:firstRow="0" w:lastRow="0" w:firstColumn="0" w:lastColumn="0" w:oddVBand="0" w:evenVBand="0" w:oddHBand="0" w:evenHBand="0" w:firstRowFirstColumn="0" w:firstRowLastColumn="0" w:lastRowFirstColumn="0" w:lastRowLastColumn="0"/>
              <w:rPr>
                <w:rFonts w:ascii="Times" w:hAnsi="Times"/>
                <w:color w:val="000000"/>
                <w:sz w:val="20"/>
                <w:szCs w:val="20"/>
                <w:lang w:val="en-US"/>
              </w:rPr>
            </w:pPr>
            <w:r w:rsidRPr="009A7F2D">
              <w:rPr>
                <w:rFonts w:ascii="Times" w:hAnsi="Times"/>
                <w:color w:val="000000"/>
                <w:sz w:val="20"/>
                <w:szCs w:val="20"/>
                <w:lang w:val="en-US"/>
              </w:rPr>
              <w:t>2</w:t>
            </w:r>
          </w:p>
        </w:tc>
      </w:tr>
      <w:tr w:rsidR="00A907A0" w:rsidRPr="000D33E4" w14:paraId="11DE8C53" w14:textId="77777777" w:rsidTr="00CC643A">
        <w:trPr>
          <w:trHeight w:val="204"/>
          <w:jc w:val="center"/>
        </w:trPr>
        <w:tc>
          <w:tcPr>
            <w:cnfStyle w:val="001000000000" w:firstRow="0" w:lastRow="0" w:firstColumn="1" w:lastColumn="0" w:oddVBand="0" w:evenVBand="0" w:oddHBand="0" w:evenHBand="0" w:firstRowFirstColumn="0" w:firstRowLastColumn="0" w:lastRowFirstColumn="0" w:lastRowLastColumn="0"/>
            <w:tcW w:w="4595" w:type="dxa"/>
            <w:noWrap/>
            <w:hideMark/>
          </w:tcPr>
          <w:p w14:paraId="567694C1" w14:textId="77777777" w:rsidR="00A907A0" w:rsidRPr="009A7F2D" w:rsidRDefault="00A907A0" w:rsidP="009A7F2D">
            <w:pPr>
              <w:keepNext/>
              <w:rPr>
                <w:rFonts w:ascii="Times" w:hAnsi="Times"/>
                <w:b w:val="0"/>
                <w:color w:val="000000"/>
                <w:sz w:val="20"/>
                <w:szCs w:val="20"/>
                <w:lang w:val="en-US"/>
              </w:rPr>
            </w:pPr>
            <w:r w:rsidRPr="009A7F2D">
              <w:rPr>
                <w:rFonts w:ascii="Times" w:hAnsi="Times"/>
                <w:b w:val="0"/>
                <w:color w:val="000000"/>
                <w:sz w:val="20"/>
                <w:szCs w:val="20"/>
                <w:lang w:val="en-US"/>
              </w:rPr>
              <w:t>Net change in adjustments announced in 2019 Budget</w:t>
            </w:r>
          </w:p>
        </w:tc>
        <w:tc>
          <w:tcPr>
            <w:tcW w:w="1080" w:type="dxa"/>
            <w:noWrap/>
            <w:hideMark/>
          </w:tcPr>
          <w:p w14:paraId="1E358323" w14:textId="77777777" w:rsidR="00A907A0" w:rsidRPr="009A7F2D" w:rsidRDefault="00A907A0" w:rsidP="00A87760">
            <w:pPr>
              <w:keepNext/>
              <w:jc w:val="center"/>
              <w:cnfStyle w:val="000000000000" w:firstRow="0" w:lastRow="0" w:firstColumn="0" w:lastColumn="0" w:oddVBand="0" w:evenVBand="0" w:oddHBand="0" w:evenHBand="0" w:firstRowFirstColumn="0" w:firstRowLastColumn="0" w:lastRowFirstColumn="0" w:lastRowLastColumn="0"/>
              <w:rPr>
                <w:rFonts w:ascii="Times" w:hAnsi="Times"/>
                <w:color w:val="000000"/>
                <w:sz w:val="20"/>
                <w:szCs w:val="20"/>
                <w:lang w:val="en-US"/>
              </w:rPr>
            </w:pPr>
            <w:r w:rsidRPr="009A7F2D">
              <w:rPr>
                <w:rFonts w:ascii="Times" w:hAnsi="Times"/>
                <w:color w:val="000000"/>
                <w:sz w:val="20"/>
                <w:szCs w:val="20"/>
                <w:lang w:val="en-US"/>
              </w:rPr>
              <w:t>27</w:t>
            </w:r>
          </w:p>
        </w:tc>
        <w:tc>
          <w:tcPr>
            <w:tcW w:w="994" w:type="dxa"/>
            <w:noWrap/>
            <w:hideMark/>
          </w:tcPr>
          <w:p w14:paraId="05F49316" w14:textId="77777777" w:rsidR="00A907A0" w:rsidRPr="009A7F2D" w:rsidRDefault="00A907A0" w:rsidP="00A87760">
            <w:pPr>
              <w:keepNext/>
              <w:jc w:val="center"/>
              <w:cnfStyle w:val="000000000000" w:firstRow="0" w:lastRow="0" w:firstColumn="0" w:lastColumn="0" w:oddVBand="0" w:evenVBand="0" w:oddHBand="0" w:evenHBand="0" w:firstRowFirstColumn="0" w:firstRowLastColumn="0" w:lastRowFirstColumn="0" w:lastRowLastColumn="0"/>
              <w:rPr>
                <w:rFonts w:ascii="Times" w:hAnsi="Times"/>
                <w:color w:val="000000"/>
                <w:sz w:val="20"/>
                <w:szCs w:val="20"/>
                <w:lang w:val="en-US"/>
              </w:rPr>
            </w:pPr>
            <w:r w:rsidRPr="009A7F2D">
              <w:rPr>
                <w:rFonts w:ascii="Times" w:hAnsi="Times"/>
                <w:color w:val="000000"/>
                <w:sz w:val="20"/>
                <w:szCs w:val="20"/>
                <w:lang w:val="en-US"/>
              </w:rPr>
              <w:t>8</w:t>
            </w:r>
          </w:p>
        </w:tc>
        <w:tc>
          <w:tcPr>
            <w:tcW w:w="1147" w:type="dxa"/>
            <w:noWrap/>
            <w:hideMark/>
          </w:tcPr>
          <w:p w14:paraId="12BB5D68" w14:textId="77777777" w:rsidR="00A907A0" w:rsidRPr="009A7F2D" w:rsidRDefault="00A907A0" w:rsidP="00A87760">
            <w:pPr>
              <w:keepNext/>
              <w:jc w:val="center"/>
              <w:cnfStyle w:val="000000000000" w:firstRow="0" w:lastRow="0" w:firstColumn="0" w:lastColumn="0" w:oddVBand="0" w:evenVBand="0" w:oddHBand="0" w:evenHBand="0" w:firstRowFirstColumn="0" w:firstRowLastColumn="0" w:lastRowFirstColumn="0" w:lastRowLastColumn="0"/>
              <w:rPr>
                <w:rFonts w:ascii="Times" w:hAnsi="Times"/>
                <w:color w:val="000000"/>
                <w:sz w:val="20"/>
                <w:szCs w:val="20"/>
                <w:lang w:val="en-US"/>
              </w:rPr>
            </w:pPr>
            <w:r w:rsidRPr="009A7F2D">
              <w:rPr>
                <w:rFonts w:ascii="Times" w:hAnsi="Times"/>
                <w:color w:val="000000"/>
                <w:sz w:val="20"/>
                <w:szCs w:val="20"/>
                <w:lang w:val="en-US"/>
              </w:rPr>
              <w:t>8</w:t>
            </w:r>
          </w:p>
        </w:tc>
        <w:tc>
          <w:tcPr>
            <w:tcW w:w="1682" w:type="dxa"/>
            <w:noWrap/>
            <w:hideMark/>
          </w:tcPr>
          <w:p w14:paraId="38FB0AEA" w14:textId="77777777" w:rsidR="00A907A0" w:rsidRPr="009A7F2D" w:rsidRDefault="00A907A0" w:rsidP="00A87760">
            <w:pPr>
              <w:keepNext/>
              <w:jc w:val="center"/>
              <w:cnfStyle w:val="000000000000" w:firstRow="0" w:lastRow="0" w:firstColumn="0" w:lastColumn="0" w:oddVBand="0" w:evenVBand="0" w:oddHBand="0" w:evenHBand="0" w:firstRowFirstColumn="0" w:firstRowLastColumn="0" w:lastRowFirstColumn="0" w:lastRowLastColumn="0"/>
              <w:rPr>
                <w:rFonts w:ascii="Times" w:hAnsi="Times"/>
                <w:color w:val="000000"/>
                <w:sz w:val="20"/>
                <w:szCs w:val="20"/>
                <w:lang w:val="en-US"/>
              </w:rPr>
            </w:pPr>
            <w:r w:rsidRPr="009A7F2D">
              <w:rPr>
                <w:rFonts w:ascii="Times" w:hAnsi="Times"/>
                <w:color w:val="000000"/>
                <w:sz w:val="20"/>
                <w:szCs w:val="20"/>
                <w:lang w:val="en-US"/>
              </w:rPr>
              <w:t>12</w:t>
            </w:r>
          </w:p>
        </w:tc>
      </w:tr>
      <w:tr w:rsidR="00A907A0" w:rsidRPr="000D33E4" w14:paraId="6671423F" w14:textId="77777777" w:rsidTr="00CC643A">
        <w:trPr>
          <w:trHeight w:val="204"/>
          <w:jc w:val="center"/>
        </w:trPr>
        <w:tc>
          <w:tcPr>
            <w:cnfStyle w:val="001000000000" w:firstRow="0" w:lastRow="0" w:firstColumn="1" w:lastColumn="0" w:oddVBand="0" w:evenVBand="0" w:oddHBand="0" w:evenHBand="0" w:firstRowFirstColumn="0" w:firstRowLastColumn="0" w:lastRowFirstColumn="0" w:lastRowLastColumn="0"/>
            <w:tcW w:w="4595" w:type="dxa"/>
            <w:noWrap/>
            <w:hideMark/>
          </w:tcPr>
          <w:p w14:paraId="21BA1369" w14:textId="77777777" w:rsidR="00A907A0" w:rsidRPr="009A7F2D" w:rsidRDefault="00A907A0" w:rsidP="009A7F2D">
            <w:pPr>
              <w:keepNext/>
              <w:rPr>
                <w:rFonts w:ascii="Times" w:hAnsi="Times"/>
                <w:b w:val="0"/>
                <w:color w:val="000000"/>
                <w:sz w:val="20"/>
                <w:szCs w:val="20"/>
                <w:lang w:val="en-US"/>
              </w:rPr>
            </w:pPr>
            <w:r w:rsidRPr="009A7F2D">
              <w:rPr>
                <w:rFonts w:ascii="Times" w:hAnsi="Times"/>
                <w:b w:val="0"/>
                <w:color w:val="000000"/>
                <w:sz w:val="20"/>
                <w:szCs w:val="20"/>
                <w:lang w:val="en-US"/>
              </w:rPr>
              <w:t>Programme allocations</w:t>
            </w:r>
          </w:p>
        </w:tc>
        <w:tc>
          <w:tcPr>
            <w:tcW w:w="1080" w:type="dxa"/>
            <w:noWrap/>
            <w:hideMark/>
          </w:tcPr>
          <w:p w14:paraId="7A877304" w14:textId="77777777" w:rsidR="00A907A0" w:rsidRPr="009A7F2D" w:rsidRDefault="00A907A0" w:rsidP="00A87760">
            <w:pPr>
              <w:keepNext/>
              <w:jc w:val="center"/>
              <w:cnfStyle w:val="000000000000" w:firstRow="0" w:lastRow="0" w:firstColumn="0" w:lastColumn="0" w:oddVBand="0" w:evenVBand="0" w:oddHBand="0" w:evenHBand="0" w:firstRowFirstColumn="0" w:firstRowLastColumn="0" w:lastRowFirstColumn="0" w:lastRowLastColumn="0"/>
              <w:rPr>
                <w:rFonts w:ascii="Times" w:hAnsi="Times"/>
                <w:color w:val="000000"/>
                <w:sz w:val="20"/>
                <w:szCs w:val="20"/>
                <w:lang w:val="en-US"/>
              </w:rPr>
            </w:pPr>
            <w:r w:rsidRPr="009A7F2D">
              <w:rPr>
                <w:rFonts w:ascii="Times" w:hAnsi="Times"/>
                <w:color w:val="000000"/>
                <w:sz w:val="20"/>
                <w:szCs w:val="20"/>
                <w:lang w:val="en-US"/>
              </w:rPr>
              <w:t>24</w:t>
            </w:r>
          </w:p>
        </w:tc>
        <w:tc>
          <w:tcPr>
            <w:tcW w:w="994" w:type="dxa"/>
            <w:noWrap/>
            <w:hideMark/>
          </w:tcPr>
          <w:p w14:paraId="3954526B" w14:textId="77777777" w:rsidR="00A907A0" w:rsidRPr="009A7F2D" w:rsidRDefault="00A907A0" w:rsidP="00A87760">
            <w:pPr>
              <w:keepNext/>
              <w:jc w:val="center"/>
              <w:cnfStyle w:val="000000000000" w:firstRow="0" w:lastRow="0" w:firstColumn="0" w:lastColumn="0" w:oddVBand="0" w:evenVBand="0" w:oddHBand="0" w:evenHBand="0" w:firstRowFirstColumn="0" w:firstRowLastColumn="0" w:lastRowFirstColumn="0" w:lastRowLastColumn="0"/>
              <w:rPr>
                <w:rFonts w:ascii="Times" w:hAnsi="Times"/>
                <w:color w:val="000000"/>
                <w:sz w:val="20"/>
                <w:szCs w:val="20"/>
                <w:lang w:val="en-US"/>
              </w:rPr>
            </w:pPr>
            <w:r w:rsidRPr="009A7F2D">
              <w:rPr>
                <w:rFonts w:ascii="Times" w:hAnsi="Times"/>
                <w:color w:val="000000"/>
                <w:sz w:val="20"/>
                <w:szCs w:val="20"/>
                <w:lang w:val="en-US"/>
              </w:rPr>
              <w:t>7</w:t>
            </w:r>
          </w:p>
        </w:tc>
        <w:tc>
          <w:tcPr>
            <w:tcW w:w="1147" w:type="dxa"/>
            <w:noWrap/>
            <w:hideMark/>
          </w:tcPr>
          <w:p w14:paraId="72EAB759" w14:textId="77777777" w:rsidR="00A907A0" w:rsidRPr="009A7F2D" w:rsidRDefault="00A907A0" w:rsidP="00A87760">
            <w:pPr>
              <w:keepNext/>
              <w:jc w:val="center"/>
              <w:cnfStyle w:val="000000000000" w:firstRow="0" w:lastRow="0" w:firstColumn="0" w:lastColumn="0" w:oddVBand="0" w:evenVBand="0" w:oddHBand="0" w:evenHBand="0" w:firstRowFirstColumn="0" w:firstRowLastColumn="0" w:lastRowFirstColumn="0" w:lastRowLastColumn="0"/>
              <w:rPr>
                <w:rFonts w:ascii="Times" w:hAnsi="Times"/>
                <w:color w:val="000000"/>
                <w:sz w:val="20"/>
                <w:szCs w:val="20"/>
                <w:lang w:val="en-US"/>
              </w:rPr>
            </w:pPr>
            <w:r w:rsidRPr="009A7F2D">
              <w:rPr>
                <w:rFonts w:ascii="Times" w:hAnsi="Times"/>
                <w:color w:val="000000"/>
                <w:sz w:val="20"/>
                <w:szCs w:val="20"/>
                <w:lang w:val="en-US"/>
              </w:rPr>
              <w:t>8</w:t>
            </w:r>
          </w:p>
        </w:tc>
        <w:tc>
          <w:tcPr>
            <w:tcW w:w="1682" w:type="dxa"/>
            <w:noWrap/>
            <w:hideMark/>
          </w:tcPr>
          <w:p w14:paraId="3188C16D" w14:textId="77777777" w:rsidR="00A907A0" w:rsidRPr="009A7F2D" w:rsidRDefault="00A907A0" w:rsidP="00A87760">
            <w:pPr>
              <w:keepNext/>
              <w:jc w:val="center"/>
              <w:cnfStyle w:val="000000000000" w:firstRow="0" w:lastRow="0" w:firstColumn="0" w:lastColumn="0" w:oddVBand="0" w:evenVBand="0" w:oddHBand="0" w:evenHBand="0" w:firstRowFirstColumn="0" w:firstRowLastColumn="0" w:lastRowFirstColumn="0" w:lastRowLastColumn="0"/>
              <w:rPr>
                <w:rFonts w:ascii="Times" w:hAnsi="Times"/>
                <w:color w:val="000000"/>
                <w:sz w:val="20"/>
                <w:szCs w:val="20"/>
                <w:lang w:val="en-US"/>
              </w:rPr>
            </w:pPr>
            <w:r w:rsidRPr="009A7F2D">
              <w:rPr>
                <w:rFonts w:ascii="Times" w:hAnsi="Times"/>
                <w:color w:val="000000"/>
                <w:sz w:val="20"/>
                <w:szCs w:val="20"/>
                <w:lang w:val="en-US"/>
              </w:rPr>
              <w:t>8</w:t>
            </w:r>
          </w:p>
        </w:tc>
      </w:tr>
      <w:tr w:rsidR="00A907A0" w:rsidRPr="000D33E4" w14:paraId="4E286A2D" w14:textId="77777777" w:rsidTr="00CC643A">
        <w:trPr>
          <w:trHeight w:val="204"/>
          <w:jc w:val="center"/>
        </w:trPr>
        <w:tc>
          <w:tcPr>
            <w:cnfStyle w:val="001000000000" w:firstRow="0" w:lastRow="0" w:firstColumn="1" w:lastColumn="0" w:oddVBand="0" w:evenVBand="0" w:oddHBand="0" w:evenHBand="0" w:firstRowFirstColumn="0" w:firstRowLastColumn="0" w:lastRowFirstColumn="0" w:lastRowLastColumn="0"/>
            <w:tcW w:w="4595" w:type="dxa"/>
            <w:noWrap/>
            <w:hideMark/>
          </w:tcPr>
          <w:p w14:paraId="220747F3" w14:textId="77777777" w:rsidR="00A907A0" w:rsidRPr="00CC643A" w:rsidRDefault="00A907A0" w:rsidP="009A7F2D">
            <w:pPr>
              <w:keepNext/>
              <w:rPr>
                <w:rFonts w:ascii="Times" w:hAnsi="Times"/>
                <w:bCs w:val="0"/>
                <w:color w:val="000000"/>
                <w:sz w:val="20"/>
                <w:szCs w:val="20"/>
                <w:lang w:val="en-US"/>
              </w:rPr>
            </w:pPr>
            <w:r w:rsidRPr="00E91A7B">
              <w:rPr>
                <w:rFonts w:ascii="Times" w:hAnsi="Times"/>
                <w:color w:val="000000"/>
                <w:sz w:val="20"/>
                <w:szCs w:val="20"/>
                <w:lang w:val="en-US"/>
              </w:rPr>
              <w:t>Allocated in 2020 Budget</w:t>
            </w:r>
          </w:p>
        </w:tc>
        <w:tc>
          <w:tcPr>
            <w:tcW w:w="1080" w:type="dxa"/>
            <w:noWrap/>
            <w:hideMark/>
          </w:tcPr>
          <w:p w14:paraId="0C5FFFAF" w14:textId="77777777" w:rsidR="00A907A0" w:rsidRPr="00CC643A" w:rsidRDefault="00A907A0" w:rsidP="00A87760">
            <w:pPr>
              <w:keepNext/>
              <w:jc w:val="center"/>
              <w:cnfStyle w:val="000000000000" w:firstRow="0" w:lastRow="0" w:firstColumn="0" w:lastColumn="0" w:oddVBand="0" w:evenVBand="0" w:oddHBand="0" w:evenHBand="0" w:firstRowFirstColumn="0" w:firstRowLastColumn="0" w:lastRowFirstColumn="0" w:lastRowLastColumn="0"/>
              <w:rPr>
                <w:rFonts w:ascii="Times" w:hAnsi="Times"/>
                <w:b/>
                <w:color w:val="000000"/>
                <w:sz w:val="20"/>
                <w:szCs w:val="20"/>
                <w:lang w:val="en-US"/>
              </w:rPr>
            </w:pPr>
            <w:r w:rsidRPr="00CC643A">
              <w:rPr>
                <w:rFonts w:ascii="Times" w:hAnsi="Times"/>
                <w:b/>
                <w:color w:val="000000"/>
                <w:sz w:val="20"/>
                <w:szCs w:val="20"/>
                <w:lang w:val="en-US"/>
              </w:rPr>
              <w:t>4</w:t>
            </w:r>
            <w:r w:rsidR="00E827B9" w:rsidRPr="00CC643A">
              <w:rPr>
                <w:rFonts w:ascii="Times" w:hAnsi="Times"/>
                <w:b/>
                <w:color w:val="000000"/>
                <w:sz w:val="20"/>
                <w:szCs w:val="20"/>
                <w:lang w:val="en-US"/>
              </w:rPr>
              <w:t xml:space="preserve"> </w:t>
            </w:r>
            <w:r w:rsidRPr="00CC643A">
              <w:rPr>
                <w:rFonts w:ascii="Times" w:hAnsi="Times"/>
                <w:b/>
                <w:color w:val="000000"/>
                <w:sz w:val="20"/>
                <w:szCs w:val="20"/>
                <w:lang w:val="en-US"/>
              </w:rPr>
              <w:t>764</w:t>
            </w:r>
          </w:p>
        </w:tc>
        <w:tc>
          <w:tcPr>
            <w:tcW w:w="994" w:type="dxa"/>
            <w:noWrap/>
            <w:hideMark/>
          </w:tcPr>
          <w:p w14:paraId="59E09E36" w14:textId="77777777" w:rsidR="00A907A0" w:rsidRPr="00CC643A" w:rsidRDefault="00A907A0" w:rsidP="00A87760">
            <w:pPr>
              <w:keepNext/>
              <w:jc w:val="center"/>
              <w:cnfStyle w:val="000000000000" w:firstRow="0" w:lastRow="0" w:firstColumn="0" w:lastColumn="0" w:oddVBand="0" w:evenVBand="0" w:oddHBand="0" w:evenHBand="0" w:firstRowFirstColumn="0" w:firstRowLastColumn="0" w:lastRowFirstColumn="0" w:lastRowLastColumn="0"/>
              <w:rPr>
                <w:rFonts w:ascii="Times" w:hAnsi="Times"/>
                <w:b/>
                <w:color w:val="000000"/>
                <w:sz w:val="20"/>
                <w:szCs w:val="20"/>
                <w:lang w:val="en-US"/>
              </w:rPr>
            </w:pPr>
            <w:r w:rsidRPr="00CC643A">
              <w:rPr>
                <w:rFonts w:ascii="Times" w:hAnsi="Times"/>
                <w:b/>
                <w:color w:val="000000"/>
                <w:sz w:val="20"/>
                <w:szCs w:val="20"/>
                <w:lang w:val="en-US"/>
              </w:rPr>
              <w:t>1</w:t>
            </w:r>
            <w:r w:rsidR="00E827B9" w:rsidRPr="00CC643A">
              <w:rPr>
                <w:rFonts w:ascii="Times" w:hAnsi="Times"/>
                <w:b/>
                <w:color w:val="000000"/>
                <w:sz w:val="20"/>
                <w:szCs w:val="20"/>
                <w:lang w:val="en-US"/>
              </w:rPr>
              <w:t xml:space="preserve"> </w:t>
            </w:r>
            <w:r w:rsidRPr="00CC643A">
              <w:rPr>
                <w:rFonts w:ascii="Times" w:hAnsi="Times"/>
                <w:b/>
                <w:color w:val="000000"/>
                <w:sz w:val="20"/>
                <w:szCs w:val="20"/>
                <w:lang w:val="en-US"/>
              </w:rPr>
              <w:t>532</w:t>
            </w:r>
          </w:p>
        </w:tc>
        <w:tc>
          <w:tcPr>
            <w:tcW w:w="1147" w:type="dxa"/>
            <w:noWrap/>
            <w:hideMark/>
          </w:tcPr>
          <w:p w14:paraId="19225BF4" w14:textId="77777777" w:rsidR="00A907A0" w:rsidRPr="00CC643A" w:rsidRDefault="00A907A0" w:rsidP="00A87760">
            <w:pPr>
              <w:keepNext/>
              <w:jc w:val="center"/>
              <w:cnfStyle w:val="000000000000" w:firstRow="0" w:lastRow="0" w:firstColumn="0" w:lastColumn="0" w:oddVBand="0" w:evenVBand="0" w:oddHBand="0" w:evenHBand="0" w:firstRowFirstColumn="0" w:firstRowLastColumn="0" w:lastRowFirstColumn="0" w:lastRowLastColumn="0"/>
              <w:rPr>
                <w:rFonts w:ascii="Times" w:hAnsi="Times"/>
                <w:b/>
                <w:color w:val="000000"/>
                <w:sz w:val="20"/>
                <w:szCs w:val="20"/>
                <w:lang w:val="en-US"/>
              </w:rPr>
            </w:pPr>
            <w:r w:rsidRPr="00CC643A">
              <w:rPr>
                <w:rFonts w:ascii="Times" w:hAnsi="Times"/>
                <w:b/>
                <w:color w:val="000000"/>
                <w:sz w:val="20"/>
                <w:szCs w:val="20"/>
                <w:lang w:val="en-US"/>
              </w:rPr>
              <w:t>1</w:t>
            </w:r>
            <w:r w:rsidR="00E827B9" w:rsidRPr="00CC643A">
              <w:rPr>
                <w:rFonts w:ascii="Times" w:hAnsi="Times"/>
                <w:b/>
                <w:color w:val="000000"/>
                <w:sz w:val="20"/>
                <w:szCs w:val="20"/>
                <w:lang w:val="en-US"/>
              </w:rPr>
              <w:t xml:space="preserve"> </w:t>
            </w:r>
            <w:r w:rsidRPr="00CC643A">
              <w:rPr>
                <w:rFonts w:ascii="Times" w:hAnsi="Times"/>
                <w:b/>
                <w:color w:val="000000"/>
                <w:sz w:val="20"/>
                <w:szCs w:val="20"/>
                <w:lang w:val="en-US"/>
              </w:rPr>
              <w:t>587</w:t>
            </w:r>
          </w:p>
        </w:tc>
        <w:tc>
          <w:tcPr>
            <w:tcW w:w="1682" w:type="dxa"/>
            <w:noWrap/>
            <w:hideMark/>
          </w:tcPr>
          <w:p w14:paraId="562E6D6A" w14:textId="77777777" w:rsidR="00A907A0" w:rsidRPr="00CC643A" w:rsidRDefault="00A907A0" w:rsidP="00A87760">
            <w:pPr>
              <w:keepNext/>
              <w:jc w:val="center"/>
              <w:cnfStyle w:val="000000000000" w:firstRow="0" w:lastRow="0" w:firstColumn="0" w:lastColumn="0" w:oddVBand="0" w:evenVBand="0" w:oddHBand="0" w:evenHBand="0" w:firstRowFirstColumn="0" w:firstRowLastColumn="0" w:lastRowFirstColumn="0" w:lastRowLastColumn="0"/>
              <w:rPr>
                <w:rFonts w:ascii="Times" w:hAnsi="Times"/>
                <w:b/>
                <w:color w:val="000000"/>
                <w:sz w:val="20"/>
                <w:szCs w:val="20"/>
                <w:lang w:val="en-US"/>
              </w:rPr>
            </w:pPr>
            <w:r w:rsidRPr="00CC643A">
              <w:rPr>
                <w:rFonts w:ascii="Times" w:hAnsi="Times"/>
                <w:b/>
                <w:color w:val="000000"/>
                <w:sz w:val="20"/>
                <w:szCs w:val="20"/>
                <w:lang w:val="en-US"/>
              </w:rPr>
              <w:t>1</w:t>
            </w:r>
            <w:r w:rsidR="00E827B9" w:rsidRPr="00CC643A">
              <w:rPr>
                <w:rFonts w:ascii="Times" w:hAnsi="Times"/>
                <w:b/>
                <w:color w:val="000000"/>
                <w:sz w:val="20"/>
                <w:szCs w:val="20"/>
                <w:lang w:val="en-US"/>
              </w:rPr>
              <w:t xml:space="preserve"> </w:t>
            </w:r>
            <w:r w:rsidRPr="00CC643A">
              <w:rPr>
                <w:rFonts w:ascii="Times" w:hAnsi="Times"/>
                <w:b/>
                <w:color w:val="000000"/>
                <w:sz w:val="20"/>
                <w:szCs w:val="20"/>
                <w:lang w:val="en-US"/>
              </w:rPr>
              <w:t>645</w:t>
            </w:r>
          </w:p>
        </w:tc>
      </w:tr>
      <w:tr w:rsidR="00A907A0" w:rsidRPr="000D33E4" w14:paraId="023368D3" w14:textId="77777777" w:rsidTr="00CC643A">
        <w:trPr>
          <w:trHeight w:val="204"/>
          <w:jc w:val="center"/>
        </w:trPr>
        <w:tc>
          <w:tcPr>
            <w:cnfStyle w:val="001000000000" w:firstRow="0" w:lastRow="0" w:firstColumn="1" w:lastColumn="0" w:oddVBand="0" w:evenVBand="0" w:oddHBand="0" w:evenHBand="0" w:firstRowFirstColumn="0" w:firstRowLastColumn="0" w:lastRowFirstColumn="0" w:lastRowLastColumn="0"/>
            <w:tcW w:w="4595" w:type="dxa"/>
            <w:noWrap/>
            <w:hideMark/>
          </w:tcPr>
          <w:p w14:paraId="7F7E250C" w14:textId="77777777" w:rsidR="00A907A0" w:rsidRPr="009A7F2D" w:rsidRDefault="00A907A0" w:rsidP="009A7F2D">
            <w:pPr>
              <w:keepNext/>
              <w:rPr>
                <w:rFonts w:ascii="Times" w:hAnsi="Times"/>
                <w:b w:val="0"/>
                <w:color w:val="000000"/>
                <w:sz w:val="20"/>
                <w:szCs w:val="20"/>
                <w:lang w:val="en-US"/>
              </w:rPr>
            </w:pPr>
            <w:r w:rsidRPr="009A7F2D">
              <w:rPr>
                <w:rFonts w:ascii="Times" w:hAnsi="Times"/>
                <w:b w:val="0"/>
                <w:color w:val="000000"/>
                <w:sz w:val="20"/>
                <w:szCs w:val="20"/>
                <w:lang w:val="en-US"/>
              </w:rPr>
              <w:t xml:space="preserve">Plus: Contingency reserve </w:t>
            </w:r>
          </w:p>
        </w:tc>
        <w:tc>
          <w:tcPr>
            <w:tcW w:w="1080" w:type="dxa"/>
            <w:noWrap/>
            <w:hideMark/>
          </w:tcPr>
          <w:p w14:paraId="2560425C" w14:textId="77777777" w:rsidR="00A907A0" w:rsidRPr="009A7F2D" w:rsidRDefault="00A907A0" w:rsidP="00A87760">
            <w:pPr>
              <w:keepNext/>
              <w:jc w:val="center"/>
              <w:cnfStyle w:val="000000000000" w:firstRow="0" w:lastRow="0" w:firstColumn="0" w:lastColumn="0" w:oddVBand="0" w:evenVBand="0" w:oddHBand="0" w:evenHBand="0" w:firstRowFirstColumn="0" w:firstRowLastColumn="0" w:lastRowFirstColumn="0" w:lastRowLastColumn="0"/>
              <w:rPr>
                <w:rFonts w:ascii="Times" w:hAnsi="Times"/>
                <w:color w:val="000000"/>
                <w:sz w:val="20"/>
                <w:szCs w:val="20"/>
                <w:lang w:val="en-US"/>
              </w:rPr>
            </w:pPr>
            <w:r w:rsidRPr="009A7F2D">
              <w:rPr>
                <w:rFonts w:ascii="Times" w:hAnsi="Times"/>
                <w:color w:val="000000"/>
                <w:sz w:val="20"/>
                <w:szCs w:val="20"/>
                <w:lang w:val="en-US"/>
              </w:rPr>
              <w:t>15</w:t>
            </w:r>
          </w:p>
        </w:tc>
        <w:tc>
          <w:tcPr>
            <w:tcW w:w="994" w:type="dxa"/>
            <w:noWrap/>
            <w:hideMark/>
          </w:tcPr>
          <w:p w14:paraId="78DE86C7" w14:textId="77777777" w:rsidR="00A907A0" w:rsidRPr="009A7F2D" w:rsidRDefault="00A907A0" w:rsidP="00A87760">
            <w:pPr>
              <w:keepNext/>
              <w:jc w:val="center"/>
              <w:cnfStyle w:val="000000000000" w:firstRow="0" w:lastRow="0" w:firstColumn="0" w:lastColumn="0" w:oddVBand="0" w:evenVBand="0" w:oddHBand="0" w:evenHBand="0" w:firstRowFirstColumn="0" w:firstRowLastColumn="0" w:lastRowFirstColumn="0" w:lastRowLastColumn="0"/>
              <w:rPr>
                <w:rFonts w:ascii="Times" w:hAnsi="Times"/>
                <w:color w:val="000000"/>
                <w:sz w:val="20"/>
                <w:szCs w:val="20"/>
                <w:lang w:val="en-US"/>
              </w:rPr>
            </w:pPr>
            <w:r w:rsidRPr="009A7F2D">
              <w:rPr>
                <w:rFonts w:ascii="Times" w:hAnsi="Times"/>
                <w:color w:val="000000"/>
                <w:sz w:val="20"/>
                <w:szCs w:val="20"/>
                <w:lang w:val="en-US"/>
              </w:rPr>
              <w:t>5</w:t>
            </w:r>
          </w:p>
        </w:tc>
        <w:tc>
          <w:tcPr>
            <w:tcW w:w="1147" w:type="dxa"/>
            <w:noWrap/>
            <w:hideMark/>
          </w:tcPr>
          <w:p w14:paraId="0BE58BD0" w14:textId="77777777" w:rsidR="00A907A0" w:rsidRPr="009A7F2D" w:rsidRDefault="00A907A0" w:rsidP="00A87760">
            <w:pPr>
              <w:keepNext/>
              <w:jc w:val="center"/>
              <w:cnfStyle w:val="000000000000" w:firstRow="0" w:lastRow="0" w:firstColumn="0" w:lastColumn="0" w:oddVBand="0" w:evenVBand="0" w:oddHBand="0" w:evenHBand="0" w:firstRowFirstColumn="0" w:firstRowLastColumn="0" w:lastRowFirstColumn="0" w:lastRowLastColumn="0"/>
              <w:rPr>
                <w:rFonts w:ascii="Times" w:hAnsi="Times"/>
                <w:color w:val="000000"/>
                <w:sz w:val="20"/>
                <w:szCs w:val="20"/>
                <w:lang w:val="en-US"/>
              </w:rPr>
            </w:pPr>
            <w:r w:rsidRPr="009A7F2D">
              <w:rPr>
                <w:rFonts w:ascii="Times" w:hAnsi="Times"/>
                <w:color w:val="000000"/>
                <w:sz w:val="20"/>
                <w:szCs w:val="20"/>
                <w:lang w:val="en-US"/>
              </w:rPr>
              <w:t>5</w:t>
            </w:r>
          </w:p>
        </w:tc>
        <w:tc>
          <w:tcPr>
            <w:tcW w:w="1682" w:type="dxa"/>
            <w:noWrap/>
            <w:hideMark/>
          </w:tcPr>
          <w:p w14:paraId="0031666F" w14:textId="77777777" w:rsidR="00A907A0" w:rsidRPr="009A7F2D" w:rsidRDefault="00A907A0" w:rsidP="00A87760">
            <w:pPr>
              <w:keepNext/>
              <w:jc w:val="center"/>
              <w:cnfStyle w:val="000000000000" w:firstRow="0" w:lastRow="0" w:firstColumn="0" w:lastColumn="0" w:oddVBand="0" w:evenVBand="0" w:oddHBand="0" w:evenHBand="0" w:firstRowFirstColumn="0" w:firstRowLastColumn="0" w:lastRowFirstColumn="0" w:lastRowLastColumn="0"/>
              <w:rPr>
                <w:rFonts w:ascii="Times" w:hAnsi="Times"/>
                <w:color w:val="000000"/>
                <w:sz w:val="20"/>
                <w:szCs w:val="20"/>
                <w:lang w:val="en-US"/>
              </w:rPr>
            </w:pPr>
            <w:r w:rsidRPr="009A7F2D">
              <w:rPr>
                <w:rFonts w:ascii="Times" w:hAnsi="Times"/>
                <w:color w:val="000000"/>
                <w:sz w:val="20"/>
                <w:szCs w:val="20"/>
                <w:lang w:val="en-US"/>
              </w:rPr>
              <w:t>5</w:t>
            </w:r>
          </w:p>
        </w:tc>
      </w:tr>
      <w:tr w:rsidR="00A907A0" w:rsidRPr="000D33E4" w14:paraId="3AB39E43" w14:textId="77777777" w:rsidTr="00CC643A">
        <w:trPr>
          <w:trHeight w:val="204"/>
          <w:jc w:val="center"/>
        </w:trPr>
        <w:tc>
          <w:tcPr>
            <w:cnfStyle w:val="001000000000" w:firstRow="0" w:lastRow="0" w:firstColumn="1" w:lastColumn="0" w:oddVBand="0" w:evenVBand="0" w:oddHBand="0" w:evenHBand="0" w:firstRowFirstColumn="0" w:firstRowLastColumn="0" w:lastRowFirstColumn="0" w:lastRowLastColumn="0"/>
            <w:tcW w:w="4595" w:type="dxa"/>
            <w:noWrap/>
            <w:hideMark/>
          </w:tcPr>
          <w:p w14:paraId="0949187C" w14:textId="77777777" w:rsidR="00A907A0" w:rsidRPr="00CC643A" w:rsidRDefault="00A907A0" w:rsidP="009A7F2D">
            <w:pPr>
              <w:keepNext/>
              <w:rPr>
                <w:rFonts w:ascii="Times" w:hAnsi="Times"/>
                <w:bCs w:val="0"/>
                <w:color w:val="000000"/>
                <w:sz w:val="20"/>
                <w:szCs w:val="20"/>
                <w:lang w:val="en-US"/>
              </w:rPr>
            </w:pPr>
            <w:r w:rsidRPr="00E91A7B">
              <w:rPr>
                <w:rFonts w:ascii="Times" w:hAnsi="Times"/>
                <w:color w:val="000000"/>
                <w:sz w:val="20"/>
                <w:szCs w:val="20"/>
                <w:lang w:val="en-US"/>
              </w:rPr>
              <w:t>2020 Budget non-interest expenditure</w:t>
            </w:r>
          </w:p>
        </w:tc>
        <w:tc>
          <w:tcPr>
            <w:tcW w:w="1080" w:type="dxa"/>
            <w:noWrap/>
            <w:hideMark/>
          </w:tcPr>
          <w:p w14:paraId="543D06E1" w14:textId="77777777" w:rsidR="00A907A0" w:rsidRPr="00CC643A" w:rsidRDefault="00A907A0" w:rsidP="00A87760">
            <w:pPr>
              <w:keepNext/>
              <w:jc w:val="center"/>
              <w:cnfStyle w:val="000000000000" w:firstRow="0" w:lastRow="0" w:firstColumn="0" w:lastColumn="0" w:oddVBand="0" w:evenVBand="0" w:oddHBand="0" w:evenHBand="0" w:firstRowFirstColumn="0" w:firstRowLastColumn="0" w:lastRowFirstColumn="0" w:lastRowLastColumn="0"/>
              <w:rPr>
                <w:rFonts w:ascii="Times" w:hAnsi="Times"/>
                <w:b/>
                <w:color w:val="000000"/>
                <w:sz w:val="20"/>
                <w:szCs w:val="20"/>
                <w:lang w:val="en-US"/>
              </w:rPr>
            </w:pPr>
            <w:r w:rsidRPr="00CC643A">
              <w:rPr>
                <w:rFonts w:ascii="Times" w:hAnsi="Times"/>
                <w:b/>
                <w:color w:val="000000"/>
                <w:sz w:val="20"/>
                <w:szCs w:val="20"/>
                <w:lang w:val="en-US"/>
              </w:rPr>
              <w:t>4</w:t>
            </w:r>
            <w:r w:rsidR="00E827B9" w:rsidRPr="00CC643A">
              <w:rPr>
                <w:rFonts w:ascii="Times" w:hAnsi="Times"/>
                <w:b/>
                <w:color w:val="000000"/>
                <w:sz w:val="20"/>
                <w:szCs w:val="20"/>
                <w:lang w:val="en-US"/>
              </w:rPr>
              <w:t xml:space="preserve"> </w:t>
            </w:r>
            <w:r w:rsidRPr="00CC643A">
              <w:rPr>
                <w:rFonts w:ascii="Times" w:hAnsi="Times"/>
                <w:b/>
                <w:color w:val="000000"/>
                <w:sz w:val="20"/>
                <w:szCs w:val="20"/>
                <w:lang w:val="en-US"/>
              </w:rPr>
              <w:t>779</w:t>
            </w:r>
          </w:p>
        </w:tc>
        <w:tc>
          <w:tcPr>
            <w:tcW w:w="994" w:type="dxa"/>
            <w:noWrap/>
            <w:hideMark/>
          </w:tcPr>
          <w:p w14:paraId="443DC862" w14:textId="77777777" w:rsidR="00A907A0" w:rsidRPr="00CC643A" w:rsidRDefault="00A907A0" w:rsidP="00A87760">
            <w:pPr>
              <w:keepNext/>
              <w:jc w:val="center"/>
              <w:cnfStyle w:val="000000000000" w:firstRow="0" w:lastRow="0" w:firstColumn="0" w:lastColumn="0" w:oddVBand="0" w:evenVBand="0" w:oddHBand="0" w:evenHBand="0" w:firstRowFirstColumn="0" w:firstRowLastColumn="0" w:lastRowFirstColumn="0" w:lastRowLastColumn="0"/>
              <w:rPr>
                <w:rFonts w:ascii="Times" w:hAnsi="Times"/>
                <w:b/>
                <w:color w:val="000000"/>
                <w:sz w:val="20"/>
                <w:szCs w:val="20"/>
                <w:lang w:val="en-US"/>
              </w:rPr>
            </w:pPr>
            <w:r w:rsidRPr="00CC643A">
              <w:rPr>
                <w:rFonts w:ascii="Times" w:hAnsi="Times"/>
                <w:b/>
                <w:color w:val="000000"/>
                <w:sz w:val="20"/>
                <w:szCs w:val="20"/>
                <w:lang w:val="en-US"/>
              </w:rPr>
              <w:t>1</w:t>
            </w:r>
            <w:r w:rsidR="00E827B9" w:rsidRPr="00CC643A">
              <w:rPr>
                <w:rFonts w:ascii="Times" w:hAnsi="Times"/>
                <w:b/>
                <w:color w:val="000000"/>
                <w:sz w:val="20"/>
                <w:szCs w:val="20"/>
                <w:lang w:val="en-US"/>
              </w:rPr>
              <w:t xml:space="preserve"> </w:t>
            </w:r>
            <w:r w:rsidRPr="00CC643A">
              <w:rPr>
                <w:rFonts w:ascii="Times" w:hAnsi="Times"/>
                <w:b/>
                <w:color w:val="000000"/>
                <w:sz w:val="20"/>
                <w:szCs w:val="20"/>
                <w:lang w:val="en-US"/>
              </w:rPr>
              <w:t>537</w:t>
            </w:r>
          </w:p>
        </w:tc>
        <w:tc>
          <w:tcPr>
            <w:tcW w:w="1147" w:type="dxa"/>
            <w:noWrap/>
            <w:hideMark/>
          </w:tcPr>
          <w:p w14:paraId="113D2348" w14:textId="77777777" w:rsidR="00A907A0" w:rsidRPr="00CC643A" w:rsidRDefault="00A907A0" w:rsidP="00A87760">
            <w:pPr>
              <w:keepNext/>
              <w:jc w:val="center"/>
              <w:cnfStyle w:val="000000000000" w:firstRow="0" w:lastRow="0" w:firstColumn="0" w:lastColumn="0" w:oddVBand="0" w:evenVBand="0" w:oddHBand="0" w:evenHBand="0" w:firstRowFirstColumn="0" w:firstRowLastColumn="0" w:lastRowFirstColumn="0" w:lastRowLastColumn="0"/>
              <w:rPr>
                <w:rFonts w:ascii="Times" w:hAnsi="Times"/>
                <w:b/>
                <w:color w:val="000000"/>
                <w:sz w:val="20"/>
                <w:szCs w:val="20"/>
                <w:lang w:val="en-US"/>
              </w:rPr>
            </w:pPr>
            <w:r w:rsidRPr="00CC643A">
              <w:rPr>
                <w:rFonts w:ascii="Times" w:hAnsi="Times"/>
                <w:b/>
                <w:color w:val="000000"/>
                <w:sz w:val="20"/>
                <w:szCs w:val="20"/>
                <w:lang w:val="en-US"/>
              </w:rPr>
              <w:t>1</w:t>
            </w:r>
            <w:r w:rsidR="00E827B9" w:rsidRPr="00CC643A">
              <w:rPr>
                <w:rFonts w:ascii="Times" w:hAnsi="Times"/>
                <w:b/>
                <w:color w:val="000000"/>
                <w:sz w:val="20"/>
                <w:szCs w:val="20"/>
                <w:lang w:val="en-US"/>
              </w:rPr>
              <w:t xml:space="preserve"> </w:t>
            </w:r>
            <w:r w:rsidRPr="00CC643A">
              <w:rPr>
                <w:rFonts w:ascii="Times" w:hAnsi="Times"/>
                <w:b/>
                <w:color w:val="000000"/>
                <w:sz w:val="20"/>
                <w:szCs w:val="20"/>
                <w:lang w:val="en-US"/>
              </w:rPr>
              <w:t>592</w:t>
            </w:r>
          </w:p>
        </w:tc>
        <w:tc>
          <w:tcPr>
            <w:tcW w:w="1682" w:type="dxa"/>
            <w:noWrap/>
            <w:hideMark/>
          </w:tcPr>
          <w:p w14:paraId="717F462A" w14:textId="77777777" w:rsidR="00A907A0" w:rsidRPr="00CC643A" w:rsidRDefault="00A907A0" w:rsidP="00A87760">
            <w:pPr>
              <w:keepNext/>
              <w:jc w:val="center"/>
              <w:cnfStyle w:val="000000000000" w:firstRow="0" w:lastRow="0" w:firstColumn="0" w:lastColumn="0" w:oddVBand="0" w:evenVBand="0" w:oddHBand="0" w:evenHBand="0" w:firstRowFirstColumn="0" w:firstRowLastColumn="0" w:lastRowFirstColumn="0" w:lastRowLastColumn="0"/>
              <w:rPr>
                <w:rFonts w:ascii="Times" w:hAnsi="Times"/>
                <w:b/>
                <w:color w:val="000000"/>
                <w:sz w:val="20"/>
                <w:szCs w:val="20"/>
                <w:lang w:val="en-US"/>
              </w:rPr>
            </w:pPr>
            <w:r w:rsidRPr="00CC643A">
              <w:rPr>
                <w:rFonts w:ascii="Times" w:hAnsi="Times"/>
                <w:b/>
                <w:color w:val="000000"/>
                <w:sz w:val="20"/>
                <w:szCs w:val="20"/>
                <w:lang w:val="en-US"/>
              </w:rPr>
              <w:t>1</w:t>
            </w:r>
            <w:r w:rsidR="00E827B9" w:rsidRPr="00CC643A">
              <w:rPr>
                <w:rFonts w:ascii="Times" w:hAnsi="Times"/>
                <w:b/>
                <w:color w:val="000000"/>
                <w:sz w:val="20"/>
                <w:szCs w:val="20"/>
                <w:lang w:val="en-US"/>
              </w:rPr>
              <w:t xml:space="preserve"> </w:t>
            </w:r>
            <w:r w:rsidRPr="00CC643A">
              <w:rPr>
                <w:rFonts w:ascii="Times" w:hAnsi="Times"/>
                <w:b/>
                <w:color w:val="000000"/>
                <w:sz w:val="20"/>
                <w:szCs w:val="20"/>
                <w:lang w:val="en-US"/>
              </w:rPr>
              <w:t>650</w:t>
            </w:r>
          </w:p>
        </w:tc>
      </w:tr>
      <w:tr w:rsidR="00A907A0" w:rsidRPr="000D33E4" w14:paraId="3837F698" w14:textId="77777777" w:rsidTr="00CC643A">
        <w:trPr>
          <w:trHeight w:val="204"/>
          <w:jc w:val="center"/>
        </w:trPr>
        <w:tc>
          <w:tcPr>
            <w:cnfStyle w:val="001000000000" w:firstRow="0" w:lastRow="0" w:firstColumn="1" w:lastColumn="0" w:oddVBand="0" w:evenVBand="0" w:oddHBand="0" w:evenHBand="0" w:firstRowFirstColumn="0" w:firstRowLastColumn="0" w:lastRowFirstColumn="0" w:lastRowLastColumn="0"/>
            <w:tcW w:w="4595" w:type="dxa"/>
            <w:noWrap/>
            <w:hideMark/>
          </w:tcPr>
          <w:p w14:paraId="17CB447D" w14:textId="77777777" w:rsidR="00A907A0" w:rsidRPr="009A7F2D" w:rsidRDefault="00A907A0" w:rsidP="009A7F2D">
            <w:pPr>
              <w:keepNext/>
              <w:rPr>
                <w:rFonts w:ascii="Times" w:hAnsi="Times"/>
                <w:b w:val="0"/>
                <w:i/>
                <w:iCs/>
                <w:color w:val="000000"/>
                <w:sz w:val="20"/>
                <w:szCs w:val="20"/>
                <w:lang w:val="en-US"/>
              </w:rPr>
            </w:pPr>
            <w:r w:rsidRPr="009A7F2D">
              <w:rPr>
                <w:rFonts w:ascii="Times" w:hAnsi="Times"/>
                <w:b w:val="0"/>
                <w:i/>
                <w:iCs/>
                <w:color w:val="000000"/>
                <w:sz w:val="20"/>
                <w:szCs w:val="20"/>
                <w:lang w:val="en-US"/>
              </w:rPr>
              <w:t>Change in non-interest expenditure since 2019 Budget</w:t>
            </w:r>
          </w:p>
        </w:tc>
        <w:tc>
          <w:tcPr>
            <w:tcW w:w="1080" w:type="dxa"/>
            <w:noWrap/>
            <w:hideMark/>
          </w:tcPr>
          <w:p w14:paraId="6C0F2236" w14:textId="77777777" w:rsidR="00A907A0" w:rsidRPr="009A7F2D" w:rsidRDefault="00A907A0" w:rsidP="00A87760">
            <w:pPr>
              <w:keepNext/>
              <w:jc w:val="center"/>
              <w:cnfStyle w:val="000000000000" w:firstRow="0" w:lastRow="0" w:firstColumn="0" w:lastColumn="0" w:oddVBand="0" w:evenVBand="0" w:oddHBand="0" w:evenHBand="0" w:firstRowFirstColumn="0" w:firstRowLastColumn="0" w:lastRowFirstColumn="0" w:lastRowLastColumn="0"/>
              <w:rPr>
                <w:rFonts w:ascii="Times" w:hAnsi="Times"/>
                <w:i/>
                <w:iCs/>
                <w:color w:val="000000"/>
                <w:sz w:val="20"/>
                <w:szCs w:val="20"/>
                <w:lang w:val="en-US"/>
              </w:rPr>
            </w:pPr>
            <w:r w:rsidRPr="009A7F2D">
              <w:rPr>
                <w:rFonts w:ascii="Times" w:hAnsi="Times"/>
                <w:i/>
                <w:iCs/>
                <w:color w:val="000000"/>
                <w:sz w:val="20"/>
                <w:szCs w:val="20"/>
                <w:lang w:val="en-US"/>
              </w:rPr>
              <w:t>-156</w:t>
            </w:r>
          </w:p>
        </w:tc>
        <w:tc>
          <w:tcPr>
            <w:tcW w:w="994" w:type="dxa"/>
            <w:noWrap/>
            <w:hideMark/>
          </w:tcPr>
          <w:p w14:paraId="1BA0514E" w14:textId="77777777" w:rsidR="00A907A0" w:rsidRPr="009A7F2D" w:rsidRDefault="00A907A0" w:rsidP="00A87760">
            <w:pPr>
              <w:keepNext/>
              <w:jc w:val="center"/>
              <w:cnfStyle w:val="000000000000" w:firstRow="0" w:lastRow="0" w:firstColumn="0" w:lastColumn="0" w:oddVBand="0" w:evenVBand="0" w:oddHBand="0" w:evenHBand="0" w:firstRowFirstColumn="0" w:firstRowLastColumn="0" w:lastRowFirstColumn="0" w:lastRowLastColumn="0"/>
              <w:rPr>
                <w:rFonts w:ascii="Times" w:hAnsi="Times"/>
                <w:i/>
                <w:iCs/>
                <w:color w:val="000000"/>
                <w:sz w:val="20"/>
                <w:szCs w:val="20"/>
                <w:lang w:val="en-US"/>
              </w:rPr>
            </w:pPr>
            <w:r w:rsidRPr="009A7F2D">
              <w:rPr>
                <w:rFonts w:ascii="Times" w:hAnsi="Times"/>
                <w:i/>
                <w:iCs/>
                <w:color w:val="000000"/>
                <w:sz w:val="20"/>
                <w:szCs w:val="20"/>
                <w:lang w:val="en-US"/>
              </w:rPr>
              <w:t>-9</w:t>
            </w:r>
          </w:p>
        </w:tc>
        <w:tc>
          <w:tcPr>
            <w:tcW w:w="1147" w:type="dxa"/>
            <w:noWrap/>
            <w:hideMark/>
          </w:tcPr>
          <w:p w14:paraId="705BCF29" w14:textId="77777777" w:rsidR="00A907A0" w:rsidRPr="009A7F2D" w:rsidRDefault="00A907A0" w:rsidP="00A87760">
            <w:pPr>
              <w:keepNext/>
              <w:jc w:val="center"/>
              <w:cnfStyle w:val="000000000000" w:firstRow="0" w:lastRow="0" w:firstColumn="0" w:lastColumn="0" w:oddVBand="0" w:evenVBand="0" w:oddHBand="0" w:evenHBand="0" w:firstRowFirstColumn="0" w:firstRowLastColumn="0" w:lastRowFirstColumn="0" w:lastRowLastColumn="0"/>
              <w:rPr>
                <w:rFonts w:ascii="Times" w:hAnsi="Times"/>
                <w:i/>
                <w:iCs/>
                <w:color w:val="000000"/>
                <w:sz w:val="20"/>
                <w:szCs w:val="20"/>
                <w:lang w:val="en-US"/>
              </w:rPr>
            </w:pPr>
            <w:r w:rsidRPr="009A7F2D">
              <w:rPr>
                <w:rFonts w:ascii="Times" w:hAnsi="Times"/>
                <w:i/>
                <w:iCs/>
                <w:color w:val="000000"/>
                <w:sz w:val="20"/>
                <w:szCs w:val="20"/>
                <w:lang w:val="en-US"/>
              </w:rPr>
              <w:t>-61</w:t>
            </w:r>
          </w:p>
        </w:tc>
        <w:tc>
          <w:tcPr>
            <w:tcW w:w="1682" w:type="dxa"/>
            <w:noWrap/>
            <w:hideMark/>
          </w:tcPr>
          <w:p w14:paraId="0D275015" w14:textId="77777777" w:rsidR="00A907A0" w:rsidRPr="009A7F2D" w:rsidRDefault="00A907A0" w:rsidP="00A87760">
            <w:pPr>
              <w:keepNext/>
              <w:jc w:val="center"/>
              <w:cnfStyle w:val="000000000000" w:firstRow="0" w:lastRow="0" w:firstColumn="0" w:lastColumn="0" w:oddVBand="0" w:evenVBand="0" w:oddHBand="0" w:evenHBand="0" w:firstRowFirstColumn="0" w:firstRowLastColumn="0" w:lastRowFirstColumn="0" w:lastRowLastColumn="0"/>
              <w:rPr>
                <w:rFonts w:ascii="Times" w:hAnsi="Times"/>
                <w:i/>
                <w:iCs/>
                <w:color w:val="000000"/>
                <w:sz w:val="20"/>
                <w:szCs w:val="20"/>
                <w:lang w:val="en-US"/>
              </w:rPr>
            </w:pPr>
            <w:r w:rsidRPr="009A7F2D">
              <w:rPr>
                <w:rFonts w:ascii="Times" w:hAnsi="Times"/>
                <w:i/>
                <w:iCs/>
                <w:color w:val="000000"/>
                <w:sz w:val="20"/>
                <w:szCs w:val="20"/>
                <w:lang w:val="en-US"/>
              </w:rPr>
              <w:t>-86</w:t>
            </w:r>
          </w:p>
        </w:tc>
      </w:tr>
    </w:tbl>
    <w:p w14:paraId="55FBEB33" w14:textId="77777777" w:rsidR="00A907A0" w:rsidRPr="009A7F2D" w:rsidRDefault="00A907A0" w:rsidP="009A7F2D">
      <w:pPr>
        <w:keepNext/>
        <w:spacing w:line="240" w:lineRule="auto"/>
        <w:rPr>
          <w:rFonts w:ascii="Times" w:hAnsi="Times"/>
          <w:i/>
          <w:iCs/>
          <w:sz w:val="20"/>
          <w:szCs w:val="24"/>
        </w:rPr>
      </w:pPr>
      <w:r w:rsidRPr="009A7F2D">
        <w:rPr>
          <w:rFonts w:ascii="Times" w:hAnsi="Times"/>
          <w:i/>
          <w:iCs/>
          <w:sz w:val="28"/>
          <w:szCs w:val="24"/>
        </w:rPr>
        <w:t xml:space="preserve"> </w:t>
      </w:r>
      <w:r w:rsidRPr="009A7F2D">
        <w:rPr>
          <w:rFonts w:ascii="Times" w:hAnsi="Times"/>
          <w:i/>
          <w:iCs/>
          <w:sz w:val="20"/>
          <w:szCs w:val="24"/>
        </w:rPr>
        <w:t>Source: The National Treasury, Budget Review 2020.</w:t>
      </w:r>
    </w:p>
    <w:p w14:paraId="3C7AF665" w14:textId="77777777" w:rsidR="00BE6C51" w:rsidRPr="000D33E4" w:rsidRDefault="00BE6C51" w:rsidP="007B1E55">
      <w:pPr>
        <w:rPr>
          <w:rFonts w:ascii="Times" w:hAnsi="Times"/>
          <w:sz w:val="18"/>
        </w:rPr>
      </w:pPr>
    </w:p>
    <w:p w14:paraId="544B45A0" w14:textId="77777777" w:rsidR="00A907A0" w:rsidRPr="0028060E" w:rsidRDefault="00A907A0" w:rsidP="00FB6890">
      <w:pPr>
        <w:pStyle w:val="Heading3"/>
      </w:pPr>
      <w:bookmarkStart w:id="47" w:name="_Toc42211912"/>
      <w:r w:rsidRPr="0028060E">
        <w:t xml:space="preserve">Expenditure by </w:t>
      </w:r>
      <w:r w:rsidR="0028060E" w:rsidRPr="0028060E">
        <w:t>f</w:t>
      </w:r>
      <w:r w:rsidRPr="0028060E">
        <w:t xml:space="preserve">unctional </w:t>
      </w:r>
      <w:r w:rsidR="0028060E" w:rsidRPr="0028060E">
        <w:t>c</w:t>
      </w:r>
      <w:r w:rsidRPr="0028060E">
        <w:t>ategory</w:t>
      </w:r>
      <w:bookmarkEnd w:id="47"/>
    </w:p>
    <w:p w14:paraId="66BAE928" w14:textId="77777777" w:rsidR="00B013FE" w:rsidRPr="000D33E4" w:rsidRDefault="00B013FE" w:rsidP="00B013FE">
      <w:pPr>
        <w:rPr>
          <w:rFonts w:ascii="Times" w:hAnsi="Times"/>
        </w:rPr>
      </w:pPr>
    </w:p>
    <w:p w14:paraId="2B8FA229" w14:textId="441C2638" w:rsidR="00A907A0" w:rsidRPr="000D33E4" w:rsidRDefault="00A907A0" w:rsidP="009A7F2D">
      <w:r w:rsidRPr="000D33E4">
        <w:t>As a result of low growth, stubbornly high poverty and unemployment</w:t>
      </w:r>
      <w:r w:rsidR="00EC1326">
        <w:t>,</w:t>
      </w:r>
      <w:r w:rsidRPr="000D33E4">
        <w:t xml:space="preserve"> and the need to assist ailing SOEs, Budget 2020 presented consolidated expenditure and functional allocation figures that were revised down when compared to projections as at the time of MTB</w:t>
      </w:r>
      <w:r w:rsidR="00710522" w:rsidRPr="000D33E4">
        <w:t xml:space="preserve">PS 2019. As reflected in </w:t>
      </w:r>
      <w:r w:rsidR="0028060E">
        <w:fldChar w:fldCharType="begin"/>
      </w:r>
      <w:r w:rsidR="0028060E">
        <w:instrText xml:space="preserve"> REF _Ref40880216 \h </w:instrText>
      </w:r>
      <w:r w:rsidR="0028060E">
        <w:fldChar w:fldCharType="separate"/>
      </w:r>
      <w:r w:rsidR="0028060E" w:rsidRPr="000D33E4">
        <w:rPr>
          <w:rFonts w:ascii="Times" w:hAnsi="Times"/>
        </w:rPr>
        <w:t xml:space="preserve">Table </w:t>
      </w:r>
      <w:r w:rsidR="0028060E" w:rsidRPr="000D33E4">
        <w:rPr>
          <w:rFonts w:ascii="Times" w:hAnsi="Times"/>
          <w:noProof/>
        </w:rPr>
        <w:t>3</w:t>
      </w:r>
      <w:r w:rsidR="0028060E">
        <w:fldChar w:fldCharType="end"/>
      </w:r>
      <w:r w:rsidRPr="000D33E4">
        <w:t>, aggregate consolidated expenditure over the next three years was revised downwards by R155.3 billion relative to what was anticipated at the time of the 2019 MTBPS. Likewise</w:t>
      </w:r>
      <w:r w:rsidR="00EC1326">
        <w:t>,</w:t>
      </w:r>
      <w:r w:rsidRPr="000D33E4">
        <w:t xml:space="preserve"> the aggregate allocation by function was reduced from R5.5 trillion to R5.3 trillion over the next three years. This is a reduction of R133 billion (R19.8 billion in 2020/21, R50.1</w:t>
      </w:r>
      <w:r w:rsidR="0028060E">
        <w:t xml:space="preserve"> </w:t>
      </w:r>
      <w:r w:rsidRPr="000D33E4">
        <w:t xml:space="preserve">billion for 2021/22 and R63.9 billion in 2022/23) when compared to the 2019 MTBPS projections. As can be expected, these adjustments have had a ripple effect in terms of allocations across the various functional categories, with significant reductions </w:t>
      </w:r>
      <w:r w:rsidR="00E91A7B">
        <w:t>in</w:t>
      </w:r>
      <w:r w:rsidRPr="000D33E4">
        <w:t xml:space="preserve"> the majority of functional categories, particularly learning and culture, health</w:t>
      </w:r>
      <w:r w:rsidR="0028060E">
        <w:t>,</w:t>
      </w:r>
      <w:r w:rsidRPr="000D33E4">
        <w:t xml:space="preserve"> and peace and security. Social </w:t>
      </w:r>
      <w:r w:rsidR="0028060E">
        <w:t>d</w:t>
      </w:r>
      <w:r w:rsidRPr="000D33E4">
        <w:t xml:space="preserve">evelopment on the other hand saw an increase of R30.7 billion in Budget 2020 relative to what was contained in the MTBPS 2019. </w:t>
      </w:r>
    </w:p>
    <w:p w14:paraId="404CD7AF" w14:textId="77777777" w:rsidR="00A907A0" w:rsidRPr="000D33E4" w:rsidRDefault="00A907A0" w:rsidP="007B1E55">
      <w:pPr>
        <w:rPr>
          <w:rFonts w:ascii="Times" w:hAnsi="Times"/>
          <w:color w:val="0D0D0D" w:themeColor="text1" w:themeTint="F2"/>
        </w:rPr>
      </w:pPr>
    </w:p>
    <w:p w14:paraId="5EFB37C7" w14:textId="77777777" w:rsidR="00A907A0" w:rsidRPr="000D33E4" w:rsidRDefault="00A907A0" w:rsidP="007B1E55">
      <w:pPr>
        <w:jc w:val="center"/>
        <w:rPr>
          <w:rFonts w:ascii="Times" w:hAnsi="Times"/>
          <w:b/>
          <w:color w:val="0D0D0D" w:themeColor="text1" w:themeTint="F2"/>
        </w:rPr>
      </w:pPr>
    </w:p>
    <w:p w14:paraId="6697BA03" w14:textId="4720F64F" w:rsidR="00B826E6" w:rsidRPr="009A7F2D" w:rsidRDefault="00B826E6" w:rsidP="009A7F2D">
      <w:pPr>
        <w:pStyle w:val="Caption"/>
        <w:keepNext/>
        <w:spacing w:after="60" w:line="240" w:lineRule="auto"/>
        <w:rPr>
          <w:rFonts w:ascii="Times" w:hAnsi="Times"/>
          <w:color w:val="004C45" w:themeColor="text2"/>
          <w:sz w:val="24"/>
          <w:szCs w:val="24"/>
        </w:rPr>
      </w:pPr>
      <w:bookmarkStart w:id="48" w:name="_Ref40880216"/>
      <w:bookmarkStart w:id="49" w:name="_Toc42212131"/>
      <w:r w:rsidRPr="009A7F2D">
        <w:rPr>
          <w:rFonts w:ascii="Times" w:hAnsi="Times"/>
          <w:color w:val="004C45" w:themeColor="text2"/>
          <w:sz w:val="24"/>
          <w:szCs w:val="24"/>
        </w:rPr>
        <w:t xml:space="preserve">Table </w:t>
      </w:r>
      <w:r w:rsidRPr="009A7F2D">
        <w:rPr>
          <w:rFonts w:ascii="Times" w:hAnsi="Times"/>
          <w:color w:val="004C45" w:themeColor="text2"/>
          <w:sz w:val="24"/>
          <w:szCs w:val="24"/>
        </w:rPr>
        <w:fldChar w:fldCharType="begin"/>
      </w:r>
      <w:r w:rsidRPr="009A7F2D">
        <w:rPr>
          <w:rFonts w:ascii="Times" w:hAnsi="Times"/>
          <w:color w:val="004C45" w:themeColor="text2"/>
          <w:sz w:val="24"/>
          <w:szCs w:val="24"/>
        </w:rPr>
        <w:instrText xml:space="preserve"> SEQ Table \* ARABIC </w:instrText>
      </w:r>
      <w:r w:rsidRPr="009A7F2D">
        <w:rPr>
          <w:rFonts w:ascii="Times" w:hAnsi="Times"/>
          <w:color w:val="004C45" w:themeColor="text2"/>
          <w:sz w:val="24"/>
          <w:szCs w:val="24"/>
        </w:rPr>
        <w:fldChar w:fldCharType="separate"/>
      </w:r>
      <w:r w:rsidR="00492893">
        <w:rPr>
          <w:rFonts w:ascii="Times" w:hAnsi="Times"/>
          <w:noProof/>
          <w:color w:val="004C45" w:themeColor="text2"/>
          <w:sz w:val="24"/>
          <w:szCs w:val="24"/>
        </w:rPr>
        <w:t>3</w:t>
      </w:r>
      <w:r w:rsidRPr="009A7F2D">
        <w:rPr>
          <w:rFonts w:ascii="Times" w:hAnsi="Times"/>
          <w:color w:val="004C45" w:themeColor="text2"/>
          <w:sz w:val="24"/>
          <w:szCs w:val="24"/>
        </w:rPr>
        <w:fldChar w:fldCharType="end"/>
      </w:r>
      <w:bookmarkEnd w:id="48"/>
      <w:r w:rsidR="00D71D8C">
        <w:rPr>
          <w:rFonts w:ascii="Times" w:hAnsi="Times"/>
          <w:color w:val="004C45" w:themeColor="text2"/>
          <w:sz w:val="24"/>
          <w:szCs w:val="24"/>
        </w:rPr>
        <w:t>:</w:t>
      </w:r>
      <w:r w:rsidRPr="009A7F2D">
        <w:rPr>
          <w:rFonts w:ascii="Times" w:hAnsi="Times"/>
          <w:color w:val="004C45" w:themeColor="text2"/>
          <w:sz w:val="24"/>
          <w:szCs w:val="24"/>
        </w:rPr>
        <w:t xml:space="preserve"> MTBPS 2019 </w:t>
      </w:r>
      <w:r w:rsidR="00710522" w:rsidRPr="009A7F2D">
        <w:rPr>
          <w:rFonts w:ascii="Times" w:hAnsi="Times"/>
          <w:color w:val="004C45" w:themeColor="text2"/>
          <w:sz w:val="24"/>
          <w:szCs w:val="24"/>
        </w:rPr>
        <w:t>versus</w:t>
      </w:r>
      <w:r w:rsidRPr="009A7F2D">
        <w:rPr>
          <w:rFonts w:ascii="Times" w:hAnsi="Times"/>
          <w:color w:val="004C45" w:themeColor="text2"/>
          <w:sz w:val="24"/>
          <w:szCs w:val="24"/>
        </w:rPr>
        <w:t xml:space="preserve"> Budget 2020</w:t>
      </w:r>
      <w:bookmarkEnd w:id="49"/>
    </w:p>
    <w:tbl>
      <w:tblPr>
        <w:tblStyle w:val="GridTable1Light-Accent6"/>
        <w:tblW w:w="9644" w:type="dxa"/>
        <w:jc w:val="right"/>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Look w:val="04A0" w:firstRow="1" w:lastRow="0" w:firstColumn="1" w:lastColumn="0" w:noHBand="0" w:noVBand="1"/>
      </w:tblPr>
      <w:tblGrid>
        <w:gridCol w:w="3344"/>
        <w:gridCol w:w="1980"/>
        <w:gridCol w:w="1980"/>
        <w:gridCol w:w="2340"/>
      </w:tblGrid>
      <w:tr w:rsidR="00A907A0" w:rsidRPr="000D33E4" w14:paraId="364483E8" w14:textId="77777777" w:rsidTr="009A7F2D">
        <w:trPr>
          <w:cnfStyle w:val="100000000000" w:firstRow="1" w:lastRow="0" w:firstColumn="0" w:lastColumn="0" w:oddVBand="0" w:evenVBand="0" w:oddHBand="0" w:evenHBand="0" w:firstRowFirstColumn="0" w:firstRowLastColumn="0" w:lastRowFirstColumn="0" w:lastRowLastColumn="0"/>
          <w:trHeight w:val="612"/>
          <w:jc w:val="right"/>
        </w:trPr>
        <w:tc>
          <w:tcPr>
            <w:cnfStyle w:val="001000000000" w:firstRow="0" w:lastRow="0" w:firstColumn="1" w:lastColumn="0" w:oddVBand="0" w:evenVBand="0" w:oddHBand="0" w:evenHBand="0" w:firstRowFirstColumn="0" w:firstRowLastColumn="0" w:lastRowFirstColumn="0" w:lastRowLastColumn="0"/>
            <w:tcW w:w="3344" w:type="dxa"/>
            <w:tcBorders>
              <w:bottom w:val="none" w:sz="0" w:space="0" w:color="auto"/>
            </w:tcBorders>
            <w:noWrap/>
            <w:hideMark/>
          </w:tcPr>
          <w:p w14:paraId="65C7F46E" w14:textId="77777777" w:rsidR="00A907A0" w:rsidRPr="00E91A7B" w:rsidRDefault="00A907A0" w:rsidP="006A1B93">
            <w:pPr>
              <w:keepNext/>
              <w:rPr>
                <w:rFonts w:ascii="Times" w:eastAsia="Times New Roman" w:hAnsi="Times" w:cs="Times New Roman"/>
                <w:color w:val="000000"/>
                <w:sz w:val="20"/>
                <w:szCs w:val="20"/>
              </w:rPr>
            </w:pPr>
            <w:r w:rsidRPr="00E91A7B">
              <w:rPr>
                <w:rFonts w:ascii="Times" w:hAnsi="Times"/>
                <w:color w:val="000000"/>
                <w:sz w:val="20"/>
                <w:szCs w:val="20"/>
              </w:rPr>
              <w:t>R</w:t>
            </w:r>
            <w:r w:rsidR="00F62C4E" w:rsidRPr="00E91A7B">
              <w:rPr>
                <w:rFonts w:ascii="Times" w:hAnsi="Times"/>
                <w:color w:val="000000"/>
                <w:sz w:val="20"/>
                <w:szCs w:val="20"/>
              </w:rPr>
              <w:t xml:space="preserve"> </w:t>
            </w:r>
            <w:r w:rsidRPr="00E91A7B">
              <w:rPr>
                <w:rFonts w:ascii="Times" w:hAnsi="Times"/>
                <w:color w:val="000000"/>
                <w:sz w:val="20"/>
                <w:szCs w:val="20"/>
              </w:rPr>
              <w:t>billion</w:t>
            </w:r>
          </w:p>
        </w:tc>
        <w:tc>
          <w:tcPr>
            <w:tcW w:w="3960" w:type="dxa"/>
            <w:gridSpan w:val="2"/>
            <w:tcBorders>
              <w:bottom w:val="none" w:sz="0" w:space="0" w:color="auto"/>
            </w:tcBorders>
            <w:noWrap/>
            <w:hideMark/>
          </w:tcPr>
          <w:p w14:paraId="42F91D04" w14:textId="77777777" w:rsidR="00A907A0" w:rsidRPr="00E91A7B" w:rsidRDefault="00A907A0" w:rsidP="006A1B93">
            <w:pPr>
              <w:keepNext/>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New Roman"/>
                <w:color w:val="000000"/>
                <w:sz w:val="20"/>
                <w:szCs w:val="20"/>
              </w:rPr>
            </w:pPr>
            <w:r w:rsidRPr="00E91A7B">
              <w:rPr>
                <w:rFonts w:ascii="Times" w:hAnsi="Times"/>
                <w:color w:val="000000"/>
                <w:sz w:val="20"/>
                <w:szCs w:val="20"/>
              </w:rPr>
              <w:t>Total allocations for period:</w:t>
            </w:r>
          </w:p>
          <w:p w14:paraId="69DB025C" w14:textId="77777777" w:rsidR="00A907A0" w:rsidRPr="00E91A7B" w:rsidRDefault="00A907A0" w:rsidP="006A1B93">
            <w:pPr>
              <w:keepNext/>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New Roman"/>
                <w:color w:val="000000"/>
                <w:sz w:val="20"/>
                <w:szCs w:val="20"/>
              </w:rPr>
            </w:pPr>
            <w:r w:rsidRPr="00E91A7B">
              <w:rPr>
                <w:rFonts w:ascii="Times" w:hAnsi="Times"/>
                <w:color w:val="000000"/>
                <w:sz w:val="20"/>
                <w:szCs w:val="20"/>
              </w:rPr>
              <w:t>2020/21 to 2022/23</w:t>
            </w:r>
          </w:p>
        </w:tc>
        <w:tc>
          <w:tcPr>
            <w:tcW w:w="2340" w:type="dxa"/>
            <w:vMerge w:val="restart"/>
            <w:tcBorders>
              <w:bottom w:val="none" w:sz="0" w:space="0" w:color="auto"/>
            </w:tcBorders>
            <w:hideMark/>
          </w:tcPr>
          <w:p w14:paraId="11F67072" w14:textId="77777777" w:rsidR="00A907A0" w:rsidRPr="00E91A7B" w:rsidRDefault="00A907A0" w:rsidP="006A1B93">
            <w:pPr>
              <w:keepNext/>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New Roman"/>
                <w:color w:val="000000"/>
                <w:sz w:val="20"/>
                <w:szCs w:val="20"/>
              </w:rPr>
            </w:pPr>
            <w:r w:rsidRPr="00E91A7B">
              <w:rPr>
                <w:rFonts w:ascii="Times" w:hAnsi="Times"/>
                <w:color w:val="000000"/>
                <w:sz w:val="20"/>
                <w:szCs w:val="20"/>
              </w:rPr>
              <w:t>Change between MTBPS 2019 and Budget 2020</w:t>
            </w:r>
          </w:p>
        </w:tc>
      </w:tr>
      <w:tr w:rsidR="00A907A0" w:rsidRPr="000D33E4" w14:paraId="053A9B34" w14:textId="77777777" w:rsidTr="009A7F2D">
        <w:trPr>
          <w:trHeight w:val="303"/>
          <w:jc w:val="right"/>
        </w:trPr>
        <w:tc>
          <w:tcPr>
            <w:cnfStyle w:val="001000000000" w:firstRow="0" w:lastRow="0" w:firstColumn="1" w:lastColumn="0" w:oddVBand="0" w:evenVBand="0" w:oddHBand="0" w:evenHBand="0" w:firstRowFirstColumn="0" w:firstRowLastColumn="0" w:lastRowFirstColumn="0" w:lastRowLastColumn="0"/>
            <w:tcW w:w="3344" w:type="dxa"/>
            <w:noWrap/>
            <w:hideMark/>
          </w:tcPr>
          <w:p w14:paraId="7D85217C" w14:textId="77777777" w:rsidR="00A907A0" w:rsidRPr="00E91A7B" w:rsidRDefault="00A907A0" w:rsidP="006A1B93">
            <w:pPr>
              <w:keepNext/>
              <w:rPr>
                <w:rFonts w:ascii="Times" w:eastAsia="Times New Roman" w:hAnsi="Times" w:cs="Times New Roman"/>
                <w:color w:val="000000"/>
                <w:sz w:val="20"/>
                <w:szCs w:val="20"/>
              </w:rPr>
            </w:pPr>
            <w:r w:rsidRPr="00E91A7B">
              <w:rPr>
                <w:rFonts w:ascii="Times" w:hAnsi="Times"/>
                <w:color w:val="000000"/>
                <w:sz w:val="20"/>
                <w:szCs w:val="20"/>
              </w:rPr>
              <w:t>Functional category</w:t>
            </w:r>
          </w:p>
        </w:tc>
        <w:tc>
          <w:tcPr>
            <w:tcW w:w="1980" w:type="dxa"/>
            <w:noWrap/>
            <w:hideMark/>
          </w:tcPr>
          <w:p w14:paraId="776299D0" w14:textId="77777777" w:rsidR="00A907A0" w:rsidRPr="00E91A7B" w:rsidRDefault="00A907A0" w:rsidP="006A1B93">
            <w:pPr>
              <w:keepNext/>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b/>
                <w:bCs/>
                <w:color w:val="000000"/>
                <w:sz w:val="20"/>
                <w:szCs w:val="20"/>
              </w:rPr>
            </w:pPr>
            <w:r w:rsidRPr="00E91A7B">
              <w:rPr>
                <w:rFonts w:ascii="Times" w:hAnsi="Times"/>
                <w:b/>
                <w:bCs/>
                <w:color w:val="000000"/>
                <w:sz w:val="20"/>
                <w:szCs w:val="20"/>
              </w:rPr>
              <w:t>2019 MTBPS</w:t>
            </w:r>
          </w:p>
        </w:tc>
        <w:tc>
          <w:tcPr>
            <w:tcW w:w="1980" w:type="dxa"/>
            <w:noWrap/>
            <w:hideMark/>
          </w:tcPr>
          <w:p w14:paraId="1CB3C5DD" w14:textId="77777777" w:rsidR="00A907A0" w:rsidRPr="00E91A7B" w:rsidRDefault="00A907A0" w:rsidP="006A1B93">
            <w:pPr>
              <w:keepNext/>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b/>
                <w:bCs/>
                <w:color w:val="000000"/>
                <w:sz w:val="20"/>
                <w:szCs w:val="20"/>
              </w:rPr>
            </w:pPr>
            <w:r w:rsidRPr="00E91A7B">
              <w:rPr>
                <w:rFonts w:ascii="Times" w:hAnsi="Times"/>
                <w:b/>
                <w:bCs/>
                <w:color w:val="000000"/>
                <w:sz w:val="20"/>
                <w:szCs w:val="20"/>
              </w:rPr>
              <w:t>2020 Budget</w:t>
            </w:r>
          </w:p>
        </w:tc>
        <w:tc>
          <w:tcPr>
            <w:tcW w:w="2340" w:type="dxa"/>
            <w:vMerge/>
            <w:hideMark/>
          </w:tcPr>
          <w:p w14:paraId="37BA6828" w14:textId="77777777" w:rsidR="00A907A0" w:rsidRPr="00E91A7B" w:rsidRDefault="00A907A0" w:rsidP="006A1B93">
            <w:pPr>
              <w:keepNext/>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b/>
                <w:bCs/>
                <w:color w:val="000000"/>
                <w:sz w:val="20"/>
                <w:szCs w:val="20"/>
              </w:rPr>
            </w:pPr>
          </w:p>
        </w:tc>
      </w:tr>
      <w:tr w:rsidR="00A907A0" w:rsidRPr="000D33E4" w14:paraId="5E6A3F7C" w14:textId="77777777" w:rsidTr="009A7F2D">
        <w:trPr>
          <w:trHeight w:val="204"/>
          <w:jc w:val="right"/>
        </w:trPr>
        <w:tc>
          <w:tcPr>
            <w:cnfStyle w:val="001000000000" w:firstRow="0" w:lastRow="0" w:firstColumn="1" w:lastColumn="0" w:oddVBand="0" w:evenVBand="0" w:oddHBand="0" w:evenHBand="0" w:firstRowFirstColumn="0" w:firstRowLastColumn="0" w:lastRowFirstColumn="0" w:lastRowLastColumn="0"/>
            <w:tcW w:w="3344" w:type="dxa"/>
            <w:noWrap/>
            <w:hideMark/>
          </w:tcPr>
          <w:p w14:paraId="3460D71C" w14:textId="77777777" w:rsidR="00A907A0" w:rsidRPr="00E91A7B" w:rsidRDefault="00A907A0" w:rsidP="006A1B93">
            <w:pPr>
              <w:keepNext/>
              <w:rPr>
                <w:rFonts w:ascii="Times" w:eastAsia="Times New Roman" w:hAnsi="Times" w:cs="Times New Roman"/>
                <w:b w:val="0"/>
                <w:color w:val="000000"/>
                <w:sz w:val="20"/>
                <w:szCs w:val="20"/>
              </w:rPr>
            </w:pPr>
            <w:r w:rsidRPr="00E91A7B">
              <w:rPr>
                <w:rFonts w:ascii="Times" w:hAnsi="Times"/>
                <w:b w:val="0"/>
                <w:color w:val="000000"/>
                <w:sz w:val="20"/>
                <w:szCs w:val="20"/>
              </w:rPr>
              <w:t>Learning and culture</w:t>
            </w:r>
          </w:p>
        </w:tc>
        <w:tc>
          <w:tcPr>
            <w:tcW w:w="1980" w:type="dxa"/>
            <w:noWrap/>
            <w:hideMark/>
          </w:tcPr>
          <w:p w14:paraId="02291003" w14:textId="77777777" w:rsidR="00A907A0" w:rsidRPr="00E91A7B" w:rsidRDefault="00A907A0" w:rsidP="006A1B93">
            <w:pPr>
              <w:keepNext/>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color w:val="000000"/>
                <w:sz w:val="20"/>
                <w:szCs w:val="20"/>
              </w:rPr>
            </w:pPr>
            <w:r w:rsidRPr="00E91A7B">
              <w:rPr>
                <w:rFonts w:ascii="Times" w:hAnsi="Times"/>
                <w:color w:val="000000"/>
                <w:sz w:val="20"/>
                <w:szCs w:val="20"/>
              </w:rPr>
              <w:t>1</w:t>
            </w:r>
            <w:r w:rsidR="0028060E" w:rsidRPr="00E91A7B">
              <w:rPr>
                <w:rFonts w:ascii="Times" w:hAnsi="Times"/>
                <w:color w:val="000000"/>
                <w:sz w:val="20"/>
                <w:szCs w:val="20"/>
              </w:rPr>
              <w:t xml:space="preserve"> </w:t>
            </w:r>
            <w:r w:rsidRPr="00E91A7B">
              <w:rPr>
                <w:rFonts w:ascii="Times" w:hAnsi="Times"/>
                <w:color w:val="000000"/>
                <w:sz w:val="20"/>
                <w:szCs w:val="20"/>
              </w:rPr>
              <w:t>306.5</w:t>
            </w:r>
          </w:p>
        </w:tc>
        <w:tc>
          <w:tcPr>
            <w:tcW w:w="1980" w:type="dxa"/>
            <w:noWrap/>
            <w:hideMark/>
          </w:tcPr>
          <w:p w14:paraId="7C57F776" w14:textId="77777777" w:rsidR="00A907A0" w:rsidRPr="00E91A7B" w:rsidRDefault="00A907A0" w:rsidP="006A1B93">
            <w:pPr>
              <w:keepNext/>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color w:val="000000"/>
                <w:sz w:val="20"/>
                <w:szCs w:val="20"/>
              </w:rPr>
            </w:pPr>
            <w:r w:rsidRPr="00E91A7B">
              <w:rPr>
                <w:rFonts w:ascii="Times" w:hAnsi="Times"/>
                <w:color w:val="000000"/>
                <w:sz w:val="20"/>
                <w:szCs w:val="20"/>
              </w:rPr>
              <w:t>1</w:t>
            </w:r>
            <w:r w:rsidR="0028060E" w:rsidRPr="00E91A7B">
              <w:rPr>
                <w:rFonts w:ascii="Times" w:hAnsi="Times"/>
                <w:color w:val="000000"/>
                <w:sz w:val="20"/>
                <w:szCs w:val="20"/>
              </w:rPr>
              <w:t xml:space="preserve"> </w:t>
            </w:r>
            <w:r w:rsidRPr="00E91A7B">
              <w:rPr>
                <w:rFonts w:ascii="Times" w:hAnsi="Times"/>
                <w:color w:val="000000"/>
                <w:sz w:val="20"/>
                <w:szCs w:val="20"/>
              </w:rPr>
              <w:t>248.4</w:t>
            </w:r>
          </w:p>
        </w:tc>
        <w:tc>
          <w:tcPr>
            <w:tcW w:w="2340" w:type="dxa"/>
            <w:noWrap/>
            <w:hideMark/>
          </w:tcPr>
          <w:p w14:paraId="55BD68CC" w14:textId="77777777" w:rsidR="00A907A0" w:rsidRPr="00E91A7B" w:rsidRDefault="00A907A0" w:rsidP="006A1B93">
            <w:pPr>
              <w:keepNext/>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color w:val="000000"/>
                <w:sz w:val="20"/>
                <w:szCs w:val="20"/>
              </w:rPr>
            </w:pPr>
            <w:r w:rsidRPr="00E91A7B">
              <w:rPr>
                <w:rFonts w:ascii="Times" w:hAnsi="Times"/>
                <w:color w:val="000000"/>
                <w:sz w:val="20"/>
                <w:szCs w:val="20"/>
              </w:rPr>
              <w:t>-58.1</w:t>
            </w:r>
          </w:p>
        </w:tc>
      </w:tr>
      <w:tr w:rsidR="00A907A0" w:rsidRPr="000D33E4" w14:paraId="5382C08F" w14:textId="77777777" w:rsidTr="009A7F2D">
        <w:trPr>
          <w:trHeight w:val="204"/>
          <w:jc w:val="right"/>
        </w:trPr>
        <w:tc>
          <w:tcPr>
            <w:cnfStyle w:val="001000000000" w:firstRow="0" w:lastRow="0" w:firstColumn="1" w:lastColumn="0" w:oddVBand="0" w:evenVBand="0" w:oddHBand="0" w:evenHBand="0" w:firstRowFirstColumn="0" w:firstRowLastColumn="0" w:lastRowFirstColumn="0" w:lastRowLastColumn="0"/>
            <w:tcW w:w="3344" w:type="dxa"/>
            <w:noWrap/>
            <w:hideMark/>
          </w:tcPr>
          <w:p w14:paraId="2D126F09" w14:textId="77777777" w:rsidR="00A907A0" w:rsidRPr="00E91A7B" w:rsidRDefault="00A907A0" w:rsidP="006A1B93">
            <w:pPr>
              <w:keepNext/>
              <w:rPr>
                <w:rFonts w:ascii="Times" w:eastAsia="Times New Roman" w:hAnsi="Times" w:cs="Times New Roman"/>
                <w:b w:val="0"/>
                <w:color w:val="000000"/>
                <w:sz w:val="20"/>
                <w:szCs w:val="20"/>
              </w:rPr>
            </w:pPr>
            <w:r w:rsidRPr="00E91A7B">
              <w:rPr>
                <w:rFonts w:ascii="Times" w:hAnsi="Times"/>
                <w:b w:val="0"/>
                <w:color w:val="000000"/>
                <w:sz w:val="20"/>
                <w:szCs w:val="20"/>
              </w:rPr>
              <w:t>Health</w:t>
            </w:r>
          </w:p>
        </w:tc>
        <w:tc>
          <w:tcPr>
            <w:tcW w:w="1980" w:type="dxa"/>
            <w:noWrap/>
            <w:hideMark/>
          </w:tcPr>
          <w:p w14:paraId="373A70D4" w14:textId="77777777" w:rsidR="00A907A0" w:rsidRPr="00E91A7B" w:rsidRDefault="00A907A0" w:rsidP="006A1B93">
            <w:pPr>
              <w:keepNext/>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color w:val="000000"/>
                <w:sz w:val="20"/>
                <w:szCs w:val="20"/>
              </w:rPr>
            </w:pPr>
            <w:r w:rsidRPr="00E91A7B">
              <w:rPr>
                <w:rFonts w:ascii="Times" w:hAnsi="Times"/>
                <w:color w:val="000000"/>
                <w:sz w:val="20"/>
                <w:szCs w:val="20"/>
              </w:rPr>
              <w:t>768.6</w:t>
            </w:r>
          </w:p>
        </w:tc>
        <w:tc>
          <w:tcPr>
            <w:tcW w:w="1980" w:type="dxa"/>
            <w:noWrap/>
            <w:hideMark/>
          </w:tcPr>
          <w:p w14:paraId="58075692" w14:textId="77777777" w:rsidR="00A907A0" w:rsidRPr="00E91A7B" w:rsidRDefault="00A907A0" w:rsidP="006A1B93">
            <w:pPr>
              <w:keepNext/>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color w:val="000000"/>
                <w:sz w:val="20"/>
                <w:szCs w:val="20"/>
              </w:rPr>
            </w:pPr>
            <w:r w:rsidRPr="00E91A7B">
              <w:rPr>
                <w:rFonts w:ascii="Times" w:hAnsi="Times"/>
                <w:color w:val="000000"/>
                <w:sz w:val="20"/>
                <w:szCs w:val="20"/>
              </w:rPr>
              <w:t>731.2</w:t>
            </w:r>
          </w:p>
        </w:tc>
        <w:tc>
          <w:tcPr>
            <w:tcW w:w="2340" w:type="dxa"/>
            <w:noWrap/>
            <w:hideMark/>
          </w:tcPr>
          <w:p w14:paraId="2C910BE9" w14:textId="77777777" w:rsidR="00A907A0" w:rsidRPr="00E91A7B" w:rsidRDefault="00A907A0" w:rsidP="006A1B93">
            <w:pPr>
              <w:keepNext/>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color w:val="000000"/>
                <w:sz w:val="20"/>
                <w:szCs w:val="20"/>
              </w:rPr>
            </w:pPr>
            <w:r w:rsidRPr="00E91A7B">
              <w:rPr>
                <w:rFonts w:ascii="Times" w:hAnsi="Times"/>
                <w:color w:val="000000"/>
                <w:sz w:val="20"/>
                <w:szCs w:val="20"/>
              </w:rPr>
              <w:t>-37.3</w:t>
            </w:r>
          </w:p>
        </w:tc>
      </w:tr>
      <w:tr w:rsidR="00A907A0" w:rsidRPr="000D33E4" w14:paraId="07ADCD74" w14:textId="77777777" w:rsidTr="009A7F2D">
        <w:trPr>
          <w:trHeight w:val="204"/>
          <w:jc w:val="right"/>
        </w:trPr>
        <w:tc>
          <w:tcPr>
            <w:cnfStyle w:val="001000000000" w:firstRow="0" w:lastRow="0" w:firstColumn="1" w:lastColumn="0" w:oddVBand="0" w:evenVBand="0" w:oddHBand="0" w:evenHBand="0" w:firstRowFirstColumn="0" w:firstRowLastColumn="0" w:lastRowFirstColumn="0" w:lastRowLastColumn="0"/>
            <w:tcW w:w="3344" w:type="dxa"/>
            <w:noWrap/>
            <w:hideMark/>
          </w:tcPr>
          <w:p w14:paraId="5A2222C3" w14:textId="77777777" w:rsidR="00A907A0" w:rsidRPr="00E91A7B" w:rsidRDefault="00A907A0" w:rsidP="006A1B93">
            <w:pPr>
              <w:keepNext/>
              <w:rPr>
                <w:rFonts w:ascii="Times" w:eastAsia="Times New Roman" w:hAnsi="Times" w:cs="Times New Roman"/>
                <w:b w:val="0"/>
                <w:color w:val="000000"/>
                <w:sz w:val="20"/>
                <w:szCs w:val="20"/>
              </w:rPr>
            </w:pPr>
            <w:r w:rsidRPr="00E91A7B">
              <w:rPr>
                <w:rFonts w:ascii="Times" w:hAnsi="Times"/>
                <w:b w:val="0"/>
                <w:color w:val="000000"/>
                <w:sz w:val="20"/>
                <w:szCs w:val="20"/>
              </w:rPr>
              <w:t>Social development</w:t>
            </w:r>
          </w:p>
        </w:tc>
        <w:tc>
          <w:tcPr>
            <w:tcW w:w="1980" w:type="dxa"/>
            <w:noWrap/>
            <w:hideMark/>
          </w:tcPr>
          <w:p w14:paraId="6A9C737F" w14:textId="77777777" w:rsidR="00A907A0" w:rsidRPr="00E91A7B" w:rsidRDefault="00A907A0" w:rsidP="006A1B93">
            <w:pPr>
              <w:keepNext/>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color w:val="000000"/>
                <w:sz w:val="20"/>
                <w:szCs w:val="20"/>
              </w:rPr>
            </w:pPr>
            <w:r w:rsidRPr="00E91A7B">
              <w:rPr>
                <w:rFonts w:ascii="Times" w:hAnsi="Times"/>
                <w:color w:val="000000"/>
                <w:sz w:val="20"/>
                <w:szCs w:val="20"/>
              </w:rPr>
              <w:t>939.8</w:t>
            </w:r>
          </w:p>
        </w:tc>
        <w:tc>
          <w:tcPr>
            <w:tcW w:w="1980" w:type="dxa"/>
            <w:noWrap/>
            <w:hideMark/>
          </w:tcPr>
          <w:p w14:paraId="0F07B51E" w14:textId="77777777" w:rsidR="00A907A0" w:rsidRPr="00E91A7B" w:rsidRDefault="00A907A0" w:rsidP="006A1B93">
            <w:pPr>
              <w:keepNext/>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color w:val="000000"/>
                <w:sz w:val="20"/>
                <w:szCs w:val="20"/>
              </w:rPr>
            </w:pPr>
            <w:r w:rsidRPr="00E91A7B">
              <w:rPr>
                <w:rFonts w:ascii="Times" w:hAnsi="Times"/>
                <w:color w:val="000000"/>
                <w:sz w:val="20"/>
                <w:szCs w:val="20"/>
              </w:rPr>
              <w:t>970.5</w:t>
            </w:r>
          </w:p>
        </w:tc>
        <w:tc>
          <w:tcPr>
            <w:tcW w:w="2340" w:type="dxa"/>
            <w:noWrap/>
            <w:hideMark/>
          </w:tcPr>
          <w:p w14:paraId="35BBFB8B" w14:textId="77777777" w:rsidR="00A907A0" w:rsidRPr="00E91A7B" w:rsidRDefault="00A907A0" w:rsidP="006A1B93">
            <w:pPr>
              <w:keepNext/>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color w:val="000000"/>
                <w:sz w:val="20"/>
                <w:szCs w:val="20"/>
              </w:rPr>
            </w:pPr>
            <w:r w:rsidRPr="00E91A7B">
              <w:rPr>
                <w:rFonts w:ascii="Times" w:hAnsi="Times"/>
                <w:color w:val="000000"/>
                <w:sz w:val="20"/>
                <w:szCs w:val="20"/>
              </w:rPr>
              <w:t>30.7</w:t>
            </w:r>
          </w:p>
        </w:tc>
      </w:tr>
      <w:tr w:rsidR="00A907A0" w:rsidRPr="000D33E4" w14:paraId="79A19D74" w14:textId="77777777" w:rsidTr="009A7F2D">
        <w:trPr>
          <w:trHeight w:val="204"/>
          <w:jc w:val="right"/>
        </w:trPr>
        <w:tc>
          <w:tcPr>
            <w:cnfStyle w:val="001000000000" w:firstRow="0" w:lastRow="0" w:firstColumn="1" w:lastColumn="0" w:oddVBand="0" w:evenVBand="0" w:oddHBand="0" w:evenHBand="0" w:firstRowFirstColumn="0" w:firstRowLastColumn="0" w:lastRowFirstColumn="0" w:lastRowLastColumn="0"/>
            <w:tcW w:w="3344" w:type="dxa"/>
            <w:noWrap/>
            <w:hideMark/>
          </w:tcPr>
          <w:p w14:paraId="31AF9955" w14:textId="77777777" w:rsidR="00A907A0" w:rsidRPr="00E91A7B" w:rsidRDefault="00A907A0" w:rsidP="006A1B93">
            <w:pPr>
              <w:keepNext/>
              <w:rPr>
                <w:rFonts w:ascii="Times" w:eastAsia="Times New Roman" w:hAnsi="Times" w:cs="Times New Roman"/>
                <w:b w:val="0"/>
                <w:color w:val="000000"/>
                <w:sz w:val="20"/>
                <w:szCs w:val="20"/>
              </w:rPr>
            </w:pPr>
            <w:r w:rsidRPr="00E91A7B">
              <w:rPr>
                <w:rFonts w:ascii="Times" w:hAnsi="Times"/>
                <w:b w:val="0"/>
                <w:color w:val="000000"/>
                <w:sz w:val="20"/>
                <w:szCs w:val="20"/>
              </w:rPr>
              <w:t>Community development</w:t>
            </w:r>
          </w:p>
        </w:tc>
        <w:tc>
          <w:tcPr>
            <w:tcW w:w="1980" w:type="dxa"/>
            <w:noWrap/>
            <w:hideMark/>
          </w:tcPr>
          <w:p w14:paraId="389A2294" w14:textId="77777777" w:rsidR="00A907A0" w:rsidRPr="00E91A7B" w:rsidRDefault="00A907A0" w:rsidP="006A1B93">
            <w:pPr>
              <w:keepNext/>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color w:val="000000"/>
                <w:sz w:val="20"/>
                <w:szCs w:val="20"/>
              </w:rPr>
            </w:pPr>
            <w:r w:rsidRPr="00E91A7B">
              <w:rPr>
                <w:rFonts w:ascii="Times" w:hAnsi="Times"/>
                <w:color w:val="000000"/>
                <w:sz w:val="20"/>
                <w:szCs w:val="20"/>
              </w:rPr>
              <w:t>688.6</w:t>
            </w:r>
          </w:p>
        </w:tc>
        <w:tc>
          <w:tcPr>
            <w:tcW w:w="1980" w:type="dxa"/>
            <w:noWrap/>
            <w:hideMark/>
          </w:tcPr>
          <w:p w14:paraId="0C2D534C" w14:textId="77777777" w:rsidR="00A907A0" w:rsidRPr="00E91A7B" w:rsidRDefault="00A907A0" w:rsidP="006A1B93">
            <w:pPr>
              <w:keepNext/>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color w:val="000000"/>
                <w:sz w:val="20"/>
                <w:szCs w:val="20"/>
              </w:rPr>
            </w:pPr>
            <w:r w:rsidRPr="00E91A7B">
              <w:rPr>
                <w:rFonts w:ascii="Times" w:hAnsi="Times"/>
                <w:color w:val="000000"/>
                <w:sz w:val="20"/>
                <w:szCs w:val="20"/>
              </w:rPr>
              <w:t>682.7</w:t>
            </w:r>
          </w:p>
        </w:tc>
        <w:tc>
          <w:tcPr>
            <w:tcW w:w="2340" w:type="dxa"/>
            <w:noWrap/>
            <w:hideMark/>
          </w:tcPr>
          <w:p w14:paraId="41E141AF" w14:textId="77777777" w:rsidR="00A907A0" w:rsidRPr="00E91A7B" w:rsidRDefault="00A907A0" w:rsidP="006A1B93">
            <w:pPr>
              <w:keepNext/>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color w:val="000000"/>
                <w:sz w:val="20"/>
                <w:szCs w:val="20"/>
              </w:rPr>
            </w:pPr>
            <w:r w:rsidRPr="00E91A7B">
              <w:rPr>
                <w:rFonts w:ascii="Times" w:hAnsi="Times"/>
                <w:color w:val="000000"/>
                <w:sz w:val="20"/>
                <w:szCs w:val="20"/>
              </w:rPr>
              <w:t>-5.9</w:t>
            </w:r>
          </w:p>
        </w:tc>
      </w:tr>
      <w:tr w:rsidR="00A907A0" w:rsidRPr="000D33E4" w14:paraId="7DE25002" w14:textId="77777777" w:rsidTr="009A7F2D">
        <w:trPr>
          <w:trHeight w:val="204"/>
          <w:jc w:val="right"/>
        </w:trPr>
        <w:tc>
          <w:tcPr>
            <w:cnfStyle w:val="001000000000" w:firstRow="0" w:lastRow="0" w:firstColumn="1" w:lastColumn="0" w:oddVBand="0" w:evenVBand="0" w:oddHBand="0" w:evenHBand="0" w:firstRowFirstColumn="0" w:firstRowLastColumn="0" w:lastRowFirstColumn="0" w:lastRowLastColumn="0"/>
            <w:tcW w:w="3344" w:type="dxa"/>
            <w:noWrap/>
            <w:hideMark/>
          </w:tcPr>
          <w:p w14:paraId="482264E6" w14:textId="77777777" w:rsidR="00A907A0" w:rsidRPr="00E91A7B" w:rsidRDefault="00A907A0" w:rsidP="006A1B93">
            <w:pPr>
              <w:keepNext/>
              <w:rPr>
                <w:rFonts w:ascii="Times" w:eastAsia="Times New Roman" w:hAnsi="Times" w:cs="Times New Roman"/>
                <w:b w:val="0"/>
                <w:color w:val="000000"/>
                <w:sz w:val="20"/>
                <w:szCs w:val="20"/>
              </w:rPr>
            </w:pPr>
            <w:r w:rsidRPr="00E91A7B">
              <w:rPr>
                <w:rFonts w:ascii="Times" w:hAnsi="Times"/>
                <w:b w:val="0"/>
                <w:color w:val="000000"/>
                <w:sz w:val="20"/>
                <w:szCs w:val="20"/>
              </w:rPr>
              <w:t>Economic development</w:t>
            </w:r>
          </w:p>
        </w:tc>
        <w:tc>
          <w:tcPr>
            <w:tcW w:w="1980" w:type="dxa"/>
            <w:noWrap/>
            <w:hideMark/>
          </w:tcPr>
          <w:p w14:paraId="6A85ABD6" w14:textId="77777777" w:rsidR="00A907A0" w:rsidRPr="00E91A7B" w:rsidRDefault="00A907A0" w:rsidP="006A1B93">
            <w:pPr>
              <w:keepNext/>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color w:val="000000"/>
                <w:sz w:val="20"/>
                <w:szCs w:val="20"/>
              </w:rPr>
            </w:pPr>
            <w:r w:rsidRPr="00E91A7B">
              <w:rPr>
                <w:rFonts w:ascii="Times" w:hAnsi="Times"/>
                <w:color w:val="000000"/>
                <w:sz w:val="20"/>
                <w:szCs w:val="20"/>
              </w:rPr>
              <w:t>704.1</w:t>
            </w:r>
          </w:p>
        </w:tc>
        <w:tc>
          <w:tcPr>
            <w:tcW w:w="1980" w:type="dxa"/>
            <w:noWrap/>
            <w:hideMark/>
          </w:tcPr>
          <w:p w14:paraId="251E1A3E" w14:textId="77777777" w:rsidR="00A907A0" w:rsidRPr="00E91A7B" w:rsidRDefault="00A907A0" w:rsidP="006A1B93">
            <w:pPr>
              <w:keepNext/>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color w:val="000000"/>
                <w:sz w:val="20"/>
                <w:szCs w:val="20"/>
              </w:rPr>
            </w:pPr>
            <w:r w:rsidRPr="00E91A7B">
              <w:rPr>
                <w:rFonts w:ascii="Times" w:hAnsi="Times"/>
                <w:color w:val="000000"/>
                <w:sz w:val="20"/>
                <w:szCs w:val="20"/>
              </w:rPr>
              <w:t>680.7</w:t>
            </w:r>
          </w:p>
        </w:tc>
        <w:tc>
          <w:tcPr>
            <w:tcW w:w="2340" w:type="dxa"/>
            <w:noWrap/>
            <w:hideMark/>
          </w:tcPr>
          <w:p w14:paraId="0EE18CC6" w14:textId="77777777" w:rsidR="00A907A0" w:rsidRPr="00E91A7B" w:rsidRDefault="00A907A0" w:rsidP="006A1B93">
            <w:pPr>
              <w:keepNext/>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color w:val="000000"/>
                <w:sz w:val="20"/>
                <w:szCs w:val="20"/>
              </w:rPr>
            </w:pPr>
            <w:r w:rsidRPr="00E91A7B">
              <w:rPr>
                <w:rFonts w:ascii="Times" w:hAnsi="Times"/>
                <w:color w:val="000000"/>
                <w:sz w:val="20"/>
                <w:szCs w:val="20"/>
              </w:rPr>
              <w:t>-23.5</w:t>
            </w:r>
          </w:p>
        </w:tc>
      </w:tr>
      <w:tr w:rsidR="00A907A0" w:rsidRPr="000D33E4" w14:paraId="0B8A04BB" w14:textId="77777777" w:rsidTr="009A7F2D">
        <w:trPr>
          <w:trHeight w:val="204"/>
          <w:jc w:val="right"/>
        </w:trPr>
        <w:tc>
          <w:tcPr>
            <w:cnfStyle w:val="001000000000" w:firstRow="0" w:lastRow="0" w:firstColumn="1" w:lastColumn="0" w:oddVBand="0" w:evenVBand="0" w:oddHBand="0" w:evenHBand="0" w:firstRowFirstColumn="0" w:firstRowLastColumn="0" w:lastRowFirstColumn="0" w:lastRowLastColumn="0"/>
            <w:tcW w:w="3344" w:type="dxa"/>
            <w:noWrap/>
            <w:hideMark/>
          </w:tcPr>
          <w:p w14:paraId="6E2452E3" w14:textId="77777777" w:rsidR="00A907A0" w:rsidRPr="00E91A7B" w:rsidRDefault="00A907A0" w:rsidP="006A1B93">
            <w:pPr>
              <w:keepNext/>
              <w:rPr>
                <w:rFonts w:ascii="Times" w:eastAsia="Times New Roman" w:hAnsi="Times" w:cs="Times New Roman"/>
                <w:b w:val="0"/>
                <w:color w:val="000000"/>
                <w:sz w:val="20"/>
                <w:szCs w:val="20"/>
              </w:rPr>
            </w:pPr>
            <w:r w:rsidRPr="00E91A7B">
              <w:rPr>
                <w:rFonts w:ascii="Times" w:hAnsi="Times"/>
                <w:b w:val="0"/>
                <w:color w:val="000000"/>
                <w:sz w:val="20"/>
                <w:szCs w:val="20"/>
              </w:rPr>
              <w:t>Peace and security</w:t>
            </w:r>
          </w:p>
        </w:tc>
        <w:tc>
          <w:tcPr>
            <w:tcW w:w="1980" w:type="dxa"/>
            <w:noWrap/>
            <w:hideMark/>
          </w:tcPr>
          <w:p w14:paraId="028CB98B" w14:textId="77777777" w:rsidR="00A907A0" w:rsidRPr="00E91A7B" w:rsidRDefault="00A907A0" w:rsidP="006A1B93">
            <w:pPr>
              <w:keepNext/>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color w:val="000000"/>
                <w:sz w:val="20"/>
                <w:szCs w:val="20"/>
              </w:rPr>
            </w:pPr>
            <w:r w:rsidRPr="00E91A7B">
              <w:rPr>
                <w:rFonts w:ascii="Times" w:hAnsi="Times"/>
                <w:color w:val="000000"/>
                <w:sz w:val="20"/>
                <w:szCs w:val="20"/>
              </w:rPr>
              <w:t>702.3</w:t>
            </w:r>
          </w:p>
        </w:tc>
        <w:tc>
          <w:tcPr>
            <w:tcW w:w="1980" w:type="dxa"/>
            <w:noWrap/>
            <w:hideMark/>
          </w:tcPr>
          <w:p w14:paraId="6BB6AC56" w14:textId="77777777" w:rsidR="00A907A0" w:rsidRPr="00E91A7B" w:rsidRDefault="00A907A0" w:rsidP="006A1B93">
            <w:pPr>
              <w:keepNext/>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color w:val="000000"/>
                <w:sz w:val="20"/>
                <w:szCs w:val="20"/>
              </w:rPr>
            </w:pPr>
            <w:r w:rsidRPr="00E91A7B">
              <w:rPr>
                <w:rFonts w:ascii="Times" w:hAnsi="Times"/>
                <w:color w:val="000000"/>
                <w:sz w:val="20"/>
                <w:szCs w:val="20"/>
              </w:rPr>
              <w:t>667.1</w:t>
            </w:r>
          </w:p>
        </w:tc>
        <w:tc>
          <w:tcPr>
            <w:tcW w:w="2340" w:type="dxa"/>
            <w:noWrap/>
            <w:hideMark/>
          </w:tcPr>
          <w:p w14:paraId="59FE4AD7" w14:textId="77777777" w:rsidR="00A907A0" w:rsidRPr="00E91A7B" w:rsidRDefault="00A907A0" w:rsidP="006A1B93">
            <w:pPr>
              <w:keepNext/>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color w:val="000000"/>
                <w:sz w:val="20"/>
                <w:szCs w:val="20"/>
              </w:rPr>
            </w:pPr>
            <w:r w:rsidRPr="00E91A7B">
              <w:rPr>
                <w:rFonts w:ascii="Times" w:hAnsi="Times"/>
                <w:color w:val="000000"/>
                <w:sz w:val="20"/>
                <w:szCs w:val="20"/>
              </w:rPr>
              <w:t>-35.2</w:t>
            </w:r>
          </w:p>
        </w:tc>
      </w:tr>
      <w:tr w:rsidR="00A907A0" w:rsidRPr="000D33E4" w14:paraId="752F0F15" w14:textId="77777777" w:rsidTr="009A7F2D">
        <w:trPr>
          <w:trHeight w:val="204"/>
          <w:jc w:val="right"/>
        </w:trPr>
        <w:tc>
          <w:tcPr>
            <w:cnfStyle w:val="001000000000" w:firstRow="0" w:lastRow="0" w:firstColumn="1" w:lastColumn="0" w:oddVBand="0" w:evenVBand="0" w:oddHBand="0" w:evenHBand="0" w:firstRowFirstColumn="0" w:firstRowLastColumn="0" w:lastRowFirstColumn="0" w:lastRowLastColumn="0"/>
            <w:tcW w:w="3344" w:type="dxa"/>
            <w:noWrap/>
            <w:hideMark/>
          </w:tcPr>
          <w:p w14:paraId="48E43F9E" w14:textId="77777777" w:rsidR="00A907A0" w:rsidRPr="00E91A7B" w:rsidRDefault="00A907A0" w:rsidP="006A1B93">
            <w:pPr>
              <w:keepNext/>
              <w:rPr>
                <w:rFonts w:ascii="Times" w:eastAsia="Times New Roman" w:hAnsi="Times" w:cs="Times New Roman"/>
                <w:b w:val="0"/>
                <w:color w:val="000000"/>
                <w:sz w:val="20"/>
                <w:szCs w:val="20"/>
              </w:rPr>
            </w:pPr>
            <w:r w:rsidRPr="00E91A7B">
              <w:rPr>
                <w:rFonts w:ascii="Times" w:hAnsi="Times"/>
                <w:b w:val="0"/>
                <w:color w:val="000000"/>
                <w:sz w:val="20"/>
                <w:szCs w:val="20"/>
              </w:rPr>
              <w:t>General public services</w:t>
            </w:r>
          </w:p>
        </w:tc>
        <w:tc>
          <w:tcPr>
            <w:tcW w:w="1980" w:type="dxa"/>
            <w:noWrap/>
            <w:hideMark/>
          </w:tcPr>
          <w:p w14:paraId="77696763" w14:textId="77777777" w:rsidR="00A907A0" w:rsidRPr="00E91A7B" w:rsidRDefault="00A907A0" w:rsidP="006A1B93">
            <w:pPr>
              <w:keepNext/>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color w:val="000000"/>
                <w:sz w:val="20"/>
                <w:szCs w:val="20"/>
              </w:rPr>
            </w:pPr>
            <w:r w:rsidRPr="00E91A7B">
              <w:rPr>
                <w:rFonts w:ascii="Times" w:hAnsi="Times"/>
                <w:color w:val="000000"/>
                <w:sz w:val="20"/>
                <w:szCs w:val="20"/>
              </w:rPr>
              <w:t>224.4</w:t>
            </w:r>
          </w:p>
        </w:tc>
        <w:tc>
          <w:tcPr>
            <w:tcW w:w="1980" w:type="dxa"/>
            <w:noWrap/>
            <w:hideMark/>
          </w:tcPr>
          <w:p w14:paraId="21B03CC0" w14:textId="77777777" w:rsidR="00A907A0" w:rsidRPr="00E91A7B" w:rsidRDefault="00A907A0" w:rsidP="006A1B93">
            <w:pPr>
              <w:keepNext/>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color w:val="000000"/>
                <w:sz w:val="20"/>
                <w:szCs w:val="20"/>
              </w:rPr>
            </w:pPr>
            <w:r w:rsidRPr="00E91A7B">
              <w:rPr>
                <w:rFonts w:ascii="Times" w:hAnsi="Times"/>
                <w:color w:val="000000"/>
                <w:sz w:val="20"/>
                <w:szCs w:val="20"/>
              </w:rPr>
              <w:t>217.3</w:t>
            </w:r>
          </w:p>
        </w:tc>
        <w:tc>
          <w:tcPr>
            <w:tcW w:w="2340" w:type="dxa"/>
            <w:noWrap/>
            <w:hideMark/>
          </w:tcPr>
          <w:p w14:paraId="011747ED" w14:textId="77777777" w:rsidR="00A907A0" w:rsidRPr="00E91A7B" w:rsidRDefault="00A907A0" w:rsidP="006A1B93">
            <w:pPr>
              <w:keepNext/>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color w:val="000000"/>
                <w:sz w:val="20"/>
                <w:szCs w:val="20"/>
              </w:rPr>
            </w:pPr>
            <w:r w:rsidRPr="00E91A7B">
              <w:rPr>
                <w:rFonts w:ascii="Times" w:hAnsi="Times"/>
                <w:color w:val="000000"/>
                <w:sz w:val="20"/>
                <w:szCs w:val="20"/>
              </w:rPr>
              <w:t>-7.1</w:t>
            </w:r>
          </w:p>
        </w:tc>
      </w:tr>
      <w:tr w:rsidR="00A907A0" w:rsidRPr="000D33E4" w14:paraId="2C997FE6" w14:textId="77777777" w:rsidTr="009A7F2D">
        <w:trPr>
          <w:trHeight w:val="204"/>
          <w:jc w:val="right"/>
        </w:trPr>
        <w:tc>
          <w:tcPr>
            <w:cnfStyle w:val="001000000000" w:firstRow="0" w:lastRow="0" w:firstColumn="1" w:lastColumn="0" w:oddVBand="0" w:evenVBand="0" w:oddHBand="0" w:evenHBand="0" w:firstRowFirstColumn="0" w:firstRowLastColumn="0" w:lastRowFirstColumn="0" w:lastRowLastColumn="0"/>
            <w:tcW w:w="3344" w:type="dxa"/>
            <w:noWrap/>
            <w:hideMark/>
          </w:tcPr>
          <w:p w14:paraId="29629D7B" w14:textId="77777777" w:rsidR="00A907A0" w:rsidRPr="00E91A7B" w:rsidRDefault="00A907A0" w:rsidP="006A1B93">
            <w:pPr>
              <w:keepNext/>
              <w:rPr>
                <w:rFonts w:ascii="Times" w:eastAsia="Times New Roman" w:hAnsi="Times" w:cs="Times New Roman"/>
                <w:b w:val="0"/>
                <w:color w:val="000000"/>
                <w:sz w:val="20"/>
                <w:szCs w:val="20"/>
              </w:rPr>
            </w:pPr>
            <w:r w:rsidRPr="00E91A7B">
              <w:rPr>
                <w:rFonts w:ascii="Times" w:hAnsi="Times"/>
                <w:b w:val="0"/>
                <w:color w:val="000000"/>
                <w:sz w:val="20"/>
                <w:szCs w:val="20"/>
              </w:rPr>
              <w:t>Payments for financial assets</w:t>
            </w:r>
          </w:p>
        </w:tc>
        <w:tc>
          <w:tcPr>
            <w:tcW w:w="1980" w:type="dxa"/>
            <w:noWrap/>
            <w:hideMark/>
          </w:tcPr>
          <w:p w14:paraId="474038A5" w14:textId="77777777" w:rsidR="00A907A0" w:rsidRPr="00E91A7B" w:rsidRDefault="00A907A0" w:rsidP="006A1B93">
            <w:pPr>
              <w:keepNext/>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color w:val="000000"/>
                <w:sz w:val="20"/>
                <w:szCs w:val="20"/>
              </w:rPr>
            </w:pPr>
            <w:r w:rsidRPr="00E91A7B">
              <w:rPr>
                <w:rFonts w:ascii="Times" w:hAnsi="Times"/>
                <w:color w:val="000000"/>
                <w:sz w:val="20"/>
                <w:szCs w:val="20"/>
              </w:rPr>
              <w:t>142.5</w:t>
            </w:r>
          </w:p>
        </w:tc>
        <w:tc>
          <w:tcPr>
            <w:tcW w:w="1980" w:type="dxa"/>
            <w:noWrap/>
            <w:hideMark/>
          </w:tcPr>
          <w:p w14:paraId="05C9FE4B" w14:textId="77777777" w:rsidR="00A907A0" w:rsidRPr="00E91A7B" w:rsidRDefault="00A907A0" w:rsidP="006A1B93">
            <w:pPr>
              <w:keepNext/>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color w:val="000000"/>
                <w:sz w:val="20"/>
                <w:szCs w:val="20"/>
              </w:rPr>
            </w:pPr>
            <w:r w:rsidRPr="00E91A7B">
              <w:rPr>
                <w:rFonts w:ascii="Times" w:hAnsi="Times"/>
                <w:color w:val="000000"/>
                <w:sz w:val="20"/>
                <w:szCs w:val="20"/>
              </w:rPr>
              <w:t>145.1</w:t>
            </w:r>
          </w:p>
        </w:tc>
        <w:tc>
          <w:tcPr>
            <w:tcW w:w="2340" w:type="dxa"/>
            <w:noWrap/>
            <w:hideMark/>
          </w:tcPr>
          <w:p w14:paraId="312D2963" w14:textId="77777777" w:rsidR="00A907A0" w:rsidRPr="00E91A7B" w:rsidRDefault="00A907A0" w:rsidP="006A1B93">
            <w:pPr>
              <w:keepNext/>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color w:val="000000"/>
                <w:sz w:val="20"/>
                <w:szCs w:val="20"/>
              </w:rPr>
            </w:pPr>
            <w:r w:rsidRPr="00E91A7B">
              <w:rPr>
                <w:rFonts w:ascii="Times" w:hAnsi="Times"/>
                <w:color w:val="000000"/>
                <w:sz w:val="20"/>
                <w:szCs w:val="20"/>
              </w:rPr>
              <w:t>2.5</w:t>
            </w:r>
          </w:p>
        </w:tc>
      </w:tr>
      <w:tr w:rsidR="00A907A0" w:rsidRPr="000D33E4" w14:paraId="7B6314D1" w14:textId="77777777" w:rsidTr="009A7F2D">
        <w:trPr>
          <w:trHeight w:val="204"/>
          <w:jc w:val="right"/>
        </w:trPr>
        <w:tc>
          <w:tcPr>
            <w:cnfStyle w:val="001000000000" w:firstRow="0" w:lastRow="0" w:firstColumn="1" w:lastColumn="0" w:oddVBand="0" w:evenVBand="0" w:oddHBand="0" w:evenHBand="0" w:firstRowFirstColumn="0" w:firstRowLastColumn="0" w:lastRowFirstColumn="0" w:lastRowLastColumn="0"/>
            <w:tcW w:w="3344" w:type="dxa"/>
            <w:noWrap/>
            <w:hideMark/>
          </w:tcPr>
          <w:p w14:paraId="17CC7898" w14:textId="77777777" w:rsidR="00A907A0" w:rsidRPr="00E91A7B" w:rsidRDefault="00A907A0" w:rsidP="006A1B93">
            <w:pPr>
              <w:keepNext/>
              <w:rPr>
                <w:rFonts w:ascii="Times" w:eastAsia="Times New Roman" w:hAnsi="Times" w:cs="Times New Roman"/>
                <w:color w:val="000000"/>
                <w:sz w:val="20"/>
                <w:szCs w:val="20"/>
              </w:rPr>
            </w:pPr>
            <w:r w:rsidRPr="00E91A7B">
              <w:rPr>
                <w:rFonts w:ascii="Times" w:hAnsi="Times"/>
                <w:color w:val="000000"/>
                <w:sz w:val="20"/>
                <w:szCs w:val="20"/>
              </w:rPr>
              <w:t>Allocated by function</w:t>
            </w:r>
          </w:p>
        </w:tc>
        <w:tc>
          <w:tcPr>
            <w:tcW w:w="1980" w:type="dxa"/>
            <w:noWrap/>
            <w:hideMark/>
          </w:tcPr>
          <w:p w14:paraId="1A3B1120" w14:textId="77777777" w:rsidR="00A907A0" w:rsidRPr="00E91A7B" w:rsidRDefault="00A907A0" w:rsidP="006A1B93">
            <w:pPr>
              <w:keepNext/>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b/>
                <w:bCs/>
                <w:color w:val="000000"/>
                <w:sz w:val="20"/>
                <w:szCs w:val="20"/>
              </w:rPr>
            </w:pPr>
            <w:r w:rsidRPr="00E91A7B">
              <w:rPr>
                <w:rFonts w:ascii="Times" w:hAnsi="Times"/>
                <w:b/>
                <w:bCs/>
                <w:color w:val="000000"/>
                <w:sz w:val="20"/>
                <w:szCs w:val="20"/>
              </w:rPr>
              <w:t>5</w:t>
            </w:r>
            <w:r w:rsidR="0028060E" w:rsidRPr="00E91A7B">
              <w:rPr>
                <w:rFonts w:ascii="Times" w:hAnsi="Times"/>
                <w:b/>
                <w:bCs/>
                <w:color w:val="000000"/>
                <w:sz w:val="20"/>
                <w:szCs w:val="20"/>
              </w:rPr>
              <w:t xml:space="preserve"> </w:t>
            </w:r>
            <w:r w:rsidRPr="00E91A7B">
              <w:rPr>
                <w:rFonts w:ascii="Times" w:hAnsi="Times"/>
                <w:b/>
                <w:bCs/>
                <w:color w:val="000000"/>
                <w:sz w:val="20"/>
                <w:szCs w:val="20"/>
              </w:rPr>
              <w:t>476.7</w:t>
            </w:r>
          </w:p>
        </w:tc>
        <w:tc>
          <w:tcPr>
            <w:tcW w:w="1980" w:type="dxa"/>
            <w:noWrap/>
            <w:hideMark/>
          </w:tcPr>
          <w:p w14:paraId="670CAB0D" w14:textId="77777777" w:rsidR="00A907A0" w:rsidRPr="00E91A7B" w:rsidRDefault="00A907A0" w:rsidP="006A1B93">
            <w:pPr>
              <w:keepNext/>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b/>
                <w:bCs/>
                <w:color w:val="000000"/>
                <w:sz w:val="20"/>
                <w:szCs w:val="20"/>
              </w:rPr>
            </w:pPr>
            <w:r w:rsidRPr="00E91A7B">
              <w:rPr>
                <w:rFonts w:ascii="Times" w:hAnsi="Times"/>
                <w:b/>
                <w:bCs/>
                <w:color w:val="000000"/>
                <w:sz w:val="20"/>
                <w:szCs w:val="20"/>
              </w:rPr>
              <w:t>5</w:t>
            </w:r>
            <w:r w:rsidR="0028060E" w:rsidRPr="00E91A7B">
              <w:rPr>
                <w:rFonts w:ascii="Times" w:hAnsi="Times"/>
                <w:b/>
                <w:bCs/>
                <w:color w:val="000000"/>
                <w:sz w:val="20"/>
                <w:szCs w:val="20"/>
              </w:rPr>
              <w:t xml:space="preserve"> </w:t>
            </w:r>
            <w:r w:rsidRPr="00E91A7B">
              <w:rPr>
                <w:rFonts w:ascii="Times" w:hAnsi="Times"/>
                <w:b/>
                <w:bCs/>
                <w:color w:val="000000"/>
                <w:sz w:val="20"/>
                <w:szCs w:val="20"/>
              </w:rPr>
              <w:t>342.9</w:t>
            </w:r>
          </w:p>
        </w:tc>
        <w:tc>
          <w:tcPr>
            <w:tcW w:w="2340" w:type="dxa"/>
            <w:noWrap/>
            <w:hideMark/>
          </w:tcPr>
          <w:p w14:paraId="6C0AF4ED" w14:textId="77777777" w:rsidR="00A907A0" w:rsidRPr="00E91A7B" w:rsidRDefault="00A907A0" w:rsidP="006A1B93">
            <w:pPr>
              <w:keepNext/>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b/>
                <w:bCs/>
                <w:color w:val="000000"/>
                <w:sz w:val="20"/>
                <w:szCs w:val="20"/>
              </w:rPr>
            </w:pPr>
            <w:r w:rsidRPr="00E91A7B">
              <w:rPr>
                <w:rFonts w:ascii="Times" w:hAnsi="Times"/>
                <w:b/>
                <w:bCs/>
                <w:color w:val="000000"/>
                <w:sz w:val="20"/>
                <w:szCs w:val="20"/>
              </w:rPr>
              <w:t>-133.8</w:t>
            </w:r>
          </w:p>
        </w:tc>
      </w:tr>
      <w:tr w:rsidR="00A907A0" w:rsidRPr="000D33E4" w14:paraId="5D2DC3ED" w14:textId="77777777" w:rsidTr="009A7F2D">
        <w:trPr>
          <w:trHeight w:val="204"/>
          <w:jc w:val="right"/>
        </w:trPr>
        <w:tc>
          <w:tcPr>
            <w:cnfStyle w:val="001000000000" w:firstRow="0" w:lastRow="0" w:firstColumn="1" w:lastColumn="0" w:oddVBand="0" w:evenVBand="0" w:oddHBand="0" w:evenHBand="0" w:firstRowFirstColumn="0" w:firstRowLastColumn="0" w:lastRowFirstColumn="0" w:lastRowLastColumn="0"/>
            <w:tcW w:w="3344" w:type="dxa"/>
            <w:noWrap/>
            <w:hideMark/>
          </w:tcPr>
          <w:p w14:paraId="23228559" w14:textId="77777777" w:rsidR="00A907A0" w:rsidRPr="00E91A7B" w:rsidRDefault="00A907A0" w:rsidP="006A1B93">
            <w:pPr>
              <w:keepNext/>
              <w:rPr>
                <w:rFonts w:ascii="Times" w:eastAsia="Times New Roman" w:hAnsi="Times" w:cs="Times New Roman"/>
                <w:b w:val="0"/>
                <w:color w:val="000000"/>
                <w:sz w:val="20"/>
                <w:szCs w:val="20"/>
              </w:rPr>
            </w:pPr>
            <w:r w:rsidRPr="00E91A7B">
              <w:rPr>
                <w:rFonts w:ascii="Times" w:hAnsi="Times"/>
                <w:b w:val="0"/>
                <w:color w:val="000000"/>
                <w:sz w:val="20"/>
                <w:szCs w:val="20"/>
              </w:rPr>
              <w:t>Debt-service costs</w:t>
            </w:r>
          </w:p>
        </w:tc>
        <w:tc>
          <w:tcPr>
            <w:tcW w:w="1980" w:type="dxa"/>
            <w:noWrap/>
            <w:hideMark/>
          </w:tcPr>
          <w:p w14:paraId="7E625EB3" w14:textId="77777777" w:rsidR="00A907A0" w:rsidRPr="00E91A7B" w:rsidRDefault="00A907A0" w:rsidP="006A1B93">
            <w:pPr>
              <w:keepNext/>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color w:val="000000"/>
                <w:sz w:val="20"/>
                <w:szCs w:val="20"/>
              </w:rPr>
            </w:pPr>
            <w:r w:rsidRPr="00E91A7B">
              <w:rPr>
                <w:rFonts w:ascii="Times" w:hAnsi="Times"/>
                <w:color w:val="000000"/>
                <w:sz w:val="20"/>
                <w:szCs w:val="20"/>
              </w:rPr>
              <w:t>796.5</w:t>
            </w:r>
          </w:p>
        </w:tc>
        <w:tc>
          <w:tcPr>
            <w:tcW w:w="1980" w:type="dxa"/>
            <w:noWrap/>
            <w:hideMark/>
          </w:tcPr>
          <w:p w14:paraId="1ED80226" w14:textId="77777777" w:rsidR="00A907A0" w:rsidRPr="00E91A7B" w:rsidRDefault="00A907A0" w:rsidP="006A1B93">
            <w:pPr>
              <w:keepNext/>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color w:val="000000"/>
                <w:sz w:val="20"/>
                <w:szCs w:val="20"/>
              </w:rPr>
            </w:pPr>
            <w:r w:rsidRPr="00E91A7B">
              <w:rPr>
                <w:rFonts w:ascii="Times" w:hAnsi="Times"/>
                <w:color w:val="000000"/>
                <w:sz w:val="20"/>
                <w:szCs w:val="20"/>
              </w:rPr>
              <w:t>777.9</w:t>
            </w:r>
          </w:p>
        </w:tc>
        <w:tc>
          <w:tcPr>
            <w:tcW w:w="2340" w:type="dxa"/>
            <w:noWrap/>
            <w:hideMark/>
          </w:tcPr>
          <w:p w14:paraId="5FD72EDD" w14:textId="77777777" w:rsidR="00A907A0" w:rsidRPr="00E91A7B" w:rsidRDefault="00A907A0" w:rsidP="006A1B93">
            <w:pPr>
              <w:keepNext/>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color w:val="000000"/>
                <w:sz w:val="20"/>
                <w:szCs w:val="20"/>
              </w:rPr>
            </w:pPr>
            <w:r w:rsidRPr="00E91A7B">
              <w:rPr>
                <w:rFonts w:ascii="Times" w:hAnsi="Times"/>
                <w:color w:val="000000"/>
                <w:sz w:val="20"/>
                <w:szCs w:val="20"/>
              </w:rPr>
              <w:t>-18.6</w:t>
            </w:r>
          </w:p>
        </w:tc>
      </w:tr>
      <w:tr w:rsidR="00A907A0" w:rsidRPr="000D33E4" w14:paraId="7283B667" w14:textId="77777777" w:rsidTr="009A7F2D">
        <w:trPr>
          <w:trHeight w:val="204"/>
          <w:jc w:val="right"/>
        </w:trPr>
        <w:tc>
          <w:tcPr>
            <w:cnfStyle w:val="001000000000" w:firstRow="0" w:lastRow="0" w:firstColumn="1" w:lastColumn="0" w:oddVBand="0" w:evenVBand="0" w:oddHBand="0" w:evenHBand="0" w:firstRowFirstColumn="0" w:firstRowLastColumn="0" w:lastRowFirstColumn="0" w:lastRowLastColumn="0"/>
            <w:tcW w:w="3344" w:type="dxa"/>
            <w:noWrap/>
            <w:hideMark/>
          </w:tcPr>
          <w:p w14:paraId="3FC24DAA" w14:textId="77777777" w:rsidR="00A907A0" w:rsidRPr="00E91A7B" w:rsidRDefault="00A907A0" w:rsidP="006A1B93">
            <w:pPr>
              <w:keepNext/>
              <w:rPr>
                <w:rFonts w:ascii="Times" w:eastAsia="Times New Roman" w:hAnsi="Times" w:cs="Times New Roman"/>
                <w:b w:val="0"/>
                <w:color w:val="000000"/>
                <w:sz w:val="20"/>
                <w:szCs w:val="20"/>
              </w:rPr>
            </w:pPr>
            <w:r w:rsidRPr="00E91A7B">
              <w:rPr>
                <w:rFonts w:ascii="Times" w:hAnsi="Times"/>
                <w:b w:val="0"/>
                <w:color w:val="000000"/>
                <w:sz w:val="20"/>
                <w:szCs w:val="20"/>
              </w:rPr>
              <w:t>Contingency reserve</w:t>
            </w:r>
          </w:p>
        </w:tc>
        <w:tc>
          <w:tcPr>
            <w:tcW w:w="1980" w:type="dxa"/>
            <w:noWrap/>
            <w:hideMark/>
          </w:tcPr>
          <w:p w14:paraId="1C2A422F" w14:textId="77777777" w:rsidR="00A907A0" w:rsidRPr="00E91A7B" w:rsidRDefault="00A907A0" w:rsidP="006A1B93">
            <w:pPr>
              <w:keepNext/>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color w:val="000000"/>
                <w:sz w:val="20"/>
                <w:szCs w:val="20"/>
              </w:rPr>
            </w:pPr>
            <w:r w:rsidRPr="00E91A7B">
              <w:rPr>
                <w:rFonts w:ascii="Times" w:hAnsi="Times"/>
                <w:color w:val="000000"/>
                <w:sz w:val="20"/>
                <w:szCs w:val="20"/>
              </w:rPr>
              <w:t>18.0</w:t>
            </w:r>
          </w:p>
        </w:tc>
        <w:tc>
          <w:tcPr>
            <w:tcW w:w="1980" w:type="dxa"/>
            <w:noWrap/>
            <w:hideMark/>
          </w:tcPr>
          <w:p w14:paraId="1C39CD3C" w14:textId="77777777" w:rsidR="00A907A0" w:rsidRPr="00E91A7B" w:rsidRDefault="00A907A0" w:rsidP="006A1B93">
            <w:pPr>
              <w:keepNext/>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color w:val="000000"/>
                <w:sz w:val="20"/>
                <w:szCs w:val="20"/>
              </w:rPr>
            </w:pPr>
            <w:r w:rsidRPr="00E91A7B">
              <w:rPr>
                <w:rFonts w:ascii="Times" w:hAnsi="Times"/>
                <w:color w:val="000000"/>
                <w:sz w:val="20"/>
                <w:szCs w:val="20"/>
              </w:rPr>
              <w:t>15.0</w:t>
            </w:r>
          </w:p>
        </w:tc>
        <w:tc>
          <w:tcPr>
            <w:tcW w:w="2340" w:type="dxa"/>
            <w:noWrap/>
            <w:hideMark/>
          </w:tcPr>
          <w:p w14:paraId="70832733" w14:textId="77777777" w:rsidR="00A907A0" w:rsidRPr="00E91A7B" w:rsidRDefault="00A907A0" w:rsidP="006A1B93">
            <w:pPr>
              <w:keepNext/>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color w:val="000000"/>
                <w:sz w:val="20"/>
                <w:szCs w:val="20"/>
              </w:rPr>
            </w:pPr>
            <w:r w:rsidRPr="00E91A7B">
              <w:rPr>
                <w:rFonts w:ascii="Times" w:hAnsi="Times"/>
                <w:color w:val="000000"/>
                <w:sz w:val="20"/>
                <w:szCs w:val="20"/>
              </w:rPr>
              <w:t>-3.0</w:t>
            </w:r>
          </w:p>
        </w:tc>
      </w:tr>
      <w:tr w:rsidR="00A907A0" w:rsidRPr="000D33E4" w14:paraId="4CF36A52" w14:textId="77777777" w:rsidTr="009A7F2D">
        <w:trPr>
          <w:trHeight w:val="204"/>
          <w:jc w:val="right"/>
        </w:trPr>
        <w:tc>
          <w:tcPr>
            <w:cnfStyle w:val="001000000000" w:firstRow="0" w:lastRow="0" w:firstColumn="1" w:lastColumn="0" w:oddVBand="0" w:evenVBand="0" w:oddHBand="0" w:evenHBand="0" w:firstRowFirstColumn="0" w:firstRowLastColumn="0" w:lastRowFirstColumn="0" w:lastRowLastColumn="0"/>
            <w:tcW w:w="3344" w:type="dxa"/>
            <w:noWrap/>
            <w:hideMark/>
          </w:tcPr>
          <w:p w14:paraId="41F97665" w14:textId="77777777" w:rsidR="00A907A0" w:rsidRPr="00E91A7B" w:rsidRDefault="00A907A0" w:rsidP="006A1B93">
            <w:pPr>
              <w:keepNext/>
              <w:rPr>
                <w:rFonts w:ascii="Times" w:eastAsia="Times New Roman" w:hAnsi="Times" w:cs="Times New Roman"/>
                <w:color w:val="000000"/>
                <w:sz w:val="20"/>
                <w:szCs w:val="20"/>
              </w:rPr>
            </w:pPr>
            <w:r w:rsidRPr="00E91A7B">
              <w:rPr>
                <w:rFonts w:ascii="Times" w:hAnsi="Times"/>
                <w:color w:val="000000"/>
                <w:sz w:val="20"/>
                <w:szCs w:val="20"/>
              </w:rPr>
              <w:t>Consolidated expenditure</w:t>
            </w:r>
          </w:p>
        </w:tc>
        <w:tc>
          <w:tcPr>
            <w:tcW w:w="1980" w:type="dxa"/>
            <w:noWrap/>
            <w:hideMark/>
          </w:tcPr>
          <w:p w14:paraId="1A3FC69A" w14:textId="77777777" w:rsidR="00A907A0" w:rsidRPr="00E91A7B" w:rsidRDefault="00A907A0" w:rsidP="006A1B93">
            <w:pPr>
              <w:keepNext/>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b/>
                <w:bCs/>
                <w:color w:val="000000"/>
                <w:sz w:val="20"/>
                <w:szCs w:val="20"/>
              </w:rPr>
            </w:pPr>
            <w:r w:rsidRPr="00E91A7B">
              <w:rPr>
                <w:rFonts w:ascii="Times" w:hAnsi="Times"/>
                <w:b/>
                <w:bCs/>
                <w:color w:val="000000"/>
                <w:sz w:val="20"/>
                <w:szCs w:val="20"/>
              </w:rPr>
              <w:t>6</w:t>
            </w:r>
            <w:r w:rsidR="0028060E" w:rsidRPr="00E91A7B">
              <w:rPr>
                <w:rFonts w:ascii="Times" w:hAnsi="Times"/>
                <w:b/>
                <w:bCs/>
                <w:color w:val="000000"/>
                <w:sz w:val="20"/>
                <w:szCs w:val="20"/>
              </w:rPr>
              <w:t xml:space="preserve"> </w:t>
            </w:r>
            <w:r w:rsidRPr="00E91A7B">
              <w:rPr>
                <w:rFonts w:ascii="Times" w:hAnsi="Times"/>
                <w:b/>
                <w:bCs/>
                <w:color w:val="000000"/>
                <w:sz w:val="20"/>
                <w:szCs w:val="20"/>
              </w:rPr>
              <w:t>291.2</w:t>
            </w:r>
          </w:p>
        </w:tc>
        <w:tc>
          <w:tcPr>
            <w:tcW w:w="1980" w:type="dxa"/>
            <w:noWrap/>
            <w:hideMark/>
          </w:tcPr>
          <w:p w14:paraId="1BB2C77B" w14:textId="77777777" w:rsidR="00A907A0" w:rsidRPr="00E91A7B" w:rsidRDefault="00A907A0" w:rsidP="006A1B93">
            <w:pPr>
              <w:keepNext/>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b/>
                <w:bCs/>
                <w:color w:val="000000"/>
                <w:sz w:val="20"/>
                <w:szCs w:val="20"/>
              </w:rPr>
            </w:pPr>
            <w:r w:rsidRPr="00E91A7B">
              <w:rPr>
                <w:rFonts w:ascii="Times" w:hAnsi="Times"/>
                <w:b/>
                <w:bCs/>
                <w:color w:val="000000"/>
                <w:sz w:val="20"/>
                <w:szCs w:val="20"/>
              </w:rPr>
              <w:t>6</w:t>
            </w:r>
            <w:r w:rsidR="0028060E" w:rsidRPr="00E91A7B">
              <w:rPr>
                <w:rFonts w:ascii="Times" w:hAnsi="Times"/>
                <w:b/>
                <w:bCs/>
                <w:color w:val="000000"/>
                <w:sz w:val="20"/>
                <w:szCs w:val="20"/>
              </w:rPr>
              <w:t xml:space="preserve"> </w:t>
            </w:r>
            <w:r w:rsidRPr="00E91A7B">
              <w:rPr>
                <w:rFonts w:ascii="Times" w:hAnsi="Times"/>
                <w:b/>
                <w:bCs/>
                <w:color w:val="000000"/>
                <w:sz w:val="20"/>
                <w:szCs w:val="20"/>
              </w:rPr>
              <w:t>135.8</w:t>
            </w:r>
          </w:p>
        </w:tc>
        <w:tc>
          <w:tcPr>
            <w:tcW w:w="2340" w:type="dxa"/>
            <w:noWrap/>
            <w:hideMark/>
          </w:tcPr>
          <w:p w14:paraId="349B82BD" w14:textId="77777777" w:rsidR="00A907A0" w:rsidRPr="00E91A7B" w:rsidRDefault="00A907A0" w:rsidP="006A1B93">
            <w:pPr>
              <w:keepNext/>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b/>
                <w:bCs/>
                <w:color w:val="000000"/>
                <w:sz w:val="20"/>
                <w:szCs w:val="20"/>
              </w:rPr>
            </w:pPr>
            <w:r w:rsidRPr="00E91A7B">
              <w:rPr>
                <w:rFonts w:ascii="Times" w:hAnsi="Times"/>
                <w:b/>
                <w:bCs/>
                <w:color w:val="000000"/>
                <w:sz w:val="20"/>
                <w:szCs w:val="20"/>
              </w:rPr>
              <w:t>-155.3</w:t>
            </w:r>
          </w:p>
        </w:tc>
      </w:tr>
    </w:tbl>
    <w:p w14:paraId="3142A794" w14:textId="77777777" w:rsidR="00A907A0" w:rsidRPr="009A7F2D" w:rsidRDefault="00A907A0" w:rsidP="00E827B9">
      <w:pPr>
        <w:keepNext/>
        <w:spacing w:line="240" w:lineRule="auto"/>
        <w:rPr>
          <w:rFonts w:ascii="Times" w:hAnsi="Times"/>
          <w:i/>
          <w:sz w:val="20"/>
          <w:szCs w:val="18"/>
        </w:rPr>
      </w:pPr>
      <w:r w:rsidRPr="009A7F2D">
        <w:rPr>
          <w:rFonts w:ascii="Times" w:hAnsi="Times"/>
          <w:i/>
          <w:sz w:val="20"/>
          <w:szCs w:val="18"/>
        </w:rPr>
        <w:t>Source: MTBPS 2019 and Budget Review 2020</w:t>
      </w:r>
    </w:p>
    <w:p w14:paraId="65239FCC" w14:textId="77777777" w:rsidR="003D5A8F" w:rsidRPr="000D33E4" w:rsidRDefault="003D5A8F" w:rsidP="007B1E55">
      <w:pPr>
        <w:rPr>
          <w:rFonts w:ascii="Times" w:hAnsi="Times"/>
          <w:color w:val="0D0D0D" w:themeColor="text1" w:themeTint="F2"/>
        </w:rPr>
      </w:pPr>
    </w:p>
    <w:p w14:paraId="22B63671" w14:textId="12E6E925" w:rsidR="00A907A0" w:rsidRPr="000D33E4" w:rsidRDefault="00A907A0" w:rsidP="009A7F2D">
      <w:r w:rsidRPr="000D33E4">
        <w:t xml:space="preserve">Drilling deeper into the functional allocations contained in Budget 2020, </w:t>
      </w:r>
      <w:r w:rsidR="00382145" w:rsidRPr="009A7F2D">
        <w:rPr>
          <w:rFonts w:ascii="Times" w:hAnsi="Times"/>
          <w:szCs w:val="24"/>
        </w:rPr>
        <w:fldChar w:fldCharType="begin"/>
      </w:r>
      <w:r w:rsidR="00382145" w:rsidRPr="009A7F2D">
        <w:rPr>
          <w:rFonts w:ascii="Times" w:hAnsi="Times"/>
          <w:szCs w:val="24"/>
        </w:rPr>
        <w:instrText xml:space="preserve"> REF _Ref40880392 \h  \* MERGEFORMAT </w:instrText>
      </w:r>
      <w:r w:rsidR="00382145" w:rsidRPr="009A7F2D">
        <w:rPr>
          <w:rFonts w:ascii="Times" w:hAnsi="Times"/>
          <w:szCs w:val="24"/>
        </w:rPr>
      </w:r>
      <w:r w:rsidR="00382145" w:rsidRPr="009A7F2D">
        <w:rPr>
          <w:rFonts w:ascii="Times" w:hAnsi="Times"/>
          <w:szCs w:val="24"/>
        </w:rPr>
        <w:fldChar w:fldCharType="separate"/>
      </w:r>
      <w:r w:rsidR="00382145" w:rsidRPr="00382145">
        <w:rPr>
          <w:rFonts w:ascii="Times" w:hAnsi="Times"/>
          <w:color w:val="0D0D0D" w:themeColor="text1" w:themeTint="F2"/>
          <w:szCs w:val="24"/>
        </w:rPr>
        <w:t xml:space="preserve">Figure </w:t>
      </w:r>
      <w:r w:rsidR="00382145" w:rsidRPr="00382145">
        <w:rPr>
          <w:rFonts w:ascii="Times" w:hAnsi="Times"/>
          <w:noProof/>
          <w:color w:val="0D0D0D" w:themeColor="text1" w:themeTint="F2"/>
          <w:szCs w:val="24"/>
        </w:rPr>
        <w:t>9</w:t>
      </w:r>
      <w:r w:rsidR="00382145" w:rsidRPr="009A7F2D">
        <w:rPr>
          <w:rFonts w:ascii="Times" w:hAnsi="Times"/>
          <w:szCs w:val="24"/>
        </w:rPr>
        <w:fldChar w:fldCharType="end"/>
      </w:r>
      <w:r w:rsidR="0000237A">
        <w:fldChar w:fldCharType="begin"/>
      </w:r>
      <w:r w:rsidR="0000237A">
        <w:instrText xml:space="preserve"> REF _Ref33966971  \* MERGEFORMAT </w:instrText>
      </w:r>
      <w:r w:rsidR="0000237A">
        <w:fldChar w:fldCharType="end"/>
      </w:r>
      <w:r w:rsidRPr="000D33E4">
        <w:t xml:space="preserve"> illustrates the allocations to the various functional categories, including debt service costs. As is evident, the amounts allocated in respect of debt service costs now exceed allocations to critical areas of spending such as community development and economic development, and, towards the end of the MTEF period</w:t>
      </w:r>
      <w:r w:rsidR="00623B15">
        <w:t>,</w:t>
      </w:r>
      <w:r w:rsidRPr="000D33E4">
        <w:t xml:space="preserve"> this item is projected to eclipse </w:t>
      </w:r>
      <w:r w:rsidR="00623B15" w:rsidRPr="000D33E4">
        <w:t xml:space="preserve">even </w:t>
      </w:r>
      <w:r w:rsidRPr="000D33E4">
        <w:t xml:space="preserve">allocations to </w:t>
      </w:r>
      <w:r w:rsidR="00623B15">
        <w:t>h</w:t>
      </w:r>
      <w:r w:rsidRPr="000D33E4">
        <w:t>ealth.</w:t>
      </w:r>
    </w:p>
    <w:p w14:paraId="43536504" w14:textId="77777777" w:rsidR="00A907A0" w:rsidRPr="000D33E4" w:rsidRDefault="00A907A0" w:rsidP="007B1E55">
      <w:pPr>
        <w:rPr>
          <w:rFonts w:ascii="Times" w:hAnsi="Times"/>
          <w:color w:val="0D0D0D" w:themeColor="text1" w:themeTint="F2"/>
        </w:rPr>
      </w:pPr>
    </w:p>
    <w:p w14:paraId="71572DBB" w14:textId="5E6E390E" w:rsidR="00A907A0" w:rsidRPr="009A7F2D" w:rsidRDefault="00A907A0" w:rsidP="009A7F2D">
      <w:pPr>
        <w:pStyle w:val="Caption"/>
        <w:keepNext/>
        <w:rPr>
          <w:rFonts w:ascii="Times" w:hAnsi="Times"/>
          <w:color w:val="004C45" w:themeColor="text2"/>
          <w:sz w:val="24"/>
          <w:szCs w:val="24"/>
        </w:rPr>
      </w:pPr>
      <w:bookmarkStart w:id="50" w:name="_Ref33966971"/>
      <w:bookmarkStart w:id="51" w:name="_Ref40880392"/>
      <w:bookmarkStart w:id="52" w:name="_Toc38006816"/>
      <w:bookmarkStart w:id="53" w:name="_Toc40897047"/>
      <w:bookmarkStart w:id="54" w:name="_Toc42211441"/>
      <w:r w:rsidRPr="009A7F2D">
        <w:rPr>
          <w:rFonts w:ascii="Times" w:hAnsi="Times"/>
          <w:color w:val="004C45" w:themeColor="text2"/>
          <w:sz w:val="24"/>
          <w:szCs w:val="24"/>
        </w:rPr>
        <w:t xml:space="preserve">Figure </w:t>
      </w:r>
      <w:r w:rsidRPr="009A7F2D">
        <w:rPr>
          <w:rFonts w:ascii="Times" w:hAnsi="Times"/>
          <w:color w:val="004C45" w:themeColor="text2"/>
          <w:sz w:val="24"/>
          <w:szCs w:val="24"/>
        </w:rPr>
        <w:fldChar w:fldCharType="begin"/>
      </w:r>
      <w:r w:rsidRPr="009A7F2D">
        <w:rPr>
          <w:rFonts w:ascii="Times" w:hAnsi="Times"/>
          <w:color w:val="004C45" w:themeColor="text2"/>
          <w:sz w:val="24"/>
          <w:szCs w:val="24"/>
        </w:rPr>
        <w:instrText xml:space="preserve"> SEQ Figure \* ARABIC </w:instrText>
      </w:r>
      <w:r w:rsidRPr="009A7F2D">
        <w:rPr>
          <w:rFonts w:ascii="Times" w:hAnsi="Times"/>
          <w:color w:val="004C45" w:themeColor="text2"/>
          <w:sz w:val="24"/>
          <w:szCs w:val="24"/>
        </w:rPr>
        <w:fldChar w:fldCharType="separate"/>
      </w:r>
      <w:r w:rsidR="00835259">
        <w:rPr>
          <w:rFonts w:ascii="Times" w:hAnsi="Times"/>
          <w:noProof/>
          <w:color w:val="004C45" w:themeColor="text2"/>
          <w:sz w:val="24"/>
          <w:szCs w:val="24"/>
        </w:rPr>
        <w:t>9</w:t>
      </w:r>
      <w:r w:rsidRPr="009A7F2D">
        <w:rPr>
          <w:rFonts w:ascii="Times" w:hAnsi="Times"/>
          <w:color w:val="004C45" w:themeColor="text2"/>
          <w:sz w:val="24"/>
          <w:szCs w:val="24"/>
        </w:rPr>
        <w:fldChar w:fldCharType="end"/>
      </w:r>
      <w:bookmarkEnd w:id="50"/>
      <w:bookmarkEnd w:id="51"/>
      <w:r w:rsidR="00382145" w:rsidRPr="009A7F2D">
        <w:rPr>
          <w:rFonts w:ascii="Times" w:hAnsi="Times"/>
          <w:color w:val="004C45" w:themeColor="text2"/>
          <w:sz w:val="24"/>
          <w:szCs w:val="24"/>
        </w:rPr>
        <w:t>:</w:t>
      </w:r>
      <w:r w:rsidRPr="009A7F2D">
        <w:rPr>
          <w:rFonts w:ascii="Times" w:hAnsi="Times"/>
          <w:color w:val="004C45" w:themeColor="text2"/>
          <w:sz w:val="24"/>
          <w:szCs w:val="24"/>
        </w:rPr>
        <w:t xml:space="preserve"> Allocations to the </w:t>
      </w:r>
      <w:r w:rsidR="00382145" w:rsidRPr="009A7F2D">
        <w:rPr>
          <w:rFonts w:ascii="Times" w:hAnsi="Times"/>
          <w:color w:val="004C45" w:themeColor="text2"/>
          <w:sz w:val="24"/>
          <w:szCs w:val="24"/>
        </w:rPr>
        <w:t>m</w:t>
      </w:r>
      <w:r w:rsidRPr="009A7F2D">
        <w:rPr>
          <w:rFonts w:ascii="Times" w:hAnsi="Times"/>
          <w:color w:val="004C45" w:themeColor="text2"/>
          <w:sz w:val="24"/>
          <w:szCs w:val="24"/>
        </w:rPr>
        <w:t xml:space="preserve">ain </w:t>
      </w:r>
      <w:r w:rsidR="00382145" w:rsidRPr="009A7F2D">
        <w:rPr>
          <w:rFonts w:ascii="Times" w:hAnsi="Times"/>
          <w:color w:val="004C45" w:themeColor="text2"/>
          <w:sz w:val="24"/>
          <w:szCs w:val="24"/>
        </w:rPr>
        <w:t>f</w:t>
      </w:r>
      <w:r w:rsidRPr="009A7F2D">
        <w:rPr>
          <w:rFonts w:ascii="Times" w:hAnsi="Times"/>
          <w:color w:val="004C45" w:themeColor="text2"/>
          <w:sz w:val="24"/>
          <w:szCs w:val="24"/>
        </w:rPr>
        <w:t xml:space="preserve">unctional </w:t>
      </w:r>
      <w:r w:rsidR="00382145" w:rsidRPr="009A7F2D">
        <w:rPr>
          <w:rFonts w:ascii="Times" w:hAnsi="Times"/>
          <w:color w:val="004C45" w:themeColor="text2"/>
          <w:sz w:val="24"/>
          <w:szCs w:val="24"/>
        </w:rPr>
        <w:t>c</w:t>
      </w:r>
      <w:r w:rsidRPr="009A7F2D">
        <w:rPr>
          <w:rFonts w:ascii="Times" w:hAnsi="Times"/>
          <w:color w:val="004C45" w:themeColor="text2"/>
          <w:sz w:val="24"/>
          <w:szCs w:val="24"/>
        </w:rPr>
        <w:t>ategories, 2016/17 to 2022/23 (R</w:t>
      </w:r>
      <w:r w:rsidR="00382145" w:rsidRPr="009A7F2D">
        <w:rPr>
          <w:rFonts w:ascii="Times" w:hAnsi="Times"/>
          <w:color w:val="004C45" w:themeColor="text2"/>
          <w:sz w:val="24"/>
          <w:szCs w:val="24"/>
        </w:rPr>
        <w:t xml:space="preserve"> </w:t>
      </w:r>
      <w:r w:rsidRPr="009A7F2D">
        <w:rPr>
          <w:rFonts w:ascii="Times" w:hAnsi="Times"/>
          <w:color w:val="004C45" w:themeColor="text2"/>
          <w:sz w:val="24"/>
          <w:szCs w:val="24"/>
        </w:rPr>
        <w:t>billion)</w:t>
      </w:r>
      <w:bookmarkEnd w:id="52"/>
      <w:bookmarkEnd w:id="53"/>
      <w:bookmarkEnd w:id="54"/>
    </w:p>
    <w:p w14:paraId="388252A0" w14:textId="77777777" w:rsidR="00A907A0" w:rsidRPr="000D33E4" w:rsidRDefault="00A907A0" w:rsidP="00D71D8C">
      <w:pPr>
        <w:keepNext/>
        <w:jc w:val="right"/>
        <w:rPr>
          <w:rFonts w:ascii="Times" w:hAnsi="Times"/>
          <w:color w:val="0D0D0D" w:themeColor="text1" w:themeTint="F2"/>
        </w:rPr>
      </w:pPr>
      <w:r w:rsidRPr="000D33E4">
        <w:rPr>
          <w:rFonts w:ascii="Times" w:hAnsi="Times"/>
          <w:noProof/>
          <w:color w:val="0D0D0D" w:themeColor="text1" w:themeTint="F2"/>
          <w:lang w:eastAsia="en-ZA"/>
        </w:rPr>
        <w:drawing>
          <wp:inline distT="0" distB="0" distL="0" distR="0" wp14:anchorId="46BA0339" wp14:editId="691A78FF">
            <wp:extent cx="6310265" cy="2879002"/>
            <wp:effectExtent l="0" t="0" r="14605" b="1714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7AA888FB" w14:textId="77777777" w:rsidR="00A907A0" w:rsidRPr="009A7F2D" w:rsidRDefault="00A907A0" w:rsidP="00D71D8C">
      <w:pPr>
        <w:keepNext/>
        <w:rPr>
          <w:rFonts w:ascii="Times" w:hAnsi="Times"/>
          <w:i/>
          <w:color w:val="0D0D0D" w:themeColor="text1" w:themeTint="F2"/>
          <w:sz w:val="20"/>
          <w:szCs w:val="18"/>
        </w:rPr>
      </w:pPr>
      <w:r w:rsidRPr="009A7F2D">
        <w:rPr>
          <w:rFonts w:ascii="Times" w:hAnsi="Times"/>
          <w:i/>
          <w:color w:val="0D0D0D" w:themeColor="text1" w:themeTint="F2"/>
          <w:sz w:val="20"/>
          <w:szCs w:val="18"/>
        </w:rPr>
        <w:t xml:space="preserve">Source: </w:t>
      </w:r>
      <w:r w:rsidR="00382145" w:rsidRPr="009A7F2D">
        <w:rPr>
          <w:rFonts w:ascii="Times" w:hAnsi="Times"/>
          <w:i/>
          <w:color w:val="0D0D0D" w:themeColor="text1" w:themeTint="F2"/>
          <w:sz w:val="20"/>
          <w:szCs w:val="18"/>
        </w:rPr>
        <w:t>FFC</w:t>
      </w:r>
      <w:r w:rsidRPr="009A7F2D">
        <w:rPr>
          <w:rFonts w:ascii="Times" w:hAnsi="Times"/>
          <w:i/>
          <w:color w:val="0D0D0D" w:themeColor="text1" w:themeTint="F2"/>
          <w:sz w:val="20"/>
          <w:szCs w:val="18"/>
        </w:rPr>
        <w:t xml:space="preserve"> calculations based on Budget Review 2020.</w:t>
      </w:r>
    </w:p>
    <w:p w14:paraId="2E9C029D" w14:textId="77777777" w:rsidR="00A907A0" w:rsidRPr="000D33E4" w:rsidRDefault="00A907A0" w:rsidP="007B1E55">
      <w:pPr>
        <w:rPr>
          <w:rFonts w:ascii="Times" w:hAnsi="Times"/>
          <w:color w:val="0D0D0D" w:themeColor="text1" w:themeTint="F2"/>
        </w:rPr>
      </w:pPr>
    </w:p>
    <w:p w14:paraId="321D1D93" w14:textId="53028BBB" w:rsidR="00A907A0" w:rsidRPr="000D33E4" w:rsidRDefault="00382145" w:rsidP="009A7F2D">
      <w:r w:rsidRPr="00F62C4E">
        <w:rPr>
          <w:rFonts w:ascii="Times" w:hAnsi="Times"/>
          <w:color w:val="000000" w:themeColor="text1"/>
        </w:rPr>
        <w:fldChar w:fldCharType="begin"/>
      </w:r>
      <w:r w:rsidRPr="00F62C4E">
        <w:rPr>
          <w:rFonts w:ascii="Times" w:hAnsi="Times"/>
          <w:color w:val="000000" w:themeColor="text1"/>
        </w:rPr>
        <w:instrText xml:space="preserve"> REF _Ref40880567 \h </w:instrText>
      </w:r>
      <w:r w:rsidRPr="00F62C4E">
        <w:rPr>
          <w:rFonts w:ascii="Times" w:hAnsi="Times"/>
          <w:color w:val="000000" w:themeColor="text1"/>
        </w:rPr>
      </w:r>
      <w:r w:rsidRPr="00F62C4E">
        <w:rPr>
          <w:rFonts w:ascii="Times" w:hAnsi="Times"/>
          <w:color w:val="000000" w:themeColor="text1"/>
        </w:rPr>
        <w:fldChar w:fldCharType="separate"/>
      </w:r>
      <w:r w:rsidRPr="00F62C4E">
        <w:rPr>
          <w:rFonts w:ascii="Times" w:hAnsi="Times"/>
          <w:color w:val="000000" w:themeColor="text1"/>
          <w:szCs w:val="24"/>
        </w:rPr>
        <w:t xml:space="preserve">Figure </w:t>
      </w:r>
      <w:r w:rsidRPr="00F62C4E">
        <w:rPr>
          <w:rFonts w:ascii="Times" w:hAnsi="Times"/>
          <w:noProof/>
          <w:color w:val="000000" w:themeColor="text1"/>
          <w:szCs w:val="24"/>
        </w:rPr>
        <w:t>10</w:t>
      </w:r>
      <w:r w:rsidRPr="00F62C4E">
        <w:rPr>
          <w:rFonts w:ascii="Times" w:hAnsi="Times"/>
          <w:color w:val="000000" w:themeColor="text1"/>
        </w:rPr>
        <w:fldChar w:fldCharType="end"/>
      </w:r>
      <w:r w:rsidR="00A907A0" w:rsidRPr="000D33E4">
        <w:t xml:space="preserve"> presents real annual average </w:t>
      </w:r>
      <w:r w:rsidR="00710522" w:rsidRPr="000D33E4">
        <w:t xml:space="preserve">rate </w:t>
      </w:r>
      <w:r w:rsidR="00A907A0" w:rsidRPr="000D33E4">
        <w:t xml:space="preserve">growth </w:t>
      </w:r>
      <w:r w:rsidR="00710522" w:rsidRPr="000D33E4">
        <w:t xml:space="preserve">in spending in various functional categories </w:t>
      </w:r>
      <w:r w:rsidR="00A907A0" w:rsidRPr="000D33E4">
        <w:t>over two periods – 2016/17 to 2019/20 and 2019/20 up until the end of the current MTEF period (</w:t>
      </w:r>
      <w:r>
        <w:t>i.e.</w:t>
      </w:r>
      <w:r w:rsidR="00A907A0" w:rsidRPr="000D33E4">
        <w:t>, 2022/23). The trends refl</w:t>
      </w:r>
      <w:r w:rsidR="00710522" w:rsidRPr="000D33E4">
        <w:t xml:space="preserve">ected in </w:t>
      </w:r>
      <w:r w:rsidRPr="008F7033">
        <w:rPr>
          <w:color w:val="000000" w:themeColor="text1"/>
        </w:rPr>
        <w:fldChar w:fldCharType="begin"/>
      </w:r>
      <w:r w:rsidRPr="008F7033">
        <w:rPr>
          <w:color w:val="000000" w:themeColor="text1"/>
        </w:rPr>
        <w:instrText xml:space="preserve"> REF _Ref40880567 \h </w:instrText>
      </w:r>
      <w:r w:rsidRPr="008F7033">
        <w:rPr>
          <w:color w:val="000000" w:themeColor="text1"/>
        </w:rPr>
      </w:r>
      <w:r w:rsidRPr="008F7033">
        <w:rPr>
          <w:color w:val="000000" w:themeColor="text1"/>
        </w:rPr>
        <w:fldChar w:fldCharType="separate"/>
      </w:r>
      <w:r w:rsidRPr="008F7033">
        <w:rPr>
          <w:rFonts w:ascii="Times" w:hAnsi="Times"/>
          <w:color w:val="000000" w:themeColor="text1"/>
          <w:szCs w:val="24"/>
        </w:rPr>
        <w:t xml:space="preserve">Figure </w:t>
      </w:r>
      <w:r w:rsidRPr="008F7033">
        <w:rPr>
          <w:rFonts w:ascii="Times" w:hAnsi="Times"/>
          <w:noProof/>
          <w:color w:val="000000" w:themeColor="text1"/>
          <w:szCs w:val="24"/>
        </w:rPr>
        <w:t>10</w:t>
      </w:r>
      <w:r w:rsidRPr="008F7033">
        <w:rPr>
          <w:color w:val="000000" w:themeColor="text1"/>
        </w:rPr>
        <w:fldChar w:fldCharType="end"/>
      </w:r>
      <w:r>
        <w:t xml:space="preserve"> </w:t>
      </w:r>
      <w:r w:rsidR="00A907A0" w:rsidRPr="000D33E4">
        <w:t>provide a sense of how the relative priority attached to the various functional categories have changed over time. Between 2016/17 and 2019/20, growth in spending by allocation was driven predominantly by learning and culture (mainly post school education and training (PSET)), social development (mainly social security funds) and health</w:t>
      </w:r>
      <w:r>
        <w:t xml:space="preserve">. These </w:t>
      </w:r>
      <w:r w:rsidR="00A907A0" w:rsidRPr="000D33E4">
        <w:t>grew significantly above inflation (4.6 per cent, 4.5 per cent and 3.3 per cent respectively). Over the next three years, the emphasis shift</w:t>
      </w:r>
      <w:r>
        <w:t>ed</w:t>
      </w:r>
      <w:r w:rsidR="00A907A0" w:rsidRPr="000D33E4">
        <w:t xml:space="preserve"> from this social focus. There is relatively stronger real annual average growth projected for the economic development function (2.0 per cent) and community development (1.7 per cent). Social development continues to see real growth, driven by social protection, consisting mostly of social grant payments (1.6 per cent). These shifts are</w:t>
      </w:r>
      <w:r w:rsidR="00FE750A">
        <w:t>,</w:t>
      </w:r>
      <w:r w:rsidR="00A907A0" w:rsidRPr="000D33E4">
        <w:t xml:space="preserve"> however</w:t>
      </w:r>
      <w:r w:rsidR="00FE750A">
        <w:t>,</w:t>
      </w:r>
      <w:r w:rsidR="00A907A0" w:rsidRPr="000D33E4">
        <w:t xml:space="preserve"> dwarfed by the real annual average growth of 7.4 per cent projected for debt service costs over the next three years. In terms of functional categories that are projected to decline over the next three years, the peace and security and</w:t>
      </w:r>
      <w:r w:rsidR="00FE750A">
        <w:t>,</w:t>
      </w:r>
      <w:r w:rsidR="00A907A0" w:rsidRPr="000D33E4">
        <w:t xml:space="preserve"> to a lesser degree, the general public services function</w:t>
      </w:r>
      <w:r w:rsidR="00FE750A">
        <w:t>,</w:t>
      </w:r>
      <w:r w:rsidR="00A907A0" w:rsidRPr="000D33E4">
        <w:t xml:space="preserve"> seem to bear the brunt of </w:t>
      </w:r>
      <w:r w:rsidR="00631E40">
        <w:t>r</w:t>
      </w:r>
      <w:r w:rsidR="00A907A0" w:rsidRPr="000D33E4">
        <w:t>eprioritisation over the next three years.</w:t>
      </w:r>
    </w:p>
    <w:p w14:paraId="22045065" w14:textId="77777777" w:rsidR="00B11D59" w:rsidRPr="000D33E4" w:rsidRDefault="00B11D59" w:rsidP="00B11D59">
      <w:pPr>
        <w:rPr>
          <w:rFonts w:ascii="Times" w:hAnsi="Times"/>
        </w:rPr>
      </w:pPr>
    </w:p>
    <w:p w14:paraId="1A8CEAD1" w14:textId="74CFFB6E" w:rsidR="00A907A0" w:rsidRPr="00556D9C" w:rsidRDefault="00A907A0" w:rsidP="009A7F2D">
      <w:pPr>
        <w:pStyle w:val="Caption"/>
        <w:keepNext/>
        <w:keepLines/>
        <w:spacing w:after="60"/>
        <w:rPr>
          <w:rFonts w:ascii="Times" w:hAnsi="Times"/>
          <w:color w:val="004C45" w:themeColor="text2"/>
          <w:sz w:val="24"/>
          <w:szCs w:val="24"/>
        </w:rPr>
      </w:pPr>
      <w:bookmarkStart w:id="55" w:name="_Ref33967123"/>
      <w:bookmarkStart w:id="56" w:name="_Ref40880567"/>
      <w:bookmarkStart w:id="57" w:name="_Toc33597804"/>
      <w:bookmarkStart w:id="58" w:name="_Toc38006817"/>
      <w:bookmarkStart w:id="59" w:name="_Toc40897048"/>
      <w:bookmarkStart w:id="60" w:name="_Toc42211442"/>
      <w:r w:rsidRPr="009A7F2D">
        <w:rPr>
          <w:rFonts w:ascii="Times" w:hAnsi="Times"/>
          <w:color w:val="004C45" w:themeColor="text2"/>
          <w:sz w:val="24"/>
          <w:szCs w:val="24"/>
        </w:rPr>
        <w:t xml:space="preserve">Figure </w:t>
      </w:r>
      <w:r w:rsidRPr="009A7F2D">
        <w:rPr>
          <w:rFonts w:ascii="Times" w:hAnsi="Times"/>
          <w:color w:val="004C45" w:themeColor="text2"/>
          <w:sz w:val="24"/>
          <w:szCs w:val="24"/>
        </w:rPr>
        <w:fldChar w:fldCharType="begin"/>
      </w:r>
      <w:r w:rsidRPr="009A7F2D">
        <w:rPr>
          <w:rFonts w:ascii="Times" w:hAnsi="Times"/>
          <w:color w:val="004C45" w:themeColor="text2"/>
          <w:sz w:val="24"/>
          <w:szCs w:val="24"/>
        </w:rPr>
        <w:instrText xml:space="preserve"> SEQ Figure \* ARABIC </w:instrText>
      </w:r>
      <w:r w:rsidRPr="009A7F2D">
        <w:rPr>
          <w:rFonts w:ascii="Times" w:hAnsi="Times"/>
          <w:color w:val="004C45" w:themeColor="text2"/>
          <w:sz w:val="24"/>
          <w:szCs w:val="24"/>
        </w:rPr>
        <w:fldChar w:fldCharType="separate"/>
      </w:r>
      <w:r w:rsidR="00835259">
        <w:rPr>
          <w:rFonts w:ascii="Times" w:hAnsi="Times"/>
          <w:noProof/>
          <w:color w:val="004C45" w:themeColor="text2"/>
          <w:sz w:val="24"/>
          <w:szCs w:val="24"/>
        </w:rPr>
        <w:t>10</w:t>
      </w:r>
      <w:r w:rsidRPr="009A7F2D">
        <w:rPr>
          <w:rFonts w:ascii="Times" w:hAnsi="Times"/>
          <w:color w:val="004C45" w:themeColor="text2"/>
          <w:sz w:val="24"/>
          <w:szCs w:val="24"/>
        </w:rPr>
        <w:fldChar w:fldCharType="end"/>
      </w:r>
      <w:bookmarkEnd w:id="55"/>
      <w:bookmarkEnd w:id="56"/>
      <w:r w:rsidR="00382145">
        <w:rPr>
          <w:rFonts w:ascii="Times" w:hAnsi="Times"/>
          <w:color w:val="004C45" w:themeColor="text2"/>
          <w:sz w:val="24"/>
          <w:szCs w:val="24"/>
        </w:rPr>
        <w:t>:</w:t>
      </w:r>
      <w:r w:rsidRPr="00556D9C">
        <w:rPr>
          <w:rFonts w:ascii="Times" w:hAnsi="Times"/>
          <w:color w:val="004C45" w:themeColor="text2"/>
          <w:sz w:val="24"/>
          <w:szCs w:val="24"/>
        </w:rPr>
        <w:t xml:space="preserve"> </w:t>
      </w:r>
      <w:r w:rsidRPr="00556D9C">
        <w:rPr>
          <w:rFonts w:ascii="Times" w:hAnsi="Times"/>
          <w:bCs w:val="0"/>
          <w:color w:val="004C45" w:themeColor="text2"/>
          <w:sz w:val="24"/>
          <w:szCs w:val="24"/>
          <w:lang w:val="en-US"/>
        </w:rPr>
        <w:t>Real annual average growth over the periods 2016/17-2019/20 and 2020/21-2022/23</w:t>
      </w:r>
      <w:bookmarkEnd w:id="57"/>
      <w:bookmarkEnd w:id="58"/>
      <w:bookmarkEnd w:id="59"/>
      <w:bookmarkEnd w:id="60"/>
    </w:p>
    <w:p w14:paraId="2B190947" w14:textId="77777777" w:rsidR="00A907A0" w:rsidRPr="000D33E4" w:rsidRDefault="00A907A0" w:rsidP="00382145">
      <w:pPr>
        <w:keepNext/>
        <w:keepLines/>
        <w:jc w:val="right"/>
        <w:rPr>
          <w:rFonts w:ascii="Times" w:hAnsi="Times"/>
          <w:color w:val="0D0D0D" w:themeColor="text1" w:themeTint="F2"/>
        </w:rPr>
      </w:pPr>
      <w:r w:rsidRPr="000D33E4">
        <w:rPr>
          <w:rFonts w:ascii="Times" w:hAnsi="Times"/>
          <w:noProof/>
          <w:color w:val="0D0D0D" w:themeColor="text1" w:themeTint="F2"/>
          <w:lang w:eastAsia="en-ZA"/>
        </w:rPr>
        <w:drawing>
          <wp:inline distT="0" distB="0" distL="0" distR="0" wp14:anchorId="37A0BFEE" wp14:editId="2CEFD984">
            <wp:extent cx="6173470" cy="3291840"/>
            <wp:effectExtent l="0" t="0" r="17780" b="3810"/>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7A85A8DA" w14:textId="77777777" w:rsidR="00A907A0" w:rsidRPr="009A7F2D" w:rsidRDefault="00A907A0" w:rsidP="009A7F2D">
      <w:pPr>
        <w:keepNext/>
        <w:rPr>
          <w:rFonts w:ascii="Times" w:hAnsi="Times"/>
          <w:i/>
          <w:color w:val="0D0D0D" w:themeColor="text1" w:themeTint="F2"/>
          <w:sz w:val="20"/>
          <w:szCs w:val="18"/>
        </w:rPr>
      </w:pPr>
      <w:r w:rsidRPr="009A7F2D">
        <w:rPr>
          <w:rFonts w:ascii="Times" w:hAnsi="Times"/>
          <w:i/>
          <w:color w:val="0D0D0D" w:themeColor="text1" w:themeTint="F2"/>
          <w:sz w:val="20"/>
          <w:szCs w:val="18"/>
        </w:rPr>
        <w:t>Source: The National Treasury, MTBPS 2017, 2018, 2019 and Budget Review 2020.</w:t>
      </w:r>
    </w:p>
    <w:p w14:paraId="74ABBF02" w14:textId="77777777" w:rsidR="00A907A0" w:rsidRPr="000D33E4" w:rsidRDefault="00A907A0" w:rsidP="007B1E55">
      <w:pPr>
        <w:rPr>
          <w:rFonts w:ascii="Times" w:hAnsi="Times"/>
          <w:color w:val="0D0D0D" w:themeColor="text1" w:themeTint="F2"/>
        </w:rPr>
      </w:pPr>
    </w:p>
    <w:p w14:paraId="7BCBADD4" w14:textId="77777777" w:rsidR="00A907A0" w:rsidRPr="000D33E4" w:rsidRDefault="00A907A0" w:rsidP="00FB6890">
      <w:pPr>
        <w:pStyle w:val="Heading3"/>
      </w:pPr>
      <w:bookmarkStart w:id="61" w:name="_Toc42211913"/>
      <w:r w:rsidRPr="000D33E4">
        <w:t xml:space="preserve">Expenditure by </w:t>
      </w:r>
      <w:r w:rsidR="00382145">
        <w:t>e</w:t>
      </w:r>
      <w:r w:rsidRPr="000D33E4">
        <w:t xml:space="preserve">conomic </w:t>
      </w:r>
      <w:r w:rsidR="00382145">
        <w:t>c</w:t>
      </w:r>
      <w:r w:rsidRPr="000D33E4">
        <w:t>lassification</w:t>
      </w:r>
      <w:bookmarkEnd w:id="61"/>
    </w:p>
    <w:p w14:paraId="4FD892D4" w14:textId="77777777" w:rsidR="003D5A8F" w:rsidRPr="000D33E4" w:rsidRDefault="003D5A8F" w:rsidP="003D5A8F">
      <w:pPr>
        <w:rPr>
          <w:rFonts w:ascii="Times" w:hAnsi="Times"/>
        </w:rPr>
      </w:pPr>
    </w:p>
    <w:p w14:paraId="4285AFC0" w14:textId="018181E6" w:rsidR="00A907A0" w:rsidRPr="000D33E4" w:rsidRDefault="00A907A0" w:rsidP="009A7F2D">
      <w:r w:rsidRPr="000D33E4">
        <w:t>As reflected in</w:t>
      </w:r>
      <w:r w:rsidR="00382145">
        <w:t xml:space="preserve"> </w:t>
      </w:r>
      <w:r w:rsidR="00382145">
        <w:fldChar w:fldCharType="begin"/>
      </w:r>
      <w:r w:rsidR="00382145">
        <w:instrText xml:space="preserve"> REF _Ref40880794 \h </w:instrText>
      </w:r>
      <w:r w:rsidR="00382145">
        <w:fldChar w:fldCharType="separate"/>
      </w:r>
      <w:r w:rsidR="00382145" w:rsidRPr="000D33E4">
        <w:rPr>
          <w:rFonts w:ascii="Times" w:hAnsi="Times"/>
        </w:rPr>
        <w:t xml:space="preserve">Table </w:t>
      </w:r>
      <w:r w:rsidR="00382145" w:rsidRPr="000D33E4">
        <w:rPr>
          <w:rFonts w:ascii="Times" w:hAnsi="Times"/>
          <w:noProof/>
        </w:rPr>
        <w:t>4</w:t>
      </w:r>
      <w:r w:rsidR="00382145">
        <w:fldChar w:fldCharType="end"/>
      </w:r>
      <w:r w:rsidR="00382145">
        <w:t>,</w:t>
      </w:r>
      <w:r w:rsidRPr="000D33E4">
        <w:t xml:space="preserve"> Budget 2020 attempts to reverse some of the historical trends in the composition of expenditure with notabl</w:t>
      </w:r>
      <w:r w:rsidR="00CF04CE">
        <w:t>y</w:t>
      </w:r>
      <w:r w:rsidRPr="000D33E4">
        <w:t xml:space="preserve"> slower growth projected for compensation of employees and relatively strong real growth projected for capital spending. Real annual average growth in current payments is projected to slow </w:t>
      </w:r>
      <w:r w:rsidR="00710522" w:rsidRPr="000D33E4">
        <w:t xml:space="preserve">down </w:t>
      </w:r>
      <w:r w:rsidRPr="000D33E4">
        <w:t xml:space="preserve">to under </w:t>
      </w:r>
      <w:r w:rsidR="00CF04CE">
        <w:t>-1</w:t>
      </w:r>
      <w:r w:rsidRPr="000D33E4">
        <w:t xml:space="preserve"> per cent per annum over the next three years, mostly driven by wage growth moderation. As was the case previously, expenditure in growth remains driven by rapid growth in debt service costs of, on average, </w:t>
      </w:r>
      <w:r w:rsidR="00CF04CE">
        <w:t>7</w:t>
      </w:r>
      <w:r w:rsidRPr="000D33E4">
        <w:t xml:space="preserve"> per cent per annum. The next three years will see government rein in spending on compensation and shift emphasis to capital spending. To this end, real growth in compensation spending is projected to decline by </w:t>
      </w:r>
      <w:r w:rsidR="00CF04CE">
        <w:t>a</w:t>
      </w:r>
      <w:r w:rsidR="00BA2CFE">
        <w:t xml:space="preserve"> per</w:t>
      </w:r>
      <w:r w:rsidRPr="000D33E4">
        <w:t>cent</w:t>
      </w:r>
      <w:r w:rsidR="00BA2CFE">
        <w:t>age point</w:t>
      </w:r>
      <w:r w:rsidRPr="000D33E4">
        <w:t xml:space="preserve"> per annum over the next three years. Conversely capital spending is set to grow by a real annual average of 4.8 per cent per annum over the 2020 MTEF period.</w:t>
      </w:r>
      <w:r w:rsidR="002D39CB">
        <w:t xml:space="preserve"> </w:t>
      </w:r>
      <w:r w:rsidRPr="000D33E4">
        <w:t>Both goods and service and transfers and subsidies will experience slower real growth over the next three years.</w:t>
      </w:r>
    </w:p>
    <w:p w14:paraId="1DB41F56" w14:textId="77777777" w:rsidR="00A907A0" w:rsidRPr="000D33E4" w:rsidRDefault="00A907A0" w:rsidP="007B1E55">
      <w:pPr>
        <w:pStyle w:val="Caption"/>
        <w:keepNext/>
        <w:keepLines/>
        <w:rPr>
          <w:rFonts w:ascii="Times" w:hAnsi="Times"/>
          <w:color w:val="0D0D0D" w:themeColor="text1" w:themeTint="F2"/>
          <w:sz w:val="22"/>
          <w:szCs w:val="22"/>
        </w:rPr>
      </w:pPr>
    </w:p>
    <w:p w14:paraId="2222DDC4" w14:textId="55F00682" w:rsidR="00B826E6" w:rsidRPr="009A7F2D" w:rsidRDefault="00B826E6" w:rsidP="009A7F2D">
      <w:pPr>
        <w:pStyle w:val="Caption"/>
        <w:keepNext/>
        <w:spacing w:after="60"/>
        <w:rPr>
          <w:rFonts w:ascii="Times" w:hAnsi="Times"/>
          <w:color w:val="004C45" w:themeColor="text2"/>
          <w:sz w:val="24"/>
          <w:szCs w:val="24"/>
        </w:rPr>
      </w:pPr>
      <w:bookmarkStart w:id="62" w:name="_Ref40880794"/>
      <w:bookmarkStart w:id="63" w:name="_Toc42212132"/>
      <w:r w:rsidRPr="009A7F2D">
        <w:rPr>
          <w:rFonts w:ascii="Times" w:hAnsi="Times"/>
          <w:color w:val="004C45" w:themeColor="text2"/>
          <w:sz w:val="24"/>
          <w:szCs w:val="24"/>
        </w:rPr>
        <w:t xml:space="preserve">Table </w:t>
      </w:r>
      <w:r w:rsidRPr="009A7F2D">
        <w:rPr>
          <w:rFonts w:ascii="Times" w:hAnsi="Times"/>
          <w:color w:val="004C45" w:themeColor="text2"/>
          <w:sz w:val="24"/>
          <w:szCs w:val="24"/>
        </w:rPr>
        <w:fldChar w:fldCharType="begin"/>
      </w:r>
      <w:r w:rsidRPr="009A7F2D">
        <w:rPr>
          <w:rFonts w:ascii="Times" w:hAnsi="Times"/>
          <w:color w:val="004C45" w:themeColor="text2"/>
          <w:sz w:val="24"/>
          <w:szCs w:val="24"/>
        </w:rPr>
        <w:instrText xml:space="preserve"> SEQ Table \* ARABIC </w:instrText>
      </w:r>
      <w:r w:rsidRPr="009A7F2D">
        <w:rPr>
          <w:rFonts w:ascii="Times" w:hAnsi="Times"/>
          <w:color w:val="004C45" w:themeColor="text2"/>
          <w:sz w:val="24"/>
          <w:szCs w:val="24"/>
        </w:rPr>
        <w:fldChar w:fldCharType="separate"/>
      </w:r>
      <w:r w:rsidR="00492893">
        <w:rPr>
          <w:rFonts w:ascii="Times" w:hAnsi="Times"/>
          <w:noProof/>
          <w:color w:val="004C45" w:themeColor="text2"/>
          <w:sz w:val="24"/>
          <w:szCs w:val="24"/>
        </w:rPr>
        <w:t>4</w:t>
      </w:r>
      <w:r w:rsidRPr="009A7F2D">
        <w:rPr>
          <w:rFonts w:ascii="Times" w:hAnsi="Times"/>
          <w:color w:val="004C45" w:themeColor="text2"/>
          <w:sz w:val="24"/>
          <w:szCs w:val="24"/>
        </w:rPr>
        <w:fldChar w:fldCharType="end"/>
      </w:r>
      <w:bookmarkEnd w:id="62"/>
      <w:r w:rsidR="00382145">
        <w:rPr>
          <w:rFonts w:ascii="Times" w:hAnsi="Times"/>
          <w:color w:val="004C45" w:themeColor="text2"/>
          <w:sz w:val="24"/>
          <w:szCs w:val="24"/>
        </w:rPr>
        <w:t>:</w:t>
      </w:r>
      <w:r w:rsidRPr="009A7F2D">
        <w:rPr>
          <w:rFonts w:ascii="Times" w:hAnsi="Times"/>
          <w:color w:val="004C45" w:themeColor="text2"/>
          <w:sz w:val="24"/>
          <w:szCs w:val="24"/>
        </w:rPr>
        <w:t xml:space="preserve"> Consolidated expenditure by economic classification, 2016/17 to 2022/23</w:t>
      </w:r>
      <w:bookmarkEnd w:id="63"/>
    </w:p>
    <w:tbl>
      <w:tblPr>
        <w:tblStyle w:val="GridTable1Light-Accent31"/>
        <w:tblW w:w="9710" w:type="dxa"/>
        <w:tblInd w:w="-5" w:type="dxa"/>
        <w:tblLook w:val="04A0" w:firstRow="1" w:lastRow="0" w:firstColumn="1" w:lastColumn="0" w:noHBand="0" w:noVBand="1"/>
      </w:tblPr>
      <w:tblGrid>
        <w:gridCol w:w="2977"/>
        <w:gridCol w:w="1276"/>
        <w:gridCol w:w="1134"/>
        <w:gridCol w:w="1276"/>
        <w:gridCol w:w="1417"/>
        <w:gridCol w:w="1630"/>
      </w:tblGrid>
      <w:tr w:rsidR="00A907A0" w:rsidRPr="000D33E4" w14:paraId="7F90B53C" w14:textId="77777777" w:rsidTr="008F7033">
        <w:trPr>
          <w:cnfStyle w:val="100000000000" w:firstRow="1" w:lastRow="0" w:firstColumn="0" w:lastColumn="0" w:oddVBand="0" w:evenVBand="0" w:oddHBand="0" w:evenHBand="0" w:firstRowFirstColumn="0" w:firstRowLastColumn="0" w:lastRowFirstColumn="0" w:lastRowLastColumn="0"/>
          <w:trHeight w:val="1020"/>
        </w:trPr>
        <w:tc>
          <w:tcPr>
            <w:cnfStyle w:val="001000000000" w:firstRow="0" w:lastRow="0" w:firstColumn="1" w:lastColumn="0" w:oddVBand="0" w:evenVBand="0" w:oddHBand="0" w:evenHBand="0" w:firstRowFirstColumn="0" w:firstRowLastColumn="0" w:lastRowFirstColumn="0" w:lastRowLastColumn="0"/>
            <w:tcW w:w="2977" w:type="dxa"/>
            <w:tcBorders>
              <w:bottom w:val="none" w:sz="0" w:space="0" w:color="auto"/>
            </w:tcBorders>
            <w:noWrap/>
            <w:hideMark/>
          </w:tcPr>
          <w:p w14:paraId="2EA27289" w14:textId="77777777" w:rsidR="00A907A0" w:rsidRPr="009A7F2D" w:rsidRDefault="00A907A0" w:rsidP="007B1E55">
            <w:pPr>
              <w:keepNext/>
              <w:keepLines/>
              <w:rPr>
                <w:rFonts w:ascii="Times" w:hAnsi="Times"/>
                <w:color w:val="0D0D0D" w:themeColor="text1" w:themeTint="F2"/>
                <w:sz w:val="20"/>
                <w:szCs w:val="20"/>
                <w:lang w:val="en-US"/>
              </w:rPr>
            </w:pPr>
            <w:r w:rsidRPr="009A7F2D">
              <w:rPr>
                <w:rFonts w:ascii="Times" w:hAnsi="Times"/>
                <w:color w:val="0D0D0D" w:themeColor="text1" w:themeTint="F2"/>
                <w:sz w:val="20"/>
                <w:szCs w:val="20"/>
                <w:lang w:val="en-US"/>
              </w:rPr>
              <w:t>R billion</w:t>
            </w:r>
          </w:p>
        </w:tc>
        <w:tc>
          <w:tcPr>
            <w:tcW w:w="1276" w:type="dxa"/>
            <w:tcBorders>
              <w:bottom w:val="none" w:sz="0" w:space="0" w:color="auto"/>
            </w:tcBorders>
            <w:hideMark/>
          </w:tcPr>
          <w:p w14:paraId="2910AC71" w14:textId="0720DA9F" w:rsidR="00A907A0" w:rsidRPr="009A7F2D" w:rsidRDefault="00A907A0" w:rsidP="00643E3C">
            <w:pPr>
              <w:keepNext/>
              <w:keepLines/>
              <w:jc w:val="center"/>
              <w:cnfStyle w:val="100000000000" w:firstRow="1" w:lastRow="0" w:firstColumn="0" w:lastColumn="0" w:oddVBand="0" w:evenVBand="0" w:oddHBand="0" w:evenHBand="0" w:firstRowFirstColumn="0" w:firstRowLastColumn="0" w:lastRowFirstColumn="0" w:lastRowLastColumn="0"/>
              <w:rPr>
                <w:rFonts w:ascii="Times" w:hAnsi="Times"/>
                <w:color w:val="0D0D0D" w:themeColor="text1" w:themeTint="F2"/>
                <w:sz w:val="20"/>
                <w:szCs w:val="20"/>
                <w:lang w:val="en-US"/>
              </w:rPr>
            </w:pPr>
            <w:r w:rsidRPr="009A7F2D">
              <w:rPr>
                <w:rFonts w:ascii="Times" w:hAnsi="Times"/>
                <w:color w:val="0D0D0D" w:themeColor="text1" w:themeTint="F2"/>
                <w:sz w:val="20"/>
                <w:szCs w:val="20"/>
                <w:lang w:val="en-US"/>
              </w:rPr>
              <w:t xml:space="preserve">Audited </w:t>
            </w:r>
            <w:r w:rsidR="00CF04CE">
              <w:rPr>
                <w:rFonts w:ascii="Times" w:hAnsi="Times"/>
                <w:color w:val="0D0D0D" w:themeColor="text1" w:themeTint="F2"/>
                <w:sz w:val="20"/>
                <w:szCs w:val="20"/>
                <w:lang w:val="en-US"/>
              </w:rPr>
              <w:t xml:space="preserve">outcome </w:t>
            </w:r>
            <w:r w:rsidR="00CF04CE" w:rsidRPr="009A7F2D">
              <w:rPr>
                <w:rFonts w:ascii="Times" w:hAnsi="Times"/>
                <w:color w:val="0D0D0D" w:themeColor="text1" w:themeTint="F2"/>
                <w:sz w:val="20"/>
                <w:szCs w:val="20"/>
                <w:lang w:val="en-US"/>
              </w:rPr>
              <w:t xml:space="preserve"> </w:t>
            </w:r>
            <w:r w:rsidRPr="009A7F2D">
              <w:rPr>
                <w:rFonts w:ascii="Times" w:hAnsi="Times"/>
                <w:color w:val="0D0D0D" w:themeColor="text1" w:themeTint="F2"/>
                <w:sz w:val="20"/>
                <w:szCs w:val="20"/>
                <w:lang w:val="en-US"/>
              </w:rPr>
              <w:t>2016/17</w:t>
            </w:r>
          </w:p>
        </w:tc>
        <w:tc>
          <w:tcPr>
            <w:tcW w:w="1134" w:type="dxa"/>
            <w:tcBorders>
              <w:bottom w:val="none" w:sz="0" w:space="0" w:color="auto"/>
            </w:tcBorders>
            <w:hideMark/>
          </w:tcPr>
          <w:p w14:paraId="7FB42724" w14:textId="14E1FAA8" w:rsidR="00A907A0" w:rsidRPr="009A7F2D" w:rsidRDefault="00A907A0" w:rsidP="00A87760">
            <w:pPr>
              <w:keepNext/>
              <w:keepLines/>
              <w:jc w:val="center"/>
              <w:cnfStyle w:val="100000000000" w:firstRow="1" w:lastRow="0" w:firstColumn="0" w:lastColumn="0" w:oddVBand="0" w:evenVBand="0" w:oddHBand="0" w:evenHBand="0" w:firstRowFirstColumn="0" w:firstRowLastColumn="0" w:lastRowFirstColumn="0" w:lastRowLastColumn="0"/>
              <w:rPr>
                <w:rFonts w:ascii="Times" w:hAnsi="Times"/>
                <w:color w:val="0D0D0D" w:themeColor="text1" w:themeTint="F2"/>
                <w:sz w:val="20"/>
                <w:szCs w:val="20"/>
                <w:lang w:val="en-US"/>
              </w:rPr>
            </w:pPr>
            <w:r w:rsidRPr="009A7F2D">
              <w:rPr>
                <w:rFonts w:ascii="Times" w:hAnsi="Times"/>
                <w:color w:val="0D0D0D" w:themeColor="text1" w:themeTint="F2"/>
                <w:sz w:val="20"/>
                <w:szCs w:val="20"/>
                <w:lang w:val="en-US"/>
              </w:rPr>
              <w:t xml:space="preserve">Revised </w:t>
            </w:r>
            <w:r w:rsidR="00CF04CE">
              <w:rPr>
                <w:rFonts w:ascii="Times" w:hAnsi="Times"/>
                <w:color w:val="0D0D0D" w:themeColor="text1" w:themeTint="F2"/>
                <w:sz w:val="20"/>
                <w:szCs w:val="20"/>
                <w:lang w:val="en-US"/>
              </w:rPr>
              <w:t>e</w:t>
            </w:r>
            <w:r w:rsidRPr="009A7F2D">
              <w:rPr>
                <w:rFonts w:ascii="Times" w:hAnsi="Times"/>
                <w:color w:val="0D0D0D" w:themeColor="text1" w:themeTint="F2"/>
                <w:sz w:val="20"/>
                <w:szCs w:val="20"/>
                <w:lang w:val="en-US"/>
              </w:rPr>
              <w:t>stimate</w:t>
            </w:r>
            <w:r w:rsidR="002D39CB">
              <w:rPr>
                <w:rFonts w:ascii="Times" w:hAnsi="Times"/>
                <w:color w:val="0D0D0D" w:themeColor="text1" w:themeTint="F2"/>
                <w:sz w:val="20"/>
                <w:szCs w:val="20"/>
                <w:lang w:val="en-US"/>
              </w:rPr>
              <w:t xml:space="preserve"> </w:t>
            </w:r>
            <w:r w:rsidRPr="009A7F2D">
              <w:rPr>
                <w:rFonts w:ascii="Times" w:hAnsi="Times"/>
                <w:color w:val="0D0D0D" w:themeColor="text1" w:themeTint="F2"/>
                <w:sz w:val="20"/>
                <w:szCs w:val="20"/>
                <w:lang w:val="en-US"/>
              </w:rPr>
              <w:t xml:space="preserve"> 2019/20</w:t>
            </w:r>
          </w:p>
        </w:tc>
        <w:tc>
          <w:tcPr>
            <w:tcW w:w="1276" w:type="dxa"/>
            <w:tcBorders>
              <w:bottom w:val="none" w:sz="0" w:space="0" w:color="auto"/>
            </w:tcBorders>
            <w:hideMark/>
          </w:tcPr>
          <w:p w14:paraId="3D4E83D8" w14:textId="4DB888A3" w:rsidR="00A907A0" w:rsidRPr="009A7F2D" w:rsidRDefault="00A907A0" w:rsidP="00A87760">
            <w:pPr>
              <w:keepNext/>
              <w:keepLines/>
              <w:jc w:val="center"/>
              <w:cnfStyle w:val="100000000000" w:firstRow="1" w:lastRow="0" w:firstColumn="0" w:lastColumn="0" w:oddVBand="0" w:evenVBand="0" w:oddHBand="0" w:evenHBand="0" w:firstRowFirstColumn="0" w:firstRowLastColumn="0" w:lastRowFirstColumn="0" w:lastRowLastColumn="0"/>
              <w:rPr>
                <w:rFonts w:ascii="Times" w:hAnsi="Times"/>
                <w:color w:val="0D0D0D" w:themeColor="text1" w:themeTint="F2"/>
                <w:sz w:val="20"/>
                <w:szCs w:val="20"/>
                <w:lang w:val="en-US"/>
              </w:rPr>
            </w:pPr>
            <w:r w:rsidRPr="009A7F2D">
              <w:rPr>
                <w:rFonts w:ascii="Times" w:hAnsi="Times"/>
                <w:color w:val="0D0D0D" w:themeColor="text1" w:themeTint="F2"/>
                <w:sz w:val="20"/>
                <w:szCs w:val="20"/>
                <w:lang w:val="en-US"/>
              </w:rPr>
              <w:t xml:space="preserve">MTEF </w:t>
            </w:r>
            <w:r w:rsidR="00CF04CE">
              <w:rPr>
                <w:rFonts w:ascii="Times" w:hAnsi="Times"/>
                <w:color w:val="0D0D0D" w:themeColor="text1" w:themeTint="F2"/>
                <w:sz w:val="20"/>
                <w:szCs w:val="20"/>
                <w:lang w:val="en-US"/>
              </w:rPr>
              <w:t>e</w:t>
            </w:r>
            <w:r w:rsidRPr="009A7F2D">
              <w:rPr>
                <w:rFonts w:ascii="Times" w:hAnsi="Times"/>
                <w:color w:val="0D0D0D" w:themeColor="text1" w:themeTint="F2"/>
                <w:sz w:val="20"/>
                <w:szCs w:val="20"/>
                <w:lang w:val="en-US"/>
              </w:rPr>
              <w:t>stimate 2022/23</w:t>
            </w:r>
          </w:p>
        </w:tc>
        <w:tc>
          <w:tcPr>
            <w:tcW w:w="1417" w:type="dxa"/>
            <w:tcBorders>
              <w:bottom w:val="none" w:sz="0" w:space="0" w:color="auto"/>
            </w:tcBorders>
            <w:hideMark/>
          </w:tcPr>
          <w:p w14:paraId="0824C160" w14:textId="5797FD1B" w:rsidR="00A907A0" w:rsidRPr="009A7F2D" w:rsidRDefault="00A907A0" w:rsidP="00A87760">
            <w:pPr>
              <w:keepNext/>
              <w:keepLines/>
              <w:jc w:val="center"/>
              <w:cnfStyle w:val="100000000000" w:firstRow="1" w:lastRow="0" w:firstColumn="0" w:lastColumn="0" w:oddVBand="0" w:evenVBand="0" w:oddHBand="0" w:evenHBand="0" w:firstRowFirstColumn="0" w:firstRowLastColumn="0" w:lastRowFirstColumn="0" w:lastRowLastColumn="0"/>
              <w:rPr>
                <w:rFonts w:ascii="Times" w:hAnsi="Times"/>
                <w:color w:val="0D0D0D" w:themeColor="text1" w:themeTint="F2"/>
                <w:sz w:val="20"/>
                <w:szCs w:val="20"/>
                <w:lang w:val="en-US"/>
              </w:rPr>
            </w:pPr>
            <w:r w:rsidRPr="009A7F2D">
              <w:rPr>
                <w:rFonts w:ascii="Times" w:hAnsi="Times"/>
                <w:color w:val="0D0D0D" w:themeColor="text1" w:themeTint="F2"/>
                <w:sz w:val="20"/>
                <w:szCs w:val="20"/>
                <w:lang w:val="en-US"/>
              </w:rPr>
              <w:t xml:space="preserve">Real </w:t>
            </w:r>
            <w:r w:rsidR="00CF04CE">
              <w:rPr>
                <w:rFonts w:ascii="Times" w:hAnsi="Times"/>
                <w:color w:val="0D0D0D" w:themeColor="text1" w:themeTint="F2"/>
                <w:sz w:val="20"/>
                <w:szCs w:val="20"/>
                <w:lang w:val="en-US"/>
              </w:rPr>
              <w:t>a</w:t>
            </w:r>
            <w:r w:rsidRPr="009A7F2D">
              <w:rPr>
                <w:rFonts w:ascii="Times" w:hAnsi="Times"/>
                <w:color w:val="0D0D0D" w:themeColor="text1" w:themeTint="F2"/>
                <w:sz w:val="20"/>
                <w:szCs w:val="20"/>
                <w:lang w:val="en-US"/>
              </w:rPr>
              <w:t xml:space="preserve">nnual </w:t>
            </w:r>
            <w:r w:rsidR="00CF04CE">
              <w:rPr>
                <w:rFonts w:ascii="Times" w:hAnsi="Times"/>
                <w:color w:val="0D0D0D" w:themeColor="text1" w:themeTint="F2"/>
                <w:sz w:val="20"/>
                <w:szCs w:val="20"/>
                <w:lang w:val="en-US"/>
              </w:rPr>
              <w:t>a</w:t>
            </w:r>
            <w:r w:rsidRPr="009A7F2D">
              <w:rPr>
                <w:rFonts w:ascii="Times" w:hAnsi="Times"/>
                <w:color w:val="0D0D0D" w:themeColor="text1" w:themeTint="F2"/>
                <w:sz w:val="20"/>
                <w:szCs w:val="20"/>
                <w:lang w:val="en-US"/>
              </w:rPr>
              <w:t xml:space="preserve">verage </w:t>
            </w:r>
            <w:r w:rsidR="00CF04CE">
              <w:rPr>
                <w:rFonts w:ascii="Times" w:hAnsi="Times"/>
                <w:color w:val="0D0D0D" w:themeColor="text1" w:themeTint="F2"/>
                <w:sz w:val="20"/>
                <w:szCs w:val="20"/>
                <w:lang w:val="en-US"/>
              </w:rPr>
              <w:t>g</w:t>
            </w:r>
            <w:r w:rsidRPr="009A7F2D">
              <w:rPr>
                <w:rFonts w:ascii="Times" w:hAnsi="Times"/>
                <w:color w:val="0D0D0D" w:themeColor="text1" w:themeTint="F2"/>
                <w:sz w:val="20"/>
                <w:szCs w:val="20"/>
                <w:lang w:val="en-US"/>
              </w:rPr>
              <w:t xml:space="preserve">rowth </w:t>
            </w:r>
            <w:r w:rsidR="00CF04CE">
              <w:rPr>
                <w:rFonts w:ascii="Times" w:hAnsi="Times"/>
                <w:color w:val="0D0D0D" w:themeColor="text1" w:themeTint="F2"/>
                <w:sz w:val="20"/>
                <w:szCs w:val="20"/>
                <w:lang w:val="en-US"/>
              </w:rPr>
              <w:t>r</w:t>
            </w:r>
            <w:r w:rsidRPr="009A7F2D">
              <w:rPr>
                <w:rFonts w:ascii="Times" w:hAnsi="Times"/>
                <w:color w:val="0D0D0D" w:themeColor="text1" w:themeTint="F2"/>
                <w:sz w:val="20"/>
                <w:szCs w:val="20"/>
                <w:lang w:val="en-US"/>
              </w:rPr>
              <w:t>ate - 2016/17-2019/20</w:t>
            </w:r>
          </w:p>
        </w:tc>
        <w:tc>
          <w:tcPr>
            <w:tcW w:w="1630" w:type="dxa"/>
            <w:tcBorders>
              <w:bottom w:val="none" w:sz="0" w:space="0" w:color="auto"/>
            </w:tcBorders>
            <w:hideMark/>
          </w:tcPr>
          <w:p w14:paraId="051B336E" w14:textId="5EAD23D8" w:rsidR="00A907A0" w:rsidRPr="009A7F2D" w:rsidRDefault="00A907A0" w:rsidP="00A87760">
            <w:pPr>
              <w:keepNext/>
              <w:keepLines/>
              <w:jc w:val="center"/>
              <w:cnfStyle w:val="100000000000" w:firstRow="1" w:lastRow="0" w:firstColumn="0" w:lastColumn="0" w:oddVBand="0" w:evenVBand="0" w:oddHBand="0" w:evenHBand="0" w:firstRowFirstColumn="0" w:firstRowLastColumn="0" w:lastRowFirstColumn="0" w:lastRowLastColumn="0"/>
              <w:rPr>
                <w:rFonts w:ascii="Times" w:hAnsi="Times"/>
                <w:color w:val="0D0D0D" w:themeColor="text1" w:themeTint="F2"/>
                <w:sz w:val="20"/>
                <w:szCs w:val="20"/>
                <w:lang w:val="en-US"/>
              </w:rPr>
            </w:pPr>
            <w:r w:rsidRPr="009A7F2D">
              <w:rPr>
                <w:rFonts w:ascii="Times" w:hAnsi="Times"/>
                <w:color w:val="0D0D0D" w:themeColor="text1" w:themeTint="F2"/>
                <w:sz w:val="20"/>
                <w:szCs w:val="20"/>
                <w:lang w:val="en-US"/>
              </w:rPr>
              <w:t xml:space="preserve">Real </w:t>
            </w:r>
            <w:r w:rsidR="00CF04CE">
              <w:rPr>
                <w:rFonts w:ascii="Times" w:hAnsi="Times"/>
                <w:color w:val="0D0D0D" w:themeColor="text1" w:themeTint="F2"/>
                <w:sz w:val="20"/>
                <w:szCs w:val="20"/>
                <w:lang w:val="en-US"/>
              </w:rPr>
              <w:t>a</w:t>
            </w:r>
            <w:r w:rsidRPr="009A7F2D">
              <w:rPr>
                <w:rFonts w:ascii="Times" w:hAnsi="Times"/>
                <w:color w:val="0D0D0D" w:themeColor="text1" w:themeTint="F2"/>
                <w:sz w:val="20"/>
                <w:szCs w:val="20"/>
                <w:lang w:val="en-US"/>
              </w:rPr>
              <w:t xml:space="preserve">nnual </w:t>
            </w:r>
            <w:r w:rsidR="00CF04CE">
              <w:rPr>
                <w:rFonts w:ascii="Times" w:hAnsi="Times"/>
                <w:color w:val="0D0D0D" w:themeColor="text1" w:themeTint="F2"/>
                <w:sz w:val="20"/>
                <w:szCs w:val="20"/>
                <w:lang w:val="en-US"/>
              </w:rPr>
              <w:t>a</w:t>
            </w:r>
            <w:r w:rsidRPr="009A7F2D">
              <w:rPr>
                <w:rFonts w:ascii="Times" w:hAnsi="Times"/>
                <w:color w:val="0D0D0D" w:themeColor="text1" w:themeTint="F2"/>
                <w:sz w:val="20"/>
                <w:szCs w:val="20"/>
                <w:lang w:val="en-US"/>
              </w:rPr>
              <w:t xml:space="preserve">verage </w:t>
            </w:r>
            <w:r w:rsidR="00CF04CE">
              <w:rPr>
                <w:rFonts w:ascii="Times" w:hAnsi="Times"/>
                <w:color w:val="0D0D0D" w:themeColor="text1" w:themeTint="F2"/>
                <w:sz w:val="20"/>
                <w:szCs w:val="20"/>
                <w:lang w:val="en-US"/>
              </w:rPr>
              <w:t>g</w:t>
            </w:r>
            <w:r w:rsidRPr="009A7F2D">
              <w:rPr>
                <w:rFonts w:ascii="Times" w:hAnsi="Times"/>
                <w:color w:val="0D0D0D" w:themeColor="text1" w:themeTint="F2"/>
                <w:sz w:val="20"/>
                <w:szCs w:val="20"/>
                <w:lang w:val="en-US"/>
              </w:rPr>
              <w:t xml:space="preserve">rowth </w:t>
            </w:r>
            <w:r w:rsidR="00CF04CE">
              <w:rPr>
                <w:rFonts w:ascii="Times" w:hAnsi="Times"/>
                <w:color w:val="0D0D0D" w:themeColor="text1" w:themeTint="F2"/>
                <w:sz w:val="20"/>
                <w:szCs w:val="20"/>
                <w:lang w:val="en-US"/>
              </w:rPr>
              <w:t>r</w:t>
            </w:r>
            <w:r w:rsidRPr="009A7F2D">
              <w:rPr>
                <w:rFonts w:ascii="Times" w:hAnsi="Times"/>
                <w:color w:val="0D0D0D" w:themeColor="text1" w:themeTint="F2"/>
                <w:sz w:val="20"/>
                <w:szCs w:val="20"/>
                <w:lang w:val="en-US"/>
              </w:rPr>
              <w:t xml:space="preserve">ate - </w:t>
            </w:r>
            <w:r w:rsidR="00CF04CE">
              <w:rPr>
                <w:rFonts w:ascii="Times" w:hAnsi="Times"/>
                <w:color w:val="0D0D0D" w:themeColor="text1" w:themeTint="F2"/>
                <w:sz w:val="20"/>
                <w:szCs w:val="20"/>
                <w:lang w:val="en-US"/>
              </w:rPr>
              <w:br/>
            </w:r>
            <w:r w:rsidRPr="009A7F2D">
              <w:rPr>
                <w:rFonts w:ascii="Times" w:hAnsi="Times"/>
                <w:color w:val="0D0D0D" w:themeColor="text1" w:themeTint="F2"/>
                <w:sz w:val="20"/>
                <w:szCs w:val="20"/>
                <w:lang w:val="en-US"/>
              </w:rPr>
              <w:t>2019/20-</w:t>
            </w:r>
            <w:r w:rsidR="00CF04CE">
              <w:rPr>
                <w:rFonts w:ascii="Times" w:hAnsi="Times"/>
                <w:color w:val="0D0D0D" w:themeColor="text1" w:themeTint="F2"/>
                <w:sz w:val="20"/>
                <w:szCs w:val="20"/>
                <w:lang w:val="en-US"/>
              </w:rPr>
              <w:br/>
            </w:r>
            <w:r w:rsidRPr="009A7F2D">
              <w:rPr>
                <w:rFonts w:ascii="Times" w:hAnsi="Times"/>
                <w:color w:val="0D0D0D" w:themeColor="text1" w:themeTint="F2"/>
                <w:sz w:val="20"/>
                <w:szCs w:val="20"/>
                <w:lang w:val="en-US"/>
              </w:rPr>
              <w:t>2022/23</w:t>
            </w:r>
          </w:p>
        </w:tc>
      </w:tr>
      <w:tr w:rsidR="00A907A0" w:rsidRPr="000D33E4" w14:paraId="079122E1" w14:textId="77777777" w:rsidTr="008F7033">
        <w:trPr>
          <w:trHeight w:val="204"/>
        </w:trPr>
        <w:tc>
          <w:tcPr>
            <w:cnfStyle w:val="001000000000" w:firstRow="0" w:lastRow="0" w:firstColumn="1" w:lastColumn="0" w:oddVBand="0" w:evenVBand="0" w:oddHBand="0" w:evenHBand="0" w:firstRowFirstColumn="0" w:firstRowLastColumn="0" w:lastRowFirstColumn="0" w:lastRowLastColumn="0"/>
            <w:tcW w:w="2977" w:type="dxa"/>
            <w:noWrap/>
            <w:hideMark/>
          </w:tcPr>
          <w:p w14:paraId="6D85BA6D" w14:textId="77777777" w:rsidR="00A907A0" w:rsidRPr="009A7F2D" w:rsidRDefault="00A907A0" w:rsidP="007B1E55">
            <w:pPr>
              <w:keepNext/>
              <w:keepLines/>
              <w:rPr>
                <w:rFonts w:ascii="Times" w:hAnsi="Times"/>
                <w:color w:val="0D0D0D" w:themeColor="text1" w:themeTint="F2"/>
                <w:sz w:val="20"/>
                <w:szCs w:val="20"/>
                <w:lang w:val="en-US"/>
              </w:rPr>
            </w:pPr>
            <w:r w:rsidRPr="009A7F2D">
              <w:rPr>
                <w:rFonts w:ascii="Times" w:hAnsi="Times"/>
                <w:color w:val="0D0D0D" w:themeColor="text1" w:themeTint="F2"/>
                <w:sz w:val="20"/>
                <w:szCs w:val="20"/>
                <w:lang w:val="en-US"/>
              </w:rPr>
              <w:t>Current payments</w:t>
            </w:r>
          </w:p>
        </w:tc>
        <w:tc>
          <w:tcPr>
            <w:tcW w:w="1276" w:type="dxa"/>
            <w:noWrap/>
            <w:hideMark/>
          </w:tcPr>
          <w:p w14:paraId="3E4DDCB6" w14:textId="77777777" w:rsidR="00A907A0" w:rsidRPr="009A7F2D" w:rsidRDefault="00A907A0" w:rsidP="00A87760">
            <w:pPr>
              <w:keepNext/>
              <w:keepLines/>
              <w:jc w:val="center"/>
              <w:cnfStyle w:val="000000000000" w:firstRow="0" w:lastRow="0" w:firstColumn="0" w:lastColumn="0" w:oddVBand="0" w:evenVBand="0" w:oddHBand="0" w:evenHBand="0" w:firstRowFirstColumn="0" w:firstRowLastColumn="0" w:lastRowFirstColumn="0" w:lastRowLastColumn="0"/>
              <w:rPr>
                <w:rFonts w:ascii="Times" w:hAnsi="Times"/>
                <w:b/>
                <w:bCs/>
                <w:color w:val="0D0D0D" w:themeColor="text1" w:themeTint="F2"/>
                <w:sz w:val="20"/>
                <w:szCs w:val="20"/>
                <w:lang w:val="en-US"/>
              </w:rPr>
            </w:pPr>
            <w:r w:rsidRPr="009A7F2D">
              <w:rPr>
                <w:rFonts w:ascii="Times" w:hAnsi="Times"/>
                <w:b/>
                <w:bCs/>
                <w:color w:val="0D0D0D" w:themeColor="text1" w:themeTint="F2"/>
                <w:sz w:val="20"/>
                <w:szCs w:val="20"/>
                <w:lang w:val="en-US"/>
              </w:rPr>
              <w:t>872.0</w:t>
            </w:r>
          </w:p>
        </w:tc>
        <w:tc>
          <w:tcPr>
            <w:tcW w:w="1134" w:type="dxa"/>
            <w:noWrap/>
            <w:hideMark/>
          </w:tcPr>
          <w:p w14:paraId="4C19085C" w14:textId="77777777" w:rsidR="00A907A0" w:rsidRPr="009A7F2D" w:rsidRDefault="00A907A0" w:rsidP="00A87760">
            <w:pPr>
              <w:keepNext/>
              <w:keepLines/>
              <w:jc w:val="center"/>
              <w:cnfStyle w:val="000000000000" w:firstRow="0" w:lastRow="0" w:firstColumn="0" w:lastColumn="0" w:oddVBand="0" w:evenVBand="0" w:oddHBand="0" w:evenHBand="0" w:firstRowFirstColumn="0" w:firstRowLastColumn="0" w:lastRowFirstColumn="0" w:lastRowLastColumn="0"/>
              <w:rPr>
                <w:rFonts w:ascii="Times" w:hAnsi="Times"/>
                <w:b/>
                <w:bCs/>
                <w:color w:val="0D0D0D" w:themeColor="text1" w:themeTint="F2"/>
                <w:sz w:val="20"/>
                <w:szCs w:val="20"/>
                <w:lang w:val="en-US"/>
              </w:rPr>
            </w:pPr>
            <w:r w:rsidRPr="009A7F2D">
              <w:rPr>
                <w:rFonts w:ascii="Times" w:hAnsi="Times"/>
                <w:b/>
                <w:bCs/>
                <w:color w:val="0D0D0D" w:themeColor="text1" w:themeTint="F2"/>
                <w:sz w:val="20"/>
                <w:szCs w:val="20"/>
                <w:lang w:val="en-US"/>
              </w:rPr>
              <w:t>1,095.9</w:t>
            </w:r>
          </w:p>
        </w:tc>
        <w:tc>
          <w:tcPr>
            <w:tcW w:w="1276" w:type="dxa"/>
            <w:noWrap/>
            <w:hideMark/>
          </w:tcPr>
          <w:p w14:paraId="77628DE1" w14:textId="77777777" w:rsidR="00A907A0" w:rsidRPr="009A7F2D" w:rsidRDefault="00A907A0" w:rsidP="00A87760">
            <w:pPr>
              <w:keepNext/>
              <w:keepLines/>
              <w:jc w:val="center"/>
              <w:cnfStyle w:val="000000000000" w:firstRow="0" w:lastRow="0" w:firstColumn="0" w:lastColumn="0" w:oddVBand="0" w:evenVBand="0" w:oddHBand="0" w:evenHBand="0" w:firstRowFirstColumn="0" w:firstRowLastColumn="0" w:lastRowFirstColumn="0" w:lastRowLastColumn="0"/>
              <w:rPr>
                <w:rFonts w:ascii="Times" w:hAnsi="Times"/>
                <w:b/>
                <w:bCs/>
                <w:color w:val="0D0D0D" w:themeColor="text1" w:themeTint="F2"/>
                <w:sz w:val="20"/>
                <w:szCs w:val="20"/>
                <w:lang w:val="en-US"/>
              </w:rPr>
            </w:pPr>
            <w:r w:rsidRPr="009A7F2D">
              <w:rPr>
                <w:rFonts w:ascii="Times" w:hAnsi="Times"/>
                <w:b/>
                <w:bCs/>
                <w:color w:val="0D0D0D" w:themeColor="text1" w:themeTint="F2"/>
                <w:sz w:val="20"/>
                <w:szCs w:val="20"/>
                <w:lang w:val="en-US"/>
              </w:rPr>
              <w:t>1,286.3</w:t>
            </w:r>
          </w:p>
        </w:tc>
        <w:tc>
          <w:tcPr>
            <w:tcW w:w="1417" w:type="dxa"/>
            <w:noWrap/>
            <w:hideMark/>
          </w:tcPr>
          <w:p w14:paraId="1AE9F67D" w14:textId="77777777" w:rsidR="00A907A0" w:rsidRPr="009A7F2D" w:rsidRDefault="00A907A0" w:rsidP="00A87760">
            <w:pPr>
              <w:keepNext/>
              <w:keepLines/>
              <w:jc w:val="center"/>
              <w:cnfStyle w:val="000000000000" w:firstRow="0" w:lastRow="0" w:firstColumn="0" w:lastColumn="0" w:oddVBand="0" w:evenVBand="0" w:oddHBand="0" w:evenHBand="0" w:firstRowFirstColumn="0" w:firstRowLastColumn="0" w:lastRowFirstColumn="0" w:lastRowLastColumn="0"/>
              <w:rPr>
                <w:rFonts w:ascii="Times" w:hAnsi="Times"/>
                <w:b/>
                <w:bCs/>
                <w:color w:val="0D0D0D" w:themeColor="text1" w:themeTint="F2"/>
                <w:sz w:val="20"/>
                <w:szCs w:val="20"/>
                <w:lang w:val="en-US"/>
              </w:rPr>
            </w:pPr>
            <w:r w:rsidRPr="009A7F2D">
              <w:rPr>
                <w:rFonts w:ascii="Times" w:hAnsi="Times"/>
                <w:b/>
                <w:bCs/>
                <w:color w:val="0D0D0D" w:themeColor="text1" w:themeTint="F2"/>
                <w:sz w:val="20"/>
                <w:szCs w:val="20"/>
                <w:lang w:val="en-US"/>
              </w:rPr>
              <w:t>3.2%</w:t>
            </w:r>
          </w:p>
        </w:tc>
        <w:tc>
          <w:tcPr>
            <w:tcW w:w="1630" w:type="dxa"/>
            <w:noWrap/>
            <w:hideMark/>
          </w:tcPr>
          <w:p w14:paraId="1CA1D5BB" w14:textId="77777777" w:rsidR="00A907A0" w:rsidRPr="009A7F2D" w:rsidRDefault="00A907A0" w:rsidP="00A87760">
            <w:pPr>
              <w:keepNext/>
              <w:keepLines/>
              <w:jc w:val="center"/>
              <w:cnfStyle w:val="000000000000" w:firstRow="0" w:lastRow="0" w:firstColumn="0" w:lastColumn="0" w:oddVBand="0" w:evenVBand="0" w:oddHBand="0" w:evenHBand="0" w:firstRowFirstColumn="0" w:firstRowLastColumn="0" w:lastRowFirstColumn="0" w:lastRowLastColumn="0"/>
              <w:rPr>
                <w:rFonts w:ascii="Times" w:hAnsi="Times"/>
                <w:b/>
                <w:bCs/>
                <w:color w:val="0D0D0D" w:themeColor="text1" w:themeTint="F2"/>
                <w:sz w:val="20"/>
                <w:szCs w:val="20"/>
                <w:lang w:val="en-US"/>
              </w:rPr>
            </w:pPr>
            <w:r w:rsidRPr="009A7F2D">
              <w:rPr>
                <w:rFonts w:ascii="Times" w:hAnsi="Times"/>
                <w:b/>
                <w:bCs/>
                <w:color w:val="0D0D0D" w:themeColor="text1" w:themeTint="F2"/>
                <w:sz w:val="20"/>
                <w:szCs w:val="20"/>
                <w:lang w:val="en-US"/>
              </w:rPr>
              <w:t>0.9%</w:t>
            </w:r>
          </w:p>
        </w:tc>
      </w:tr>
      <w:tr w:rsidR="00A907A0" w:rsidRPr="000D33E4" w14:paraId="676BF346" w14:textId="77777777" w:rsidTr="008F7033">
        <w:trPr>
          <w:trHeight w:val="204"/>
        </w:trPr>
        <w:tc>
          <w:tcPr>
            <w:cnfStyle w:val="001000000000" w:firstRow="0" w:lastRow="0" w:firstColumn="1" w:lastColumn="0" w:oddVBand="0" w:evenVBand="0" w:oddHBand="0" w:evenHBand="0" w:firstRowFirstColumn="0" w:firstRowLastColumn="0" w:lastRowFirstColumn="0" w:lastRowLastColumn="0"/>
            <w:tcW w:w="2977" w:type="dxa"/>
            <w:noWrap/>
            <w:hideMark/>
          </w:tcPr>
          <w:p w14:paraId="65F3D133" w14:textId="77777777" w:rsidR="00A907A0" w:rsidRPr="009A7F2D" w:rsidRDefault="00A907A0" w:rsidP="007B1E55">
            <w:pPr>
              <w:keepNext/>
              <w:keepLines/>
              <w:rPr>
                <w:rFonts w:ascii="Times" w:hAnsi="Times"/>
                <w:b w:val="0"/>
                <w:color w:val="0D0D0D" w:themeColor="text1" w:themeTint="F2"/>
                <w:sz w:val="20"/>
                <w:szCs w:val="20"/>
                <w:lang w:val="en-US"/>
              </w:rPr>
            </w:pPr>
            <w:r w:rsidRPr="009A7F2D">
              <w:rPr>
                <w:rFonts w:ascii="Times" w:hAnsi="Times"/>
                <w:b w:val="0"/>
                <w:color w:val="0D0D0D" w:themeColor="text1" w:themeTint="F2"/>
                <w:sz w:val="20"/>
                <w:szCs w:val="20"/>
                <w:lang w:val="en-US"/>
              </w:rPr>
              <w:t>Compensation of employees</w:t>
            </w:r>
          </w:p>
        </w:tc>
        <w:tc>
          <w:tcPr>
            <w:tcW w:w="1276" w:type="dxa"/>
            <w:noWrap/>
            <w:hideMark/>
          </w:tcPr>
          <w:p w14:paraId="55AD8BF6" w14:textId="77777777" w:rsidR="00A907A0" w:rsidRPr="009A7F2D" w:rsidRDefault="00A907A0" w:rsidP="00A87760">
            <w:pPr>
              <w:keepNext/>
              <w:keepLines/>
              <w:jc w:val="center"/>
              <w:cnfStyle w:val="000000000000" w:firstRow="0" w:lastRow="0" w:firstColumn="0" w:lastColumn="0" w:oddVBand="0" w:evenVBand="0" w:oddHBand="0" w:evenHBand="0" w:firstRowFirstColumn="0" w:firstRowLastColumn="0" w:lastRowFirstColumn="0" w:lastRowLastColumn="0"/>
              <w:rPr>
                <w:rFonts w:ascii="Times" w:hAnsi="Times"/>
                <w:color w:val="0D0D0D" w:themeColor="text1" w:themeTint="F2"/>
                <w:sz w:val="20"/>
                <w:szCs w:val="20"/>
                <w:lang w:val="en-US"/>
              </w:rPr>
            </w:pPr>
            <w:r w:rsidRPr="009A7F2D">
              <w:rPr>
                <w:rFonts w:ascii="Times" w:hAnsi="Times"/>
                <w:color w:val="0D0D0D" w:themeColor="text1" w:themeTint="F2"/>
                <w:sz w:val="20"/>
                <w:szCs w:val="20"/>
                <w:lang w:val="en-US"/>
              </w:rPr>
              <w:t>510.3</w:t>
            </w:r>
          </w:p>
        </w:tc>
        <w:tc>
          <w:tcPr>
            <w:tcW w:w="1134" w:type="dxa"/>
            <w:noWrap/>
            <w:hideMark/>
          </w:tcPr>
          <w:p w14:paraId="7DDF2E8F" w14:textId="77777777" w:rsidR="00A907A0" w:rsidRPr="009A7F2D" w:rsidRDefault="00A907A0" w:rsidP="00A87760">
            <w:pPr>
              <w:keepNext/>
              <w:keepLines/>
              <w:jc w:val="center"/>
              <w:cnfStyle w:val="000000000000" w:firstRow="0" w:lastRow="0" w:firstColumn="0" w:lastColumn="0" w:oddVBand="0" w:evenVBand="0" w:oddHBand="0" w:evenHBand="0" w:firstRowFirstColumn="0" w:firstRowLastColumn="0" w:lastRowFirstColumn="0" w:lastRowLastColumn="0"/>
              <w:rPr>
                <w:rFonts w:ascii="Times" w:hAnsi="Times"/>
                <w:color w:val="0D0D0D" w:themeColor="text1" w:themeTint="F2"/>
                <w:sz w:val="20"/>
                <w:szCs w:val="20"/>
                <w:lang w:val="en-US"/>
              </w:rPr>
            </w:pPr>
            <w:r w:rsidRPr="009A7F2D">
              <w:rPr>
                <w:rFonts w:ascii="Times" w:hAnsi="Times"/>
                <w:color w:val="0D0D0D" w:themeColor="text1" w:themeTint="F2"/>
                <w:sz w:val="20"/>
                <w:szCs w:val="20"/>
                <w:lang w:val="en-US"/>
              </w:rPr>
              <w:t>629.2</w:t>
            </w:r>
          </w:p>
        </w:tc>
        <w:tc>
          <w:tcPr>
            <w:tcW w:w="1276" w:type="dxa"/>
            <w:noWrap/>
            <w:hideMark/>
          </w:tcPr>
          <w:p w14:paraId="760A2E1D" w14:textId="77777777" w:rsidR="00A907A0" w:rsidRPr="009A7F2D" w:rsidRDefault="00A907A0" w:rsidP="00A87760">
            <w:pPr>
              <w:keepNext/>
              <w:keepLines/>
              <w:jc w:val="center"/>
              <w:cnfStyle w:val="000000000000" w:firstRow="0" w:lastRow="0" w:firstColumn="0" w:lastColumn="0" w:oddVBand="0" w:evenVBand="0" w:oddHBand="0" w:evenHBand="0" w:firstRowFirstColumn="0" w:firstRowLastColumn="0" w:lastRowFirstColumn="0" w:lastRowLastColumn="0"/>
              <w:rPr>
                <w:rFonts w:ascii="Times" w:hAnsi="Times"/>
                <w:color w:val="0D0D0D" w:themeColor="text1" w:themeTint="F2"/>
                <w:sz w:val="20"/>
                <w:szCs w:val="20"/>
                <w:lang w:val="en-US"/>
              </w:rPr>
            </w:pPr>
            <w:r w:rsidRPr="009A7F2D">
              <w:rPr>
                <w:rFonts w:ascii="Times" w:hAnsi="Times"/>
                <w:color w:val="0D0D0D" w:themeColor="text1" w:themeTint="F2"/>
                <w:sz w:val="20"/>
                <w:szCs w:val="20"/>
                <w:lang w:val="en-US"/>
              </w:rPr>
              <w:t>697.1</w:t>
            </w:r>
          </w:p>
        </w:tc>
        <w:tc>
          <w:tcPr>
            <w:tcW w:w="1417" w:type="dxa"/>
            <w:noWrap/>
            <w:hideMark/>
          </w:tcPr>
          <w:p w14:paraId="7F980CA3" w14:textId="77777777" w:rsidR="00A907A0" w:rsidRPr="009A7F2D" w:rsidRDefault="00A907A0" w:rsidP="00A87760">
            <w:pPr>
              <w:keepNext/>
              <w:keepLines/>
              <w:jc w:val="center"/>
              <w:cnfStyle w:val="000000000000" w:firstRow="0" w:lastRow="0" w:firstColumn="0" w:lastColumn="0" w:oddVBand="0" w:evenVBand="0" w:oddHBand="0" w:evenHBand="0" w:firstRowFirstColumn="0" w:firstRowLastColumn="0" w:lastRowFirstColumn="0" w:lastRowLastColumn="0"/>
              <w:rPr>
                <w:rFonts w:ascii="Times" w:hAnsi="Times"/>
                <w:color w:val="0D0D0D" w:themeColor="text1" w:themeTint="F2"/>
                <w:sz w:val="20"/>
                <w:szCs w:val="20"/>
                <w:lang w:val="en-US"/>
              </w:rPr>
            </w:pPr>
            <w:r w:rsidRPr="009A7F2D">
              <w:rPr>
                <w:rFonts w:ascii="Times" w:hAnsi="Times"/>
                <w:color w:val="0D0D0D" w:themeColor="text1" w:themeTint="F2"/>
                <w:sz w:val="20"/>
                <w:szCs w:val="20"/>
                <w:lang w:val="en-US"/>
              </w:rPr>
              <w:t>2.6%</w:t>
            </w:r>
          </w:p>
        </w:tc>
        <w:tc>
          <w:tcPr>
            <w:tcW w:w="1630" w:type="dxa"/>
            <w:noWrap/>
            <w:hideMark/>
          </w:tcPr>
          <w:p w14:paraId="0729BE08" w14:textId="77777777" w:rsidR="00A907A0" w:rsidRPr="009A7F2D" w:rsidRDefault="00A907A0" w:rsidP="00A87760">
            <w:pPr>
              <w:keepNext/>
              <w:keepLines/>
              <w:jc w:val="center"/>
              <w:cnfStyle w:val="000000000000" w:firstRow="0" w:lastRow="0" w:firstColumn="0" w:lastColumn="0" w:oddVBand="0" w:evenVBand="0" w:oddHBand="0" w:evenHBand="0" w:firstRowFirstColumn="0" w:firstRowLastColumn="0" w:lastRowFirstColumn="0" w:lastRowLastColumn="0"/>
              <w:rPr>
                <w:rFonts w:ascii="Times" w:hAnsi="Times"/>
                <w:color w:val="0D0D0D" w:themeColor="text1" w:themeTint="F2"/>
                <w:sz w:val="20"/>
                <w:szCs w:val="20"/>
                <w:lang w:val="en-US"/>
              </w:rPr>
            </w:pPr>
            <w:r w:rsidRPr="009A7F2D">
              <w:rPr>
                <w:rFonts w:ascii="Times" w:hAnsi="Times"/>
                <w:color w:val="0D0D0D" w:themeColor="text1" w:themeTint="F2"/>
                <w:sz w:val="20"/>
                <w:szCs w:val="20"/>
                <w:lang w:val="en-US"/>
              </w:rPr>
              <w:t>-1.0%</w:t>
            </w:r>
          </w:p>
        </w:tc>
      </w:tr>
      <w:tr w:rsidR="00A907A0" w:rsidRPr="000D33E4" w14:paraId="005EF473" w14:textId="77777777" w:rsidTr="008F7033">
        <w:trPr>
          <w:trHeight w:val="204"/>
        </w:trPr>
        <w:tc>
          <w:tcPr>
            <w:cnfStyle w:val="001000000000" w:firstRow="0" w:lastRow="0" w:firstColumn="1" w:lastColumn="0" w:oddVBand="0" w:evenVBand="0" w:oddHBand="0" w:evenHBand="0" w:firstRowFirstColumn="0" w:firstRowLastColumn="0" w:lastRowFirstColumn="0" w:lastRowLastColumn="0"/>
            <w:tcW w:w="2977" w:type="dxa"/>
            <w:noWrap/>
            <w:hideMark/>
          </w:tcPr>
          <w:p w14:paraId="3360B160" w14:textId="77777777" w:rsidR="00A907A0" w:rsidRPr="009A7F2D" w:rsidRDefault="00A907A0" w:rsidP="007B1E55">
            <w:pPr>
              <w:keepNext/>
              <w:keepLines/>
              <w:rPr>
                <w:rFonts w:ascii="Times" w:hAnsi="Times"/>
                <w:b w:val="0"/>
                <w:color w:val="0D0D0D" w:themeColor="text1" w:themeTint="F2"/>
                <w:sz w:val="20"/>
                <w:szCs w:val="20"/>
                <w:lang w:val="en-US"/>
              </w:rPr>
            </w:pPr>
            <w:r w:rsidRPr="009A7F2D">
              <w:rPr>
                <w:rFonts w:ascii="Times" w:hAnsi="Times"/>
                <w:b w:val="0"/>
                <w:color w:val="0D0D0D" w:themeColor="text1" w:themeTint="F2"/>
                <w:sz w:val="20"/>
                <w:szCs w:val="20"/>
                <w:lang w:val="en-US"/>
              </w:rPr>
              <w:t>Goods and services</w:t>
            </w:r>
          </w:p>
        </w:tc>
        <w:tc>
          <w:tcPr>
            <w:tcW w:w="1276" w:type="dxa"/>
            <w:noWrap/>
            <w:hideMark/>
          </w:tcPr>
          <w:p w14:paraId="1F818DC3" w14:textId="77777777" w:rsidR="00A907A0" w:rsidRPr="009A7F2D" w:rsidRDefault="00A907A0" w:rsidP="00A87760">
            <w:pPr>
              <w:keepNext/>
              <w:keepLines/>
              <w:jc w:val="center"/>
              <w:cnfStyle w:val="000000000000" w:firstRow="0" w:lastRow="0" w:firstColumn="0" w:lastColumn="0" w:oddVBand="0" w:evenVBand="0" w:oddHBand="0" w:evenHBand="0" w:firstRowFirstColumn="0" w:firstRowLastColumn="0" w:lastRowFirstColumn="0" w:lastRowLastColumn="0"/>
              <w:rPr>
                <w:rFonts w:ascii="Times" w:hAnsi="Times"/>
                <w:color w:val="0D0D0D" w:themeColor="text1" w:themeTint="F2"/>
                <w:sz w:val="20"/>
                <w:szCs w:val="20"/>
                <w:lang w:val="en-US"/>
              </w:rPr>
            </w:pPr>
            <w:r w:rsidRPr="009A7F2D">
              <w:rPr>
                <w:rFonts w:ascii="Times" w:hAnsi="Times"/>
                <w:color w:val="0D0D0D" w:themeColor="text1" w:themeTint="F2"/>
                <w:sz w:val="20"/>
                <w:szCs w:val="20"/>
                <w:lang w:val="en-US"/>
              </w:rPr>
              <w:t>208.1</w:t>
            </w:r>
          </w:p>
        </w:tc>
        <w:tc>
          <w:tcPr>
            <w:tcW w:w="1134" w:type="dxa"/>
            <w:noWrap/>
            <w:hideMark/>
          </w:tcPr>
          <w:p w14:paraId="48283C2B" w14:textId="77777777" w:rsidR="00A907A0" w:rsidRPr="009A7F2D" w:rsidRDefault="00A907A0" w:rsidP="00A87760">
            <w:pPr>
              <w:keepNext/>
              <w:keepLines/>
              <w:jc w:val="center"/>
              <w:cnfStyle w:val="000000000000" w:firstRow="0" w:lastRow="0" w:firstColumn="0" w:lastColumn="0" w:oddVBand="0" w:evenVBand="0" w:oddHBand="0" w:evenHBand="0" w:firstRowFirstColumn="0" w:firstRowLastColumn="0" w:lastRowFirstColumn="0" w:lastRowLastColumn="0"/>
              <w:rPr>
                <w:rFonts w:ascii="Times" w:hAnsi="Times"/>
                <w:color w:val="0D0D0D" w:themeColor="text1" w:themeTint="F2"/>
                <w:sz w:val="20"/>
                <w:szCs w:val="20"/>
                <w:lang w:val="en-US"/>
              </w:rPr>
            </w:pPr>
            <w:r w:rsidRPr="009A7F2D">
              <w:rPr>
                <w:rFonts w:ascii="Times" w:hAnsi="Times"/>
                <w:color w:val="0D0D0D" w:themeColor="text1" w:themeTint="F2"/>
                <w:sz w:val="20"/>
                <w:szCs w:val="20"/>
                <w:lang w:val="en-US"/>
              </w:rPr>
              <w:t>251.7</w:t>
            </w:r>
          </w:p>
        </w:tc>
        <w:tc>
          <w:tcPr>
            <w:tcW w:w="1276" w:type="dxa"/>
            <w:noWrap/>
            <w:hideMark/>
          </w:tcPr>
          <w:p w14:paraId="4A991EA7" w14:textId="77777777" w:rsidR="00A907A0" w:rsidRPr="009A7F2D" w:rsidRDefault="00A907A0" w:rsidP="00A87760">
            <w:pPr>
              <w:keepNext/>
              <w:keepLines/>
              <w:jc w:val="center"/>
              <w:cnfStyle w:val="000000000000" w:firstRow="0" w:lastRow="0" w:firstColumn="0" w:lastColumn="0" w:oddVBand="0" w:evenVBand="0" w:oddHBand="0" w:evenHBand="0" w:firstRowFirstColumn="0" w:firstRowLastColumn="0" w:lastRowFirstColumn="0" w:lastRowLastColumn="0"/>
              <w:rPr>
                <w:rFonts w:ascii="Times" w:hAnsi="Times"/>
                <w:color w:val="0D0D0D" w:themeColor="text1" w:themeTint="F2"/>
                <w:sz w:val="20"/>
                <w:szCs w:val="20"/>
                <w:lang w:val="en-US"/>
              </w:rPr>
            </w:pPr>
            <w:r w:rsidRPr="009A7F2D">
              <w:rPr>
                <w:rFonts w:ascii="Times" w:hAnsi="Times"/>
                <w:color w:val="0D0D0D" w:themeColor="text1" w:themeTint="F2"/>
                <w:sz w:val="20"/>
                <w:szCs w:val="20"/>
                <w:lang w:val="en-US"/>
              </w:rPr>
              <w:t>288.5</w:t>
            </w:r>
          </w:p>
        </w:tc>
        <w:tc>
          <w:tcPr>
            <w:tcW w:w="1417" w:type="dxa"/>
            <w:noWrap/>
            <w:hideMark/>
          </w:tcPr>
          <w:p w14:paraId="6F39CF1F" w14:textId="77777777" w:rsidR="00A907A0" w:rsidRPr="009A7F2D" w:rsidRDefault="00A907A0" w:rsidP="00A87760">
            <w:pPr>
              <w:keepNext/>
              <w:keepLines/>
              <w:jc w:val="center"/>
              <w:cnfStyle w:val="000000000000" w:firstRow="0" w:lastRow="0" w:firstColumn="0" w:lastColumn="0" w:oddVBand="0" w:evenVBand="0" w:oddHBand="0" w:evenHBand="0" w:firstRowFirstColumn="0" w:firstRowLastColumn="0" w:lastRowFirstColumn="0" w:lastRowLastColumn="0"/>
              <w:rPr>
                <w:rFonts w:ascii="Times" w:hAnsi="Times"/>
                <w:color w:val="0D0D0D" w:themeColor="text1" w:themeTint="F2"/>
                <w:sz w:val="20"/>
                <w:szCs w:val="20"/>
                <w:lang w:val="en-US"/>
              </w:rPr>
            </w:pPr>
            <w:r w:rsidRPr="009A7F2D">
              <w:rPr>
                <w:rFonts w:ascii="Times" w:hAnsi="Times"/>
                <w:color w:val="0D0D0D" w:themeColor="text1" w:themeTint="F2"/>
                <w:sz w:val="20"/>
                <w:szCs w:val="20"/>
                <w:lang w:val="en-US"/>
              </w:rPr>
              <w:t>1.9%</w:t>
            </w:r>
          </w:p>
        </w:tc>
        <w:tc>
          <w:tcPr>
            <w:tcW w:w="1630" w:type="dxa"/>
            <w:noWrap/>
            <w:hideMark/>
          </w:tcPr>
          <w:p w14:paraId="17CBCC07" w14:textId="77777777" w:rsidR="00A907A0" w:rsidRPr="009A7F2D" w:rsidRDefault="00A907A0" w:rsidP="00A87760">
            <w:pPr>
              <w:keepNext/>
              <w:keepLines/>
              <w:jc w:val="center"/>
              <w:cnfStyle w:val="000000000000" w:firstRow="0" w:lastRow="0" w:firstColumn="0" w:lastColumn="0" w:oddVBand="0" w:evenVBand="0" w:oddHBand="0" w:evenHBand="0" w:firstRowFirstColumn="0" w:firstRowLastColumn="0" w:lastRowFirstColumn="0" w:lastRowLastColumn="0"/>
              <w:rPr>
                <w:rFonts w:ascii="Times" w:hAnsi="Times"/>
                <w:color w:val="0D0D0D" w:themeColor="text1" w:themeTint="F2"/>
                <w:sz w:val="20"/>
                <w:szCs w:val="20"/>
                <w:lang w:val="en-US"/>
              </w:rPr>
            </w:pPr>
            <w:r w:rsidRPr="009A7F2D">
              <w:rPr>
                <w:rFonts w:ascii="Times" w:hAnsi="Times"/>
                <w:color w:val="0D0D0D" w:themeColor="text1" w:themeTint="F2"/>
                <w:sz w:val="20"/>
                <w:szCs w:val="20"/>
                <w:lang w:val="en-US"/>
              </w:rPr>
              <w:t>0.1%</w:t>
            </w:r>
          </w:p>
        </w:tc>
      </w:tr>
      <w:tr w:rsidR="00A907A0" w:rsidRPr="000D33E4" w14:paraId="05B58099" w14:textId="77777777" w:rsidTr="008F7033">
        <w:trPr>
          <w:trHeight w:val="204"/>
        </w:trPr>
        <w:tc>
          <w:tcPr>
            <w:cnfStyle w:val="001000000000" w:firstRow="0" w:lastRow="0" w:firstColumn="1" w:lastColumn="0" w:oddVBand="0" w:evenVBand="0" w:oddHBand="0" w:evenHBand="0" w:firstRowFirstColumn="0" w:firstRowLastColumn="0" w:lastRowFirstColumn="0" w:lastRowLastColumn="0"/>
            <w:tcW w:w="2977" w:type="dxa"/>
            <w:noWrap/>
            <w:hideMark/>
          </w:tcPr>
          <w:p w14:paraId="55D49354" w14:textId="77777777" w:rsidR="00A907A0" w:rsidRPr="009A7F2D" w:rsidRDefault="00A907A0" w:rsidP="007B1E55">
            <w:pPr>
              <w:keepNext/>
              <w:keepLines/>
              <w:rPr>
                <w:rFonts w:ascii="Times" w:hAnsi="Times"/>
                <w:b w:val="0"/>
                <w:color w:val="0D0D0D" w:themeColor="text1" w:themeTint="F2"/>
                <w:sz w:val="20"/>
                <w:szCs w:val="20"/>
                <w:lang w:val="en-US"/>
              </w:rPr>
            </w:pPr>
            <w:r w:rsidRPr="009A7F2D">
              <w:rPr>
                <w:rFonts w:ascii="Times" w:hAnsi="Times"/>
                <w:b w:val="0"/>
                <w:color w:val="0D0D0D" w:themeColor="text1" w:themeTint="F2"/>
                <w:sz w:val="20"/>
                <w:szCs w:val="20"/>
                <w:lang w:val="en-US"/>
              </w:rPr>
              <w:t>Interest and rent on land</w:t>
            </w:r>
          </w:p>
        </w:tc>
        <w:tc>
          <w:tcPr>
            <w:tcW w:w="1276" w:type="dxa"/>
            <w:noWrap/>
            <w:hideMark/>
          </w:tcPr>
          <w:p w14:paraId="5724D628" w14:textId="77777777" w:rsidR="00A907A0" w:rsidRPr="009A7F2D" w:rsidRDefault="00A907A0" w:rsidP="00A87760">
            <w:pPr>
              <w:keepNext/>
              <w:keepLines/>
              <w:jc w:val="center"/>
              <w:cnfStyle w:val="000000000000" w:firstRow="0" w:lastRow="0" w:firstColumn="0" w:lastColumn="0" w:oddVBand="0" w:evenVBand="0" w:oddHBand="0" w:evenHBand="0" w:firstRowFirstColumn="0" w:firstRowLastColumn="0" w:lastRowFirstColumn="0" w:lastRowLastColumn="0"/>
              <w:rPr>
                <w:rFonts w:ascii="Times" w:hAnsi="Times"/>
                <w:color w:val="0D0D0D" w:themeColor="text1" w:themeTint="F2"/>
                <w:sz w:val="20"/>
                <w:szCs w:val="20"/>
                <w:lang w:val="en-US"/>
              </w:rPr>
            </w:pPr>
            <w:r w:rsidRPr="009A7F2D">
              <w:rPr>
                <w:rFonts w:ascii="Times" w:hAnsi="Times"/>
                <w:color w:val="0D0D0D" w:themeColor="text1" w:themeTint="F2"/>
                <w:sz w:val="20"/>
                <w:szCs w:val="20"/>
                <w:lang w:val="en-US"/>
              </w:rPr>
              <w:t>153.6</w:t>
            </w:r>
          </w:p>
        </w:tc>
        <w:tc>
          <w:tcPr>
            <w:tcW w:w="1134" w:type="dxa"/>
            <w:noWrap/>
            <w:hideMark/>
          </w:tcPr>
          <w:p w14:paraId="3B38A030" w14:textId="77777777" w:rsidR="00A907A0" w:rsidRPr="009A7F2D" w:rsidRDefault="00A907A0" w:rsidP="00A87760">
            <w:pPr>
              <w:keepNext/>
              <w:keepLines/>
              <w:jc w:val="center"/>
              <w:cnfStyle w:val="000000000000" w:firstRow="0" w:lastRow="0" w:firstColumn="0" w:lastColumn="0" w:oddVBand="0" w:evenVBand="0" w:oddHBand="0" w:evenHBand="0" w:firstRowFirstColumn="0" w:firstRowLastColumn="0" w:lastRowFirstColumn="0" w:lastRowLastColumn="0"/>
              <w:rPr>
                <w:rFonts w:ascii="Times" w:hAnsi="Times"/>
                <w:color w:val="0D0D0D" w:themeColor="text1" w:themeTint="F2"/>
                <w:sz w:val="20"/>
                <w:szCs w:val="20"/>
                <w:lang w:val="en-US"/>
              </w:rPr>
            </w:pPr>
            <w:r w:rsidRPr="009A7F2D">
              <w:rPr>
                <w:rFonts w:ascii="Times" w:hAnsi="Times"/>
                <w:color w:val="0D0D0D" w:themeColor="text1" w:themeTint="F2"/>
                <w:sz w:val="20"/>
                <w:szCs w:val="20"/>
                <w:lang w:val="en-US"/>
              </w:rPr>
              <w:t>215.0</w:t>
            </w:r>
          </w:p>
        </w:tc>
        <w:tc>
          <w:tcPr>
            <w:tcW w:w="1276" w:type="dxa"/>
            <w:noWrap/>
            <w:hideMark/>
          </w:tcPr>
          <w:p w14:paraId="06661B3F" w14:textId="77777777" w:rsidR="00A907A0" w:rsidRPr="009A7F2D" w:rsidRDefault="00A907A0" w:rsidP="00A87760">
            <w:pPr>
              <w:keepNext/>
              <w:keepLines/>
              <w:jc w:val="center"/>
              <w:cnfStyle w:val="000000000000" w:firstRow="0" w:lastRow="0" w:firstColumn="0" w:lastColumn="0" w:oddVBand="0" w:evenVBand="0" w:oddHBand="0" w:evenHBand="0" w:firstRowFirstColumn="0" w:firstRowLastColumn="0" w:lastRowFirstColumn="0" w:lastRowLastColumn="0"/>
              <w:rPr>
                <w:rFonts w:ascii="Times" w:hAnsi="Times"/>
                <w:color w:val="0D0D0D" w:themeColor="text1" w:themeTint="F2"/>
                <w:sz w:val="20"/>
                <w:szCs w:val="20"/>
                <w:lang w:val="en-US"/>
              </w:rPr>
            </w:pPr>
            <w:r w:rsidRPr="009A7F2D">
              <w:rPr>
                <w:rFonts w:ascii="Times" w:hAnsi="Times"/>
                <w:color w:val="0D0D0D" w:themeColor="text1" w:themeTint="F2"/>
                <w:sz w:val="20"/>
                <w:szCs w:val="20"/>
                <w:lang w:val="en-US"/>
              </w:rPr>
              <w:t>300.7</w:t>
            </w:r>
          </w:p>
        </w:tc>
        <w:tc>
          <w:tcPr>
            <w:tcW w:w="1417" w:type="dxa"/>
            <w:noWrap/>
            <w:hideMark/>
          </w:tcPr>
          <w:p w14:paraId="162FF025" w14:textId="77777777" w:rsidR="00A907A0" w:rsidRPr="009A7F2D" w:rsidRDefault="00A907A0" w:rsidP="00A87760">
            <w:pPr>
              <w:keepNext/>
              <w:keepLines/>
              <w:jc w:val="center"/>
              <w:cnfStyle w:val="000000000000" w:firstRow="0" w:lastRow="0" w:firstColumn="0" w:lastColumn="0" w:oddVBand="0" w:evenVBand="0" w:oddHBand="0" w:evenHBand="0" w:firstRowFirstColumn="0" w:firstRowLastColumn="0" w:lastRowFirstColumn="0" w:lastRowLastColumn="0"/>
              <w:rPr>
                <w:rFonts w:ascii="Times" w:hAnsi="Times"/>
                <w:color w:val="0D0D0D" w:themeColor="text1" w:themeTint="F2"/>
                <w:sz w:val="20"/>
                <w:szCs w:val="20"/>
                <w:lang w:val="en-US"/>
              </w:rPr>
            </w:pPr>
            <w:r w:rsidRPr="009A7F2D">
              <w:rPr>
                <w:rFonts w:ascii="Times" w:hAnsi="Times"/>
                <w:color w:val="0D0D0D" w:themeColor="text1" w:themeTint="F2"/>
                <w:sz w:val="20"/>
                <w:szCs w:val="20"/>
                <w:lang w:val="en-US"/>
              </w:rPr>
              <w:t>7.0%</w:t>
            </w:r>
          </w:p>
        </w:tc>
        <w:tc>
          <w:tcPr>
            <w:tcW w:w="1630" w:type="dxa"/>
            <w:noWrap/>
            <w:hideMark/>
          </w:tcPr>
          <w:p w14:paraId="481C6E05" w14:textId="77777777" w:rsidR="00A907A0" w:rsidRPr="009A7F2D" w:rsidRDefault="00A907A0" w:rsidP="00A87760">
            <w:pPr>
              <w:keepNext/>
              <w:keepLines/>
              <w:jc w:val="center"/>
              <w:cnfStyle w:val="000000000000" w:firstRow="0" w:lastRow="0" w:firstColumn="0" w:lastColumn="0" w:oddVBand="0" w:evenVBand="0" w:oddHBand="0" w:evenHBand="0" w:firstRowFirstColumn="0" w:firstRowLastColumn="0" w:lastRowFirstColumn="0" w:lastRowLastColumn="0"/>
              <w:rPr>
                <w:rFonts w:ascii="Times" w:hAnsi="Times"/>
                <w:color w:val="0D0D0D" w:themeColor="text1" w:themeTint="F2"/>
                <w:sz w:val="20"/>
                <w:szCs w:val="20"/>
                <w:lang w:val="en-US"/>
              </w:rPr>
            </w:pPr>
            <w:r w:rsidRPr="009A7F2D">
              <w:rPr>
                <w:rFonts w:ascii="Times" w:hAnsi="Times"/>
                <w:color w:val="0D0D0D" w:themeColor="text1" w:themeTint="F2"/>
                <w:sz w:val="20"/>
                <w:szCs w:val="20"/>
                <w:lang w:val="en-US"/>
              </w:rPr>
              <w:t>7.0%</w:t>
            </w:r>
          </w:p>
        </w:tc>
      </w:tr>
      <w:tr w:rsidR="00A907A0" w:rsidRPr="000D33E4" w14:paraId="0267DC94" w14:textId="77777777" w:rsidTr="008F7033">
        <w:trPr>
          <w:trHeight w:val="204"/>
        </w:trPr>
        <w:tc>
          <w:tcPr>
            <w:cnfStyle w:val="001000000000" w:firstRow="0" w:lastRow="0" w:firstColumn="1" w:lastColumn="0" w:oddVBand="0" w:evenVBand="0" w:oddHBand="0" w:evenHBand="0" w:firstRowFirstColumn="0" w:firstRowLastColumn="0" w:lastRowFirstColumn="0" w:lastRowLastColumn="0"/>
            <w:tcW w:w="2977" w:type="dxa"/>
            <w:noWrap/>
            <w:hideMark/>
          </w:tcPr>
          <w:p w14:paraId="1F132BB3" w14:textId="77777777" w:rsidR="00A907A0" w:rsidRPr="009A7F2D" w:rsidRDefault="00A907A0" w:rsidP="007B1E55">
            <w:pPr>
              <w:keepNext/>
              <w:keepLines/>
              <w:rPr>
                <w:rFonts w:ascii="Times" w:hAnsi="Times"/>
                <w:b w:val="0"/>
                <w:i/>
                <w:iCs/>
                <w:color w:val="0D0D0D" w:themeColor="text1" w:themeTint="F2"/>
                <w:sz w:val="20"/>
                <w:szCs w:val="20"/>
                <w:lang w:val="en-US"/>
              </w:rPr>
            </w:pPr>
            <w:r w:rsidRPr="009A7F2D">
              <w:rPr>
                <w:rFonts w:ascii="Times" w:hAnsi="Times"/>
                <w:b w:val="0"/>
                <w:i/>
                <w:iCs/>
                <w:color w:val="0D0D0D" w:themeColor="text1" w:themeTint="F2"/>
                <w:sz w:val="20"/>
                <w:szCs w:val="20"/>
                <w:lang w:val="en-US"/>
              </w:rPr>
              <w:t>of which: debt-service costs</w:t>
            </w:r>
          </w:p>
        </w:tc>
        <w:tc>
          <w:tcPr>
            <w:tcW w:w="1276" w:type="dxa"/>
            <w:noWrap/>
            <w:hideMark/>
          </w:tcPr>
          <w:p w14:paraId="3D803BC2" w14:textId="77777777" w:rsidR="00A907A0" w:rsidRPr="009A7F2D" w:rsidRDefault="00A907A0" w:rsidP="00A87760">
            <w:pPr>
              <w:keepNext/>
              <w:keepLines/>
              <w:jc w:val="center"/>
              <w:cnfStyle w:val="000000000000" w:firstRow="0" w:lastRow="0" w:firstColumn="0" w:lastColumn="0" w:oddVBand="0" w:evenVBand="0" w:oddHBand="0" w:evenHBand="0" w:firstRowFirstColumn="0" w:firstRowLastColumn="0" w:lastRowFirstColumn="0" w:lastRowLastColumn="0"/>
              <w:rPr>
                <w:rFonts w:ascii="Times" w:hAnsi="Times"/>
                <w:i/>
                <w:iCs/>
                <w:color w:val="0D0D0D" w:themeColor="text1" w:themeTint="F2"/>
                <w:sz w:val="20"/>
                <w:szCs w:val="20"/>
                <w:lang w:val="en-US"/>
              </w:rPr>
            </w:pPr>
            <w:r w:rsidRPr="009A7F2D">
              <w:rPr>
                <w:rFonts w:ascii="Times" w:hAnsi="Times"/>
                <w:i/>
                <w:iCs/>
                <w:color w:val="0D0D0D" w:themeColor="text1" w:themeTint="F2"/>
                <w:sz w:val="20"/>
                <w:szCs w:val="20"/>
                <w:lang w:val="en-US"/>
              </w:rPr>
              <w:t>146.5</w:t>
            </w:r>
          </w:p>
        </w:tc>
        <w:tc>
          <w:tcPr>
            <w:tcW w:w="1134" w:type="dxa"/>
            <w:noWrap/>
            <w:hideMark/>
          </w:tcPr>
          <w:p w14:paraId="7B81511F" w14:textId="77777777" w:rsidR="00A907A0" w:rsidRPr="009A7F2D" w:rsidRDefault="00A907A0" w:rsidP="00A87760">
            <w:pPr>
              <w:keepNext/>
              <w:keepLines/>
              <w:jc w:val="center"/>
              <w:cnfStyle w:val="000000000000" w:firstRow="0" w:lastRow="0" w:firstColumn="0" w:lastColumn="0" w:oddVBand="0" w:evenVBand="0" w:oddHBand="0" w:evenHBand="0" w:firstRowFirstColumn="0" w:firstRowLastColumn="0" w:lastRowFirstColumn="0" w:lastRowLastColumn="0"/>
              <w:rPr>
                <w:rFonts w:ascii="Times" w:hAnsi="Times"/>
                <w:i/>
                <w:iCs/>
                <w:color w:val="0D0D0D" w:themeColor="text1" w:themeTint="F2"/>
                <w:sz w:val="20"/>
                <w:szCs w:val="20"/>
                <w:lang w:val="en-US"/>
              </w:rPr>
            </w:pPr>
            <w:r w:rsidRPr="009A7F2D">
              <w:rPr>
                <w:rFonts w:ascii="Times" w:hAnsi="Times"/>
                <w:i/>
                <w:iCs/>
                <w:color w:val="0D0D0D" w:themeColor="text1" w:themeTint="F2"/>
                <w:sz w:val="20"/>
                <w:szCs w:val="20"/>
                <w:lang w:val="en-US"/>
              </w:rPr>
              <w:t>205.0</w:t>
            </w:r>
          </w:p>
        </w:tc>
        <w:tc>
          <w:tcPr>
            <w:tcW w:w="1276" w:type="dxa"/>
            <w:noWrap/>
            <w:hideMark/>
          </w:tcPr>
          <w:p w14:paraId="2B1215B0" w14:textId="77777777" w:rsidR="00A907A0" w:rsidRPr="009A7F2D" w:rsidRDefault="00A907A0" w:rsidP="00A87760">
            <w:pPr>
              <w:keepNext/>
              <w:keepLines/>
              <w:jc w:val="center"/>
              <w:cnfStyle w:val="000000000000" w:firstRow="0" w:lastRow="0" w:firstColumn="0" w:lastColumn="0" w:oddVBand="0" w:evenVBand="0" w:oddHBand="0" w:evenHBand="0" w:firstRowFirstColumn="0" w:firstRowLastColumn="0" w:lastRowFirstColumn="0" w:lastRowLastColumn="0"/>
              <w:rPr>
                <w:rFonts w:ascii="Times" w:hAnsi="Times"/>
                <w:i/>
                <w:iCs/>
                <w:color w:val="0D0D0D" w:themeColor="text1" w:themeTint="F2"/>
                <w:sz w:val="20"/>
                <w:szCs w:val="20"/>
                <w:lang w:val="en-US"/>
              </w:rPr>
            </w:pPr>
            <w:r w:rsidRPr="009A7F2D">
              <w:rPr>
                <w:rFonts w:ascii="Times" w:hAnsi="Times"/>
                <w:i/>
                <w:iCs/>
                <w:color w:val="0D0D0D" w:themeColor="text1" w:themeTint="F2"/>
                <w:sz w:val="20"/>
                <w:szCs w:val="20"/>
                <w:lang w:val="en-US"/>
              </w:rPr>
              <w:t>290.1</w:t>
            </w:r>
          </w:p>
        </w:tc>
        <w:tc>
          <w:tcPr>
            <w:tcW w:w="1417" w:type="dxa"/>
            <w:noWrap/>
            <w:hideMark/>
          </w:tcPr>
          <w:p w14:paraId="6FD6CB7D" w14:textId="77777777" w:rsidR="00A907A0" w:rsidRPr="009A7F2D" w:rsidRDefault="00A907A0" w:rsidP="00A87760">
            <w:pPr>
              <w:keepNext/>
              <w:keepLines/>
              <w:jc w:val="center"/>
              <w:cnfStyle w:val="000000000000" w:firstRow="0" w:lastRow="0" w:firstColumn="0" w:lastColumn="0" w:oddVBand="0" w:evenVBand="0" w:oddHBand="0" w:evenHBand="0" w:firstRowFirstColumn="0" w:firstRowLastColumn="0" w:lastRowFirstColumn="0" w:lastRowLastColumn="0"/>
              <w:rPr>
                <w:rFonts w:ascii="Times" w:hAnsi="Times"/>
                <w:color w:val="0D0D0D" w:themeColor="text1" w:themeTint="F2"/>
                <w:sz w:val="20"/>
                <w:szCs w:val="20"/>
                <w:lang w:val="en-US"/>
              </w:rPr>
            </w:pPr>
            <w:r w:rsidRPr="009A7F2D">
              <w:rPr>
                <w:rFonts w:ascii="Times" w:hAnsi="Times"/>
                <w:color w:val="0D0D0D" w:themeColor="text1" w:themeTint="F2"/>
                <w:sz w:val="20"/>
                <w:szCs w:val="20"/>
                <w:lang w:val="en-US"/>
              </w:rPr>
              <w:t>7.0%</w:t>
            </w:r>
          </w:p>
        </w:tc>
        <w:tc>
          <w:tcPr>
            <w:tcW w:w="1630" w:type="dxa"/>
            <w:noWrap/>
            <w:hideMark/>
          </w:tcPr>
          <w:p w14:paraId="1E49705A" w14:textId="77777777" w:rsidR="00A907A0" w:rsidRPr="009A7F2D" w:rsidRDefault="00A907A0" w:rsidP="00A87760">
            <w:pPr>
              <w:keepNext/>
              <w:keepLines/>
              <w:jc w:val="center"/>
              <w:cnfStyle w:val="000000000000" w:firstRow="0" w:lastRow="0" w:firstColumn="0" w:lastColumn="0" w:oddVBand="0" w:evenVBand="0" w:oddHBand="0" w:evenHBand="0" w:firstRowFirstColumn="0" w:firstRowLastColumn="0" w:lastRowFirstColumn="0" w:lastRowLastColumn="0"/>
              <w:rPr>
                <w:rFonts w:ascii="Times" w:hAnsi="Times"/>
                <w:color w:val="0D0D0D" w:themeColor="text1" w:themeTint="F2"/>
                <w:sz w:val="20"/>
                <w:szCs w:val="20"/>
                <w:lang w:val="en-US"/>
              </w:rPr>
            </w:pPr>
            <w:r w:rsidRPr="009A7F2D">
              <w:rPr>
                <w:rFonts w:ascii="Times" w:hAnsi="Times"/>
                <w:color w:val="0D0D0D" w:themeColor="text1" w:themeTint="F2"/>
                <w:sz w:val="20"/>
                <w:szCs w:val="20"/>
                <w:lang w:val="en-US"/>
              </w:rPr>
              <w:t>7.4%</w:t>
            </w:r>
          </w:p>
        </w:tc>
      </w:tr>
      <w:tr w:rsidR="00A907A0" w:rsidRPr="000D33E4" w14:paraId="1C94FEFE" w14:textId="77777777" w:rsidTr="008F7033">
        <w:trPr>
          <w:trHeight w:val="204"/>
        </w:trPr>
        <w:tc>
          <w:tcPr>
            <w:cnfStyle w:val="001000000000" w:firstRow="0" w:lastRow="0" w:firstColumn="1" w:lastColumn="0" w:oddVBand="0" w:evenVBand="0" w:oddHBand="0" w:evenHBand="0" w:firstRowFirstColumn="0" w:firstRowLastColumn="0" w:lastRowFirstColumn="0" w:lastRowLastColumn="0"/>
            <w:tcW w:w="2977" w:type="dxa"/>
            <w:noWrap/>
            <w:hideMark/>
          </w:tcPr>
          <w:p w14:paraId="6585CFDD" w14:textId="77777777" w:rsidR="00A907A0" w:rsidRPr="009A7F2D" w:rsidRDefault="00A907A0" w:rsidP="007B1E55">
            <w:pPr>
              <w:keepNext/>
              <w:keepLines/>
              <w:rPr>
                <w:rFonts w:ascii="Times" w:hAnsi="Times"/>
                <w:color w:val="0D0D0D" w:themeColor="text1" w:themeTint="F2"/>
                <w:sz w:val="20"/>
                <w:szCs w:val="20"/>
                <w:lang w:val="en-US"/>
              </w:rPr>
            </w:pPr>
            <w:r w:rsidRPr="009A7F2D">
              <w:rPr>
                <w:rFonts w:ascii="Times" w:hAnsi="Times"/>
                <w:color w:val="0D0D0D" w:themeColor="text1" w:themeTint="F2"/>
                <w:sz w:val="20"/>
                <w:szCs w:val="20"/>
                <w:lang w:val="en-US"/>
              </w:rPr>
              <w:t>Transfers and subsidies</w:t>
            </w:r>
          </w:p>
        </w:tc>
        <w:tc>
          <w:tcPr>
            <w:tcW w:w="1276" w:type="dxa"/>
            <w:noWrap/>
            <w:hideMark/>
          </w:tcPr>
          <w:p w14:paraId="598430AC" w14:textId="77777777" w:rsidR="00A907A0" w:rsidRPr="009A7F2D" w:rsidRDefault="00A907A0" w:rsidP="00A87760">
            <w:pPr>
              <w:keepNext/>
              <w:keepLines/>
              <w:jc w:val="center"/>
              <w:cnfStyle w:val="000000000000" w:firstRow="0" w:lastRow="0" w:firstColumn="0" w:lastColumn="0" w:oddVBand="0" w:evenVBand="0" w:oddHBand="0" w:evenHBand="0" w:firstRowFirstColumn="0" w:firstRowLastColumn="0" w:lastRowFirstColumn="0" w:lastRowLastColumn="0"/>
              <w:rPr>
                <w:rFonts w:ascii="Times" w:hAnsi="Times"/>
                <w:b/>
                <w:bCs/>
                <w:color w:val="0D0D0D" w:themeColor="text1" w:themeTint="F2"/>
                <w:sz w:val="20"/>
                <w:szCs w:val="20"/>
                <w:lang w:val="en-US"/>
              </w:rPr>
            </w:pPr>
            <w:r w:rsidRPr="009A7F2D">
              <w:rPr>
                <w:rFonts w:ascii="Times" w:hAnsi="Times"/>
                <w:b/>
                <w:bCs/>
                <w:color w:val="0D0D0D" w:themeColor="text1" w:themeTint="F2"/>
                <w:sz w:val="20"/>
                <w:szCs w:val="20"/>
                <w:lang w:val="en-US"/>
              </w:rPr>
              <w:t>472.9</w:t>
            </w:r>
          </w:p>
        </w:tc>
        <w:tc>
          <w:tcPr>
            <w:tcW w:w="1134" w:type="dxa"/>
            <w:noWrap/>
            <w:hideMark/>
          </w:tcPr>
          <w:p w14:paraId="3F4C09BB" w14:textId="77777777" w:rsidR="00A907A0" w:rsidRPr="009A7F2D" w:rsidRDefault="00A907A0" w:rsidP="00A87760">
            <w:pPr>
              <w:keepNext/>
              <w:keepLines/>
              <w:jc w:val="center"/>
              <w:cnfStyle w:val="000000000000" w:firstRow="0" w:lastRow="0" w:firstColumn="0" w:lastColumn="0" w:oddVBand="0" w:evenVBand="0" w:oddHBand="0" w:evenHBand="0" w:firstRowFirstColumn="0" w:firstRowLastColumn="0" w:lastRowFirstColumn="0" w:lastRowLastColumn="0"/>
              <w:rPr>
                <w:rFonts w:ascii="Times" w:hAnsi="Times"/>
                <w:b/>
                <w:bCs/>
                <w:color w:val="0D0D0D" w:themeColor="text1" w:themeTint="F2"/>
                <w:sz w:val="20"/>
                <w:szCs w:val="20"/>
                <w:lang w:val="en-US"/>
              </w:rPr>
            </w:pPr>
            <w:r w:rsidRPr="009A7F2D">
              <w:rPr>
                <w:rFonts w:ascii="Times" w:hAnsi="Times"/>
                <w:b/>
                <w:bCs/>
                <w:color w:val="0D0D0D" w:themeColor="text1" w:themeTint="F2"/>
                <w:sz w:val="20"/>
                <w:szCs w:val="20"/>
                <w:lang w:val="en-US"/>
              </w:rPr>
              <w:t>599.7</w:t>
            </w:r>
          </w:p>
        </w:tc>
        <w:tc>
          <w:tcPr>
            <w:tcW w:w="1276" w:type="dxa"/>
            <w:noWrap/>
            <w:hideMark/>
          </w:tcPr>
          <w:p w14:paraId="631E1D34" w14:textId="77777777" w:rsidR="00A907A0" w:rsidRPr="009A7F2D" w:rsidRDefault="00A907A0" w:rsidP="00A87760">
            <w:pPr>
              <w:keepNext/>
              <w:keepLines/>
              <w:jc w:val="center"/>
              <w:cnfStyle w:val="000000000000" w:firstRow="0" w:lastRow="0" w:firstColumn="0" w:lastColumn="0" w:oddVBand="0" w:evenVBand="0" w:oddHBand="0" w:evenHBand="0" w:firstRowFirstColumn="0" w:firstRowLastColumn="0" w:lastRowFirstColumn="0" w:lastRowLastColumn="0"/>
              <w:rPr>
                <w:rFonts w:ascii="Times" w:hAnsi="Times"/>
                <w:b/>
                <w:bCs/>
                <w:color w:val="0D0D0D" w:themeColor="text1" w:themeTint="F2"/>
                <w:sz w:val="20"/>
                <w:szCs w:val="20"/>
                <w:lang w:val="en-US"/>
              </w:rPr>
            </w:pPr>
            <w:r w:rsidRPr="009A7F2D">
              <w:rPr>
                <w:rFonts w:ascii="Times" w:hAnsi="Times"/>
                <w:b/>
                <w:bCs/>
                <w:color w:val="0D0D0D" w:themeColor="text1" w:themeTint="F2"/>
                <w:sz w:val="20"/>
                <w:szCs w:val="20"/>
                <w:lang w:val="en-US"/>
              </w:rPr>
              <w:t>713.4</w:t>
            </w:r>
          </w:p>
        </w:tc>
        <w:tc>
          <w:tcPr>
            <w:tcW w:w="1417" w:type="dxa"/>
            <w:noWrap/>
            <w:hideMark/>
          </w:tcPr>
          <w:p w14:paraId="15533EAB" w14:textId="77777777" w:rsidR="00A907A0" w:rsidRPr="009A7F2D" w:rsidRDefault="00A907A0" w:rsidP="00A87760">
            <w:pPr>
              <w:keepNext/>
              <w:keepLines/>
              <w:jc w:val="center"/>
              <w:cnfStyle w:val="000000000000" w:firstRow="0" w:lastRow="0" w:firstColumn="0" w:lastColumn="0" w:oddVBand="0" w:evenVBand="0" w:oddHBand="0" w:evenHBand="0" w:firstRowFirstColumn="0" w:firstRowLastColumn="0" w:lastRowFirstColumn="0" w:lastRowLastColumn="0"/>
              <w:rPr>
                <w:rFonts w:ascii="Times" w:hAnsi="Times"/>
                <w:b/>
                <w:bCs/>
                <w:color w:val="0D0D0D" w:themeColor="text1" w:themeTint="F2"/>
                <w:sz w:val="20"/>
                <w:szCs w:val="20"/>
                <w:lang w:val="en-US"/>
              </w:rPr>
            </w:pPr>
            <w:r w:rsidRPr="009A7F2D">
              <w:rPr>
                <w:rFonts w:ascii="Times" w:hAnsi="Times"/>
                <w:b/>
                <w:bCs/>
                <w:color w:val="0D0D0D" w:themeColor="text1" w:themeTint="F2"/>
                <w:sz w:val="20"/>
                <w:szCs w:val="20"/>
                <w:lang w:val="en-US"/>
              </w:rPr>
              <w:t>3.5%</w:t>
            </w:r>
          </w:p>
        </w:tc>
        <w:tc>
          <w:tcPr>
            <w:tcW w:w="1630" w:type="dxa"/>
            <w:noWrap/>
            <w:hideMark/>
          </w:tcPr>
          <w:p w14:paraId="3597D361" w14:textId="77777777" w:rsidR="00A907A0" w:rsidRPr="009A7F2D" w:rsidRDefault="00A907A0" w:rsidP="00A87760">
            <w:pPr>
              <w:keepNext/>
              <w:keepLines/>
              <w:jc w:val="center"/>
              <w:cnfStyle w:val="000000000000" w:firstRow="0" w:lastRow="0" w:firstColumn="0" w:lastColumn="0" w:oddVBand="0" w:evenVBand="0" w:oddHBand="0" w:evenHBand="0" w:firstRowFirstColumn="0" w:firstRowLastColumn="0" w:lastRowFirstColumn="0" w:lastRowLastColumn="0"/>
              <w:rPr>
                <w:rFonts w:ascii="Times" w:hAnsi="Times"/>
                <w:b/>
                <w:bCs/>
                <w:color w:val="0D0D0D" w:themeColor="text1" w:themeTint="F2"/>
                <w:sz w:val="20"/>
                <w:szCs w:val="20"/>
                <w:lang w:val="en-US"/>
              </w:rPr>
            </w:pPr>
            <w:r w:rsidRPr="009A7F2D">
              <w:rPr>
                <w:rFonts w:ascii="Times" w:hAnsi="Times"/>
                <w:b/>
                <w:bCs/>
                <w:color w:val="0D0D0D" w:themeColor="text1" w:themeTint="F2"/>
                <w:sz w:val="20"/>
                <w:szCs w:val="20"/>
                <w:lang w:val="en-US"/>
              </w:rPr>
              <w:t>1.4%</w:t>
            </w:r>
          </w:p>
        </w:tc>
      </w:tr>
      <w:tr w:rsidR="00A907A0" w:rsidRPr="000D33E4" w14:paraId="0936346E" w14:textId="77777777" w:rsidTr="008F7033">
        <w:trPr>
          <w:trHeight w:val="204"/>
        </w:trPr>
        <w:tc>
          <w:tcPr>
            <w:cnfStyle w:val="001000000000" w:firstRow="0" w:lastRow="0" w:firstColumn="1" w:lastColumn="0" w:oddVBand="0" w:evenVBand="0" w:oddHBand="0" w:evenHBand="0" w:firstRowFirstColumn="0" w:firstRowLastColumn="0" w:lastRowFirstColumn="0" w:lastRowLastColumn="0"/>
            <w:tcW w:w="2977" w:type="dxa"/>
            <w:noWrap/>
            <w:hideMark/>
          </w:tcPr>
          <w:p w14:paraId="1B070615" w14:textId="77777777" w:rsidR="00A907A0" w:rsidRPr="009A7F2D" w:rsidRDefault="00A907A0" w:rsidP="007B1E55">
            <w:pPr>
              <w:keepNext/>
              <w:keepLines/>
              <w:rPr>
                <w:rFonts w:ascii="Times" w:hAnsi="Times"/>
                <w:color w:val="0D0D0D" w:themeColor="text1" w:themeTint="F2"/>
                <w:sz w:val="20"/>
                <w:szCs w:val="20"/>
                <w:lang w:val="en-US"/>
              </w:rPr>
            </w:pPr>
            <w:r w:rsidRPr="009A7F2D">
              <w:rPr>
                <w:rFonts w:ascii="Times" w:hAnsi="Times"/>
                <w:color w:val="0D0D0D" w:themeColor="text1" w:themeTint="F2"/>
                <w:sz w:val="20"/>
                <w:szCs w:val="20"/>
                <w:lang w:val="en-US"/>
              </w:rPr>
              <w:t>Payments for capital assets</w:t>
            </w:r>
          </w:p>
        </w:tc>
        <w:tc>
          <w:tcPr>
            <w:tcW w:w="1276" w:type="dxa"/>
            <w:noWrap/>
            <w:hideMark/>
          </w:tcPr>
          <w:p w14:paraId="778102C1" w14:textId="77777777" w:rsidR="00A907A0" w:rsidRPr="009A7F2D" w:rsidRDefault="00A907A0" w:rsidP="00A87760">
            <w:pPr>
              <w:keepNext/>
              <w:keepLines/>
              <w:jc w:val="center"/>
              <w:cnfStyle w:val="000000000000" w:firstRow="0" w:lastRow="0" w:firstColumn="0" w:lastColumn="0" w:oddVBand="0" w:evenVBand="0" w:oddHBand="0" w:evenHBand="0" w:firstRowFirstColumn="0" w:firstRowLastColumn="0" w:lastRowFirstColumn="0" w:lastRowLastColumn="0"/>
              <w:rPr>
                <w:rFonts w:ascii="Times" w:hAnsi="Times"/>
                <w:b/>
                <w:bCs/>
                <w:color w:val="0D0D0D" w:themeColor="text1" w:themeTint="F2"/>
                <w:sz w:val="20"/>
                <w:szCs w:val="20"/>
                <w:lang w:val="en-US"/>
              </w:rPr>
            </w:pPr>
            <w:r w:rsidRPr="009A7F2D">
              <w:rPr>
                <w:rFonts w:ascii="Times" w:hAnsi="Times"/>
                <w:b/>
                <w:bCs/>
                <w:color w:val="0D0D0D" w:themeColor="text1" w:themeTint="F2"/>
                <w:sz w:val="20"/>
                <w:szCs w:val="20"/>
                <w:lang w:val="en-US"/>
              </w:rPr>
              <w:t>93.6</w:t>
            </w:r>
          </w:p>
        </w:tc>
        <w:tc>
          <w:tcPr>
            <w:tcW w:w="1134" w:type="dxa"/>
            <w:noWrap/>
            <w:hideMark/>
          </w:tcPr>
          <w:p w14:paraId="2B53AFFC" w14:textId="77777777" w:rsidR="00A907A0" w:rsidRPr="009A7F2D" w:rsidRDefault="00A907A0" w:rsidP="00A87760">
            <w:pPr>
              <w:keepNext/>
              <w:keepLines/>
              <w:jc w:val="center"/>
              <w:cnfStyle w:val="000000000000" w:firstRow="0" w:lastRow="0" w:firstColumn="0" w:lastColumn="0" w:oddVBand="0" w:evenVBand="0" w:oddHBand="0" w:evenHBand="0" w:firstRowFirstColumn="0" w:firstRowLastColumn="0" w:lastRowFirstColumn="0" w:lastRowLastColumn="0"/>
              <w:rPr>
                <w:rFonts w:ascii="Times" w:hAnsi="Times"/>
                <w:b/>
                <w:bCs/>
                <w:color w:val="0D0D0D" w:themeColor="text1" w:themeTint="F2"/>
                <w:sz w:val="20"/>
                <w:szCs w:val="20"/>
                <w:lang w:val="en-US"/>
              </w:rPr>
            </w:pPr>
            <w:r w:rsidRPr="009A7F2D">
              <w:rPr>
                <w:rFonts w:ascii="Times" w:hAnsi="Times"/>
                <w:b/>
                <w:bCs/>
                <w:color w:val="0D0D0D" w:themeColor="text1" w:themeTint="F2"/>
                <w:sz w:val="20"/>
                <w:szCs w:val="20"/>
                <w:lang w:val="en-US"/>
              </w:rPr>
              <w:t>82.8</w:t>
            </w:r>
          </w:p>
        </w:tc>
        <w:tc>
          <w:tcPr>
            <w:tcW w:w="1276" w:type="dxa"/>
            <w:noWrap/>
            <w:hideMark/>
          </w:tcPr>
          <w:p w14:paraId="4493126A" w14:textId="77777777" w:rsidR="00A907A0" w:rsidRPr="009A7F2D" w:rsidRDefault="00A907A0" w:rsidP="00A87760">
            <w:pPr>
              <w:keepNext/>
              <w:keepLines/>
              <w:jc w:val="center"/>
              <w:cnfStyle w:val="000000000000" w:firstRow="0" w:lastRow="0" w:firstColumn="0" w:lastColumn="0" w:oddVBand="0" w:evenVBand="0" w:oddHBand="0" w:evenHBand="0" w:firstRowFirstColumn="0" w:firstRowLastColumn="0" w:lastRowFirstColumn="0" w:lastRowLastColumn="0"/>
              <w:rPr>
                <w:rFonts w:ascii="Times" w:hAnsi="Times"/>
                <w:b/>
                <w:bCs/>
                <w:color w:val="0D0D0D" w:themeColor="text1" w:themeTint="F2"/>
                <w:sz w:val="20"/>
                <w:szCs w:val="20"/>
                <w:lang w:val="en-US"/>
              </w:rPr>
            </w:pPr>
            <w:r w:rsidRPr="009A7F2D">
              <w:rPr>
                <w:rFonts w:ascii="Times" w:hAnsi="Times"/>
                <w:b/>
                <w:bCs/>
                <w:color w:val="0D0D0D" w:themeColor="text1" w:themeTint="F2"/>
                <w:sz w:val="20"/>
                <w:szCs w:val="20"/>
                <w:lang w:val="en-US"/>
              </w:rPr>
              <w:t>109.0</w:t>
            </w:r>
          </w:p>
        </w:tc>
        <w:tc>
          <w:tcPr>
            <w:tcW w:w="1417" w:type="dxa"/>
            <w:noWrap/>
            <w:hideMark/>
          </w:tcPr>
          <w:p w14:paraId="59364B5E" w14:textId="77777777" w:rsidR="00A907A0" w:rsidRPr="009A7F2D" w:rsidRDefault="00A907A0" w:rsidP="00A87760">
            <w:pPr>
              <w:keepNext/>
              <w:keepLines/>
              <w:jc w:val="center"/>
              <w:cnfStyle w:val="000000000000" w:firstRow="0" w:lastRow="0" w:firstColumn="0" w:lastColumn="0" w:oddVBand="0" w:evenVBand="0" w:oddHBand="0" w:evenHBand="0" w:firstRowFirstColumn="0" w:firstRowLastColumn="0" w:lastRowFirstColumn="0" w:lastRowLastColumn="0"/>
              <w:rPr>
                <w:rFonts w:ascii="Times" w:hAnsi="Times"/>
                <w:b/>
                <w:bCs/>
                <w:color w:val="0D0D0D" w:themeColor="text1" w:themeTint="F2"/>
                <w:sz w:val="20"/>
                <w:szCs w:val="20"/>
                <w:lang w:val="en-US"/>
              </w:rPr>
            </w:pPr>
            <w:r w:rsidRPr="009A7F2D">
              <w:rPr>
                <w:rFonts w:ascii="Times" w:hAnsi="Times"/>
                <w:b/>
                <w:bCs/>
                <w:color w:val="0D0D0D" w:themeColor="text1" w:themeTint="F2"/>
                <w:sz w:val="20"/>
                <w:szCs w:val="20"/>
                <w:lang w:val="en-US"/>
              </w:rPr>
              <w:t>-8.2%</w:t>
            </w:r>
          </w:p>
        </w:tc>
        <w:tc>
          <w:tcPr>
            <w:tcW w:w="1630" w:type="dxa"/>
            <w:noWrap/>
            <w:hideMark/>
          </w:tcPr>
          <w:p w14:paraId="12F62D58" w14:textId="77777777" w:rsidR="00A907A0" w:rsidRPr="009A7F2D" w:rsidRDefault="00A907A0" w:rsidP="00A87760">
            <w:pPr>
              <w:keepNext/>
              <w:keepLines/>
              <w:jc w:val="center"/>
              <w:cnfStyle w:val="000000000000" w:firstRow="0" w:lastRow="0" w:firstColumn="0" w:lastColumn="0" w:oddVBand="0" w:evenVBand="0" w:oddHBand="0" w:evenHBand="0" w:firstRowFirstColumn="0" w:firstRowLastColumn="0" w:lastRowFirstColumn="0" w:lastRowLastColumn="0"/>
              <w:rPr>
                <w:rFonts w:ascii="Times" w:hAnsi="Times"/>
                <w:b/>
                <w:bCs/>
                <w:color w:val="0D0D0D" w:themeColor="text1" w:themeTint="F2"/>
                <w:sz w:val="20"/>
                <w:szCs w:val="20"/>
                <w:lang w:val="en-US"/>
              </w:rPr>
            </w:pPr>
            <w:r w:rsidRPr="009A7F2D">
              <w:rPr>
                <w:rFonts w:ascii="Times" w:hAnsi="Times"/>
                <w:b/>
                <w:bCs/>
                <w:color w:val="0D0D0D" w:themeColor="text1" w:themeTint="F2"/>
                <w:sz w:val="20"/>
                <w:szCs w:val="20"/>
                <w:lang w:val="en-US"/>
              </w:rPr>
              <w:t>4.8%</w:t>
            </w:r>
          </w:p>
        </w:tc>
      </w:tr>
      <w:tr w:rsidR="00A907A0" w:rsidRPr="000D33E4" w14:paraId="00BEB8BA" w14:textId="77777777" w:rsidTr="008F7033">
        <w:trPr>
          <w:trHeight w:val="204"/>
        </w:trPr>
        <w:tc>
          <w:tcPr>
            <w:cnfStyle w:val="001000000000" w:firstRow="0" w:lastRow="0" w:firstColumn="1" w:lastColumn="0" w:oddVBand="0" w:evenVBand="0" w:oddHBand="0" w:evenHBand="0" w:firstRowFirstColumn="0" w:firstRowLastColumn="0" w:lastRowFirstColumn="0" w:lastRowLastColumn="0"/>
            <w:tcW w:w="2977" w:type="dxa"/>
            <w:noWrap/>
            <w:hideMark/>
          </w:tcPr>
          <w:p w14:paraId="7F8620EC" w14:textId="77777777" w:rsidR="00A907A0" w:rsidRPr="009A7F2D" w:rsidRDefault="00A907A0" w:rsidP="007B1E55">
            <w:pPr>
              <w:keepNext/>
              <w:keepLines/>
              <w:rPr>
                <w:rFonts w:ascii="Times" w:hAnsi="Times"/>
                <w:b w:val="0"/>
                <w:color w:val="0D0D0D" w:themeColor="text1" w:themeTint="F2"/>
                <w:sz w:val="20"/>
                <w:szCs w:val="20"/>
                <w:lang w:val="en-US"/>
              </w:rPr>
            </w:pPr>
            <w:r w:rsidRPr="009A7F2D">
              <w:rPr>
                <w:rFonts w:ascii="Times" w:hAnsi="Times"/>
                <w:b w:val="0"/>
                <w:color w:val="0D0D0D" w:themeColor="text1" w:themeTint="F2"/>
                <w:sz w:val="20"/>
                <w:szCs w:val="20"/>
                <w:lang w:val="en-US"/>
              </w:rPr>
              <w:t>Buildings and other capital assets</w:t>
            </w:r>
          </w:p>
        </w:tc>
        <w:tc>
          <w:tcPr>
            <w:tcW w:w="1276" w:type="dxa"/>
            <w:noWrap/>
            <w:hideMark/>
          </w:tcPr>
          <w:p w14:paraId="57A9EA14" w14:textId="77777777" w:rsidR="00A907A0" w:rsidRPr="009A7F2D" w:rsidRDefault="00A907A0" w:rsidP="00A87760">
            <w:pPr>
              <w:keepNext/>
              <w:keepLines/>
              <w:jc w:val="center"/>
              <w:cnfStyle w:val="000000000000" w:firstRow="0" w:lastRow="0" w:firstColumn="0" w:lastColumn="0" w:oddVBand="0" w:evenVBand="0" w:oddHBand="0" w:evenHBand="0" w:firstRowFirstColumn="0" w:firstRowLastColumn="0" w:lastRowFirstColumn="0" w:lastRowLastColumn="0"/>
              <w:rPr>
                <w:rFonts w:ascii="Times" w:hAnsi="Times"/>
                <w:color w:val="0D0D0D" w:themeColor="text1" w:themeTint="F2"/>
                <w:sz w:val="20"/>
                <w:szCs w:val="20"/>
                <w:lang w:val="en-US"/>
              </w:rPr>
            </w:pPr>
            <w:r w:rsidRPr="009A7F2D">
              <w:rPr>
                <w:rFonts w:ascii="Times" w:hAnsi="Times"/>
                <w:color w:val="0D0D0D" w:themeColor="text1" w:themeTint="F2"/>
                <w:sz w:val="20"/>
                <w:szCs w:val="20"/>
                <w:lang w:val="en-US"/>
              </w:rPr>
              <w:t>72.8</w:t>
            </w:r>
          </w:p>
        </w:tc>
        <w:tc>
          <w:tcPr>
            <w:tcW w:w="1134" w:type="dxa"/>
            <w:noWrap/>
            <w:hideMark/>
          </w:tcPr>
          <w:p w14:paraId="2C85F448" w14:textId="77777777" w:rsidR="00A907A0" w:rsidRPr="009A7F2D" w:rsidRDefault="00A907A0" w:rsidP="00A87760">
            <w:pPr>
              <w:keepNext/>
              <w:keepLines/>
              <w:jc w:val="center"/>
              <w:cnfStyle w:val="000000000000" w:firstRow="0" w:lastRow="0" w:firstColumn="0" w:lastColumn="0" w:oddVBand="0" w:evenVBand="0" w:oddHBand="0" w:evenHBand="0" w:firstRowFirstColumn="0" w:firstRowLastColumn="0" w:lastRowFirstColumn="0" w:lastRowLastColumn="0"/>
              <w:rPr>
                <w:rFonts w:ascii="Times" w:hAnsi="Times"/>
                <w:color w:val="0D0D0D" w:themeColor="text1" w:themeTint="F2"/>
                <w:sz w:val="20"/>
                <w:szCs w:val="20"/>
                <w:lang w:val="en-US"/>
              </w:rPr>
            </w:pPr>
            <w:r w:rsidRPr="009A7F2D">
              <w:rPr>
                <w:rFonts w:ascii="Times" w:hAnsi="Times"/>
                <w:color w:val="0D0D0D" w:themeColor="text1" w:themeTint="F2"/>
                <w:sz w:val="20"/>
                <w:szCs w:val="20"/>
                <w:lang w:val="en-US"/>
              </w:rPr>
              <w:t>63.7</w:t>
            </w:r>
          </w:p>
        </w:tc>
        <w:tc>
          <w:tcPr>
            <w:tcW w:w="1276" w:type="dxa"/>
            <w:noWrap/>
            <w:hideMark/>
          </w:tcPr>
          <w:p w14:paraId="29F94107" w14:textId="77777777" w:rsidR="00A907A0" w:rsidRPr="009A7F2D" w:rsidRDefault="00A907A0" w:rsidP="00A87760">
            <w:pPr>
              <w:keepNext/>
              <w:keepLines/>
              <w:jc w:val="center"/>
              <w:cnfStyle w:val="000000000000" w:firstRow="0" w:lastRow="0" w:firstColumn="0" w:lastColumn="0" w:oddVBand="0" w:evenVBand="0" w:oddHBand="0" w:evenHBand="0" w:firstRowFirstColumn="0" w:firstRowLastColumn="0" w:lastRowFirstColumn="0" w:lastRowLastColumn="0"/>
              <w:rPr>
                <w:rFonts w:ascii="Times" w:hAnsi="Times"/>
                <w:color w:val="0D0D0D" w:themeColor="text1" w:themeTint="F2"/>
                <w:sz w:val="20"/>
                <w:szCs w:val="20"/>
                <w:lang w:val="en-US"/>
              </w:rPr>
            </w:pPr>
            <w:r w:rsidRPr="009A7F2D">
              <w:rPr>
                <w:rFonts w:ascii="Times" w:hAnsi="Times"/>
                <w:color w:val="0D0D0D" w:themeColor="text1" w:themeTint="F2"/>
                <w:sz w:val="20"/>
                <w:szCs w:val="20"/>
                <w:lang w:val="en-US"/>
              </w:rPr>
              <w:t>85.7</w:t>
            </w:r>
          </w:p>
        </w:tc>
        <w:tc>
          <w:tcPr>
            <w:tcW w:w="1417" w:type="dxa"/>
            <w:noWrap/>
            <w:hideMark/>
          </w:tcPr>
          <w:p w14:paraId="5A407F56" w14:textId="77777777" w:rsidR="00A907A0" w:rsidRPr="009A7F2D" w:rsidRDefault="00A907A0" w:rsidP="00A87760">
            <w:pPr>
              <w:keepNext/>
              <w:keepLines/>
              <w:jc w:val="center"/>
              <w:cnfStyle w:val="000000000000" w:firstRow="0" w:lastRow="0" w:firstColumn="0" w:lastColumn="0" w:oddVBand="0" w:evenVBand="0" w:oddHBand="0" w:evenHBand="0" w:firstRowFirstColumn="0" w:firstRowLastColumn="0" w:lastRowFirstColumn="0" w:lastRowLastColumn="0"/>
              <w:rPr>
                <w:rFonts w:ascii="Times" w:hAnsi="Times"/>
                <w:color w:val="0D0D0D" w:themeColor="text1" w:themeTint="F2"/>
                <w:sz w:val="20"/>
                <w:szCs w:val="20"/>
                <w:lang w:val="en-US"/>
              </w:rPr>
            </w:pPr>
            <w:r w:rsidRPr="009A7F2D">
              <w:rPr>
                <w:rFonts w:ascii="Times" w:hAnsi="Times"/>
                <w:color w:val="0D0D0D" w:themeColor="text1" w:themeTint="F2"/>
                <w:sz w:val="20"/>
                <w:szCs w:val="20"/>
                <w:lang w:val="en-US"/>
              </w:rPr>
              <w:t>-8.5%</w:t>
            </w:r>
          </w:p>
        </w:tc>
        <w:tc>
          <w:tcPr>
            <w:tcW w:w="1630" w:type="dxa"/>
            <w:noWrap/>
            <w:hideMark/>
          </w:tcPr>
          <w:p w14:paraId="7761DF41" w14:textId="77777777" w:rsidR="00A907A0" w:rsidRPr="009A7F2D" w:rsidRDefault="00A907A0" w:rsidP="00A87760">
            <w:pPr>
              <w:keepNext/>
              <w:keepLines/>
              <w:jc w:val="center"/>
              <w:cnfStyle w:val="000000000000" w:firstRow="0" w:lastRow="0" w:firstColumn="0" w:lastColumn="0" w:oddVBand="0" w:evenVBand="0" w:oddHBand="0" w:evenHBand="0" w:firstRowFirstColumn="0" w:firstRowLastColumn="0" w:lastRowFirstColumn="0" w:lastRowLastColumn="0"/>
              <w:rPr>
                <w:rFonts w:ascii="Times" w:hAnsi="Times"/>
                <w:color w:val="0D0D0D" w:themeColor="text1" w:themeTint="F2"/>
                <w:sz w:val="20"/>
                <w:szCs w:val="20"/>
                <w:lang w:val="en-US"/>
              </w:rPr>
            </w:pPr>
            <w:r w:rsidRPr="009A7F2D">
              <w:rPr>
                <w:rFonts w:ascii="Times" w:hAnsi="Times"/>
                <w:color w:val="0D0D0D" w:themeColor="text1" w:themeTint="F2"/>
                <w:sz w:val="20"/>
                <w:szCs w:val="20"/>
                <w:lang w:val="en-US"/>
              </w:rPr>
              <w:t>5.6%</w:t>
            </w:r>
          </w:p>
        </w:tc>
      </w:tr>
      <w:tr w:rsidR="00A907A0" w:rsidRPr="000D33E4" w14:paraId="7280DD15" w14:textId="77777777" w:rsidTr="008F7033">
        <w:trPr>
          <w:trHeight w:val="204"/>
        </w:trPr>
        <w:tc>
          <w:tcPr>
            <w:cnfStyle w:val="001000000000" w:firstRow="0" w:lastRow="0" w:firstColumn="1" w:lastColumn="0" w:oddVBand="0" w:evenVBand="0" w:oddHBand="0" w:evenHBand="0" w:firstRowFirstColumn="0" w:firstRowLastColumn="0" w:lastRowFirstColumn="0" w:lastRowLastColumn="0"/>
            <w:tcW w:w="2977" w:type="dxa"/>
            <w:noWrap/>
            <w:hideMark/>
          </w:tcPr>
          <w:p w14:paraId="2FC171A4" w14:textId="77777777" w:rsidR="00A907A0" w:rsidRPr="009A7F2D" w:rsidRDefault="00A907A0" w:rsidP="007B1E55">
            <w:pPr>
              <w:keepNext/>
              <w:keepLines/>
              <w:rPr>
                <w:rFonts w:ascii="Times" w:hAnsi="Times"/>
                <w:b w:val="0"/>
                <w:color w:val="0D0D0D" w:themeColor="text1" w:themeTint="F2"/>
                <w:sz w:val="20"/>
                <w:szCs w:val="20"/>
                <w:lang w:val="en-US"/>
              </w:rPr>
            </w:pPr>
            <w:r w:rsidRPr="009A7F2D">
              <w:rPr>
                <w:rFonts w:ascii="Times" w:hAnsi="Times"/>
                <w:b w:val="0"/>
                <w:color w:val="0D0D0D" w:themeColor="text1" w:themeTint="F2"/>
                <w:sz w:val="20"/>
                <w:szCs w:val="20"/>
                <w:lang w:val="en-US"/>
              </w:rPr>
              <w:t>Machinery and equipment</w:t>
            </w:r>
          </w:p>
        </w:tc>
        <w:tc>
          <w:tcPr>
            <w:tcW w:w="1276" w:type="dxa"/>
            <w:noWrap/>
            <w:hideMark/>
          </w:tcPr>
          <w:p w14:paraId="2B3171A7" w14:textId="77777777" w:rsidR="00A907A0" w:rsidRPr="009A7F2D" w:rsidRDefault="00A907A0" w:rsidP="00A87760">
            <w:pPr>
              <w:keepNext/>
              <w:keepLines/>
              <w:jc w:val="center"/>
              <w:cnfStyle w:val="000000000000" w:firstRow="0" w:lastRow="0" w:firstColumn="0" w:lastColumn="0" w:oddVBand="0" w:evenVBand="0" w:oddHBand="0" w:evenHBand="0" w:firstRowFirstColumn="0" w:firstRowLastColumn="0" w:lastRowFirstColumn="0" w:lastRowLastColumn="0"/>
              <w:rPr>
                <w:rFonts w:ascii="Times" w:hAnsi="Times"/>
                <w:color w:val="0D0D0D" w:themeColor="text1" w:themeTint="F2"/>
                <w:sz w:val="20"/>
                <w:szCs w:val="20"/>
                <w:lang w:val="en-US"/>
              </w:rPr>
            </w:pPr>
            <w:r w:rsidRPr="009A7F2D">
              <w:rPr>
                <w:rFonts w:ascii="Times" w:hAnsi="Times"/>
                <w:color w:val="0D0D0D" w:themeColor="text1" w:themeTint="F2"/>
                <w:sz w:val="20"/>
                <w:szCs w:val="20"/>
                <w:lang w:val="en-US"/>
              </w:rPr>
              <w:t>20.8</w:t>
            </w:r>
          </w:p>
        </w:tc>
        <w:tc>
          <w:tcPr>
            <w:tcW w:w="1134" w:type="dxa"/>
            <w:noWrap/>
            <w:hideMark/>
          </w:tcPr>
          <w:p w14:paraId="22E1E72D" w14:textId="77777777" w:rsidR="00A907A0" w:rsidRPr="009A7F2D" w:rsidRDefault="00A907A0" w:rsidP="00A87760">
            <w:pPr>
              <w:keepNext/>
              <w:keepLines/>
              <w:jc w:val="center"/>
              <w:cnfStyle w:val="000000000000" w:firstRow="0" w:lastRow="0" w:firstColumn="0" w:lastColumn="0" w:oddVBand="0" w:evenVBand="0" w:oddHBand="0" w:evenHBand="0" w:firstRowFirstColumn="0" w:firstRowLastColumn="0" w:lastRowFirstColumn="0" w:lastRowLastColumn="0"/>
              <w:rPr>
                <w:rFonts w:ascii="Times" w:hAnsi="Times"/>
                <w:color w:val="0D0D0D" w:themeColor="text1" w:themeTint="F2"/>
                <w:sz w:val="20"/>
                <w:szCs w:val="20"/>
                <w:lang w:val="en-US"/>
              </w:rPr>
            </w:pPr>
            <w:r w:rsidRPr="009A7F2D">
              <w:rPr>
                <w:rFonts w:ascii="Times" w:hAnsi="Times"/>
                <w:color w:val="0D0D0D" w:themeColor="text1" w:themeTint="F2"/>
                <w:sz w:val="20"/>
                <w:szCs w:val="20"/>
                <w:lang w:val="en-US"/>
              </w:rPr>
              <w:t>19.1</w:t>
            </w:r>
          </w:p>
        </w:tc>
        <w:tc>
          <w:tcPr>
            <w:tcW w:w="1276" w:type="dxa"/>
            <w:noWrap/>
            <w:hideMark/>
          </w:tcPr>
          <w:p w14:paraId="4F6E80D3" w14:textId="77777777" w:rsidR="00A907A0" w:rsidRPr="009A7F2D" w:rsidRDefault="00A907A0" w:rsidP="00A87760">
            <w:pPr>
              <w:keepNext/>
              <w:keepLines/>
              <w:jc w:val="center"/>
              <w:cnfStyle w:val="000000000000" w:firstRow="0" w:lastRow="0" w:firstColumn="0" w:lastColumn="0" w:oddVBand="0" w:evenVBand="0" w:oddHBand="0" w:evenHBand="0" w:firstRowFirstColumn="0" w:firstRowLastColumn="0" w:lastRowFirstColumn="0" w:lastRowLastColumn="0"/>
              <w:rPr>
                <w:rFonts w:ascii="Times" w:hAnsi="Times"/>
                <w:color w:val="0D0D0D" w:themeColor="text1" w:themeTint="F2"/>
                <w:sz w:val="20"/>
                <w:szCs w:val="20"/>
                <w:lang w:val="en-US"/>
              </w:rPr>
            </w:pPr>
            <w:r w:rsidRPr="009A7F2D">
              <w:rPr>
                <w:rFonts w:ascii="Times" w:hAnsi="Times"/>
                <w:color w:val="0D0D0D" w:themeColor="text1" w:themeTint="F2"/>
                <w:sz w:val="20"/>
                <w:szCs w:val="20"/>
                <w:lang w:val="en-US"/>
              </w:rPr>
              <w:t>23.3</w:t>
            </w:r>
          </w:p>
        </w:tc>
        <w:tc>
          <w:tcPr>
            <w:tcW w:w="1417" w:type="dxa"/>
            <w:noWrap/>
            <w:hideMark/>
          </w:tcPr>
          <w:p w14:paraId="5D510E2F" w14:textId="77777777" w:rsidR="00A907A0" w:rsidRPr="009A7F2D" w:rsidRDefault="00A907A0" w:rsidP="00A87760">
            <w:pPr>
              <w:keepNext/>
              <w:keepLines/>
              <w:jc w:val="center"/>
              <w:cnfStyle w:val="000000000000" w:firstRow="0" w:lastRow="0" w:firstColumn="0" w:lastColumn="0" w:oddVBand="0" w:evenVBand="0" w:oddHBand="0" w:evenHBand="0" w:firstRowFirstColumn="0" w:firstRowLastColumn="0" w:lastRowFirstColumn="0" w:lastRowLastColumn="0"/>
              <w:rPr>
                <w:rFonts w:ascii="Times" w:hAnsi="Times"/>
                <w:color w:val="0D0D0D" w:themeColor="text1" w:themeTint="F2"/>
                <w:sz w:val="20"/>
                <w:szCs w:val="20"/>
                <w:lang w:val="en-US"/>
              </w:rPr>
            </w:pPr>
            <w:r w:rsidRPr="009A7F2D">
              <w:rPr>
                <w:rFonts w:ascii="Times" w:hAnsi="Times"/>
                <w:color w:val="0D0D0D" w:themeColor="text1" w:themeTint="F2"/>
                <w:sz w:val="20"/>
                <w:szCs w:val="20"/>
                <w:lang w:val="en-US"/>
              </w:rPr>
              <w:t>-7.1%</w:t>
            </w:r>
          </w:p>
        </w:tc>
        <w:tc>
          <w:tcPr>
            <w:tcW w:w="1630" w:type="dxa"/>
            <w:noWrap/>
            <w:hideMark/>
          </w:tcPr>
          <w:p w14:paraId="0999F60C" w14:textId="77777777" w:rsidR="00A907A0" w:rsidRPr="009A7F2D" w:rsidRDefault="00A907A0" w:rsidP="00A87760">
            <w:pPr>
              <w:keepNext/>
              <w:keepLines/>
              <w:jc w:val="center"/>
              <w:cnfStyle w:val="000000000000" w:firstRow="0" w:lastRow="0" w:firstColumn="0" w:lastColumn="0" w:oddVBand="0" w:evenVBand="0" w:oddHBand="0" w:evenHBand="0" w:firstRowFirstColumn="0" w:firstRowLastColumn="0" w:lastRowFirstColumn="0" w:lastRowLastColumn="0"/>
              <w:rPr>
                <w:rFonts w:ascii="Times" w:hAnsi="Times"/>
                <w:color w:val="0D0D0D" w:themeColor="text1" w:themeTint="F2"/>
                <w:sz w:val="20"/>
                <w:szCs w:val="20"/>
                <w:lang w:val="en-US"/>
              </w:rPr>
            </w:pPr>
            <w:r w:rsidRPr="009A7F2D">
              <w:rPr>
                <w:rFonts w:ascii="Times" w:hAnsi="Times"/>
                <w:color w:val="0D0D0D" w:themeColor="text1" w:themeTint="F2"/>
                <w:sz w:val="20"/>
                <w:szCs w:val="20"/>
                <w:lang w:val="en-US"/>
              </w:rPr>
              <w:t>2.2%</w:t>
            </w:r>
          </w:p>
        </w:tc>
      </w:tr>
      <w:tr w:rsidR="00A907A0" w:rsidRPr="000D33E4" w14:paraId="33A1129F" w14:textId="77777777" w:rsidTr="008F7033">
        <w:trPr>
          <w:trHeight w:val="253"/>
        </w:trPr>
        <w:tc>
          <w:tcPr>
            <w:cnfStyle w:val="001000000000" w:firstRow="0" w:lastRow="0" w:firstColumn="1" w:lastColumn="0" w:oddVBand="0" w:evenVBand="0" w:oddHBand="0" w:evenHBand="0" w:firstRowFirstColumn="0" w:firstRowLastColumn="0" w:lastRowFirstColumn="0" w:lastRowLastColumn="0"/>
            <w:tcW w:w="2977" w:type="dxa"/>
            <w:noWrap/>
            <w:hideMark/>
          </w:tcPr>
          <w:p w14:paraId="54AE6DB5" w14:textId="77777777" w:rsidR="00A907A0" w:rsidRPr="009A7F2D" w:rsidRDefault="00A907A0" w:rsidP="007B1E55">
            <w:pPr>
              <w:keepNext/>
              <w:keepLines/>
              <w:rPr>
                <w:rFonts w:ascii="Times" w:hAnsi="Times"/>
                <w:color w:val="0D0D0D" w:themeColor="text1" w:themeTint="F2"/>
                <w:sz w:val="20"/>
                <w:szCs w:val="20"/>
                <w:lang w:val="en-US"/>
              </w:rPr>
            </w:pPr>
            <w:r w:rsidRPr="009A7F2D">
              <w:rPr>
                <w:rFonts w:ascii="Times" w:hAnsi="Times"/>
                <w:color w:val="0D0D0D" w:themeColor="text1" w:themeTint="F2"/>
                <w:sz w:val="20"/>
                <w:szCs w:val="20"/>
                <w:lang w:val="en-US"/>
              </w:rPr>
              <w:t>Total</w:t>
            </w:r>
          </w:p>
        </w:tc>
        <w:tc>
          <w:tcPr>
            <w:tcW w:w="1276" w:type="dxa"/>
            <w:noWrap/>
            <w:hideMark/>
          </w:tcPr>
          <w:p w14:paraId="42B394FE" w14:textId="77777777" w:rsidR="00A907A0" w:rsidRPr="009A7F2D" w:rsidRDefault="00A907A0" w:rsidP="00A87760">
            <w:pPr>
              <w:keepNext/>
              <w:keepLines/>
              <w:jc w:val="center"/>
              <w:cnfStyle w:val="000000000000" w:firstRow="0" w:lastRow="0" w:firstColumn="0" w:lastColumn="0" w:oddVBand="0" w:evenVBand="0" w:oddHBand="0" w:evenHBand="0" w:firstRowFirstColumn="0" w:firstRowLastColumn="0" w:lastRowFirstColumn="0" w:lastRowLastColumn="0"/>
              <w:rPr>
                <w:rFonts w:ascii="Times" w:hAnsi="Times"/>
                <w:b/>
                <w:bCs/>
                <w:color w:val="0D0D0D" w:themeColor="text1" w:themeTint="F2"/>
                <w:sz w:val="20"/>
                <w:szCs w:val="20"/>
                <w:lang w:val="en-US"/>
              </w:rPr>
            </w:pPr>
            <w:r w:rsidRPr="009A7F2D">
              <w:rPr>
                <w:rFonts w:ascii="Times" w:hAnsi="Times"/>
                <w:b/>
                <w:bCs/>
                <w:color w:val="0D0D0D" w:themeColor="text1" w:themeTint="F2"/>
                <w:sz w:val="20"/>
                <w:szCs w:val="20"/>
                <w:lang w:val="en-US"/>
              </w:rPr>
              <w:t>1</w:t>
            </w:r>
            <w:r w:rsidR="00E827B9">
              <w:rPr>
                <w:rFonts w:ascii="Times" w:hAnsi="Times"/>
                <w:b/>
                <w:bCs/>
                <w:color w:val="0D0D0D" w:themeColor="text1" w:themeTint="F2"/>
                <w:sz w:val="20"/>
                <w:szCs w:val="20"/>
                <w:lang w:val="en-US"/>
              </w:rPr>
              <w:t xml:space="preserve"> </w:t>
            </w:r>
            <w:r w:rsidRPr="009A7F2D">
              <w:rPr>
                <w:rFonts w:ascii="Times" w:hAnsi="Times"/>
                <w:b/>
                <w:bCs/>
                <w:color w:val="0D0D0D" w:themeColor="text1" w:themeTint="F2"/>
                <w:sz w:val="20"/>
                <w:szCs w:val="20"/>
                <w:lang w:val="en-US"/>
              </w:rPr>
              <w:t>445.7</w:t>
            </w:r>
          </w:p>
        </w:tc>
        <w:tc>
          <w:tcPr>
            <w:tcW w:w="1134" w:type="dxa"/>
            <w:noWrap/>
            <w:hideMark/>
          </w:tcPr>
          <w:p w14:paraId="7E679EC0" w14:textId="77777777" w:rsidR="00A907A0" w:rsidRPr="009A7F2D" w:rsidRDefault="00A907A0" w:rsidP="00A87760">
            <w:pPr>
              <w:keepNext/>
              <w:keepLines/>
              <w:jc w:val="center"/>
              <w:cnfStyle w:val="000000000000" w:firstRow="0" w:lastRow="0" w:firstColumn="0" w:lastColumn="0" w:oddVBand="0" w:evenVBand="0" w:oddHBand="0" w:evenHBand="0" w:firstRowFirstColumn="0" w:firstRowLastColumn="0" w:lastRowFirstColumn="0" w:lastRowLastColumn="0"/>
              <w:rPr>
                <w:rFonts w:ascii="Times" w:hAnsi="Times"/>
                <w:b/>
                <w:bCs/>
                <w:color w:val="0D0D0D" w:themeColor="text1" w:themeTint="F2"/>
                <w:sz w:val="20"/>
                <w:szCs w:val="20"/>
                <w:lang w:val="en-US"/>
              </w:rPr>
            </w:pPr>
            <w:r w:rsidRPr="009A7F2D">
              <w:rPr>
                <w:rFonts w:ascii="Times" w:hAnsi="Times"/>
                <w:b/>
                <w:bCs/>
                <w:color w:val="0D0D0D" w:themeColor="text1" w:themeTint="F2"/>
                <w:sz w:val="20"/>
                <w:szCs w:val="20"/>
                <w:lang w:val="en-US"/>
              </w:rPr>
              <w:t>1</w:t>
            </w:r>
            <w:r w:rsidR="00E827B9">
              <w:rPr>
                <w:rFonts w:ascii="Times" w:hAnsi="Times"/>
                <w:b/>
                <w:bCs/>
                <w:color w:val="0D0D0D" w:themeColor="text1" w:themeTint="F2"/>
                <w:sz w:val="20"/>
                <w:szCs w:val="20"/>
                <w:lang w:val="en-US"/>
              </w:rPr>
              <w:t xml:space="preserve"> </w:t>
            </w:r>
            <w:r w:rsidRPr="009A7F2D">
              <w:rPr>
                <w:rFonts w:ascii="Times" w:hAnsi="Times"/>
                <w:b/>
                <w:bCs/>
                <w:color w:val="0D0D0D" w:themeColor="text1" w:themeTint="F2"/>
                <w:sz w:val="20"/>
                <w:szCs w:val="20"/>
                <w:lang w:val="en-US"/>
              </w:rPr>
              <w:t>843.5</w:t>
            </w:r>
          </w:p>
        </w:tc>
        <w:tc>
          <w:tcPr>
            <w:tcW w:w="1276" w:type="dxa"/>
            <w:noWrap/>
            <w:hideMark/>
          </w:tcPr>
          <w:p w14:paraId="68421AB7" w14:textId="77777777" w:rsidR="00A907A0" w:rsidRPr="009A7F2D" w:rsidRDefault="00A907A0" w:rsidP="00A87760">
            <w:pPr>
              <w:keepNext/>
              <w:keepLines/>
              <w:jc w:val="center"/>
              <w:cnfStyle w:val="000000000000" w:firstRow="0" w:lastRow="0" w:firstColumn="0" w:lastColumn="0" w:oddVBand="0" w:evenVBand="0" w:oddHBand="0" w:evenHBand="0" w:firstRowFirstColumn="0" w:firstRowLastColumn="0" w:lastRowFirstColumn="0" w:lastRowLastColumn="0"/>
              <w:rPr>
                <w:rFonts w:ascii="Times" w:hAnsi="Times"/>
                <w:b/>
                <w:bCs/>
                <w:color w:val="0D0D0D" w:themeColor="text1" w:themeTint="F2"/>
                <w:sz w:val="20"/>
                <w:szCs w:val="20"/>
                <w:lang w:val="en-US"/>
              </w:rPr>
            </w:pPr>
            <w:r w:rsidRPr="009A7F2D">
              <w:rPr>
                <w:rFonts w:ascii="Times" w:hAnsi="Times"/>
                <w:b/>
                <w:bCs/>
                <w:color w:val="0D0D0D" w:themeColor="text1" w:themeTint="F2"/>
                <w:sz w:val="20"/>
                <w:szCs w:val="20"/>
                <w:lang w:val="en-US"/>
              </w:rPr>
              <w:t>2</w:t>
            </w:r>
            <w:r w:rsidR="00E827B9">
              <w:rPr>
                <w:rFonts w:ascii="Times" w:hAnsi="Times"/>
                <w:b/>
                <w:bCs/>
                <w:color w:val="0D0D0D" w:themeColor="text1" w:themeTint="F2"/>
                <w:sz w:val="20"/>
                <w:szCs w:val="20"/>
                <w:lang w:val="en-US"/>
              </w:rPr>
              <w:t xml:space="preserve"> </w:t>
            </w:r>
            <w:r w:rsidRPr="009A7F2D">
              <w:rPr>
                <w:rFonts w:ascii="Times" w:hAnsi="Times"/>
                <w:b/>
                <w:bCs/>
                <w:color w:val="0D0D0D" w:themeColor="text1" w:themeTint="F2"/>
                <w:sz w:val="20"/>
                <w:szCs w:val="20"/>
                <w:lang w:val="en-US"/>
              </w:rPr>
              <w:t>136.0</w:t>
            </w:r>
          </w:p>
        </w:tc>
        <w:tc>
          <w:tcPr>
            <w:tcW w:w="1417" w:type="dxa"/>
            <w:noWrap/>
            <w:hideMark/>
          </w:tcPr>
          <w:p w14:paraId="4B07DF22" w14:textId="77777777" w:rsidR="00A907A0" w:rsidRPr="009A7F2D" w:rsidRDefault="00A907A0" w:rsidP="00A87760">
            <w:pPr>
              <w:keepNext/>
              <w:keepLines/>
              <w:jc w:val="center"/>
              <w:cnfStyle w:val="000000000000" w:firstRow="0" w:lastRow="0" w:firstColumn="0" w:lastColumn="0" w:oddVBand="0" w:evenVBand="0" w:oddHBand="0" w:evenHBand="0" w:firstRowFirstColumn="0" w:firstRowLastColumn="0" w:lastRowFirstColumn="0" w:lastRowLastColumn="0"/>
              <w:rPr>
                <w:rFonts w:ascii="Times" w:hAnsi="Times"/>
                <w:b/>
                <w:bCs/>
                <w:color w:val="0D0D0D" w:themeColor="text1" w:themeTint="F2"/>
                <w:sz w:val="20"/>
                <w:szCs w:val="20"/>
                <w:lang w:val="en-US"/>
              </w:rPr>
            </w:pPr>
            <w:r w:rsidRPr="009A7F2D">
              <w:rPr>
                <w:rFonts w:ascii="Times" w:hAnsi="Times"/>
                <w:b/>
                <w:bCs/>
                <w:color w:val="0D0D0D" w:themeColor="text1" w:themeTint="F2"/>
                <w:sz w:val="20"/>
                <w:szCs w:val="20"/>
                <w:lang w:val="en-US"/>
              </w:rPr>
              <w:t>3.7%</w:t>
            </w:r>
          </w:p>
        </w:tc>
        <w:tc>
          <w:tcPr>
            <w:tcW w:w="1630" w:type="dxa"/>
            <w:noWrap/>
            <w:hideMark/>
          </w:tcPr>
          <w:p w14:paraId="0807F079" w14:textId="77777777" w:rsidR="00A907A0" w:rsidRPr="009A7F2D" w:rsidRDefault="00A907A0" w:rsidP="00A87760">
            <w:pPr>
              <w:keepNext/>
              <w:keepLines/>
              <w:jc w:val="center"/>
              <w:cnfStyle w:val="000000000000" w:firstRow="0" w:lastRow="0" w:firstColumn="0" w:lastColumn="0" w:oddVBand="0" w:evenVBand="0" w:oddHBand="0" w:evenHBand="0" w:firstRowFirstColumn="0" w:firstRowLastColumn="0" w:lastRowFirstColumn="0" w:lastRowLastColumn="0"/>
              <w:rPr>
                <w:rFonts w:ascii="Times" w:hAnsi="Times"/>
                <w:b/>
                <w:bCs/>
                <w:color w:val="0D0D0D" w:themeColor="text1" w:themeTint="F2"/>
                <w:sz w:val="20"/>
                <w:szCs w:val="20"/>
                <w:lang w:val="en-US"/>
              </w:rPr>
            </w:pPr>
            <w:r w:rsidRPr="009A7F2D">
              <w:rPr>
                <w:rFonts w:ascii="Times" w:hAnsi="Times"/>
                <w:b/>
                <w:bCs/>
                <w:color w:val="0D0D0D" w:themeColor="text1" w:themeTint="F2"/>
                <w:sz w:val="20"/>
                <w:szCs w:val="20"/>
                <w:lang w:val="en-US"/>
              </w:rPr>
              <w:t>0.5%</w:t>
            </w:r>
          </w:p>
        </w:tc>
      </w:tr>
      <w:tr w:rsidR="00A907A0" w:rsidRPr="000D33E4" w14:paraId="601F82B8" w14:textId="77777777" w:rsidTr="008F7033">
        <w:trPr>
          <w:trHeight w:val="272"/>
        </w:trPr>
        <w:tc>
          <w:tcPr>
            <w:cnfStyle w:val="001000000000" w:firstRow="0" w:lastRow="0" w:firstColumn="1" w:lastColumn="0" w:oddVBand="0" w:evenVBand="0" w:oddHBand="0" w:evenHBand="0" w:firstRowFirstColumn="0" w:firstRowLastColumn="0" w:lastRowFirstColumn="0" w:lastRowLastColumn="0"/>
            <w:tcW w:w="2977" w:type="dxa"/>
            <w:noWrap/>
            <w:hideMark/>
          </w:tcPr>
          <w:p w14:paraId="45542E3C" w14:textId="77777777" w:rsidR="00A907A0" w:rsidRPr="009A7F2D" w:rsidRDefault="00A907A0" w:rsidP="007B1E55">
            <w:pPr>
              <w:keepNext/>
              <w:keepLines/>
              <w:rPr>
                <w:rFonts w:ascii="Times" w:hAnsi="Times"/>
                <w:color w:val="0D0D0D" w:themeColor="text1" w:themeTint="F2"/>
                <w:sz w:val="20"/>
                <w:szCs w:val="20"/>
                <w:lang w:val="en-US"/>
              </w:rPr>
            </w:pPr>
            <w:r w:rsidRPr="009A7F2D">
              <w:rPr>
                <w:rFonts w:ascii="Times" w:hAnsi="Times"/>
                <w:color w:val="0D0D0D" w:themeColor="text1" w:themeTint="F2"/>
                <w:sz w:val="20"/>
                <w:szCs w:val="20"/>
                <w:lang w:val="en-US"/>
              </w:rPr>
              <w:t>Contingency reserve</w:t>
            </w:r>
          </w:p>
        </w:tc>
        <w:tc>
          <w:tcPr>
            <w:tcW w:w="1276" w:type="dxa"/>
            <w:noWrap/>
            <w:hideMark/>
          </w:tcPr>
          <w:p w14:paraId="497E90C8" w14:textId="77777777" w:rsidR="00A907A0" w:rsidRPr="009A7F2D" w:rsidRDefault="00A907A0" w:rsidP="00A87760">
            <w:pPr>
              <w:keepNext/>
              <w:keepLines/>
              <w:jc w:val="center"/>
              <w:cnfStyle w:val="000000000000" w:firstRow="0" w:lastRow="0" w:firstColumn="0" w:lastColumn="0" w:oddVBand="0" w:evenVBand="0" w:oddHBand="0" w:evenHBand="0" w:firstRowFirstColumn="0" w:firstRowLastColumn="0" w:lastRowFirstColumn="0" w:lastRowLastColumn="0"/>
              <w:rPr>
                <w:rFonts w:ascii="Times" w:hAnsi="Times"/>
                <w:color w:val="0D0D0D" w:themeColor="text1" w:themeTint="F2"/>
                <w:sz w:val="20"/>
                <w:szCs w:val="20"/>
                <w:lang w:val="en-US"/>
              </w:rPr>
            </w:pPr>
            <w:r w:rsidRPr="009A7F2D">
              <w:rPr>
                <w:rFonts w:ascii="Times" w:hAnsi="Times"/>
                <w:color w:val="0D0D0D" w:themeColor="text1" w:themeTint="F2"/>
                <w:sz w:val="20"/>
                <w:szCs w:val="20"/>
                <w:lang w:val="en-US"/>
              </w:rPr>
              <w:t>–</w:t>
            </w:r>
          </w:p>
        </w:tc>
        <w:tc>
          <w:tcPr>
            <w:tcW w:w="1134" w:type="dxa"/>
            <w:noWrap/>
            <w:hideMark/>
          </w:tcPr>
          <w:p w14:paraId="17853275" w14:textId="77777777" w:rsidR="00A907A0" w:rsidRPr="009A7F2D" w:rsidRDefault="00A907A0" w:rsidP="00A87760">
            <w:pPr>
              <w:keepNext/>
              <w:keepLines/>
              <w:jc w:val="center"/>
              <w:cnfStyle w:val="000000000000" w:firstRow="0" w:lastRow="0" w:firstColumn="0" w:lastColumn="0" w:oddVBand="0" w:evenVBand="0" w:oddHBand="0" w:evenHBand="0" w:firstRowFirstColumn="0" w:firstRowLastColumn="0" w:lastRowFirstColumn="0" w:lastRowLastColumn="0"/>
              <w:rPr>
                <w:rFonts w:ascii="Times" w:hAnsi="Times"/>
                <w:color w:val="0D0D0D" w:themeColor="text1" w:themeTint="F2"/>
                <w:sz w:val="20"/>
                <w:szCs w:val="20"/>
                <w:lang w:val="en-US"/>
              </w:rPr>
            </w:pPr>
            <w:r w:rsidRPr="009A7F2D">
              <w:rPr>
                <w:rFonts w:ascii="Times" w:hAnsi="Times"/>
                <w:color w:val="0D0D0D" w:themeColor="text1" w:themeTint="F2"/>
                <w:sz w:val="20"/>
                <w:szCs w:val="20"/>
                <w:lang w:val="en-US"/>
              </w:rPr>
              <w:t>-</w:t>
            </w:r>
          </w:p>
        </w:tc>
        <w:tc>
          <w:tcPr>
            <w:tcW w:w="1276" w:type="dxa"/>
            <w:noWrap/>
            <w:hideMark/>
          </w:tcPr>
          <w:p w14:paraId="6BED7843" w14:textId="77777777" w:rsidR="00A907A0" w:rsidRPr="009A7F2D" w:rsidRDefault="00A907A0" w:rsidP="00A87760">
            <w:pPr>
              <w:keepNext/>
              <w:keepLines/>
              <w:jc w:val="center"/>
              <w:cnfStyle w:val="000000000000" w:firstRow="0" w:lastRow="0" w:firstColumn="0" w:lastColumn="0" w:oddVBand="0" w:evenVBand="0" w:oddHBand="0" w:evenHBand="0" w:firstRowFirstColumn="0" w:firstRowLastColumn="0" w:lastRowFirstColumn="0" w:lastRowLastColumn="0"/>
              <w:rPr>
                <w:rFonts w:ascii="Times" w:hAnsi="Times"/>
                <w:color w:val="0D0D0D" w:themeColor="text1" w:themeTint="F2"/>
                <w:sz w:val="20"/>
                <w:szCs w:val="20"/>
                <w:lang w:val="en-US"/>
              </w:rPr>
            </w:pPr>
            <w:r w:rsidRPr="009A7F2D">
              <w:rPr>
                <w:rFonts w:ascii="Times" w:hAnsi="Times"/>
                <w:color w:val="0D0D0D" w:themeColor="text1" w:themeTint="F2"/>
                <w:sz w:val="20"/>
                <w:szCs w:val="20"/>
                <w:lang w:val="en-US"/>
              </w:rPr>
              <w:t>5.0</w:t>
            </w:r>
          </w:p>
        </w:tc>
        <w:tc>
          <w:tcPr>
            <w:tcW w:w="1417" w:type="dxa"/>
            <w:noWrap/>
            <w:hideMark/>
          </w:tcPr>
          <w:p w14:paraId="102B804E" w14:textId="77777777" w:rsidR="00A907A0" w:rsidRPr="009A7F2D" w:rsidRDefault="00A907A0" w:rsidP="00A87760">
            <w:pPr>
              <w:keepNext/>
              <w:keepLines/>
              <w:jc w:val="center"/>
              <w:cnfStyle w:val="000000000000" w:firstRow="0" w:lastRow="0" w:firstColumn="0" w:lastColumn="0" w:oddVBand="0" w:evenVBand="0" w:oddHBand="0" w:evenHBand="0" w:firstRowFirstColumn="0" w:firstRowLastColumn="0" w:lastRowFirstColumn="0" w:lastRowLastColumn="0"/>
              <w:rPr>
                <w:rFonts w:ascii="Times" w:hAnsi="Times"/>
                <w:color w:val="0D0D0D" w:themeColor="text1" w:themeTint="F2"/>
                <w:sz w:val="20"/>
                <w:szCs w:val="20"/>
                <w:lang w:val="en-US"/>
              </w:rPr>
            </w:pPr>
          </w:p>
        </w:tc>
        <w:tc>
          <w:tcPr>
            <w:tcW w:w="1630" w:type="dxa"/>
            <w:noWrap/>
            <w:hideMark/>
          </w:tcPr>
          <w:p w14:paraId="6FE5DB6B" w14:textId="77777777" w:rsidR="00A907A0" w:rsidRPr="009A7F2D" w:rsidRDefault="00A907A0" w:rsidP="00A87760">
            <w:pPr>
              <w:keepNext/>
              <w:keepLines/>
              <w:jc w:val="center"/>
              <w:cnfStyle w:val="000000000000" w:firstRow="0" w:lastRow="0" w:firstColumn="0" w:lastColumn="0" w:oddVBand="0" w:evenVBand="0" w:oddHBand="0" w:evenHBand="0" w:firstRowFirstColumn="0" w:firstRowLastColumn="0" w:lastRowFirstColumn="0" w:lastRowLastColumn="0"/>
              <w:rPr>
                <w:rFonts w:ascii="Times" w:hAnsi="Times"/>
                <w:color w:val="0D0D0D" w:themeColor="text1" w:themeTint="F2"/>
                <w:sz w:val="20"/>
                <w:szCs w:val="20"/>
                <w:lang w:val="en-US"/>
              </w:rPr>
            </w:pPr>
          </w:p>
        </w:tc>
      </w:tr>
      <w:tr w:rsidR="00A907A0" w:rsidRPr="000D33E4" w14:paraId="76AB8130" w14:textId="77777777" w:rsidTr="008F7033">
        <w:trPr>
          <w:trHeight w:val="204"/>
        </w:trPr>
        <w:tc>
          <w:tcPr>
            <w:cnfStyle w:val="001000000000" w:firstRow="0" w:lastRow="0" w:firstColumn="1" w:lastColumn="0" w:oddVBand="0" w:evenVBand="0" w:oddHBand="0" w:evenHBand="0" w:firstRowFirstColumn="0" w:firstRowLastColumn="0" w:lastRowFirstColumn="0" w:lastRowLastColumn="0"/>
            <w:tcW w:w="2977" w:type="dxa"/>
            <w:noWrap/>
            <w:hideMark/>
          </w:tcPr>
          <w:p w14:paraId="33E6A795" w14:textId="77777777" w:rsidR="00A907A0" w:rsidRPr="009A7F2D" w:rsidRDefault="00A907A0" w:rsidP="007B1E55">
            <w:pPr>
              <w:keepNext/>
              <w:keepLines/>
              <w:rPr>
                <w:rFonts w:ascii="Times" w:hAnsi="Times"/>
                <w:color w:val="0D0D0D" w:themeColor="text1" w:themeTint="F2"/>
                <w:sz w:val="20"/>
                <w:szCs w:val="20"/>
                <w:lang w:val="en-US"/>
              </w:rPr>
            </w:pPr>
            <w:r w:rsidRPr="009A7F2D">
              <w:rPr>
                <w:rFonts w:ascii="Times" w:hAnsi="Times"/>
                <w:color w:val="0D0D0D" w:themeColor="text1" w:themeTint="F2"/>
                <w:sz w:val="20"/>
                <w:szCs w:val="20"/>
                <w:lang w:val="en-US"/>
              </w:rPr>
              <w:t>Consolidated expenditure</w:t>
            </w:r>
          </w:p>
        </w:tc>
        <w:tc>
          <w:tcPr>
            <w:tcW w:w="1276" w:type="dxa"/>
            <w:noWrap/>
            <w:hideMark/>
          </w:tcPr>
          <w:p w14:paraId="32B7D7B2" w14:textId="77777777" w:rsidR="00A907A0" w:rsidRPr="009A7F2D" w:rsidRDefault="00A907A0" w:rsidP="00A87760">
            <w:pPr>
              <w:keepNext/>
              <w:keepLines/>
              <w:jc w:val="center"/>
              <w:cnfStyle w:val="000000000000" w:firstRow="0" w:lastRow="0" w:firstColumn="0" w:lastColumn="0" w:oddVBand="0" w:evenVBand="0" w:oddHBand="0" w:evenHBand="0" w:firstRowFirstColumn="0" w:firstRowLastColumn="0" w:lastRowFirstColumn="0" w:lastRowLastColumn="0"/>
              <w:rPr>
                <w:rFonts w:ascii="Times" w:hAnsi="Times"/>
                <w:b/>
                <w:bCs/>
                <w:color w:val="0D0D0D" w:themeColor="text1" w:themeTint="F2"/>
                <w:sz w:val="20"/>
                <w:szCs w:val="20"/>
                <w:lang w:val="en-US"/>
              </w:rPr>
            </w:pPr>
            <w:r w:rsidRPr="009A7F2D">
              <w:rPr>
                <w:rFonts w:ascii="Times" w:hAnsi="Times"/>
                <w:b/>
                <w:bCs/>
                <w:color w:val="0D0D0D" w:themeColor="text1" w:themeTint="F2"/>
                <w:sz w:val="20"/>
                <w:szCs w:val="20"/>
                <w:lang w:val="en-US"/>
              </w:rPr>
              <w:t>1</w:t>
            </w:r>
            <w:r w:rsidR="00E827B9">
              <w:rPr>
                <w:rFonts w:ascii="Times" w:hAnsi="Times"/>
                <w:b/>
                <w:bCs/>
                <w:color w:val="0D0D0D" w:themeColor="text1" w:themeTint="F2"/>
                <w:sz w:val="20"/>
                <w:szCs w:val="20"/>
                <w:lang w:val="en-US"/>
              </w:rPr>
              <w:t xml:space="preserve"> </w:t>
            </w:r>
            <w:r w:rsidRPr="009A7F2D">
              <w:rPr>
                <w:rFonts w:ascii="Times" w:hAnsi="Times"/>
                <w:b/>
                <w:bCs/>
                <w:color w:val="0D0D0D" w:themeColor="text1" w:themeTint="F2"/>
                <w:sz w:val="20"/>
                <w:szCs w:val="20"/>
                <w:lang w:val="en-US"/>
              </w:rPr>
              <w:t>445.7</w:t>
            </w:r>
          </w:p>
        </w:tc>
        <w:tc>
          <w:tcPr>
            <w:tcW w:w="1134" w:type="dxa"/>
            <w:noWrap/>
            <w:hideMark/>
          </w:tcPr>
          <w:p w14:paraId="51DA95F7" w14:textId="77777777" w:rsidR="00A907A0" w:rsidRPr="009A7F2D" w:rsidRDefault="00A907A0" w:rsidP="00A87760">
            <w:pPr>
              <w:keepNext/>
              <w:keepLines/>
              <w:jc w:val="center"/>
              <w:cnfStyle w:val="000000000000" w:firstRow="0" w:lastRow="0" w:firstColumn="0" w:lastColumn="0" w:oddVBand="0" w:evenVBand="0" w:oddHBand="0" w:evenHBand="0" w:firstRowFirstColumn="0" w:firstRowLastColumn="0" w:lastRowFirstColumn="0" w:lastRowLastColumn="0"/>
              <w:rPr>
                <w:rFonts w:ascii="Times" w:hAnsi="Times"/>
                <w:b/>
                <w:bCs/>
                <w:color w:val="0D0D0D" w:themeColor="text1" w:themeTint="F2"/>
                <w:sz w:val="20"/>
                <w:szCs w:val="20"/>
                <w:lang w:val="en-US"/>
              </w:rPr>
            </w:pPr>
            <w:r w:rsidRPr="009A7F2D">
              <w:rPr>
                <w:rFonts w:ascii="Times" w:hAnsi="Times"/>
                <w:b/>
                <w:bCs/>
                <w:color w:val="0D0D0D" w:themeColor="text1" w:themeTint="F2"/>
                <w:sz w:val="20"/>
                <w:szCs w:val="20"/>
                <w:lang w:val="en-US"/>
              </w:rPr>
              <w:t>1</w:t>
            </w:r>
            <w:r w:rsidR="00E827B9">
              <w:rPr>
                <w:rFonts w:ascii="Times" w:hAnsi="Times"/>
                <w:b/>
                <w:bCs/>
                <w:color w:val="0D0D0D" w:themeColor="text1" w:themeTint="F2"/>
                <w:sz w:val="20"/>
                <w:szCs w:val="20"/>
                <w:lang w:val="en-US"/>
              </w:rPr>
              <w:t xml:space="preserve"> </w:t>
            </w:r>
            <w:r w:rsidRPr="009A7F2D">
              <w:rPr>
                <w:rFonts w:ascii="Times" w:hAnsi="Times"/>
                <w:b/>
                <w:bCs/>
                <w:color w:val="0D0D0D" w:themeColor="text1" w:themeTint="F2"/>
                <w:sz w:val="20"/>
                <w:szCs w:val="20"/>
                <w:lang w:val="en-US"/>
              </w:rPr>
              <w:t>843.5</w:t>
            </w:r>
          </w:p>
        </w:tc>
        <w:tc>
          <w:tcPr>
            <w:tcW w:w="1276" w:type="dxa"/>
            <w:noWrap/>
            <w:hideMark/>
          </w:tcPr>
          <w:p w14:paraId="49B7F773" w14:textId="77777777" w:rsidR="00A907A0" w:rsidRPr="009A7F2D" w:rsidRDefault="00A907A0" w:rsidP="00A87760">
            <w:pPr>
              <w:keepNext/>
              <w:keepLines/>
              <w:jc w:val="center"/>
              <w:cnfStyle w:val="000000000000" w:firstRow="0" w:lastRow="0" w:firstColumn="0" w:lastColumn="0" w:oddVBand="0" w:evenVBand="0" w:oddHBand="0" w:evenHBand="0" w:firstRowFirstColumn="0" w:firstRowLastColumn="0" w:lastRowFirstColumn="0" w:lastRowLastColumn="0"/>
              <w:rPr>
                <w:rFonts w:ascii="Times" w:hAnsi="Times"/>
                <w:b/>
                <w:bCs/>
                <w:color w:val="0D0D0D" w:themeColor="text1" w:themeTint="F2"/>
                <w:sz w:val="20"/>
                <w:szCs w:val="20"/>
                <w:lang w:val="en-US"/>
              </w:rPr>
            </w:pPr>
            <w:r w:rsidRPr="009A7F2D">
              <w:rPr>
                <w:rFonts w:ascii="Times" w:hAnsi="Times"/>
                <w:b/>
                <w:bCs/>
                <w:color w:val="0D0D0D" w:themeColor="text1" w:themeTint="F2"/>
                <w:sz w:val="20"/>
                <w:szCs w:val="20"/>
                <w:lang w:val="en-US"/>
              </w:rPr>
              <w:t>2</w:t>
            </w:r>
            <w:r w:rsidR="00E827B9">
              <w:rPr>
                <w:rFonts w:ascii="Times" w:hAnsi="Times"/>
                <w:b/>
                <w:bCs/>
                <w:color w:val="0D0D0D" w:themeColor="text1" w:themeTint="F2"/>
                <w:sz w:val="20"/>
                <w:szCs w:val="20"/>
                <w:lang w:val="en-US"/>
              </w:rPr>
              <w:t xml:space="preserve"> </w:t>
            </w:r>
            <w:r w:rsidRPr="009A7F2D">
              <w:rPr>
                <w:rFonts w:ascii="Times" w:hAnsi="Times"/>
                <w:b/>
                <w:bCs/>
                <w:color w:val="0D0D0D" w:themeColor="text1" w:themeTint="F2"/>
                <w:sz w:val="20"/>
                <w:szCs w:val="20"/>
                <w:lang w:val="en-US"/>
              </w:rPr>
              <w:t>141.0</w:t>
            </w:r>
          </w:p>
        </w:tc>
        <w:tc>
          <w:tcPr>
            <w:tcW w:w="1417" w:type="dxa"/>
            <w:noWrap/>
            <w:hideMark/>
          </w:tcPr>
          <w:p w14:paraId="319CE500" w14:textId="77777777" w:rsidR="00A907A0" w:rsidRPr="009A7F2D" w:rsidRDefault="00A907A0" w:rsidP="00A87760">
            <w:pPr>
              <w:keepNext/>
              <w:keepLines/>
              <w:jc w:val="center"/>
              <w:cnfStyle w:val="000000000000" w:firstRow="0" w:lastRow="0" w:firstColumn="0" w:lastColumn="0" w:oddVBand="0" w:evenVBand="0" w:oddHBand="0" w:evenHBand="0" w:firstRowFirstColumn="0" w:firstRowLastColumn="0" w:lastRowFirstColumn="0" w:lastRowLastColumn="0"/>
              <w:rPr>
                <w:rFonts w:ascii="Times" w:hAnsi="Times"/>
                <w:b/>
                <w:bCs/>
                <w:color w:val="0D0D0D" w:themeColor="text1" w:themeTint="F2"/>
                <w:sz w:val="20"/>
                <w:szCs w:val="20"/>
                <w:lang w:val="en-US"/>
              </w:rPr>
            </w:pPr>
            <w:r w:rsidRPr="009A7F2D">
              <w:rPr>
                <w:rFonts w:ascii="Times" w:hAnsi="Times"/>
                <w:b/>
                <w:bCs/>
                <w:color w:val="0D0D0D" w:themeColor="text1" w:themeTint="F2"/>
                <w:sz w:val="20"/>
                <w:szCs w:val="20"/>
                <w:lang w:val="en-US"/>
              </w:rPr>
              <w:t>3.7%</w:t>
            </w:r>
          </w:p>
        </w:tc>
        <w:tc>
          <w:tcPr>
            <w:tcW w:w="1630" w:type="dxa"/>
            <w:noWrap/>
            <w:hideMark/>
          </w:tcPr>
          <w:p w14:paraId="6B09EBE4" w14:textId="77777777" w:rsidR="00A907A0" w:rsidRPr="009A7F2D" w:rsidRDefault="00A907A0" w:rsidP="00A87760">
            <w:pPr>
              <w:keepNext/>
              <w:keepLines/>
              <w:jc w:val="center"/>
              <w:cnfStyle w:val="000000000000" w:firstRow="0" w:lastRow="0" w:firstColumn="0" w:lastColumn="0" w:oddVBand="0" w:evenVBand="0" w:oddHBand="0" w:evenHBand="0" w:firstRowFirstColumn="0" w:firstRowLastColumn="0" w:lastRowFirstColumn="0" w:lastRowLastColumn="0"/>
              <w:rPr>
                <w:rFonts w:ascii="Times" w:hAnsi="Times"/>
                <w:b/>
                <w:bCs/>
                <w:color w:val="0D0D0D" w:themeColor="text1" w:themeTint="F2"/>
                <w:sz w:val="20"/>
                <w:szCs w:val="20"/>
                <w:lang w:val="en-US"/>
              </w:rPr>
            </w:pPr>
            <w:r w:rsidRPr="009A7F2D">
              <w:rPr>
                <w:rFonts w:ascii="Times" w:hAnsi="Times"/>
                <w:b/>
                <w:bCs/>
                <w:color w:val="0D0D0D" w:themeColor="text1" w:themeTint="F2"/>
                <w:sz w:val="20"/>
                <w:szCs w:val="20"/>
                <w:lang w:val="en-US"/>
              </w:rPr>
              <w:t>0.5%</w:t>
            </w:r>
          </w:p>
        </w:tc>
      </w:tr>
    </w:tbl>
    <w:p w14:paraId="2C87F5EA" w14:textId="77777777" w:rsidR="00A907A0" w:rsidRPr="009A7F2D" w:rsidRDefault="00A907A0" w:rsidP="007B1E55">
      <w:pPr>
        <w:keepNext/>
        <w:keepLines/>
        <w:rPr>
          <w:rFonts w:ascii="Times" w:hAnsi="Times"/>
          <w:i/>
          <w:color w:val="0D0D0D" w:themeColor="text1" w:themeTint="F2"/>
          <w:sz w:val="20"/>
          <w:szCs w:val="20"/>
        </w:rPr>
      </w:pPr>
      <w:r w:rsidRPr="009A7F2D">
        <w:rPr>
          <w:rFonts w:ascii="Times" w:hAnsi="Times"/>
          <w:i/>
          <w:color w:val="0D0D0D" w:themeColor="text1" w:themeTint="F2"/>
          <w:sz w:val="20"/>
          <w:szCs w:val="20"/>
        </w:rPr>
        <w:t xml:space="preserve">Source: National Treasury, Budget Review 2020 </w:t>
      </w:r>
    </w:p>
    <w:p w14:paraId="76F1E600" w14:textId="77777777" w:rsidR="00A907A0" w:rsidRPr="000D33E4" w:rsidRDefault="00A907A0" w:rsidP="007B1E55">
      <w:pPr>
        <w:rPr>
          <w:rFonts w:ascii="Times" w:hAnsi="Times"/>
          <w:color w:val="0D0D0D" w:themeColor="text1" w:themeTint="F2"/>
        </w:rPr>
      </w:pPr>
    </w:p>
    <w:p w14:paraId="39117F98" w14:textId="43C786C7" w:rsidR="00A907A0" w:rsidRPr="000D33E4" w:rsidRDefault="00A907A0" w:rsidP="009A7F2D">
      <w:r w:rsidRPr="000D33E4">
        <w:t>At its March presentat</w:t>
      </w:r>
      <w:r w:rsidR="00DF0D2D" w:rsidRPr="000D33E4">
        <w:t xml:space="preserve">ion, </w:t>
      </w:r>
      <w:r w:rsidR="008F7033">
        <w:t>to the SCoA,</w:t>
      </w:r>
      <w:r w:rsidR="008F7033" w:rsidRPr="000D33E4">
        <w:t xml:space="preserve"> </w:t>
      </w:r>
      <w:r w:rsidR="00DF0D2D" w:rsidRPr="000D33E4">
        <w:t>the Commission welcomed</w:t>
      </w:r>
      <w:r w:rsidRPr="000D33E4">
        <w:t xml:space="preserve"> attempts to better manage the public sector wage bill and the strong emphasis on capital spending, but </w:t>
      </w:r>
      <w:r w:rsidR="00DF0D2D" w:rsidRPr="000D33E4">
        <w:t xml:space="preserve">it </w:t>
      </w:r>
      <w:r w:rsidRPr="000D33E4">
        <w:t xml:space="preserve">indicated that the extent to which potential gains from these steps would be realised were </w:t>
      </w:r>
      <w:r w:rsidR="00624279">
        <w:t>un</w:t>
      </w:r>
      <w:r w:rsidRPr="000D33E4">
        <w:t>certain. Compensation of employees spending dominate</w:t>
      </w:r>
      <w:r w:rsidR="00624279">
        <w:t>s</w:t>
      </w:r>
      <w:r w:rsidRPr="000D33E4">
        <w:t xml:space="preserve"> provincial budgets and should government not realise </w:t>
      </w:r>
      <w:r w:rsidRPr="00D37EC1">
        <w:rPr>
          <w:color w:val="000000" w:themeColor="text1"/>
        </w:rPr>
        <w:t xml:space="preserve">the </w:t>
      </w:r>
      <w:r w:rsidR="006A435E">
        <w:rPr>
          <w:color w:val="000000" w:themeColor="text1"/>
        </w:rPr>
        <w:t>R1</w:t>
      </w:r>
      <w:r w:rsidR="00D37EC1" w:rsidRPr="00D37EC1">
        <w:rPr>
          <w:color w:val="000000" w:themeColor="text1"/>
        </w:rPr>
        <w:t>60</w:t>
      </w:r>
      <w:r w:rsidRPr="00D37EC1">
        <w:rPr>
          <w:color w:val="000000" w:themeColor="text1"/>
        </w:rPr>
        <w:t xml:space="preserve"> </w:t>
      </w:r>
      <w:r w:rsidRPr="000D33E4">
        <w:t>billion projected savings, the effect on provinces, which are also responsible for the delivery of education and health, will be severe. As a result, the Commission</w:t>
      </w:r>
      <w:r w:rsidR="00BA2CFE">
        <w:t xml:space="preserve"> had</w:t>
      </w:r>
      <w:r w:rsidRPr="000D33E4">
        <w:t xml:space="preserve"> raised this as a critical risk in the 2020 Budget. In addition the Commission </w:t>
      </w:r>
      <w:r w:rsidR="00BA2CFE">
        <w:t xml:space="preserve">had </w:t>
      </w:r>
      <w:r w:rsidR="003601CB">
        <w:t>asked</w:t>
      </w:r>
      <w:r w:rsidRPr="000D33E4">
        <w:t xml:space="preserve"> whether there was a </w:t>
      </w:r>
      <w:r w:rsidR="00624279">
        <w:t>fairer</w:t>
      </w:r>
      <w:r w:rsidRPr="000D33E4">
        <w:t xml:space="preserve"> way to distribute the burden of consolidation and specifically whether the bulk of the need to reduce expenditure must fall only </w:t>
      </w:r>
      <w:r w:rsidR="00382145">
        <w:t xml:space="preserve">on </w:t>
      </w:r>
      <w:r w:rsidRPr="000D33E4">
        <w:t>teachers, nurses, soldiers and prosecutors.</w:t>
      </w:r>
    </w:p>
    <w:p w14:paraId="6F58ABC7" w14:textId="77777777" w:rsidR="00DF0D2D" w:rsidRPr="000D33E4" w:rsidRDefault="00DF0D2D" w:rsidP="00DF0D2D">
      <w:pPr>
        <w:rPr>
          <w:rFonts w:ascii="Times" w:hAnsi="Times"/>
        </w:rPr>
      </w:pPr>
    </w:p>
    <w:p w14:paraId="37C2EF06" w14:textId="77777777" w:rsidR="00A907A0" w:rsidRPr="000D33E4" w:rsidRDefault="00A907A0" w:rsidP="00FB6890">
      <w:pPr>
        <w:pStyle w:val="Heading3"/>
      </w:pPr>
      <w:bookmarkStart w:id="64" w:name="_Toc42211914"/>
      <w:r w:rsidRPr="000D33E4">
        <w:t xml:space="preserve">Expenditure by </w:t>
      </w:r>
      <w:r w:rsidR="00382145">
        <w:t>v</w:t>
      </w:r>
      <w:r w:rsidRPr="000D33E4">
        <w:t>ote</w:t>
      </w:r>
      <w:bookmarkEnd w:id="64"/>
    </w:p>
    <w:p w14:paraId="4C588B3A" w14:textId="77777777" w:rsidR="00DF0D2D" w:rsidRPr="000D33E4" w:rsidRDefault="00DF0D2D" w:rsidP="00DF0D2D">
      <w:pPr>
        <w:rPr>
          <w:rFonts w:ascii="Times" w:hAnsi="Times"/>
        </w:rPr>
      </w:pPr>
    </w:p>
    <w:p w14:paraId="7BE205EF" w14:textId="7B774380" w:rsidR="00A907A0" w:rsidRPr="000D33E4" w:rsidRDefault="00A907A0" w:rsidP="009A7F2D">
      <w:r w:rsidRPr="000D33E4">
        <w:t xml:space="preserve">The total appropriation by vote will see a significant reduction in real annual average growth – from a strong 4.6 per cent per annum over the period 2016/17 to 2019/20, to a projected decline of </w:t>
      </w:r>
      <w:r w:rsidR="003601CB">
        <w:t>-</w:t>
      </w:r>
      <w:r w:rsidRPr="000D33E4">
        <w:t xml:space="preserve">1.3 per cent per annum over the next three years. Over the 2020 MTEF period, </w:t>
      </w:r>
      <w:r w:rsidR="00382145" w:rsidRPr="000D33E4">
        <w:t xml:space="preserve">cooperative governance, social development and the small business </w:t>
      </w:r>
      <w:r w:rsidRPr="000D33E4">
        <w:t xml:space="preserve">votes are projected to show relatively stronger real growth of between 2 and 3.5 per cent. Despite allocations being more constrained, the seven years (2016/17 to 2022/23) reviewed show that there are certain departments whose budgets are relatively protected and have experienced real growth over </w:t>
      </w:r>
      <w:r w:rsidR="003601CB">
        <w:t>the period,</w:t>
      </w:r>
      <w:r w:rsidRPr="000D33E4">
        <w:t xml:space="preserve"> while others have been under relatively more pressure in that they experience</w:t>
      </w:r>
      <w:r w:rsidR="003601CB">
        <w:t>d</w:t>
      </w:r>
      <w:r w:rsidRPr="000D33E4">
        <w:t xml:space="preserve"> real annual average reductions. </w:t>
      </w:r>
      <w:r w:rsidR="00E0369F">
        <w:fldChar w:fldCharType="begin"/>
      </w:r>
      <w:r w:rsidR="00E0369F">
        <w:instrText xml:space="preserve"> REF _Ref40881018 \h </w:instrText>
      </w:r>
      <w:r w:rsidR="00E0369F">
        <w:fldChar w:fldCharType="separate"/>
      </w:r>
      <w:r w:rsidR="00E0369F" w:rsidRPr="000D33E4">
        <w:rPr>
          <w:rFonts w:ascii="Times" w:hAnsi="Times"/>
        </w:rPr>
        <w:t xml:space="preserve">Table </w:t>
      </w:r>
      <w:r w:rsidR="00E0369F" w:rsidRPr="000D33E4">
        <w:rPr>
          <w:rFonts w:ascii="Times" w:hAnsi="Times"/>
          <w:noProof/>
        </w:rPr>
        <w:t>5</w:t>
      </w:r>
      <w:r w:rsidR="00E0369F">
        <w:fldChar w:fldCharType="end"/>
      </w:r>
      <w:r w:rsidR="00DF0D2D" w:rsidRPr="000D33E4">
        <w:t xml:space="preserve"> provides more detail.</w:t>
      </w:r>
    </w:p>
    <w:p w14:paraId="290AA82C" w14:textId="77777777" w:rsidR="00A907A0" w:rsidRPr="000D33E4" w:rsidRDefault="002D39CB" w:rsidP="00702661">
      <w:pPr>
        <w:pStyle w:val="Caption"/>
        <w:rPr>
          <w:rFonts w:ascii="Times" w:hAnsi="Times"/>
          <w:color w:val="000000" w:themeColor="text1"/>
          <w:sz w:val="22"/>
          <w:szCs w:val="22"/>
        </w:rPr>
      </w:pPr>
      <w:r>
        <w:rPr>
          <w:rFonts w:ascii="Times" w:hAnsi="Times"/>
          <w:b w:val="0"/>
          <w:color w:val="FF0000"/>
          <w:sz w:val="22"/>
          <w:szCs w:val="22"/>
        </w:rPr>
        <w:t xml:space="preserve"> </w:t>
      </w:r>
      <w:r>
        <w:rPr>
          <w:rFonts w:ascii="Times" w:hAnsi="Times"/>
          <w:color w:val="000000" w:themeColor="text1"/>
          <w:sz w:val="22"/>
          <w:szCs w:val="22"/>
        </w:rPr>
        <w:t xml:space="preserve"> </w:t>
      </w:r>
    </w:p>
    <w:p w14:paraId="18E26DB0" w14:textId="3197C5B3" w:rsidR="00B826E6" w:rsidRPr="009A7F2D" w:rsidRDefault="00B826E6" w:rsidP="00B826E6">
      <w:pPr>
        <w:pStyle w:val="Caption"/>
        <w:keepNext/>
        <w:rPr>
          <w:rFonts w:ascii="Times" w:hAnsi="Times"/>
          <w:color w:val="004C45" w:themeColor="text2"/>
          <w:sz w:val="24"/>
          <w:szCs w:val="24"/>
        </w:rPr>
      </w:pPr>
      <w:bookmarkStart w:id="65" w:name="_Ref40881018"/>
      <w:bookmarkStart w:id="66" w:name="_Toc42212133"/>
      <w:r w:rsidRPr="009A7F2D">
        <w:rPr>
          <w:rFonts w:ascii="Times" w:hAnsi="Times"/>
          <w:color w:val="004C45" w:themeColor="text2"/>
          <w:sz w:val="24"/>
          <w:szCs w:val="24"/>
        </w:rPr>
        <w:t xml:space="preserve">Table </w:t>
      </w:r>
      <w:r w:rsidRPr="009A7F2D">
        <w:rPr>
          <w:rFonts w:ascii="Times" w:hAnsi="Times"/>
          <w:color w:val="004C45" w:themeColor="text2"/>
          <w:sz w:val="24"/>
          <w:szCs w:val="24"/>
        </w:rPr>
        <w:fldChar w:fldCharType="begin"/>
      </w:r>
      <w:r w:rsidRPr="009A7F2D">
        <w:rPr>
          <w:rFonts w:ascii="Times" w:hAnsi="Times"/>
          <w:color w:val="004C45" w:themeColor="text2"/>
          <w:sz w:val="24"/>
          <w:szCs w:val="24"/>
        </w:rPr>
        <w:instrText xml:space="preserve"> SEQ Table \* ARABIC </w:instrText>
      </w:r>
      <w:r w:rsidRPr="009A7F2D">
        <w:rPr>
          <w:rFonts w:ascii="Times" w:hAnsi="Times"/>
          <w:color w:val="004C45" w:themeColor="text2"/>
          <w:sz w:val="24"/>
          <w:szCs w:val="24"/>
        </w:rPr>
        <w:fldChar w:fldCharType="separate"/>
      </w:r>
      <w:r w:rsidR="00492893">
        <w:rPr>
          <w:rFonts w:ascii="Times" w:hAnsi="Times"/>
          <w:noProof/>
          <w:color w:val="004C45" w:themeColor="text2"/>
          <w:sz w:val="24"/>
          <w:szCs w:val="24"/>
        </w:rPr>
        <w:t>5</w:t>
      </w:r>
      <w:r w:rsidRPr="009A7F2D">
        <w:rPr>
          <w:rFonts w:ascii="Times" w:hAnsi="Times"/>
          <w:color w:val="004C45" w:themeColor="text2"/>
          <w:sz w:val="24"/>
          <w:szCs w:val="24"/>
        </w:rPr>
        <w:fldChar w:fldCharType="end"/>
      </w:r>
      <w:bookmarkEnd w:id="65"/>
      <w:r w:rsidR="00E0369F" w:rsidRPr="009A7F2D">
        <w:rPr>
          <w:rFonts w:ascii="Times" w:hAnsi="Times"/>
          <w:color w:val="004C45" w:themeColor="text2"/>
          <w:sz w:val="24"/>
          <w:szCs w:val="24"/>
        </w:rPr>
        <w:t>:</w:t>
      </w:r>
      <w:r w:rsidRPr="009A7F2D">
        <w:rPr>
          <w:rFonts w:ascii="Times" w:hAnsi="Times"/>
          <w:color w:val="004C45" w:themeColor="text2"/>
          <w:sz w:val="24"/>
          <w:szCs w:val="24"/>
        </w:rPr>
        <w:t xml:space="preserve"> Prioritisation of </w:t>
      </w:r>
      <w:r w:rsidR="00E0369F">
        <w:rPr>
          <w:rFonts w:ascii="Times" w:hAnsi="Times"/>
          <w:color w:val="004C45" w:themeColor="text2"/>
          <w:sz w:val="24"/>
          <w:szCs w:val="24"/>
        </w:rPr>
        <w:t>v</w:t>
      </w:r>
      <w:r w:rsidRPr="009A7F2D">
        <w:rPr>
          <w:rFonts w:ascii="Times" w:hAnsi="Times"/>
          <w:color w:val="004C45" w:themeColor="text2"/>
          <w:sz w:val="24"/>
          <w:szCs w:val="24"/>
        </w:rPr>
        <w:t>otes, 2016/17 to 2019/20 and 2019/20 to 2022/23</w:t>
      </w:r>
      <w:bookmarkEnd w:id="66"/>
    </w:p>
    <w:tbl>
      <w:tblPr>
        <w:tblW w:w="9633" w:type="dxa"/>
        <w:tblInd w:w="-5" w:type="dxa"/>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Look w:val="04A0" w:firstRow="1" w:lastRow="0" w:firstColumn="1" w:lastColumn="0" w:noHBand="0" w:noVBand="1"/>
      </w:tblPr>
      <w:tblGrid>
        <w:gridCol w:w="2268"/>
        <w:gridCol w:w="1417"/>
        <w:gridCol w:w="1560"/>
        <w:gridCol w:w="1418"/>
        <w:gridCol w:w="1559"/>
        <w:gridCol w:w="1411"/>
      </w:tblGrid>
      <w:tr w:rsidR="00A907A0" w:rsidRPr="000D33E4" w14:paraId="7864B3DF" w14:textId="77777777" w:rsidTr="0000237A">
        <w:trPr>
          <w:trHeight w:val="288"/>
        </w:trPr>
        <w:tc>
          <w:tcPr>
            <w:tcW w:w="5245" w:type="dxa"/>
            <w:gridSpan w:val="3"/>
            <w:shd w:val="clear" w:color="auto" w:fill="auto"/>
            <w:vAlign w:val="bottom"/>
            <w:hideMark/>
          </w:tcPr>
          <w:p w14:paraId="4196BA46" w14:textId="1F0859AD" w:rsidR="00A907A0" w:rsidRPr="009A7F2D" w:rsidRDefault="00A907A0" w:rsidP="007B1E55">
            <w:pPr>
              <w:jc w:val="center"/>
              <w:rPr>
                <w:rFonts w:ascii="Times" w:hAnsi="Times"/>
                <w:b/>
                <w:color w:val="000000"/>
                <w:sz w:val="18"/>
              </w:rPr>
            </w:pPr>
            <w:r w:rsidRPr="009A7F2D">
              <w:rPr>
                <w:rFonts w:ascii="Times" w:hAnsi="Times"/>
                <w:b/>
                <w:color w:val="000000"/>
                <w:sz w:val="18"/>
              </w:rPr>
              <w:t xml:space="preserve">Selection of </w:t>
            </w:r>
            <w:r w:rsidR="003601CB" w:rsidRPr="009A7F2D">
              <w:rPr>
                <w:rFonts w:ascii="Times" w:hAnsi="Times"/>
                <w:b/>
                <w:color w:val="000000"/>
                <w:sz w:val="18"/>
              </w:rPr>
              <w:t>relatively pressurised votes</w:t>
            </w:r>
          </w:p>
        </w:tc>
        <w:tc>
          <w:tcPr>
            <w:tcW w:w="4388" w:type="dxa"/>
            <w:gridSpan w:val="3"/>
            <w:shd w:val="clear" w:color="auto" w:fill="auto"/>
            <w:vAlign w:val="bottom"/>
            <w:hideMark/>
          </w:tcPr>
          <w:p w14:paraId="4E74F841" w14:textId="229FDD44" w:rsidR="00A907A0" w:rsidRPr="009A7F2D" w:rsidRDefault="00A907A0" w:rsidP="007B1E55">
            <w:pPr>
              <w:jc w:val="center"/>
              <w:rPr>
                <w:rFonts w:ascii="Times" w:hAnsi="Times"/>
                <w:b/>
                <w:color w:val="000000"/>
                <w:sz w:val="18"/>
              </w:rPr>
            </w:pPr>
            <w:r w:rsidRPr="009A7F2D">
              <w:rPr>
                <w:rFonts w:ascii="Times" w:hAnsi="Times"/>
                <w:b/>
                <w:color w:val="000000"/>
                <w:sz w:val="18"/>
              </w:rPr>
              <w:t xml:space="preserve">Selection of </w:t>
            </w:r>
            <w:r w:rsidR="003601CB" w:rsidRPr="009A7F2D">
              <w:rPr>
                <w:rFonts w:ascii="Times" w:hAnsi="Times"/>
                <w:b/>
                <w:color w:val="000000"/>
                <w:sz w:val="18"/>
              </w:rPr>
              <w:t>relatively protected votes</w:t>
            </w:r>
          </w:p>
        </w:tc>
      </w:tr>
      <w:tr w:rsidR="00B013FE" w:rsidRPr="000D33E4" w14:paraId="2F603B09" w14:textId="77777777" w:rsidTr="00477AB8">
        <w:trPr>
          <w:trHeight w:val="1020"/>
        </w:trPr>
        <w:tc>
          <w:tcPr>
            <w:tcW w:w="2268" w:type="dxa"/>
            <w:shd w:val="clear" w:color="auto" w:fill="auto"/>
            <w:noWrap/>
            <w:hideMark/>
          </w:tcPr>
          <w:p w14:paraId="4A555F2F" w14:textId="77777777" w:rsidR="00A907A0" w:rsidRPr="009A7F2D" w:rsidRDefault="00A907A0" w:rsidP="00477AB8">
            <w:pPr>
              <w:jc w:val="center"/>
              <w:rPr>
                <w:rFonts w:ascii="Times" w:hAnsi="Times"/>
                <w:b/>
                <w:color w:val="000000"/>
                <w:sz w:val="18"/>
              </w:rPr>
            </w:pPr>
            <w:r w:rsidRPr="009A7F2D">
              <w:rPr>
                <w:rFonts w:ascii="Times" w:hAnsi="Times"/>
                <w:b/>
                <w:color w:val="000000"/>
                <w:sz w:val="18"/>
              </w:rPr>
              <w:t>Vote</w:t>
            </w:r>
          </w:p>
        </w:tc>
        <w:tc>
          <w:tcPr>
            <w:tcW w:w="1417" w:type="dxa"/>
            <w:shd w:val="clear" w:color="auto" w:fill="auto"/>
            <w:hideMark/>
          </w:tcPr>
          <w:p w14:paraId="48315A93" w14:textId="296575AB" w:rsidR="00A907A0" w:rsidRPr="009A7F2D" w:rsidRDefault="00A907A0" w:rsidP="00477AB8">
            <w:pPr>
              <w:jc w:val="center"/>
              <w:rPr>
                <w:rFonts w:ascii="Times" w:hAnsi="Times"/>
                <w:b/>
                <w:sz w:val="18"/>
              </w:rPr>
            </w:pPr>
            <w:r w:rsidRPr="009A7F2D">
              <w:rPr>
                <w:rFonts w:ascii="Times" w:hAnsi="Times"/>
                <w:b/>
                <w:sz w:val="18"/>
              </w:rPr>
              <w:t xml:space="preserve">Real </w:t>
            </w:r>
            <w:r w:rsidR="003601CB" w:rsidRPr="009A7F2D">
              <w:rPr>
                <w:rFonts w:ascii="Times" w:hAnsi="Times"/>
                <w:b/>
                <w:sz w:val="18"/>
              </w:rPr>
              <w:t xml:space="preserve">annual average growth rate </w:t>
            </w:r>
            <w:r w:rsidRPr="009A7F2D">
              <w:rPr>
                <w:rFonts w:ascii="Times" w:hAnsi="Times"/>
                <w:b/>
                <w:sz w:val="18"/>
              </w:rPr>
              <w:t>- 2016/17-2019/20</w:t>
            </w:r>
          </w:p>
        </w:tc>
        <w:tc>
          <w:tcPr>
            <w:tcW w:w="1560" w:type="dxa"/>
            <w:shd w:val="clear" w:color="auto" w:fill="auto"/>
            <w:hideMark/>
          </w:tcPr>
          <w:p w14:paraId="286CA4B4" w14:textId="1F9343F9" w:rsidR="00A907A0" w:rsidRPr="009A7F2D" w:rsidRDefault="00A907A0" w:rsidP="00477AB8">
            <w:pPr>
              <w:jc w:val="center"/>
              <w:rPr>
                <w:rFonts w:ascii="Times" w:hAnsi="Times"/>
                <w:b/>
                <w:sz w:val="18"/>
              </w:rPr>
            </w:pPr>
            <w:r w:rsidRPr="009A7F2D">
              <w:rPr>
                <w:rFonts w:ascii="Times" w:hAnsi="Times"/>
                <w:b/>
                <w:sz w:val="18"/>
              </w:rPr>
              <w:t xml:space="preserve">Real </w:t>
            </w:r>
            <w:r w:rsidR="003601CB" w:rsidRPr="009A7F2D">
              <w:rPr>
                <w:rFonts w:ascii="Times" w:hAnsi="Times"/>
                <w:b/>
                <w:sz w:val="18"/>
              </w:rPr>
              <w:t xml:space="preserve">annual average growth rate </w:t>
            </w:r>
            <w:r w:rsidRPr="009A7F2D">
              <w:rPr>
                <w:rFonts w:ascii="Times" w:hAnsi="Times"/>
                <w:b/>
                <w:sz w:val="18"/>
              </w:rPr>
              <w:t>- 2019/20-2022/23</w:t>
            </w:r>
          </w:p>
        </w:tc>
        <w:tc>
          <w:tcPr>
            <w:tcW w:w="1418" w:type="dxa"/>
            <w:shd w:val="clear" w:color="auto" w:fill="auto"/>
            <w:noWrap/>
            <w:hideMark/>
          </w:tcPr>
          <w:p w14:paraId="6AF7450F" w14:textId="77777777" w:rsidR="00A907A0" w:rsidRPr="009A7F2D" w:rsidRDefault="00A907A0" w:rsidP="00477AB8">
            <w:pPr>
              <w:jc w:val="center"/>
              <w:rPr>
                <w:rFonts w:ascii="Times" w:hAnsi="Times"/>
                <w:b/>
                <w:color w:val="000000"/>
                <w:sz w:val="18"/>
              </w:rPr>
            </w:pPr>
            <w:r w:rsidRPr="009A7F2D">
              <w:rPr>
                <w:rFonts w:ascii="Times" w:hAnsi="Times"/>
                <w:b/>
                <w:color w:val="000000"/>
                <w:sz w:val="18"/>
              </w:rPr>
              <w:t>Vote</w:t>
            </w:r>
          </w:p>
        </w:tc>
        <w:tc>
          <w:tcPr>
            <w:tcW w:w="1559" w:type="dxa"/>
            <w:shd w:val="clear" w:color="auto" w:fill="auto"/>
            <w:hideMark/>
          </w:tcPr>
          <w:p w14:paraId="2B214F14" w14:textId="345FF7D0" w:rsidR="00A907A0" w:rsidRPr="009A7F2D" w:rsidRDefault="00A907A0" w:rsidP="00477AB8">
            <w:pPr>
              <w:jc w:val="center"/>
              <w:rPr>
                <w:rFonts w:ascii="Times" w:hAnsi="Times"/>
                <w:b/>
                <w:sz w:val="18"/>
              </w:rPr>
            </w:pPr>
            <w:r w:rsidRPr="009A7F2D">
              <w:rPr>
                <w:rFonts w:ascii="Times" w:hAnsi="Times"/>
                <w:b/>
                <w:sz w:val="18"/>
              </w:rPr>
              <w:t xml:space="preserve">Real </w:t>
            </w:r>
            <w:r w:rsidR="003601CB" w:rsidRPr="009A7F2D">
              <w:rPr>
                <w:rFonts w:ascii="Times" w:hAnsi="Times"/>
                <w:b/>
                <w:sz w:val="18"/>
              </w:rPr>
              <w:t>annual average growth rate</w:t>
            </w:r>
            <w:r w:rsidRPr="009A7F2D">
              <w:rPr>
                <w:rFonts w:ascii="Times" w:hAnsi="Times"/>
                <w:b/>
                <w:sz w:val="18"/>
              </w:rPr>
              <w:t xml:space="preserve"> - 2016/17-2019/20</w:t>
            </w:r>
          </w:p>
        </w:tc>
        <w:tc>
          <w:tcPr>
            <w:tcW w:w="1411" w:type="dxa"/>
            <w:shd w:val="clear" w:color="auto" w:fill="auto"/>
            <w:hideMark/>
          </w:tcPr>
          <w:p w14:paraId="37E38B35" w14:textId="0E144D55" w:rsidR="00A907A0" w:rsidRPr="009A7F2D" w:rsidRDefault="00A907A0" w:rsidP="00477AB8">
            <w:pPr>
              <w:jc w:val="center"/>
              <w:rPr>
                <w:rFonts w:ascii="Times" w:hAnsi="Times"/>
                <w:b/>
                <w:sz w:val="18"/>
              </w:rPr>
            </w:pPr>
            <w:r w:rsidRPr="009A7F2D">
              <w:rPr>
                <w:rFonts w:ascii="Times" w:hAnsi="Times"/>
                <w:b/>
                <w:sz w:val="18"/>
              </w:rPr>
              <w:t xml:space="preserve">Real </w:t>
            </w:r>
            <w:r w:rsidR="003601CB" w:rsidRPr="009A7F2D">
              <w:rPr>
                <w:rFonts w:ascii="Times" w:hAnsi="Times"/>
                <w:b/>
                <w:sz w:val="18"/>
              </w:rPr>
              <w:t>annual average growth rat</w:t>
            </w:r>
            <w:r w:rsidRPr="009A7F2D">
              <w:rPr>
                <w:rFonts w:ascii="Times" w:hAnsi="Times"/>
                <w:b/>
                <w:sz w:val="18"/>
              </w:rPr>
              <w:t>e - 2019/20-2022/23</w:t>
            </w:r>
          </w:p>
        </w:tc>
      </w:tr>
      <w:tr w:rsidR="00B013FE" w:rsidRPr="000D33E4" w14:paraId="6864E3D4" w14:textId="77777777" w:rsidTr="0000237A">
        <w:trPr>
          <w:trHeight w:val="204"/>
        </w:trPr>
        <w:tc>
          <w:tcPr>
            <w:tcW w:w="2268" w:type="dxa"/>
            <w:shd w:val="clear" w:color="auto" w:fill="auto"/>
            <w:noWrap/>
            <w:vAlign w:val="center"/>
            <w:hideMark/>
          </w:tcPr>
          <w:p w14:paraId="19C58663" w14:textId="77777777" w:rsidR="00A907A0" w:rsidRPr="000D33E4" w:rsidRDefault="00A907A0" w:rsidP="000F7BC5">
            <w:pPr>
              <w:jc w:val="left"/>
              <w:rPr>
                <w:rFonts w:ascii="Times" w:hAnsi="Times"/>
                <w:color w:val="000000"/>
                <w:sz w:val="18"/>
              </w:rPr>
            </w:pPr>
            <w:r w:rsidRPr="000D33E4">
              <w:rPr>
                <w:rFonts w:ascii="Times" w:hAnsi="Times"/>
                <w:color w:val="000000"/>
                <w:sz w:val="18"/>
              </w:rPr>
              <w:t>Statistics South Africa</w:t>
            </w:r>
          </w:p>
        </w:tc>
        <w:tc>
          <w:tcPr>
            <w:tcW w:w="1417" w:type="dxa"/>
            <w:shd w:val="clear" w:color="auto" w:fill="auto"/>
            <w:noWrap/>
            <w:vAlign w:val="center"/>
            <w:hideMark/>
          </w:tcPr>
          <w:p w14:paraId="49C14DB2" w14:textId="77777777" w:rsidR="00A907A0" w:rsidRPr="000D33E4" w:rsidRDefault="00A907A0" w:rsidP="00A87760">
            <w:pPr>
              <w:jc w:val="center"/>
              <w:rPr>
                <w:rFonts w:ascii="Times" w:hAnsi="Times"/>
                <w:color w:val="000000"/>
                <w:sz w:val="18"/>
              </w:rPr>
            </w:pPr>
            <w:r w:rsidRPr="000D33E4">
              <w:rPr>
                <w:rFonts w:ascii="Times" w:hAnsi="Times"/>
                <w:color w:val="000000"/>
                <w:sz w:val="18"/>
              </w:rPr>
              <w:t>-3.7%</w:t>
            </w:r>
          </w:p>
        </w:tc>
        <w:tc>
          <w:tcPr>
            <w:tcW w:w="1560" w:type="dxa"/>
            <w:shd w:val="clear" w:color="auto" w:fill="auto"/>
            <w:noWrap/>
            <w:vAlign w:val="center"/>
            <w:hideMark/>
          </w:tcPr>
          <w:p w14:paraId="17CE7551" w14:textId="77777777" w:rsidR="00A907A0" w:rsidRPr="000D33E4" w:rsidRDefault="00A907A0" w:rsidP="00A87760">
            <w:pPr>
              <w:jc w:val="center"/>
              <w:rPr>
                <w:rFonts w:ascii="Times" w:hAnsi="Times"/>
                <w:color w:val="000000"/>
                <w:sz w:val="18"/>
              </w:rPr>
            </w:pPr>
            <w:r w:rsidRPr="000D33E4">
              <w:rPr>
                <w:rFonts w:ascii="Times" w:hAnsi="Times"/>
                <w:color w:val="000000"/>
                <w:sz w:val="18"/>
              </w:rPr>
              <w:t>-0.1%</w:t>
            </w:r>
          </w:p>
        </w:tc>
        <w:tc>
          <w:tcPr>
            <w:tcW w:w="1418" w:type="dxa"/>
            <w:shd w:val="clear" w:color="auto" w:fill="auto"/>
            <w:noWrap/>
            <w:vAlign w:val="bottom"/>
            <w:hideMark/>
          </w:tcPr>
          <w:p w14:paraId="66775B1F" w14:textId="5F4CACAD" w:rsidR="00A907A0" w:rsidRPr="000D33E4" w:rsidRDefault="00A907A0" w:rsidP="00E0369F">
            <w:pPr>
              <w:jc w:val="left"/>
              <w:rPr>
                <w:rFonts w:ascii="Times" w:hAnsi="Times"/>
                <w:color w:val="000000"/>
                <w:sz w:val="18"/>
              </w:rPr>
            </w:pPr>
            <w:r w:rsidRPr="000D33E4">
              <w:rPr>
                <w:rFonts w:ascii="Times" w:hAnsi="Times"/>
                <w:color w:val="000000"/>
                <w:sz w:val="18"/>
              </w:rPr>
              <w:t xml:space="preserve">Cooperative </w:t>
            </w:r>
            <w:r w:rsidR="007C5590" w:rsidRPr="000D33E4">
              <w:rPr>
                <w:rFonts w:ascii="Times" w:hAnsi="Times"/>
                <w:color w:val="000000"/>
                <w:sz w:val="18"/>
              </w:rPr>
              <w:t>governance</w:t>
            </w:r>
          </w:p>
        </w:tc>
        <w:tc>
          <w:tcPr>
            <w:tcW w:w="1559" w:type="dxa"/>
            <w:shd w:val="clear" w:color="auto" w:fill="auto"/>
            <w:noWrap/>
            <w:vAlign w:val="center"/>
            <w:hideMark/>
          </w:tcPr>
          <w:p w14:paraId="0BEFA508" w14:textId="77777777" w:rsidR="00A907A0" w:rsidRPr="000D33E4" w:rsidRDefault="00A907A0" w:rsidP="00A87760">
            <w:pPr>
              <w:jc w:val="center"/>
              <w:rPr>
                <w:rFonts w:ascii="Times" w:hAnsi="Times"/>
                <w:color w:val="000000"/>
                <w:sz w:val="18"/>
              </w:rPr>
            </w:pPr>
            <w:r w:rsidRPr="000D33E4">
              <w:rPr>
                <w:rFonts w:ascii="Times" w:hAnsi="Times"/>
                <w:color w:val="000000"/>
                <w:sz w:val="18"/>
              </w:rPr>
              <w:t>3.4%</w:t>
            </w:r>
          </w:p>
        </w:tc>
        <w:tc>
          <w:tcPr>
            <w:tcW w:w="1411" w:type="dxa"/>
            <w:shd w:val="clear" w:color="auto" w:fill="auto"/>
            <w:noWrap/>
            <w:vAlign w:val="center"/>
            <w:hideMark/>
          </w:tcPr>
          <w:p w14:paraId="039AE58C" w14:textId="77777777" w:rsidR="00A907A0" w:rsidRPr="000D33E4" w:rsidRDefault="00A907A0" w:rsidP="00A87760">
            <w:pPr>
              <w:jc w:val="center"/>
              <w:rPr>
                <w:rFonts w:ascii="Times" w:hAnsi="Times"/>
                <w:color w:val="000000"/>
                <w:sz w:val="18"/>
              </w:rPr>
            </w:pPr>
            <w:r w:rsidRPr="000D33E4">
              <w:rPr>
                <w:rFonts w:ascii="Times" w:hAnsi="Times"/>
                <w:color w:val="000000"/>
                <w:sz w:val="18"/>
              </w:rPr>
              <w:t>3.5%</w:t>
            </w:r>
          </w:p>
        </w:tc>
      </w:tr>
      <w:tr w:rsidR="00B013FE" w:rsidRPr="000D33E4" w14:paraId="0FB6D013" w14:textId="77777777" w:rsidTr="0000237A">
        <w:trPr>
          <w:trHeight w:val="204"/>
        </w:trPr>
        <w:tc>
          <w:tcPr>
            <w:tcW w:w="2268" w:type="dxa"/>
            <w:shd w:val="clear" w:color="auto" w:fill="auto"/>
            <w:noWrap/>
            <w:vAlign w:val="center"/>
            <w:hideMark/>
          </w:tcPr>
          <w:p w14:paraId="01853029" w14:textId="5644BCB8" w:rsidR="00A907A0" w:rsidRPr="000D33E4" w:rsidRDefault="00A907A0" w:rsidP="000F7BC5">
            <w:pPr>
              <w:jc w:val="left"/>
              <w:rPr>
                <w:rFonts w:ascii="Times" w:hAnsi="Times"/>
                <w:color w:val="000000"/>
                <w:sz w:val="18"/>
              </w:rPr>
            </w:pPr>
            <w:r w:rsidRPr="000D33E4">
              <w:rPr>
                <w:rFonts w:ascii="Times" w:hAnsi="Times"/>
                <w:color w:val="000000"/>
                <w:sz w:val="18"/>
              </w:rPr>
              <w:t xml:space="preserve">Agriculture, </w:t>
            </w:r>
            <w:r w:rsidR="007C5590" w:rsidRPr="000D33E4">
              <w:rPr>
                <w:rFonts w:ascii="Times" w:hAnsi="Times"/>
                <w:color w:val="000000"/>
                <w:sz w:val="18"/>
              </w:rPr>
              <w:t>land reform and rural d</w:t>
            </w:r>
            <w:r w:rsidRPr="000D33E4">
              <w:rPr>
                <w:rFonts w:ascii="Times" w:hAnsi="Times"/>
                <w:color w:val="000000"/>
                <w:sz w:val="18"/>
              </w:rPr>
              <w:t xml:space="preserve">evelopment </w:t>
            </w:r>
          </w:p>
        </w:tc>
        <w:tc>
          <w:tcPr>
            <w:tcW w:w="1417" w:type="dxa"/>
            <w:shd w:val="clear" w:color="auto" w:fill="auto"/>
            <w:noWrap/>
            <w:vAlign w:val="center"/>
            <w:hideMark/>
          </w:tcPr>
          <w:p w14:paraId="6D9536D6" w14:textId="77777777" w:rsidR="00A907A0" w:rsidRPr="000D33E4" w:rsidRDefault="00A907A0" w:rsidP="00A87760">
            <w:pPr>
              <w:jc w:val="center"/>
              <w:rPr>
                <w:rFonts w:ascii="Times" w:hAnsi="Times"/>
                <w:color w:val="000000"/>
                <w:sz w:val="18"/>
              </w:rPr>
            </w:pPr>
            <w:r w:rsidRPr="000D33E4">
              <w:rPr>
                <w:rFonts w:ascii="Times" w:hAnsi="Times"/>
                <w:color w:val="000000"/>
                <w:sz w:val="18"/>
              </w:rPr>
              <w:t>-0.6%</w:t>
            </w:r>
          </w:p>
        </w:tc>
        <w:tc>
          <w:tcPr>
            <w:tcW w:w="1560" w:type="dxa"/>
            <w:shd w:val="clear" w:color="auto" w:fill="auto"/>
            <w:noWrap/>
            <w:vAlign w:val="center"/>
            <w:hideMark/>
          </w:tcPr>
          <w:p w14:paraId="10659473" w14:textId="77777777" w:rsidR="00A907A0" w:rsidRPr="000D33E4" w:rsidRDefault="00A907A0" w:rsidP="00A87760">
            <w:pPr>
              <w:jc w:val="center"/>
              <w:rPr>
                <w:rFonts w:ascii="Times" w:hAnsi="Times"/>
                <w:color w:val="000000"/>
                <w:sz w:val="18"/>
              </w:rPr>
            </w:pPr>
            <w:r w:rsidRPr="000D33E4">
              <w:rPr>
                <w:rFonts w:ascii="Times" w:hAnsi="Times"/>
                <w:color w:val="000000"/>
                <w:sz w:val="18"/>
              </w:rPr>
              <w:t>-2.0%</w:t>
            </w:r>
          </w:p>
        </w:tc>
        <w:tc>
          <w:tcPr>
            <w:tcW w:w="1418" w:type="dxa"/>
            <w:shd w:val="clear" w:color="auto" w:fill="auto"/>
            <w:noWrap/>
            <w:vAlign w:val="bottom"/>
            <w:hideMark/>
          </w:tcPr>
          <w:p w14:paraId="23FCC397" w14:textId="0025B9B2" w:rsidR="00A907A0" w:rsidRPr="000D33E4" w:rsidRDefault="00A907A0" w:rsidP="00E0369F">
            <w:pPr>
              <w:jc w:val="left"/>
              <w:rPr>
                <w:rFonts w:ascii="Times" w:hAnsi="Times"/>
                <w:color w:val="000000"/>
                <w:sz w:val="18"/>
              </w:rPr>
            </w:pPr>
            <w:r w:rsidRPr="000D33E4">
              <w:rPr>
                <w:rFonts w:ascii="Times" w:hAnsi="Times"/>
                <w:color w:val="000000"/>
                <w:sz w:val="18"/>
              </w:rPr>
              <w:t xml:space="preserve">Social </w:t>
            </w:r>
            <w:r w:rsidR="007C5590" w:rsidRPr="000D33E4">
              <w:rPr>
                <w:rFonts w:ascii="Times" w:hAnsi="Times"/>
                <w:color w:val="000000"/>
                <w:sz w:val="18"/>
              </w:rPr>
              <w:t>development</w:t>
            </w:r>
          </w:p>
        </w:tc>
        <w:tc>
          <w:tcPr>
            <w:tcW w:w="1559" w:type="dxa"/>
            <w:shd w:val="clear" w:color="auto" w:fill="auto"/>
            <w:noWrap/>
            <w:vAlign w:val="center"/>
            <w:hideMark/>
          </w:tcPr>
          <w:p w14:paraId="32E83A18" w14:textId="77777777" w:rsidR="00A907A0" w:rsidRPr="000D33E4" w:rsidRDefault="00A907A0" w:rsidP="00A87760">
            <w:pPr>
              <w:jc w:val="center"/>
              <w:rPr>
                <w:rFonts w:ascii="Times" w:hAnsi="Times"/>
                <w:color w:val="000000"/>
                <w:sz w:val="18"/>
              </w:rPr>
            </w:pPr>
            <w:r w:rsidRPr="000D33E4">
              <w:rPr>
                <w:rFonts w:ascii="Times" w:hAnsi="Times"/>
                <w:color w:val="000000"/>
                <w:sz w:val="18"/>
              </w:rPr>
              <w:t>3.2%</w:t>
            </w:r>
          </w:p>
        </w:tc>
        <w:tc>
          <w:tcPr>
            <w:tcW w:w="1411" w:type="dxa"/>
            <w:shd w:val="clear" w:color="auto" w:fill="auto"/>
            <w:noWrap/>
            <w:vAlign w:val="center"/>
            <w:hideMark/>
          </w:tcPr>
          <w:p w14:paraId="12097414" w14:textId="77777777" w:rsidR="00A907A0" w:rsidRPr="000D33E4" w:rsidRDefault="00A907A0" w:rsidP="00A87760">
            <w:pPr>
              <w:jc w:val="center"/>
              <w:rPr>
                <w:rFonts w:ascii="Times" w:hAnsi="Times"/>
                <w:color w:val="000000"/>
                <w:sz w:val="18"/>
              </w:rPr>
            </w:pPr>
            <w:r w:rsidRPr="000D33E4">
              <w:rPr>
                <w:rFonts w:ascii="Times" w:hAnsi="Times"/>
                <w:color w:val="000000"/>
                <w:sz w:val="18"/>
              </w:rPr>
              <w:t>2.4%</w:t>
            </w:r>
          </w:p>
        </w:tc>
      </w:tr>
      <w:tr w:rsidR="00B013FE" w:rsidRPr="000D33E4" w14:paraId="44C14ED6" w14:textId="77777777" w:rsidTr="0000237A">
        <w:trPr>
          <w:trHeight w:val="204"/>
        </w:trPr>
        <w:tc>
          <w:tcPr>
            <w:tcW w:w="2268" w:type="dxa"/>
            <w:shd w:val="clear" w:color="auto" w:fill="auto"/>
            <w:noWrap/>
            <w:vAlign w:val="center"/>
            <w:hideMark/>
          </w:tcPr>
          <w:p w14:paraId="73593434" w14:textId="39D549E6" w:rsidR="00A907A0" w:rsidRPr="000D33E4" w:rsidRDefault="00A907A0" w:rsidP="000F7BC5">
            <w:pPr>
              <w:jc w:val="left"/>
              <w:rPr>
                <w:rFonts w:ascii="Times" w:hAnsi="Times"/>
                <w:color w:val="000000"/>
                <w:sz w:val="18"/>
              </w:rPr>
            </w:pPr>
            <w:r w:rsidRPr="000D33E4">
              <w:rPr>
                <w:rFonts w:ascii="Times" w:hAnsi="Times"/>
                <w:color w:val="000000"/>
                <w:sz w:val="18"/>
              </w:rPr>
              <w:t xml:space="preserve">Human </w:t>
            </w:r>
            <w:r w:rsidR="007C5590" w:rsidRPr="000D33E4">
              <w:rPr>
                <w:rFonts w:ascii="Times" w:hAnsi="Times"/>
                <w:color w:val="000000"/>
                <w:sz w:val="18"/>
              </w:rPr>
              <w:t>settlements</w:t>
            </w:r>
          </w:p>
        </w:tc>
        <w:tc>
          <w:tcPr>
            <w:tcW w:w="1417" w:type="dxa"/>
            <w:shd w:val="clear" w:color="auto" w:fill="auto"/>
            <w:noWrap/>
            <w:vAlign w:val="center"/>
            <w:hideMark/>
          </w:tcPr>
          <w:p w14:paraId="40349DC9" w14:textId="77777777" w:rsidR="00A907A0" w:rsidRPr="000D33E4" w:rsidRDefault="00A907A0" w:rsidP="00A87760">
            <w:pPr>
              <w:jc w:val="center"/>
              <w:rPr>
                <w:rFonts w:ascii="Times" w:hAnsi="Times"/>
                <w:color w:val="000000"/>
                <w:sz w:val="18"/>
              </w:rPr>
            </w:pPr>
            <w:r w:rsidRPr="000D33E4">
              <w:rPr>
                <w:rFonts w:ascii="Times" w:hAnsi="Times"/>
                <w:color w:val="000000"/>
                <w:sz w:val="18"/>
              </w:rPr>
              <w:t>-1.0%</w:t>
            </w:r>
          </w:p>
        </w:tc>
        <w:tc>
          <w:tcPr>
            <w:tcW w:w="1560" w:type="dxa"/>
            <w:shd w:val="clear" w:color="auto" w:fill="auto"/>
            <w:noWrap/>
            <w:vAlign w:val="center"/>
            <w:hideMark/>
          </w:tcPr>
          <w:p w14:paraId="3D95FB44" w14:textId="77777777" w:rsidR="00A907A0" w:rsidRPr="000D33E4" w:rsidRDefault="00A907A0" w:rsidP="00A87760">
            <w:pPr>
              <w:jc w:val="center"/>
              <w:rPr>
                <w:rFonts w:ascii="Times" w:hAnsi="Times"/>
                <w:color w:val="000000"/>
                <w:sz w:val="18"/>
              </w:rPr>
            </w:pPr>
            <w:r w:rsidRPr="000D33E4">
              <w:rPr>
                <w:rFonts w:ascii="Times" w:hAnsi="Times"/>
                <w:color w:val="000000"/>
                <w:sz w:val="18"/>
              </w:rPr>
              <w:t>-5.4%</w:t>
            </w:r>
          </w:p>
        </w:tc>
        <w:tc>
          <w:tcPr>
            <w:tcW w:w="1418" w:type="dxa"/>
            <w:shd w:val="clear" w:color="auto" w:fill="auto"/>
            <w:noWrap/>
            <w:vAlign w:val="bottom"/>
            <w:hideMark/>
          </w:tcPr>
          <w:p w14:paraId="3DD531FA" w14:textId="4C15F74E" w:rsidR="00A907A0" w:rsidRPr="000D33E4" w:rsidRDefault="00A907A0" w:rsidP="00E0369F">
            <w:pPr>
              <w:jc w:val="left"/>
              <w:rPr>
                <w:rFonts w:ascii="Times" w:hAnsi="Times"/>
                <w:color w:val="000000"/>
                <w:sz w:val="18"/>
              </w:rPr>
            </w:pPr>
            <w:r w:rsidRPr="000D33E4">
              <w:rPr>
                <w:rFonts w:ascii="Times" w:hAnsi="Times"/>
                <w:color w:val="000000"/>
                <w:sz w:val="18"/>
              </w:rPr>
              <w:t xml:space="preserve">Small </w:t>
            </w:r>
            <w:r w:rsidR="007C5590" w:rsidRPr="000D33E4">
              <w:rPr>
                <w:rFonts w:ascii="Times" w:hAnsi="Times"/>
                <w:color w:val="000000"/>
                <w:sz w:val="18"/>
              </w:rPr>
              <w:t>business developm</w:t>
            </w:r>
            <w:r w:rsidRPr="000D33E4">
              <w:rPr>
                <w:rFonts w:ascii="Times" w:hAnsi="Times"/>
                <w:color w:val="000000"/>
                <w:sz w:val="18"/>
              </w:rPr>
              <w:t>ent</w:t>
            </w:r>
          </w:p>
        </w:tc>
        <w:tc>
          <w:tcPr>
            <w:tcW w:w="1559" w:type="dxa"/>
            <w:shd w:val="clear" w:color="auto" w:fill="auto"/>
            <w:noWrap/>
            <w:vAlign w:val="center"/>
            <w:hideMark/>
          </w:tcPr>
          <w:p w14:paraId="36EB083B" w14:textId="77777777" w:rsidR="00A907A0" w:rsidRPr="000D33E4" w:rsidRDefault="00A907A0" w:rsidP="00A87760">
            <w:pPr>
              <w:jc w:val="center"/>
              <w:rPr>
                <w:rFonts w:ascii="Times" w:hAnsi="Times"/>
                <w:color w:val="000000"/>
                <w:sz w:val="18"/>
              </w:rPr>
            </w:pPr>
            <w:r w:rsidRPr="000D33E4">
              <w:rPr>
                <w:rFonts w:ascii="Times" w:hAnsi="Times"/>
                <w:color w:val="000000"/>
                <w:sz w:val="18"/>
              </w:rPr>
              <w:t>18.4%</w:t>
            </w:r>
          </w:p>
        </w:tc>
        <w:tc>
          <w:tcPr>
            <w:tcW w:w="1411" w:type="dxa"/>
            <w:shd w:val="clear" w:color="auto" w:fill="auto"/>
            <w:noWrap/>
            <w:vAlign w:val="center"/>
            <w:hideMark/>
          </w:tcPr>
          <w:p w14:paraId="71A7930D" w14:textId="77777777" w:rsidR="00A907A0" w:rsidRPr="000D33E4" w:rsidRDefault="00A907A0" w:rsidP="00A87760">
            <w:pPr>
              <w:jc w:val="center"/>
              <w:rPr>
                <w:rFonts w:ascii="Times" w:hAnsi="Times"/>
                <w:color w:val="000000"/>
                <w:sz w:val="18"/>
              </w:rPr>
            </w:pPr>
            <w:r w:rsidRPr="000D33E4">
              <w:rPr>
                <w:rFonts w:ascii="Times" w:hAnsi="Times"/>
                <w:color w:val="000000"/>
                <w:sz w:val="18"/>
              </w:rPr>
              <w:t>2.1%</w:t>
            </w:r>
          </w:p>
        </w:tc>
      </w:tr>
      <w:tr w:rsidR="00B013FE" w:rsidRPr="000D33E4" w14:paraId="2A117889" w14:textId="77777777" w:rsidTr="0000237A">
        <w:trPr>
          <w:trHeight w:val="204"/>
        </w:trPr>
        <w:tc>
          <w:tcPr>
            <w:tcW w:w="2268" w:type="dxa"/>
            <w:shd w:val="clear" w:color="auto" w:fill="auto"/>
            <w:noWrap/>
            <w:vAlign w:val="center"/>
            <w:hideMark/>
          </w:tcPr>
          <w:p w14:paraId="46FA3DFC" w14:textId="574BF6C2" w:rsidR="00A907A0" w:rsidRPr="000D33E4" w:rsidRDefault="00A907A0" w:rsidP="000F7BC5">
            <w:pPr>
              <w:jc w:val="left"/>
              <w:rPr>
                <w:rFonts w:ascii="Times" w:hAnsi="Times"/>
                <w:color w:val="000000"/>
                <w:sz w:val="18"/>
              </w:rPr>
            </w:pPr>
            <w:r w:rsidRPr="000D33E4">
              <w:rPr>
                <w:rFonts w:ascii="Times" w:hAnsi="Times"/>
                <w:color w:val="000000"/>
                <w:sz w:val="18"/>
              </w:rPr>
              <w:t xml:space="preserve">Trade, </w:t>
            </w:r>
            <w:r w:rsidR="007C5590" w:rsidRPr="000D33E4">
              <w:rPr>
                <w:rFonts w:ascii="Times" w:hAnsi="Times"/>
                <w:color w:val="000000"/>
                <w:sz w:val="18"/>
              </w:rPr>
              <w:t>industry and competition</w:t>
            </w:r>
          </w:p>
        </w:tc>
        <w:tc>
          <w:tcPr>
            <w:tcW w:w="1417" w:type="dxa"/>
            <w:shd w:val="clear" w:color="auto" w:fill="auto"/>
            <w:noWrap/>
            <w:vAlign w:val="center"/>
            <w:hideMark/>
          </w:tcPr>
          <w:p w14:paraId="0928C903" w14:textId="77777777" w:rsidR="00A907A0" w:rsidRPr="000D33E4" w:rsidRDefault="00A907A0" w:rsidP="00A87760">
            <w:pPr>
              <w:jc w:val="center"/>
              <w:rPr>
                <w:rFonts w:ascii="Times" w:hAnsi="Times"/>
                <w:color w:val="000000"/>
                <w:sz w:val="18"/>
              </w:rPr>
            </w:pPr>
            <w:r w:rsidRPr="000D33E4">
              <w:rPr>
                <w:rFonts w:ascii="Times" w:hAnsi="Times"/>
                <w:color w:val="000000"/>
                <w:sz w:val="18"/>
              </w:rPr>
              <w:t>-4.3%</w:t>
            </w:r>
          </w:p>
        </w:tc>
        <w:tc>
          <w:tcPr>
            <w:tcW w:w="1560" w:type="dxa"/>
            <w:shd w:val="clear" w:color="auto" w:fill="auto"/>
            <w:noWrap/>
            <w:vAlign w:val="center"/>
            <w:hideMark/>
          </w:tcPr>
          <w:p w14:paraId="7CB4311B" w14:textId="77777777" w:rsidR="00A907A0" w:rsidRPr="000D33E4" w:rsidRDefault="00A907A0" w:rsidP="00A87760">
            <w:pPr>
              <w:jc w:val="center"/>
              <w:rPr>
                <w:rFonts w:ascii="Times" w:hAnsi="Times"/>
                <w:color w:val="000000"/>
                <w:sz w:val="18"/>
              </w:rPr>
            </w:pPr>
            <w:r w:rsidRPr="000D33E4">
              <w:rPr>
                <w:rFonts w:ascii="Times" w:hAnsi="Times"/>
                <w:color w:val="000000"/>
                <w:sz w:val="18"/>
              </w:rPr>
              <w:t>-5.9%</w:t>
            </w:r>
          </w:p>
        </w:tc>
        <w:tc>
          <w:tcPr>
            <w:tcW w:w="1418" w:type="dxa"/>
            <w:shd w:val="clear" w:color="auto" w:fill="auto"/>
            <w:noWrap/>
            <w:vAlign w:val="bottom"/>
            <w:hideMark/>
          </w:tcPr>
          <w:p w14:paraId="27CCE1C8" w14:textId="77777777" w:rsidR="00A907A0" w:rsidRPr="000D33E4" w:rsidRDefault="00A907A0" w:rsidP="00E0369F">
            <w:pPr>
              <w:jc w:val="left"/>
              <w:rPr>
                <w:rFonts w:ascii="Times" w:hAnsi="Times"/>
                <w:color w:val="000000"/>
                <w:sz w:val="18"/>
              </w:rPr>
            </w:pPr>
            <w:r w:rsidRPr="000D33E4">
              <w:rPr>
                <w:rFonts w:ascii="Times" w:hAnsi="Times"/>
                <w:color w:val="000000"/>
                <w:sz w:val="18"/>
              </w:rPr>
              <w:t>National School of Government</w:t>
            </w:r>
          </w:p>
        </w:tc>
        <w:tc>
          <w:tcPr>
            <w:tcW w:w="1559" w:type="dxa"/>
            <w:shd w:val="clear" w:color="auto" w:fill="auto"/>
            <w:noWrap/>
            <w:vAlign w:val="center"/>
            <w:hideMark/>
          </w:tcPr>
          <w:p w14:paraId="79FE6AA1" w14:textId="77777777" w:rsidR="00A907A0" w:rsidRPr="000D33E4" w:rsidRDefault="00A907A0" w:rsidP="00A87760">
            <w:pPr>
              <w:jc w:val="center"/>
              <w:rPr>
                <w:rFonts w:ascii="Times" w:hAnsi="Times"/>
                <w:color w:val="000000"/>
                <w:sz w:val="18"/>
              </w:rPr>
            </w:pPr>
            <w:r w:rsidRPr="000D33E4">
              <w:rPr>
                <w:rFonts w:ascii="Times" w:hAnsi="Times"/>
                <w:color w:val="000000"/>
                <w:sz w:val="18"/>
              </w:rPr>
              <w:t>23.3%</w:t>
            </w:r>
          </w:p>
        </w:tc>
        <w:tc>
          <w:tcPr>
            <w:tcW w:w="1411" w:type="dxa"/>
            <w:shd w:val="clear" w:color="auto" w:fill="auto"/>
            <w:noWrap/>
            <w:vAlign w:val="center"/>
            <w:hideMark/>
          </w:tcPr>
          <w:p w14:paraId="304D8C70" w14:textId="77777777" w:rsidR="00A907A0" w:rsidRPr="000D33E4" w:rsidRDefault="00A907A0" w:rsidP="00A87760">
            <w:pPr>
              <w:jc w:val="center"/>
              <w:rPr>
                <w:rFonts w:ascii="Times" w:hAnsi="Times"/>
                <w:color w:val="000000"/>
                <w:sz w:val="18"/>
              </w:rPr>
            </w:pPr>
            <w:r w:rsidRPr="000D33E4">
              <w:rPr>
                <w:rFonts w:ascii="Times" w:hAnsi="Times"/>
                <w:color w:val="000000"/>
                <w:sz w:val="18"/>
              </w:rPr>
              <w:t>3.2%</w:t>
            </w:r>
          </w:p>
        </w:tc>
      </w:tr>
    </w:tbl>
    <w:p w14:paraId="7B49DD0F" w14:textId="77777777" w:rsidR="00DF0D2D" w:rsidRPr="009A7F2D" w:rsidRDefault="00DF0D2D" w:rsidP="009A7F2D">
      <w:pPr>
        <w:jc w:val="left"/>
        <w:rPr>
          <w:i/>
          <w:iCs/>
          <w:sz w:val="20"/>
          <w:szCs w:val="20"/>
        </w:rPr>
      </w:pPr>
      <w:r w:rsidRPr="009A7F2D">
        <w:rPr>
          <w:i/>
          <w:iCs/>
          <w:sz w:val="20"/>
          <w:szCs w:val="20"/>
        </w:rPr>
        <w:t xml:space="preserve">Source: National Treasury, Budget Review 2020 </w:t>
      </w:r>
    </w:p>
    <w:p w14:paraId="5BB2789E" w14:textId="77777777" w:rsidR="00DF0D2D" w:rsidRPr="000D33E4" w:rsidRDefault="00DF0D2D" w:rsidP="009A7F2D">
      <w:pPr>
        <w:ind w:left="567" w:hanging="567"/>
      </w:pPr>
    </w:p>
    <w:p w14:paraId="68CA1C17" w14:textId="5405D609" w:rsidR="00B013FE" w:rsidRPr="000D33E4" w:rsidRDefault="00A907A0" w:rsidP="009A7F2D">
      <w:r w:rsidRPr="000D33E4">
        <w:t xml:space="preserve">Government’s efforts to protect allocations to the local government sphere as reflected in positive, above inflation growth to </w:t>
      </w:r>
      <w:r w:rsidR="00991BD4">
        <w:t>c</w:t>
      </w:r>
      <w:r w:rsidR="00E0369F" w:rsidRPr="000D33E4">
        <w:t xml:space="preserve">ooperative </w:t>
      </w:r>
      <w:r w:rsidR="00991BD4">
        <w:t>g</w:t>
      </w:r>
      <w:r w:rsidR="00E0369F" w:rsidRPr="000D33E4">
        <w:t xml:space="preserve">overnance </w:t>
      </w:r>
      <w:r w:rsidRPr="000D33E4">
        <w:t>is noteworthy, given that the delivery of basic services to indigent households takes place at municipal level. Likewise</w:t>
      </w:r>
      <w:r w:rsidR="00991BD4">
        <w:t xml:space="preserve"> for</w:t>
      </w:r>
      <w:r w:rsidRPr="000D33E4">
        <w:t xml:space="preserve"> maintaining the safety net of the poor through higher than inflation allocations to </w:t>
      </w:r>
      <w:r w:rsidR="00E0369F" w:rsidRPr="000D33E4">
        <w:t xml:space="preserve">social development </w:t>
      </w:r>
      <w:r w:rsidRPr="000D33E4">
        <w:t>which translate</w:t>
      </w:r>
      <w:r w:rsidR="00991BD4">
        <w:t>s</w:t>
      </w:r>
      <w:r w:rsidRPr="000D33E4">
        <w:t xml:space="preserve"> into social grant funding to the poorest of the poor. That these measures take place against strong real growth in allocations to the </w:t>
      </w:r>
      <w:r w:rsidR="00E0369F" w:rsidRPr="000D33E4">
        <w:t xml:space="preserve">small business development </w:t>
      </w:r>
      <w:r w:rsidRPr="000D33E4">
        <w:t xml:space="preserve">vote highlights the attempts by government to promote future growth and job creation. </w:t>
      </w:r>
    </w:p>
    <w:p w14:paraId="2CA47E44" w14:textId="77777777" w:rsidR="00B11D59" w:rsidRPr="000D33E4" w:rsidRDefault="00B11D59" w:rsidP="00B11D59">
      <w:pPr>
        <w:rPr>
          <w:rFonts w:ascii="Times" w:hAnsi="Times"/>
        </w:rPr>
      </w:pPr>
    </w:p>
    <w:p w14:paraId="3D8CBD5C" w14:textId="1152795C" w:rsidR="00E0369F" w:rsidRDefault="00A907A0" w:rsidP="00C52EBD">
      <w:r w:rsidRPr="000D33E4">
        <w:t xml:space="preserve">As noted under the previous section, cuts to the </w:t>
      </w:r>
      <w:r w:rsidR="00E0369F" w:rsidRPr="000D33E4">
        <w:t xml:space="preserve">agriculture, land reform and rural development </w:t>
      </w:r>
      <w:r w:rsidRPr="000D33E4">
        <w:t>vote potentially disable a lever for growth and also impl</w:t>
      </w:r>
      <w:r w:rsidR="007C5590">
        <w:t>y</w:t>
      </w:r>
      <w:r w:rsidRPr="000D33E4">
        <w:t xml:space="preserve"> that resources to assist the poor in rural areas are under pressure. Pressure on the </w:t>
      </w:r>
      <w:r w:rsidR="00E0369F" w:rsidRPr="000D33E4">
        <w:t xml:space="preserve">human settlements </w:t>
      </w:r>
      <w:r w:rsidRPr="000D33E4">
        <w:t xml:space="preserve">vote are largely the result of reductions in the conditional grant allocations to this department. The strong real cuts to the </w:t>
      </w:r>
      <w:r w:rsidR="00E0369F" w:rsidRPr="000D33E4">
        <w:t>trade, industry and competi</w:t>
      </w:r>
      <w:r w:rsidRPr="000D33E4">
        <w:t xml:space="preserve">tion vote </w:t>
      </w:r>
      <w:r w:rsidR="00E0369F">
        <w:t>are</w:t>
      </w:r>
      <w:r w:rsidRPr="000D33E4">
        <w:t xml:space="preserve"> surprising given the need to </w:t>
      </w:r>
      <w:r w:rsidR="00D66FD0">
        <w:t>support</w:t>
      </w:r>
      <w:r w:rsidRPr="000D33E4">
        <w:t xml:space="preserve"> growth and job creation in the country. Cuts could result from concerns regarding impact and relative cost, also factoring in analyses from </w:t>
      </w:r>
      <w:r w:rsidR="00E0369F">
        <w:t>the Department of Planning, Monitoring and Evaluation (</w:t>
      </w:r>
      <w:r w:rsidRPr="000D33E4">
        <w:t>DPME</w:t>
      </w:r>
      <w:r w:rsidR="00E0369F">
        <w:t>)</w:t>
      </w:r>
      <w:r w:rsidRPr="000D33E4">
        <w:t xml:space="preserve"> and spending review evaluations. Of concern is </w:t>
      </w:r>
      <w:r w:rsidR="00DF0D2D" w:rsidRPr="000D33E4">
        <w:t xml:space="preserve">the </w:t>
      </w:r>
      <w:r w:rsidR="0015192E">
        <w:t>apparent</w:t>
      </w:r>
      <w:r w:rsidR="0015192E" w:rsidRPr="000D33E4">
        <w:t xml:space="preserve"> </w:t>
      </w:r>
      <w:r w:rsidRPr="000D33E4">
        <w:t xml:space="preserve">erosion of the allocations to Statistics South Africa </w:t>
      </w:r>
      <w:r w:rsidR="00E0369F">
        <w:t xml:space="preserve">(StatsSA) </w:t>
      </w:r>
      <w:r w:rsidRPr="000D33E4">
        <w:t xml:space="preserve">especially given </w:t>
      </w:r>
      <w:r w:rsidR="00E0369F">
        <w:t>its</w:t>
      </w:r>
      <w:r w:rsidR="00E0369F" w:rsidRPr="000D33E4">
        <w:t xml:space="preserve"> </w:t>
      </w:r>
      <w:r w:rsidRPr="000D33E4">
        <w:t xml:space="preserve">role as producer of official statistics that form the basis for decision-making across government and </w:t>
      </w:r>
      <w:r w:rsidR="00477AB8" w:rsidRPr="000D33E4">
        <w:t>busine</w:t>
      </w:r>
      <w:r w:rsidR="00477AB8">
        <w:t>ss.</w:t>
      </w:r>
      <w:r w:rsidRPr="000D33E4">
        <w:t xml:space="preserve"> Given the fourth industrial revolution and the growing importance of data as tools and assets, StatsSA should play a leading role in positioning government in this context. </w:t>
      </w:r>
    </w:p>
    <w:p w14:paraId="5B495746" w14:textId="77777777" w:rsidR="002817C2" w:rsidRPr="000D33E4" w:rsidRDefault="002817C2" w:rsidP="009A7F2D">
      <w:r w:rsidRPr="000D33E4">
        <w:br w:type="page"/>
      </w:r>
    </w:p>
    <w:p w14:paraId="27A60501" w14:textId="4AAFC477" w:rsidR="000D1940" w:rsidRPr="000D33E4" w:rsidRDefault="00556D9C" w:rsidP="00B4512F">
      <w:pPr>
        <w:pStyle w:val="IntenseQuote"/>
      </w:pPr>
      <w:bookmarkStart w:id="67" w:name="_Toc42211915"/>
      <w:r>
        <w:rPr>
          <w:rFonts w:eastAsia="+mn-ea"/>
        </w:rPr>
        <w:t xml:space="preserve">Section 4: </w:t>
      </w:r>
      <w:r w:rsidR="00E827B9">
        <w:rPr>
          <w:rFonts w:eastAsia="+mn-ea"/>
        </w:rPr>
        <w:br/>
      </w:r>
      <w:r>
        <w:rPr>
          <w:rFonts w:eastAsia="+mn-ea"/>
        </w:rPr>
        <w:t>A</w:t>
      </w:r>
      <w:r w:rsidR="000D1940" w:rsidRPr="000D33E4">
        <w:rPr>
          <w:rFonts w:eastAsia="+mn-ea"/>
        </w:rPr>
        <w:t>n</w:t>
      </w:r>
      <w:r w:rsidR="00E827B9">
        <w:rPr>
          <w:rFonts w:eastAsia="+mn-ea"/>
        </w:rPr>
        <w:t xml:space="preserve"> </w:t>
      </w:r>
      <w:r w:rsidR="00E0369F">
        <w:t>a</w:t>
      </w:r>
      <w:r w:rsidR="000D1940" w:rsidRPr="000D33E4">
        <w:t xml:space="preserve">ssessment </w:t>
      </w:r>
      <w:r>
        <w:t>o</w:t>
      </w:r>
      <w:r w:rsidR="0015192E">
        <w:t>f</w:t>
      </w:r>
      <w:r>
        <w:t xml:space="preserve"> growth and</w:t>
      </w:r>
      <w:r>
        <w:br/>
        <w:t xml:space="preserve">transformation </w:t>
      </w:r>
      <w:r w:rsidR="000D1940" w:rsidRPr="000D33E4">
        <w:t xml:space="preserve">of </w:t>
      </w:r>
      <w:r w:rsidR="00E0369F">
        <w:t>g</w:t>
      </w:r>
      <w:r w:rsidR="000D1940" w:rsidRPr="000D33E4">
        <w:t>overnment’s</w:t>
      </w:r>
      <w:r>
        <w:br/>
      </w:r>
      <w:r w:rsidR="00E0369F">
        <w:t>f</w:t>
      </w:r>
      <w:r w:rsidR="000D1940" w:rsidRPr="000D33E4">
        <w:t>iscal</w:t>
      </w:r>
      <w:r>
        <w:t xml:space="preserve"> </w:t>
      </w:r>
      <w:r w:rsidR="000D1940" w:rsidRPr="000D33E4">
        <w:t xml:space="preserve">and </w:t>
      </w:r>
      <w:r w:rsidR="00E0369F">
        <w:t>m</w:t>
      </w:r>
      <w:r w:rsidR="000D1940" w:rsidRPr="000D33E4">
        <w:t xml:space="preserve">onetary responses </w:t>
      </w:r>
      <w:r w:rsidR="00E827B9">
        <w:br/>
      </w:r>
      <w:r w:rsidR="000D1940" w:rsidRPr="000D33E4">
        <w:t>to</w:t>
      </w:r>
      <w:r w:rsidR="00E827B9">
        <w:t xml:space="preserve"> </w:t>
      </w:r>
      <w:r w:rsidR="000D1940" w:rsidRPr="000D33E4">
        <w:t>Covid-19</w:t>
      </w:r>
      <w:bookmarkEnd w:id="67"/>
    </w:p>
    <w:p w14:paraId="271AB269" w14:textId="77777777" w:rsidR="00E0369F" w:rsidRPr="008C3C83" w:rsidRDefault="000D1940" w:rsidP="00C52EBD">
      <w:r w:rsidRPr="000D33E4">
        <w:t xml:space="preserve">As noted above, the Covid-19 pandemic has caused unprecedented disruption to the economy, </w:t>
      </w:r>
      <w:r w:rsidR="0073731A" w:rsidRPr="000D33E4">
        <w:t>health and</w:t>
      </w:r>
      <w:r w:rsidRPr="000D33E4">
        <w:t xml:space="preserve"> socio-political fabric of the country. Before the Covid-19 outbreak, the country was already grappling with economic headwinds from both the domestic and international environments.</w:t>
      </w:r>
      <w:r w:rsidR="002D39CB">
        <w:t xml:space="preserve"> </w:t>
      </w:r>
      <w:r w:rsidR="00884982" w:rsidRPr="000D33E4">
        <w:t xml:space="preserve">The transmission of </w:t>
      </w:r>
      <w:r w:rsidR="008B0F56">
        <w:t>Covid</w:t>
      </w:r>
      <w:r w:rsidR="00884982" w:rsidRPr="000D33E4">
        <w:t xml:space="preserve">-19 on economic </w:t>
      </w:r>
      <w:r w:rsidR="0073731A" w:rsidRPr="000D33E4">
        <w:t xml:space="preserve">activity in South Africa </w:t>
      </w:r>
      <w:r w:rsidR="00E0369F">
        <w:t>has occurred</w:t>
      </w:r>
      <w:r w:rsidR="00884982" w:rsidRPr="000D33E4">
        <w:t xml:space="preserve"> through various channels: </w:t>
      </w:r>
    </w:p>
    <w:p w14:paraId="463B1EB7" w14:textId="77777777" w:rsidR="00E0369F" w:rsidRPr="008C3C83" w:rsidRDefault="00E0369F" w:rsidP="00B62345">
      <w:pPr>
        <w:pStyle w:val="ListParagraph"/>
      </w:pPr>
      <w:r w:rsidRPr="008C3C83">
        <w:t>Dis</w:t>
      </w:r>
      <w:r w:rsidR="00884982" w:rsidRPr="008C3C83">
        <w:t>ruption in trade and value chains;</w:t>
      </w:r>
    </w:p>
    <w:p w14:paraId="651631A3" w14:textId="77777777" w:rsidR="00E0369F" w:rsidRPr="008C3C83" w:rsidRDefault="00E0369F" w:rsidP="005C3D29">
      <w:pPr>
        <w:pStyle w:val="ListParagraph"/>
      </w:pPr>
      <w:r w:rsidRPr="008C3C83">
        <w:t>F</w:t>
      </w:r>
      <w:r w:rsidR="00884982" w:rsidRPr="008C3C83">
        <w:t xml:space="preserve">oreign financing flows reduction; </w:t>
      </w:r>
    </w:p>
    <w:p w14:paraId="1F7B2E48" w14:textId="220D7627" w:rsidR="00D71D8C" w:rsidRPr="008C3C83" w:rsidRDefault="00E0369F" w:rsidP="002B0D6D">
      <w:pPr>
        <w:pStyle w:val="ListParagraph"/>
      </w:pPr>
      <w:r w:rsidRPr="008C3C83">
        <w:t>T</w:t>
      </w:r>
      <w:r w:rsidR="00884982" w:rsidRPr="008C3C83">
        <w:t xml:space="preserve">he direct impact of </w:t>
      </w:r>
      <w:r w:rsidR="008B0F56" w:rsidRPr="008C3C83">
        <w:t>Covid</w:t>
      </w:r>
      <w:r w:rsidR="00884982" w:rsidRPr="008C3C83">
        <w:t xml:space="preserve">-19 on economic activity; </w:t>
      </w:r>
      <w:bookmarkStart w:id="68" w:name="_Hlk40554218"/>
      <w:r w:rsidR="0015192E">
        <w:t xml:space="preserve"> and</w:t>
      </w:r>
    </w:p>
    <w:p w14:paraId="53AB417E" w14:textId="427F6EA8" w:rsidR="00884982" w:rsidRDefault="00E0369F" w:rsidP="006142F1">
      <w:pPr>
        <w:pStyle w:val="ListParagraph"/>
      </w:pPr>
      <w:r w:rsidRPr="008C3C83">
        <w:t>D</w:t>
      </w:r>
      <w:r w:rsidR="00884982" w:rsidRPr="008C3C83">
        <w:t>isruptions resulting from containment and mitigation lockdown measures imposed by government.</w:t>
      </w:r>
      <w:bookmarkEnd w:id="68"/>
    </w:p>
    <w:p w14:paraId="2DC4F36E" w14:textId="77777777" w:rsidR="00492893" w:rsidRPr="00492893" w:rsidRDefault="00492893" w:rsidP="00492893"/>
    <w:p w14:paraId="54024713" w14:textId="44B1F6AB" w:rsidR="00EF3BBB" w:rsidRDefault="00492893" w:rsidP="009A7F2D">
      <w:pPr>
        <w:rPr>
          <w:rFonts w:eastAsiaTheme="majorEastAsia"/>
          <w:color w:val="000000" w:themeColor="text1"/>
          <w:kern w:val="24"/>
          <w:szCs w:val="24"/>
          <w:lang w:val="en-US"/>
        </w:rPr>
      </w:pPr>
      <w:r>
        <w:t xml:space="preserve">Table 6 describes the </w:t>
      </w:r>
      <w:r>
        <w:rPr>
          <w:rFonts w:eastAsiaTheme="majorEastAsia"/>
          <w:color w:val="000000" w:themeColor="text1"/>
          <w:kern w:val="24"/>
          <w:szCs w:val="24"/>
          <w:lang w:val="en-US"/>
        </w:rPr>
        <w:t>combined direct lockdown implications by s</w:t>
      </w:r>
      <w:r w:rsidRPr="00492893">
        <w:rPr>
          <w:rFonts w:eastAsiaTheme="majorEastAsia"/>
          <w:color w:val="000000" w:themeColor="text1"/>
          <w:kern w:val="24"/>
          <w:szCs w:val="24"/>
          <w:lang w:val="en-US"/>
        </w:rPr>
        <w:t>ector</w:t>
      </w:r>
      <w:r>
        <w:rPr>
          <w:rFonts w:eastAsiaTheme="majorEastAsia"/>
          <w:color w:val="000000" w:themeColor="text1"/>
          <w:kern w:val="24"/>
          <w:szCs w:val="24"/>
          <w:lang w:val="en-US"/>
        </w:rPr>
        <w:t>.</w:t>
      </w:r>
    </w:p>
    <w:p w14:paraId="0F4A31D9" w14:textId="77777777" w:rsidR="00492893" w:rsidRDefault="00492893" w:rsidP="009A7F2D">
      <w:pPr>
        <w:rPr>
          <w:rFonts w:eastAsiaTheme="majorEastAsia"/>
          <w:color w:val="000000" w:themeColor="text1"/>
          <w:kern w:val="24"/>
          <w:szCs w:val="24"/>
          <w:lang w:val="en-US"/>
        </w:rPr>
      </w:pPr>
    </w:p>
    <w:p w14:paraId="4AEAAAF0" w14:textId="208627F9" w:rsidR="00492893" w:rsidRPr="00492893" w:rsidRDefault="00492893" w:rsidP="00492893">
      <w:pPr>
        <w:pStyle w:val="Caption"/>
        <w:keepNext/>
        <w:rPr>
          <w:b w:val="0"/>
          <w:color w:val="004C45" w:themeColor="text2"/>
        </w:rPr>
      </w:pPr>
      <w:bookmarkStart w:id="69" w:name="_Toc42212134"/>
      <w:r w:rsidRPr="00492893">
        <w:rPr>
          <w:b w:val="0"/>
          <w:color w:val="004C45" w:themeColor="text2"/>
        </w:rPr>
        <w:t xml:space="preserve">Table </w:t>
      </w:r>
      <w:r w:rsidRPr="00492893">
        <w:rPr>
          <w:b w:val="0"/>
          <w:color w:val="004C45" w:themeColor="text2"/>
          <w:sz w:val="24"/>
          <w:szCs w:val="24"/>
        </w:rPr>
        <w:fldChar w:fldCharType="begin"/>
      </w:r>
      <w:r w:rsidRPr="00492893">
        <w:rPr>
          <w:b w:val="0"/>
          <w:color w:val="004C45" w:themeColor="text2"/>
          <w:sz w:val="24"/>
          <w:szCs w:val="24"/>
        </w:rPr>
        <w:instrText xml:space="preserve"> SEQ Table \* ARABIC </w:instrText>
      </w:r>
      <w:r w:rsidRPr="00492893">
        <w:rPr>
          <w:b w:val="0"/>
          <w:color w:val="004C45" w:themeColor="text2"/>
          <w:sz w:val="24"/>
          <w:szCs w:val="24"/>
        </w:rPr>
        <w:fldChar w:fldCharType="separate"/>
      </w:r>
      <w:r w:rsidRPr="00492893">
        <w:rPr>
          <w:b w:val="0"/>
          <w:noProof/>
          <w:color w:val="004C45" w:themeColor="text2"/>
          <w:sz w:val="24"/>
          <w:szCs w:val="24"/>
        </w:rPr>
        <w:t>6</w:t>
      </w:r>
      <w:r w:rsidRPr="00492893">
        <w:rPr>
          <w:b w:val="0"/>
          <w:color w:val="004C45" w:themeColor="text2"/>
          <w:sz w:val="24"/>
          <w:szCs w:val="24"/>
        </w:rPr>
        <w:fldChar w:fldCharType="end"/>
      </w:r>
      <w:r w:rsidRPr="00492893">
        <w:rPr>
          <w:b w:val="0"/>
          <w:color w:val="004C45" w:themeColor="text2"/>
          <w:sz w:val="24"/>
          <w:szCs w:val="24"/>
        </w:rPr>
        <w:t xml:space="preserve">: </w:t>
      </w:r>
      <w:r w:rsidRPr="00492893">
        <w:rPr>
          <w:rFonts w:eastAsiaTheme="majorEastAsia"/>
          <w:b w:val="0"/>
          <w:color w:val="004C45" w:themeColor="text2"/>
          <w:kern w:val="24"/>
          <w:sz w:val="24"/>
          <w:szCs w:val="24"/>
          <w:lang w:val="en-US"/>
        </w:rPr>
        <w:t>Combined direct Lockdown Implications of Sector</w:t>
      </w:r>
      <w:bookmarkEnd w:id="69"/>
    </w:p>
    <w:tbl>
      <w:tblPr>
        <w:tblStyle w:val="TableGridLight"/>
        <w:tblW w:w="5000" w:type="pct"/>
        <w:tblLook w:val="0420" w:firstRow="1" w:lastRow="0" w:firstColumn="0" w:lastColumn="0" w:noHBand="0" w:noVBand="1"/>
      </w:tblPr>
      <w:tblGrid>
        <w:gridCol w:w="2407"/>
        <w:gridCol w:w="2266"/>
        <w:gridCol w:w="2411"/>
        <w:gridCol w:w="2544"/>
      </w:tblGrid>
      <w:tr w:rsidR="00492893" w:rsidRPr="00492893" w14:paraId="18DF7837" w14:textId="77777777" w:rsidTr="00492893">
        <w:trPr>
          <w:trHeight w:val="584"/>
        </w:trPr>
        <w:tc>
          <w:tcPr>
            <w:tcW w:w="1250" w:type="pct"/>
            <w:hideMark/>
          </w:tcPr>
          <w:p w14:paraId="20F9720E" w14:textId="77777777" w:rsidR="00492893" w:rsidRPr="00492893" w:rsidRDefault="00492893" w:rsidP="00492893">
            <w:pPr>
              <w:spacing w:line="240" w:lineRule="auto"/>
              <w:jc w:val="left"/>
              <w:rPr>
                <w:color w:val="000000" w:themeColor="text1"/>
                <w:szCs w:val="24"/>
                <w:lang w:val="en-GB" w:eastAsia="en-GB"/>
              </w:rPr>
            </w:pPr>
            <w:r w:rsidRPr="00492893">
              <w:rPr>
                <w:bCs/>
                <w:color w:val="000000" w:themeColor="text1"/>
                <w:kern w:val="24"/>
                <w:szCs w:val="24"/>
                <w:lang w:val="en-US" w:eastAsia="en-GB"/>
              </w:rPr>
              <w:t>Mild decline (0-10%)</w:t>
            </w:r>
          </w:p>
        </w:tc>
        <w:tc>
          <w:tcPr>
            <w:tcW w:w="1177" w:type="pct"/>
            <w:hideMark/>
          </w:tcPr>
          <w:p w14:paraId="1C9946C0" w14:textId="77777777" w:rsidR="00492893" w:rsidRPr="00492893" w:rsidRDefault="00492893" w:rsidP="00492893">
            <w:pPr>
              <w:spacing w:line="240" w:lineRule="auto"/>
              <w:jc w:val="left"/>
              <w:rPr>
                <w:color w:val="000000" w:themeColor="text1"/>
                <w:szCs w:val="24"/>
                <w:lang w:val="en-GB" w:eastAsia="en-GB"/>
              </w:rPr>
            </w:pPr>
            <w:r w:rsidRPr="00492893">
              <w:rPr>
                <w:bCs/>
                <w:color w:val="000000" w:themeColor="text1"/>
                <w:kern w:val="24"/>
                <w:szCs w:val="24"/>
                <w:lang w:val="en-US" w:eastAsia="en-GB"/>
              </w:rPr>
              <w:t>Moderate decline (-10 to -30%)</w:t>
            </w:r>
          </w:p>
        </w:tc>
        <w:tc>
          <w:tcPr>
            <w:tcW w:w="1252" w:type="pct"/>
            <w:hideMark/>
          </w:tcPr>
          <w:p w14:paraId="3F3BE80D" w14:textId="77777777" w:rsidR="00492893" w:rsidRPr="00492893" w:rsidRDefault="00492893" w:rsidP="00492893">
            <w:pPr>
              <w:spacing w:line="240" w:lineRule="auto"/>
              <w:jc w:val="left"/>
              <w:rPr>
                <w:color w:val="000000" w:themeColor="text1"/>
                <w:szCs w:val="24"/>
                <w:lang w:val="en-GB" w:eastAsia="en-GB"/>
              </w:rPr>
            </w:pPr>
            <w:r w:rsidRPr="00492893">
              <w:rPr>
                <w:bCs/>
                <w:color w:val="000000" w:themeColor="text1"/>
                <w:kern w:val="24"/>
                <w:szCs w:val="24"/>
                <w:lang w:val="en-US" w:eastAsia="en-GB"/>
              </w:rPr>
              <w:t>Large decline (-30% to -60%)</w:t>
            </w:r>
          </w:p>
        </w:tc>
        <w:tc>
          <w:tcPr>
            <w:tcW w:w="1321" w:type="pct"/>
            <w:hideMark/>
          </w:tcPr>
          <w:p w14:paraId="78420C51" w14:textId="77777777" w:rsidR="00492893" w:rsidRPr="00492893" w:rsidRDefault="00492893" w:rsidP="00492893">
            <w:pPr>
              <w:spacing w:line="240" w:lineRule="auto"/>
              <w:jc w:val="left"/>
              <w:rPr>
                <w:color w:val="000000" w:themeColor="text1"/>
                <w:szCs w:val="24"/>
                <w:lang w:val="en-GB" w:eastAsia="en-GB"/>
              </w:rPr>
            </w:pPr>
            <w:r w:rsidRPr="00492893">
              <w:rPr>
                <w:bCs/>
                <w:color w:val="000000" w:themeColor="text1"/>
                <w:kern w:val="24"/>
                <w:szCs w:val="24"/>
                <w:lang w:val="en-US" w:eastAsia="en-GB"/>
              </w:rPr>
              <w:t>Severe decline (larger than -60%)</w:t>
            </w:r>
          </w:p>
        </w:tc>
      </w:tr>
      <w:tr w:rsidR="00492893" w:rsidRPr="00492893" w14:paraId="26E17952" w14:textId="77777777" w:rsidTr="00492893">
        <w:trPr>
          <w:trHeight w:val="584"/>
        </w:trPr>
        <w:tc>
          <w:tcPr>
            <w:tcW w:w="1250" w:type="pct"/>
            <w:hideMark/>
          </w:tcPr>
          <w:p w14:paraId="501381F6" w14:textId="77777777" w:rsidR="00492893" w:rsidRPr="00492893" w:rsidRDefault="00492893" w:rsidP="00492893">
            <w:pPr>
              <w:spacing w:line="240" w:lineRule="auto"/>
              <w:jc w:val="left"/>
              <w:rPr>
                <w:szCs w:val="24"/>
                <w:lang w:val="en-GB" w:eastAsia="en-GB"/>
              </w:rPr>
            </w:pPr>
            <w:r w:rsidRPr="00492893">
              <w:rPr>
                <w:color w:val="000000"/>
                <w:kern w:val="24"/>
                <w:szCs w:val="24"/>
                <w:lang w:val="en-US" w:eastAsia="en-GB"/>
              </w:rPr>
              <w:t>Agriculture, forestry and fishing</w:t>
            </w:r>
          </w:p>
        </w:tc>
        <w:tc>
          <w:tcPr>
            <w:tcW w:w="1177" w:type="pct"/>
            <w:hideMark/>
          </w:tcPr>
          <w:p w14:paraId="176DAC1C" w14:textId="77777777" w:rsidR="00492893" w:rsidRPr="00492893" w:rsidRDefault="00492893" w:rsidP="00492893">
            <w:pPr>
              <w:spacing w:line="240" w:lineRule="auto"/>
              <w:jc w:val="left"/>
              <w:rPr>
                <w:szCs w:val="24"/>
                <w:lang w:val="en-GB" w:eastAsia="en-GB"/>
              </w:rPr>
            </w:pPr>
          </w:p>
        </w:tc>
        <w:tc>
          <w:tcPr>
            <w:tcW w:w="1252" w:type="pct"/>
            <w:hideMark/>
          </w:tcPr>
          <w:p w14:paraId="65707DAB" w14:textId="77777777" w:rsidR="00492893" w:rsidRPr="00492893" w:rsidRDefault="00492893" w:rsidP="00492893">
            <w:pPr>
              <w:spacing w:line="240" w:lineRule="auto"/>
              <w:jc w:val="left"/>
              <w:rPr>
                <w:szCs w:val="24"/>
                <w:lang w:val="en-GB" w:eastAsia="en-GB"/>
              </w:rPr>
            </w:pPr>
            <w:r w:rsidRPr="00492893">
              <w:rPr>
                <w:color w:val="000000"/>
                <w:kern w:val="24"/>
                <w:szCs w:val="24"/>
                <w:lang w:val="en-US" w:eastAsia="en-GB"/>
              </w:rPr>
              <w:t>Mining and quarrying</w:t>
            </w:r>
          </w:p>
        </w:tc>
        <w:tc>
          <w:tcPr>
            <w:tcW w:w="1321" w:type="pct"/>
            <w:hideMark/>
          </w:tcPr>
          <w:p w14:paraId="2791FE9C" w14:textId="77777777" w:rsidR="00492893" w:rsidRPr="00492893" w:rsidRDefault="00492893" w:rsidP="00492893">
            <w:pPr>
              <w:spacing w:line="240" w:lineRule="auto"/>
              <w:jc w:val="left"/>
              <w:rPr>
                <w:szCs w:val="24"/>
                <w:lang w:val="en-GB" w:eastAsia="en-GB"/>
              </w:rPr>
            </w:pPr>
            <w:r w:rsidRPr="00492893">
              <w:rPr>
                <w:color w:val="000000"/>
                <w:kern w:val="24"/>
                <w:szCs w:val="24"/>
                <w:lang w:val="en-US" w:eastAsia="en-GB"/>
              </w:rPr>
              <w:t>Machinery and equipment (manufacturing)</w:t>
            </w:r>
          </w:p>
        </w:tc>
      </w:tr>
      <w:tr w:rsidR="00492893" w:rsidRPr="00492893" w14:paraId="6C310B43" w14:textId="77777777" w:rsidTr="00492893">
        <w:trPr>
          <w:trHeight w:val="584"/>
        </w:trPr>
        <w:tc>
          <w:tcPr>
            <w:tcW w:w="1250" w:type="pct"/>
            <w:hideMark/>
          </w:tcPr>
          <w:p w14:paraId="32F7FFAE" w14:textId="77777777" w:rsidR="00492893" w:rsidRPr="00492893" w:rsidRDefault="00492893" w:rsidP="00492893">
            <w:pPr>
              <w:spacing w:line="240" w:lineRule="auto"/>
              <w:jc w:val="left"/>
              <w:rPr>
                <w:szCs w:val="24"/>
                <w:lang w:val="en-GB" w:eastAsia="en-GB"/>
              </w:rPr>
            </w:pPr>
          </w:p>
        </w:tc>
        <w:tc>
          <w:tcPr>
            <w:tcW w:w="1177" w:type="pct"/>
            <w:hideMark/>
          </w:tcPr>
          <w:p w14:paraId="6F187539" w14:textId="702F4D4E" w:rsidR="00492893" w:rsidRPr="00492893" w:rsidRDefault="00492893" w:rsidP="00492893">
            <w:pPr>
              <w:spacing w:line="240" w:lineRule="auto"/>
              <w:jc w:val="left"/>
              <w:rPr>
                <w:szCs w:val="24"/>
                <w:lang w:val="en-GB" w:eastAsia="en-GB"/>
              </w:rPr>
            </w:pPr>
            <w:r w:rsidRPr="00492893">
              <w:rPr>
                <w:color w:val="000000"/>
                <w:kern w:val="24"/>
                <w:szCs w:val="24"/>
                <w:lang w:val="en-US" w:eastAsia="en-GB"/>
              </w:rPr>
              <w:t>Food and nonalcoholic beverages (manufacturing)</w:t>
            </w:r>
          </w:p>
        </w:tc>
        <w:tc>
          <w:tcPr>
            <w:tcW w:w="1252" w:type="pct"/>
            <w:hideMark/>
          </w:tcPr>
          <w:p w14:paraId="185602B2" w14:textId="77777777" w:rsidR="00492893" w:rsidRPr="00492893" w:rsidRDefault="00492893" w:rsidP="00492893">
            <w:pPr>
              <w:spacing w:line="240" w:lineRule="auto"/>
              <w:jc w:val="left"/>
              <w:rPr>
                <w:szCs w:val="24"/>
                <w:lang w:val="en-GB" w:eastAsia="en-GB"/>
              </w:rPr>
            </w:pPr>
            <w:r w:rsidRPr="00492893">
              <w:rPr>
                <w:color w:val="000000"/>
                <w:kern w:val="24"/>
                <w:szCs w:val="24"/>
                <w:lang w:val="en-US" w:eastAsia="en-GB"/>
              </w:rPr>
              <w:t>Education services</w:t>
            </w:r>
          </w:p>
        </w:tc>
        <w:tc>
          <w:tcPr>
            <w:tcW w:w="1321" w:type="pct"/>
            <w:hideMark/>
          </w:tcPr>
          <w:p w14:paraId="36B22B39" w14:textId="77777777" w:rsidR="00492893" w:rsidRPr="00492893" w:rsidRDefault="00492893" w:rsidP="00492893">
            <w:pPr>
              <w:spacing w:line="240" w:lineRule="auto"/>
              <w:jc w:val="left"/>
              <w:rPr>
                <w:szCs w:val="24"/>
                <w:lang w:val="en-GB" w:eastAsia="en-GB"/>
              </w:rPr>
            </w:pPr>
            <w:r w:rsidRPr="00492893">
              <w:rPr>
                <w:color w:val="000000"/>
                <w:kern w:val="24"/>
                <w:szCs w:val="24"/>
                <w:lang w:val="en-US" w:eastAsia="en-GB"/>
              </w:rPr>
              <w:t>Alcoholic beverages and tobacco</w:t>
            </w:r>
          </w:p>
        </w:tc>
      </w:tr>
      <w:tr w:rsidR="00492893" w:rsidRPr="00492893" w14:paraId="1EF0492F" w14:textId="77777777" w:rsidTr="00492893">
        <w:trPr>
          <w:trHeight w:val="584"/>
        </w:trPr>
        <w:tc>
          <w:tcPr>
            <w:tcW w:w="1250" w:type="pct"/>
            <w:hideMark/>
          </w:tcPr>
          <w:p w14:paraId="3089F636" w14:textId="77777777" w:rsidR="00492893" w:rsidRPr="00492893" w:rsidRDefault="00492893" w:rsidP="00492893">
            <w:pPr>
              <w:spacing w:line="240" w:lineRule="auto"/>
              <w:jc w:val="left"/>
              <w:rPr>
                <w:szCs w:val="24"/>
                <w:lang w:val="en-GB" w:eastAsia="en-GB"/>
              </w:rPr>
            </w:pPr>
          </w:p>
        </w:tc>
        <w:tc>
          <w:tcPr>
            <w:tcW w:w="1177" w:type="pct"/>
            <w:hideMark/>
          </w:tcPr>
          <w:p w14:paraId="37B74C9C" w14:textId="77777777" w:rsidR="00492893" w:rsidRPr="00492893" w:rsidRDefault="00492893" w:rsidP="00492893">
            <w:pPr>
              <w:spacing w:line="240" w:lineRule="auto"/>
              <w:jc w:val="left"/>
              <w:rPr>
                <w:szCs w:val="24"/>
                <w:lang w:val="en-GB" w:eastAsia="en-GB"/>
              </w:rPr>
            </w:pPr>
          </w:p>
        </w:tc>
        <w:tc>
          <w:tcPr>
            <w:tcW w:w="1252" w:type="pct"/>
            <w:hideMark/>
          </w:tcPr>
          <w:p w14:paraId="0E02D218" w14:textId="77777777" w:rsidR="00492893" w:rsidRPr="00492893" w:rsidRDefault="00492893" w:rsidP="00492893">
            <w:pPr>
              <w:spacing w:line="240" w:lineRule="auto"/>
              <w:jc w:val="left"/>
              <w:rPr>
                <w:szCs w:val="24"/>
                <w:lang w:val="en-GB" w:eastAsia="en-GB"/>
              </w:rPr>
            </w:pPr>
            <w:r w:rsidRPr="00492893">
              <w:rPr>
                <w:color w:val="000000"/>
                <w:kern w:val="24"/>
                <w:szCs w:val="24"/>
                <w:lang w:val="en-US" w:eastAsia="en-GB"/>
              </w:rPr>
              <w:t>Textiles, clothing, leather and footwear</w:t>
            </w:r>
          </w:p>
        </w:tc>
        <w:tc>
          <w:tcPr>
            <w:tcW w:w="1321" w:type="pct"/>
            <w:hideMark/>
          </w:tcPr>
          <w:p w14:paraId="1D4298E5" w14:textId="77777777" w:rsidR="00492893" w:rsidRPr="00492893" w:rsidRDefault="00492893" w:rsidP="00492893">
            <w:pPr>
              <w:spacing w:line="240" w:lineRule="auto"/>
              <w:jc w:val="left"/>
              <w:rPr>
                <w:szCs w:val="24"/>
                <w:lang w:val="en-GB" w:eastAsia="en-GB"/>
              </w:rPr>
            </w:pPr>
            <w:r w:rsidRPr="00492893">
              <w:rPr>
                <w:color w:val="000000"/>
                <w:kern w:val="24"/>
                <w:szCs w:val="24"/>
                <w:lang w:val="en-US" w:eastAsia="en-GB"/>
              </w:rPr>
              <w:t>Iron steel metal products (manufacturing)</w:t>
            </w:r>
          </w:p>
        </w:tc>
      </w:tr>
      <w:tr w:rsidR="00492893" w:rsidRPr="00492893" w14:paraId="53B374F9" w14:textId="77777777" w:rsidTr="00492893">
        <w:trPr>
          <w:trHeight w:val="584"/>
        </w:trPr>
        <w:tc>
          <w:tcPr>
            <w:tcW w:w="1250" w:type="pct"/>
            <w:hideMark/>
          </w:tcPr>
          <w:p w14:paraId="03344833" w14:textId="77777777" w:rsidR="00492893" w:rsidRPr="00492893" w:rsidRDefault="00492893" w:rsidP="00492893">
            <w:pPr>
              <w:spacing w:line="240" w:lineRule="auto"/>
              <w:jc w:val="left"/>
              <w:rPr>
                <w:szCs w:val="24"/>
                <w:lang w:val="en-GB" w:eastAsia="en-GB"/>
              </w:rPr>
            </w:pPr>
          </w:p>
        </w:tc>
        <w:tc>
          <w:tcPr>
            <w:tcW w:w="1177" w:type="pct"/>
            <w:hideMark/>
          </w:tcPr>
          <w:p w14:paraId="07C281E1" w14:textId="77777777" w:rsidR="00492893" w:rsidRPr="00492893" w:rsidRDefault="00492893" w:rsidP="00492893">
            <w:pPr>
              <w:spacing w:line="240" w:lineRule="auto"/>
              <w:jc w:val="left"/>
              <w:rPr>
                <w:szCs w:val="24"/>
                <w:lang w:val="en-GB" w:eastAsia="en-GB"/>
              </w:rPr>
            </w:pPr>
          </w:p>
        </w:tc>
        <w:tc>
          <w:tcPr>
            <w:tcW w:w="1252" w:type="pct"/>
            <w:hideMark/>
          </w:tcPr>
          <w:p w14:paraId="4BFD54CE" w14:textId="77777777" w:rsidR="00492893" w:rsidRPr="00492893" w:rsidRDefault="00492893" w:rsidP="00492893">
            <w:pPr>
              <w:spacing w:line="240" w:lineRule="auto"/>
              <w:jc w:val="left"/>
              <w:rPr>
                <w:szCs w:val="24"/>
                <w:lang w:val="en-GB" w:eastAsia="en-GB"/>
              </w:rPr>
            </w:pPr>
            <w:r w:rsidRPr="00492893">
              <w:rPr>
                <w:color w:val="000000"/>
                <w:kern w:val="24"/>
                <w:szCs w:val="24"/>
                <w:lang w:val="en-US" w:eastAsia="en-GB"/>
              </w:rPr>
              <w:t>Paper, paper products</w:t>
            </w:r>
          </w:p>
        </w:tc>
        <w:tc>
          <w:tcPr>
            <w:tcW w:w="1321" w:type="pct"/>
            <w:hideMark/>
          </w:tcPr>
          <w:p w14:paraId="50AB38EB" w14:textId="77777777" w:rsidR="00492893" w:rsidRPr="00492893" w:rsidRDefault="00492893" w:rsidP="00492893">
            <w:pPr>
              <w:spacing w:line="240" w:lineRule="auto"/>
              <w:jc w:val="left"/>
              <w:rPr>
                <w:szCs w:val="24"/>
                <w:lang w:val="en-GB" w:eastAsia="en-GB"/>
              </w:rPr>
            </w:pPr>
            <w:r w:rsidRPr="00492893">
              <w:rPr>
                <w:color w:val="000000"/>
                <w:kern w:val="24"/>
                <w:szCs w:val="24"/>
                <w:lang w:val="en-US" w:eastAsia="en-GB"/>
              </w:rPr>
              <w:t>Wood, wood products (manufacturing)</w:t>
            </w:r>
          </w:p>
        </w:tc>
      </w:tr>
      <w:tr w:rsidR="00492893" w:rsidRPr="00492893" w14:paraId="3B230C4F" w14:textId="77777777" w:rsidTr="00492893">
        <w:trPr>
          <w:trHeight w:val="584"/>
        </w:trPr>
        <w:tc>
          <w:tcPr>
            <w:tcW w:w="1250" w:type="pct"/>
            <w:hideMark/>
          </w:tcPr>
          <w:p w14:paraId="269B59FD" w14:textId="77777777" w:rsidR="00492893" w:rsidRPr="00492893" w:rsidRDefault="00492893" w:rsidP="00492893">
            <w:pPr>
              <w:spacing w:line="240" w:lineRule="auto"/>
              <w:jc w:val="left"/>
              <w:rPr>
                <w:szCs w:val="24"/>
                <w:lang w:val="en-GB" w:eastAsia="en-GB"/>
              </w:rPr>
            </w:pPr>
            <w:r w:rsidRPr="00492893">
              <w:rPr>
                <w:color w:val="000000"/>
                <w:kern w:val="24"/>
                <w:szCs w:val="24"/>
                <w:lang w:val="en-US" w:eastAsia="en-GB"/>
              </w:rPr>
              <w:t>Pharmaceuticals hygiene and cleaning (manufacturing)</w:t>
            </w:r>
          </w:p>
        </w:tc>
        <w:tc>
          <w:tcPr>
            <w:tcW w:w="1177" w:type="pct"/>
            <w:hideMark/>
          </w:tcPr>
          <w:p w14:paraId="30D7F71C" w14:textId="77777777" w:rsidR="00492893" w:rsidRPr="00492893" w:rsidRDefault="00492893" w:rsidP="00492893">
            <w:pPr>
              <w:spacing w:line="240" w:lineRule="auto"/>
              <w:jc w:val="left"/>
              <w:rPr>
                <w:szCs w:val="24"/>
                <w:lang w:val="en-GB" w:eastAsia="en-GB"/>
              </w:rPr>
            </w:pPr>
            <w:r w:rsidRPr="00492893">
              <w:rPr>
                <w:color w:val="000000"/>
                <w:kern w:val="24"/>
                <w:szCs w:val="24"/>
                <w:lang w:val="en-US" w:eastAsia="en-GB"/>
              </w:rPr>
              <w:t>Petroleum (manufacturing)</w:t>
            </w:r>
          </w:p>
        </w:tc>
        <w:tc>
          <w:tcPr>
            <w:tcW w:w="1252" w:type="pct"/>
            <w:hideMark/>
          </w:tcPr>
          <w:p w14:paraId="682FA97D" w14:textId="77777777" w:rsidR="00492893" w:rsidRPr="00492893" w:rsidRDefault="00492893" w:rsidP="00492893">
            <w:pPr>
              <w:spacing w:line="240" w:lineRule="auto"/>
              <w:jc w:val="left"/>
              <w:rPr>
                <w:szCs w:val="24"/>
                <w:lang w:val="en-GB" w:eastAsia="en-GB"/>
              </w:rPr>
            </w:pPr>
            <w:r w:rsidRPr="00492893">
              <w:rPr>
                <w:color w:val="000000"/>
                <w:kern w:val="24"/>
                <w:szCs w:val="24"/>
                <w:lang w:val="en-US" w:eastAsia="en-GB"/>
              </w:rPr>
              <w:t>Basic chemicals, fertilizer, paint and other (manufacturing)</w:t>
            </w:r>
          </w:p>
        </w:tc>
        <w:tc>
          <w:tcPr>
            <w:tcW w:w="1321" w:type="pct"/>
            <w:hideMark/>
          </w:tcPr>
          <w:p w14:paraId="078602B8" w14:textId="55BD975D" w:rsidR="00492893" w:rsidRPr="00492893" w:rsidRDefault="00492893" w:rsidP="00492893">
            <w:pPr>
              <w:spacing w:line="240" w:lineRule="auto"/>
              <w:jc w:val="left"/>
              <w:rPr>
                <w:szCs w:val="24"/>
                <w:lang w:val="en-GB" w:eastAsia="en-GB"/>
              </w:rPr>
            </w:pPr>
            <w:r w:rsidRPr="00492893">
              <w:rPr>
                <w:color w:val="000000"/>
                <w:kern w:val="24"/>
                <w:szCs w:val="24"/>
                <w:lang w:val="en-US" w:eastAsia="en-GB"/>
              </w:rPr>
              <w:t>Nonmetallic minerals and products (cement and concrete)</w:t>
            </w:r>
          </w:p>
        </w:tc>
      </w:tr>
      <w:tr w:rsidR="00492893" w:rsidRPr="00492893" w14:paraId="1AA549F4" w14:textId="77777777" w:rsidTr="00492893">
        <w:trPr>
          <w:trHeight w:val="584"/>
        </w:trPr>
        <w:tc>
          <w:tcPr>
            <w:tcW w:w="1250" w:type="pct"/>
            <w:hideMark/>
          </w:tcPr>
          <w:p w14:paraId="4A9C06C5" w14:textId="77777777" w:rsidR="00492893" w:rsidRPr="00492893" w:rsidRDefault="00492893" w:rsidP="00492893">
            <w:pPr>
              <w:spacing w:line="240" w:lineRule="auto"/>
              <w:jc w:val="left"/>
              <w:rPr>
                <w:szCs w:val="24"/>
                <w:lang w:val="en-GB" w:eastAsia="en-GB"/>
              </w:rPr>
            </w:pPr>
            <w:r w:rsidRPr="00492893">
              <w:rPr>
                <w:color w:val="000000"/>
                <w:kern w:val="24"/>
                <w:szCs w:val="24"/>
                <w:lang w:val="en-US" w:eastAsia="en-GB"/>
              </w:rPr>
              <w:t>Finance and insurance, computing services</w:t>
            </w:r>
          </w:p>
        </w:tc>
        <w:tc>
          <w:tcPr>
            <w:tcW w:w="1177" w:type="pct"/>
            <w:hideMark/>
          </w:tcPr>
          <w:p w14:paraId="5EBC85C3" w14:textId="77777777" w:rsidR="00492893" w:rsidRPr="00492893" w:rsidRDefault="00492893" w:rsidP="00492893">
            <w:pPr>
              <w:spacing w:line="240" w:lineRule="auto"/>
              <w:jc w:val="left"/>
              <w:rPr>
                <w:szCs w:val="24"/>
                <w:lang w:val="en-GB" w:eastAsia="en-GB"/>
              </w:rPr>
            </w:pPr>
            <w:r w:rsidRPr="00492893">
              <w:rPr>
                <w:color w:val="000000"/>
                <w:kern w:val="24"/>
                <w:szCs w:val="24"/>
                <w:lang w:val="en-US" w:eastAsia="en-GB"/>
              </w:rPr>
              <w:t>Plastic, glass(manufacturing)</w:t>
            </w:r>
          </w:p>
        </w:tc>
        <w:tc>
          <w:tcPr>
            <w:tcW w:w="1252" w:type="pct"/>
            <w:hideMark/>
          </w:tcPr>
          <w:p w14:paraId="01646DA6" w14:textId="77777777" w:rsidR="00492893" w:rsidRPr="00492893" w:rsidRDefault="00492893" w:rsidP="00492893">
            <w:pPr>
              <w:spacing w:line="240" w:lineRule="auto"/>
              <w:jc w:val="left"/>
              <w:rPr>
                <w:szCs w:val="24"/>
                <w:lang w:val="en-GB" w:eastAsia="en-GB"/>
              </w:rPr>
            </w:pPr>
            <w:r w:rsidRPr="00492893">
              <w:rPr>
                <w:color w:val="000000"/>
                <w:kern w:val="24"/>
                <w:szCs w:val="24"/>
                <w:lang w:val="en-US" w:eastAsia="en-GB"/>
              </w:rPr>
              <w:t>Wholesale, retail trade</w:t>
            </w:r>
          </w:p>
        </w:tc>
        <w:tc>
          <w:tcPr>
            <w:tcW w:w="1321" w:type="pct"/>
            <w:hideMark/>
          </w:tcPr>
          <w:p w14:paraId="04CF2AB0" w14:textId="77777777" w:rsidR="00492893" w:rsidRPr="00492893" w:rsidRDefault="00492893" w:rsidP="00492893">
            <w:pPr>
              <w:spacing w:line="240" w:lineRule="auto"/>
              <w:jc w:val="left"/>
              <w:rPr>
                <w:szCs w:val="24"/>
                <w:lang w:val="en-GB" w:eastAsia="en-GB"/>
              </w:rPr>
            </w:pPr>
            <w:r w:rsidRPr="00492893">
              <w:rPr>
                <w:color w:val="000000"/>
                <w:kern w:val="24"/>
                <w:szCs w:val="24"/>
                <w:lang w:val="en-US" w:eastAsia="en-GB"/>
              </w:rPr>
              <w:t>Tyres, rubber products (manufacturing)</w:t>
            </w:r>
          </w:p>
        </w:tc>
      </w:tr>
      <w:tr w:rsidR="00492893" w:rsidRPr="00492893" w14:paraId="72E1589D" w14:textId="77777777" w:rsidTr="00492893">
        <w:trPr>
          <w:trHeight w:val="584"/>
        </w:trPr>
        <w:tc>
          <w:tcPr>
            <w:tcW w:w="1250" w:type="pct"/>
            <w:hideMark/>
          </w:tcPr>
          <w:p w14:paraId="5212D476" w14:textId="77777777" w:rsidR="00492893" w:rsidRPr="00492893" w:rsidRDefault="00492893" w:rsidP="00492893">
            <w:pPr>
              <w:spacing w:line="240" w:lineRule="auto"/>
              <w:jc w:val="left"/>
              <w:rPr>
                <w:szCs w:val="24"/>
                <w:lang w:val="en-GB" w:eastAsia="en-GB"/>
              </w:rPr>
            </w:pPr>
            <w:r w:rsidRPr="00492893">
              <w:rPr>
                <w:color w:val="000000"/>
                <w:kern w:val="24"/>
                <w:szCs w:val="24"/>
                <w:lang w:val="en-US" w:eastAsia="en-GB"/>
              </w:rPr>
              <w:t>Electricity and gas</w:t>
            </w:r>
          </w:p>
        </w:tc>
        <w:tc>
          <w:tcPr>
            <w:tcW w:w="1177" w:type="pct"/>
            <w:hideMark/>
          </w:tcPr>
          <w:p w14:paraId="376DA3FE" w14:textId="77777777" w:rsidR="00492893" w:rsidRPr="00492893" w:rsidRDefault="00492893" w:rsidP="00492893">
            <w:pPr>
              <w:spacing w:line="240" w:lineRule="auto"/>
              <w:jc w:val="left"/>
              <w:rPr>
                <w:szCs w:val="24"/>
                <w:lang w:val="en-GB" w:eastAsia="en-GB"/>
              </w:rPr>
            </w:pPr>
            <w:r w:rsidRPr="00492893">
              <w:rPr>
                <w:color w:val="000000"/>
                <w:kern w:val="24"/>
                <w:szCs w:val="24"/>
                <w:lang w:val="en-US" w:eastAsia="en-GB"/>
              </w:rPr>
              <w:t>Real estate, legal and other accounting support services</w:t>
            </w:r>
          </w:p>
        </w:tc>
        <w:tc>
          <w:tcPr>
            <w:tcW w:w="1252" w:type="pct"/>
            <w:hideMark/>
          </w:tcPr>
          <w:p w14:paraId="04390D43" w14:textId="77777777" w:rsidR="00492893" w:rsidRPr="00492893" w:rsidRDefault="00492893" w:rsidP="00492893">
            <w:pPr>
              <w:spacing w:line="240" w:lineRule="auto"/>
              <w:jc w:val="left"/>
              <w:rPr>
                <w:szCs w:val="24"/>
                <w:lang w:val="en-GB" w:eastAsia="en-GB"/>
              </w:rPr>
            </w:pPr>
            <w:r w:rsidRPr="00492893">
              <w:rPr>
                <w:color w:val="000000"/>
                <w:kern w:val="24"/>
                <w:szCs w:val="24"/>
                <w:lang w:val="en-US" w:eastAsia="en-GB"/>
              </w:rPr>
              <w:t>Transport and storage</w:t>
            </w:r>
          </w:p>
        </w:tc>
        <w:tc>
          <w:tcPr>
            <w:tcW w:w="1321" w:type="pct"/>
            <w:hideMark/>
          </w:tcPr>
          <w:p w14:paraId="1BBE697B" w14:textId="77777777" w:rsidR="00492893" w:rsidRPr="00492893" w:rsidRDefault="00492893" w:rsidP="00492893">
            <w:pPr>
              <w:spacing w:line="240" w:lineRule="auto"/>
              <w:jc w:val="left"/>
              <w:rPr>
                <w:szCs w:val="24"/>
                <w:lang w:val="en-GB" w:eastAsia="en-GB"/>
              </w:rPr>
            </w:pPr>
            <w:r w:rsidRPr="00492893">
              <w:rPr>
                <w:color w:val="000000"/>
                <w:kern w:val="24"/>
                <w:szCs w:val="24"/>
                <w:lang w:val="en-US" w:eastAsia="en-GB"/>
              </w:rPr>
              <w:t>construction</w:t>
            </w:r>
          </w:p>
        </w:tc>
      </w:tr>
      <w:tr w:rsidR="00492893" w:rsidRPr="00492893" w14:paraId="576A275D" w14:textId="77777777" w:rsidTr="00492893">
        <w:trPr>
          <w:trHeight w:val="584"/>
        </w:trPr>
        <w:tc>
          <w:tcPr>
            <w:tcW w:w="1250" w:type="pct"/>
            <w:hideMark/>
          </w:tcPr>
          <w:p w14:paraId="4A11836F" w14:textId="77777777" w:rsidR="00492893" w:rsidRPr="00492893" w:rsidRDefault="00492893" w:rsidP="00492893">
            <w:pPr>
              <w:spacing w:line="240" w:lineRule="auto"/>
              <w:jc w:val="left"/>
              <w:rPr>
                <w:szCs w:val="24"/>
                <w:lang w:val="en-GB" w:eastAsia="en-GB"/>
              </w:rPr>
            </w:pPr>
            <w:r w:rsidRPr="00492893">
              <w:rPr>
                <w:color w:val="000000"/>
                <w:kern w:val="24"/>
                <w:szCs w:val="24"/>
                <w:lang w:val="en-US" w:eastAsia="en-GB"/>
              </w:rPr>
              <w:t>Health services</w:t>
            </w:r>
          </w:p>
        </w:tc>
        <w:tc>
          <w:tcPr>
            <w:tcW w:w="1177" w:type="pct"/>
            <w:hideMark/>
          </w:tcPr>
          <w:p w14:paraId="1CEC11AB" w14:textId="77777777" w:rsidR="00492893" w:rsidRPr="00492893" w:rsidRDefault="00492893" w:rsidP="00492893">
            <w:pPr>
              <w:spacing w:line="240" w:lineRule="auto"/>
              <w:jc w:val="left"/>
              <w:rPr>
                <w:szCs w:val="24"/>
                <w:lang w:val="en-GB" w:eastAsia="en-GB"/>
              </w:rPr>
            </w:pPr>
          </w:p>
        </w:tc>
        <w:tc>
          <w:tcPr>
            <w:tcW w:w="1252" w:type="pct"/>
            <w:hideMark/>
          </w:tcPr>
          <w:p w14:paraId="276E8685" w14:textId="77777777" w:rsidR="00492893" w:rsidRPr="00492893" w:rsidRDefault="00492893" w:rsidP="00492893">
            <w:pPr>
              <w:spacing w:line="240" w:lineRule="auto"/>
              <w:jc w:val="left"/>
              <w:rPr>
                <w:szCs w:val="24"/>
                <w:lang w:val="en-GB" w:eastAsia="en-GB"/>
              </w:rPr>
            </w:pPr>
            <w:r w:rsidRPr="00492893">
              <w:rPr>
                <w:color w:val="000000"/>
                <w:kern w:val="24"/>
                <w:szCs w:val="24"/>
                <w:lang w:val="en-US" w:eastAsia="en-GB"/>
              </w:rPr>
              <w:t>Rentals, research, manufacturing services other business services</w:t>
            </w:r>
          </w:p>
        </w:tc>
        <w:tc>
          <w:tcPr>
            <w:tcW w:w="1321" w:type="pct"/>
            <w:hideMark/>
          </w:tcPr>
          <w:p w14:paraId="562B5509" w14:textId="77777777" w:rsidR="00492893" w:rsidRPr="00492893" w:rsidRDefault="00492893" w:rsidP="00492893">
            <w:pPr>
              <w:spacing w:line="240" w:lineRule="auto"/>
              <w:jc w:val="left"/>
              <w:rPr>
                <w:szCs w:val="24"/>
                <w:lang w:val="en-GB" w:eastAsia="en-GB"/>
              </w:rPr>
            </w:pPr>
            <w:r w:rsidRPr="00492893">
              <w:rPr>
                <w:color w:val="000000"/>
                <w:kern w:val="24"/>
                <w:szCs w:val="24"/>
                <w:lang w:val="en-US" w:eastAsia="en-GB"/>
              </w:rPr>
              <w:t>Recreation and community services</w:t>
            </w:r>
          </w:p>
        </w:tc>
      </w:tr>
      <w:tr w:rsidR="00492893" w:rsidRPr="00492893" w14:paraId="27064DE2" w14:textId="77777777" w:rsidTr="00492893">
        <w:trPr>
          <w:trHeight w:val="584"/>
        </w:trPr>
        <w:tc>
          <w:tcPr>
            <w:tcW w:w="1250" w:type="pct"/>
            <w:hideMark/>
          </w:tcPr>
          <w:p w14:paraId="1E75069C" w14:textId="77777777" w:rsidR="00492893" w:rsidRPr="00492893" w:rsidRDefault="00492893" w:rsidP="00492893">
            <w:pPr>
              <w:spacing w:line="240" w:lineRule="auto"/>
              <w:jc w:val="left"/>
              <w:rPr>
                <w:szCs w:val="24"/>
                <w:lang w:val="en-GB" w:eastAsia="en-GB"/>
              </w:rPr>
            </w:pPr>
          </w:p>
        </w:tc>
        <w:tc>
          <w:tcPr>
            <w:tcW w:w="1177" w:type="pct"/>
            <w:hideMark/>
          </w:tcPr>
          <w:p w14:paraId="0A8B50C3" w14:textId="77777777" w:rsidR="00492893" w:rsidRPr="00492893" w:rsidRDefault="00492893" w:rsidP="00492893">
            <w:pPr>
              <w:spacing w:line="240" w:lineRule="auto"/>
              <w:jc w:val="left"/>
              <w:rPr>
                <w:szCs w:val="24"/>
                <w:lang w:val="en-GB" w:eastAsia="en-GB"/>
              </w:rPr>
            </w:pPr>
          </w:p>
        </w:tc>
        <w:tc>
          <w:tcPr>
            <w:tcW w:w="1252" w:type="pct"/>
            <w:hideMark/>
          </w:tcPr>
          <w:p w14:paraId="1DA60443" w14:textId="77777777" w:rsidR="00492893" w:rsidRPr="00492893" w:rsidRDefault="00492893" w:rsidP="00492893">
            <w:pPr>
              <w:spacing w:line="240" w:lineRule="auto"/>
              <w:jc w:val="left"/>
              <w:rPr>
                <w:szCs w:val="24"/>
                <w:lang w:val="en-GB" w:eastAsia="en-GB"/>
              </w:rPr>
            </w:pPr>
          </w:p>
        </w:tc>
        <w:tc>
          <w:tcPr>
            <w:tcW w:w="1321" w:type="pct"/>
            <w:hideMark/>
          </w:tcPr>
          <w:p w14:paraId="04FE3365" w14:textId="77777777" w:rsidR="00492893" w:rsidRPr="00492893" w:rsidRDefault="00492893" w:rsidP="00492893">
            <w:pPr>
              <w:spacing w:line="240" w:lineRule="auto"/>
              <w:jc w:val="left"/>
              <w:rPr>
                <w:szCs w:val="24"/>
                <w:lang w:val="en-GB" w:eastAsia="en-GB"/>
              </w:rPr>
            </w:pPr>
            <w:r w:rsidRPr="00492893">
              <w:rPr>
                <w:color w:val="000000"/>
                <w:kern w:val="24"/>
                <w:szCs w:val="24"/>
                <w:lang w:val="en-US" w:eastAsia="en-GB"/>
              </w:rPr>
              <w:t>Accommodation and catering</w:t>
            </w:r>
          </w:p>
        </w:tc>
      </w:tr>
    </w:tbl>
    <w:p w14:paraId="2A32D960" w14:textId="77777777" w:rsidR="00492893" w:rsidRPr="00492893" w:rsidRDefault="00492893" w:rsidP="009A7F2D">
      <w:pPr>
        <w:rPr>
          <w:szCs w:val="24"/>
        </w:rPr>
      </w:pPr>
    </w:p>
    <w:p w14:paraId="6BFC6799" w14:textId="62C2534B" w:rsidR="0073731A" w:rsidRPr="000D33E4" w:rsidRDefault="006960B9" w:rsidP="009A7F2D">
      <w:r w:rsidRPr="000D33E4">
        <w:t>Government has responded by implementing a number of fiscal measures to mitigate the socio-economic impact o</w:t>
      </w:r>
      <w:r w:rsidR="0073731A" w:rsidRPr="000D33E4">
        <w:t xml:space="preserve">n businesses and households. </w:t>
      </w:r>
      <w:bookmarkStart w:id="70" w:name="_Toc36662977"/>
      <w:r w:rsidR="0073731A" w:rsidRPr="000D33E4">
        <w:t xml:space="preserve">This section evaluates government response to the Covid-19 crisis. </w:t>
      </w:r>
    </w:p>
    <w:p w14:paraId="4D1F36D7" w14:textId="77777777" w:rsidR="002817C2" w:rsidRPr="000D33E4" w:rsidRDefault="00C52EBD" w:rsidP="00382145">
      <w:pPr>
        <w:pStyle w:val="Heading2"/>
      </w:pPr>
      <w:bookmarkStart w:id="71" w:name="_Toc42211916"/>
      <w:r>
        <w:t>F</w:t>
      </w:r>
      <w:r w:rsidR="002817C2" w:rsidRPr="000D33E4">
        <w:t>iscal and monetary responses for transformation and growth</w:t>
      </w:r>
      <w:bookmarkEnd w:id="71"/>
      <w:r w:rsidR="002D39CB">
        <w:t xml:space="preserve"> </w:t>
      </w:r>
      <w:bookmarkEnd w:id="70"/>
    </w:p>
    <w:p w14:paraId="4187C36D" w14:textId="77777777" w:rsidR="0073731A" w:rsidRPr="000D33E4" w:rsidRDefault="0073731A" w:rsidP="0073731A">
      <w:pPr>
        <w:rPr>
          <w:rFonts w:ascii="Times" w:hAnsi="Times"/>
        </w:rPr>
      </w:pPr>
    </w:p>
    <w:p w14:paraId="106106F7" w14:textId="797A806B" w:rsidR="002817C2" w:rsidRPr="000D33E4" w:rsidRDefault="002817C2" w:rsidP="00E0369F">
      <w:r w:rsidRPr="000D33E4">
        <w:t xml:space="preserve">In his 2020/21 </w:t>
      </w:r>
      <w:r w:rsidR="000F7BC5">
        <w:t>B</w:t>
      </w:r>
      <w:r w:rsidRPr="000D33E4">
        <w:t>udget speech</w:t>
      </w:r>
      <w:r w:rsidR="0015192E">
        <w:t>,</w:t>
      </w:r>
      <w:r w:rsidRPr="000D33E4">
        <w:t xml:space="preserve"> the Minister of Finance tabled a budget of R1.95 trillion with plans to boost economic growth. Government announce</w:t>
      </w:r>
      <w:r w:rsidR="00C52EBD">
        <w:t>d</w:t>
      </w:r>
      <w:r w:rsidRPr="000D33E4">
        <w:t xml:space="preserve"> a range of measures to stimulate the economy including structural reforms, improving spending efficiency and stabilising public finances through moderating wage bill growth, debt and contingent liabilities. The accompanying revenue estimates to finance the expenditure programme is a combination of R1.5 trillion in tax revenue and R326 billion in debt.</w:t>
      </w:r>
      <w:r w:rsidR="002D39CB">
        <w:t xml:space="preserve"> </w:t>
      </w:r>
      <w:r w:rsidR="00E0369F">
        <w:fldChar w:fldCharType="begin"/>
      </w:r>
      <w:r w:rsidR="00E0369F">
        <w:instrText xml:space="preserve"> REF _Ref40881536 \h </w:instrText>
      </w:r>
      <w:r w:rsidR="00E0369F">
        <w:fldChar w:fldCharType="separate"/>
      </w:r>
      <w:r w:rsidR="00E0369F" w:rsidRPr="000D33E4">
        <w:rPr>
          <w:rFonts w:ascii="Times" w:hAnsi="Times"/>
        </w:rPr>
        <w:t xml:space="preserve">Table </w:t>
      </w:r>
      <w:r w:rsidR="00E0369F">
        <w:rPr>
          <w:rFonts w:ascii="Times" w:hAnsi="Times"/>
          <w:noProof/>
        </w:rPr>
        <w:t>6</w:t>
      </w:r>
      <w:r w:rsidR="00E0369F">
        <w:fldChar w:fldCharType="end"/>
      </w:r>
      <w:r w:rsidR="00E0369F">
        <w:t xml:space="preserve"> </w:t>
      </w:r>
      <w:r w:rsidRPr="000D33E4">
        <w:t>shows the projected consolidated fiscal framework over the 2020/21 MTEF under a constraint growth environment.</w:t>
      </w:r>
      <w:r w:rsidR="002D39CB">
        <w:t xml:space="preserve"> </w:t>
      </w:r>
      <w:r w:rsidRPr="000D33E4">
        <w:t xml:space="preserve">As can be seen from the table, the budget provided little impetus for economic growth with expenditure growing at a negative rate in real terms i.e. when inflation is taken into account. </w:t>
      </w:r>
    </w:p>
    <w:p w14:paraId="7554E773" w14:textId="77777777" w:rsidR="002817C2" w:rsidRPr="000D33E4" w:rsidRDefault="002817C2" w:rsidP="002817C2">
      <w:pPr>
        <w:rPr>
          <w:rFonts w:ascii="Times" w:hAnsi="Times"/>
        </w:rPr>
      </w:pPr>
    </w:p>
    <w:p w14:paraId="5540300C" w14:textId="670A5374" w:rsidR="002817C2" w:rsidRPr="009A7F2D" w:rsidRDefault="002817C2" w:rsidP="000F7BC5">
      <w:pPr>
        <w:pStyle w:val="Caption"/>
        <w:keepNext/>
        <w:spacing w:after="60" w:line="240" w:lineRule="auto"/>
        <w:rPr>
          <w:rFonts w:ascii="Times" w:hAnsi="Times"/>
          <w:color w:val="004C45" w:themeColor="text2"/>
          <w:sz w:val="24"/>
          <w:szCs w:val="24"/>
        </w:rPr>
      </w:pPr>
      <w:bookmarkStart w:id="72" w:name="_Ref40881536"/>
      <w:bookmarkStart w:id="73" w:name="_Toc42212135"/>
      <w:r w:rsidRPr="009A7F2D">
        <w:rPr>
          <w:rFonts w:ascii="Times" w:hAnsi="Times"/>
          <w:color w:val="004C45" w:themeColor="text2"/>
          <w:sz w:val="24"/>
          <w:szCs w:val="24"/>
        </w:rPr>
        <w:t xml:space="preserve">Table </w:t>
      </w:r>
      <w:r w:rsidRPr="009A7F2D">
        <w:rPr>
          <w:rFonts w:ascii="Times" w:hAnsi="Times"/>
          <w:color w:val="004C45" w:themeColor="text2"/>
          <w:sz w:val="24"/>
          <w:szCs w:val="24"/>
        </w:rPr>
        <w:fldChar w:fldCharType="begin"/>
      </w:r>
      <w:r w:rsidRPr="009A7F2D">
        <w:rPr>
          <w:rFonts w:ascii="Times" w:hAnsi="Times"/>
          <w:color w:val="004C45" w:themeColor="text2"/>
          <w:sz w:val="24"/>
          <w:szCs w:val="24"/>
        </w:rPr>
        <w:instrText xml:space="preserve"> SEQ Table \* ARABIC </w:instrText>
      </w:r>
      <w:r w:rsidRPr="009A7F2D">
        <w:rPr>
          <w:rFonts w:ascii="Times" w:hAnsi="Times"/>
          <w:color w:val="004C45" w:themeColor="text2"/>
          <w:sz w:val="24"/>
          <w:szCs w:val="24"/>
        </w:rPr>
        <w:fldChar w:fldCharType="separate"/>
      </w:r>
      <w:r w:rsidR="00492893">
        <w:rPr>
          <w:rFonts w:ascii="Times" w:hAnsi="Times"/>
          <w:noProof/>
          <w:color w:val="004C45" w:themeColor="text2"/>
          <w:sz w:val="24"/>
          <w:szCs w:val="24"/>
        </w:rPr>
        <w:t>7</w:t>
      </w:r>
      <w:r w:rsidRPr="009A7F2D">
        <w:rPr>
          <w:rFonts w:ascii="Times" w:hAnsi="Times"/>
          <w:color w:val="004C45" w:themeColor="text2"/>
          <w:sz w:val="24"/>
          <w:szCs w:val="24"/>
        </w:rPr>
        <w:fldChar w:fldCharType="end"/>
      </w:r>
      <w:bookmarkEnd w:id="72"/>
      <w:r w:rsidR="00D71D8C" w:rsidRPr="00D71D8C">
        <w:rPr>
          <w:rFonts w:ascii="Times" w:hAnsi="Times"/>
          <w:color w:val="004C45" w:themeColor="text2"/>
          <w:sz w:val="24"/>
          <w:szCs w:val="24"/>
        </w:rPr>
        <w:t>:</w:t>
      </w:r>
      <w:r w:rsidRPr="009A7F2D">
        <w:rPr>
          <w:rFonts w:ascii="Times" w:hAnsi="Times"/>
          <w:color w:val="004C45" w:themeColor="text2"/>
          <w:sz w:val="24"/>
          <w:szCs w:val="24"/>
        </w:rPr>
        <w:t xml:space="preserve"> Consolidated fiscal framework under a constraint environment</w:t>
      </w:r>
      <w:bookmarkEnd w:id="73"/>
    </w:p>
    <w:tbl>
      <w:tblPr>
        <w:tblStyle w:val="TableGrid"/>
        <w:tblW w:w="5000" w:type="pct"/>
        <w:tblInd w:w="-5" w:type="dxa"/>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Look w:val="04A0" w:firstRow="1" w:lastRow="0" w:firstColumn="1" w:lastColumn="0" w:noHBand="0" w:noVBand="1"/>
      </w:tblPr>
      <w:tblGrid>
        <w:gridCol w:w="3143"/>
        <w:gridCol w:w="1215"/>
        <w:gridCol w:w="1292"/>
        <w:gridCol w:w="1348"/>
        <w:gridCol w:w="1257"/>
        <w:gridCol w:w="1373"/>
      </w:tblGrid>
      <w:tr w:rsidR="002817C2" w:rsidRPr="000D33E4" w14:paraId="4F2390B1" w14:textId="77777777" w:rsidTr="00CC643A">
        <w:trPr>
          <w:trHeight w:val="240"/>
        </w:trPr>
        <w:tc>
          <w:tcPr>
            <w:tcW w:w="1632" w:type="pct"/>
            <w:vMerge w:val="restart"/>
            <w:noWrap/>
            <w:hideMark/>
          </w:tcPr>
          <w:p w14:paraId="1A800D36" w14:textId="77777777" w:rsidR="002817C2" w:rsidRPr="009A7F2D" w:rsidRDefault="002817C2" w:rsidP="00CC643A">
            <w:pPr>
              <w:pStyle w:val="NormalWeb"/>
              <w:keepNext/>
              <w:shd w:val="clear" w:color="auto" w:fill="FFFFFF"/>
              <w:spacing w:before="0" w:beforeAutospacing="0" w:after="0" w:afterAutospacing="0"/>
              <w:rPr>
                <w:rFonts w:ascii="Times" w:hAnsi="Times"/>
                <w:b/>
                <w:bCs/>
                <w:color w:val="1A1A1A"/>
                <w:sz w:val="20"/>
                <w:szCs w:val="20"/>
                <w:lang w:val="en-ZA"/>
              </w:rPr>
            </w:pPr>
            <w:r w:rsidRPr="009A7F2D">
              <w:rPr>
                <w:rFonts w:ascii="Times" w:hAnsi="Times"/>
                <w:b/>
                <w:bCs/>
                <w:color w:val="1A1A1A"/>
                <w:sz w:val="20"/>
                <w:szCs w:val="20"/>
                <w:lang w:val="en-ZA"/>
              </w:rPr>
              <w:t>R billion</w:t>
            </w:r>
          </w:p>
        </w:tc>
        <w:tc>
          <w:tcPr>
            <w:tcW w:w="631" w:type="pct"/>
            <w:noWrap/>
            <w:hideMark/>
          </w:tcPr>
          <w:p w14:paraId="3D8783B8" w14:textId="77777777" w:rsidR="002817C2" w:rsidRPr="009A7F2D" w:rsidRDefault="002817C2" w:rsidP="00CC643A">
            <w:pPr>
              <w:pStyle w:val="NormalWeb"/>
              <w:keepNext/>
              <w:shd w:val="clear" w:color="auto" w:fill="FFFFFF"/>
              <w:spacing w:before="0" w:beforeAutospacing="0" w:after="0" w:afterAutospacing="0"/>
              <w:jc w:val="center"/>
              <w:rPr>
                <w:rFonts w:ascii="Times" w:hAnsi="Times"/>
                <w:b/>
                <w:bCs/>
                <w:color w:val="1A1A1A"/>
                <w:sz w:val="20"/>
                <w:szCs w:val="20"/>
                <w:lang w:val="en-ZA"/>
              </w:rPr>
            </w:pPr>
            <w:r w:rsidRPr="009A7F2D">
              <w:rPr>
                <w:rFonts w:ascii="Times" w:hAnsi="Times"/>
                <w:b/>
                <w:bCs/>
                <w:color w:val="1A1A1A"/>
                <w:sz w:val="20"/>
                <w:szCs w:val="20"/>
                <w:lang w:val="en-ZA"/>
              </w:rPr>
              <w:t>2019/20</w:t>
            </w:r>
          </w:p>
        </w:tc>
        <w:tc>
          <w:tcPr>
            <w:tcW w:w="671" w:type="pct"/>
            <w:noWrap/>
            <w:hideMark/>
          </w:tcPr>
          <w:p w14:paraId="12D4FF0A" w14:textId="77777777" w:rsidR="002817C2" w:rsidRPr="009A7F2D" w:rsidRDefault="002817C2" w:rsidP="00CC643A">
            <w:pPr>
              <w:pStyle w:val="NormalWeb"/>
              <w:keepNext/>
              <w:shd w:val="clear" w:color="auto" w:fill="FFFFFF"/>
              <w:spacing w:before="0" w:beforeAutospacing="0" w:after="0" w:afterAutospacing="0"/>
              <w:jc w:val="center"/>
              <w:rPr>
                <w:rFonts w:ascii="Times" w:hAnsi="Times"/>
                <w:b/>
                <w:bCs/>
                <w:color w:val="1A1A1A"/>
                <w:sz w:val="20"/>
                <w:szCs w:val="20"/>
                <w:lang w:val="en-ZA"/>
              </w:rPr>
            </w:pPr>
            <w:r w:rsidRPr="009A7F2D">
              <w:rPr>
                <w:rFonts w:ascii="Times" w:hAnsi="Times"/>
                <w:b/>
                <w:bCs/>
                <w:color w:val="1A1A1A"/>
                <w:sz w:val="20"/>
                <w:szCs w:val="20"/>
                <w:lang w:val="en-ZA"/>
              </w:rPr>
              <w:t>2020/21</w:t>
            </w:r>
          </w:p>
        </w:tc>
        <w:tc>
          <w:tcPr>
            <w:tcW w:w="700" w:type="pct"/>
            <w:noWrap/>
            <w:hideMark/>
          </w:tcPr>
          <w:p w14:paraId="1048EA44" w14:textId="77777777" w:rsidR="002817C2" w:rsidRPr="009A7F2D" w:rsidRDefault="002817C2" w:rsidP="00CC643A">
            <w:pPr>
              <w:pStyle w:val="NormalWeb"/>
              <w:keepNext/>
              <w:shd w:val="clear" w:color="auto" w:fill="FFFFFF"/>
              <w:spacing w:before="0" w:beforeAutospacing="0" w:after="0" w:afterAutospacing="0"/>
              <w:jc w:val="center"/>
              <w:rPr>
                <w:rFonts w:ascii="Times" w:hAnsi="Times"/>
                <w:b/>
                <w:bCs/>
                <w:color w:val="1A1A1A"/>
                <w:sz w:val="20"/>
                <w:szCs w:val="20"/>
                <w:lang w:val="en-ZA"/>
              </w:rPr>
            </w:pPr>
            <w:r w:rsidRPr="009A7F2D">
              <w:rPr>
                <w:rFonts w:ascii="Times" w:hAnsi="Times"/>
                <w:b/>
                <w:bCs/>
                <w:color w:val="1A1A1A"/>
                <w:sz w:val="20"/>
                <w:szCs w:val="20"/>
                <w:lang w:val="en-ZA"/>
              </w:rPr>
              <w:t>2021/22</w:t>
            </w:r>
          </w:p>
        </w:tc>
        <w:tc>
          <w:tcPr>
            <w:tcW w:w="653" w:type="pct"/>
            <w:noWrap/>
            <w:hideMark/>
          </w:tcPr>
          <w:p w14:paraId="584FFF0E" w14:textId="77777777" w:rsidR="002817C2" w:rsidRPr="009A7F2D" w:rsidRDefault="002817C2" w:rsidP="00CC643A">
            <w:pPr>
              <w:pStyle w:val="NormalWeb"/>
              <w:keepNext/>
              <w:shd w:val="clear" w:color="auto" w:fill="FFFFFF"/>
              <w:spacing w:before="0" w:beforeAutospacing="0" w:after="0" w:afterAutospacing="0"/>
              <w:jc w:val="center"/>
              <w:rPr>
                <w:rFonts w:ascii="Times" w:hAnsi="Times"/>
                <w:b/>
                <w:bCs/>
                <w:color w:val="1A1A1A"/>
                <w:sz w:val="20"/>
                <w:szCs w:val="20"/>
                <w:lang w:val="en-ZA"/>
              </w:rPr>
            </w:pPr>
            <w:r w:rsidRPr="009A7F2D">
              <w:rPr>
                <w:rFonts w:ascii="Times" w:hAnsi="Times"/>
                <w:b/>
                <w:bCs/>
                <w:color w:val="1A1A1A"/>
                <w:sz w:val="20"/>
                <w:szCs w:val="20"/>
                <w:lang w:val="en-ZA"/>
              </w:rPr>
              <w:t>2022/23</w:t>
            </w:r>
          </w:p>
        </w:tc>
        <w:tc>
          <w:tcPr>
            <w:tcW w:w="713" w:type="pct"/>
            <w:vMerge w:val="restart"/>
            <w:vAlign w:val="center"/>
            <w:hideMark/>
          </w:tcPr>
          <w:p w14:paraId="0FF89973" w14:textId="77777777" w:rsidR="002817C2" w:rsidRPr="009A7F2D" w:rsidRDefault="002817C2" w:rsidP="00CC643A">
            <w:pPr>
              <w:pStyle w:val="NormalWeb"/>
              <w:keepNext/>
              <w:shd w:val="clear" w:color="auto" w:fill="FFFFFF"/>
              <w:spacing w:before="0" w:beforeAutospacing="0" w:after="0" w:afterAutospacing="0"/>
              <w:jc w:val="center"/>
              <w:rPr>
                <w:rFonts w:ascii="Times" w:hAnsi="Times"/>
                <w:b/>
                <w:bCs/>
                <w:color w:val="1A1A1A"/>
                <w:sz w:val="20"/>
                <w:szCs w:val="20"/>
                <w:lang w:val="en-ZA"/>
              </w:rPr>
            </w:pPr>
            <w:r w:rsidRPr="009A7F2D">
              <w:rPr>
                <w:rFonts w:ascii="Times" w:hAnsi="Times"/>
                <w:b/>
                <w:bCs/>
                <w:color w:val="1A1A1A"/>
                <w:sz w:val="20"/>
                <w:szCs w:val="20"/>
                <w:lang w:val="en-ZA"/>
              </w:rPr>
              <w:t>Real average growth</w:t>
            </w:r>
          </w:p>
        </w:tc>
      </w:tr>
      <w:tr w:rsidR="002817C2" w:rsidRPr="000D33E4" w14:paraId="0DDA83A7" w14:textId="77777777" w:rsidTr="00CC643A">
        <w:trPr>
          <w:trHeight w:val="480"/>
        </w:trPr>
        <w:tc>
          <w:tcPr>
            <w:tcW w:w="1632" w:type="pct"/>
            <w:vMerge/>
            <w:hideMark/>
          </w:tcPr>
          <w:p w14:paraId="2272ADD2" w14:textId="77777777" w:rsidR="002817C2" w:rsidRPr="009A7F2D" w:rsidRDefault="002817C2" w:rsidP="00CC643A">
            <w:pPr>
              <w:pStyle w:val="NormalWeb"/>
              <w:keepNext/>
              <w:shd w:val="clear" w:color="auto" w:fill="FFFFFF"/>
              <w:spacing w:before="0" w:beforeAutospacing="0" w:after="0" w:afterAutospacing="0"/>
              <w:rPr>
                <w:rFonts w:ascii="Times" w:hAnsi="Times"/>
                <w:b/>
                <w:bCs/>
                <w:color w:val="1A1A1A"/>
                <w:sz w:val="20"/>
                <w:szCs w:val="20"/>
                <w:lang w:val="en-ZA"/>
              </w:rPr>
            </w:pPr>
          </w:p>
        </w:tc>
        <w:tc>
          <w:tcPr>
            <w:tcW w:w="631" w:type="pct"/>
            <w:hideMark/>
          </w:tcPr>
          <w:p w14:paraId="24830AC3" w14:textId="77777777" w:rsidR="002817C2" w:rsidRPr="009A7F2D" w:rsidRDefault="002817C2" w:rsidP="00CC643A">
            <w:pPr>
              <w:pStyle w:val="NormalWeb"/>
              <w:keepNext/>
              <w:shd w:val="clear" w:color="auto" w:fill="FFFFFF"/>
              <w:spacing w:before="0" w:beforeAutospacing="0" w:after="0" w:afterAutospacing="0"/>
              <w:jc w:val="center"/>
              <w:rPr>
                <w:rFonts w:ascii="Times" w:hAnsi="Times"/>
                <w:b/>
                <w:bCs/>
                <w:color w:val="1A1A1A"/>
                <w:sz w:val="20"/>
                <w:szCs w:val="20"/>
                <w:lang w:val="en-ZA"/>
              </w:rPr>
            </w:pPr>
            <w:r w:rsidRPr="009A7F2D">
              <w:rPr>
                <w:rFonts w:ascii="Times" w:hAnsi="Times"/>
                <w:b/>
                <w:bCs/>
                <w:color w:val="1A1A1A"/>
                <w:sz w:val="20"/>
                <w:szCs w:val="20"/>
                <w:lang w:val="en-ZA"/>
              </w:rPr>
              <w:t xml:space="preserve">Revised </w:t>
            </w:r>
            <w:r w:rsidRPr="009A7F2D">
              <w:rPr>
                <w:rFonts w:ascii="Times" w:hAnsi="Times"/>
                <w:b/>
                <w:bCs/>
                <w:color w:val="1A1A1A"/>
                <w:sz w:val="20"/>
                <w:szCs w:val="20"/>
                <w:lang w:val="en-ZA"/>
              </w:rPr>
              <w:br/>
              <w:t>estimate</w:t>
            </w:r>
          </w:p>
        </w:tc>
        <w:tc>
          <w:tcPr>
            <w:tcW w:w="2024" w:type="pct"/>
            <w:gridSpan w:val="3"/>
            <w:noWrap/>
            <w:vAlign w:val="center"/>
            <w:hideMark/>
          </w:tcPr>
          <w:p w14:paraId="52409A87" w14:textId="77777777" w:rsidR="002817C2" w:rsidRPr="009A7F2D" w:rsidRDefault="002817C2" w:rsidP="00CC643A">
            <w:pPr>
              <w:pStyle w:val="NormalWeb"/>
              <w:keepNext/>
              <w:shd w:val="clear" w:color="auto" w:fill="FFFFFF"/>
              <w:spacing w:before="0" w:beforeAutospacing="0" w:after="0" w:afterAutospacing="0"/>
              <w:jc w:val="center"/>
              <w:rPr>
                <w:rFonts w:ascii="Times" w:hAnsi="Times"/>
                <w:b/>
                <w:bCs/>
                <w:color w:val="1A1A1A"/>
                <w:sz w:val="20"/>
                <w:szCs w:val="20"/>
                <w:lang w:val="en-ZA"/>
              </w:rPr>
            </w:pPr>
            <w:r w:rsidRPr="009A7F2D">
              <w:rPr>
                <w:rFonts w:ascii="Times" w:hAnsi="Times"/>
                <w:b/>
                <w:bCs/>
                <w:color w:val="1A1A1A"/>
                <w:sz w:val="20"/>
                <w:szCs w:val="20"/>
                <w:lang w:val="en-ZA"/>
              </w:rPr>
              <w:t>Medium-term estimates</w:t>
            </w:r>
          </w:p>
        </w:tc>
        <w:tc>
          <w:tcPr>
            <w:tcW w:w="713" w:type="pct"/>
            <w:vMerge/>
            <w:hideMark/>
          </w:tcPr>
          <w:p w14:paraId="13751605" w14:textId="77777777" w:rsidR="002817C2" w:rsidRPr="009A7F2D" w:rsidRDefault="002817C2" w:rsidP="00CC643A">
            <w:pPr>
              <w:pStyle w:val="NormalWeb"/>
              <w:keepNext/>
              <w:shd w:val="clear" w:color="auto" w:fill="FFFFFF"/>
              <w:spacing w:before="0" w:beforeAutospacing="0" w:after="0" w:afterAutospacing="0"/>
              <w:rPr>
                <w:rFonts w:ascii="Times" w:hAnsi="Times"/>
                <w:color w:val="1A1A1A"/>
                <w:sz w:val="20"/>
                <w:szCs w:val="20"/>
                <w:lang w:val="en-ZA"/>
              </w:rPr>
            </w:pPr>
          </w:p>
        </w:tc>
      </w:tr>
      <w:tr w:rsidR="002817C2" w:rsidRPr="000D33E4" w14:paraId="22C32F28" w14:textId="77777777" w:rsidTr="009A7F2D">
        <w:trPr>
          <w:trHeight w:val="240"/>
        </w:trPr>
        <w:tc>
          <w:tcPr>
            <w:tcW w:w="1632" w:type="pct"/>
            <w:noWrap/>
            <w:hideMark/>
          </w:tcPr>
          <w:p w14:paraId="12F95C3C" w14:textId="77777777" w:rsidR="002817C2" w:rsidRPr="009A7F2D" w:rsidRDefault="002817C2" w:rsidP="00CC643A">
            <w:pPr>
              <w:pStyle w:val="NormalWeb"/>
              <w:keepNext/>
              <w:shd w:val="clear" w:color="auto" w:fill="FFFFFF"/>
              <w:spacing w:before="0" w:beforeAutospacing="0" w:after="0" w:afterAutospacing="0"/>
              <w:rPr>
                <w:rFonts w:ascii="Times" w:hAnsi="Times"/>
                <w:color w:val="1A1A1A"/>
                <w:sz w:val="20"/>
                <w:szCs w:val="20"/>
                <w:lang w:val="en-ZA"/>
              </w:rPr>
            </w:pPr>
            <w:r w:rsidRPr="009A7F2D">
              <w:rPr>
                <w:rFonts w:ascii="Times" w:hAnsi="Times"/>
                <w:color w:val="1A1A1A"/>
                <w:sz w:val="20"/>
                <w:szCs w:val="20"/>
                <w:lang w:val="en-ZA"/>
              </w:rPr>
              <w:t>Revenue</w:t>
            </w:r>
          </w:p>
        </w:tc>
        <w:tc>
          <w:tcPr>
            <w:tcW w:w="631" w:type="pct"/>
            <w:noWrap/>
            <w:hideMark/>
          </w:tcPr>
          <w:p w14:paraId="035436FA" w14:textId="77777777" w:rsidR="002817C2" w:rsidRPr="009A7F2D" w:rsidRDefault="002817C2" w:rsidP="00CC643A">
            <w:pPr>
              <w:pStyle w:val="NormalWeb"/>
              <w:keepNext/>
              <w:shd w:val="clear" w:color="auto" w:fill="FFFFFF"/>
              <w:spacing w:before="0" w:beforeAutospacing="0" w:after="0" w:afterAutospacing="0"/>
              <w:jc w:val="center"/>
              <w:rPr>
                <w:rFonts w:ascii="Times" w:hAnsi="Times"/>
                <w:color w:val="1A1A1A"/>
                <w:sz w:val="20"/>
                <w:szCs w:val="20"/>
                <w:lang w:val="en-ZA"/>
              </w:rPr>
            </w:pPr>
            <w:r w:rsidRPr="009A7F2D">
              <w:rPr>
                <w:rFonts w:ascii="Times" w:hAnsi="Times"/>
                <w:color w:val="1A1A1A"/>
                <w:sz w:val="20"/>
                <w:szCs w:val="20"/>
                <w:lang w:val="en-ZA"/>
              </w:rPr>
              <w:t>1 517.00</w:t>
            </w:r>
          </w:p>
        </w:tc>
        <w:tc>
          <w:tcPr>
            <w:tcW w:w="671" w:type="pct"/>
            <w:noWrap/>
            <w:hideMark/>
          </w:tcPr>
          <w:p w14:paraId="50CDCBBE" w14:textId="77777777" w:rsidR="002817C2" w:rsidRPr="009A7F2D" w:rsidRDefault="002817C2" w:rsidP="00CC643A">
            <w:pPr>
              <w:pStyle w:val="NormalWeb"/>
              <w:keepNext/>
              <w:shd w:val="clear" w:color="auto" w:fill="FFFFFF"/>
              <w:spacing w:before="0" w:beforeAutospacing="0" w:after="0" w:afterAutospacing="0"/>
              <w:jc w:val="center"/>
              <w:rPr>
                <w:rFonts w:ascii="Times" w:hAnsi="Times"/>
                <w:color w:val="1A1A1A"/>
                <w:sz w:val="20"/>
                <w:szCs w:val="20"/>
                <w:lang w:val="en-ZA"/>
              </w:rPr>
            </w:pPr>
            <w:r w:rsidRPr="009A7F2D">
              <w:rPr>
                <w:rFonts w:ascii="Times" w:hAnsi="Times"/>
                <w:color w:val="1A1A1A"/>
                <w:sz w:val="20"/>
                <w:szCs w:val="20"/>
                <w:lang w:val="en-ZA"/>
              </w:rPr>
              <w:t>1 583.90</w:t>
            </w:r>
          </w:p>
        </w:tc>
        <w:tc>
          <w:tcPr>
            <w:tcW w:w="700" w:type="pct"/>
            <w:noWrap/>
            <w:hideMark/>
          </w:tcPr>
          <w:p w14:paraId="020E1757" w14:textId="77777777" w:rsidR="002817C2" w:rsidRPr="009A7F2D" w:rsidRDefault="002817C2" w:rsidP="00CC643A">
            <w:pPr>
              <w:pStyle w:val="NormalWeb"/>
              <w:keepNext/>
              <w:shd w:val="clear" w:color="auto" w:fill="FFFFFF"/>
              <w:spacing w:before="0" w:beforeAutospacing="0" w:after="0" w:afterAutospacing="0"/>
              <w:jc w:val="center"/>
              <w:rPr>
                <w:rFonts w:ascii="Times" w:hAnsi="Times"/>
                <w:color w:val="1A1A1A"/>
                <w:sz w:val="20"/>
                <w:szCs w:val="20"/>
                <w:lang w:val="en-ZA"/>
              </w:rPr>
            </w:pPr>
            <w:r w:rsidRPr="009A7F2D">
              <w:rPr>
                <w:rFonts w:ascii="Times" w:hAnsi="Times"/>
                <w:color w:val="1A1A1A"/>
                <w:sz w:val="20"/>
                <w:szCs w:val="20"/>
                <w:lang w:val="en-ZA"/>
              </w:rPr>
              <w:t>1 682.80</w:t>
            </w:r>
          </w:p>
        </w:tc>
        <w:tc>
          <w:tcPr>
            <w:tcW w:w="653" w:type="pct"/>
            <w:noWrap/>
            <w:hideMark/>
          </w:tcPr>
          <w:p w14:paraId="71A20A84" w14:textId="77777777" w:rsidR="002817C2" w:rsidRPr="009A7F2D" w:rsidRDefault="002817C2" w:rsidP="00CC643A">
            <w:pPr>
              <w:pStyle w:val="NormalWeb"/>
              <w:keepNext/>
              <w:shd w:val="clear" w:color="auto" w:fill="FFFFFF"/>
              <w:spacing w:before="0" w:beforeAutospacing="0" w:after="0" w:afterAutospacing="0"/>
              <w:jc w:val="center"/>
              <w:rPr>
                <w:rFonts w:ascii="Times" w:hAnsi="Times"/>
                <w:color w:val="1A1A1A"/>
                <w:sz w:val="20"/>
                <w:szCs w:val="20"/>
                <w:lang w:val="en-ZA"/>
              </w:rPr>
            </w:pPr>
            <w:r w:rsidRPr="009A7F2D">
              <w:rPr>
                <w:rFonts w:ascii="Times" w:hAnsi="Times"/>
                <w:color w:val="1A1A1A"/>
                <w:sz w:val="20"/>
                <w:szCs w:val="20"/>
                <w:lang w:val="en-ZA"/>
              </w:rPr>
              <w:t>1 791.30</w:t>
            </w:r>
          </w:p>
        </w:tc>
        <w:tc>
          <w:tcPr>
            <w:tcW w:w="713" w:type="pct"/>
            <w:noWrap/>
            <w:hideMark/>
          </w:tcPr>
          <w:p w14:paraId="707A66B5" w14:textId="77777777" w:rsidR="002817C2" w:rsidRPr="009A7F2D" w:rsidRDefault="002817C2" w:rsidP="00CC643A">
            <w:pPr>
              <w:pStyle w:val="NormalWeb"/>
              <w:keepNext/>
              <w:shd w:val="clear" w:color="auto" w:fill="FFFFFF"/>
              <w:spacing w:before="0" w:beforeAutospacing="0" w:after="0" w:afterAutospacing="0"/>
              <w:jc w:val="center"/>
              <w:rPr>
                <w:rFonts w:ascii="Times" w:hAnsi="Times"/>
                <w:color w:val="1A1A1A"/>
                <w:sz w:val="20"/>
                <w:szCs w:val="20"/>
                <w:lang w:val="en-ZA"/>
              </w:rPr>
            </w:pPr>
            <w:r w:rsidRPr="009A7F2D">
              <w:rPr>
                <w:rFonts w:ascii="Times" w:hAnsi="Times"/>
                <w:color w:val="1A1A1A"/>
                <w:sz w:val="20"/>
                <w:szCs w:val="20"/>
                <w:lang w:val="en-ZA"/>
              </w:rPr>
              <w:t>-0.0031%</w:t>
            </w:r>
          </w:p>
        </w:tc>
      </w:tr>
      <w:tr w:rsidR="002817C2" w:rsidRPr="000D33E4" w14:paraId="52B11C6D" w14:textId="77777777" w:rsidTr="009A7F2D">
        <w:trPr>
          <w:trHeight w:val="240"/>
        </w:trPr>
        <w:tc>
          <w:tcPr>
            <w:tcW w:w="1632" w:type="pct"/>
            <w:noWrap/>
            <w:hideMark/>
          </w:tcPr>
          <w:p w14:paraId="34F4DFAF" w14:textId="77777777" w:rsidR="002817C2" w:rsidRPr="009A7F2D" w:rsidRDefault="002817C2" w:rsidP="00CC643A">
            <w:pPr>
              <w:pStyle w:val="NormalWeb"/>
              <w:keepNext/>
              <w:shd w:val="clear" w:color="auto" w:fill="FFFFFF"/>
              <w:spacing w:before="0" w:beforeAutospacing="0" w:after="0" w:afterAutospacing="0"/>
              <w:rPr>
                <w:rFonts w:ascii="Times" w:hAnsi="Times"/>
                <w:color w:val="1A1A1A"/>
                <w:sz w:val="20"/>
                <w:szCs w:val="20"/>
                <w:lang w:val="en-ZA"/>
              </w:rPr>
            </w:pPr>
            <w:r w:rsidRPr="009A7F2D">
              <w:rPr>
                <w:rFonts w:ascii="Times" w:hAnsi="Times"/>
                <w:color w:val="1A1A1A"/>
                <w:sz w:val="20"/>
                <w:szCs w:val="20"/>
                <w:lang w:val="en-ZA"/>
              </w:rPr>
              <w:t>% of GDP</w:t>
            </w:r>
          </w:p>
        </w:tc>
        <w:tc>
          <w:tcPr>
            <w:tcW w:w="631" w:type="pct"/>
            <w:noWrap/>
            <w:hideMark/>
          </w:tcPr>
          <w:p w14:paraId="3136015C" w14:textId="77777777" w:rsidR="002817C2" w:rsidRPr="009A7F2D" w:rsidRDefault="002817C2" w:rsidP="00CC643A">
            <w:pPr>
              <w:pStyle w:val="NormalWeb"/>
              <w:keepNext/>
              <w:shd w:val="clear" w:color="auto" w:fill="FFFFFF"/>
              <w:spacing w:before="0" w:beforeAutospacing="0" w:after="0" w:afterAutospacing="0"/>
              <w:jc w:val="center"/>
              <w:rPr>
                <w:rFonts w:ascii="Times" w:hAnsi="Times"/>
                <w:color w:val="1A1A1A"/>
                <w:sz w:val="20"/>
                <w:szCs w:val="20"/>
                <w:lang w:val="en-ZA"/>
              </w:rPr>
            </w:pPr>
            <w:r w:rsidRPr="009A7F2D">
              <w:rPr>
                <w:rFonts w:ascii="Times" w:hAnsi="Times"/>
                <w:color w:val="1A1A1A"/>
                <w:sz w:val="20"/>
                <w:szCs w:val="20"/>
                <w:lang w:val="en-ZA"/>
              </w:rPr>
              <w:t>29.40%</w:t>
            </w:r>
          </w:p>
        </w:tc>
        <w:tc>
          <w:tcPr>
            <w:tcW w:w="671" w:type="pct"/>
            <w:noWrap/>
            <w:hideMark/>
          </w:tcPr>
          <w:p w14:paraId="7FDEF684" w14:textId="77777777" w:rsidR="002817C2" w:rsidRPr="009A7F2D" w:rsidRDefault="002817C2" w:rsidP="00CC643A">
            <w:pPr>
              <w:pStyle w:val="NormalWeb"/>
              <w:keepNext/>
              <w:shd w:val="clear" w:color="auto" w:fill="FFFFFF"/>
              <w:spacing w:before="0" w:beforeAutospacing="0" w:after="0" w:afterAutospacing="0"/>
              <w:jc w:val="center"/>
              <w:rPr>
                <w:rFonts w:ascii="Times" w:hAnsi="Times"/>
                <w:color w:val="1A1A1A"/>
                <w:sz w:val="20"/>
                <w:szCs w:val="20"/>
                <w:lang w:val="en-ZA"/>
              </w:rPr>
            </w:pPr>
            <w:r w:rsidRPr="009A7F2D">
              <w:rPr>
                <w:rFonts w:ascii="Times" w:hAnsi="Times"/>
                <w:color w:val="1A1A1A"/>
                <w:sz w:val="20"/>
                <w:szCs w:val="20"/>
                <w:lang w:val="en-ZA"/>
              </w:rPr>
              <w:t>29.20%</w:t>
            </w:r>
          </w:p>
        </w:tc>
        <w:tc>
          <w:tcPr>
            <w:tcW w:w="700" w:type="pct"/>
            <w:noWrap/>
            <w:hideMark/>
          </w:tcPr>
          <w:p w14:paraId="27A42CD3" w14:textId="77777777" w:rsidR="002817C2" w:rsidRPr="009A7F2D" w:rsidRDefault="002817C2" w:rsidP="00CC643A">
            <w:pPr>
              <w:pStyle w:val="NormalWeb"/>
              <w:keepNext/>
              <w:shd w:val="clear" w:color="auto" w:fill="FFFFFF"/>
              <w:spacing w:before="0" w:beforeAutospacing="0" w:after="0" w:afterAutospacing="0"/>
              <w:jc w:val="center"/>
              <w:rPr>
                <w:rFonts w:ascii="Times" w:hAnsi="Times"/>
                <w:color w:val="1A1A1A"/>
                <w:sz w:val="20"/>
                <w:szCs w:val="20"/>
                <w:lang w:val="en-ZA"/>
              </w:rPr>
            </w:pPr>
            <w:r w:rsidRPr="009A7F2D">
              <w:rPr>
                <w:rFonts w:ascii="Times" w:hAnsi="Times"/>
                <w:color w:val="1A1A1A"/>
                <w:sz w:val="20"/>
                <w:szCs w:val="20"/>
                <w:lang w:val="en-ZA"/>
              </w:rPr>
              <w:t>29.20%</w:t>
            </w:r>
          </w:p>
        </w:tc>
        <w:tc>
          <w:tcPr>
            <w:tcW w:w="653" w:type="pct"/>
            <w:noWrap/>
            <w:hideMark/>
          </w:tcPr>
          <w:p w14:paraId="605872B1" w14:textId="77777777" w:rsidR="002817C2" w:rsidRPr="009A7F2D" w:rsidRDefault="002817C2" w:rsidP="00CC643A">
            <w:pPr>
              <w:pStyle w:val="NormalWeb"/>
              <w:keepNext/>
              <w:shd w:val="clear" w:color="auto" w:fill="FFFFFF"/>
              <w:spacing w:before="0" w:beforeAutospacing="0" w:after="0" w:afterAutospacing="0"/>
              <w:jc w:val="center"/>
              <w:rPr>
                <w:rFonts w:ascii="Times" w:hAnsi="Times"/>
                <w:color w:val="1A1A1A"/>
                <w:sz w:val="20"/>
                <w:szCs w:val="20"/>
                <w:lang w:val="en-ZA"/>
              </w:rPr>
            </w:pPr>
            <w:r w:rsidRPr="009A7F2D">
              <w:rPr>
                <w:rFonts w:ascii="Times" w:hAnsi="Times"/>
                <w:color w:val="1A1A1A"/>
                <w:sz w:val="20"/>
                <w:szCs w:val="20"/>
                <w:lang w:val="en-ZA"/>
              </w:rPr>
              <w:t>29.20%</w:t>
            </w:r>
          </w:p>
        </w:tc>
        <w:tc>
          <w:tcPr>
            <w:tcW w:w="713" w:type="pct"/>
            <w:noWrap/>
            <w:hideMark/>
          </w:tcPr>
          <w:p w14:paraId="3C34DA8D" w14:textId="77777777" w:rsidR="002817C2" w:rsidRPr="009A7F2D" w:rsidRDefault="002817C2" w:rsidP="00CC643A">
            <w:pPr>
              <w:pStyle w:val="NormalWeb"/>
              <w:keepNext/>
              <w:shd w:val="clear" w:color="auto" w:fill="FFFFFF"/>
              <w:spacing w:before="0" w:beforeAutospacing="0" w:after="0" w:afterAutospacing="0"/>
              <w:jc w:val="center"/>
              <w:rPr>
                <w:rFonts w:ascii="Times" w:hAnsi="Times"/>
                <w:color w:val="1A1A1A"/>
                <w:sz w:val="20"/>
                <w:szCs w:val="20"/>
                <w:lang w:val="en-ZA"/>
              </w:rPr>
            </w:pPr>
          </w:p>
        </w:tc>
      </w:tr>
      <w:tr w:rsidR="002817C2" w:rsidRPr="000D33E4" w14:paraId="5669B228" w14:textId="77777777" w:rsidTr="009A7F2D">
        <w:trPr>
          <w:trHeight w:val="240"/>
        </w:trPr>
        <w:tc>
          <w:tcPr>
            <w:tcW w:w="1632" w:type="pct"/>
            <w:noWrap/>
            <w:hideMark/>
          </w:tcPr>
          <w:p w14:paraId="6F9C6D31" w14:textId="77777777" w:rsidR="002817C2" w:rsidRPr="009A7F2D" w:rsidRDefault="002817C2" w:rsidP="00CC643A">
            <w:pPr>
              <w:pStyle w:val="NormalWeb"/>
              <w:keepNext/>
              <w:shd w:val="clear" w:color="auto" w:fill="FFFFFF"/>
              <w:spacing w:before="0" w:beforeAutospacing="0" w:after="0" w:afterAutospacing="0"/>
              <w:rPr>
                <w:rFonts w:ascii="Times" w:hAnsi="Times"/>
                <w:color w:val="1A1A1A"/>
                <w:sz w:val="20"/>
                <w:szCs w:val="20"/>
                <w:lang w:val="en-ZA"/>
              </w:rPr>
            </w:pPr>
            <w:r w:rsidRPr="009A7F2D">
              <w:rPr>
                <w:rFonts w:ascii="Times" w:hAnsi="Times"/>
                <w:color w:val="1A1A1A"/>
                <w:sz w:val="20"/>
                <w:szCs w:val="20"/>
                <w:lang w:val="en-ZA"/>
              </w:rPr>
              <w:t>Expenditure</w:t>
            </w:r>
          </w:p>
        </w:tc>
        <w:tc>
          <w:tcPr>
            <w:tcW w:w="631" w:type="pct"/>
            <w:noWrap/>
            <w:hideMark/>
          </w:tcPr>
          <w:p w14:paraId="5F15EAB5" w14:textId="77777777" w:rsidR="002817C2" w:rsidRPr="009A7F2D" w:rsidRDefault="002817C2" w:rsidP="00CC643A">
            <w:pPr>
              <w:pStyle w:val="NormalWeb"/>
              <w:keepNext/>
              <w:shd w:val="clear" w:color="auto" w:fill="FFFFFF"/>
              <w:spacing w:before="0" w:beforeAutospacing="0" w:after="0" w:afterAutospacing="0"/>
              <w:jc w:val="center"/>
              <w:rPr>
                <w:rFonts w:ascii="Times" w:hAnsi="Times"/>
                <w:color w:val="1A1A1A"/>
                <w:sz w:val="20"/>
                <w:szCs w:val="20"/>
                <w:lang w:val="en-ZA"/>
              </w:rPr>
            </w:pPr>
            <w:r w:rsidRPr="009A7F2D">
              <w:rPr>
                <w:rFonts w:ascii="Times" w:hAnsi="Times"/>
                <w:color w:val="1A1A1A"/>
                <w:sz w:val="20"/>
                <w:szCs w:val="20"/>
                <w:lang w:val="en-ZA"/>
              </w:rPr>
              <w:t>1 843.50</w:t>
            </w:r>
          </w:p>
        </w:tc>
        <w:tc>
          <w:tcPr>
            <w:tcW w:w="671" w:type="pct"/>
            <w:noWrap/>
            <w:hideMark/>
          </w:tcPr>
          <w:p w14:paraId="66DA0FF9" w14:textId="77777777" w:rsidR="002817C2" w:rsidRPr="009A7F2D" w:rsidRDefault="002817C2" w:rsidP="00CC643A">
            <w:pPr>
              <w:pStyle w:val="NormalWeb"/>
              <w:keepNext/>
              <w:shd w:val="clear" w:color="auto" w:fill="FFFFFF"/>
              <w:spacing w:before="0" w:beforeAutospacing="0" w:after="0" w:afterAutospacing="0"/>
              <w:jc w:val="center"/>
              <w:rPr>
                <w:rFonts w:ascii="Times" w:hAnsi="Times"/>
                <w:color w:val="1A1A1A"/>
                <w:sz w:val="20"/>
                <w:szCs w:val="20"/>
                <w:lang w:val="en-ZA"/>
              </w:rPr>
            </w:pPr>
            <w:r w:rsidRPr="009A7F2D">
              <w:rPr>
                <w:rFonts w:ascii="Times" w:hAnsi="Times"/>
                <w:color w:val="1A1A1A"/>
                <w:sz w:val="20"/>
                <w:szCs w:val="20"/>
                <w:lang w:val="en-ZA"/>
              </w:rPr>
              <w:t>1 954.40</w:t>
            </w:r>
          </w:p>
        </w:tc>
        <w:tc>
          <w:tcPr>
            <w:tcW w:w="700" w:type="pct"/>
            <w:noWrap/>
            <w:hideMark/>
          </w:tcPr>
          <w:p w14:paraId="56A3A4B7" w14:textId="77777777" w:rsidR="002817C2" w:rsidRPr="009A7F2D" w:rsidRDefault="002817C2" w:rsidP="00CC643A">
            <w:pPr>
              <w:pStyle w:val="NormalWeb"/>
              <w:keepNext/>
              <w:shd w:val="clear" w:color="auto" w:fill="FFFFFF"/>
              <w:spacing w:before="0" w:beforeAutospacing="0" w:after="0" w:afterAutospacing="0"/>
              <w:jc w:val="center"/>
              <w:rPr>
                <w:rFonts w:ascii="Times" w:hAnsi="Times"/>
                <w:color w:val="1A1A1A"/>
                <w:sz w:val="20"/>
                <w:szCs w:val="20"/>
                <w:lang w:val="en-ZA"/>
              </w:rPr>
            </w:pPr>
            <w:r w:rsidRPr="009A7F2D">
              <w:rPr>
                <w:rFonts w:ascii="Times" w:hAnsi="Times"/>
                <w:color w:val="1A1A1A"/>
                <w:sz w:val="20"/>
                <w:szCs w:val="20"/>
                <w:lang w:val="en-ZA"/>
              </w:rPr>
              <w:t>2 040.30</w:t>
            </w:r>
          </w:p>
        </w:tc>
        <w:tc>
          <w:tcPr>
            <w:tcW w:w="653" w:type="pct"/>
            <w:noWrap/>
            <w:hideMark/>
          </w:tcPr>
          <w:p w14:paraId="5EF2D17A" w14:textId="77777777" w:rsidR="002817C2" w:rsidRPr="009A7F2D" w:rsidRDefault="002817C2" w:rsidP="00CC643A">
            <w:pPr>
              <w:pStyle w:val="NormalWeb"/>
              <w:keepNext/>
              <w:shd w:val="clear" w:color="auto" w:fill="FFFFFF"/>
              <w:spacing w:before="0" w:beforeAutospacing="0" w:after="0" w:afterAutospacing="0"/>
              <w:jc w:val="center"/>
              <w:rPr>
                <w:rFonts w:ascii="Times" w:hAnsi="Times"/>
                <w:color w:val="1A1A1A"/>
                <w:sz w:val="20"/>
                <w:szCs w:val="20"/>
                <w:lang w:val="en-ZA"/>
              </w:rPr>
            </w:pPr>
            <w:r w:rsidRPr="009A7F2D">
              <w:rPr>
                <w:rFonts w:ascii="Times" w:hAnsi="Times"/>
                <w:color w:val="1A1A1A"/>
                <w:sz w:val="20"/>
                <w:szCs w:val="20"/>
                <w:lang w:val="en-ZA"/>
              </w:rPr>
              <w:t>2 141.00</w:t>
            </w:r>
          </w:p>
        </w:tc>
        <w:tc>
          <w:tcPr>
            <w:tcW w:w="713" w:type="pct"/>
            <w:noWrap/>
            <w:hideMark/>
          </w:tcPr>
          <w:p w14:paraId="245B1CB9" w14:textId="77777777" w:rsidR="002817C2" w:rsidRPr="009A7F2D" w:rsidRDefault="002817C2" w:rsidP="00CC643A">
            <w:pPr>
              <w:pStyle w:val="NormalWeb"/>
              <w:keepNext/>
              <w:shd w:val="clear" w:color="auto" w:fill="FFFFFF"/>
              <w:spacing w:before="0" w:beforeAutospacing="0" w:after="0" w:afterAutospacing="0"/>
              <w:jc w:val="center"/>
              <w:rPr>
                <w:rFonts w:ascii="Times" w:hAnsi="Times"/>
                <w:color w:val="1A1A1A"/>
                <w:sz w:val="20"/>
                <w:szCs w:val="20"/>
                <w:lang w:val="en-ZA"/>
              </w:rPr>
            </w:pPr>
            <w:r w:rsidRPr="009A7F2D">
              <w:rPr>
                <w:rFonts w:ascii="Times" w:hAnsi="Times"/>
                <w:color w:val="1A1A1A"/>
                <w:sz w:val="20"/>
                <w:szCs w:val="20"/>
                <w:lang w:val="en-ZA"/>
              </w:rPr>
              <w:t>-0.0141%</w:t>
            </w:r>
          </w:p>
        </w:tc>
      </w:tr>
      <w:tr w:rsidR="002817C2" w:rsidRPr="000D33E4" w14:paraId="044FC883" w14:textId="77777777" w:rsidTr="009A7F2D">
        <w:trPr>
          <w:trHeight w:val="240"/>
        </w:trPr>
        <w:tc>
          <w:tcPr>
            <w:tcW w:w="1632" w:type="pct"/>
            <w:noWrap/>
            <w:hideMark/>
          </w:tcPr>
          <w:p w14:paraId="2FE49747" w14:textId="77777777" w:rsidR="002817C2" w:rsidRPr="009A7F2D" w:rsidRDefault="002817C2" w:rsidP="00CC643A">
            <w:pPr>
              <w:pStyle w:val="NormalWeb"/>
              <w:keepNext/>
              <w:shd w:val="clear" w:color="auto" w:fill="FFFFFF"/>
              <w:spacing w:before="0" w:beforeAutospacing="0" w:after="0" w:afterAutospacing="0"/>
              <w:rPr>
                <w:rFonts w:ascii="Times" w:hAnsi="Times"/>
                <w:color w:val="1A1A1A"/>
                <w:sz w:val="20"/>
                <w:szCs w:val="20"/>
                <w:lang w:val="en-ZA"/>
              </w:rPr>
            </w:pPr>
            <w:r w:rsidRPr="009A7F2D">
              <w:rPr>
                <w:rFonts w:ascii="Times" w:hAnsi="Times"/>
                <w:color w:val="1A1A1A"/>
                <w:sz w:val="20"/>
                <w:szCs w:val="20"/>
                <w:lang w:val="en-ZA"/>
              </w:rPr>
              <w:t>% of GDP</w:t>
            </w:r>
          </w:p>
        </w:tc>
        <w:tc>
          <w:tcPr>
            <w:tcW w:w="631" w:type="pct"/>
            <w:noWrap/>
            <w:hideMark/>
          </w:tcPr>
          <w:p w14:paraId="6F8C4419" w14:textId="77777777" w:rsidR="002817C2" w:rsidRPr="009A7F2D" w:rsidRDefault="002817C2" w:rsidP="00CC643A">
            <w:pPr>
              <w:pStyle w:val="NormalWeb"/>
              <w:keepNext/>
              <w:shd w:val="clear" w:color="auto" w:fill="FFFFFF"/>
              <w:spacing w:before="0" w:beforeAutospacing="0" w:after="0" w:afterAutospacing="0"/>
              <w:jc w:val="center"/>
              <w:rPr>
                <w:rFonts w:ascii="Times" w:hAnsi="Times"/>
                <w:color w:val="1A1A1A"/>
                <w:sz w:val="20"/>
                <w:szCs w:val="20"/>
                <w:lang w:val="en-ZA"/>
              </w:rPr>
            </w:pPr>
            <w:r w:rsidRPr="009A7F2D">
              <w:rPr>
                <w:rFonts w:ascii="Times" w:hAnsi="Times"/>
                <w:color w:val="1A1A1A"/>
                <w:sz w:val="20"/>
                <w:szCs w:val="20"/>
                <w:lang w:val="en-ZA"/>
              </w:rPr>
              <w:t>35.70%</w:t>
            </w:r>
          </w:p>
        </w:tc>
        <w:tc>
          <w:tcPr>
            <w:tcW w:w="671" w:type="pct"/>
            <w:noWrap/>
            <w:hideMark/>
          </w:tcPr>
          <w:p w14:paraId="731D73F5" w14:textId="77777777" w:rsidR="002817C2" w:rsidRPr="009A7F2D" w:rsidRDefault="002817C2" w:rsidP="00CC643A">
            <w:pPr>
              <w:pStyle w:val="NormalWeb"/>
              <w:keepNext/>
              <w:shd w:val="clear" w:color="auto" w:fill="FFFFFF"/>
              <w:spacing w:before="0" w:beforeAutospacing="0" w:after="0" w:afterAutospacing="0"/>
              <w:jc w:val="center"/>
              <w:rPr>
                <w:rFonts w:ascii="Times" w:hAnsi="Times"/>
                <w:color w:val="1A1A1A"/>
                <w:sz w:val="20"/>
                <w:szCs w:val="20"/>
                <w:lang w:val="en-ZA"/>
              </w:rPr>
            </w:pPr>
            <w:r w:rsidRPr="009A7F2D">
              <w:rPr>
                <w:rFonts w:ascii="Times" w:hAnsi="Times"/>
                <w:color w:val="1A1A1A"/>
                <w:sz w:val="20"/>
                <w:szCs w:val="20"/>
                <w:lang w:val="en-ZA"/>
              </w:rPr>
              <w:t>36.00%</w:t>
            </w:r>
          </w:p>
        </w:tc>
        <w:tc>
          <w:tcPr>
            <w:tcW w:w="700" w:type="pct"/>
            <w:noWrap/>
            <w:hideMark/>
          </w:tcPr>
          <w:p w14:paraId="4BF66807" w14:textId="77777777" w:rsidR="002817C2" w:rsidRPr="009A7F2D" w:rsidRDefault="002817C2" w:rsidP="00CC643A">
            <w:pPr>
              <w:pStyle w:val="NormalWeb"/>
              <w:keepNext/>
              <w:shd w:val="clear" w:color="auto" w:fill="FFFFFF"/>
              <w:spacing w:before="0" w:beforeAutospacing="0" w:after="0" w:afterAutospacing="0"/>
              <w:jc w:val="center"/>
              <w:rPr>
                <w:rFonts w:ascii="Times" w:hAnsi="Times"/>
                <w:color w:val="1A1A1A"/>
                <w:sz w:val="20"/>
                <w:szCs w:val="20"/>
                <w:lang w:val="en-ZA"/>
              </w:rPr>
            </w:pPr>
            <w:r w:rsidRPr="009A7F2D">
              <w:rPr>
                <w:rFonts w:ascii="Times" w:hAnsi="Times"/>
                <w:color w:val="1A1A1A"/>
                <w:sz w:val="20"/>
                <w:szCs w:val="20"/>
                <w:lang w:val="en-ZA"/>
              </w:rPr>
              <w:t>35.40%</w:t>
            </w:r>
          </w:p>
        </w:tc>
        <w:tc>
          <w:tcPr>
            <w:tcW w:w="653" w:type="pct"/>
            <w:noWrap/>
            <w:hideMark/>
          </w:tcPr>
          <w:p w14:paraId="4701AF48" w14:textId="77777777" w:rsidR="002817C2" w:rsidRPr="009A7F2D" w:rsidRDefault="002817C2" w:rsidP="00CC643A">
            <w:pPr>
              <w:pStyle w:val="NormalWeb"/>
              <w:keepNext/>
              <w:shd w:val="clear" w:color="auto" w:fill="FFFFFF"/>
              <w:spacing w:before="0" w:beforeAutospacing="0" w:after="0" w:afterAutospacing="0"/>
              <w:jc w:val="center"/>
              <w:rPr>
                <w:rFonts w:ascii="Times" w:hAnsi="Times"/>
                <w:color w:val="1A1A1A"/>
                <w:sz w:val="20"/>
                <w:szCs w:val="20"/>
                <w:lang w:val="en-ZA"/>
              </w:rPr>
            </w:pPr>
            <w:r w:rsidRPr="009A7F2D">
              <w:rPr>
                <w:rFonts w:ascii="Times" w:hAnsi="Times"/>
                <w:color w:val="1A1A1A"/>
                <w:sz w:val="20"/>
                <w:szCs w:val="20"/>
                <w:lang w:val="en-ZA"/>
              </w:rPr>
              <w:t>34.90%</w:t>
            </w:r>
          </w:p>
        </w:tc>
        <w:tc>
          <w:tcPr>
            <w:tcW w:w="713" w:type="pct"/>
            <w:noWrap/>
            <w:hideMark/>
          </w:tcPr>
          <w:p w14:paraId="26AE35B9" w14:textId="77777777" w:rsidR="002817C2" w:rsidRPr="009A7F2D" w:rsidRDefault="002817C2" w:rsidP="00CC643A">
            <w:pPr>
              <w:pStyle w:val="NormalWeb"/>
              <w:keepNext/>
              <w:shd w:val="clear" w:color="auto" w:fill="FFFFFF"/>
              <w:spacing w:before="0" w:beforeAutospacing="0" w:after="0" w:afterAutospacing="0"/>
              <w:jc w:val="center"/>
              <w:rPr>
                <w:rFonts w:ascii="Times" w:hAnsi="Times"/>
                <w:color w:val="1A1A1A"/>
                <w:sz w:val="20"/>
                <w:szCs w:val="20"/>
                <w:lang w:val="en-ZA"/>
              </w:rPr>
            </w:pPr>
          </w:p>
        </w:tc>
      </w:tr>
      <w:tr w:rsidR="002817C2" w:rsidRPr="000D33E4" w14:paraId="217E403C" w14:textId="77777777" w:rsidTr="009A7F2D">
        <w:trPr>
          <w:trHeight w:val="240"/>
        </w:trPr>
        <w:tc>
          <w:tcPr>
            <w:tcW w:w="1632" w:type="pct"/>
            <w:noWrap/>
            <w:hideMark/>
          </w:tcPr>
          <w:p w14:paraId="03CBF5F4" w14:textId="77777777" w:rsidR="002817C2" w:rsidRPr="009A7F2D" w:rsidRDefault="002817C2" w:rsidP="00CC643A">
            <w:pPr>
              <w:pStyle w:val="NormalWeb"/>
              <w:keepNext/>
              <w:shd w:val="clear" w:color="auto" w:fill="FFFFFF"/>
              <w:spacing w:before="0" w:beforeAutospacing="0" w:after="0" w:afterAutospacing="0"/>
              <w:rPr>
                <w:rFonts w:ascii="Times" w:hAnsi="Times"/>
                <w:color w:val="1A1A1A"/>
                <w:sz w:val="20"/>
                <w:szCs w:val="20"/>
                <w:lang w:val="en-ZA"/>
              </w:rPr>
            </w:pPr>
            <w:r w:rsidRPr="009A7F2D">
              <w:rPr>
                <w:rFonts w:ascii="Times" w:hAnsi="Times"/>
                <w:color w:val="1A1A1A"/>
                <w:sz w:val="20"/>
                <w:szCs w:val="20"/>
                <w:lang w:val="en-ZA"/>
              </w:rPr>
              <w:t xml:space="preserve">Budget balance </w:t>
            </w:r>
          </w:p>
        </w:tc>
        <w:tc>
          <w:tcPr>
            <w:tcW w:w="631" w:type="pct"/>
            <w:noWrap/>
            <w:hideMark/>
          </w:tcPr>
          <w:p w14:paraId="42A73322" w14:textId="77777777" w:rsidR="002817C2" w:rsidRPr="009A7F2D" w:rsidRDefault="002817C2" w:rsidP="00CC643A">
            <w:pPr>
              <w:pStyle w:val="NormalWeb"/>
              <w:keepNext/>
              <w:shd w:val="clear" w:color="auto" w:fill="FFFFFF"/>
              <w:spacing w:before="0" w:beforeAutospacing="0" w:after="0" w:afterAutospacing="0"/>
              <w:jc w:val="center"/>
              <w:rPr>
                <w:rFonts w:ascii="Times" w:hAnsi="Times"/>
                <w:color w:val="1A1A1A"/>
                <w:sz w:val="20"/>
                <w:szCs w:val="20"/>
                <w:lang w:val="en-ZA"/>
              </w:rPr>
            </w:pPr>
            <w:r w:rsidRPr="009A7F2D">
              <w:rPr>
                <w:rFonts w:ascii="Times" w:hAnsi="Times"/>
                <w:color w:val="1A1A1A"/>
                <w:sz w:val="20"/>
                <w:szCs w:val="20"/>
                <w:lang w:val="en-ZA"/>
              </w:rPr>
              <w:t>-326.6</w:t>
            </w:r>
          </w:p>
        </w:tc>
        <w:tc>
          <w:tcPr>
            <w:tcW w:w="671" w:type="pct"/>
            <w:noWrap/>
            <w:hideMark/>
          </w:tcPr>
          <w:p w14:paraId="2361809C" w14:textId="77777777" w:rsidR="002817C2" w:rsidRPr="009A7F2D" w:rsidRDefault="002817C2" w:rsidP="00CC643A">
            <w:pPr>
              <w:pStyle w:val="NormalWeb"/>
              <w:keepNext/>
              <w:shd w:val="clear" w:color="auto" w:fill="FFFFFF"/>
              <w:spacing w:before="0" w:beforeAutospacing="0" w:after="0" w:afterAutospacing="0"/>
              <w:jc w:val="center"/>
              <w:rPr>
                <w:rFonts w:ascii="Times" w:hAnsi="Times"/>
                <w:color w:val="1A1A1A"/>
                <w:sz w:val="20"/>
                <w:szCs w:val="20"/>
                <w:lang w:val="en-ZA"/>
              </w:rPr>
            </w:pPr>
            <w:r w:rsidRPr="009A7F2D">
              <w:rPr>
                <w:rFonts w:ascii="Times" w:hAnsi="Times"/>
                <w:color w:val="1A1A1A"/>
                <w:sz w:val="20"/>
                <w:szCs w:val="20"/>
                <w:lang w:val="en-ZA"/>
              </w:rPr>
              <w:t>-370.5</w:t>
            </w:r>
          </w:p>
        </w:tc>
        <w:tc>
          <w:tcPr>
            <w:tcW w:w="700" w:type="pct"/>
            <w:noWrap/>
            <w:hideMark/>
          </w:tcPr>
          <w:p w14:paraId="6E8FB1AB" w14:textId="77777777" w:rsidR="002817C2" w:rsidRPr="009A7F2D" w:rsidRDefault="002817C2" w:rsidP="00CC643A">
            <w:pPr>
              <w:pStyle w:val="NormalWeb"/>
              <w:keepNext/>
              <w:shd w:val="clear" w:color="auto" w:fill="FFFFFF"/>
              <w:spacing w:before="0" w:beforeAutospacing="0" w:after="0" w:afterAutospacing="0"/>
              <w:jc w:val="center"/>
              <w:rPr>
                <w:rFonts w:ascii="Times" w:hAnsi="Times"/>
                <w:color w:val="1A1A1A"/>
                <w:sz w:val="20"/>
                <w:szCs w:val="20"/>
                <w:lang w:val="en-ZA"/>
              </w:rPr>
            </w:pPr>
            <w:r w:rsidRPr="009A7F2D">
              <w:rPr>
                <w:rFonts w:ascii="Times" w:hAnsi="Times"/>
                <w:color w:val="1A1A1A"/>
                <w:sz w:val="20"/>
                <w:szCs w:val="20"/>
                <w:lang w:val="en-ZA"/>
              </w:rPr>
              <w:t>-357.5</w:t>
            </w:r>
          </w:p>
        </w:tc>
        <w:tc>
          <w:tcPr>
            <w:tcW w:w="653" w:type="pct"/>
            <w:noWrap/>
            <w:hideMark/>
          </w:tcPr>
          <w:p w14:paraId="199FD486" w14:textId="77777777" w:rsidR="002817C2" w:rsidRPr="009A7F2D" w:rsidRDefault="002817C2" w:rsidP="00CC643A">
            <w:pPr>
              <w:pStyle w:val="NormalWeb"/>
              <w:keepNext/>
              <w:shd w:val="clear" w:color="auto" w:fill="FFFFFF"/>
              <w:spacing w:before="0" w:beforeAutospacing="0" w:after="0" w:afterAutospacing="0"/>
              <w:jc w:val="center"/>
              <w:rPr>
                <w:rFonts w:ascii="Times" w:hAnsi="Times"/>
                <w:color w:val="1A1A1A"/>
                <w:sz w:val="20"/>
                <w:szCs w:val="20"/>
                <w:lang w:val="en-ZA"/>
              </w:rPr>
            </w:pPr>
            <w:r w:rsidRPr="009A7F2D">
              <w:rPr>
                <w:rFonts w:ascii="Times" w:hAnsi="Times"/>
                <w:color w:val="1A1A1A"/>
                <w:sz w:val="20"/>
                <w:szCs w:val="20"/>
                <w:lang w:val="en-ZA"/>
              </w:rPr>
              <w:t>-349.7</w:t>
            </w:r>
          </w:p>
        </w:tc>
        <w:tc>
          <w:tcPr>
            <w:tcW w:w="713" w:type="pct"/>
            <w:noWrap/>
            <w:hideMark/>
          </w:tcPr>
          <w:p w14:paraId="23A8E5A2" w14:textId="77777777" w:rsidR="002817C2" w:rsidRPr="009A7F2D" w:rsidRDefault="002817C2" w:rsidP="00CC643A">
            <w:pPr>
              <w:pStyle w:val="NormalWeb"/>
              <w:keepNext/>
              <w:shd w:val="clear" w:color="auto" w:fill="FFFFFF"/>
              <w:spacing w:before="0" w:beforeAutospacing="0" w:after="0" w:afterAutospacing="0"/>
              <w:jc w:val="center"/>
              <w:rPr>
                <w:rFonts w:ascii="Times" w:hAnsi="Times"/>
                <w:color w:val="1A1A1A"/>
                <w:sz w:val="20"/>
                <w:szCs w:val="20"/>
                <w:lang w:val="en-ZA"/>
              </w:rPr>
            </w:pPr>
            <w:r w:rsidRPr="009A7F2D">
              <w:rPr>
                <w:rFonts w:ascii="Times" w:hAnsi="Times"/>
                <w:color w:val="1A1A1A"/>
                <w:sz w:val="20"/>
                <w:szCs w:val="20"/>
                <w:lang w:val="en-ZA"/>
              </w:rPr>
              <w:t>-0.0641%</w:t>
            </w:r>
          </w:p>
        </w:tc>
      </w:tr>
      <w:tr w:rsidR="002817C2" w:rsidRPr="000D33E4" w14:paraId="780A6D0B" w14:textId="77777777" w:rsidTr="009A7F2D">
        <w:trPr>
          <w:trHeight w:val="240"/>
        </w:trPr>
        <w:tc>
          <w:tcPr>
            <w:tcW w:w="1632" w:type="pct"/>
            <w:noWrap/>
            <w:hideMark/>
          </w:tcPr>
          <w:p w14:paraId="0373031C" w14:textId="77777777" w:rsidR="002817C2" w:rsidRPr="009A7F2D" w:rsidRDefault="002817C2" w:rsidP="00CC643A">
            <w:pPr>
              <w:pStyle w:val="NormalWeb"/>
              <w:keepNext/>
              <w:shd w:val="clear" w:color="auto" w:fill="FFFFFF"/>
              <w:spacing w:before="0" w:beforeAutospacing="0" w:after="0" w:afterAutospacing="0"/>
              <w:rPr>
                <w:rFonts w:ascii="Times" w:hAnsi="Times"/>
                <w:color w:val="1A1A1A"/>
                <w:sz w:val="20"/>
                <w:szCs w:val="20"/>
                <w:lang w:val="en-ZA"/>
              </w:rPr>
            </w:pPr>
            <w:r w:rsidRPr="009A7F2D">
              <w:rPr>
                <w:rFonts w:ascii="Times" w:hAnsi="Times"/>
                <w:color w:val="1A1A1A"/>
                <w:sz w:val="20"/>
                <w:szCs w:val="20"/>
                <w:lang w:val="en-ZA"/>
              </w:rPr>
              <w:t>% of GDP</w:t>
            </w:r>
          </w:p>
        </w:tc>
        <w:tc>
          <w:tcPr>
            <w:tcW w:w="631" w:type="pct"/>
            <w:noWrap/>
            <w:hideMark/>
          </w:tcPr>
          <w:p w14:paraId="6E4AFD52" w14:textId="77777777" w:rsidR="002817C2" w:rsidRPr="009A7F2D" w:rsidRDefault="002817C2" w:rsidP="00CC643A">
            <w:pPr>
              <w:pStyle w:val="NormalWeb"/>
              <w:keepNext/>
              <w:shd w:val="clear" w:color="auto" w:fill="FFFFFF"/>
              <w:spacing w:before="0" w:beforeAutospacing="0" w:after="0" w:afterAutospacing="0"/>
              <w:jc w:val="center"/>
              <w:rPr>
                <w:rFonts w:ascii="Times" w:hAnsi="Times"/>
                <w:color w:val="1A1A1A"/>
                <w:sz w:val="20"/>
                <w:szCs w:val="20"/>
                <w:lang w:val="en-ZA"/>
              </w:rPr>
            </w:pPr>
            <w:r w:rsidRPr="009A7F2D">
              <w:rPr>
                <w:rFonts w:ascii="Times" w:hAnsi="Times"/>
                <w:color w:val="1A1A1A"/>
                <w:sz w:val="20"/>
                <w:szCs w:val="20"/>
                <w:lang w:val="en-ZA"/>
              </w:rPr>
              <w:t>-6.30%</w:t>
            </w:r>
          </w:p>
        </w:tc>
        <w:tc>
          <w:tcPr>
            <w:tcW w:w="671" w:type="pct"/>
            <w:noWrap/>
            <w:hideMark/>
          </w:tcPr>
          <w:p w14:paraId="4DE51CD0" w14:textId="77777777" w:rsidR="002817C2" w:rsidRPr="009A7F2D" w:rsidRDefault="002817C2" w:rsidP="00CC643A">
            <w:pPr>
              <w:pStyle w:val="NormalWeb"/>
              <w:keepNext/>
              <w:shd w:val="clear" w:color="auto" w:fill="FFFFFF"/>
              <w:spacing w:before="0" w:beforeAutospacing="0" w:after="0" w:afterAutospacing="0"/>
              <w:jc w:val="center"/>
              <w:rPr>
                <w:rFonts w:ascii="Times" w:hAnsi="Times"/>
                <w:color w:val="1A1A1A"/>
                <w:sz w:val="20"/>
                <w:szCs w:val="20"/>
                <w:lang w:val="en-ZA"/>
              </w:rPr>
            </w:pPr>
            <w:r w:rsidRPr="009A7F2D">
              <w:rPr>
                <w:rFonts w:ascii="Times" w:hAnsi="Times"/>
                <w:color w:val="1A1A1A"/>
                <w:sz w:val="20"/>
                <w:szCs w:val="20"/>
                <w:lang w:val="en-ZA"/>
              </w:rPr>
              <w:t>-6.80%</w:t>
            </w:r>
          </w:p>
        </w:tc>
        <w:tc>
          <w:tcPr>
            <w:tcW w:w="700" w:type="pct"/>
            <w:noWrap/>
            <w:hideMark/>
          </w:tcPr>
          <w:p w14:paraId="698F324C" w14:textId="77777777" w:rsidR="002817C2" w:rsidRPr="009A7F2D" w:rsidRDefault="002817C2" w:rsidP="00CC643A">
            <w:pPr>
              <w:pStyle w:val="NormalWeb"/>
              <w:keepNext/>
              <w:shd w:val="clear" w:color="auto" w:fill="FFFFFF"/>
              <w:spacing w:before="0" w:beforeAutospacing="0" w:after="0" w:afterAutospacing="0"/>
              <w:jc w:val="center"/>
              <w:rPr>
                <w:rFonts w:ascii="Times" w:hAnsi="Times"/>
                <w:color w:val="1A1A1A"/>
                <w:sz w:val="20"/>
                <w:szCs w:val="20"/>
                <w:lang w:val="en-ZA"/>
              </w:rPr>
            </w:pPr>
            <w:r w:rsidRPr="009A7F2D">
              <w:rPr>
                <w:rFonts w:ascii="Times" w:hAnsi="Times"/>
                <w:color w:val="1A1A1A"/>
                <w:sz w:val="20"/>
                <w:szCs w:val="20"/>
                <w:lang w:val="en-ZA"/>
              </w:rPr>
              <w:t>-6.20%</w:t>
            </w:r>
          </w:p>
        </w:tc>
        <w:tc>
          <w:tcPr>
            <w:tcW w:w="653" w:type="pct"/>
            <w:noWrap/>
            <w:hideMark/>
          </w:tcPr>
          <w:p w14:paraId="35898C8A" w14:textId="77777777" w:rsidR="002817C2" w:rsidRPr="009A7F2D" w:rsidRDefault="002817C2" w:rsidP="00CC643A">
            <w:pPr>
              <w:pStyle w:val="NormalWeb"/>
              <w:keepNext/>
              <w:shd w:val="clear" w:color="auto" w:fill="FFFFFF"/>
              <w:spacing w:before="0" w:beforeAutospacing="0" w:after="0" w:afterAutospacing="0"/>
              <w:jc w:val="center"/>
              <w:rPr>
                <w:rFonts w:ascii="Times" w:hAnsi="Times"/>
                <w:color w:val="1A1A1A"/>
                <w:sz w:val="20"/>
                <w:szCs w:val="20"/>
                <w:lang w:val="en-ZA"/>
              </w:rPr>
            </w:pPr>
            <w:r w:rsidRPr="009A7F2D">
              <w:rPr>
                <w:rFonts w:ascii="Times" w:hAnsi="Times"/>
                <w:color w:val="1A1A1A"/>
                <w:sz w:val="20"/>
                <w:szCs w:val="20"/>
                <w:lang w:val="en-ZA"/>
              </w:rPr>
              <w:t>-5.70%</w:t>
            </w:r>
          </w:p>
        </w:tc>
        <w:tc>
          <w:tcPr>
            <w:tcW w:w="713" w:type="pct"/>
            <w:noWrap/>
            <w:hideMark/>
          </w:tcPr>
          <w:p w14:paraId="78E1586E" w14:textId="77777777" w:rsidR="002817C2" w:rsidRPr="009A7F2D" w:rsidRDefault="002817C2" w:rsidP="00CC643A">
            <w:pPr>
              <w:pStyle w:val="NormalWeb"/>
              <w:keepNext/>
              <w:shd w:val="clear" w:color="auto" w:fill="FFFFFF"/>
              <w:spacing w:before="0" w:beforeAutospacing="0" w:after="0" w:afterAutospacing="0"/>
              <w:jc w:val="center"/>
              <w:rPr>
                <w:rFonts w:ascii="Times" w:hAnsi="Times"/>
                <w:color w:val="1A1A1A"/>
                <w:sz w:val="20"/>
                <w:szCs w:val="20"/>
                <w:lang w:val="en-ZA"/>
              </w:rPr>
            </w:pPr>
          </w:p>
        </w:tc>
      </w:tr>
      <w:tr w:rsidR="002817C2" w:rsidRPr="000D33E4" w14:paraId="2939C224" w14:textId="77777777" w:rsidTr="009A7F2D">
        <w:trPr>
          <w:trHeight w:val="255"/>
        </w:trPr>
        <w:tc>
          <w:tcPr>
            <w:tcW w:w="1632" w:type="pct"/>
            <w:noWrap/>
            <w:hideMark/>
          </w:tcPr>
          <w:p w14:paraId="43062D37" w14:textId="77777777" w:rsidR="002817C2" w:rsidRPr="009A7F2D" w:rsidRDefault="002817C2" w:rsidP="00CC643A">
            <w:pPr>
              <w:pStyle w:val="NormalWeb"/>
              <w:keepNext/>
              <w:shd w:val="clear" w:color="auto" w:fill="FFFFFF"/>
              <w:spacing w:before="0" w:beforeAutospacing="0" w:after="0" w:afterAutospacing="0"/>
              <w:rPr>
                <w:rFonts w:ascii="Times" w:hAnsi="Times"/>
                <w:color w:val="1A1A1A"/>
                <w:sz w:val="20"/>
                <w:szCs w:val="20"/>
                <w:lang w:val="en-ZA"/>
              </w:rPr>
            </w:pPr>
            <w:r w:rsidRPr="009A7F2D">
              <w:rPr>
                <w:rFonts w:ascii="Times" w:hAnsi="Times"/>
                <w:color w:val="1A1A1A"/>
                <w:sz w:val="20"/>
                <w:szCs w:val="20"/>
                <w:lang w:val="en-ZA"/>
              </w:rPr>
              <w:t>Real GDP growth</w:t>
            </w:r>
          </w:p>
        </w:tc>
        <w:tc>
          <w:tcPr>
            <w:tcW w:w="631" w:type="pct"/>
            <w:noWrap/>
            <w:hideMark/>
          </w:tcPr>
          <w:p w14:paraId="5F017850" w14:textId="77777777" w:rsidR="002817C2" w:rsidRPr="009A7F2D" w:rsidRDefault="002817C2" w:rsidP="00CC643A">
            <w:pPr>
              <w:pStyle w:val="NormalWeb"/>
              <w:keepNext/>
              <w:shd w:val="clear" w:color="auto" w:fill="FFFFFF"/>
              <w:spacing w:before="0" w:beforeAutospacing="0" w:after="0" w:afterAutospacing="0"/>
              <w:jc w:val="center"/>
              <w:rPr>
                <w:rFonts w:ascii="Times" w:hAnsi="Times"/>
                <w:color w:val="1A1A1A"/>
                <w:sz w:val="20"/>
                <w:szCs w:val="20"/>
                <w:lang w:val="en-ZA"/>
              </w:rPr>
            </w:pPr>
            <w:r w:rsidRPr="009A7F2D">
              <w:rPr>
                <w:rFonts w:ascii="Times" w:hAnsi="Times"/>
                <w:color w:val="1A1A1A"/>
                <w:sz w:val="20"/>
                <w:szCs w:val="20"/>
                <w:lang w:val="en-ZA"/>
              </w:rPr>
              <w:t>0.3%</w:t>
            </w:r>
          </w:p>
        </w:tc>
        <w:tc>
          <w:tcPr>
            <w:tcW w:w="671" w:type="pct"/>
            <w:noWrap/>
            <w:hideMark/>
          </w:tcPr>
          <w:p w14:paraId="56716D07" w14:textId="77777777" w:rsidR="002817C2" w:rsidRPr="009A7F2D" w:rsidRDefault="002817C2" w:rsidP="00CC643A">
            <w:pPr>
              <w:pStyle w:val="NormalWeb"/>
              <w:keepNext/>
              <w:shd w:val="clear" w:color="auto" w:fill="FFFFFF"/>
              <w:spacing w:before="0" w:beforeAutospacing="0" w:after="0" w:afterAutospacing="0"/>
              <w:jc w:val="center"/>
              <w:rPr>
                <w:rFonts w:ascii="Times" w:hAnsi="Times"/>
                <w:color w:val="1A1A1A"/>
                <w:sz w:val="20"/>
                <w:szCs w:val="20"/>
                <w:lang w:val="en-ZA"/>
              </w:rPr>
            </w:pPr>
            <w:r w:rsidRPr="009A7F2D">
              <w:rPr>
                <w:rFonts w:ascii="Times" w:hAnsi="Times"/>
                <w:color w:val="1A1A1A"/>
                <w:sz w:val="20"/>
                <w:szCs w:val="20"/>
                <w:lang w:val="en-ZA"/>
              </w:rPr>
              <w:t>0.9%</w:t>
            </w:r>
          </w:p>
        </w:tc>
        <w:tc>
          <w:tcPr>
            <w:tcW w:w="700" w:type="pct"/>
            <w:noWrap/>
            <w:hideMark/>
          </w:tcPr>
          <w:p w14:paraId="587088D2" w14:textId="77777777" w:rsidR="002817C2" w:rsidRPr="009A7F2D" w:rsidRDefault="002817C2" w:rsidP="00CC643A">
            <w:pPr>
              <w:pStyle w:val="NormalWeb"/>
              <w:keepNext/>
              <w:shd w:val="clear" w:color="auto" w:fill="FFFFFF"/>
              <w:spacing w:before="0" w:beforeAutospacing="0" w:after="0" w:afterAutospacing="0"/>
              <w:jc w:val="center"/>
              <w:rPr>
                <w:rFonts w:ascii="Times" w:hAnsi="Times"/>
                <w:color w:val="1A1A1A"/>
                <w:sz w:val="20"/>
                <w:szCs w:val="20"/>
                <w:lang w:val="en-ZA"/>
              </w:rPr>
            </w:pPr>
            <w:r w:rsidRPr="009A7F2D">
              <w:rPr>
                <w:rFonts w:ascii="Times" w:hAnsi="Times"/>
                <w:color w:val="1A1A1A"/>
                <w:sz w:val="20"/>
                <w:szCs w:val="20"/>
                <w:lang w:val="en-ZA"/>
              </w:rPr>
              <w:t>1.3%</w:t>
            </w:r>
          </w:p>
        </w:tc>
        <w:tc>
          <w:tcPr>
            <w:tcW w:w="653" w:type="pct"/>
            <w:noWrap/>
            <w:hideMark/>
          </w:tcPr>
          <w:p w14:paraId="703DD3FA" w14:textId="77777777" w:rsidR="002817C2" w:rsidRPr="009A7F2D" w:rsidRDefault="002817C2" w:rsidP="00CC643A">
            <w:pPr>
              <w:pStyle w:val="NormalWeb"/>
              <w:keepNext/>
              <w:shd w:val="clear" w:color="auto" w:fill="FFFFFF"/>
              <w:spacing w:before="0" w:beforeAutospacing="0" w:after="0" w:afterAutospacing="0"/>
              <w:jc w:val="center"/>
              <w:rPr>
                <w:rFonts w:ascii="Times" w:hAnsi="Times"/>
                <w:color w:val="1A1A1A"/>
                <w:sz w:val="20"/>
                <w:szCs w:val="20"/>
                <w:lang w:val="en-ZA"/>
              </w:rPr>
            </w:pPr>
            <w:r w:rsidRPr="009A7F2D">
              <w:rPr>
                <w:rFonts w:ascii="Times" w:hAnsi="Times"/>
                <w:color w:val="1A1A1A"/>
                <w:sz w:val="20"/>
                <w:szCs w:val="20"/>
                <w:lang w:val="en-ZA"/>
              </w:rPr>
              <w:t>1.6%</w:t>
            </w:r>
          </w:p>
        </w:tc>
        <w:tc>
          <w:tcPr>
            <w:tcW w:w="713" w:type="pct"/>
            <w:noWrap/>
            <w:hideMark/>
          </w:tcPr>
          <w:p w14:paraId="0EFA090C" w14:textId="77777777" w:rsidR="002817C2" w:rsidRPr="009A7F2D" w:rsidRDefault="002817C2" w:rsidP="00CC643A">
            <w:pPr>
              <w:pStyle w:val="NormalWeb"/>
              <w:keepNext/>
              <w:shd w:val="clear" w:color="auto" w:fill="FFFFFF"/>
              <w:spacing w:before="0" w:beforeAutospacing="0" w:after="0" w:afterAutospacing="0"/>
              <w:jc w:val="center"/>
              <w:rPr>
                <w:rFonts w:ascii="Times" w:hAnsi="Times"/>
                <w:color w:val="1A1A1A"/>
                <w:sz w:val="20"/>
                <w:szCs w:val="20"/>
                <w:lang w:val="en-ZA"/>
              </w:rPr>
            </w:pPr>
          </w:p>
        </w:tc>
      </w:tr>
    </w:tbl>
    <w:p w14:paraId="27D99C12" w14:textId="77777777" w:rsidR="002817C2" w:rsidRPr="009A7F2D" w:rsidRDefault="002817C2" w:rsidP="000F7BC5">
      <w:pPr>
        <w:pStyle w:val="NormalWeb"/>
        <w:keepNext/>
        <w:shd w:val="clear" w:color="auto" w:fill="FFFFFF"/>
        <w:spacing w:before="0" w:beforeAutospacing="0" w:after="0" w:afterAutospacing="0" w:line="240" w:lineRule="auto"/>
        <w:rPr>
          <w:rFonts w:ascii="Times" w:hAnsi="Times"/>
          <w:i/>
          <w:iCs/>
          <w:color w:val="1A1A1A"/>
          <w:sz w:val="20"/>
          <w:szCs w:val="20"/>
        </w:rPr>
      </w:pPr>
      <w:r w:rsidRPr="009A7F2D">
        <w:rPr>
          <w:rFonts w:ascii="Times" w:hAnsi="Times"/>
          <w:i/>
          <w:iCs/>
          <w:color w:val="1A1A1A"/>
          <w:sz w:val="20"/>
          <w:szCs w:val="20"/>
        </w:rPr>
        <w:t>Source: National Treasury, 2020</w:t>
      </w:r>
    </w:p>
    <w:p w14:paraId="624532D5" w14:textId="77777777" w:rsidR="002817C2" w:rsidRPr="000D33E4" w:rsidRDefault="002817C2" w:rsidP="002817C2">
      <w:pPr>
        <w:pStyle w:val="NormalWeb"/>
        <w:shd w:val="clear" w:color="auto" w:fill="FFFFFF"/>
        <w:spacing w:before="0" w:beforeAutospacing="0" w:after="0" w:afterAutospacing="0"/>
        <w:rPr>
          <w:rFonts w:ascii="Times" w:hAnsi="Times"/>
          <w:color w:val="1A1A1A"/>
        </w:rPr>
      </w:pPr>
    </w:p>
    <w:p w14:paraId="13BBFC7C" w14:textId="77777777" w:rsidR="002817C2" w:rsidRDefault="002817C2" w:rsidP="00C52EBD">
      <w:r w:rsidRPr="000D33E4">
        <w:t xml:space="preserve">The fiscal framework tabled in February </w:t>
      </w:r>
      <w:r w:rsidR="00562986">
        <w:t xml:space="preserve">2020 </w:t>
      </w:r>
      <w:r w:rsidRPr="000D33E4">
        <w:t xml:space="preserve">is no longer attainable due to the Covid-19 induced economic shutdown and slump. </w:t>
      </w:r>
      <w:r w:rsidR="00562986" w:rsidRPr="000F7BC5">
        <w:rPr>
          <w:color w:val="000000" w:themeColor="text1"/>
        </w:rPr>
        <w:fldChar w:fldCharType="begin"/>
      </w:r>
      <w:r w:rsidR="00562986" w:rsidRPr="000F7BC5">
        <w:rPr>
          <w:color w:val="000000" w:themeColor="text1"/>
        </w:rPr>
        <w:instrText xml:space="preserve"> REF _Ref40882039 \h </w:instrText>
      </w:r>
      <w:r w:rsidR="00562986" w:rsidRPr="000F7BC5">
        <w:rPr>
          <w:color w:val="000000" w:themeColor="text1"/>
        </w:rPr>
      </w:r>
      <w:r w:rsidR="00562986" w:rsidRPr="000F7BC5">
        <w:rPr>
          <w:color w:val="000000" w:themeColor="text1"/>
        </w:rPr>
        <w:fldChar w:fldCharType="separate"/>
      </w:r>
      <w:r w:rsidR="00562986" w:rsidRPr="000F7BC5">
        <w:rPr>
          <w:color w:val="000000" w:themeColor="text1"/>
          <w:szCs w:val="24"/>
        </w:rPr>
        <w:t xml:space="preserve">Table </w:t>
      </w:r>
      <w:r w:rsidR="00562986" w:rsidRPr="000F7BC5">
        <w:rPr>
          <w:noProof/>
          <w:color w:val="000000" w:themeColor="text1"/>
          <w:szCs w:val="24"/>
        </w:rPr>
        <w:t>7</w:t>
      </w:r>
      <w:r w:rsidR="00562986" w:rsidRPr="000F7BC5">
        <w:rPr>
          <w:color w:val="000000" w:themeColor="text1"/>
        </w:rPr>
        <w:fldChar w:fldCharType="end"/>
      </w:r>
      <w:r w:rsidRPr="000D33E4">
        <w:t xml:space="preserve"> suggest</w:t>
      </w:r>
      <w:r w:rsidR="00D26FF7">
        <w:t>s</w:t>
      </w:r>
      <w:r w:rsidRPr="000D33E4">
        <w:t xml:space="preserve"> that revenue may decline by R83 billion under the 6</w:t>
      </w:r>
      <w:r w:rsidR="00562986">
        <w:t xml:space="preserve"> per cent</w:t>
      </w:r>
      <w:r w:rsidR="00D26FF7">
        <w:t xml:space="preserve"> GDP contraction scenario or</w:t>
      </w:r>
      <w:r w:rsidRPr="000D33E4">
        <w:t xml:space="preserve"> </w:t>
      </w:r>
      <w:r w:rsidRPr="00D37EC1">
        <w:rPr>
          <w:color w:val="000000" w:themeColor="text1"/>
        </w:rPr>
        <w:t>R222 b</w:t>
      </w:r>
      <w:r w:rsidRPr="000D33E4">
        <w:t>illion under the 16 per</w:t>
      </w:r>
      <w:r w:rsidR="00562986">
        <w:t xml:space="preserve"> </w:t>
      </w:r>
      <w:r w:rsidRPr="000D33E4">
        <w:t xml:space="preserve">cent scenario assuming that </w:t>
      </w:r>
      <w:r w:rsidR="00D26FF7">
        <w:t xml:space="preserve">the </w:t>
      </w:r>
      <w:r w:rsidRPr="000D33E4">
        <w:t>tax buoyancy rate remain</w:t>
      </w:r>
      <w:r w:rsidR="00D26FF7">
        <w:t>s</w:t>
      </w:r>
      <w:r w:rsidRPr="000D33E4">
        <w:t xml:space="preserve"> the same. </w:t>
      </w:r>
    </w:p>
    <w:p w14:paraId="2DD1D220" w14:textId="77777777" w:rsidR="00562986" w:rsidRDefault="00562986" w:rsidP="00562986">
      <w:pPr>
        <w:pStyle w:val="Caption"/>
      </w:pPr>
    </w:p>
    <w:p w14:paraId="6576EE7D" w14:textId="43D427DE" w:rsidR="002817C2" w:rsidRPr="00562986" w:rsidRDefault="00562986" w:rsidP="00562986">
      <w:pPr>
        <w:pStyle w:val="Caption"/>
        <w:rPr>
          <w:rFonts w:ascii="Times" w:hAnsi="Times"/>
          <w:color w:val="004C45" w:themeColor="text2"/>
          <w:sz w:val="24"/>
          <w:szCs w:val="24"/>
        </w:rPr>
      </w:pPr>
      <w:bookmarkStart w:id="74" w:name="_Ref40882039"/>
      <w:bookmarkStart w:id="75" w:name="_Toc42212136"/>
      <w:r w:rsidRPr="00562986">
        <w:rPr>
          <w:color w:val="004C45" w:themeColor="text2"/>
          <w:sz w:val="24"/>
          <w:szCs w:val="24"/>
        </w:rPr>
        <w:t xml:space="preserve">Table </w:t>
      </w:r>
      <w:r w:rsidRPr="00562986">
        <w:rPr>
          <w:b w:val="0"/>
          <w:bCs w:val="0"/>
          <w:color w:val="004C45" w:themeColor="text2"/>
          <w:szCs w:val="24"/>
        </w:rPr>
        <w:fldChar w:fldCharType="begin"/>
      </w:r>
      <w:r w:rsidRPr="00562986">
        <w:rPr>
          <w:color w:val="004C45" w:themeColor="text2"/>
          <w:sz w:val="24"/>
          <w:szCs w:val="24"/>
        </w:rPr>
        <w:instrText xml:space="preserve"> SEQ Table \* ARABIC </w:instrText>
      </w:r>
      <w:r w:rsidRPr="00562986">
        <w:rPr>
          <w:b w:val="0"/>
          <w:bCs w:val="0"/>
          <w:color w:val="004C45" w:themeColor="text2"/>
          <w:szCs w:val="24"/>
        </w:rPr>
        <w:fldChar w:fldCharType="separate"/>
      </w:r>
      <w:r w:rsidR="00492893">
        <w:rPr>
          <w:noProof/>
          <w:color w:val="004C45" w:themeColor="text2"/>
          <w:sz w:val="24"/>
          <w:szCs w:val="24"/>
        </w:rPr>
        <w:t>8</w:t>
      </w:r>
      <w:r w:rsidRPr="00562986">
        <w:rPr>
          <w:b w:val="0"/>
          <w:bCs w:val="0"/>
          <w:color w:val="004C45" w:themeColor="text2"/>
          <w:szCs w:val="24"/>
        </w:rPr>
        <w:fldChar w:fldCharType="end"/>
      </w:r>
      <w:bookmarkEnd w:id="74"/>
      <w:r>
        <w:rPr>
          <w:color w:val="004C45" w:themeColor="text2"/>
          <w:sz w:val="24"/>
          <w:szCs w:val="24"/>
        </w:rPr>
        <w:t>:</w:t>
      </w:r>
      <w:r w:rsidRPr="00562986">
        <w:rPr>
          <w:color w:val="004C45" w:themeColor="text2"/>
          <w:sz w:val="24"/>
          <w:szCs w:val="24"/>
        </w:rPr>
        <w:t xml:space="preserve"> Revenue and deficit shortfall estimates based on projected GDP contraction scenarios</w:t>
      </w:r>
      <w:bookmarkEnd w:id="75"/>
      <w:r w:rsidR="002817C2" w:rsidRPr="000D33E4">
        <w:rPr>
          <w:rFonts w:ascii="Times" w:hAnsi="Times"/>
          <w:color w:val="1A1A1A"/>
        </w:rPr>
        <w:fldChar w:fldCharType="begin"/>
      </w:r>
      <w:r w:rsidR="002817C2" w:rsidRPr="000D33E4">
        <w:rPr>
          <w:rFonts w:ascii="Times" w:hAnsi="Times"/>
          <w:color w:val="1A1A1A"/>
        </w:rPr>
        <w:instrText xml:space="preserve"> LINK Excel.Sheet.12 "C:\\Users\\eddie.FFC\\Downloads\\GDP time series.xlsx" "Sheet2!R1C1:R8C5" \a \f 5 \h  \* MERGEFORMAT </w:instrText>
      </w:r>
      <w:r w:rsidR="002817C2" w:rsidRPr="000D33E4">
        <w:rPr>
          <w:rFonts w:ascii="Times" w:hAnsi="Times"/>
          <w:color w:val="1A1A1A"/>
        </w:rPr>
        <w:fldChar w:fldCharType="separate"/>
      </w:r>
    </w:p>
    <w:tbl>
      <w:tblPr>
        <w:tblStyle w:val="TableGrid"/>
        <w:tblW w:w="9639" w:type="dxa"/>
        <w:tblInd w:w="-5" w:type="dxa"/>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Look w:val="04A0" w:firstRow="1" w:lastRow="0" w:firstColumn="1" w:lastColumn="0" w:noHBand="0" w:noVBand="1"/>
      </w:tblPr>
      <w:tblGrid>
        <w:gridCol w:w="3884"/>
        <w:gridCol w:w="1003"/>
        <w:gridCol w:w="1350"/>
        <w:gridCol w:w="1418"/>
        <w:gridCol w:w="1984"/>
      </w:tblGrid>
      <w:tr w:rsidR="002817C2" w:rsidRPr="000D33E4" w14:paraId="4CFBC00E" w14:textId="77777777" w:rsidTr="0000237A">
        <w:trPr>
          <w:trHeight w:val="240"/>
        </w:trPr>
        <w:tc>
          <w:tcPr>
            <w:tcW w:w="3884" w:type="dxa"/>
            <w:vMerge w:val="restart"/>
            <w:hideMark/>
          </w:tcPr>
          <w:p w14:paraId="1EA81B96" w14:textId="77777777" w:rsidR="002817C2" w:rsidRPr="009A7F2D" w:rsidRDefault="002817C2" w:rsidP="00562986">
            <w:pPr>
              <w:pStyle w:val="NormalWeb"/>
              <w:shd w:val="clear" w:color="auto" w:fill="FFFFFF"/>
              <w:rPr>
                <w:rFonts w:ascii="Times" w:hAnsi="Times"/>
                <w:b/>
                <w:bCs/>
                <w:color w:val="1A1A1A"/>
                <w:sz w:val="20"/>
                <w:szCs w:val="20"/>
                <w:lang w:val="en-ZA"/>
              </w:rPr>
            </w:pPr>
            <w:r w:rsidRPr="009A7F2D">
              <w:rPr>
                <w:rFonts w:ascii="Times" w:hAnsi="Times"/>
                <w:b/>
                <w:bCs/>
                <w:color w:val="1A1A1A"/>
                <w:sz w:val="20"/>
                <w:szCs w:val="20"/>
                <w:lang w:val="en-ZA"/>
              </w:rPr>
              <w:t>R</w:t>
            </w:r>
            <w:r w:rsidR="00562986" w:rsidRPr="00E827B9">
              <w:rPr>
                <w:rFonts w:ascii="Times" w:hAnsi="Times"/>
                <w:b/>
                <w:bCs/>
                <w:color w:val="1A1A1A"/>
                <w:sz w:val="20"/>
                <w:szCs w:val="20"/>
                <w:lang w:val="en-ZA"/>
              </w:rPr>
              <w:t xml:space="preserve"> </w:t>
            </w:r>
            <w:r w:rsidRPr="009A7F2D">
              <w:rPr>
                <w:rFonts w:ascii="Times" w:hAnsi="Times"/>
                <w:b/>
                <w:bCs/>
                <w:color w:val="1A1A1A"/>
                <w:sz w:val="20"/>
                <w:szCs w:val="20"/>
                <w:lang w:val="en-ZA"/>
              </w:rPr>
              <w:t xml:space="preserve">billion </w:t>
            </w:r>
          </w:p>
        </w:tc>
        <w:tc>
          <w:tcPr>
            <w:tcW w:w="1003" w:type="dxa"/>
            <w:vMerge w:val="restart"/>
            <w:hideMark/>
          </w:tcPr>
          <w:p w14:paraId="32370BBB" w14:textId="77777777" w:rsidR="002817C2" w:rsidRPr="009A7F2D" w:rsidRDefault="002817C2" w:rsidP="000F7BC5">
            <w:pPr>
              <w:pStyle w:val="NormalWeb"/>
              <w:shd w:val="clear" w:color="auto" w:fill="FFFFFF"/>
              <w:jc w:val="center"/>
              <w:rPr>
                <w:rFonts w:ascii="Times" w:hAnsi="Times"/>
                <w:b/>
                <w:bCs/>
                <w:color w:val="1A1A1A"/>
                <w:sz w:val="20"/>
                <w:szCs w:val="20"/>
                <w:lang w:val="en-ZA"/>
              </w:rPr>
            </w:pPr>
            <w:r w:rsidRPr="009A7F2D">
              <w:rPr>
                <w:rFonts w:ascii="Times" w:hAnsi="Times"/>
                <w:b/>
                <w:bCs/>
                <w:color w:val="1A1A1A"/>
                <w:sz w:val="20"/>
                <w:szCs w:val="20"/>
                <w:lang w:val="en-ZA"/>
              </w:rPr>
              <w:t>2020/21 Budget</w:t>
            </w:r>
          </w:p>
        </w:tc>
        <w:tc>
          <w:tcPr>
            <w:tcW w:w="4752" w:type="dxa"/>
            <w:gridSpan w:val="3"/>
            <w:noWrap/>
            <w:hideMark/>
          </w:tcPr>
          <w:p w14:paraId="04C9CE4B" w14:textId="77777777" w:rsidR="002817C2" w:rsidRPr="009A7F2D" w:rsidRDefault="002817C2" w:rsidP="000F7BC5">
            <w:pPr>
              <w:pStyle w:val="NormalWeb"/>
              <w:shd w:val="clear" w:color="auto" w:fill="FFFFFF"/>
              <w:jc w:val="center"/>
              <w:rPr>
                <w:rFonts w:ascii="Times" w:hAnsi="Times"/>
                <w:b/>
                <w:bCs/>
                <w:color w:val="1A1A1A"/>
                <w:sz w:val="20"/>
                <w:szCs w:val="20"/>
                <w:lang w:val="en-ZA"/>
              </w:rPr>
            </w:pPr>
            <w:r w:rsidRPr="009A7F2D">
              <w:rPr>
                <w:rFonts w:ascii="Times" w:hAnsi="Times"/>
                <w:b/>
                <w:bCs/>
                <w:color w:val="1A1A1A"/>
                <w:sz w:val="20"/>
                <w:szCs w:val="20"/>
                <w:lang w:val="en-ZA"/>
              </w:rPr>
              <w:t>Revised GDP contraction estimates</w:t>
            </w:r>
          </w:p>
        </w:tc>
      </w:tr>
      <w:tr w:rsidR="002817C2" w:rsidRPr="000D33E4" w14:paraId="21C5F291" w14:textId="77777777" w:rsidTr="0000237A">
        <w:trPr>
          <w:trHeight w:val="240"/>
        </w:trPr>
        <w:tc>
          <w:tcPr>
            <w:tcW w:w="3884" w:type="dxa"/>
            <w:vMerge/>
            <w:hideMark/>
          </w:tcPr>
          <w:p w14:paraId="7103A463" w14:textId="77777777" w:rsidR="002817C2" w:rsidRPr="009A7F2D" w:rsidRDefault="002817C2" w:rsidP="00562986">
            <w:pPr>
              <w:pStyle w:val="NormalWeb"/>
              <w:shd w:val="clear" w:color="auto" w:fill="FFFFFF"/>
              <w:rPr>
                <w:rFonts w:ascii="Times" w:hAnsi="Times"/>
                <w:color w:val="1A1A1A"/>
                <w:sz w:val="20"/>
                <w:szCs w:val="20"/>
                <w:lang w:val="en-ZA"/>
              </w:rPr>
            </w:pPr>
          </w:p>
        </w:tc>
        <w:tc>
          <w:tcPr>
            <w:tcW w:w="1003" w:type="dxa"/>
            <w:vMerge/>
            <w:hideMark/>
          </w:tcPr>
          <w:p w14:paraId="33C658DC" w14:textId="77777777" w:rsidR="002817C2" w:rsidRPr="009A7F2D" w:rsidRDefault="002817C2" w:rsidP="000F7BC5">
            <w:pPr>
              <w:pStyle w:val="NormalWeb"/>
              <w:shd w:val="clear" w:color="auto" w:fill="FFFFFF"/>
              <w:jc w:val="center"/>
              <w:rPr>
                <w:rFonts w:ascii="Times" w:hAnsi="Times"/>
                <w:b/>
                <w:bCs/>
                <w:color w:val="1A1A1A"/>
                <w:sz w:val="20"/>
                <w:szCs w:val="20"/>
                <w:lang w:val="en-ZA"/>
              </w:rPr>
            </w:pPr>
          </w:p>
        </w:tc>
        <w:tc>
          <w:tcPr>
            <w:tcW w:w="1350" w:type="dxa"/>
            <w:noWrap/>
            <w:hideMark/>
          </w:tcPr>
          <w:p w14:paraId="5B4BC32A" w14:textId="77777777" w:rsidR="002817C2" w:rsidRPr="009A7F2D" w:rsidRDefault="002817C2" w:rsidP="000F7BC5">
            <w:pPr>
              <w:pStyle w:val="NormalWeb"/>
              <w:shd w:val="clear" w:color="auto" w:fill="FFFFFF"/>
              <w:jc w:val="center"/>
              <w:rPr>
                <w:rFonts w:ascii="Times" w:hAnsi="Times"/>
                <w:b/>
                <w:bCs/>
                <w:color w:val="1A1A1A"/>
                <w:sz w:val="20"/>
                <w:szCs w:val="20"/>
                <w:lang w:val="en-ZA"/>
              </w:rPr>
            </w:pPr>
            <w:r w:rsidRPr="009A7F2D">
              <w:rPr>
                <w:rFonts w:ascii="Times" w:hAnsi="Times"/>
                <w:b/>
                <w:bCs/>
                <w:color w:val="1A1A1A"/>
                <w:sz w:val="20"/>
                <w:szCs w:val="20"/>
                <w:lang w:val="en-ZA"/>
              </w:rPr>
              <w:t>6%</w:t>
            </w:r>
          </w:p>
        </w:tc>
        <w:tc>
          <w:tcPr>
            <w:tcW w:w="1418" w:type="dxa"/>
            <w:noWrap/>
            <w:hideMark/>
          </w:tcPr>
          <w:p w14:paraId="048B1AE5" w14:textId="77777777" w:rsidR="002817C2" w:rsidRPr="009A7F2D" w:rsidRDefault="002817C2" w:rsidP="000F7BC5">
            <w:pPr>
              <w:pStyle w:val="NormalWeb"/>
              <w:shd w:val="clear" w:color="auto" w:fill="FFFFFF"/>
              <w:jc w:val="center"/>
              <w:rPr>
                <w:rFonts w:ascii="Times" w:hAnsi="Times"/>
                <w:b/>
                <w:bCs/>
                <w:color w:val="1A1A1A"/>
                <w:sz w:val="20"/>
                <w:szCs w:val="20"/>
                <w:lang w:val="en-ZA"/>
              </w:rPr>
            </w:pPr>
            <w:r w:rsidRPr="009A7F2D">
              <w:rPr>
                <w:rFonts w:ascii="Times" w:hAnsi="Times"/>
                <w:b/>
                <w:bCs/>
                <w:color w:val="1A1A1A"/>
                <w:sz w:val="20"/>
                <w:szCs w:val="20"/>
                <w:lang w:val="en-ZA"/>
              </w:rPr>
              <w:t>12%</w:t>
            </w:r>
          </w:p>
        </w:tc>
        <w:tc>
          <w:tcPr>
            <w:tcW w:w="1984" w:type="dxa"/>
            <w:noWrap/>
            <w:hideMark/>
          </w:tcPr>
          <w:p w14:paraId="67938799" w14:textId="77777777" w:rsidR="002817C2" w:rsidRPr="009A7F2D" w:rsidRDefault="002817C2" w:rsidP="000F7BC5">
            <w:pPr>
              <w:pStyle w:val="NormalWeb"/>
              <w:shd w:val="clear" w:color="auto" w:fill="FFFFFF"/>
              <w:jc w:val="center"/>
              <w:rPr>
                <w:rFonts w:ascii="Times" w:hAnsi="Times"/>
                <w:b/>
                <w:bCs/>
                <w:color w:val="1A1A1A"/>
                <w:sz w:val="20"/>
                <w:szCs w:val="20"/>
                <w:lang w:val="en-ZA"/>
              </w:rPr>
            </w:pPr>
            <w:r w:rsidRPr="009A7F2D">
              <w:rPr>
                <w:rFonts w:ascii="Times" w:hAnsi="Times"/>
                <w:b/>
                <w:bCs/>
                <w:color w:val="1A1A1A"/>
                <w:sz w:val="20"/>
                <w:szCs w:val="20"/>
                <w:lang w:val="en-ZA"/>
              </w:rPr>
              <w:t>16%</w:t>
            </w:r>
          </w:p>
        </w:tc>
      </w:tr>
      <w:tr w:rsidR="002817C2" w:rsidRPr="000D33E4" w14:paraId="56FE570E" w14:textId="77777777" w:rsidTr="0000237A">
        <w:trPr>
          <w:trHeight w:val="240"/>
        </w:trPr>
        <w:tc>
          <w:tcPr>
            <w:tcW w:w="3884" w:type="dxa"/>
            <w:noWrap/>
            <w:hideMark/>
          </w:tcPr>
          <w:p w14:paraId="41F7736D" w14:textId="77777777" w:rsidR="002817C2" w:rsidRPr="009A7F2D" w:rsidRDefault="002817C2" w:rsidP="00562986">
            <w:pPr>
              <w:pStyle w:val="NormalWeb"/>
              <w:shd w:val="clear" w:color="auto" w:fill="FFFFFF"/>
              <w:rPr>
                <w:rFonts w:ascii="Times" w:hAnsi="Times"/>
                <w:color w:val="1A1A1A"/>
                <w:sz w:val="20"/>
                <w:szCs w:val="20"/>
                <w:lang w:val="en-ZA"/>
              </w:rPr>
            </w:pPr>
            <w:r w:rsidRPr="009A7F2D">
              <w:rPr>
                <w:rFonts w:ascii="Times" w:hAnsi="Times"/>
                <w:color w:val="1A1A1A"/>
                <w:sz w:val="20"/>
                <w:szCs w:val="20"/>
                <w:lang w:val="en-ZA"/>
              </w:rPr>
              <w:t xml:space="preserve">GDP </w:t>
            </w:r>
          </w:p>
        </w:tc>
        <w:tc>
          <w:tcPr>
            <w:tcW w:w="1003" w:type="dxa"/>
            <w:noWrap/>
            <w:hideMark/>
          </w:tcPr>
          <w:p w14:paraId="4D13F2C4" w14:textId="77777777" w:rsidR="002817C2" w:rsidRPr="009A7F2D" w:rsidRDefault="002817C2" w:rsidP="00A87760">
            <w:pPr>
              <w:pStyle w:val="NormalWeb"/>
              <w:shd w:val="clear" w:color="auto" w:fill="FFFFFF"/>
              <w:jc w:val="center"/>
              <w:rPr>
                <w:rFonts w:ascii="Times" w:hAnsi="Times"/>
                <w:color w:val="1A1A1A"/>
                <w:sz w:val="20"/>
                <w:szCs w:val="20"/>
                <w:lang w:val="en-ZA"/>
              </w:rPr>
            </w:pPr>
            <w:r w:rsidRPr="009A7F2D">
              <w:rPr>
                <w:rFonts w:ascii="Times" w:hAnsi="Times"/>
                <w:color w:val="1A1A1A"/>
                <w:sz w:val="20"/>
                <w:szCs w:val="20"/>
                <w:lang w:val="en-ZA"/>
              </w:rPr>
              <w:t>R 5 428</w:t>
            </w:r>
          </w:p>
        </w:tc>
        <w:tc>
          <w:tcPr>
            <w:tcW w:w="1350" w:type="dxa"/>
            <w:noWrap/>
            <w:hideMark/>
          </w:tcPr>
          <w:p w14:paraId="11551EB3" w14:textId="77777777" w:rsidR="002817C2" w:rsidRPr="009A7F2D" w:rsidRDefault="002817C2" w:rsidP="00A87760">
            <w:pPr>
              <w:pStyle w:val="NormalWeb"/>
              <w:shd w:val="clear" w:color="auto" w:fill="FFFFFF"/>
              <w:jc w:val="center"/>
              <w:rPr>
                <w:rFonts w:ascii="Times" w:hAnsi="Times"/>
                <w:color w:val="1A1A1A"/>
                <w:sz w:val="20"/>
                <w:szCs w:val="20"/>
                <w:lang w:val="en-ZA"/>
              </w:rPr>
            </w:pPr>
            <w:r w:rsidRPr="009A7F2D">
              <w:rPr>
                <w:rFonts w:ascii="Times" w:hAnsi="Times"/>
                <w:color w:val="1A1A1A"/>
                <w:sz w:val="20"/>
                <w:szCs w:val="20"/>
                <w:lang w:val="en-ZA"/>
              </w:rPr>
              <w:t>R 5 151</w:t>
            </w:r>
          </w:p>
        </w:tc>
        <w:tc>
          <w:tcPr>
            <w:tcW w:w="1418" w:type="dxa"/>
            <w:noWrap/>
            <w:hideMark/>
          </w:tcPr>
          <w:p w14:paraId="0987762C" w14:textId="77777777" w:rsidR="002817C2" w:rsidRPr="009A7F2D" w:rsidRDefault="002817C2" w:rsidP="00A87760">
            <w:pPr>
              <w:pStyle w:val="NormalWeb"/>
              <w:shd w:val="clear" w:color="auto" w:fill="FFFFFF"/>
              <w:jc w:val="center"/>
              <w:rPr>
                <w:rFonts w:ascii="Times" w:hAnsi="Times"/>
                <w:color w:val="1A1A1A"/>
                <w:sz w:val="20"/>
                <w:szCs w:val="20"/>
                <w:lang w:val="en-ZA"/>
              </w:rPr>
            </w:pPr>
            <w:r w:rsidRPr="009A7F2D">
              <w:rPr>
                <w:rFonts w:ascii="Times" w:hAnsi="Times"/>
                <w:color w:val="1A1A1A"/>
                <w:sz w:val="20"/>
                <w:szCs w:val="20"/>
                <w:lang w:val="en-ZA"/>
              </w:rPr>
              <w:t>R 4 776</w:t>
            </w:r>
          </w:p>
        </w:tc>
        <w:tc>
          <w:tcPr>
            <w:tcW w:w="1984" w:type="dxa"/>
            <w:noWrap/>
            <w:hideMark/>
          </w:tcPr>
          <w:p w14:paraId="2CCD31DB" w14:textId="77777777" w:rsidR="002817C2" w:rsidRPr="009A7F2D" w:rsidRDefault="002817C2" w:rsidP="00A87760">
            <w:pPr>
              <w:pStyle w:val="NormalWeb"/>
              <w:shd w:val="clear" w:color="auto" w:fill="FFFFFF"/>
              <w:jc w:val="center"/>
              <w:rPr>
                <w:rFonts w:ascii="Times" w:hAnsi="Times"/>
                <w:color w:val="1A1A1A"/>
                <w:sz w:val="20"/>
                <w:szCs w:val="20"/>
                <w:lang w:val="en-ZA"/>
              </w:rPr>
            </w:pPr>
            <w:r w:rsidRPr="009A7F2D">
              <w:rPr>
                <w:rFonts w:ascii="Times" w:hAnsi="Times"/>
                <w:color w:val="1A1A1A"/>
                <w:sz w:val="20"/>
                <w:szCs w:val="20"/>
                <w:lang w:val="en-ZA"/>
              </w:rPr>
              <w:t>R 4 559</w:t>
            </w:r>
          </w:p>
        </w:tc>
      </w:tr>
      <w:tr w:rsidR="002817C2" w:rsidRPr="000D33E4" w14:paraId="4E6BA579" w14:textId="77777777" w:rsidTr="0000237A">
        <w:trPr>
          <w:trHeight w:val="240"/>
        </w:trPr>
        <w:tc>
          <w:tcPr>
            <w:tcW w:w="3884" w:type="dxa"/>
            <w:noWrap/>
            <w:hideMark/>
          </w:tcPr>
          <w:p w14:paraId="765E8C46" w14:textId="77777777" w:rsidR="002817C2" w:rsidRPr="009A7F2D" w:rsidRDefault="002817C2" w:rsidP="00562986">
            <w:pPr>
              <w:pStyle w:val="NormalWeb"/>
              <w:shd w:val="clear" w:color="auto" w:fill="FFFFFF"/>
              <w:rPr>
                <w:rFonts w:ascii="Times" w:hAnsi="Times"/>
                <w:color w:val="1A1A1A"/>
                <w:sz w:val="20"/>
                <w:szCs w:val="20"/>
                <w:lang w:val="en-ZA"/>
              </w:rPr>
            </w:pPr>
            <w:r w:rsidRPr="009A7F2D">
              <w:rPr>
                <w:rFonts w:ascii="Times" w:hAnsi="Times"/>
                <w:color w:val="1A1A1A"/>
                <w:sz w:val="20"/>
                <w:szCs w:val="20"/>
                <w:lang w:val="en-ZA"/>
              </w:rPr>
              <w:t xml:space="preserve">Main budget revenue </w:t>
            </w:r>
          </w:p>
        </w:tc>
        <w:tc>
          <w:tcPr>
            <w:tcW w:w="1003" w:type="dxa"/>
            <w:noWrap/>
            <w:hideMark/>
          </w:tcPr>
          <w:p w14:paraId="2438519E" w14:textId="77777777" w:rsidR="002817C2" w:rsidRPr="009A7F2D" w:rsidRDefault="002817C2" w:rsidP="00A87760">
            <w:pPr>
              <w:pStyle w:val="NormalWeb"/>
              <w:shd w:val="clear" w:color="auto" w:fill="FFFFFF"/>
              <w:jc w:val="center"/>
              <w:rPr>
                <w:rFonts w:ascii="Times" w:hAnsi="Times"/>
                <w:color w:val="1A1A1A"/>
                <w:sz w:val="20"/>
                <w:szCs w:val="20"/>
                <w:lang w:val="en-ZA"/>
              </w:rPr>
            </w:pPr>
            <w:r w:rsidRPr="009A7F2D">
              <w:rPr>
                <w:rFonts w:ascii="Times" w:hAnsi="Times"/>
                <w:color w:val="1A1A1A"/>
                <w:sz w:val="20"/>
                <w:szCs w:val="20"/>
                <w:lang w:val="en-ZA"/>
              </w:rPr>
              <w:t>R 1 398</w:t>
            </w:r>
          </w:p>
        </w:tc>
        <w:tc>
          <w:tcPr>
            <w:tcW w:w="1350" w:type="dxa"/>
            <w:noWrap/>
            <w:hideMark/>
          </w:tcPr>
          <w:p w14:paraId="1F9FDB5D" w14:textId="77777777" w:rsidR="002817C2" w:rsidRPr="009A7F2D" w:rsidRDefault="002817C2" w:rsidP="00A87760">
            <w:pPr>
              <w:pStyle w:val="NormalWeb"/>
              <w:shd w:val="clear" w:color="auto" w:fill="FFFFFF"/>
              <w:jc w:val="center"/>
              <w:rPr>
                <w:rFonts w:ascii="Times" w:hAnsi="Times"/>
                <w:color w:val="1A1A1A"/>
                <w:sz w:val="20"/>
                <w:szCs w:val="20"/>
                <w:lang w:val="en-ZA"/>
              </w:rPr>
            </w:pPr>
            <w:r w:rsidRPr="009A7F2D">
              <w:rPr>
                <w:rFonts w:ascii="Times" w:hAnsi="Times"/>
                <w:color w:val="1A1A1A"/>
                <w:sz w:val="20"/>
                <w:szCs w:val="20"/>
                <w:lang w:val="en-ZA"/>
              </w:rPr>
              <w:t>R 1 315</w:t>
            </w:r>
          </w:p>
        </w:tc>
        <w:tc>
          <w:tcPr>
            <w:tcW w:w="1418" w:type="dxa"/>
            <w:noWrap/>
            <w:hideMark/>
          </w:tcPr>
          <w:p w14:paraId="52AF44C4" w14:textId="77777777" w:rsidR="002817C2" w:rsidRPr="009A7F2D" w:rsidRDefault="002817C2" w:rsidP="00A87760">
            <w:pPr>
              <w:pStyle w:val="NormalWeb"/>
              <w:shd w:val="clear" w:color="auto" w:fill="FFFFFF"/>
              <w:jc w:val="center"/>
              <w:rPr>
                <w:rFonts w:ascii="Times" w:hAnsi="Times"/>
                <w:color w:val="1A1A1A"/>
                <w:sz w:val="20"/>
                <w:szCs w:val="20"/>
                <w:lang w:val="en-ZA"/>
              </w:rPr>
            </w:pPr>
            <w:r w:rsidRPr="009A7F2D">
              <w:rPr>
                <w:rFonts w:ascii="Times" w:hAnsi="Times"/>
                <w:color w:val="1A1A1A"/>
                <w:sz w:val="20"/>
                <w:szCs w:val="20"/>
                <w:lang w:val="en-ZA"/>
              </w:rPr>
              <w:t>R 1 232</w:t>
            </w:r>
          </w:p>
        </w:tc>
        <w:tc>
          <w:tcPr>
            <w:tcW w:w="1984" w:type="dxa"/>
            <w:noWrap/>
            <w:hideMark/>
          </w:tcPr>
          <w:p w14:paraId="28EE0612" w14:textId="77777777" w:rsidR="002817C2" w:rsidRPr="009A7F2D" w:rsidRDefault="002817C2" w:rsidP="00A87760">
            <w:pPr>
              <w:pStyle w:val="NormalWeb"/>
              <w:shd w:val="clear" w:color="auto" w:fill="FFFFFF"/>
              <w:jc w:val="center"/>
              <w:rPr>
                <w:rFonts w:ascii="Times" w:hAnsi="Times"/>
                <w:color w:val="1A1A1A"/>
                <w:sz w:val="20"/>
                <w:szCs w:val="20"/>
                <w:lang w:val="en-ZA"/>
              </w:rPr>
            </w:pPr>
            <w:r w:rsidRPr="009A7F2D">
              <w:rPr>
                <w:rFonts w:ascii="Times" w:hAnsi="Times"/>
                <w:color w:val="1A1A1A"/>
                <w:sz w:val="20"/>
                <w:szCs w:val="20"/>
                <w:lang w:val="en-ZA"/>
              </w:rPr>
              <w:t>R 1 176</w:t>
            </w:r>
          </w:p>
        </w:tc>
      </w:tr>
      <w:tr w:rsidR="002817C2" w:rsidRPr="000D33E4" w14:paraId="588EA0A0" w14:textId="77777777" w:rsidTr="0000237A">
        <w:trPr>
          <w:trHeight w:val="240"/>
        </w:trPr>
        <w:tc>
          <w:tcPr>
            <w:tcW w:w="3884" w:type="dxa"/>
            <w:noWrap/>
            <w:hideMark/>
          </w:tcPr>
          <w:p w14:paraId="12B7F0FF" w14:textId="77777777" w:rsidR="002817C2" w:rsidRPr="009A7F2D" w:rsidRDefault="002817C2" w:rsidP="00562986">
            <w:pPr>
              <w:pStyle w:val="NormalWeb"/>
              <w:shd w:val="clear" w:color="auto" w:fill="FFFFFF"/>
              <w:rPr>
                <w:rFonts w:ascii="Times" w:hAnsi="Times"/>
                <w:color w:val="1A1A1A"/>
                <w:sz w:val="20"/>
                <w:szCs w:val="20"/>
                <w:lang w:val="en-ZA"/>
              </w:rPr>
            </w:pPr>
            <w:r w:rsidRPr="009A7F2D">
              <w:rPr>
                <w:rFonts w:ascii="Times" w:hAnsi="Times"/>
                <w:color w:val="1A1A1A"/>
                <w:sz w:val="20"/>
                <w:szCs w:val="20"/>
                <w:lang w:val="en-ZA"/>
              </w:rPr>
              <w:t xml:space="preserve">Revenue as % of GDP </w:t>
            </w:r>
          </w:p>
        </w:tc>
        <w:tc>
          <w:tcPr>
            <w:tcW w:w="1003" w:type="dxa"/>
            <w:noWrap/>
            <w:hideMark/>
          </w:tcPr>
          <w:p w14:paraId="35A5188A" w14:textId="77777777" w:rsidR="002817C2" w:rsidRPr="009A7F2D" w:rsidRDefault="002817C2" w:rsidP="00A87760">
            <w:pPr>
              <w:pStyle w:val="NormalWeb"/>
              <w:shd w:val="clear" w:color="auto" w:fill="FFFFFF"/>
              <w:jc w:val="center"/>
              <w:rPr>
                <w:rFonts w:ascii="Times" w:hAnsi="Times"/>
                <w:color w:val="1A1A1A"/>
                <w:sz w:val="20"/>
                <w:szCs w:val="20"/>
                <w:lang w:val="en-ZA"/>
              </w:rPr>
            </w:pPr>
            <w:r w:rsidRPr="009A7F2D">
              <w:rPr>
                <w:rFonts w:ascii="Times" w:hAnsi="Times"/>
                <w:color w:val="1A1A1A"/>
                <w:sz w:val="20"/>
                <w:szCs w:val="20"/>
                <w:lang w:val="en-ZA"/>
              </w:rPr>
              <w:t>25.80%</w:t>
            </w:r>
          </w:p>
        </w:tc>
        <w:tc>
          <w:tcPr>
            <w:tcW w:w="1350" w:type="dxa"/>
            <w:noWrap/>
            <w:hideMark/>
          </w:tcPr>
          <w:p w14:paraId="19AB3EED" w14:textId="77777777" w:rsidR="002817C2" w:rsidRPr="009A7F2D" w:rsidRDefault="002817C2" w:rsidP="00A87760">
            <w:pPr>
              <w:pStyle w:val="NormalWeb"/>
              <w:shd w:val="clear" w:color="auto" w:fill="FFFFFF"/>
              <w:jc w:val="center"/>
              <w:rPr>
                <w:rFonts w:ascii="Times" w:hAnsi="Times"/>
                <w:color w:val="1A1A1A"/>
                <w:sz w:val="20"/>
                <w:szCs w:val="20"/>
                <w:lang w:val="en-ZA"/>
              </w:rPr>
            </w:pPr>
            <w:r w:rsidRPr="009A7F2D">
              <w:rPr>
                <w:rFonts w:ascii="Times" w:hAnsi="Times"/>
                <w:color w:val="1A1A1A"/>
                <w:sz w:val="20"/>
                <w:szCs w:val="20"/>
                <w:lang w:val="en-ZA"/>
              </w:rPr>
              <w:t>25.80%</w:t>
            </w:r>
          </w:p>
        </w:tc>
        <w:tc>
          <w:tcPr>
            <w:tcW w:w="1418" w:type="dxa"/>
            <w:noWrap/>
            <w:hideMark/>
          </w:tcPr>
          <w:p w14:paraId="5999C6F0" w14:textId="77777777" w:rsidR="002817C2" w:rsidRPr="009A7F2D" w:rsidRDefault="002817C2" w:rsidP="00A87760">
            <w:pPr>
              <w:pStyle w:val="NormalWeb"/>
              <w:shd w:val="clear" w:color="auto" w:fill="FFFFFF"/>
              <w:jc w:val="center"/>
              <w:rPr>
                <w:rFonts w:ascii="Times" w:hAnsi="Times"/>
                <w:color w:val="1A1A1A"/>
                <w:sz w:val="20"/>
                <w:szCs w:val="20"/>
                <w:lang w:val="en-ZA"/>
              </w:rPr>
            </w:pPr>
            <w:r w:rsidRPr="009A7F2D">
              <w:rPr>
                <w:rFonts w:ascii="Times" w:hAnsi="Times"/>
                <w:color w:val="1A1A1A"/>
                <w:sz w:val="20"/>
                <w:szCs w:val="20"/>
                <w:lang w:val="en-ZA"/>
              </w:rPr>
              <w:t>25.80%</w:t>
            </w:r>
          </w:p>
        </w:tc>
        <w:tc>
          <w:tcPr>
            <w:tcW w:w="1984" w:type="dxa"/>
            <w:noWrap/>
            <w:hideMark/>
          </w:tcPr>
          <w:p w14:paraId="7B71D1E8" w14:textId="77777777" w:rsidR="002817C2" w:rsidRPr="009A7F2D" w:rsidRDefault="002817C2" w:rsidP="00A87760">
            <w:pPr>
              <w:pStyle w:val="NormalWeb"/>
              <w:shd w:val="clear" w:color="auto" w:fill="FFFFFF"/>
              <w:jc w:val="center"/>
              <w:rPr>
                <w:rFonts w:ascii="Times" w:hAnsi="Times"/>
                <w:color w:val="1A1A1A"/>
                <w:sz w:val="20"/>
                <w:szCs w:val="20"/>
                <w:lang w:val="en-ZA"/>
              </w:rPr>
            </w:pPr>
            <w:r w:rsidRPr="009A7F2D">
              <w:rPr>
                <w:rFonts w:ascii="Times" w:hAnsi="Times"/>
                <w:color w:val="1A1A1A"/>
                <w:sz w:val="20"/>
                <w:szCs w:val="20"/>
                <w:lang w:val="en-ZA"/>
              </w:rPr>
              <w:t>25.80%</w:t>
            </w:r>
          </w:p>
        </w:tc>
      </w:tr>
      <w:tr w:rsidR="002817C2" w:rsidRPr="000D33E4" w14:paraId="318B60D2" w14:textId="77777777" w:rsidTr="0000237A">
        <w:trPr>
          <w:trHeight w:val="240"/>
        </w:trPr>
        <w:tc>
          <w:tcPr>
            <w:tcW w:w="3884" w:type="dxa"/>
            <w:noWrap/>
            <w:hideMark/>
          </w:tcPr>
          <w:p w14:paraId="72B4F0F7" w14:textId="77777777" w:rsidR="002817C2" w:rsidRPr="009A7F2D" w:rsidRDefault="002817C2" w:rsidP="00562986">
            <w:pPr>
              <w:pStyle w:val="NormalWeb"/>
              <w:shd w:val="clear" w:color="auto" w:fill="FFFFFF"/>
              <w:rPr>
                <w:rFonts w:ascii="Times" w:hAnsi="Times"/>
                <w:color w:val="1A1A1A"/>
                <w:sz w:val="20"/>
                <w:szCs w:val="20"/>
                <w:lang w:val="en-ZA"/>
              </w:rPr>
            </w:pPr>
            <w:r w:rsidRPr="009A7F2D">
              <w:rPr>
                <w:rFonts w:ascii="Times" w:hAnsi="Times"/>
                <w:color w:val="1A1A1A"/>
                <w:sz w:val="20"/>
                <w:szCs w:val="20"/>
                <w:lang w:val="en-ZA"/>
              </w:rPr>
              <w:t>Revenue shortfall</w:t>
            </w:r>
          </w:p>
        </w:tc>
        <w:tc>
          <w:tcPr>
            <w:tcW w:w="1003" w:type="dxa"/>
            <w:noWrap/>
            <w:hideMark/>
          </w:tcPr>
          <w:p w14:paraId="228D2194" w14:textId="77777777" w:rsidR="002817C2" w:rsidRPr="009A7F2D" w:rsidRDefault="002817C2" w:rsidP="00A87760">
            <w:pPr>
              <w:pStyle w:val="NormalWeb"/>
              <w:shd w:val="clear" w:color="auto" w:fill="FFFFFF"/>
              <w:jc w:val="center"/>
              <w:rPr>
                <w:rFonts w:ascii="Times" w:hAnsi="Times"/>
                <w:color w:val="1A1A1A"/>
                <w:sz w:val="20"/>
                <w:szCs w:val="20"/>
                <w:lang w:val="en-ZA"/>
              </w:rPr>
            </w:pPr>
          </w:p>
        </w:tc>
        <w:tc>
          <w:tcPr>
            <w:tcW w:w="1350" w:type="dxa"/>
            <w:noWrap/>
            <w:hideMark/>
          </w:tcPr>
          <w:p w14:paraId="1B4DE955" w14:textId="77777777" w:rsidR="002817C2" w:rsidRPr="009A7F2D" w:rsidRDefault="002817C2" w:rsidP="00A87760">
            <w:pPr>
              <w:pStyle w:val="NormalWeb"/>
              <w:shd w:val="clear" w:color="auto" w:fill="FFFFFF"/>
              <w:jc w:val="center"/>
              <w:rPr>
                <w:rFonts w:ascii="Times" w:hAnsi="Times"/>
                <w:color w:val="1A1A1A"/>
                <w:sz w:val="20"/>
                <w:szCs w:val="20"/>
                <w:lang w:val="en-ZA"/>
              </w:rPr>
            </w:pPr>
            <w:r w:rsidRPr="009A7F2D">
              <w:rPr>
                <w:rFonts w:ascii="Times" w:hAnsi="Times"/>
                <w:color w:val="1A1A1A"/>
                <w:sz w:val="20"/>
                <w:szCs w:val="20"/>
                <w:lang w:val="en-ZA"/>
              </w:rPr>
              <w:t>R -83</w:t>
            </w:r>
          </w:p>
        </w:tc>
        <w:tc>
          <w:tcPr>
            <w:tcW w:w="1418" w:type="dxa"/>
            <w:noWrap/>
            <w:hideMark/>
          </w:tcPr>
          <w:p w14:paraId="16FD2F0F" w14:textId="77777777" w:rsidR="002817C2" w:rsidRPr="009A7F2D" w:rsidRDefault="002817C2" w:rsidP="00A87760">
            <w:pPr>
              <w:pStyle w:val="NormalWeb"/>
              <w:shd w:val="clear" w:color="auto" w:fill="FFFFFF"/>
              <w:jc w:val="center"/>
              <w:rPr>
                <w:rFonts w:ascii="Times" w:hAnsi="Times"/>
                <w:color w:val="1A1A1A"/>
                <w:sz w:val="20"/>
                <w:szCs w:val="20"/>
                <w:lang w:val="en-ZA"/>
              </w:rPr>
            </w:pPr>
            <w:r w:rsidRPr="009A7F2D">
              <w:rPr>
                <w:rFonts w:ascii="Times" w:hAnsi="Times"/>
                <w:color w:val="1A1A1A"/>
                <w:sz w:val="20"/>
                <w:szCs w:val="20"/>
                <w:lang w:val="en-ZA"/>
              </w:rPr>
              <w:t>R -165.63</w:t>
            </w:r>
          </w:p>
        </w:tc>
        <w:tc>
          <w:tcPr>
            <w:tcW w:w="1984" w:type="dxa"/>
            <w:noWrap/>
            <w:hideMark/>
          </w:tcPr>
          <w:p w14:paraId="0A030960" w14:textId="77777777" w:rsidR="002817C2" w:rsidRPr="009A7F2D" w:rsidRDefault="002817C2" w:rsidP="00A87760">
            <w:pPr>
              <w:pStyle w:val="NormalWeb"/>
              <w:shd w:val="clear" w:color="auto" w:fill="FFFFFF"/>
              <w:jc w:val="center"/>
              <w:rPr>
                <w:rFonts w:ascii="Times" w:hAnsi="Times"/>
                <w:color w:val="1A1A1A"/>
                <w:sz w:val="20"/>
                <w:szCs w:val="20"/>
                <w:lang w:val="en-ZA"/>
              </w:rPr>
            </w:pPr>
            <w:r w:rsidRPr="00122C44">
              <w:rPr>
                <w:rFonts w:ascii="Times" w:hAnsi="Times"/>
                <w:color w:val="000000" w:themeColor="text1"/>
                <w:sz w:val="20"/>
                <w:szCs w:val="20"/>
                <w:lang w:val="en-ZA"/>
              </w:rPr>
              <w:t>R -222</w:t>
            </w:r>
          </w:p>
        </w:tc>
      </w:tr>
      <w:tr w:rsidR="002817C2" w:rsidRPr="000D33E4" w14:paraId="719B4933" w14:textId="77777777" w:rsidTr="0000237A">
        <w:trPr>
          <w:trHeight w:val="240"/>
        </w:trPr>
        <w:tc>
          <w:tcPr>
            <w:tcW w:w="3884" w:type="dxa"/>
            <w:noWrap/>
            <w:hideMark/>
          </w:tcPr>
          <w:p w14:paraId="4B0E33ED" w14:textId="77777777" w:rsidR="002817C2" w:rsidRPr="009A7F2D" w:rsidRDefault="002817C2" w:rsidP="00562986">
            <w:pPr>
              <w:pStyle w:val="NormalWeb"/>
              <w:shd w:val="clear" w:color="auto" w:fill="FFFFFF"/>
              <w:rPr>
                <w:rFonts w:ascii="Times" w:hAnsi="Times"/>
                <w:color w:val="1A1A1A"/>
                <w:sz w:val="20"/>
                <w:szCs w:val="20"/>
                <w:lang w:val="en-ZA"/>
              </w:rPr>
            </w:pPr>
            <w:r w:rsidRPr="009A7F2D">
              <w:rPr>
                <w:rFonts w:ascii="Times" w:hAnsi="Times"/>
                <w:color w:val="1A1A1A"/>
                <w:sz w:val="20"/>
                <w:szCs w:val="20"/>
                <w:lang w:val="en-ZA"/>
              </w:rPr>
              <w:t xml:space="preserve">Main budget expenditure </w:t>
            </w:r>
          </w:p>
        </w:tc>
        <w:tc>
          <w:tcPr>
            <w:tcW w:w="1003" w:type="dxa"/>
            <w:noWrap/>
            <w:hideMark/>
          </w:tcPr>
          <w:p w14:paraId="7AEAEA8E" w14:textId="77777777" w:rsidR="002817C2" w:rsidRPr="009A7F2D" w:rsidRDefault="002817C2" w:rsidP="00A87760">
            <w:pPr>
              <w:pStyle w:val="NormalWeb"/>
              <w:shd w:val="clear" w:color="auto" w:fill="FFFFFF"/>
              <w:jc w:val="center"/>
              <w:rPr>
                <w:rFonts w:ascii="Times" w:hAnsi="Times"/>
                <w:color w:val="1A1A1A"/>
                <w:sz w:val="20"/>
                <w:szCs w:val="20"/>
                <w:lang w:val="en-ZA"/>
              </w:rPr>
            </w:pPr>
            <w:r w:rsidRPr="009A7F2D">
              <w:rPr>
                <w:rFonts w:ascii="Times" w:hAnsi="Times"/>
                <w:color w:val="1A1A1A"/>
                <w:sz w:val="20"/>
                <w:szCs w:val="20"/>
                <w:lang w:val="en-ZA"/>
              </w:rPr>
              <w:t>R 1 766</w:t>
            </w:r>
          </w:p>
        </w:tc>
        <w:tc>
          <w:tcPr>
            <w:tcW w:w="1350" w:type="dxa"/>
            <w:noWrap/>
            <w:hideMark/>
          </w:tcPr>
          <w:p w14:paraId="2135332A" w14:textId="77777777" w:rsidR="002817C2" w:rsidRPr="009A7F2D" w:rsidRDefault="002817C2" w:rsidP="00A87760">
            <w:pPr>
              <w:pStyle w:val="NormalWeb"/>
              <w:shd w:val="clear" w:color="auto" w:fill="FFFFFF"/>
              <w:jc w:val="center"/>
              <w:rPr>
                <w:rFonts w:ascii="Times" w:hAnsi="Times"/>
                <w:color w:val="1A1A1A"/>
                <w:sz w:val="20"/>
                <w:szCs w:val="20"/>
                <w:lang w:val="en-ZA"/>
              </w:rPr>
            </w:pPr>
            <w:r w:rsidRPr="009A7F2D">
              <w:rPr>
                <w:rFonts w:ascii="Times" w:hAnsi="Times"/>
                <w:color w:val="1A1A1A"/>
                <w:sz w:val="20"/>
                <w:szCs w:val="20"/>
                <w:lang w:val="en-ZA"/>
              </w:rPr>
              <w:t>R 1 766</w:t>
            </w:r>
          </w:p>
        </w:tc>
        <w:tc>
          <w:tcPr>
            <w:tcW w:w="1418" w:type="dxa"/>
            <w:noWrap/>
            <w:hideMark/>
          </w:tcPr>
          <w:p w14:paraId="10F88330" w14:textId="77777777" w:rsidR="002817C2" w:rsidRPr="009A7F2D" w:rsidRDefault="002817C2" w:rsidP="00A87760">
            <w:pPr>
              <w:pStyle w:val="NormalWeb"/>
              <w:shd w:val="clear" w:color="auto" w:fill="FFFFFF"/>
              <w:jc w:val="center"/>
              <w:rPr>
                <w:rFonts w:ascii="Times" w:hAnsi="Times"/>
                <w:color w:val="1A1A1A"/>
                <w:sz w:val="20"/>
                <w:szCs w:val="20"/>
                <w:lang w:val="en-ZA"/>
              </w:rPr>
            </w:pPr>
            <w:r w:rsidRPr="009A7F2D">
              <w:rPr>
                <w:rFonts w:ascii="Times" w:hAnsi="Times"/>
                <w:color w:val="1A1A1A"/>
                <w:sz w:val="20"/>
                <w:szCs w:val="20"/>
                <w:lang w:val="en-ZA"/>
              </w:rPr>
              <w:t>R 1 766</w:t>
            </w:r>
          </w:p>
        </w:tc>
        <w:tc>
          <w:tcPr>
            <w:tcW w:w="1984" w:type="dxa"/>
            <w:noWrap/>
            <w:hideMark/>
          </w:tcPr>
          <w:p w14:paraId="28CD935E" w14:textId="77777777" w:rsidR="002817C2" w:rsidRPr="009A7F2D" w:rsidRDefault="002817C2" w:rsidP="00A87760">
            <w:pPr>
              <w:pStyle w:val="NormalWeb"/>
              <w:shd w:val="clear" w:color="auto" w:fill="FFFFFF"/>
              <w:jc w:val="center"/>
              <w:rPr>
                <w:rFonts w:ascii="Times" w:hAnsi="Times"/>
                <w:color w:val="1A1A1A"/>
                <w:sz w:val="20"/>
                <w:szCs w:val="20"/>
                <w:lang w:val="en-ZA"/>
              </w:rPr>
            </w:pPr>
            <w:r w:rsidRPr="009A7F2D">
              <w:rPr>
                <w:rFonts w:ascii="Times" w:hAnsi="Times"/>
                <w:color w:val="1A1A1A"/>
                <w:sz w:val="20"/>
                <w:szCs w:val="20"/>
                <w:lang w:val="en-ZA"/>
              </w:rPr>
              <w:t>R 1 766</w:t>
            </w:r>
          </w:p>
        </w:tc>
      </w:tr>
      <w:tr w:rsidR="002817C2" w:rsidRPr="000D33E4" w14:paraId="61C0F979" w14:textId="77777777" w:rsidTr="0000237A">
        <w:trPr>
          <w:trHeight w:val="240"/>
        </w:trPr>
        <w:tc>
          <w:tcPr>
            <w:tcW w:w="3884" w:type="dxa"/>
            <w:noWrap/>
            <w:hideMark/>
          </w:tcPr>
          <w:p w14:paraId="6D541160" w14:textId="77777777" w:rsidR="002817C2" w:rsidRPr="009A7F2D" w:rsidRDefault="002817C2" w:rsidP="00562986">
            <w:pPr>
              <w:pStyle w:val="NormalWeb"/>
              <w:shd w:val="clear" w:color="auto" w:fill="FFFFFF"/>
              <w:rPr>
                <w:rFonts w:ascii="Times" w:hAnsi="Times"/>
                <w:color w:val="1A1A1A"/>
                <w:sz w:val="20"/>
                <w:szCs w:val="20"/>
                <w:lang w:val="en-ZA"/>
              </w:rPr>
            </w:pPr>
            <w:r w:rsidRPr="009A7F2D">
              <w:rPr>
                <w:rFonts w:ascii="Times" w:hAnsi="Times"/>
                <w:color w:val="1A1A1A"/>
                <w:sz w:val="20"/>
                <w:szCs w:val="20"/>
                <w:lang w:val="en-ZA"/>
              </w:rPr>
              <w:t xml:space="preserve">Main budget balance deficit </w:t>
            </w:r>
          </w:p>
        </w:tc>
        <w:tc>
          <w:tcPr>
            <w:tcW w:w="1003" w:type="dxa"/>
            <w:noWrap/>
            <w:hideMark/>
          </w:tcPr>
          <w:p w14:paraId="4D2B86C9" w14:textId="77777777" w:rsidR="002817C2" w:rsidRPr="009A7F2D" w:rsidRDefault="002817C2" w:rsidP="00A87760">
            <w:pPr>
              <w:pStyle w:val="NormalWeb"/>
              <w:shd w:val="clear" w:color="auto" w:fill="FFFFFF"/>
              <w:jc w:val="center"/>
              <w:rPr>
                <w:rFonts w:ascii="Times" w:hAnsi="Times"/>
                <w:color w:val="1A1A1A"/>
                <w:sz w:val="20"/>
                <w:szCs w:val="20"/>
                <w:lang w:val="en-ZA"/>
              </w:rPr>
            </w:pPr>
            <w:r w:rsidRPr="009A7F2D">
              <w:rPr>
                <w:rFonts w:ascii="Times" w:hAnsi="Times"/>
                <w:color w:val="1A1A1A"/>
                <w:sz w:val="20"/>
                <w:szCs w:val="20"/>
                <w:lang w:val="en-ZA"/>
              </w:rPr>
              <w:t>R -368</w:t>
            </w:r>
          </w:p>
        </w:tc>
        <w:tc>
          <w:tcPr>
            <w:tcW w:w="1350" w:type="dxa"/>
            <w:noWrap/>
            <w:hideMark/>
          </w:tcPr>
          <w:p w14:paraId="19DEB10D" w14:textId="77777777" w:rsidR="002817C2" w:rsidRPr="009A7F2D" w:rsidRDefault="002817C2" w:rsidP="00A87760">
            <w:pPr>
              <w:pStyle w:val="NormalWeb"/>
              <w:shd w:val="clear" w:color="auto" w:fill="FFFFFF"/>
              <w:jc w:val="center"/>
              <w:rPr>
                <w:rFonts w:ascii="Times" w:hAnsi="Times"/>
                <w:color w:val="1A1A1A"/>
                <w:sz w:val="20"/>
                <w:szCs w:val="20"/>
                <w:lang w:val="en-ZA"/>
              </w:rPr>
            </w:pPr>
            <w:r w:rsidRPr="009A7F2D">
              <w:rPr>
                <w:rFonts w:ascii="Times" w:hAnsi="Times"/>
                <w:color w:val="1A1A1A"/>
                <w:sz w:val="20"/>
                <w:szCs w:val="20"/>
                <w:lang w:val="en-ZA"/>
              </w:rPr>
              <w:t>R -451</w:t>
            </w:r>
          </w:p>
        </w:tc>
        <w:tc>
          <w:tcPr>
            <w:tcW w:w="1418" w:type="dxa"/>
            <w:noWrap/>
            <w:hideMark/>
          </w:tcPr>
          <w:p w14:paraId="0F3B0602" w14:textId="77777777" w:rsidR="002817C2" w:rsidRPr="009A7F2D" w:rsidRDefault="002817C2" w:rsidP="00A87760">
            <w:pPr>
              <w:pStyle w:val="NormalWeb"/>
              <w:shd w:val="clear" w:color="auto" w:fill="FFFFFF"/>
              <w:jc w:val="center"/>
              <w:rPr>
                <w:rFonts w:ascii="Times" w:hAnsi="Times"/>
                <w:color w:val="1A1A1A"/>
                <w:sz w:val="20"/>
                <w:szCs w:val="20"/>
                <w:lang w:val="en-ZA"/>
              </w:rPr>
            </w:pPr>
            <w:r w:rsidRPr="009A7F2D">
              <w:rPr>
                <w:rFonts w:ascii="Times" w:hAnsi="Times"/>
                <w:color w:val="1A1A1A"/>
                <w:sz w:val="20"/>
                <w:szCs w:val="20"/>
                <w:lang w:val="en-ZA"/>
              </w:rPr>
              <w:t>R -534</w:t>
            </w:r>
          </w:p>
        </w:tc>
        <w:tc>
          <w:tcPr>
            <w:tcW w:w="1984" w:type="dxa"/>
            <w:noWrap/>
            <w:hideMark/>
          </w:tcPr>
          <w:p w14:paraId="66623CBD" w14:textId="77777777" w:rsidR="002817C2" w:rsidRPr="009A7F2D" w:rsidRDefault="002817C2" w:rsidP="00A87760">
            <w:pPr>
              <w:pStyle w:val="NormalWeb"/>
              <w:shd w:val="clear" w:color="auto" w:fill="FFFFFF"/>
              <w:jc w:val="center"/>
              <w:rPr>
                <w:rFonts w:ascii="Times" w:hAnsi="Times"/>
                <w:color w:val="1A1A1A"/>
                <w:sz w:val="20"/>
                <w:szCs w:val="20"/>
                <w:lang w:val="en-ZA"/>
              </w:rPr>
            </w:pPr>
            <w:r w:rsidRPr="009A7F2D">
              <w:rPr>
                <w:rFonts w:ascii="Times" w:hAnsi="Times"/>
                <w:color w:val="1A1A1A"/>
                <w:sz w:val="20"/>
                <w:szCs w:val="20"/>
                <w:lang w:val="en-ZA"/>
              </w:rPr>
              <w:t>R -590</w:t>
            </w:r>
          </w:p>
        </w:tc>
      </w:tr>
    </w:tbl>
    <w:p w14:paraId="432F767E" w14:textId="77777777" w:rsidR="002817C2" w:rsidRPr="009A7F2D" w:rsidRDefault="002817C2" w:rsidP="002817C2">
      <w:pPr>
        <w:pStyle w:val="NormalWeb"/>
        <w:shd w:val="clear" w:color="auto" w:fill="FFFFFF"/>
        <w:spacing w:before="0" w:beforeAutospacing="0" w:after="0" w:afterAutospacing="0"/>
        <w:rPr>
          <w:rFonts w:ascii="Times" w:hAnsi="Times"/>
          <w:i/>
          <w:iCs/>
          <w:color w:val="1A1A1A"/>
          <w:sz w:val="20"/>
          <w:szCs w:val="20"/>
        </w:rPr>
      </w:pPr>
      <w:r w:rsidRPr="000D33E4">
        <w:rPr>
          <w:rFonts w:ascii="Times" w:hAnsi="Times"/>
          <w:color w:val="1A1A1A"/>
        </w:rPr>
        <w:fldChar w:fldCharType="end"/>
      </w:r>
      <w:r w:rsidRPr="009A7F2D">
        <w:rPr>
          <w:rFonts w:ascii="Times" w:hAnsi="Times"/>
          <w:i/>
          <w:iCs/>
          <w:color w:val="1A1A1A"/>
          <w:sz w:val="20"/>
          <w:szCs w:val="20"/>
        </w:rPr>
        <w:t xml:space="preserve">Source: National Treasury 2020 and </w:t>
      </w:r>
      <w:r w:rsidR="00562986" w:rsidRPr="009A7F2D">
        <w:rPr>
          <w:rFonts w:ascii="Times" w:hAnsi="Times"/>
          <w:i/>
          <w:iCs/>
          <w:color w:val="1A1A1A"/>
          <w:sz w:val="20"/>
          <w:szCs w:val="20"/>
        </w:rPr>
        <w:t xml:space="preserve">FFC </w:t>
      </w:r>
      <w:r w:rsidRPr="009A7F2D">
        <w:rPr>
          <w:rFonts w:ascii="Times" w:hAnsi="Times"/>
          <w:i/>
          <w:iCs/>
          <w:color w:val="1A1A1A"/>
          <w:sz w:val="20"/>
          <w:szCs w:val="20"/>
        </w:rPr>
        <w:t>compilation</w:t>
      </w:r>
    </w:p>
    <w:p w14:paraId="0EE189F5" w14:textId="77777777" w:rsidR="002817C2" w:rsidRPr="000D33E4" w:rsidRDefault="002817C2" w:rsidP="002817C2">
      <w:pPr>
        <w:pStyle w:val="NormalWeb"/>
        <w:shd w:val="clear" w:color="auto" w:fill="FFFFFF"/>
        <w:spacing w:before="0" w:beforeAutospacing="0" w:after="0" w:afterAutospacing="0"/>
        <w:rPr>
          <w:rFonts w:ascii="Times" w:hAnsi="Times"/>
          <w:color w:val="1A1A1A"/>
        </w:rPr>
      </w:pPr>
    </w:p>
    <w:p w14:paraId="7D7628BC" w14:textId="77777777" w:rsidR="002817C2" w:rsidRPr="000D33E4" w:rsidRDefault="002817C2" w:rsidP="009A7F2D">
      <w:r w:rsidRPr="000D33E4">
        <w:t xml:space="preserve">As a general rule the standard response to </w:t>
      </w:r>
      <w:r w:rsidR="00D26FF7" w:rsidRPr="000D33E4">
        <w:t>short</w:t>
      </w:r>
      <w:r w:rsidR="00562986">
        <w:t>-</w:t>
      </w:r>
      <w:r w:rsidRPr="000D33E4">
        <w:t xml:space="preserve"> and</w:t>
      </w:r>
      <w:r w:rsidR="00D26FF7" w:rsidRPr="000D33E4">
        <w:t xml:space="preserve"> long</w:t>
      </w:r>
      <w:r w:rsidRPr="000D33E4">
        <w:t>-run output declines is fiscal and monetary policy stimulus in order to encourage private sector economic activity, especially when the economy is unable to self-correct through automatic stabilisers (i.e. unemployment insurance and welfare</w:t>
      </w:r>
      <w:r w:rsidR="000E3CD8">
        <w:t>)</w:t>
      </w:r>
      <w:r w:rsidRPr="000D33E4">
        <w:t xml:space="preserve">. Unlike fiscal and monetary expansion, discretionary fiscal and monetary stimulus (economic stimulus in general) is not intended to replace the private sector, but instead to direct government deficit spending, tax cuts, lower interest rate and money supply into certain sectors of the economy with the intention </w:t>
      </w:r>
      <w:r w:rsidR="000E3CD8">
        <w:t>of</w:t>
      </w:r>
      <w:r w:rsidRPr="000D33E4">
        <w:t xml:space="preserve"> stimulat</w:t>
      </w:r>
      <w:r w:rsidR="000E3CD8">
        <w:t>ing</w:t>
      </w:r>
      <w:r w:rsidRPr="000D33E4">
        <w:t xml:space="preserve"> private consumption and investment which in turn increases economic activity and tax receipts to finance government spending program</w:t>
      </w:r>
      <w:r w:rsidR="00562986">
        <w:t>me</w:t>
      </w:r>
      <w:r w:rsidRPr="000D33E4">
        <w:t>s. The principle behind the economic stimulus response effect is for the private sector to fight</w:t>
      </w:r>
      <w:r w:rsidR="00562986">
        <w:t xml:space="preserve"> </w:t>
      </w:r>
      <w:r w:rsidRPr="000D33E4">
        <w:t xml:space="preserve">off the recession </w:t>
      </w:r>
      <w:r w:rsidR="00D26FF7">
        <w:t>as opposed to</w:t>
      </w:r>
      <w:r w:rsidRPr="000D33E4">
        <w:t xml:space="preserve"> </w:t>
      </w:r>
      <w:r w:rsidR="00D26FF7" w:rsidRPr="000D33E4">
        <w:t>government</w:t>
      </w:r>
      <w:r w:rsidR="00D26FF7">
        <w:t xml:space="preserve"> </w:t>
      </w:r>
      <w:r w:rsidR="00562986">
        <w:t>incurring</w:t>
      </w:r>
      <w:r w:rsidR="00D26FF7">
        <w:t xml:space="preserve"> huge </w:t>
      </w:r>
      <w:r w:rsidRPr="000D33E4">
        <w:t>deficits and risky monetary expansion.</w:t>
      </w:r>
    </w:p>
    <w:p w14:paraId="39059EFF" w14:textId="77777777" w:rsidR="002817C2" w:rsidRPr="000D33E4" w:rsidRDefault="002817C2" w:rsidP="00D449D8">
      <w:pPr>
        <w:ind w:left="567"/>
      </w:pPr>
    </w:p>
    <w:p w14:paraId="5C4586C3" w14:textId="3641F581" w:rsidR="00C05862" w:rsidRDefault="002817C2" w:rsidP="00EF3BBB">
      <w:r w:rsidRPr="000D33E4">
        <w:t xml:space="preserve">For the economic stimulus to be effective it needs to satisfy a number of underlying principles: </w:t>
      </w:r>
    </w:p>
    <w:p w14:paraId="5C210EC1" w14:textId="77777777" w:rsidR="00562986" w:rsidRPr="008C3C83" w:rsidRDefault="002817C2" w:rsidP="00B62345">
      <w:pPr>
        <w:pStyle w:val="ListParagraph"/>
      </w:pPr>
      <w:r w:rsidRPr="008C3C83">
        <w:t>First, it must be timely i.e. implemented as early and rapidly as possible in the downturn</w:t>
      </w:r>
      <w:r w:rsidR="00562986" w:rsidRPr="008C3C83">
        <w:t>;</w:t>
      </w:r>
    </w:p>
    <w:p w14:paraId="7B3FD7E7" w14:textId="77777777" w:rsidR="00562986" w:rsidRPr="008C3C83" w:rsidRDefault="002817C2" w:rsidP="005C3D29">
      <w:pPr>
        <w:pStyle w:val="ListParagraph"/>
      </w:pPr>
      <w:r w:rsidRPr="008C3C83">
        <w:t xml:space="preserve">Second, it must </w:t>
      </w:r>
      <w:r w:rsidR="00D26FF7">
        <w:t xml:space="preserve">be </w:t>
      </w:r>
      <w:r w:rsidRPr="008C3C83">
        <w:t>well targeted at individuals and organisations that can spend the money swiftly</w:t>
      </w:r>
      <w:r w:rsidR="00562986" w:rsidRPr="008C3C83">
        <w:t>;</w:t>
      </w:r>
    </w:p>
    <w:p w14:paraId="5B4AB84B" w14:textId="3DE62DE6" w:rsidR="00562986" w:rsidRPr="008C3C83" w:rsidRDefault="002817C2" w:rsidP="002B0D6D">
      <w:pPr>
        <w:pStyle w:val="ListParagraph"/>
      </w:pPr>
      <w:r w:rsidRPr="008C3C83">
        <w:t xml:space="preserve">Third, it must be intentionally bold in size and scope than necessary rather </w:t>
      </w:r>
      <w:r w:rsidR="00EF35FC">
        <w:t xml:space="preserve">than </w:t>
      </w:r>
      <w:r w:rsidRPr="008C3C83">
        <w:t>being small</w:t>
      </w:r>
      <w:r w:rsidR="00562986" w:rsidRPr="008C3C83">
        <w:t>;</w:t>
      </w:r>
    </w:p>
    <w:p w14:paraId="5C8D0D5B" w14:textId="7D80E3C7" w:rsidR="00562986" w:rsidRDefault="00EF35FC" w:rsidP="002B0D6D">
      <w:pPr>
        <w:pStyle w:val="ListParagraph"/>
      </w:pPr>
      <w:r>
        <w:t>Fourth,</w:t>
      </w:r>
      <w:r w:rsidR="002817C2" w:rsidRPr="008C3C83">
        <w:t xml:space="preserve"> the stimulus needs to be temporary in nature to avoid unnecessary deficit and potential overheating of the economy. </w:t>
      </w:r>
    </w:p>
    <w:p w14:paraId="50A27EBD" w14:textId="77777777" w:rsidR="00EF3BBB" w:rsidRPr="00EF3BBB" w:rsidRDefault="00EF3BBB" w:rsidP="00977DF6"/>
    <w:p w14:paraId="2A463C6B" w14:textId="64725592" w:rsidR="002817C2" w:rsidRPr="000D33E4" w:rsidRDefault="002817C2" w:rsidP="009A7F2D">
      <w:r w:rsidRPr="000D33E4">
        <w:t>The extent to which the stimulus satisf</w:t>
      </w:r>
      <w:r w:rsidR="00EF35FC">
        <w:t>ies</w:t>
      </w:r>
      <w:r w:rsidRPr="000D33E4">
        <w:t xml:space="preserve"> these principle</w:t>
      </w:r>
      <w:r w:rsidR="00EF35FC">
        <w:t>s</w:t>
      </w:r>
      <w:r w:rsidRPr="000D33E4">
        <w:t xml:space="preserve"> has a bearing on the</w:t>
      </w:r>
      <w:r w:rsidR="00E91CB0">
        <w:t>ir</w:t>
      </w:r>
      <w:r w:rsidRPr="000D33E4">
        <w:t xml:space="preserve"> precise impact on </w:t>
      </w:r>
      <w:r w:rsidR="00D26FF7">
        <w:t xml:space="preserve">the </w:t>
      </w:r>
      <w:r w:rsidRPr="000D33E4">
        <w:t xml:space="preserve">economy. For instances, tax cuts generally </w:t>
      </w:r>
      <w:r w:rsidR="00E91CB0">
        <w:t xml:space="preserve">induce more </w:t>
      </w:r>
      <w:r w:rsidRPr="000D33E4">
        <w:t xml:space="preserve">growth </w:t>
      </w:r>
      <w:r w:rsidR="000F28B3">
        <w:t xml:space="preserve">among the poor </w:t>
      </w:r>
      <w:r w:rsidR="0054049F">
        <w:t xml:space="preserve">than the rich </w:t>
      </w:r>
      <w:r w:rsidRPr="000D33E4">
        <w:t xml:space="preserve">in the short </w:t>
      </w:r>
      <w:r w:rsidR="00E91CB0">
        <w:t>term</w:t>
      </w:r>
      <w:r w:rsidR="00E91CB0" w:rsidRPr="000D33E4">
        <w:t xml:space="preserve"> </w:t>
      </w:r>
      <w:r w:rsidRPr="000D33E4">
        <w:t xml:space="preserve">because the </w:t>
      </w:r>
      <w:r w:rsidR="00977DF6">
        <w:t>former</w:t>
      </w:r>
      <w:r w:rsidRPr="000D33E4">
        <w:t xml:space="preserve"> tend to spend a large percentage of their income. Similarly, infrastructure spending is </w:t>
      </w:r>
      <w:r w:rsidR="00562986">
        <w:t xml:space="preserve">more </w:t>
      </w:r>
      <w:r w:rsidRPr="000D33E4">
        <w:t>like</w:t>
      </w:r>
      <w:r w:rsidR="00562986">
        <w:t>ly</w:t>
      </w:r>
      <w:r w:rsidRPr="000D33E4">
        <w:t xml:space="preserve"> to bring </w:t>
      </w:r>
      <w:r w:rsidR="00562986">
        <w:t xml:space="preserve">about </w:t>
      </w:r>
      <w:r w:rsidRPr="000D33E4">
        <w:t>long</w:t>
      </w:r>
      <w:r w:rsidR="00562986">
        <w:t>-term</w:t>
      </w:r>
      <w:r w:rsidRPr="000D33E4">
        <w:t xml:space="preserve"> economic benefits than </w:t>
      </w:r>
      <w:r w:rsidR="00562986">
        <w:t xml:space="preserve">a </w:t>
      </w:r>
      <w:r w:rsidRPr="000D33E4">
        <w:t>short</w:t>
      </w:r>
      <w:r w:rsidR="00562986">
        <w:t>-</w:t>
      </w:r>
      <w:r w:rsidRPr="000D33E4">
        <w:t xml:space="preserve">term economic boost due </w:t>
      </w:r>
      <w:r w:rsidR="00562986">
        <w:t xml:space="preserve">to </w:t>
      </w:r>
      <w:r w:rsidRPr="000D33E4">
        <w:t>the long gestation period</w:t>
      </w:r>
      <w:r w:rsidR="00EF3BBB">
        <w:t xml:space="preserve"> of such spending</w:t>
      </w:r>
      <w:r w:rsidRPr="000D33E4">
        <w:t>.</w:t>
      </w:r>
      <w:r w:rsidR="002D39CB">
        <w:t xml:space="preserve"> </w:t>
      </w:r>
    </w:p>
    <w:p w14:paraId="63889EF9" w14:textId="77777777" w:rsidR="002817C2" w:rsidRPr="000D33E4" w:rsidRDefault="002817C2" w:rsidP="002817C2">
      <w:pPr>
        <w:rPr>
          <w:rFonts w:ascii="Times" w:hAnsi="Times"/>
        </w:rPr>
      </w:pPr>
    </w:p>
    <w:p w14:paraId="0B47A8F3" w14:textId="77777777" w:rsidR="002817C2" w:rsidRPr="000D33E4" w:rsidRDefault="002817C2" w:rsidP="00EF3BBB">
      <w:r w:rsidRPr="000D33E4">
        <w:t xml:space="preserve">Some of the policy areas that meet the criteria for effective economic stimulus are: </w:t>
      </w:r>
    </w:p>
    <w:p w14:paraId="57293ABB" w14:textId="77777777" w:rsidR="002817C2" w:rsidRPr="000D33E4" w:rsidRDefault="002817C2" w:rsidP="00EF3BBB">
      <w:pPr>
        <w:pStyle w:val="NormalWeb"/>
        <w:numPr>
          <w:ilvl w:val="0"/>
          <w:numId w:val="7"/>
        </w:numPr>
        <w:shd w:val="clear" w:color="auto" w:fill="FFFFFF"/>
        <w:tabs>
          <w:tab w:val="left" w:pos="8025"/>
        </w:tabs>
        <w:spacing w:before="0" w:beforeAutospacing="0" w:after="0" w:afterAutospacing="0"/>
        <w:ind w:left="567" w:hanging="567"/>
        <w:rPr>
          <w:rFonts w:ascii="Times" w:hAnsi="Times"/>
          <w:color w:val="1A1A1A"/>
        </w:rPr>
      </w:pPr>
      <w:r w:rsidRPr="000D33E4">
        <w:rPr>
          <w:rFonts w:ascii="Times" w:hAnsi="Times"/>
          <w:color w:val="1A1A1A"/>
        </w:rPr>
        <w:t>Augmenting existing unemployment insurance benefits in terms of benefit period and the relief amount</w:t>
      </w:r>
      <w:r w:rsidR="00562986">
        <w:rPr>
          <w:rFonts w:ascii="Times" w:hAnsi="Times"/>
          <w:color w:val="1A1A1A"/>
        </w:rPr>
        <w:t>;</w:t>
      </w:r>
    </w:p>
    <w:p w14:paraId="63BF0A92" w14:textId="77777777" w:rsidR="002817C2" w:rsidRPr="000D33E4" w:rsidRDefault="002817C2" w:rsidP="00EF3BBB">
      <w:pPr>
        <w:pStyle w:val="NormalWeb"/>
        <w:numPr>
          <w:ilvl w:val="0"/>
          <w:numId w:val="7"/>
        </w:numPr>
        <w:shd w:val="clear" w:color="auto" w:fill="FFFFFF"/>
        <w:tabs>
          <w:tab w:val="left" w:pos="8025"/>
        </w:tabs>
        <w:spacing w:before="0" w:beforeAutospacing="0" w:after="0" w:afterAutospacing="0"/>
        <w:ind w:left="567" w:hanging="567"/>
        <w:rPr>
          <w:rFonts w:ascii="Times" w:hAnsi="Times"/>
          <w:color w:val="1A1A1A"/>
        </w:rPr>
      </w:pPr>
      <w:r w:rsidRPr="000D33E4">
        <w:rPr>
          <w:rFonts w:ascii="Times" w:hAnsi="Times"/>
          <w:color w:val="1A1A1A"/>
        </w:rPr>
        <w:t>Providing nutritional support to low income households and the unemployed</w:t>
      </w:r>
      <w:r w:rsidR="00562986">
        <w:rPr>
          <w:rFonts w:ascii="Times" w:hAnsi="Times"/>
          <w:color w:val="1A1A1A"/>
        </w:rPr>
        <w:t>;</w:t>
      </w:r>
    </w:p>
    <w:p w14:paraId="33057FCC" w14:textId="77777777" w:rsidR="002817C2" w:rsidRPr="000D33E4" w:rsidRDefault="002817C2" w:rsidP="00EF3BBB">
      <w:pPr>
        <w:pStyle w:val="NormalWeb"/>
        <w:numPr>
          <w:ilvl w:val="0"/>
          <w:numId w:val="7"/>
        </w:numPr>
        <w:shd w:val="clear" w:color="auto" w:fill="FFFFFF"/>
        <w:tabs>
          <w:tab w:val="left" w:pos="8025"/>
        </w:tabs>
        <w:spacing w:before="0" w:beforeAutospacing="0" w:after="0" w:afterAutospacing="0"/>
        <w:ind w:left="567" w:hanging="567"/>
        <w:rPr>
          <w:rFonts w:ascii="Times" w:hAnsi="Times"/>
          <w:color w:val="1A1A1A"/>
        </w:rPr>
      </w:pPr>
      <w:r w:rsidRPr="000D33E4">
        <w:rPr>
          <w:rFonts w:ascii="Times" w:hAnsi="Times"/>
          <w:color w:val="1A1A1A"/>
        </w:rPr>
        <w:t>Providing fiscal relief to subnational governments through grants in order to maintain service levels</w:t>
      </w:r>
      <w:r w:rsidR="00562986">
        <w:rPr>
          <w:rFonts w:ascii="Times" w:hAnsi="Times"/>
          <w:color w:val="1A1A1A"/>
        </w:rPr>
        <w:t>;</w:t>
      </w:r>
    </w:p>
    <w:p w14:paraId="75047924" w14:textId="77777777" w:rsidR="002817C2" w:rsidRPr="000D33E4" w:rsidRDefault="002817C2" w:rsidP="00EF3BBB">
      <w:pPr>
        <w:pStyle w:val="NormalWeb"/>
        <w:numPr>
          <w:ilvl w:val="0"/>
          <w:numId w:val="7"/>
        </w:numPr>
        <w:shd w:val="clear" w:color="auto" w:fill="FFFFFF"/>
        <w:tabs>
          <w:tab w:val="left" w:pos="8025"/>
        </w:tabs>
        <w:spacing w:before="0" w:beforeAutospacing="0" w:after="0" w:afterAutospacing="0"/>
        <w:ind w:left="567" w:hanging="567"/>
        <w:rPr>
          <w:rFonts w:ascii="Times" w:hAnsi="Times"/>
          <w:color w:val="1A1A1A"/>
        </w:rPr>
      </w:pPr>
      <w:r w:rsidRPr="000D33E4">
        <w:rPr>
          <w:rFonts w:ascii="Times" w:hAnsi="Times"/>
          <w:color w:val="1A1A1A"/>
        </w:rPr>
        <w:t>Provid</w:t>
      </w:r>
      <w:r w:rsidR="00562986">
        <w:rPr>
          <w:rFonts w:ascii="Times" w:hAnsi="Times"/>
          <w:color w:val="1A1A1A"/>
        </w:rPr>
        <w:t>ing</w:t>
      </w:r>
      <w:r w:rsidRPr="000D33E4">
        <w:rPr>
          <w:rFonts w:ascii="Times" w:hAnsi="Times"/>
          <w:color w:val="1A1A1A"/>
        </w:rPr>
        <w:t xml:space="preserve"> direct cash payment to vulnerable households to meet basic needs</w:t>
      </w:r>
      <w:r w:rsidR="00562986">
        <w:rPr>
          <w:rFonts w:ascii="Times" w:hAnsi="Times"/>
          <w:color w:val="1A1A1A"/>
        </w:rPr>
        <w:t>;</w:t>
      </w:r>
    </w:p>
    <w:p w14:paraId="47A85795" w14:textId="77777777" w:rsidR="002817C2" w:rsidRPr="000D33E4" w:rsidRDefault="002817C2" w:rsidP="00EF3BBB">
      <w:pPr>
        <w:pStyle w:val="NormalWeb"/>
        <w:numPr>
          <w:ilvl w:val="0"/>
          <w:numId w:val="7"/>
        </w:numPr>
        <w:shd w:val="clear" w:color="auto" w:fill="FFFFFF"/>
        <w:tabs>
          <w:tab w:val="left" w:pos="8025"/>
        </w:tabs>
        <w:spacing w:before="0" w:beforeAutospacing="0" w:after="0" w:afterAutospacing="0"/>
        <w:ind w:left="567" w:hanging="567"/>
        <w:rPr>
          <w:rFonts w:ascii="Times" w:hAnsi="Times"/>
          <w:color w:val="1A1A1A"/>
        </w:rPr>
      </w:pPr>
      <w:r w:rsidRPr="000D33E4">
        <w:rPr>
          <w:rFonts w:ascii="Times" w:hAnsi="Times"/>
          <w:color w:val="1A1A1A"/>
        </w:rPr>
        <w:t xml:space="preserve">Implementing </w:t>
      </w:r>
      <w:r w:rsidR="00562986">
        <w:rPr>
          <w:rFonts w:ascii="Times" w:hAnsi="Times"/>
          <w:color w:val="1A1A1A"/>
        </w:rPr>
        <w:t xml:space="preserve">a </w:t>
      </w:r>
      <w:r w:rsidRPr="000D33E4">
        <w:rPr>
          <w:rFonts w:ascii="Times" w:hAnsi="Times"/>
          <w:color w:val="1A1A1A"/>
        </w:rPr>
        <w:t>public works program</w:t>
      </w:r>
      <w:r w:rsidR="00562986">
        <w:rPr>
          <w:rFonts w:ascii="Times" w:hAnsi="Times"/>
          <w:color w:val="1A1A1A"/>
        </w:rPr>
        <w:t>me</w:t>
      </w:r>
      <w:r w:rsidRPr="000D33E4">
        <w:rPr>
          <w:rFonts w:ascii="Times" w:hAnsi="Times"/>
          <w:color w:val="1A1A1A"/>
        </w:rPr>
        <w:t xml:space="preserve"> (or subsidised jobs) for unemployed people</w:t>
      </w:r>
      <w:r w:rsidR="00562986">
        <w:rPr>
          <w:rFonts w:ascii="Times" w:hAnsi="Times"/>
          <w:color w:val="1A1A1A"/>
        </w:rPr>
        <w:t>;</w:t>
      </w:r>
      <w:r w:rsidRPr="000D33E4">
        <w:rPr>
          <w:rFonts w:ascii="Times" w:hAnsi="Times"/>
          <w:color w:val="1A1A1A"/>
        </w:rPr>
        <w:t xml:space="preserve"> and</w:t>
      </w:r>
    </w:p>
    <w:p w14:paraId="2034D290" w14:textId="77777777" w:rsidR="002817C2" w:rsidRPr="000D33E4" w:rsidRDefault="002817C2" w:rsidP="00EF3BBB">
      <w:pPr>
        <w:pStyle w:val="NormalWeb"/>
        <w:numPr>
          <w:ilvl w:val="0"/>
          <w:numId w:val="7"/>
        </w:numPr>
        <w:shd w:val="clear" w:color="auto" w:fill="FFFFFF"/>
        <w:tabs>
          <w:tab w:val="left" w:pos="8025"/>
        </w:tabs>
        <w:spacing w:before="0" w:beforeAutospacing="0" w:after="0" w:afterAutospacing="0"/>
        <w:ind w:left="567" w:hanging="567"/>
        <w:rPr>
          <w:rFonts w:ascii="Times" w:hAnsi="Times"/>
          <w:color w:val="1A1A1A"/>
        </w:rPr>
      </w:pPr>
      <w:r w:rsidRPr="000D33E4">
        <w:rPr>
          <w:rFonts w:ascii="Times" w:hAnsi="Times"/>
          <w:color w:val="1A1A1A"/>
        </w:rPr>
        <w:t>Introducing housing assistance measures to prevent drastic increase in eviction and homelessness.</w:t>
      </w:r>
    </w:p>
    <w:p w14:paraId="257E9337" w14:textId="77777777" w:rsidR="00562986" w:rsidRDefault="00562986" w:rsidP="00C52EBD"/>
    <w:p w14:paraId="03E2619A" w14:textId="374ED95C" w:rsidR="002817C2" w:rsidRPr="000D33E4" w:rsidRDefault="002817C2" w:rsidP="009A7F2D">
      <w:r w:rsidRPr="000D33E4">
        <w:t>The government has introduced a range of fiscal and monetary policy intervention</w:t>
      </w:r>
      <w:r w:rsidR="00562986">
        <w:t>s</w:t>
      </w:r>
      <w:r w:rsidRPr="000D33E4">
        <w:t xml:space="preserve"> to address the faltering effect of Covid-19 on the economy. According to the National Treasury the intervention amounts to R1 trillion</w:t>
      </w:r>
      <w:r w:rsidR="00562986">
        <w:t>,</w:t>
      </w:r>
      <w:r w:rsidRPr="000D33E4">
        <w:t xml:space="preserve"> consisting of R500 billion in fiscal support and R500 billion </w:t>
      </w:r>
      <w:r w:rsidR="00E827B9">
        <w:t>in</w:t>
      </w:r>
      <w:r w:rsidRPr="000D33E4">
        <w:t xml:space="preserve"> monetary and financial market interventions. The fiscal intervention alone is equivalent to 10</w:t>
      </w:r>
      <w:r w:rsidR="00562986">
        <w:t xml:space="preserve"> per cent</w:t>
      </w:r>
      <w:r w:rsidRPr="000D33E4">
        <w:t xml:space="preserve"> of GDP and purportedly larger than the economic interventions seen in </w:t>
      </w:r>
      <w:r w:rsidR="00011AA3">
        <w:t xml:space="preserve">the </w:t>
      </w:r>
      <w:r w:rsidRPr="000D33E4">
        <w:t xml:space="preserve">developed and developing G20 countries. </w:t>
      </w:r>
    </w:p>
    <w:p w14:paraId="1EC70266" w14:textId="77777777" w:rsidR="002817C2" w:rsidRPr="000D33E4" w:rsidRDefault="002817C2" w:rsidP="002817C2">
      <w:pPr>
        <w:pStyle w:val="NormalWeb"/>
        <w:shd w:val="clear" w:color="auto" w:fill="FFFFFF"/>
        <w:tabs>
          <w:tab w:val="left" w:pos="8025"/>
        </w:tabs>
        <w:spacing w:before="0" w:beforeAutospacing="0" w:after="0" w:afterAutospacing="0"/>
        <w:rPr>
          <w:rFonts w:ascii="Times" w:hAnsi="Times"/>
          <w:b/>
          <w:color w:val="1A1A1A"/>
        </w:rPr>
      </w:pPr>
    </w:p>
    <w:p w14:paraId="53B3D866" w14:textId="1A1AC3C6" w:rsidR="002817C2" w:rsidRPr="001F2E28" w:rsidRDefault="002817C2" w:rsidP="00556D9C">
      <w:pPr>
        <w:pStyle w:val="NormalWeb"/>
        <w:keepNext/>
        <w:shd w:val="clear" w:color="auto" w:fill="FFFFFF"/>
        <w:tabs>
          <w:tab w:val="left" w:pos="8025"/>
        </w:tabs>
        <w:spacing w:before="0" w:beforeAutospacing="0" w:after="0" w:afterAutospacing="0"/>
        <w:rPr>
          <w:rFonts w:ascii="Times" w:hAnsi="Times"/>
          <w:bCs/>
          <w:color w:val="004C45" w:themeColor="text2"/>
        </w:rPr>
      </w:pPr>
      <w:bookmarkStart w:id="76" w:name="_Toc40897049"/>
      <w:bookmarkStart w:id="77" w:name="_Toc42211443"/>
      <w:r w:rsidRPr="001F2E28">
        <w:rPr>
          <w:rFonts w:ascii="Times" w:hAnsi="Times"/>
          <w:bCs/>
          <w:color w:val="004C45" w:themeColor="text2"/>
        </w:rPr>
        <w:t xml:space="preserve">Figure </w:t>
      </w:r>
      <w:r w:rsidRPr="001F2E28">
        <w:rPr>
          <w:rFonts w:ascii="Times" w:hAnsi="Times"/>
          <w:bCs/>
          <w:color w:val="004C45" w:themeColor="text2"/>
        </w:rPr>
        <w:fldChar w:fldCharType="begin"/>
      </w:r>
      <w:r w:rsidRPr="001F2E28">
        <w:rPr>
          <w:rFonts w:ascii="Times" w:hAnsi="Times"/>
          <w:bCs/>
          <w:color w:val="004C45" w:themeColor="text2"/>
        </w:rPr>
        <w:instrText xml:space="preserve"> SEQ Figure \* ARABIC </w:instrText>
      </w:r>
      <w:r w:rsidRPr="001F2E28">
        <w:rPr>
          <w:rFonts w:ascii="Times" w:hAnsi="Times"/>
          <w:bCs/>
          <w:color w:val="004C45" w:themeColor="text2"/>
        </w:rPr>
        <w:fldChar w:fldCharType="separate"/>
      </w:r>
      <w:r w:rsidR="00835259" w:rsidRPr="001F2E28">
        <w:rPr>
          <w:rFonts w:ascii="Times" w:hAnsi="Times"/>
          <w:bCs/>
          <w:noProof/>
          <w:color w:val="004C45" w:themeColor="text2"/>
        </w:rPr>
        <w:t>11</w:t>
      </w:r>
      <w:r w:rsidRPr="001F2E28">
        <w:rPr>
          <w:rFonts w:ascii="Times" w:hAnsi="Times"/>
          <w:bCs/>
          <w:color w:val="004C45" w:themeColor="text2"/>
        </w:rPr>
        <w:fldChar w:fldCharType="end"/>
      </w:r>
      <w:r w:rsidR="00562986" w:rsidRPr="001F2E28">
        <w:rPr>
          <w:rFonts w:ascii="Times" w:hAnsi="Times"/>
          <w:bCs/>
          <w:color w:val="004C45" w:themeColor="text2"/>
        </w:rPr>
        <w:t>:</w:t>
      </w:r>
      <w:r w:rsidRPr="001F2E28">
        <w:rPr>
          <w:rFonts w:ascii="Times" w:hAnsi="Times"/>
          <w:bCs/>
          <w:color w:val="004C45" w:themeColor="text2"/>
        </w:rPr>
        <w:t xml:space="preserve"> Covid-19 fiscal intervention in G20 countries as a </w:t>
      </w:r>
      <w:r w:rsidR="00562986" w:rsidRPr="001F2E28">
        <w:rPr>
          <w:rFonts w:ascii="Times" w:hAnsi="Times"/>
          <w:bCs/>
          <w:color w:val="004C45" w:themeColor="text2"/>
        </w:rPr>
        <w:t>percentage</w:t>
      </w:r>
      <w:r w:rsidRPr="001F2E28">
        <w:rPr>
          <w:rFonts w:ascii="Times" w:hAnsi="Times"/>
          <w:bCs/>
          <w:color w:val="004C45" w:themeColor="text2"/>
        </w:rPr>
        <w:t xml:space="preserve"> of GDP – April 2020</w:t>
      </w:r>
      <w:bookmarkEnd w:id="76"/>
      <w:bookmarkEnd w:id="77"/>
    </w:p>
    <w:p w14:paraId="358196A0" w14:textId="77777777" w:rsidR="002817C2" w:rsidRDefault="002817C2" w:rsidP="00562986">
      <w:pPr>
        <w:pStyle w:val="Caption"/>
        <w:keepNext/>
        <w:jc w:val="right"/>
        <w:rPr>
          <w:rFonts w:ascii="Times" w:hAnsi="Times"/>
        </w:rPr>
      </w:pPr>
      <w:r w:rsidRPr="000D33E4">
        <w:rPr>
          <w:rFonts w:ascii="Times" w:hAnsi="Times"/>
          <w:noProof/>
          <w:color w:val="1A1A1A"/>
          <w:lang w:eastAsia="en-ZA"/>
        </w:rPr>
        <w:drawing>
          <wp:inline distT="0" distB="0" distL="0" distR="0" wp14:anchorId="08785E72" wp14:editId="0CCBE574">
            <wp:extent cx="6044565" cy="2308634"/>
            <wp:effectExtent l="0" t="0" r="13335" b="15875"/>
            <wp:docPr id="26" name="Chart 26">
              <a:extLst xmlns:a="http://schemas.openxmlformats.org/drawingml/2006/main">
                <a:ext uri="{FF2B5EF4-FFF2-40B4-BE49-F238E27FC236}">
                  <a16:creationId xmlns:a16="http://schemas.microsoft.com/office/drawing/2014/main" id="{9A1E1186-CF55-4CF7-BDBF-63FC2DE8578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477C3C3C" w14:textId="77777777" w:rsidR="00562986" w:rsidRPr="009A7F2D" w:rsidRDefault="00562986" w:rsidP="009A7F2D">
      <w:pPr>
        <w:rPr>
          <w:i/>
          <w:iCs/>
        </w:rPr>
      </w:pPr>
      <w:r w:rsidRPr="009A7F2D">
        <w:rPr>
          <w:i/>
          <w:iCs/>
          <w:sz w:val="20"/>
          <w:szCs w:val="20"/>
        </w:rPr>
        <w:t>Source: IMF</w:t>
      </w:r>
    </w:p>
    <w:p w14:paraId="041FA7E9" w14:textId="77777777" w:rsidR="0073731A" w:rsidRPr="000D33E4" w:rsidRDefault="0073731A" w:rsidP="00D449D8">
      <w:pPr>
        <w:ind w:left="567"/>
      </w:pPr>
    </w:p>
    <w:p w14:paraId="4D794E84" w14:textId="526EDB92" w:rsidR="002817C2" w:rsidRPr="000D33E4" w:rsidRDefault="00562986" w:rsidP="009A7F2D">
      <w:r w:rsidRPr="009A7F2D">
        <w:rPr>
          <w:rFonts w:ascii="Times" w:hAnsi="Times"/>
        </w:rPr>
        <w:fldChar w:fldCharType="begin"/>
      </w:r>
      <w:r w:rsidRPr="009A7F2D">
        <w:rPr>
          <w:rFonts w:ascii="Times" w:hAnsi="Times"/>
        </w:rPr>
        <w:instrText xml:space="preserve"> REF _Ref40882513 \h </w:instrText>
      </w:r>
      <w:r>
        <w:rPr>
          <w:rFonts w:ascii="Times" w:hAnsi="Times"/>
        </w:rPr>
        <w:instrText xml:space="preserve"> \* MERGEFORMAT </w:instrText>
      </w:r>
      <w:r w:rsidRPr="009A7F2D">
        <w:rPr>
          <w:rFonts w:ascii="Times" w:hAnsi="Times"/>
        </w:rPr>
      </w:r>
      <w:r w:rsidRPr="009A7F2D">
        <w:rPr>
          <w:rFonts w:ascii="Times" w:hAnsi="Times"/>
        </w:rPr>
        <w:fldChar w:fldCharType="separate"/>
      </w:r>
      <w:r w:rsidRPr="00562986">
        <w:rPr>
          <w:rFonts w:ascii="Times" w:hAnsi="Times"/>
        </w:rPr>
        <w:t xml:space="preserve">Table </w:t>
      </w:r>
      <w:r w:rsidRPr="00562986">
        <w:rPr>
          <w:rFonts w:ascii="Times" w:hAnsi="Times"/>
          <w:noProof/>
        </w:rPr>
        <w:t>8</w:t>
      </w:r>
      <w:r w:rsidRPr="009A7F2D">
        <w:rPr>
          <w:rFonts w:ascii="Times" w:hAnsi="Times"/>
        </w:rPr>
        <w:fldChar w:fldCharType="end"/>
      </w:r>
      <w:r w:rsidR="002817C2" w:rsidRPr="009A7F2D">
        <w:rPr>
          <w:rFonts w:ascii="Times" w:hAnsi="Times"/>
        </w:rPr>
        <w:t xml:space="preserve"> </w:t>
      </w:r>
      <w:r w:rsidR="002817C2" w:rsidRPr="000D33E4">
        <w:t xml:space="preserve">gives a breakdown of the fiscal response package. As can be seen the fiscal response </w:t>
      </w:r>
      <w:r w:rsidR="00011AA3">
        <w:t xml:space="preserve">package </w:t>
      </w:r>
      <w:r w:rsidR="002817C2" w:rsidRPr="000D33E4">
        <w:t>comprise</w:t>
      </w:r>
      <w:r w:rsidR="00834A18">
        <w:t>s</w:t>
      </w:r>
      <w:r w:rsidR="00011AA3">
        <w:t xml:space="preserve"> </w:t>
      </w:r>
      <w:r w:rsidR="002817C2" w:rsidRPr="000D33E4">
        <w:t>a combination of sub</w:t>
      </w:r>
      <w:r w:rsidR="00834A18">
        <w:t xml:space="preserve"> </w:t>
      </w:r>
      <w:r w:rsidR="002817C2" w:rsidRPr="000D33E4">
        <w:t xml:space="preserve">national relief transfers, cash grants, employment preservation and credit extensions to support private sector activity both for the formal and informal sector. </w:t>
      </w:r>
    </w:p>
    <w:p w14:paraId="41C5F29F" w14:textId="77777777" w:rsidR="002817C2" w:rsidRPr="000D33E4" w:rsidRDefault="002817C2" w:rsidP="00D449D8">
      <w:pPr>
        <w:ind w:left="567"/>
      </w:pPr>
    </w:p>
    <w:p w14:paraId="61F9A157" w14:textId="6B0771D3" w:rsidR="002817C2" w:rsidRPr="009A7F2D" w:rsidRDefault="002817C2" w:rsidP="006E55A9">
      <w:pPr>
        <w:pStyle w:val="Caption"/>
        <w:keepNext/>
        <w:spacing w:after="60"/>
        <w:rPr>
          <w:rFonts w:ascii="Times" w:hAnsi="Times"/>
          <w:color w:val="004C45" w:themeColor="text2"/>
          <w:sz w:val="24"/>
          <w:szCs w:val="24"/>
        </w:rPr>
      </w:pPr>
      <w:bookmarkStart w:id="78" w:name="_Ref40882513"/>
      <w:bookmarkStart w:id="79" w:name="_Toc42212137"/>
      <w:r w:rsidRPr="009A7F2D">
        <w:rPr>
          <w:rFonts w:ascii="Times" w:hAnsi="Times"/>
          <w:color w:val="004C45" w:themeColor="text2"/>
          <w:sz w:val="24"/>
          <w:szCs w:val="24"/>
        </w:rPr>
        <w:t xml:space="preserve">Table </w:t>
      </w:r>
      <w:r w:rsidRPr="009A7F2D">
        <w:rPr>
          <w:rFonts w:ascii="Times" w:hAnsi="Times"/>
          <w:color w:val="004C45" w:themeColor="text2"/>
          <w:sz w:val="24"/>
          <w:szCs w:val="24"/>
        </w:rPr>
        <w:fldChar w:fldCharType="begin"/>
      </w:r>
      <w:r w:rsidRPr="009A7F2D">
        <w:rPr>
          <w:rFonts w:ascii="Times" w:hAnsi="Times"/>
          <w:color w:val="004C45" w:themeColor="text2"/>
          <w:sz w:val="24"/>
          <w:szCs w:val="24"/>
        </w:rPr>
        <w:instrText xml:space="preserve"> SEQ Table \* ARABIC </w:instrText>
      </w:r>
      <w:r w:rsidRPr="009A7F2D">
        <w:rPr>
          <w:rFonts w:ascii="Times" w:hAnsi="Times"/>
          <w:color w:val="004C45" w:themeColor="text2"/>
          <w:sz w:val="24"/>
          <w:szCs w:val="24"/>
        </w:rPr>
        <w:fldChar w:fldCharType="separate"/>
      </w:r>
      <w:r w:rsidR="00492893">
        <w:rPr>
          <w:rFonts w:ascii="Times" w:hAnsi="Times"/>
          <w:noProof/>
          <w:color w:val="004C45" w:themeColor="text2"/>
          <w:sz w:val="24"/>
          <w:szCs w:val="24"/>
        </w:rPr>
        <w:t>9</w:t>
      </w:r>
      <w:r w:rsidRPr="009A7F2D">
        <w:rPr>
          <w:rFonts w:ascii="Times" w:hAnsi="Times"/>
          <w:color w:val="004C45" w:themeColor="text2"/>
          <w:sz w:val="24"/>
          <w:szCs w:val="24"/>
        </w:rPr>
        <w:fldChar w:fldCharType="end"/>
      </w:r>
      <w:bookmarkEnd w:id="78"/>
      <w:r w:rsidR="00556D9C">
        <w:rPr>
          <w:rFonts w:ascii="Times" w:hAnsi="Times"/>
          <w:color w:val="004C45" w:themeColor="text2"/>
          <w:sz w:val="24"/>
          <w:szCs w:val="24"/>
        </w:rPr>
        <w:t>:</w:t>
      </w:r>
      <w:r w:rsidRPr="009A7F2D">
        <w:rPr>
          <w:rFonts w:ascii="Times" w:hAnsi="Times"/>
          <w:color w:val="004C45" w:themeColor="text2"/>
          <w:sz w:val="24"/>
          <w:szCs w:val="24"/>
        </w:rPr>
        <w:t xml:space="preserve"> Breakdown of Covid-19 </w:t>
      </w:r>
      <w:r w:rsidR="00556D9C">
        <w:rPr>
          <w:rFonts w:ascii="Times" w:hAnsi="Times"/>
          <w:color w:val="004C45" w:themeColor="text2"/>
          <w:sz w:val="24"/>
          <w:szCs w:val="24"/>
        </w:rPr>
        <w:t>f</w:t>
      </w:r>
      <w:r w:rsidRPr="009A7F2D">
        <w:rPr>
          <w:rFonts w:ascii="Times" w:hAnsi="Times"/>
          <w:color w:val="004C45" w:themeColor="text2"/>
          <w:sz w:val="24"/>
          <w:szCs w:val="24"/>
        </w:rPr>
        <w:t>iscal response package</w:t>
      </w:r>
      <w:bookmarkEnd w:id="79"/>
    </w:p>
    <w:tbl>
      <w:tblPr>
        <w:tblStyle w:val="TableGrid"/>
        <w:tblW w:w="9776" w:type="dxa"/>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Look w:val="04A0" w:firstRow="1" w:lastRow="0" w:firstColumn="1" w:lastColumn="0" w:noHBand="0" w:noVBand="1"/>
      </w:tblPr>
      <w:tblGrid>
        <w:gridCol w:w="7093"/>
        <w:gridCol w:w="2683"/>
      </w:tblGrid>
      <w:tr w:rsidR="002817C2" w:rsidRPr="000D33E4" w14:paraId="172C3BF8" w14:textId="77777777" w:rsidTr="0000237A">
        <w:tc>
          <w:tcPr>
            <w:tcW w:w="7093" w:type="dxa"/>
            <w:shd w:val="clear" w:color="auto" w:fill="FFFFFF" w:themeFill="background1"/>
          </w:tcPr>
          <w:p w14:paraId="40AF6FCE" w14:textId="77777777" w:rsidR="002817C2" w:rsidRPr="009A7F2D" w:rsidRDefault="002817C2" w:rsidP="001141B3">
            <w:pPr>
              <w:pStyle w:val="NormalWeb"/>
              <w:rPr>
                <w:rFonts w:ascii="Times" w:hAnsi="Times"/>
                <w:b/>
                <w:color w:val="1A1A1A"/>
                <w:sz w:val="20"/>
                <w:szCs w:val="20"/>
              </w:rPr>
            </w:pPr>
            <w:r w:rsidRPr="009A7F2D">
              <w:rPr>
                <w:rFonts w:ascii="Times" w:hAnsi="Times"/>
                <w:b/>
                <w:color w:val="1A1A1A"/>
                <w:sz w:val="20"/>
                <w:szCs w:val="20"/>
              </w:rPr>
              <w:t>Expenditure</w:t>
            </w:r>
          </w:p>
        </w:tc>
        <w:tc>
          <w:tcPr>
            <w:tcW w:w="2683" w:type="dxa"/>
            <w:shd w:val="clear" w:color="auto" w:fill="FFFFFF" w:themeFill="background1"/>
          </w:tcPr>
          <w:p w14:paraId="25610C93" w14:textId="77777777" w:rsidR="002817C2" w:rsidRPr="009A7F2D" w:rsidRDefault="002817C2" w:rsidP="00702661">
            <w:pPr>
              <w:pStyle w:val="NormalWeb"/>
              <w:jc w:val="center"/>
              <w:rPr>
                <w:rFonts w:ascii="Times" w:hAnsi="Times"/>
                <w:b/>
                <w:color w:val="1A1A1A"/>
                <w:sz w:val="20"/>
                <w:szCs w:val="20"/>
              </w:rPr>
            </w:pPr>
            <w:r w:rsidRPr="009A7F2D">
              <w:rPr>
                <w:rFonts w:ascii="Times" w:hAnsi="Times"/>
                <w:b/>
                <w:color w:val="1A1A1A"/>
                <w:sz w:val="20"/>
                <w:szCs w:val="20"/>
              </w:rPr>
              <w:t>Amount (R billion)</w:t>
            </w:r>
          </w:p>
        </w:tc>
      </w:tr>
      <w:tr w:rsidR="002817C2" w:rsidRPr="000D33E4" w14:paraId="03EB8A5E" w14:textId="77777777" w:rsidTr="0000237A">
        <w:tc>
          <w:tcPr>
            <w:tcW w:w="7093" w:type="dxa"/>
          </w:tcPr>
          <w:p w14:paraId="17056766" w14:textId="77777777" w:rsidR="002817C2" w:rsidRPr="009A7F2D" w:rsidRDefault="002817C2" w:rsidP="001141B3">
            <w:pPr>
              <w:pStyle w:val="NormalWeb"/>
              <w:rPr>
                <w:rFonts w:ascii="Times" w:hAnsi="Times"/>
                <w:color w:val="1A1A1A"/>
                <w:sz w:val="20"/>
                <w:szCs w:val="20"/>
              </w:rPr>
            </w:pPr>
            <w:r w:rsidRPr="009A7F2D">
              <w:rPr>
                <w:rFonts w:ascii="Times" w:hAnsi="Times"/>
                <w:color w:val="1A1A1A"/>
                <w:sz w:val="20"/>
                <w:szCs w:val="20"/>
              </w:rPr>
              <w:t>Health – Covid-19 intervention</w:t>
            </w:r>
          </w:p>
        </w:tc>
        <w:tc>
          <w:tcPr>
            <w:tcW w:w="2683" w:type="dxa"/>
          </w:tcPr>
          <w:p w14:paraId="455C606A" w14:textId="77777777" w:rsidR="002817C2" w:rsidRPr="009A7F2D" w:rsidRDefault="002817C2" w:rsidP="00834A18">
            <w:pPr>
              <w:pStyle w:val="NormalWeb"/>
              <w:jc w:val="center"/>
              <w:rPr>
                <w:rFonts w:ascii="Times" w:hAnsi="Times"/>
                <w:color w:val="1A1A1A"/>
                <w:sz w:val="20"/>
                <w:szCs w:val="20"/>
              </w:rPr>
            </w:pPr>
            <w:r w:rsidRPr="009A7F2D">
              <w:rPr>
                <w:rFonts w:ascii="Times" w:hAnsi="Times"/>
                <w:color w:val="1A1A1A"/>
                <w:sz w:val="20"/>
                <w:szCs w:val="20"/>
              </w:rPr>
              <w:t>R20</w:t>
            </w:r>
          </w:p>
        </w:tc>
      </w:tr>
      <w:tr w:rsidR="002817C2" w:rsidRPr="000D33E4" w14:paraId="6DBCA0BF" w14:textId="77777777" w:rsidTr="0000237A">
        <w:tc>
          <w:tcPr>
            <w:tcW w:w="7093" w:type="dxa"/>
          </w:tcPr>
          <w:p w14:paraId="7E27F30A" w14:textId="77777777" w:rsidR="002817C2" w:rsidRPr="009A7F2D" w:rsidRDefault="002817C2" w:rsidP="001141B3">
            <w:pPr>
              <w:pStyle w:val="NormalWeb"/>
              <w:rPr>
                <w:rFonts w:ascii="Times" w:hAnsi="Times"/>
                <w:color w:val="1A1A1A"/>
                <w:sz w:val="20"/>
                <w:szCs w:val="20"/>
              </w:rPr>
            </w:pPr>
            <w:r w:rsidRPr="009A7F2D">
              <w:rPr>
                <w:rFonts w:ascii="Times" w:hAnsi="Times"/>
                <w:color w:val="1A1A1A"/>
                <w:sz w:val="20"/>
                <w:szCs w:val="20"/>
              </w:rPr>
              <w:t>Municipal allocation</w:t>
            </w:r>
          </w:p>
        </w:tc>
        <w:tc>
          <w:tcPr>
            <w:tcW w:w="2683" w:type="dxa"/>
          </w:tcPr>
          <w:p w14:paraId="5DA3BDFE" w14:textId="77777777" w:rsidR="002817C2" w:rsidRPr="009A7F2D" w:rsidRDefault="002817C2" w:rsidP="00834A18">
            <w:pPr>
              <w:pStyle w:val="NormalWeb"/>
              <w:jc w:val="center"/>
              <w:rPr>
                <w:rFonts w:ascii="Times" w:hAnsi="Times"/>
                <w:color w:val="1A1A1A"/>
                <w:sz w:val="20"/>
                <w:szCs w:val="20"/>
              </w:rPr>
            </w:pPr>
            <w:r w:rsidRPr="009A7F2D">
              <w:rPr>
                <w:rFonts w:ascii="Times" w:hAnsi="Times"/>
                <w:color w:val="1A1A1A"/>
                <w:sz w:val="20"/>
                <w:szCs w:val="20"/>
              </w:rPr>
              <w:t>R20</w:t>
            </w:r>
          </w:p>
        </w:tc>
      </w:tr>
      <w:tr w:rsidR="002817C2" w:rsidRPr="000D33E4" w14:paraId="42F2C825" w14:textId="77777777" w:rsidTr="0000237A">
        <w:tc>
          <w:tcPr>
            <w:tcW w:w="7093" w:type="dxa"/>
          </w:tcPr>
          <w:p w14:paraId="786FB9AB" w14:textId="77777777" w:rsidR="002817C2" w:rsidRPr="009A7F2D" w:rsidRDefault="002817C2" w:rsidP="001141B3">
            <w:pPr>
              <w:pStyle w:val="NormalWeb"/>
              <w:rPr>
                <w:rFonts w:ascii="Times" w:hAnsi="Times"/>
                <w:color w:val="1A1A1A"/>
                <w:sz w:val="20"/>
                <w:szCs w:val="20"/>
              </w:rPr>
            </w:pPr>
            <w:r w:rsidRPr="009A7F2D">
              <w:rPr>
                <w:rFonts w:ascii="Times" w:hAnsi="Times"/>
                <w:color w:val="1A1A1A"/>
                <w:sz w:val="20"/>
                <w:szCs w:val="20"/>
              </w:rPr>
              <w:t>Social and basic income grant</w:t>
            </w:r>
          </w:p>
        </w:tc>
        <w:tc>
          <w:tcPr>
            <w:tcW w:w="2683" w:type="dxa"/>
          </w:tcPr>
          <w:p w14:paraId="7132BFBE" w14:textId="77777777" w:rsidR="002817C2" w:rsidRPr="009A7F2D" w:rsidRDefault="002817C2" w:rsidP="00834A18">
            <w:pPr>
              <w:pStyle w:val="NormalWeb"/>
              <w:jc w:val="center"/>
              <w:rPr>
                <w:rFonts w:ascii="Times" w:hAnsi="Times"/>
                <w:color w:val="1A1A1A"/>
                <w:sz w:val="20"/>
                <w:szCs w:val="20"/>
              </w:rPr>
            </w:pPr>
            <w:r w:rsidRPr="009A7F2D">
              <w:rPr>
                <w:rFonts w:ascii="Times" w:hAnsi="Times"/>
                <w:color w:val="1A1A1A"/>
                <w:sz w:val="20"/>
                <w:szCs w:val="20"/>
              </w:rPr>
              <w:t>R50</w:t>
            </w:r>
          </w:p>
        </w:tc>
      </w:tr>
      <w:tr w:rsidR="002817C2" w:rsidRPr="000D33E4" w14:paraId="17294C6F" w14:textId="77777777" w:rsidTr="0000237A">
        <w:tc>
          <w:tcPr>
            <w:tcW w:w="7093" w:type="dxa"/>
          </w:tcPr>
          <w:p w14:paraId="76F51179" w14:textId="01EA4B28" w:rsidR="002817C2" w:rsidRPr="009A7F2D" w:rsidRDefault="002817C2" w:rsidP="001141B3">
            <w:pPr>
              <w:pStyle w:val="NormalWeb"/>
              <w:rPr>
                <w:rFonts w:ascii="Times" w:hAnsi="Times"/>
                <w:color w:val="1A1A1A"/>
                <w:sz w:val="20"/>
                <w:szCs w:val="20"/>
              </w:rPr>
            </w:pPr>
            <w:r w:rsidRPr="009A7F2D">
              <w:rPr>
                <w:rFonts w:ascii="Times" w:hAnsi="Times"/>
                <w:color w:val="1A1A1A"/>
                <w:sz w:val="20"/>
                <w:szCs w:val="20"/>
              </w:rPr>
              <w:t xml:space="preserve">Job creation and support for SMEs and </w:t>
            </w:r>
            <w:r w:rsidR="00F9541D">
              <w:rPr>
                <w:rFonts w:ascii="Times" w:hAnsi="Times"/>
                <w:color w:val="1A1A1A"/>
                <w:sz w:val="20"/>
                <w:szCs w:val="20"/>
              </w:rPr>
              <w:t>i</w:t>
            </w:r>
            <w:r w:rsidRPr="009A7F2D">
              <w:rPr>
                <w:rFonts w:ascii="Times" w:hAnsi="Times"/>
                <w:color w:val="1A1A1A"/>
                <w:sz w:val="20"/>
                <w:szCs w:val="20"/>
              </w:rPr>
              <w:t>nformal sector</w:t>
            </w:r>
          </w:p>
        </w:tc>
        <w:tc>
          <w:tcPr>
            <w:tcW w:w="2683" w:type="dxa"/>
          </w:tcPr>
          <w:p w14:paraId="32AC4D96" w14:textId="77777777" w:rsidR="002817C2" w:rsidRPr="009A7F2D" w:rsidRDefault="002817C2" w:rsidP="00834A18">
            <w:pPr>
              <w:pStyle w:val="NormalWeb"/>
              <w:jc w:val="center"/>
              <w:rPr>
                <w:rFonts w:ascii="Times" w:hAnsi="Times"/>
                <w:color w:val="1A1A1A"/>
                <w:sz w:val="20"/>
                <w:szCs w:val="20"/>
              </w:rPr>
            </w:pPr>
            <w:r w:rsidRPr="009A7F2D">
              <w:rPr>
                <w:rFonts w:ascii="Times" w:hAnsi="Times"/>
                <w:color w:val="1A1A1A"/>
                <w:sz w:val="20"/>
                <w:szCs w:val="20"/>
              </w:rPr>
              <w:t>R100</w:t>
            </w:r>
          </w:p>
        </w:tc>
      </w:tr>
      <w:tr w:rsidR="002817C2" w:rsidRPr="000D33E4" w14:paraId="1FE163D4" w14:textId="77777777" w:rsidTr="0000237A">
        <w:tc>
          <w:tcPr>
            <w:tcW w:w="7093" w:type="dxa"/>
          </w:tcPr>
          <w:p w14:paraId="2666091B" w14:textId="77777777" w:rsidR="002817C2" w:rsidRPr="009A7F2D" w:rsidRDefault="002817C2" w:rsidP="001141B3">
            <w:pPr>
              <w:pStyle w:val="NormalWeb"/>
              <w:rPr>
                <w:rFonts w:ascii="Times" w:hAnsi="Times"/>
                <w:color w:val="1A1A1A"/>
                <w:sz w:val="20"/>
                <w:szCs w:val="20"/>
              </w:rPr>
            </w:pPr>
            <w:r w:rsidRPr="009A7F2D">
              <w:rPr>
                <w:rFonts w:ascii="Times" w:hAnsi="Times"/>
                <w:color w:val="1A1A1A"/>
                <w:sz w:val="20"/>
                <w:szCs w:val="20"/>
              </w:rPr>
              <w:t>Salary income support (UIF)</w:t>
            </w:r>
          </w:p>
        </w:tc>
        <w:tc>
          <w:tcPr>
            <w:tcW w:w="2683" w:type="dxa"/>
          </w:tcPr>
          <w:p w14:paraId="33780EED" w14:textId="77777777" w:rsidR="002817C2" w:rsidRPr="009A7F2D" w:rsidRDefault="002817C2" w:rsidP="00834A18">
            <w:pPr>
              <w:pStyle w:val="NormalWeb"/>
              <w:jc w:val="center"/>
              <w:rPr>
                <w:rFonts w:ascii="Times" w:hAnsi="Times"/>
                <w:color w:val="1A1A1A"/>
                <w:sz w:val="20"/>
                <w:szCs w:val="20"/>
              </w:rPr>
            </w:pPr>
            <w:r w:rsidRPr="009A7F2D">
              <w:rPr>
                <w:rFonts w:ascii="Times" w:hAnsi="Times"/>
                <w:color w:val="1A1A1A"/>
                <w:sz w:val="20"/>
                <w:szCs w:val="20"/>
              </w:rPr>
              <w:t>R40</w:t>
            </w:r>
          </w:p>
        </w:tc>
      </w:tr>
      <w:tr w:rsidR="002817C2" w:rsidRPr="000D33E4" w14:paraId="21E0A3B2" w14:textId="77777777" w:rsidTr="0000237A">
        <w:tc>
          <w:tcPr>
            <w:tcW w:w="7093" w:type="dxa"/>
          </w:tcPr>
          <w:p w14:paraId="24BF8BAB" w14:textId="77777777" w:rsidR="002817C2" w:rsidRPr="009A7F2D" w:rsidRDefault="002817C2" w:rsidP="001141B3">
            <w:pPr>
              <w:pStyle w:val="NormalWeb"/>
              <w:rPr>
                <w:rFonts w:ascii="Times" w:hAnsi="Times"/>
                <w:color w:val="1A1A1A"/>
                <w:sz w:val="20"/>
                <w:szCs w:val="20"/>
              </w:rPr>
            </w:pPr>
            <w:r w:rsidRPr="009A7F2D">
              <w:rPr>
                <w:rFonts w:ascii="Times" w:hAnsi="Times"/>
                <w:color w:val="1A1A1A"/>
                <w:sz w:val="20"/>
                <w:szCs w:val="20"/>
              </w:rPr>
              <w:t>Tax relief</w:t>
            </w:r>
          </w:p>
        </w:tc>
        <w:tc>
          <w:tcPr>
            <w:tcW w:w="2683" w:type="dxa"/>
          </w:tcPr>
          <w:p w14:paraId="635DD5D1" w14:textId="77777777" w:rsidR="002817C2" w:rsidRPr="009A7F2D" w:rsidRDefault="002817C2" w:rsidP="00834A18">
            <w:pPr>
              <w:pStyle w:val="NormalWeb"/>
              <w:jc w:val="center"/>
              <w:rPr>
                <w:rFonts w:ascii="Times" w:hAnsi="Times"/>
                <w:color w:val="1A1A1A"/>
                <w:sz w:val="20"/>
                <w:szCs w:val="20"/>
              </w:rPr>
            </w:pPr>
            <w:r w:rsidRPr="009A7F2D">
              <w:rPr>
                <w:rFonts w:ascii="Times" w:hAnsi="Times"/>
                <w:color w:val="1A1A1A"/>
                <w:sz w:val="20"/>
                <w:szCs w:val="20"/>
              </w:rPr>
              <w:t>R70</w:t>
            </w:r>
          </w:p>
        </w:tc>
      </w:tr>
      <w:tr w:rsidR="002817C2" w:rsidRPr="000D33E4" w14:paraId="144CF97A" w14:textId="77777777" w:rsidTr="0000237A">
        <w:tc>
          <w:tcPr>
            <w:tcW w:w="7093" w:type="dxa"/>
          </w:tcPr>
          <w:p w14:paraId="41F4A54D" w14:textId="77777777" w:rsidR="002817C2" w:rsidRPr="009A7F2D" w:rsidRDefault="002817C2" w:rsidP="001141B3">
            <w:pPr>
              <w:pStyle w:val="NormalWeb"/>
              <w:rPr>
                <w:rFonts w:ascii="Times" w:hAnsi="Times"/>
                <w:color w:val="1A1A1A"/>
                <w:sz w:val="20"/>
                <w:szCs w:val="20"/>
              </w:rPr>
            </w:pPr>
            <w:r w:rsidRPr="009A7F2D">
              <w:rPr>
                <w:rFonts w:ascii="Times" w:hAnsi="Times"/>
                <w:color w:val="1A1A1A"/>
                <w:sz w:val="20"/>
                <w:szCs w:val="20"/>
              </w:rPr>
              <w:t>Business loan guarantee scheme</w:t>
            </w:r>
          </w:p>
        </w:tc>
        <w:tc>
          <w:tcPr>
            <w:tcW w:w="2683" w:type="dxa"/>
          </w:tcPr>
          <w:p w14:paraId="6176594E" w14:textId="77777777" w:rsidR="002817C2" w:rsidRPr="009A7F2D" w:rsidRDefault="002817C2" w:rsidP="00834A18">
            <w:pPr>
              <w:pStyle w:val="NormalWeb"/>
              <w:jc w:val="center"/>
              <w:rPr>
                <w:rFonts w:ascii="Times" w:hAnsi="Times"/>
                <w:color w:val="1A1A1A"/>
                <w:sz w:val="20"/>
                <w:szCs w:val="20"/>
              </w:rPr>
            </w:pPr>
            <w:r w:rsidRPr="009A7F2D">
              <w:rPr>
                <w:rFonts w:ascii="Times" w:hAnsi="Times"/>
                <w:color w:val="1A1A1A"/>
                <w:sz w:val="20"/>
                <w:szCs w:val="20"/>
              </w:rPr>
              <w:t>R200</w:t>
            </w:r>
          </w:p>
        </w:tc>
      </w:tr>
      <w:tr w:rsidR="002817C2" w:rsidRPr="000D33E4" w14:paraId="5DC1B6A6" w14:textId="77777777" w:rsidTr="0000237A">
        <w:tc>
          <w:tcPr>
            <w:tcW w:w="7093" w:type="dxa"/>
          </w:tcPr>
          <w:p w14:paraId="680B85A0" w14:textId="77777777" w:rsidR="002817C2" w:rsidRPr="009A7F2D" w:rsidRDefault="002817C2" w:rsidP="001141B3">
            <w:pPr>
              <w:pStyle w:val="NormalWeb"/>
              <w:rPr>
                <w:rFonts w:ascii="Times" w:hAnsi="Times"/>
                <w:b/>
                <w:color w:val="1A1A1A"/>
                <w:sz w:val="20"/>
                <w:szCs w:val="20"/>
              </w:rPr>
            </w:pPr>
            <w:r w:rsidRPr="009A7F2D">
              <w:rPr>
                <w:rFonts w:ascii="Times" w:hAnsi="Times"/>
                <w:b/>
                <w:color w:val="1A1A1A"/>
                <w:sz w:val="20"/>
                <w:szCs w:val="20"/>
              </w:rPr>
              <w:t>Total</w:t>
            </w:r>
          </w:p>
        </w:tc>
        <w:tc>
          <w:tcPr>
            <w:tcW w:w="2683" w:type="dxa"/>
          </w:tcPr>
          <w:p w14:paraId="1D122FD5" w14:textId="77777777" w:rsidR="002817C2" w:rsidRPr="009A7F2D" w:rsidRDefault="002817C2" w:rsidP="00834A18">
            <w:pPr>
              <w:pStyle w:val="NormalWeb"/>
              <w:jc w:val="center"/>
              <w:rPr>
                <w:rFonts w:ascii="Times" w:hAnsi="Times"/>
                <w:b/>
                <w:color w:val="1A1A1A"/>
                <w:sz w:val="20"/>
                <w:szCs w:val="20"/>
              </w:rPr>
            </w:pPr>
            <w:r w:rsidRPr="009A7F2D">
              <w:rPr>
                <w:rFonts w:ascii="Times" w:hAnsi="Times"/>
                <w:b/>
                <w:color w:val="1A1A1A"/>
                <w:sz w:val="20"/>
                <w:szCs w:val="20"/>
              </w:rPr>
              <w:t>R500</w:t>
            </w:r>
          </w:p>
        </w:tc>
      </w:tr>
    </w:tbl>
    <w:p w14:paraId="6B88E7F4" w14:textId="77777777" w:rsidR="00C52EBD" w:rsidRPr="009A7F2D" w:rsidRDefault="00562986" w:rsidP="00C52EBD">
      <w:pPr>
        <w:rPr>
          <w:i/>
          <w:iCs/>
          <w:sz w:val="20"/>
          <w:szCs w:val="20"/>
        </w:rPr>
      </w:pPr>
      <w:r>
        <w:rPr>
          <w:i/>
          <w:iCs/>
          <w:sz w:val="20"/>
          <w:szCs w:val="20"/>
        </w:rPr>
        <w:t>Source: Presidency 2020</w:t>
      </w:r>
    </w:p>
    <w:p w14:paraId="7E3759D2" w14:textId="0939700B" w:rsidR="00562986" w:rsidRDefault="00562986" w:rsidP="00C52EBD"/>
    <w:p w14:paraId="6B0C752B" w14:textId="6D4C9843" w:rsidR="00E80E51" w:rsidRPr="000D33E4" w:rsidRDefault="00E80E51" w:rsidP="00E80E51">
      <w:r w:rsidRPr="000D33E4">
        <w:t xml:space="preserve">The cost of Covid-19 </w:t>
      </w:r>
      <w:r>
        <w:t>t</w:t>
      </w:r>
      <w:r w:rsidRPr="000D33E4">
        <w:t xml:space="preserve">ax </w:t>
      </w:r>
      <w:r>
        <w:t>r</w:t>
      </w:r>
      <w:r w:rsidRPr="000D33E4">
        <w:t xml:space="preserve">elief </w:t>
      </w:r>
      <w:r>
        <w:t>m</w:t>
      </w:r>
      <w:r w:rsidRPr="000D33E4">
        <w:t>easures is estimated at R70 billion</w:t>
      </w:r>
      <w:r>
        <w:t xml:space="preserve">. This arises </w:t>
      </w:r>
      <w:r w:rsidRPr="000D33E4">
        <w:t>from tax deferrals without penalties and interests, employee tax incentive extensions as well as the temporary suspension of the Skills Development Levy. This figure includes R5 billion for case-by-case applications for deferrals but excludes a projection of a decline in general compliance due to business struggling with cash flow, and unable to repay the deferred payments during the current fiscal year, or defaulting and/or failing completely. This means that the total impact of the tax relief measures is likely to be much higher than the R70</w:t>
      </w:r>
      <w:r>
        <w:t xml:space="preserve"> </w:t>
      </w:r>
      <w:r w:rsidRPr="000D33E4">
        <w:t>b</w:t>
      </w:r>
      <w:r>
        <w:t>illion in</w:t>
      </w:r>
      <w:r w:rsidRPr="000D33E4">
        <w:t xml:space="preserve"> initial assessment.</w:t>
      </w:r>
    </w:p>
    <w:p w14:paraId="57F7D740" w14:textId="77777777" w:rsidR="00E80E51" w:rsidRPr="000D33E4" w:rsidRDefault="00E80E51" w:rsidP="00E80E51">
      <w:pPr>
        <w:rPr>
          <w:rFonts w:ascii="Times" w:hAnsi="Times"/>
        </w:rPr>
      </w:pPr>
    </w:p>
    <w:p w14:paraId="2C7DD9EE" w14:textId="25DFB3AE" w:rsidR="001141B3" w:rsidRDefault="001141B3" w:rsidP="00E07E14">
      <w:r>
        <w:t>In respect of</w:t>
      </w:r>
      <w:r w:rsidR="002817C2" w:rsidRPr="000D33E4">
        <w:t xml:space="preserve"> monetary policy, the measures introduced in response to the Covid-19 economic cris</w:t>
      </w:r>
      <w:r w:rsidR="00E07E14">
        <w:t>i</w:t>
      </w:r>
      <w:r w:rsidR="002817C2" w:rsidRPr="000D33E4">
        <w:t>s comprise</w:t>
      </w:r>
      <w:r>
        <w:t>:</w:t>
      </w:r>
    </w:p>
    <w:p w14:paraId="731E570D" w14:textId="77777777" w:rsidR="001141B3" w:rsidRPr="008C3C83" w:rsidRDefault="001141B3" w:rsidP="00B62345">
      <w:pPr>
        <w:pStyle w:val="ListParagraph"/>
      </w:pPr>
      <w:r w:rsidRPr="008C3C83">
        <w:t>I</w:t>
      </w:r>
      <w:r w:rsidR="002817C2" w:rsidRPr="008C3C83">
        <w:t>nterest rate reduction of 225 basis points</w:t>
      </w:r>
      <w:r w:rsidRPr="008C3C83">
        <w:t>;</w:t>
      </w:r>
    </w:p>
    <w:p w14:paraId="6DFE7486" w14:textId="77777777" w:rsidR="001141B3" w:rsidRPr="008C3C83" w:rsidRDefault="001141B3" w:rsidP="005C3D29">
      <w:pPr>
        <w:pStyle w:val="ListParagraph"/>
      </w:pPr>
      <w:r w:rsidRPr="008C3C83">
        <w:t>Re</w:t>
      </w:r>
      <w:r w:rsidR="002817C2" w:rsidRPr="008C3C83">
        <w:t>laxation of regulations for credit extension</w:t>
      </w:r>
      <w:r w:rsidRPr="008C3C83">
        <w:t>;</w:t>
      </w:r>
    </w:p>
    <w:p w14:paraId="55C91A9C" w14:textId="77777777" w:rsidR="001141B3" w:rsidRPr="008C3C83" w:rsidRDefault="001141B3" w:rsidP="002B0D6D">
      <w:pPr>
        <w:pStyle w:val="ListParagraph"/>
      </w:pPr>
      <w:r w:rsidRPr="008C3C83">
        <w:t>R</w:t>
      </w:r>
      <w:r w:rsidR="002817C2" w:rsidRPr="008C3C83">
        <w:t>epurchasing of bonds in the secondary market</w:t>
      </w:r>
      <w:r w:rsidRPr="008C3C83">
        <w:t>;</w:t>
      </w:r>
      <w:r w:rsidR="002817C2" w:rsidRPr="008C3C83">
        <w:t xml:space="preserve"> and </w:t>
      </w:r>
    </w:p>
    <w:p w14:paraId="1F0EBC19" w14:textId="77777777" w:rsidR="001141B3" w:rsidRPr="008C3C83" w:rsidRDefault="001141B3" w:rsidP="006142F1">
      <w:pPr>
        <w:pStyle w:val="ListParagraph"/>
      </w:pPr>
      <w:r w:rsidRPr="008C3C83">
        <w:t>C</w:t>
      </w:r>
      <w:r w:rsidR="002817C2" w:rsidRPr="008C3C83">
        <w:t xml:space="preserve">ase by case payment holidays to support debtors. </w:t>
      </w:r>
    </w:p>
    <w:p w14:paraId="5D88E8A7" w14:textId="77777777" w:rsidR="00E07E14" w:rsidRDefault="00E07E14" w:rsidP="009A7F2D"/>
    <w:p w14:paraId="1352D45D" w14:textId="460233C5" w:rsidR="002817C2" w:rsidRPr="000D33E4" w:rsidRDefault="002817C2" w:rsidP="009A7F2D">
      <w:r w:rsidRPr="000D33E4">
        <w:t>Different financial service providers have announced payment holiday</w:t>
      </w:r>
      <w:r w:rsidR="00011AA3">
        <w:t>s</w:t>
      </w:r>
      <w:r w:rsidRPr="000D33E4">
        <w:t xml:space="preserve"> and credit period extensions </w:t>
      </w:r>
      <w:r w:rsidR="001141B3">
        <w:t>for</w:t>
      </w:r>
      <w:r w:rsidR="001141B3" w:rsidRPr="000D33E4">
        <w:t xml:space="preserve"> </w:t>
      </w:r>
      <w:r w:rsidRPr="000D33E4">
        <w:t>their respective customers.</w:t>
      </w:r>
      <w:r w:rsidR="002D39CB">
        <w:t xml:space="preserve"> </w:t>
      </w:r>
      <w:r w:rsidRPr="000D33E4">
        <w:t xml:space="preserve">The precise breakdown of the R500 billion monetary policy response is not clear </w:t>
      </w:r>
      <w:r w:rsidR="00011AA3">
        <w:t xml:space="preserve">and </w:t>
      </w:r>
      <w:r w:rsidRPr="000D33E4">
        <w:t xml:space="preserve">information </w:t>
      </w:r>
      <w:r w:rsidR="00011AA3">
        <w:t>on it is sketchy</w:t>
      </w:r>
      <w:r w:rsidRPr="000D33E4">
        <w:t>. For instance, data on the number of people approved for payment holidays and the amount of bonds repurchased</w:t>
      </w:r>
      <w:r w:rsidRPr="000D33E4">
        <w:rPr>
          <w:rStyle w:val="FootnoteReference"/>
          <w:color w:val="1A1A1A"/>
        </w:rPr>
        <w:footnoteReference w:id="6"/>
      </w:r>
      <w:r w:rsidRPr="000D33E4">
        <w:t xml:space="preserve"> for Covid-19 purposes is not readily and publicly available.</w:t>
      </w:r>
    </w:p>
    <w:p w14:paraId="6BA9BFFC" w14:textId="77777777" w:rsidR="002817C2" w:rsidRPr="000D33E4" w:rsidRDefault="002817C2" w:rsidP="002817C2">
      <w:pPr>
        <w:rPr>
          <w:rFonts w:ascii="Times" w:hAnsi="Times"/>
        </w:rPr>
      </w:pPr>
    </w:p>
    <w:p w14:paraId="6A371C55" w14:textId="77777777" w:rsidR="002817C2" w:rsidRPr="00E827B9" w:rsidRDefault="001141B3" w:rsidP="002817C2">
      <w:r>
        <w:fldChar w:fldCharType="begin"/>
      </w:r>
      <w:r>
        <w:instrText xml:space="preserve"> REF _Ref40882837 \h </w:instrText>
      </w:r>
      <w:r>
        <w:fldChar w:fldCharType="separate"/>
      </w:r>
      <w:r w:rsidRPr="000D33E4">
        <w:rPr>
          <w:rFonts w:ascii="Times" w:hAnsi="Times"/>
        </w:rPr>
        <w:t xml:space="preserve">Table </w:t>
      </w:r>
      <w:r>
        <w:rPr>
          <w:rFonts w:ascii="Times" w:hAnsi="Times"/>
          <w:noProof/>
        </w:rPr>
        <w:t>9</w:t>
      </w:r>
      <w:r>
        <w:fldChar w:fldCharType="end"/>
      </w:r>
      <w:r>
        <w:t xml:space="preserve"> </w:t>
      </w:r>
      <w:r w:rsidR="002817C2" w:rsidRPr="000D33E4">
        <w:t xml:space="preserve">outlines the breakdown of funding sources to cover the fiscal response package. The spending and funding composition has a bearing on whether the response package is effective or not </w:t>
      </w:r>
      <w:r w:rsidR="00001032">
        <w:t xml:space="preserve">in </w:t>
      </w:r>
      <w:r w:rsidR="002817C2" w:rsidRPr="000D33E4">
        <w:t xml:space="preserve">minimising the attendant social and economic costs or stimulating economic activity. </w:t>
      </w:r>
    </w:p>
    <w:p w14:paraId="5F46D766" w14:textId="77777777" w:rsidR="002817C2" w:rsidRPr="000D33E4" w:rsidRDefault="002817C2" w:rsidP="002817C2">
      <w:pPr>
        <w:pStyle w:val="NormalWeb"/>
        <w:shd w:val="clear" w:color="auto" w:fill="FFFFFF"/>
        <w:tabs>
          <w:tab w:val="left" w:pos="8025"/>
        </w:tabs>
        <w:spacing w:before="0" w:beforeAutospacing="0" w:after="0" w:afterAutospacing="0"/>
        <w:rPr>
          <w:rFonts w:ascii="Times" w:hAnsi="Times"/>
          <w:color w:val="1A1A1A"/>
        </w:rPr>
      </w:pPr>
    </w:p>
    <w:p w14:paraId="3BC23AD2" w14:textId="77DE2402" w:rsidR="002817C2" w:rsidRPr="009A7F2D" w:rsidRDefault="002817C2" w:rsidP="002817C2">
      <w:pPr>
        <w:pStyle w:val="Caption"/>
        <w:keepNext/>
        <w:rPr>
          <w:rFonts w:ascii="Times" w:hAnsi="Times"/>
          <w:color w:val="004C45" w:themeColor="text2"/>
          <w:sz w:val="24"/>
          <w:szCs w:val="24"/>
        </w:rPr>
      </w:pPr>
      <w:bookmarkStart w:id="80" w:name="_Ref40882837"/>
      <w:bookmarkStart w:id="81" w:name="_Toc42212138"/>
      <w:r w:rsidRPr="009A7F2D">
        <w:rPr>
          <w:rFonts w:ascii="Times" w:hAnsi="Times"/>
          <w:color w:val="004C45" w:themeColor="text2"/>
          <w:sz w:val="24"/>
          <w:szCs w:val="24"/>
        </w:rPr>
        <w:t xml:space="preserve">Table </w:t>
      </w:r>
      <w:r w:rsidRPr="009A7F2D">
        <w:rPr>
          <w:rFonts w:ascii="Times" w:hAnsi="Times"/>
          <w:color w:val="004C45" w:themeColor="text2"/>
          <w:sz w:val="24"/>
          <w:szCs w:val="24"/>
        </w:rPr>
        <w:fldChar w:fldCharType="begin"/>
      </w:r>
      <w:r w:rsidRPr="009A7F2D">
        <w:rPr>
          <w:rFonts w:ascii="Times" w:hAnsi="Times"/>
          <w:color w:val="004C45" w:themeColor="text2"/>
          <w:sz w:val="24"/>
          <w:szCs w:val="24"/>
        </w:rPr>
        <w:instrText xml:space="preserve"> SEQ Table \* ARABIC </w:instrText>
      </w:r>
      <w:r w:rsidRPr="009A7F2D">
        <w:rPr>
          <w:rFonts w:ascii="Times" w:hAnsi="Times"/>
          <w:color w:val="004C45" w:themeColor="text2"/>
          <w:sz w:val="24"/>
          <w:szCs w:val="24"/>
        </w:rPr>
        <w:fldChar w:fldCharType="separate"/>
      </w:r>
      <w:r w:rsidR="00492893">
        <w:rPr>
          <w:rFonts w:ascii="Times" w:hAnsi="Times"/>
          <w:noProof/>
          <w:color w:val="004C45" w:themeColor="text2"/>
          <w:sz w:val="24"/>
          <w:szCs w:val="24"/>
        </w:rPr>
        <w:t>10</w:t>
      </w:r>
      <w:r w:rsidRPr="009A7F2D">
        <w:rPr>
          <w:rFonts w:ascii="Times" w:hAnsi="Times"/>
          <w:color w:val="004C45" w:themeColor="text2"/>
          <w:sz w:val="24"/>
          <w:szCs w:val="24"/>
        </w:rPr>
        <w:fldChar w:fldCharType="end"/>
      </w:r>
      <w:bookmarkEnd w:id="80"/>
      <w:r w:rsidR="001141B3" w:rsidRPr="009A7F2D">
        <w:rPr>
          <w:rFonts w:ascii="Times" w:hAnsi="Times"/>
          <w:color w:val="004C45" w:themeColor="text2"/>
          <w:sz w:val="24"/>
          <w:szCs w:val="24"/>
        </w:rPr>
        <w:t>:</w:t>
      </w:r>
      <w:r w:rsidRPr="009A7F2D">
        <w:rPr>
          <w:rFonts w:ascii="Times" w:hAnsi="Times"/>
          <w:color w:val="004C45" w:themeColor="text2"/>
          <w:sz w:val="24"/>
          <w:szCs w:val="24"/>
        </w:rPr>
        <w:t xml:space="preserve"> Funding source for Covid-19 fiscal response</w:t>
      </w:r>
      <w:bookmarkEnd w:id="81"/>
      <w:r w:rsidR="002D39CB">
        <w:rPr>
          <w:rFonts w:ascii="Times" w:hAnsi="Times"/>
          <w:color w:val="004C45" w:themeColor="text2"/>
          <w:sz w:val="24"/>
          <w:szCs w:val="24"/>
        </w:rPr>
        <w:t xml:space="preserve"> </w:t>
      </w:r>
      <w:r w:rsidRPr="009A7F2D">
        <w:rPr>
          <w:rFonts w:ascii="Times" w:hAnsi="Times"/>
          <w:color w:val="004C45" w:themeColor="text2"/>
          <w:sz w:val="24"/>
          <w:szCs w:val="24"/>
        </w:rPr>
        <w:t xml:space="preserve"> </w:t>
      </w:r>
    </w:p>
    <w:tbl>
      <w:tblPr>
        <w:tblStyle w:val="TableGrid"/>
        <w:tblW w:w="0" w:type="auto"/>
        <w:tblInd w:w="-5" w:type="dxa"/>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Look w:val="04A0" w:firstRow="1" w:lastRow="0" w:firstColumn="1" w:lastColumn="0" w:noHBand="0" w:noVBand="1"/>
      </w:tblPr>
      <w:tblGrid>
        <w:gridCol w:w="6804"/>
        <w:gridCol w:w="2217"/>
      </w:tblGrid>
      <w:tr w:rsidR="002817C2" w:rsidRPr="000D33E4" w14:paraId="79D980C2" w14:textId="77777777" w:rsidTr="009A7F2D">
        <w:tc>
          <w:tcPr>
            <w:tcW w:w="6804" w:type="dxa"/>
          </w:tcPr>
          <w:p w14:paraId="2557712B" w14:textId="77777777" w:rsidR="002817C2" w:rsidRPr="00001032" w:rsidRDefault="002817C2" w:rsidP="00884982">
            <w:pPr>
              <w:pStyle w:val="NormalWeb"/>
              <w:tabs>
                <w:tab w:val="left" w:pos="8025"/>
              </w:tabs>
              <w:rPr>
                <w:rFonts w:ascii="Times" w:hAnsi="Times"/>
                <w:b/>
                <w:color w:val="1A1A1A"/>
                <w:sz w:val="20"/>
                <w:szCs w:val="20"/>
              </w:rPr>
            </w:pPr>
            <w:r w:rsidRPr="00001032">
              <w:rPr>
                <w:rFonts w:ascii="Times" w:hAnsi="Times"/>
                <w:b/>
                <w:color w:val="1A1A1A"/>
                <w:sz w:val="20"/>
                <w:szCs w:val="20"/>
              </w:rPr>
              <w:t>Source</w:t>
            </w:r>
          </w:p>
        </w:tc>
        <w:tc>
          <w:tcPr>
            <w:tcW w:w="2217" w:type="dxa"/>
          </w:tcPr>
          <w:p w14:paraId="269D4129" w14:textId="2D14EBF6" w:rsidR="002817C2" w:rsidRPr="00001032" w:rsidRDefault="002817C2" w:rsidP="00702661">
            <w:pPr>
              <w:pStyle w:val="NormalWeb"/>
              <w:tabs>
                <w:tab w:val="left" w:pos="8025"/>
              </w:tabs>
              <w:jc w:val="center"/>
              <w:rPr>
                <w:rFonts w:ascii="Times" w:hAnsi="Times"/>
                <w:b/>
                <w:color w:val="1A1A1A"/>
                <w:sz w:val="20"/>
                <w:szCs w:val="20"/>
              </w:rPr>
            </w:pPr>
            <w:r w:rsidRPr="00001032">
              <w:rPr>
                <w:rFonts w:ascii="Times" w:hAnsi="Times"/>
                <w:b/>
                <w:color w:val="1A1A1A"/>
                <w:sz w:val="20"/>
                <w:szCs w:val="20"/>
              </w:rPr>
              <w:t>R billion</w:t>
            </w:r>
          </w:p>
        </w:tc>
      </w:tr>
      <w:tr w:rsidR="002817C2" w:rsidRPr="000D33E4" w14:paraId="41C11D05" w14:textId="77777777" w:rsidTr="009A7F2D">
        <w:tc>
          <w:tcPr>
            <w:tcW w:w="6804" w:type="dxa"/>
          </w:tcPr>
          <w:p w14:paraId="282D7B87" w14:textId="77777777" w:rsidR="002817C2" w:rsidRPr="00001032" w:rsidRDefault="002817C2" w:rsidP="00884982">
            <w:pPr>
              <w:pStyle w:val="NormalWeb"/>
              <w:tabs>
                <w:tab w:val="left" w:pos="8025"/>
              </w:tabs>
              <w:rPr>
                <w:rFonts w:ascii="Times" w:hAnsi="Times"/>
                <w:color w:val="1A1A1A"/>
                <w:sz w:val="20"/>
                <w:szCs w:val="20"/>
              </w:rPr>
            </w:pPr>
            <w:r w:rsidRPr="00001032">
              <w:rPr>
                <w:rFonts w:ascii="Times" w:hAnsi="Times"/>
                <w:color w:val="1A1A1A"/>
                <w:sz w:val="20"/>
                <w:szCs w:val="20"/>
              </w:rPr>
              <w:t>Credit guarantee scheme</w:t>
            </w:r>
          </w:p>
        </w:tc>
        <w:tc>
          <w:tcPr>
            <w:tcW w:w="2217" w:type="dxa"/>
          </w:tcPr>
          <w:p w14:paraId="73E8B6FE" w14:textId="77777777" w:rsidR="002817C2" w:rsidRPr="00001032" w:rsidRDefault="002817C2" w:rsidP="00702661">
            <w:pPr>
              <w:pStyle w:val="NormalWeb"/>
              <w:tabs>
                <w:tab w:val="left" w:pos="8025"/>
              </w:tabs>
              <w:jc w:val="center"/>
              <w:rPr>
                <w:rFonts w:ascii="Times" w:hAnsi="Times"/>
                <w:color w:val="1A1A1A"/>
                <w:sz w:val="20"/>
                <w:szCs w:val="20"/>
              </w:rPr>
            </w:pPr>
            <w:r w:rsidRPr="00001032">
              <w:rPr>
                <w:rFonts w:ascii="Times" w:hAnsi="Times"/>
                <w:color w:val="1A1A1A"/>
                <w:sz w:val="20"/>
                <w:szCs w:val="20"/>
              </w:rPr>
              <w:t>R200</w:t>
            </w:r>
          </w:p>
        </w:tc>
      </w:tr>
      <w:tr w:rsidR="002817C2" w:rsidRPr="000D33E4" w14:paraId="6DE84884" w14:textId="77777777" w:rsidTr="009A7F2D">
        <w:tc>
          <w:tcPr>
            <w:tcW w:w="6804" w:type="dxa"/>
          </w:tcPr>
          <w:p w14:paraId="28830E47" w14:textId="77777777" w:rsidR="002817C2" w:rsidRPr="00001032" w:rsidRDefault="002817C2" w:rsidP="00884982">
            <w:pPr>
              <w:pStyle w:val="NormalWeb"/>
              <w:tabs>
                <w:tab w:val="left" w:pos="8025"/>
              </w:tabs>
              <w:rPr>
                <w:rFonts w:ascii="Times" w:hAnsi="Times"/>
                <w:color w:val="1A1A1A"/>
                <w:sz w:val="20"/>
                <w:szCs w:val="20"/>
              </w:rPr>
            </w:pPr>
            <w:r w:rsidRPr="00001032">
              <w:rPr>
                <w:rFonts w:ascii="Times" w:hAnsi="Times"/>
                <w:color w:val="1A1A1A"/>
                <w:sz w:val="20"/>
                <w:szCs w:val="20"/>
              </w:rPr>
              <w:t xml:space="preserve">Budget reprioritisation </w:t>
            </w:r>
          </w:p>
        </w:tc>
        <w:tc>
          <w:tcPr>
            <w:tcW w:w="2217" w:type="dxa"/>
          </w:tcPr>
          <w:p w14:paraId="46C77BE1" w14:textId="77777777" w:rsidR="002817C2" w:rsidRPr="00001032" w:rsidRDefault="002817C2" w:rsidP="00702661">
            <w:pPr>
              <w:pStyle w:val="NormalWeb"/>
              <w:tabs>
                <w:tab w:val="left" w:pos="8025"/>
              </w:tabs>
              <w:jc w:val="center"/>
              <w:rPr>
                <w:rFonts w:ascii="Times" w:hAnsi="Times"/>
                <w:color w:val="1A1A1A"/>
                <w:sz w:val="20"/>
                <w:szCs w:val="20"/>
              </w:rPr>
            </w:pPr>
            <w:r w:rsidRPr="00001032">
              <w:rPr>
                <w:rFonts w:ascii="Times" w:hAnsi="Times"/>
                <w:color w:val="1A1A1A"/>
                <w:sz w:val="20"/>
                <w:szCs w:val="20"/>
              </w:rPr>
              <w:t>R130</w:t>
            </w:r>
          </w:p>
        </w:tc>
      </w:tr>
      <w:tr w:rsidR="002817C2" w:rsidRPr="000D33E4" w14:paraId="75BF53FC" w14:textId="77777777" w:rsidTr="009A7F2D">
        <w:tc>
          <w:tcPr>
            <w:tcW w:w="6804" w:type="dxa"/>
          </w:tcPr>
          <w:p w14:paraId="0332F1BC" w14:textId="77777777" w:rsidR="002817C2" w:rsidRPr="00001032" w:rsidRDefault="002817C2" w:rsidP="00884982">
            <w:pPr>
              <w:pStyle w:val="NormalWeb"/>
              <w:tabs>
                <w:tab w:val="left" w:pos="8025"/>
              </w:tabs>
              <w:rPr>
                <w:rFonts w:ascii="Times" w:hAnsi="Times"/>
                <w:color w:val="1A1A1A"/>
                <w:sz w:val="20"/>
                <w:szCs w:val="20"/>
              </w:rPr>
            </w:pPr>
            <w:r w:rsidRPr="00001032">
              <w:rPr>
                <w:rFonts w:ascii="Times" w:hAnsi="Times"/>
                <w:color w:val="1A1A1A"/>
                <w:sz w:val="20"/>
                <w:szCs w:val="20"/>
              </w:rPr>
              <w:t>Borrowing from multilateral finance institutions for business support</w:t>
            </w:r>
          </w:p>
        </w:tc>
        <w:tc>
          <w:tcPr>
            <w:tcW w:w="2217" w:type="dxa"/>
          </w:tcPr>
          <w:p w14:paraId="54705D7C" w14:textId="77777777" w:rsidR="002817C2" w:rsidRPr="00001032" w:rsidRDefault="002817C2" w:rsidP="00702661">
            <w:pPr>
              <w:pStyle w:val="NormalWeb"/>
              <w:tabs>
                <w:tab w:val="left" w:pos="8025"/>
              </w:tabs>
              <w:jc w:val="center"/>
              <w:rPr>
                <w:rFonts w:ascii="Times" w:hAnsi="Times"/>
                <w:color w:val="1A1A1A"/>
                <w:sz w:val="20"/>
                <w:szCs w:val="20"/>
              </w:rPr>
            </w:pPr>
            <w:r w:rsidRPr="00001032">
              <w:rPr>
                <w:rFonts w:ascii="Times" w:hAnsi="Times"/>
                <w:color w:val="1A1A1A"/>
                <w:sz w:val="20"/>
                <w:szCs w:val="20"/>
              </w:rPr>
              <w:t>R95</w:t>
            </w:r>
          </w:p>
        </w:tc>
      </w:tr>
      <w:tr w:rsidR="002817C2" w:rsidRPr="000D33E4" w14:paraId="4DE62381" w14:textId="77777777" w:rsidTr="009A7F2D">
        <w:tc>
          <w:tcPr>
            <w:tcW w:w="6804" w:type="dxa"/>
          </w:tcPr>
          <w:p w14:paraId="4805D7A4" w14:textId="77777777" w:rsidR="002817C2" w:rsidRPr="00001032" w:rsidRDefault="002817C2" w:rsidP="00884982">
            <w:pPr>
              <w:pStyle w:val="NormalWeb"/>
              <w:tabs>
                <w:tab w:val="left" w:pos="8025"/>
              </w:tabs>
              <w:rPr>
                <w:rFonts w:ascii="Times" w:hAnsi="Times"/>
                <w:color w:val="1A1A1A"/>
                <w:sz w:val="20"/>
                <w:szCs w:val="20"/>
              </w:rPr>
            </w:pPr>
            <w:r w:rsidRPr="00001032">
              <w:rPr>
                <w:rFonts w:ascii="Times" w:hAnsi="Times"/>
                <w:color w:val="1A1A1A"/>
                <w:sz w:val="20"/>
                <w:szCs w:val="20"/>
              </w:rPr>
              <w:t xml:space="preserve">Transfers and subsidies from social security funds </w:t>
            </w:r>
          </w:p>
        </w:tc>
        <w:tc>
          <w:tcPr>
            <w:tcW w:w="2217" w:type="dxa"/>
          </w:tcPr>
          <w:p w14:paraId="232E9A67" w14:textId="77777777" w:rsidR="002817C2" w:rsidRPr="00001032" w:rsidRDefault="002817C2" w:rsidP="00702661">
            <w:pPr>
              <w:pStyle w:val="NormalWeb"/>
              <w:tabs>
                <w:tab w:val="left" w:pos="8025"/>
              </w:tabs>
              <w:jc w:val="center"/>
              <w:rPr>
                <w:rFonts w:ascii="Times" w:hAnsi="Times"/>
                <w:color w:val="1A1A1A"/>
                <w:sz w:val="20"/>
                <w:szCs w:val="20"/>
              </w:rPr>
            </w:pPr>
            <w:r w:rsidRPr="00001032">
              <w:rPr>
                <w:rFonts w:ascii="Times" w:hAnsi="Times"/>
                <w:color w:val="1A1A1A"/>
                <w:sz w:val="20"/>
                <w:szCs w:val="20"/>
              </w:rPr>
              <w:t>R60</w:t>
            </w:r>
          </w:p>
        </w:tc>
      </w:tr>
      <w:tr w:rsidR="002817C2" w:rsidRPr="000D33E4" w14:paraId="13DEA39E" w14:textId="77777777" w:rsidTr="009A7F2D">
        <w:tc>
          <w:tcPr>
            <w:tcW w:w="6804" w:type="dxa"/>
          </w:tcPr>
          <w:p w14:paraId="10ECEDA6" w14:textId="77777777" w:rsidR="002817C2" w:rsidRPr="00001032" w:rsidRDefault="002817C2" w:rsidP="00884982">
            <w:pPr>
              <w:pStyle w:val="NormalWeb"/>
              <w:tabs>
                <w:tab w:val="left" w:pos="8025"/>
              </w:tabs>
              <w:rPr>
                <w:rFonts w:ascii="Times" w:hAnsi="Times"/>
                <w:color w:val="1A1A1A"/>
                <w:sz w:val="20"/>
                <w:szCs w:val="20"/>
              </w:rPr>
            </w:pPr>
            <w:r w:rsidRPr="00001032">
              <w:rPr>
                <w:rFonts w:ascii="Times" w:hAnsi="Times"/>
                <w:color w:val="1A1A1A"/>
                <w:sz w:val="20"/>
                <w:szCs w:val="20"/>
              </w:rPr>
              <w:t xml:space="preserve">2020/21 Social development baseline budget </w:t>
            </w:r>
          </w:p>
        </w:tc>
        <w:tc>
          <w:tcPr>
            <w:tcW w:w="2217" w:type="dxa"/>
          </w:tcPr>
          <w:p w14:paraId="6C65AE5A" w14:textId="77777777" w:rsidR="002817C2" w:rsidRPr="00001032" w:rsidRDefault="002817C2" w:rsidP="00702661">
            <w:pPr>
              <w:pStyle w:val="NormalWeb"/>
              <w:tabs>
                <w:tab w:val="left" w:pos="8025"/>
              </w:tabs>
              <w:jc w:val="center"/>
              <w:rPr>
                <w:rFonts w:ascii="Times" w:hAnsi="Times"/>
                <w:color w:val="1A1A1A"/>
                <w:sz w:val="20"/>
                <w:szCs w:val="20"/>
              </w:rPr>
            </w:pPr>
            <w:r w:rsidRPr="00001032">
              <w:rPr>
                <w:rFonts w:ascii="Times" w:hAnsi="Times"/>
                <w:color w:val="1A1A1A"/>
                <w:sz w:val="20"/>
                <w:szCs w:val="20"/>
              </w:rPr>
              <w:t>R15</w:t>
            </w:r>
          </w:p>
        </w:tc>
      </w:tr>
      <w:tr w:rsidR="002817C2" w:rsidRPr="000D33E4" w14:paraId="3E52EA9E" w14:textId="77777777" w:rsidTr="009A7F2D">
        <w:tc>
          <w:tcPr>
            <w:tcW w:w="6804" w:type="dxa"/>
          </w:tcPr>
          <w:p w14:paraId="5F378DAF" w14:textId="77777777" w:rsidR="002817C2" w:rsidRPr="00001032" w:rsidRDefault="002817C2" w:rsidP="00884982">
            <w:pPr>
              <w:pStyle w:val="NormalWeb"/>
              <w:tabs>
                <w:tab w:val="left" w:pos="8025"/>
              </w:tabs>
              <w:rPr>
                <w:rFonts w:ascii="Times" w:hAnsi="Times"/>
                <w:b/>
                <w:color w:val="1A1A1A"/>
                <w:sz w:val="20"/>
                <w:szCs w:val="20"/>
              </w:rPr>
            </w:pPr>
            <w:r w:rsidRPr="00001032">
              <w:rPr>
                <w:rFonts w:ascii="Times" w:hAnsi="Times"/>
                <w:b/>
                <w:color w:val="1A1A1A"/>
                <w:sz w:val="20"/>
                <w:szCs w:val="20"/>
              </w:rPr>
              <w:t xml:space="preserve">Total </w:t>
            </w:r>
          </w:p>
        </w:tc>
        <w:tc>
          <w:tcPr>
            <w:tcW w:w="2217" w:type="dxa"/>
          </w:tcPr>
          <w:p w14:paraId="71434FA2" w14:textId="77777777" w:rsidR="002817C2" w:rsidRPr="00001032" w:rsidRDefault="002817C2" w:rsidP="00702661">
            <w:pPr>
              <w:pStyle w:val="NormalWeb"/>
              <w:tabs>
                <w:tab w:val="left" w:pos="8025"/>
              </w:tabs>
              <w:jc w:val="center"/>
              <w:rPr>
                <w:rFonts w:ascii="Times" w:hAnsi="Times"/>
                <w:b/>
                <w:color w:val="1A1A1A"/>
                <w:sz w:val="20"/>
                <w:szCs w:val="20"/>
              </w:rPr>
            </w:pPr>
            <w:r w:rsidRPr="00001032">
              <w:rPr>
                <w:rFonts w:ascii="Times" w:hAnsi="Times"/>
                <w:b/>
                <w:color w:val="1A1A1A"/>
                <w:sz w:val="20"/>
                <w:szCs w:val="20"/>
              </w:rPr>
              <w:t>R500</w:t>
            </w:r>
          </w:p>
        </w:tc>
      </w:tr>
    </w:tbl>
    <w:p w14:paraId="0DFF977A" w14:textId="77777777" w:rsidR="002817C2" w:rsidRPr="009A7F2D" w:rsidRDefault="002817C2" w:rsidP="002817C2">
      <w:pPr>
        <w:pStyle w:val="NormalWeb"/>
        <w:shd w:val="clear" w:color="auto" w:fill="FFFFFF"/>
        <w:tabs>
          <w:tab w:val="left" w:pos="8025"/>
        </w:tabs>
        <w:spacing w:before="0" w:beforeAutospacing="0" w:after="0" w:afterAutospacing="0"/>
        <w:rPr>
          <w:rFonts w:ascii="Times" w:hAnsi="Times"/>
          <w:i/>
          <w:iCs/>
          <w:color w:val="1A1A1A"/>
          <w:sz w:val="20"/>
          <w:szCs w:val="20"/>
        </w:rPr>
      </w:pPr>
      <w:r w:rsidRPr="009A7F2D">
        <w:rPr>
          <w:rFonts w:ascii="Times" w:hAnsi="Times"/>
          <w:i/>
          <w:iCs/>
          <w:color w:val="1A1A1A"/>
          <w:sz w:val="20"/>
          <w:szCs w:val="20"/>
        </w:rPr>
        <w:t>Source: Presidency, 2020 and National Treasury, 2020.</w:t>
      </w:r>
    </w:p>
    <w:p w14:paraId="2162E243" w14:textId="77777777" w:rsidR="002817C2" w:rsidRPr="000D33E4" w:rsidRDefault="002817C2" w:rsidP="002817C2">
      <w:pPr>
        <w:pStyle w:val="NormalWeb"/>
        <w:shd w:val="clear" w:color="auto" w:fill="FFFFFF"/>
        <w:tabs>
          <w:tab w:val="left" w:pos="8025"/>
        </w:tabs>
        <w:spacing w:before="0" w:beforeAutospacing="0" w:after="0" w:afterAutospacing="0"/>
        <w:rPr>
          <w:rFonts w:ascii="Times" w:hAnsi="Times"/>
          <w:color w:val="1A1A1A"/>
        </w:rPr>
      </w:pPr>
    </w:p>
    <w:p w14:paraId="698EEDFE" w14:textId="3C0A8408" w:rsidR="00B036F9" w:rsidRDefault="002817C2" w:rsidP="009A7F2D">
      <w:r w:rsidRPr="000D33E4">
        <w:t>Government has been especially vigilant not to label both the fiscal and monetary responses an economic stimulus. By definition</w:t>
      </w:r>
      <w:r w:rsidR="00031134">
        <w:t>,</w:t>
      </w:r>
      <w:r w:rsidRPr="000D33E4">
        <w:t xml:space="preserve"> a stimulus implies an injection of additional resources or liquidity over and above the existing baseline budget or money supply.</w:t>
      </w:r>
      <w:r w:rsidR="00914D5E">
        <w:t xml:space="preserve"> On the contrary</w:t>
      </w:r>
      <w:r w:rsidR="00D86C21">
        <w:t>,</w:t>
      </w:r>
      <w:r w:rsidR="00914D5E">
        <w:t xml:space="preserve"> economic relief entail</w:t>
      </w:r>
      <w:r w:rsidR="00D86C21">
        <w:t>s</w:t>
      </w:r>
      <w:r w:rsidR="00914D5E">
        <w:t xml:space="preserve"> provision of rapid response or provision of aid to alleviate the impact of a catastrophe. </w:t>
      </w:r>
      <w:r w:rsidR="00D86C21">
        <w:t xml:space="preserve">The </w:t>
      </w:r>
      <w:r w:rsidR="00914D5E">
        <w:t>Covid-19 economic cris</w:t>
      </w:r>
      <w:r w:rsidR="00D86C21">
        <w:t>i</w:t>
      </w:r>
      <w:r w:rsidR="00914D5E">
        <w:t xml:space="preserve">s has </w:t>
      </w:r>
      <w:r w:rsidR="006A0362">
        <w:t xml:space="preserve">greatly prejudiced the </w:t>
      </w:r>
      <w:r w:rsidR="00914D5E">
        <w:t xml:space="preserve">income earning potential </w:t>
      </w:r>
      <w:r w:rsidR="006A0362">
        <w:t>of businesses and households and necessitated</w:t>
      </w:r>
      <w:r w:rsidR="00914D5E">
        <w:t xml:space="preserve"> relief</w:t>
      </w:r>
      <w:r w:rsidR="006A0362">
        <w:t xml:space="preserve"> </w:t>
      </w:r>
      <w:r w:rsidR="00914D5E">
        <w:t xml:space="preserve">to prevent slippage into </w:t>
      </w:r>
      <w:r w:rsidR="006A0362">
        <w:t xml:space="preserve">total collapse, </w:t>
      </w:r>
      <w:r w:rsidR="00914D5E">
        <w:t xml:space="preserve">social deprivation or state poverty. </w:t>
      </w:r>
      <w:r w:rsidR="006A0362">
        <w:t>Much of the fiscal and monetary responses constitute an income replacement from production and employment losses rather than an active stimul</w:t>
      </w:r>
      <w:r w:rsidR="00D86C21">
        <w:t>us</w:t>
      </w:r>
      <w:r w:rsidR="006A0362">
        <w:t xml:space="preserve"> to increase productivity and employment. </w:t>
      </w:r>
      <w:r w:rsidRPr="000D33E4">
        <w:t>From</w:t>
      </w:r>
      <w:r w:rsidR="00031134">
        <w:t xml:space="preserve"> </w:t>
      </w:r>
      <w:r w:rsidR="00031134" w:rsidRPr="00001032">
        <w:rPr>
          <w:rFonts w:ascii="Times" w:hAnsi="Times"/>
          <w:color w:val="000000" w:themeColor="text1"/>
        </w:rPr>
        <w:fldChar w:fldCharType="begin"/>
      </w:r>
      <w:r w:rsidR="00031134" w:rsidRPr="00001032">
        <w:rPr>
          <w:rFonts w:ascii="Times" w:hAnsi="Times"/>
          <w:color w:val="000000" w:themeColor="text1"/>
        </w:rPr>
        <w:instrText xml:space="preserve"> REF _Ref40882837 \h </w:instrText>
      </w:r>
      <w:r w:rsidR="00001032" w:rsidRPr="00001032">
        <w:rPr>
          <w:rFonts w:ascii="Times" w:hAnsi="Times"/>
          <w:color w:val="000000" w:themeColor="text1"/>
        </w:rPr>
        <w:instrText xml:space="preserve"> \* MERGEFORMAT </w:instrText>
      </w:r>
      <w:r w:rsidR="00031134" w:rsidRPr="00001032">
        <w:rPr>
          <w:rFonts w:ascii="Times" w:hAnsi="Times"/>
          <w:color w:val="000000" w:themeColor="text1"/>
        </w:rPr>
      </w:r>
      <w:r w:rsidR="00031134" w:rsidRPr="00001032">
        <w:rPr>
          <w:rFonts w:ascii="Times" w:hAnsi="Times"/>
          <w:color w:val="000000" w:themeColor="text1"/>
        </w:rPr>
        <w:fldChar w:fldCharType="separate"/>
      </w:r>
      <w:r w:rsidR="00031134" w:rsidRPr="00001032">
        <w:rPr>
          <w:rFonts w:ascii="Times" w:hAnsi="Times"/>
          <w:color w:val="000000" w:themeColor="text1"/>
          <w:szCs w:val="24"/>
        </w:rPr>
        <w:t xml:space="preserve">Table </w:t>
      </w:r>
      <w:r w:rsidR="00031134" w:rsidRPr="00001032">
        <w:rPr>
          <w:rFonts w:ascii="Times" w:hAnsi="Times"/>
          <w:noProof/>
          <w:color w:val="000000" w:themeColor="text1"/>
          <w:szCs w:val="24"/>
        </w:rPr>
        <w:t>9</w:t>
      </w:r>
      <w:r w:rsidR="00031134" w:rsidRPr="00001032">
        <w:rPr>
          <w:rFonts w:ascii="Times" w:hAnsi="Times"/>
          <w:color w:val="000000" w:themeColor="text1"/>
        </w:rPr>
        <w:fldChar w:fldCharType="end"/>
      </w:r>
      <w:r w:rsidRPr="000D33E4">
        <w:t xml:space="preserve">, it can be deduced that </w:t>
      </w:r>
      <w:r w:rsidRPr="00D37EC1">
        <w:rPr>
          <w:color w:val="000000" w:themeColor="text1"/>
        </w:rPr>
        <w:t xml:space="preserve">only the R95 billion borrowing from the multilateral institutions </w:t>
      </w:r>
      <w:r w:rsidR="00031134" w:rsidRPr="00D37EC1">
        <w:rPr>
          <w:color w:val="000000" w:themeColor="text1"/>
        </w:rPr>
        <w:t xml:space="preserve">will </w:t>
      </w:r>
      <w:r w:rsidRPr="00D37EC1">
        <w:rPr>
          <w:color w:val="000000" w:themeColor="text1"/>
        </w:rPr>
        <w:t xml:space="preserve">constitute direct injection or spending in the </w:t>
      </w:r>
      <w:r w:rsidR="006A0362" w:rsidRPr="00D37EC1">
        <w:rPr>
          <w:color w:val="000000" w:themeColor="text1"/>
        </w:rPr>
        <w:t>national budget</w:t>
      </w:r>
      <w:r w:rsidR="00B036F9" w:rsidRPr="00D37EC1">
        <w:rPr>
          <w:color w:val="000000" w:themeColor="text1"/>
        </w:rPr>
        <w:t xml:space="preserve"> and the economy</w:t>
      </w:r>
      <w:r w:rsidR="00E06F06">
        <w:rPr>
          <w:color w:val="000000" w:themeColor="text1"/>
        </w:rPr>
        <w:t>.</w:t>
      </w:r>
      <w:r w:rsidR="00CC3054" w:rsidRPr="00D37EC1">
        <w:rPr>
          <w:color w:val="000000" w:themeColor="text1"/>
        </w:rPr>
        <w:t xml:space="preserve"> </w:t>
      </w:r>
      <w:r w:rsidR="000436AB" w:rsidRPr="00D37EC1">
        <w:rPr>
          <w:color w:val="000000" w:themeColor="text1"/>
        </w:rPr>
        <w:t>This means that the Covid-19 stimulus falls far short of the expected boost to the economy</w:t>
      </w:r>
      <w:r w:rsidRPr="000D33E4">
        <w:t>.</w:t>
      </w:r>
      <w:r w:rsidR="00B036F9">
        <w:t xml:space="preserve"> According to National Treasury</w:t>
      </w:r>
      <w:r w:rsidR="009F4E3C">
        <w:t>,</w:t>
      </w:r>
      <w:r w:rsidR="00B036F9">
        <w:t xml:space="preserve"> the total Covid-19 borrowing requirement will be allocated towards business support and jobs protection. Government </w:t>
      </w:r>
      <w:r w:rsidR="00205DCE">
        <w:t xml:space="preserve">will need to </w:t>
      </w:r>
      <w:r w:rsidR="004E0BF4">
        <w:t>commit to budget earmarking in order for the</w:t>
      </w:r>
      <w:r w:rsidR="00205DCE">
        <w:t xml:space="preserve"> funding</w:t>
      </w:r>
      <w:r w:rsidR="004E0BF4">
        <w:t xml:space="preserve"> to be strictly assigned </w:t>
      </w:r>
      <w:r w:rsidR="009F4E3C">
        <w:t xml:space="preserve">to </w:t>
      </w:r>
      <w:r w:rsidR="004E0BF4">
        <w:t>business support.</w:t>
      </w:r>
    </w:p>
    <w:p w14:paraId="2B4D1852" w14:textId="77777777" w:rsidR="00B036F9" w:rsidRDefault="00B036F9" w:rsidP="009A7F2D"/>
    <w:p w14:paraId="2E4326A9" w14:textId="0D1A4C2D" w:rsidR="00977DF6" w:rsidRPr="00977DF6" w:rsidRDefault="002817C2" w:rsidP="00977DF6">
      <w:pPr>
        <w:pStyle w:val="CommentText"/>
        <w:rPr>
          <w:sz w:val="24"/>
          <w:szCs w:val="24"/>
        </w:rPr>
      </w:pPr>
      <w:r w:rsidRPr="00977DF6">
        <w:rPr>
          <w:sz w:val="24"/>
          <w:szCs w:val="24"/>
        </w:rPr>
        <w:t>The R200 billion business loan guarantee is a contingent liability that will increase government guarantee exposure from the current R484</w:t>
      </w:r>
      <w:r w:rsidR="00031134" w:rsidRPr="00977DF6">
        <w:rPr>
          <w:sz w:val="24"/>
          <w:szCs w:val="24"/>
        </w:rPr>
        <w:t xml:space="preserve"> billion</w:t>
      </w:r>
      <w:r w:rsidRPr="00977DF6">
        <w:rPr>
          <w:sz w:val="24"/>
          <w:szCs w:val="24"/>
        </w:rPr>
        <w:t xml:space="preserve"> to R684 billion. The R130 billion represent</w:t>
      </w:r>
      <w:r w:rsidR="00001032" w:rsidRPr="00977DF6">
        <w:rPr>
          <w:sz w:val="24"/>
          <w:szCs w:val="24"/>
        </w:rPr>
        <w:t>s</w:t>
      </w:r>
      <w:r w:rsidRPr="00977DF6">
        <w:rPr>
          <w:sz w:val="24"/>
          <w:szCs w:val="24"/>
        </w:rPr>
        <w:t xml:space="preserve"> a shift in spending priority from the existing budget while the social security funds constitute drawdowns or income replacement from work stoppages and layoffs</w:t>
      </w:r>
      <w:r w:rsidR="00977DF6">
        <w:rPr>
          <w:sz w:val="24"/>
          <w:szCs w:val="24"/>
        </w:rPr>
        <w:t>.</w:t>
      </w:r>
      <w:r w:rsidR="00977DF6" w:rsidRPr="00977DF6">
        <w:rPr>
          <w:sz w:val="24"/>
          <w:szCs w:val="24"/>
        </w:rPr>
        <w:t xml:space="preserve"> While Covid-19 has turned Budget 2020 upside down, there is nevertheless no discernible baseline increase to the R1.95 trillion budget tabled in February 2020 arising from the R500 billion Covid-19 fiscal response, especially considering the anticipated revenue shortfalls</w:t>
      </w:r>
      <w:r w:rsidR="00977DF6">
        <w:rPr>
          <w:sz w:val="24"/>
          <w:szCs w:val="24"/>
        </w:rPr>
        <w:t>.</w:t>
      </w:r>
    </w:p>
    <w:p w14:paraId="7C1276B3" w14:textId="0AB07347" w:rsidR="002817C2" w:rsidRPr="000D33E4" w:rsidRDefault="002817C2" w:rsidP="00977DF6">
      <w:pPr>
        <w:rPr>
          <w:rFonts w:ascii="Times" w:hAnsi="Times"/>
          <w:color w:val="1A1A1A"/>
          <w:szCs w:val="24"/>
        </w:rPr>
      </w:pPr>
    </w:p>
    <w:p w14:paraId="6B609C8C" w14:textId="09CF0F8D" w:rsidR="002817C2" w:rsidRPr="000D33E4" w:rsidRDefault="002817C2" w:rsidP="009A7F2D">
      <w:r w:rsidRPr="000D33E4">
        <w:t>Similarly, the extent to which the monetary response package find</w:t>
      </w:r>
      <w:r w:rsidR="00361610">
        <w:t>s</w:t>
      </w:r>
      <w:r w:rsidRPr="000D33E4">
        <w:t xml:space="preserve"> its way into the economy depends on a number of intervening variables such as the household debt to income ratio and the qualifying criteria for the loan guarantee scheme and payment holidays. The effect of interest rate reductions on </w:t>
      </w:r>
      <w:r w:rsidR="00205DCE">
        <w:t xml:space="preserve">growing </w:t>
      </w:r>
      <w:r w:rsidR="00923208">
        <w:t xml:space="preserve">the </w:t>
      </w:r>
      <w:r w:rsidRPr="000D33E4">
        <w:t xml:space="preserve">economy depends on whether households use the relief to increase spending or </w:t>
      </w:r>
      <w:r w:rsidR="00031134">
        <w:t xml:space="preserve">use it to </w:t>
      </w:r>
      <w:r w:rsidRPr="000D33E4">
        <w:t>offset the high household debt to income ratio estimated at 72.8 per</w:t>
      </w:r>
      <w:r w:rsidR="00031134">
        <w:t xml:space="preserve"> </w:t>
      </w:r>
      <w:r w:rsidRPr="000D33E4">
        <w:t xml:space="preserve">cent. Likewise, access to the loan guarantee scheme depends </w:t>
      </w:r>
      <w:r w:rsidR="00031134">
        <w:t xml:space="preserve">on </w:t>
      </w:r>
      <w:r w:rsidRPr="000D33E4">
        <w:t xml:space="preserve">credit eligibility criteria set by the different banks. The economic impact of the response </w:t>
      </w:r>
      <w:r w:rsidR="00031134">
        <w:t>will</w:t>
      </w:r>
      <w:r w:rsidR="00031134" w:rsidRPr="000D33E4">
        <w:t xml:space="preserve"> </w:t>
      </w:r>
      <w:r w:rsidRPr="000D33E4">
        <w:t>ultimately depend on the number of businesses that apply and qualif</w:t>
      </w:r>
      <w:r w:rsidR="00031134">
        <w:t>y</w:t>
      </w:r>
      <w:r w:rsidRPr="000D33E4">
        <w:t xml:space="preserve"> for the scheme. This is also true for the credit payment holidays offered by financial service providers. High indebtedness levels are likely to neutralise the mitigating effects of monetary responses to the cris</w:t>
      </w:r>
      <w:r w:rsidR="00031134">
        <w:t>i</w:t>
      </w:r>
      <w:r w:rsidRPr="000D33E4">
        <w:t>s. Overall, the gamut of government’s fiscal and monetary response package can be classified as “gap filling” or relief rather than stimulus. The projected employment losses (</w:t>
      </w:r>
      <w:r w:rsidR="00031134">
        <w:t>ranging between three</w:t>
      </w:r>
      <w:r w:rsidRPr="000D33E4">
        <w:t xml:space="preserve"> </w:t>
      </w:r>
      <w:r w:rsidR="00031134">
        <w:t>and</w:t>
      </w:r>
      <w:r w:rsidRPr="000D33E4">
        <w:t xml:space="preserve"> </w:t>
      </w:r>
      <w:r w:rsidR="00031134">
        <w:t>seven</w:t>
      </w:r>
      <w:r w:rsidRPr="000D33E4">
        <w:t xml:space="preserve"> million</w:t>
      </w:r>
      <w:r w:rsidR="00031134">
        <w:t xml:space="preserve"> people</w:t>
      </w:r>
      <w:r w:rsidRPr="000D33E4">
        <w:t>) suggest that the social security package may be insufficient to deal with the magnitude of the cris</w:t>
      </w:r>
      <w:r w:rsidR="00031134">
        <w:t>i</w:t>
      </w:r>
      <w:r w:rsidRPr="000D33E4">
        <w:t xml:space="preserve">s. </w:t>
      </w:r>
    </w:p>
    <w:p w14:paraId="746299DF" w14:textId="77777777" w:rsidR="002817C2" w:rsidRPr="000D33E4" w:rsidRDefault="002817C2" w:rsidP="002817C2">
      <w:pPr>
        <w:rPr>
          <w:rFonts w:ascii="Times" w:hAnsi="Times"/>
        </w:rPr>
      </w:pPr>
    </w:p>
    <w:p w14:paraId="05B5F953" w14:textId="5CA9739E" w:rsidR="002817C2" w:rsidRPr="000D33E4" w:rsidRDefault="002817C2" w:rsidP="009A7F2D">
      <w:r w:rsidRPr="000D33E4">
        <w:t>By way of focus, the fiscal and monetary responses are targeted as policy interventions known to effectively bolster aggregate demand and reduce economic hardships during recession. R50 billion has been earmarked for improved child care support and direct cash transfer to the unemployed. A further R40 billion provision is made for social services relief to sub national governments while R100 billion is set aside for job creation through small business and the informal sector. Various government department</w:t>
      </w:r>
      <w:r w:rsidR="00031134">
        <w:t>s</w:t>
      </w:r>
      <w:r w:rsidRPr="000D33E4">
        <w:t xml:space="preserve"> ha</w:t>
      </w:r>
      <w:r w:rsidR="00031134">
        <w:t>ve</w:t>
      </w:r>
      <w:r w:rsidRPr="000D33E4">
        <w:t xml:space="preserve"> initiated country wide food parcel program</w:t>
      </w:r>
      <w:r w:rsidR="00031134">
        <w:t>mes</w:t>
      </w:r>
      <w:r w:rsidRPr="000D33E4">
        <w:t xml:space="preserve"> </w:t>
      </w:r>
      <w:r w:rsidR="00BC7E6C">
        <w:t>that</w:t>
      </w:r>
      <w:r w:rsidR="00BC7E6C" w:rsidRPr="000D33E4">
        <w:t xml:space="preserve"> </w:t>
      </w:r>
      <w:r w:rsidRPr="000D33E4">
        <w:t>ha</w:t>
      </w:r>
      <w:r w:rsidR="00031134">
        <w:t>ve</w:t>
      </w:r>
      <w:r w:rsidRPr="000D33E4">
        <w:t xml:space="preserve"> benefited a number of people. The food parcel program</w:t>
      </w:r>
      <w:r w:rsidR="00031134">
        <w:t>me, however,</w:t>
      </w:r>
      <w:r w:rsidRPr="000D33E4">
        <w:t xml:space="preserve"> is poorly coordinated and targeted despite government efforts to centralise food donations and distribution.</w:t>
      </w:r>
    </w:p>
    <w:p w14:paraId="312A9BA0" w14:textId="77777777" w:rsidR="00C806D3" w:rsidRDefault="00C806D3" w:rsidP="002817C2">
      <w:pPr>
        <w:rPr>
          <w:rFonts w:ascii="Times" w:hAnsi="Times"/>
        </w:rPr>
      </w:pPr>
    </w:p>
    <w:p w14:paraId="4AA124FD" w14:textId="5959EF00" w:rsidR="00C806D3" w:rsidRDefault="00C806D3" w:rsidP="00C806D3">
      <w:r>
        <w:t xml:space="preserve">A deeper </w:t>
      </w:r>
      <w:r w:rsidRPr="003D0A22">
        <w:t xml:space="preserve">analysis </w:t>
      </w:r>
      <w:r w:rsidR="00BC7E6C">
        <w:t>suggests</w:t>
      </w:r>
      <w:r w:rsidR="00BC7E6C" w:rsidRPr="003D0A22">
        <w:t xml:space="preserve"> </w:t>
      </w:r>
      <w:r>
        <w:t xml:space="preserve">that the fiscal response </w:t>
      </w:r>
      <w:r w:rsidRPr="003D0A22">
        <w:t xml:space="preserve">package </w:t>
      </w:r>
      <w:r>
        <w:t xml:space="preserve">is inadequate. </w:t>
      </w:r>
      <w:r w:rsidRPr="004F2AF9">
        <w:t>According to different forecasts, South Africa’s GDP growth in 2020 is expected to s</w:t>
      </w:r>
      <w:r>
        <w:t>l</w:t>
      </w:r>
      <w:r w:rsidRPr="004F2AF9">
        <w:t>ow down significantly. Forecasts to date range from -5.4 per cent to -20.4 per cent</w:t>
      </w:r>
      <w:r>
        <w:t xml:space="preserve">. </w:t>
      </w:r>
      <w:r w:rsidRPr="004F2AF9">
        <w:t xml:space="preserve">This </w:t>
      </w:r>
      <w:r w:rsidR="00205DCE">
        <w:t>implies</w:t>
      </w:r>
      <w:r w:rsidRPr="004F2AF9">
        <w:t xml:space="preserve"> that the </w:t>
      </w:r>
      <w:r>
        <w:t xml:space="preserve">fiscal and monetary </w:t>
      </w:r>
      <w:r w:rsidRPr="004F2AF9">
        <w:t xml:space="preserve">support </w:t>
      </w:r>
      <w:r>
        <w:t xml:space="preserve">warranted to revitalise the </w:t>
      </w:r>
      <w:r w:rsidRPr="004F2AF9">
        <w:t>economy</w:t>
      </w:r>
      <w:r>
        <w:t xml:space="preserve"> must be substantial and commensurate with the magnitude of the </w:t>
      </w:r>
      <w:r w:rsidR="00BF338D">
        <w:t xml:space="preserve">forecast economic contraction. </w:t>
      </w:r>
      <w:r w:rsidR="002F0CF3">
        <w:t>As indicated earlier, t</w:t>
      </w:r>
      <w:r w:rsidR="00BF338D">
        <w:t xml:space="preserve">he size of the current fiscal response </w:t>
      </w:r>
      <w:r w:rsidR="003414B8">
        <w:t>package largely</w:t>
      </w:r>
      <w:r w:rsidR="00BF338D">
        <w:t xml:space="preserve"> constitute</w:t>
      </w:r>
      <w:r w:rsidR="002F0CF3">
        <w:t>s</w:t>
      </w:r>
      <w:r w:rsidR="00BF338D">
        <w:t xml:space="preserve"> income replacement rather than new injection.</w:t>
      </w:r>
      <w:r w:rsidR="002D39CB">
        <w:t xml:space="preserve"> </w:t>
      </w:r>
      <w:r>
        <w:t xml:space="preserve"> </w:t>
      </w:r>
    </w:p>
    <w:p w14:paraId="2314CBEA" w14:textId="77777777" w:rsidR="00C806D3" w:rsidRDefault="00C806D3" w:rsidP="00C806D3"/>
    <w:p w14:paraId="6FDF86DA" w14:textId="47A32F0A" w:rsidR="00C806D3" w:rsidRDefault="00C806D3" w:rsidP="00C806D3">
      <w:r>
        <w:t xml:space="preserve">Whereas the </w:t>
      </w:r>
      <w:r w:rsidRPr="0076550E">
        <w:t xml:space="preserve">SARB does not have a mandate to fund government directly, </w:t>
      </w:r>
      <w:r>
        <w:t>it</w:t>
      </w:r>
      <w:r w:rsidRPr="0076550E">
        <w:t xml:space="preserve"> does have the authority to conduct open market operations. As the central monetary and financial authority, it is the only institution with the ability to intervene in the capital market under conditions of distress</w:t>
      </w:r>
      <w:r>
        <w:t>.</w:t>
      </w:r>
      <w:r w:rsidRPr="0076550E">
        <w:t xml:space="preserve"> </w:t>
      </w:r>
      <w:r>
        <w:t xml:space="preserve">Therefore a more aggressive </w:t>
      </w:r>
      <w:r w:rsidRPr="0076550E">
        <w:t xml:space="preserve">bond purchase programme </w:t>
      </w:r>
      <w:r>
        <w:t>by SARB is feasible and warranted</w:t>
      </w:r>
      <w:r w:rsidR="002F0CF3">
        <w:t>, and</w:t>
      </w:r>
      <w:r>
        <w:t xml:space="preserve"> </w:t>
      </w:r>
      <w:r w:rsidRPr="0076550E">
        <w:t>would substantial</w:t>
      </w:r>
      <w:r>
        <w:t>ly</w:t>
      </w:r>
      <w:r w:rsidRPr="0076550E">
        <w:t xml:space="preserve"> strengthen</w:t>
      </w:r>
      <w:r>
        <w:t xml:space="preserve"> </w:t>
      </w:r>
      <w:r w:rsidRPr="0076550E">
        <w:t>liquidity in the markets</w:t>
      </w:r>
      <w:r>
        <w:rPr>
          <w:rStyle w:val="FootnoteReference"/>
        </w:rPr>
        <w:footnoteReference w:id="7"/>
      </w:r>
      <w:r>
        <w:t xml:space="preserve">. </w:t>
      </w:r>
    </w:p>
    <w:p w14:paraId="6D4557E6" w14:textId="77777777" w:rsidR="00C806D3" w:rsidRDefault="00C806D3" w:rsidP="00C806D3"/>
    <w:p w14:paraId="1849F264" w14:textId="6F9B1E8D" w:rsidR="00C806D3" w:rsidRDefault="00C806D3" w:rsidP="00C806D3">
      <w:r>
        <w:t>G</w:t>
      </w:r>
      <w:r w:rsidRPr="00E87E9C">
        <w:t xml:space="preserve">overnment </w:t>
      </w:r>
      <w:r>
        <w:t xml:space="preserve">should consider </w:t>
      </w:r>
      <w:r w:rsidRPr="00E87E9C">
        <w:t>its total balance sheet</w:t>
      </w:r>
      <w:r>
        <w:t xml:space="preserve"> in supporting an </w:t>
      </w:r>
      <w:r w:rsidRPr="00E87E9C">
        <w:t>economy</w:t>
      </w:r>
      <w:r>
        <w:t xml:space="preserve"> that is on the brink of collaps</w:t>
      </w:r>
      <w:r w:rsidR="00BE221C">
        <w:t>e</w:t>
      </w:r>
      <w:r>
        <w:t>.</w:t>
      </w:r>
      <w:r w:rsidR="002D39CB">
        <w:t xml:space="preserve"> </w:t>
      </w:r>
      <w:r>
        <w:t>A</w:t>
      </w:r>
      <w:r w:rsidRPr="00E87E9C">
        <w:t>ssets on the national balance sheet include the Public Investment Corporation (PIC), Government Employees Pension Fund (GEPF)</w:t>
      </w:r>
      <w:r w:rsidR="00923208">
        <w:t>,</w:t>
      </w:r>
      <w:r w:rsidRPr="00E87E9C">
        <w:t xml:space="preserve"> Unemployment Insurance Fund (UIF)</w:t>
      </w:r>
      <w:r>
        <w:t>, the</w:t>
      </w:r>
      <w:r w:rsidRPr="00E87E9C">
        <w:t xml:space="preserve"> National Revenue Fund, an</w:t>
      </w:r>
      <w:r>
        <w:t xml:space="preserve">d SARB </w:t>
      </w:r>
      <w:r w:rsidRPr="00E87E9C">
        <w:t>foreign exchange reserves</w:t>
      </w:r>
      <w:r>
        <w:t xml:space="preserve">. </w:t>
      </w:r>
    </w:p>
    <w:p w14:paraId="67E4A617" w14:textId="77777777" w:rsidR="00C806D3" w:rsidRPr="00E87E9C" w:rsidRDefault="00C806D3" w:rsidP="00C806D3"/>
    <w:p w14:paraId="19AC3BB0" w14:textId="49955876" w:rsidR="00C806D3" w:rsidRDefault="002D39CB" w:rsidP="00C806D3">
      <w:r>
        <w:t xml:space="preserve">      </w:t>
      </w:r>
    </w:p>
    <w:p w14:paraId="7F7A8DE0" w14:textId="0ECBC841" w:rsidR="00C806D3" w:rsidRDefault="00C806D3" w:rsidP="00C806D3">
      <w:r>
        <w:t>T</w:t>
      </w:r>
      <w:r w:rsidRPr="00554BB1">
        <w:t xml:space="preserve">he R50 billion allocation to poor households </w:t>
      </w:r>
      <w:r w:rsidRPr="0003224E">
        <w:t xml:space="preserve">accounts </w:t>
      </w:r>
      <w:r>
        <w:t>for</w:t>
      </w:r>
      <w:r w:rsidRPr="0003224E">
        <w:t xml:space="preserve"> only </w:t>
      </w:r>
      <w:r>
        <w:t xml:space="preserve">ten </w:t>
      </w:r>
      <w:r w:rsidR="008F2D09">
        <w:t>per cent</w:t>
      </w:r>
      <w:r w:rsidRPr="0003224E">
        <w:t xml:space="preserve"> of the R500 billion package</w:t>
      </w:r>
      <w:r>
        <w:t xml:space="preserve">. This amount is very small in a context </w:t>
      </w:r>
      <w:r w:rsidR="00D8333F">
        <w:t xml:space="preserve">in which </w:t>
      </w:r>
      <w:r>
        <w:t>more than half of the population (</w:t>
      </w:r>
      <w:r w:rsidRPr="00554BB1">
        <w:t>30.4 million people</w:t>
      </w:r>
      <w:r>
        <w:t>)</w:t>
      </w:r>
      <w:r w:rsidRPr="00554BB1">
        <w:t xml:space="preserve"> live</w:t>
      </w:r>
      <w:r w:rsidR="00D8333F">
        <w:t>d</w:t>
      </w:r>
      <w:r>
        <w:t xml:space="preserve"> below the </w:t>
      </w:r>
      <w:r w:rsidRPr="00554BB1">
        <w:t xml:space="preserve">poverty </w:t>
      </w:r>
      <w:r>
        <w:t>line</w:t>
      </w:r>
      <w:r>
        <w:rPr>
          <w:rStyle w:val="FootnoteReference"/>
        </w:rPr>
        <w:footnoteReference w:id="8"/>
      </w:r>
      <w:r w:rsidR="00D57DFA">
        <w:t xml:space="preserve"> </w:t>
      </w:r>
      <w:r w:rsidRPr="00554BB1">
        <w:t xml:space="preserve">in 2015, according to Statistics South Africa. In other countries, such transfer income to impoverished households have accounted for up to 50% of stimulus packages. The R325 monthly grant is below the food poverty line of R561. The humanitarian relief in the form of food parcels is woefully inadequate in a country </w:t>
      </w:r>
      <w:r w:rsidR="00977DF6">
        <w:t>considering poverty levels noted above</w:t>
      </w:r>
      <w:r w:rsidRPr="00554BB1">
        <w:t>. </w:t>
      </w:r>
    </w:p>
    <w:p w14:paraId="1BA1BA65" w14:textId="77777777" w:rsidR="00631E40" w:rsidRDefault="00631E40" w:rsidP="00631E40">
      <w:pPr>
        <w:rPr>
          <w:rFonts w:ascii="Times" w:hAnsi="Times"/>
        </w:rPr>
      </w:pPr>
    </w:p>
    <w:p w14:paraId="26787D73" w14:textId="12FDF27E" w:rsidR="00631E40" w:rsidRDefault="00631E40" w:rsidP="00631E40">
      <w:pPr>
        <w:rPr>
          <w:rFonts w:ascii="Times" w:hAnsi="Times"/>
        </w:rPr>
      </w:pPr>
      <w:r>
        <w:rPr>
          <w:rFonts w:ascii="Times" w:hAnsi="Times"/>
        </w:rPr>
        <w:t>The R95 billion earmarked for</w:t>
      </w:r>
      <w:r w:rsidRPr="00147758">
        <w:rPr>
          <w:rFonts w:ascii="Times" w:hAnsi="Times"/>
        </w:rPr>
        <w:t xml:space="preserve"> business support, job creation and protection</w:t>
      </w:r>
      <w:r>
        <w:rPr>
          <w:rFonts w:ascii="Times" w:hAnsi="Times"/>
        </w:rPr>
        <w:t xml:space="preserve"> is </w:t>
      </w:r>
      <w:r w:rsidR="0065112A">
        <w:rPr>
          <w:rFonts w:ascii="Times" w:hAnsi="Times"/>
        </w:rPr>
        <w:t>in</w:t>
      </w:r>
      <w:r>
        <w:rPr>
          <w:rFonts w:ascii="Times" w:hAnsi="Times"/>
        </w:rPr>
        <w:t>adequate given the scale of projected job losses. This is further exacerbated by the fact that pre-C</w:t>
      </w:r>
      <w:r w:rsidR="0065112A">
        <w:rPr>
          <w:rFonts w:ascii="Times" w:hAnsi="Times"/>
        </w:rPr>
        <w:t>ovid</w:t>
      </w:r>
      <w:r>
        <w:rPr>
          <w:rFonts w:ascii="Times" w:hAnsi="Times"/>
        </w:rPr>
        <w:t xml:space="preserve">-19, the economy was already plagued by a </w:t>
      </w:r>
      <w:r w:rsidR="00643E3C">
        <w:rPr>
          <w:rFonts w:ascii="Times" w:hAnsi="Times"/>
        </w:rPr>
        <w:t>very high</w:t>
      </w:r>
      <w:r>
        <w:rPr>
          <w:rFonts w:ascii="Times" w:hAnsi="Times"/>
        </w:rPr>
        <w:t xml:space="preserve"> unemployment rate. More than half (56.4 per cent) of young </w:t>
      </w:r>
      <w:r w:rsidR="00643E3C">
        <w:rPr>
          <w:rFonts w:ascii="Times" w:hAnsi="Times"/>
        </w:rPr>
        <w:t>people aged</w:t>
      </w:r>
      <w:r>
        <w:rPr>
          <w:rFonts w:ascii="Times" w:hAnsi="Times"/>
        </w:rPr>
        <w:t xml:space="preserve"> 15-24 years are unemployed as shown in Figure 12 below. </w:t>
      </w:r>
    </w:p>
    <w:p w14:paraId="77716690" w14:textId="77777777" w:rsidR="00631E40" w:rsidRDefault="00631E40" w:rsidP="00631E40">
      <w:pPr>
        <w:rPr>
          <w:rFonts w:ascii="Times" w:hAnsi="Times"/>
        </w:rPr>
      </w:pPr>
    </w:p>
    <w:p w14:paraId="3002D61A" w14:textId="04ADB19F" w:rsidR="00631E40" w:rsidRPr="006142F1" w:rsidRDefault="00631E40" w:rsidP="006142F1">
      <w:pPr>
        <w:pStyle w:val="Caption"/>
        <w:spacing w:after="60"/>
        <w:rPr>
          <w:color w:val="004C45" w:themeColor="text2"/>
          <w:sz w:val="24"/>
          <w:szCs w:val="24"/>
        </w:rPr>
      </w:pPr>
      <w:bookmarkStart w:id="82" w:name="_Toc42211444"/>
      <w:r w:rsidRPr="006142F1">
        <w:rPr>
          <w:color w:val="004C45" w:themeColor="text2"/>
          <w:sz w:val="24"/>
          <w:szCs w:val="24"/>
        </w:rPr>
        <w:t xml:space="preserve">Figure </w:t>
      </w:r>
      <w:r w:rsidR="001702E8" w:rsidRPr="006142F1">
        <w:rPr>
          <w:color w:val="004C45" w:themeColor="text2"/>
          <w:sz w:val="24"/>
          <w:szCs w:val="24"/>
        </w:rPr>
        <w:fldChar w:fldCharType="begin"/>
      </w:r>
      <w:r w:rsidR="001702E8" w:rsidRPr="006142F1">
        <w:rPr>
          <w:color w:val="004C45" w:themeColor="text2"/>
          <w:sz w:val="24"/>
          <w:szCs w:val="24"/>
        </w:rPr>
        <w:instrText xml:space="preserve"> SEQ Figure \* ARABIC </w:instrText>
      </w:r>
      <w:r w:rsidR="001702E8" w:rsidRPr="006142F1">
        <w:rPr>
          <w:color w:val="004C45" w:themeColor="text2"/>
          <w:sz w:val="24"/>
          <w:szCs w:val="24"/>
        </w:rPr>
        <w:fldChar w:fldCharType="separate"/>
      </w:r>
      <w:r w:rsidR="00835259" w:rsidRPr="006142F1">
        <w:rPr>
          <w:noProof/>
          <w:color w:val="004C45" w:themeColor="text2"/>
          <w:sz w:val="24"/>
          <w:szCs w:val="24"/>
        </w:rPr>
        <w:t>12</w:t>
      </w:r>
      <w:r w:rsidR="001702E8" w:rsidRPr="006142F1">
        <w:rPr>
          <w:noProof/>
          <w:color w:val="004C45" w:themeColor="text2"/>
          <w:sz w:val="24"/>
          <w:szCs w:val="24"/>
        </w:rPr>
        <w:fldChar w:fldCharType="end"/>
      </w:r>
      <w:r w:rsidRPr="006142F1">
        <w:rPr>
          <w:color w:val="004C45" w:themeColor="text2"/>
          <w:sz w:val="24"/>
          <w:szCs w:val="24"/>
        </w:rPr>
        <w:t>: Unemployment rate in South Africa, 2008-2019</w:t>
      </w:r>
      <w:bookmarkEnd w:id="82"/>
    </w:p>
    <w:p w14:paraId="77DC7377" w14:textId="77777777" w:rsidR="00631E40" w:rsidRDefault="00631E40" w:rsidP="00631E40">
      <w:r>
        <w:rPr>
          <w:noProof/>
          <w:lang w:eastAsia="en-ZA"/>
        </w:rPr>
        <w:drawing>
          <wp:inline distT="0" distB="0" distL="0" distR="0" wp14:anchorId="052E42CD" wp14:editId="39ED2602">
            <wp:extent cx="6080760" cy="2743200"/>
            <wp:effectExtent l="0" t="0" r="15240" b="12700"/>
            <wp:docPr id="3" name="Chart 3">
              <a:extLst xmlns:a="http://schemas.openxmlformats.org/drawingml/2006/main">
                <a:ext uri="{FF2B5EF4-FFF2-40B4-BE49-F238E27FC236}">
                  <a16:creationId xmlns:a16="http://schemas.microsoft.com/office/drawing/2014/main" id="{21B2A956-D979-4515-91F2-27A3D302E27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5F469C22" w14:textId="77777777" w:rsidR="00631E40" w:rsidRPr="00977DF6" w:rsidRDefault="00631E40" w:rsidP="00631E40">
      <w:pPr>
        <w:rPr>
          <w:i/>
          <w:iCs/>
          <w:sz w:val="20"/>
          <w:szCs w:val="18"/>
        </w:rPr>
      </w:pPr>
      <w:r w:rsidRPr="00977DF6">
        <w:rPr>
          <w:i/>
          <w:iCs/>
          <w:sz w:val="20"/>
          <w:szCs w:val="18"/>
        </w:rPr>
        <w:t xml:space="preserve">Source: Statistics South Africa </w:t>
      </w:r>
    </w:p>
    <w:p w14:paraId="32E0A097" w14:textId="77777777" w:rsidR="00631E40" w:rsidRPr="00147758" w:rsidRDefault="00631E40" w:rsidP="00631E40">
      <w:pPr>
        <w:rPr>
          <w:rFonts w:ascii="Times" w:hAnsi="Times"/>
        </w:rPr>
      </w:pPr>
      <w:r>
        <w:rPr>
          <w:rFonts w:ascii="Times" w:hAnsi="Times"/>
        </w:rPr>
        <w:t xml:space="preserve"> </w:t>
      </w:r>
    </w:p>
    <w:p w14:paraId="6E7D8B55" w14:textId="6E8F1B95" w:rsidR="002817C2" w:rsidRPr="000D33E4" w:rsidRDefault="002817C2" w:rsidP="009A7F2D">
      <w:r w:rsidRPr="000D33E4">
        <w:t xml:space="preserve">The Commission commends the immediate response to cushion businesses and households from the </w:t>
      </w:r>
      <w:r w:rsidR="00C557D4">
        <w:t xml:space="preserve">sudden </w:t>
      </w:r>
      <w:r w:rsidRPr="000D33E4">
        <w:t xml:space="preserve">impact of the lockdown. </w:t>
      </w:r>
      <w:r w:rsidR="00031134">
        <w:t>Without</w:t>
      </w:r>
      <w:r w:rsidRPr="000D33E4">
        <w:t xml:space="preserve"> government intervention</w:t>
      </w:r>
      <w:r w:rsidR="00031134">
        <w:t>,</w:t>
      </w:r>
      <w:r w:rsidRPr="000D33E4">
        <w:t xml:space="preserve"> several businesses </w:t>
      </w:r>
      <w:r w:rsidR="00031134">
        <w:t>would have faced</w:t>
      </w:r>
      <w:r w:rsidRPr="000D33E4">
        <w:t xml:space="preserve"> sharp decline</w:t>
      </w:r>
      <w:r w:rsidR="00031134">
        <w:t>s</w:t>
      </w:r>
      <w:r w:rsidRPr="000D33E4">
        <w:t xml:space="preserve"> in liquidity, limiting their ability to pay rent, salaries and intermediate goods. Vulnerable households </w:t>
      </w:r>
      <w:r w:rsidR="00031134">
        <w:t>would have fallen</w:t>
      </w:r>
      <w:r w:rsidRPr="000D33E4">
        <w:t xml:space="preserve"> deeper into poverty and many </w:t>
      </w:r>
      <w:r w:rsidR="00031134">
        <w:t xml:space="preserve">would </w:t>
      </w:r>
      <w:r w:rsidR="000A078F">
        <w:t xml:space="preserve">not </w:t>
      </w:r>
      <w:r w:rsidR="00031134">
        <w:t>have</w:t>
      </w:r>
      <w:r w:rsidRPr="000D33E4">
        <w:t xml:space="preserve"> employment. These measures can be considered </w:t>
      </w:r>
      <w:r w:rsidR="00031134">
        <w:t>“</w:t>
      </w:r>
      <w:r w:rsidRPr="000D33E4">
        <w:t>first round</w:t>
      </w:r>
      <w:r w:rsidR="00031134">
        <w:t>”</w:t>
      </w:r>
      <w:r w:rsidRPr="000D33E4">
        <w:t xml:space="preserve"> responses to the crisis. </w:t>
      </w:r>
    </w:p>
    <w:p w14:paraId="61572AD9" w14:textId="77777777" w:rsidR="002817C2" w:rsidRPr="000D33E4" w:rsidRDefault="002817C2" w:rsidP="002817C2">
      <w:pPr>
        <w:rPr>
          <w:rFonts w:ascii="Times" w:hAnsi="Times"/>
        </w:rPr>
      </w:pPr>
    </w:p>
    <w:p w14:paraId="6813A11E" w14:textId="2993969D" w:rsidR="002817C2" w:rsidRPr="000D33E4" w:rsidRDefault="002817C2" w:rsidP="009A7F2D">
      <w:r w:rsidRPr="000D33E4">
        <w:t xml:space="preserve">Details of the criteria for distributing both the fiscal and monetary stimulus are currently scanty as government is yet to finalise the adjustment budget. It is imperative that both the fiscal and monetary responses comply with revenue sharing principles outlined in section 214 a-j of the </w:t>
      </w:r>
      <w:r w:rsidR="00031134">
        <w:t>C</w:t>
      </w:r>
      <w:r w:rsidRPr="000D33E4">
        <w:t>onstitution</w:t>
      </w:r>
      <w:r w:rsidR="004E0BF4">
        <w:t xml:space="preserve"> – particularly, in respect to equity</w:t>
      </w:r>
      <w:r w:rsidRPr="000D33E4">
        <w:t>.</w:t>
      </w:r>
      <w:r w:rsidR="004E0BF4">
        <w:t xml:space="preserve"> The fiscal and monetary response must be distributed equitably </w:t>
      </w:r>
      <w:r w:rsidR="001B6F7F">
        <w:t>across the sub</w:t>
      </w:r>
      <w:r w:rsidR="006A3122">
        <w:t xml:space="preserve"> </w:t>
      </w:r>
      <w:r w:rsidR="001B6F7F">
        <w:t xml:space="preserve">national governments and business sector. In this </w:t>
      </w:r>
      <w:r w:rsidR="00631E40">
        <w:t>regard, the</w:t>
      </w:r>
      <w:r w:rsidR="001B6F7F">
        <w:t xml:space="preserve"> Commission recommends that the</w:t>
      </w:r>
      <w:r w:rsidRPr="000D33E4">
        <w:t xml:space="preserve"> health and municipal allocations, in particular, should be distributed equitably across provinces and municipalities</w:t>
      </w:r>
      <w:r w:rsidR="00031134">
        <w:t xml:space="preserve">, </w:t>
      </w:r>
      <w:r w:rsidRPr="000D33E4">
        <w:t xml:space="preserve">using </w:t>
      </w:r>
      <w:r w:rsidR="00031134">
        <w:t xml:space="preserve">either </w:t>
      </w:r>
      <w:r w:rsidRPr="000D33E4">
        <w:t>the respective equitable share formulae or temporary conditional grant allocat</w:t>
      </w:r>
      <w:r w:rsidR="00031134">
        <w:t>ions</w:t>
      </w:r>
      <w:r w:rsidRPr="000D33E4">
        <w:t xml:space="preserve"> on the bas</w:t>
      </w:r>
      <w:r w:rsidR="00031134">
        <w:t>i</w:t>
      </w:r>
      <w:r w:rsidRPr="000D33E4">
        <w:t>s of Covid-19 case load. Government must also consider standardising the application requirements for the loan guarantee scheme and earmar</w:t>
      </w:r>
      <w:r w:rsidR="005F78EC">
        <w:t>k</w:t>
      </w:r>
      <w:r w:rsidRPr="000D33E4">
        <w:t xml:space="preserve"> the proportional benefit share for each province to ensure regional/spatial equity. </w:t>
      </w:r>
    </w:p>
    <w:p w14:paraId="5418F761" w14:textId="77777777" w:rsidR="00574B46" w:rsidRPr="000D33E4" w:rsidRDefault="00574B46" w:rsidP="00574B46">
      <w:pPr>
        <w:rPr>
          <w:rFonts w:ascii="Times" w:hAnsi="Times"/>
        </w:rPr>
      </w:pPr>
    </w:p>
    <w:p w14:paraId="6600ED6D" w14:textId="6895DEED" w:rsidR="0093112C" w:rsidRDefault="002817C2" w:rsidP="009A7F2D">
      <w:r w:rsidRPr="000D33E4">
        <w:t xml:space="preserve">The </w:t>
      </w:r>
      <w:r w:rsidR="00031134">
        <w:t>C</w:t>
      </w:r>
      <w:r w:rsidRPr="000D33E4">
        <w:t>ommission further notes that the economy is likely to experience an L</w:t>
      </w:r>
      <w:r w:rsidR="00031134">
        <w:t>-</w:t>
      </w:r>
      <w:r w:rsidRPr="000D33E4">
        <w:t>shaped recovery characterised by persistent unemployment and stagnant growth. Such a predicament will require</w:t>
      </w:r>
      <w:r w:rsidR="002D39CB">
        <w:t xml:space="preserve"> </w:t>
      </w:r>
      <w:r w:rsidR="005F78EC">
        <w:t xml:space="preserve">sequenced and </w:t>
      </w:r>
      <w:r w:rsidRPr="000D33E4">
        <w:t>sustained fiscal and monetary responses which may further require relaxation of the ongoing fiscal consolidation</w:t>
      </w:r>
      <w:r w:rsidR="005F78EC">
        <w:t xml:space="preserve"> stance</w:t>
      </w:r>
      <w:r w:rsidR="00C557D4">
        <w:t xml:space="preserve"> in the short to medium term</w:t>
      </w:r>
      <w:r w:rsidRPr="000D33E4">
        <w:t xml:space="preserve">. The resultant high debt could pay for itself through higher tax revenue if the deficit spending is well targeted at stimulating private sector activity and addressing the inherent structural weaknesses in the economy. The government will have to make a difficult trade-off between </w:t>
      </w:r>
      <w:r w:rsidR="00C557D4">
        <w:t>attaining</w:t>
      </w:r>
      <w:r w:rsidRPr="000D33E4">
        <w:t xml:space="preserve"> fiscal stability and </w:t>
      </w:r>
      <w:r w:rsidR="00C557D4">
        <w:t>bolstering</w:t>
      </w:r>
      <w:r w:rsidRPr="000D33E4">
        <w:t xml:space="preserve"> a stagnant economy. A return to fiscal stability will entail significant expenditure cuts in government spending.</w:t>
      </w:r>
      <w:r w:rsidR="005F78EC">
        <w:t xml:space="preserve"> The Commission thus proposes that government</w:t>
      </w:r>
      <w:r w:rsidR="006A3122">
        <w:t>’s</w:t>
      </w:r>
      <w:r w:rsidR="005F78EC">
        <w:t xml:space="preserve"> fiscal response should be guided by the following sequenc</w:t>
      </w:r>
      <w:r w:rsidR="0093112C">
        <w:t>e:</w:t>
      </w:r>
      <w:r w:rsidR="002D39CB">
        <w:t xml:space="preserve"> </w:t>
      </w:r>
    </w:p>
    <w:p w14:paraId="2696C865" w14:textId="16EB1D21" w:rsidR="0093112C" w:rsidRPr="0093112C" w:rsidRDefault="005F78EC" w:rsidP="00C557D4">
      <w:pPr>
        <w:pStyle w:val="ListParagraph"/>
      </w:pPr>
      <w:r>
        <w:t>In the short to medium</w:t>
      </w:r>
      <w:r w:rsidR="00400050">
        <w:t xml:space="preserve"> </w:t>
      </w:r>
      <w:r>
        <w:t xml:space="preserve">term the response package must be directed at supporting the health care system – reimbursing provinces for the additional cost burden imposed by Covid-19 screening, testing and hospitalisation. </w:t>
      </w:r>
      <w:r w:rsidR="00C557D4">
        <w:t>I</w:t>
      </w:r>
      <w:r>
        <w:t>nterventions must focus on</w:t>
      </w:r>
      <w:r w:rsidR="00347E08">
        <w:t xml:space="preserve"> preventing socio-economic hardships, ensuring food security and</w:t>
      </w:r>
      <w:r>
        <w:t xml:space="preserve"> preserving livelihood strategies for the poor, unemployed and </w:t>
      </w:r>
      <w:r w:rsidR="00347E08">
        <w:t xml:space="preserve">the </w:t>
      </w:r>
      <w:r>
        <w:t>vulnerable households (child headed households and the elderly).</w:t>
      </w:r>
      <w:r w:rsidR="002D39CB">
        <w:t xml:space="preserve"> </w:t>
      </w:r>
    </w:p>
    <w:p w14:paraId="5AB301F9" w14:textId="6FCD403C" w:rsidR="00C557D4" w:rsidRPr="00D71D8C" w:rsidRDefault="0071546B" w:rsidP="00C557D4">
      <w:pPr>
        <w:pStyle w:val="ListParagraph"/>
      </w:pPr>
      <w:r w:rsidRPr="00DF2F49">
        <w:t>In the long run post, Covid-19 (recovery phase), the Commission notes that the government may have to implement fiscal stimulus packages to boost the economy through consumption and investment spending. The extent of the fiscal package will depend on the fiscal space (ability to borrow, raise taxes or to deploy off-budget transactions such as pension funds and direct borrowing from the reserve bank) and the longevity of the phase. A protracted economic recovery will need drastic readjusting of expenditure priorities and generous stimulants for private sector activity. In the absence of a fiscal space for a robust fiscal and monetary stimulus, government will have to focus strategically on structural transformation in respect of improving education completion rates and outcomes, reskilling the unemployed, reorienting higher education towards digital skills, strengthening manufacturing capabilities, reducing high levels of concentration in the economy, strengthening the capacity of the state and reviewing the means testing across the board.</w:t>
      </w:r>
      <w:r w:rsidR="00C557D4" w:rsidRPr="000D33E4">
        <w:t xml:space="preserve"> </w:t>
      </w:r>
      <w:r w:rsidR="00C557D4">
        <w:t>This will necessitate a review of institutional efficiency and of the “right sizing” of government, including its entities.</w:t>
      </w:r>
    </w:p>
    <w:p w14:paraId="6C0E19D2" w14:textId="77777777" w:rsidR="0071546B" w:rsidRPr="00DF2F49" w:rsidRDefault="0071546B" w:rsidP="00D37EC1">
      <w:pPr>
        <w:pStyle w:val="ListParagraph"/>
        <w:numPr>
          <w:ilvl w:val="0"/>
          <w:numId w:val="0"/>
        </w:numPr>
        <w:ind w:left="567"/>
      </w:pPr>
    </w:p>
    <w:p w14:paraId="3421F9F8" w14:textId="0A68CDA9" w:rsidR="008C3C83" w:rsidRDefault="003414B8" w:rsidP="008F2D09">
      <w:pPr>
        <w:pStyle w:val="Heading2"/>
        <w:rPr>
          <w:color w:val="26724C"/>
          <w:szCs w:val="24"/>
        </w:rPr>
      </w:pPr>
      <w:bookmarkStart w:id="83" w:name="_Toc42211917"/>
      <w:r w:rsidRPr="00DF2F49">
        <w:rPr>
          <w:color w:val="26724C"/>
          <w:szCs w:val="24"/>
        </w:rPr>
        <w:t xml:space="preserve">The </w:t>
      </w:r>
      <w:r w:rsidR="008F2D09" w:rsidRPr="00DF2F49">
        <w:rPr>
          <w:color w:val="26724C"/>
          <w:szCs w:val="24"/>
        </w:rPr>
        <w:t>r</w:t>
      </w:r>
      <w:r w:rsidRPr="00DF2F49">
        <w:rPr>
          <w:color w:val="26724C"/>
          <w:szCs w:val="24"/>
        </w:rPr>
        <w:t xml:space="preserve">eform </w:t>
      </w:r>
      <w:r w:rsidR="003B1791" w:rsidRPr="00DF2F49">
        <w:rPr>
          <w:b w:val="0"/>
          <w:bCs w:val="0"/>
          <w:color w:val="26724C"/>
          <w:szCs w:val="24"/>
        </w:rPr>
        <w:t>a</w:t>
      </w:r>
      <w:r w:rsidRPr="00DF2F49">
        <w:rPr>
          <w:color w:val="26724C"/>
          <w:szCs w:val="24"/>
        </w:rPr>
        <w:t>genda</w:t>
      </w:r>
      <w:bookmarkEnd w:id="83"/>
    </w:p>
    <w:p w14:paraId="013BEF17" w14:textId="77777777" w:rsidR="008F2D09" w:rsidRPr="008F2D09" w:rsidRDefault="008F2D09" w:rsidP="008F2D09"/>
    <w:p w14:paraId="167F7D0F" w14:textId="4912F894" w:rsidR="003414B8" w:rsidRPr="00742B5A" w:rsidRDefault="00C557D4" w:rsidP="00951215">
      <w:pPr>
        <w:spacing w:after="200"/>
        <w:rPr>
          <w:szCs w:val="24"/>
        </w:rPr>
      </w:pPr>
      <w:r>
        <w:rPr>
          <w:szCs w:val="24"/>
        </w:rPr>
        <w:t>The Commission welcomed</w:t>
      </w:r>
      <w:r w:rsidR="003414B8" w:rsidRPr="00742B5A">
        <w:rPr>
          <w:szCs w:val="24"/>
        </w:rPr>
        <w:t xml:space="preserve"> the reforms advocated in the </w:t>
      </w:r>
      <w:r>
        <w:rPr>
          <w:szCs w:val="24"/>
        </w:rPr>
        <w:t xml:space="preserve">National Treasury </w:t>
      </w:r>
      <w:r w:rsidR="003414B8" w:rsidRPr="00742B5A">
        <w:rPr>
          <w:szCs w:val="24"/>
        </w:rPr>
        <w:t xml:space="preserve">paper: </w:t>
      </w:r>
      <w:r w:rsidR="00A25790">
        <w:rPr>
          <w:szCs w:val="24"/>
        </w:rPr>
        <w:t>“</w:t>
      </w:r>
      <w:r w:rsidR="003414B8" w:rsidRPr="00977DF6">
        <w:rPr>
          <w:szCs w:val="24"/>
        </w:rPr>
        <w:t xml:space="preserve">Economic transformation, inclusive growth, and </w:t>
      </w:r>
      <w:r w:rsidR="00144D78" w:rsidRPr="00977DF6">
        <w:rPr>
          <w:szCs w:val="24"/>
        </w:rPr>
        <w:t>competitiveness: Towards</w:t>
      </w:r>
      <w:r w:rsidR="003414B8" w:rsidRPr="00977DF6">
        <w:rPr>
          <w:szCs w:val="24"/>
        </w:rPr>
        <w:t xml:space="preserve"> an Economic Strategy for South Africa</w:t>
      </w:r>
      <w:r w:rsidR="00A25790">
        <w:rPr>
          <w:szCs w:val="24"/>
        </w:rPr>
        <w:t>”</w:t>
      </w:r>
      <w:r w:rsidR="003414B8" w:rsidRPr="00977DF6">
        <w:rPr>
          <w:szCs w:val="24"/>
        </w:rPr>
        <w:t xml:space="preserve">. </w:t>
      </w:r>
      <w:r w:rsidR="003414B8" w:rsidRPr="00742B5A">
        <w:rPr>
          <w:szCs w:val="24"/>
        </w:rPr>
        <w:t>It is the view of the Commission that the reforms are relevant t because they</w:t>
      </w:r>
      <w:r w:rsidR="003414B8" w:rsidRPr="00742B5A">
        <w:rPr>
          <w:i/>
          <w:iCs/>
          <w:szCs w:val="24"/>
        </w:rPr>
        <w:t xml:space="preserve"> </w:t>
      </w:r>
      <w:r w:rsidR="003414B8" w:rsidRPr="00742B5A">
        <w:rPr>
          <w:szCs w:val="24"/>
        </w:rPr>
        <w:t>are broadly pro-growth and they support, among other things, competitiveness and higher productivity. However, implementing the</w:t>
      </w:r>
      <w:r w:rsidR="00144D78">
        <w:rPr>
          <w:szCs w:val="24"/>
        </w:rPr>
        <w:t xml:space="preserve">se </w:t>
      </w:r>
      <w:r w:rsidR="003414B8" w:rsidRPr="00742B5A">
        <w:rPr>
          <w:szCs w:val="24"/>
        </w:rPr>
        <w:t>reforms will compete with other initiatives such as land expropriation without compensation</w:t>
      </w:r>
      <w:r w:rsidR="00A25790">
        <w:rPr>
          <w:szCs w:val="24"/>
        </w:rPr>
        <w:t>,</w:t>
      </w:r>
      <w:r w:rsidR="003414B8" w:rsidRPr="00742B5A">
        <w:rPr>
          <w:szCs w:val="24"/>
        </w:rPr>
        <w:t xml:space="preserve"> establishment of </w:t>
      </w:r>
      <w:r w:rsidR="00A25790">
        <w:rPr>
          <w:szCs w:val="24"/>
        </w:rPr>
        <w:t>the national health insurance (</w:t>
      </w:r>
      <w:r w:rsidR="003414B8" w:rsidRPr="00742B5A">
        <w:rPr>
          <w:szCs w:val="24"/>
        </w:rPr>
        <w:t>NHI</w:t>
      </w:r>
      <w:r w:rsidR="00A25790">
        <w:rPr>
          <w:szCs w:val="24"/>
        </w:rPr>
        <w:t>)</w:t>
      </w:r>
      <w:r w:rsidR="003414B8" w:rsidRPr="00742B5A">
        <w:rPr>
          <w:szCs w:val="24"/>
        </w:rPr>
        <w:t xml:space="preserve"> and extension of tax incentives to selected industries, highlighting the importance of prioritisation and sequence of the reforms.</w:t>
      </w:r>
      <w:r w:rsidR="002D39CB">
        <w:rPr>
          <w:szCs w:val="24"/>
        </w:rPr>
        <w:t xml:space="preserve"> </w:t>
      </w:r>
      <w:r w:rsidR="003414B8" w:rsidRPr="00742B5A">
        <w:rPr>
          <w:szCs w:val="24"/>
        </w:rPr>
        <w:t xml:space="preserve"> </w:t>
      </w:r>
    </w:p>
    <w:p w14:paraId="33ED5362" w14:textId="40CC6BB4" w:rsidR="003414B8" w:rsidRDefault="003414B8" w:rsidP="00C76E32">
      <w:r w:rsidRPr="00742B5A">
        <w:t xml:space="preserve">Social assistance and fiscal redistribution, sizeable and effectively targeted, play a fundamental role in containing the rise in inequality. The Commission is of the view that slow growth makes fiscal redistribution alone grossly insufficient to address the country’s inequalities. The Commission recommends that the cycle of low growth and high inequality must be broken through bold actions aimed at giving poor South Africans better access to good jobs so that they can fully participate in the economy. It is the only way to strengthen its social contract, where the political rights gained with democracy are met with people sharing in the nation’s wealth. </w:t>
      </w:r>
    </w:p>
    <w:p w14:paraId="488D45D1" w14:textId="77777777" w:rsidR="00C76E32" w:rsidRPr="00742B5A" w:rsidRDefault="00C76E32" w:rsidP="00CC643A"/>
    <w:p w14:paraId="3D98CE45" w14:textId="69DA31C1" w:rsidR="003414B8" w:rsidRDefault="003414B8" w:rsidP="00CC643A">
      <w:r w:rsidRPr="00821333">
        <w:t>The Commission recommends that the reform agenda should actively initiate a number of policy interventions</w:t>
      </w:r>
      <w:r w:rsidR="00E90245">
        <w:t>, including</w:t>
      </w:r>
      <w:r w:rsidRPr="00821333">
        <w:t xml:space="preserve">: </w:t>
      </w:r>
    </w:p>
    <w:p w14:paraId="72B39BCB" w14:textId="77777777" w:rsidR="00DF2F49" w:rsidRDefault="00DF2F49" w:rsidP="00CC643A">
      <w:pPr>
        <w:rPr>
          <w:sz w:val="22"/>
        </w:rPr>
      </w:pPr>
    </w:p>
    <w:p w14:paraId="2A2E0FD3" w14:textId="67CCFC71" w:rsidR="003414B8" w:rsidRPr="00C76E32" w:rsidRDefault="003414B8" w:rsidP="00B62345">
      <w:pPr>
        <w:pStyle w:val="ListParagraph"/>
      </w:pPr>
      <w:r w:rsidRPr="00C76E32">
        <w:t xml:space="preserve">Improving </w:t>
      </w:r>
      <w:r w:rsidR="00C76E32" w:rsidRPr="00C76E32">
        <w:t>g</w:t>
      </w:r>
      <w:r w:rsidRPr="00C76E32">
        <w:t xml:space="preserve">overnance and </w:t>
      </w:r>
      <w:r w:rsidR="00C76E32" w:rsidRPr="00C76E32">
        <w:t>f</w:t>
      </w:r>
      <w:r w:rsidRPr="00C76E32">
        <w:t xml:space="preserve">ighting </w:t>
      </w:r>
      <w:r w:rsidR="00C76E32" w:rsidRPr="00C76E32">
        <w:t>c</w:t>
      </w:r>
      <w:r w:rsidRPr="00C76E32">
        <w:t>orruption</w:t>
      </w:r>
      <w:r w:rsidR="00DF2F49">
        <w:t>:</w:t>
      </w:r>
    </w:p>
    <w:p w14:paraId="60E47A04" w14:textId="49CA0994" w:rsidR="003414B8" w:rsidRDefault="003414B8" w:rsidP="00CC643A">
      <w:pPr>
        <w:ind w:left="567" w:hanging="2"/>
      </w:pPr>
      <w:r w:rsidRPr="00E52214">
        <w:t>State</w:t>
      </w:r>
      <w:r w:rsidRPr="00013037">
        <w:t xml:space="preserve"> </w:t>
      </w:r>
      <w:r w:rsidRPr="00E52214">
        <w:t>capture</w:t>
      </w:r>
      <w:r w:rsidRPr="00013037">
        <w:t xml:space="preserve"> has</w:t>
      </w:r>
      <w:r w:rsidRPr="00E52214">
        <w:t xml:space="preserve"> weakened institutions and increased inefficiencies by distorting the playing field for</w:t>
      </w:r>
      <w:r w:rsidRPr="00013037">
        <w:t xml:space="preserve"> </w:t>
      </w:r>
      <w:r w:rsidRPr="00E52214">
        <w:t>investors, reduc</w:t>
      </w:r>
      <w:r w:rsidR="00C76E32">
        <w:t>ed</w:t>
      </w:r>
      <w:r w:rsidRPr="00E52214">
        <w:t xml:space="preserve"> tax revenue, and creat</w:t>
      </w:r>
      <w:r w:rsidR="00C76E32">
        <w:t>ed</w:t>
      </w:r>
      <w:r w:rsidRPr="00E52214">
        <w:t xml:space="preserve"> incentives to circumvent regulations to deviate from</w:t>
      </w:r>
      <w:r w:rsidRPr="00013037">
        <w:t xml:space="preserve"> </w:t>
      </w:r>
      <w:r w:rsidRPr="00E52214">
        <w:t>good public procurement practices.</w:t>
      </w:r>
      <w:r>
        <w:t xml:space="preserve"> According to Transparency </w:t>
      </w:r>
      <w:r w:rsidRPr="00D66FD0">
        <w:rPr>
          <w:color w:val="000000" w:themeColor="text1"/>
        </w:rPr>
        <w:t>International,</w:t>
      </w:r>
      <w:r w:rsidR="00C557D4" w:rsidRPr="00D66FD0">
        <w:rPr>
          <w:color w:val="000000" w:themeColor="text1"/>
        </w:rPr>
        <w:t xml:space="preserve"> in 2019</w:t>
      </w:r>
      <w:r w:rsidRPr="00D66FD0">
        <w:rPr>
          <w:color w:val="000000" w:themeColor="text1"/>
        </w:rPr>
        <w:t xml:space="preserve"> South Africa is ranked 70 out of 180 countries with a score of 44 out of 100</w:t>
      </w:r>
      <w:r w:rsidR="00144D78" w:rsidRPr="00D66FD0">
        <w:rPr>
          <w:color w:val="000000" w:themeColor="text1"/>
        </w:rPr>
        <w:t xml:space="preserve"> in terms of corruption</w:t>
      </w:r>
      <w:r w:rsidRPr="00D66FD0">
        <w:rPr>
          <w:color w:val="000000" w:themeColor="text1"/>
        </w:rPr>
        <w:t>. According to the Global Corruption Barometer</w:t>
      </w:r>
      <w:r w:rsidR="00C557D4" w:rsidRPr="00D66FD0">
        <w:rPr>
          <w:color w:val="000000" w:themeColor="text1"/>
        </w:rPr>
        <w:t xml:space="preserve"> in 2019</w:t>
      </w:r>
      <w:r w:rsidRPr="00D66FD0">
        <w:rPr>
          <w:color w:val="000000" w:themeColor="text1"/>
        </w:rPr>
        <w:t>, 64 per cent of South Africans think corruption increased in the previous 12 months and 18 per</w:t>
      </w:r>
      <w:r w:rsidR="00C76E32" w:rsidRPr="00D66FD0">
        <w:rPr>
          <w:color w:val="000000" w:themeColor="text1"/>
        </w:rPr>
        <w:t xml:space="preserve"> </w:t>
      </w:r>
      <w:r w:rsidRPr="00D66FD0">
        <w:rPr>
          <w:color w:val="000000" w:themeColor="text1"/>
        </w:rPr>
        <w:t>cent public service users paid a bribe in the previous 12 months.</w:t>
      </w:r>
      <w:r w:rsidR="002D39CB" w:rsidRPr="00D66FD0">
        <w:rPr>
          <w:color w:val="000000" w:themeColor="text1"/>
        </w:rPr>
        <w:t xml:space="preserve"> </w:t>
      </w:r>
      <w:r w:rsidRPr="00D66FD0">
        <w:rPr>
          <w:color w:val="000000" w:themeColor="text1"/>
        </w:rPr>
        <w:t>Estimates by the Auditor</w:t>
      </w:r>
      <w:r w:rsidR="00C76E32" w:rsidRPr="00D66FD0">
        <w:rPr>
          <w:color w:val="000000" w:themeColor="text1"/>
        </w:rPr>
        <w:t>-</w:t>
      </w:r>
      <w:r w:rsidRPr="00D66FD0">
        <w:rPr>
          <w:color w:val="000000" w:themeColor="text1"/>
        </w:rPr>
        <w:t>General of irregular and wasteful expenditure amounts to approximately 1 per</w:t>
      </w:r>
      <w:r w:rsidR="00C76E32" w:rsidRPr="00D66FD0">
        <w:rPr>
          <w:color w:val="000000" w:themeColor="text1"/>
        </w:rPr>
        <w:t xml:space="preserve"> </w:t>
      </w:r>
      <w:r w:rsidRPr="00D66FD0">
        <w:rPr>
          <w:color w:val="000000" w:themeColor="text1"/>
        </w:rPr>
        <w:t xml:space="preserve">cent of GDP. Undoing the culture of non-adherence to already existing good laws and regulations, </w:t>
      </w:r>
      <w:r w:rsidR="00C76E32" w:rsidRPr="00D66FD0">
        <w:rPr>
          <w:color w:val="000000" w:themeColor="text1"/>
        </w:rPr>
        <w:t xml:space="preserve">and </w:t>
      </w:r>
      <w:r w:rsidRPr="00D66FD0">
        <w:rPr>
          <w:color w:val="000000" w:themeColor="text1"/>
        </w:rPr>
        <w:t xml:space="preserve">enhancing the independence of anti-corruption agencies would reinforce their efficacy and accountability, and benefit the economy. </w:t>
      </w:r>
      <w:r w:rsidR="00144D78" w:rsidRPr="00D66FD0">
        <w:rPr>
          <w:color w:val="000000" w:themeColor="text1"/>
        </w:rPr>
        <w:t>There is an urgent need to rebuild institutional frameworks and institutional capacity. Advancing</w:t>
      </w:r>
      <w:r w:rsidRPr="00D66FD0">
        <w:rPr>
          <w:color w:val="000000" w:themeColor="text1"/>
        </w:rPr>
        <w:t xml:space="preserve"> corporate governance and developing checks and balances such as custome</w:t>
      </w:r>
      <w:r w:rsidRPr="00E52214">
        <w:t xml:space="preserve">r due diligence, beneficial ownership, </w:t>
      </w:r>
      <w:r w:rsidR="00144D78">
        <w:t xml:space="preserve">and </w:t>
      </w:r>
      <w:r w:rsidRPr="00E52214">
        <w:t>asset declarations</w:t>
      </w:r>
      <w:r w:rsidRPr="00013037">
        <w:t xml:space="preserve"> </w:t>
      </w:r>
      <w:r w:rsidRPr="00E52214">
        <w:t xml:space="preserve">will support the ongoing governance initiatives. </w:t>
      </w:r>
      <w:r w:rsidRPr="00013037">
        <w:t>Efforts to expedite criminal prosecution against those engaged</w:t>
      </w:r>
      <w:r>
        <w:t xml:space="preserve"> </w:t>
      </w:r>
      <w:r w:rsidRPr="00013037">
        <w:t>in corrupt activities should be further intensified.</w:t>
      </w:r>
      <w:r w:rsidRPr="00615983">
        <w:rPr>
          <w:rFonts w:ascii="SegoeUI" w:hAnsi="SegoeUI" w:cs="SegoeUI"/>
          <w:sz w:val="21"/>
          <w:szCs w:val="21"/>
        </w:rPr>
        <w:t xml:space="preserve"> </w:t>
      </w:r>
      <w:r w:rsidRPr="00615983">
        <w:t>So far, there have been relatively few high-profile prosecutions of individuals accused of corruption</w:t>
      </w:r>
      <w:r>
        <w:t xml:space="preserve">. </w:t>
      </w:r>
      <w:r w:rsidRPr="00615983">
        <w:t>Given the depth and breadth of state capture and corruption, sustained efforts</w:t>
      </w:r>
      <w:r>
        <w:t xml:space="preserve">, particularly </w:t>
      </w:r>
      <w:r w:rsidRPr="00615983">
        <w:t>the establishment of credible deterrence mechanisms</w:t>
      </w:r>
      <w:r>
        <w:t>, w</w:t>
      </w:r>
      <w:r w:rsidRPr="00615983">
        <w:t xml:space="preserve">ill be </w:t>
      </w:r>
      <w:r>
        <w:t xml:space="preserve">required </w:t>
      </w:r>
      <w:r w:rsidRPr="00615983">
        <w:t>to</w:t>
      </w:r>
      <w:r>
        <w:t xml:space="preserve"> tackle corruption</w:t>
      </w:r>
      <w:r w:rsidR="004B4581">
        <w:t>.</w:t>
      </w:r>
    </w:p>
    <w:p w14:paraId="38E02866" w14:textId="77777777" w:rsidR="00DF2F49" w:rsidRDefault="00DF2F49" w:rsidP="00CC643A">
      <w:pPr>
        <w:ind w:left="567" w:hanging="2"/>
      </w:pPr>
    </w:p>
    <w:p w14:paraId="3829E643" w14:textId="7B0D84CD" w:rsidR="003414B8" w:rsidRPr="00742B5A" w:rsidRDefault="003414B8" w:rsidP="00B62345">
      <w:pPr>
        <w:pStyle w:val="ListParagraph"/>
      </w:pPr>
      <w:r w:rsidRPr="00742B5A">
        <w:t>Limiting tertiary education subsidies to only poor households</w:t>
      </w:r>
      <w:r w:rsidR="00DF2F49">
        <w:t>:</w:t>
      </w:r>
    </w:p>
    <w:p w14:paraId="7843D3A6" w14:textId="4237D4ED" w:rsidR="003414B8" w:rsidRDefault="003414B8" w:rsidP="00CC643A">
      <w:pPr>
        <w:keepNext/>
        <w:ind w:left="567" w:hanging="2"/>
      </w:pPr>
      <w:r w:rsidRPr="00F43243">
        <w:t>Shift</w:t>
      </w:r>
      <w:r w:rsidR="004B4581">
        <w:t>s</w:t>
      </w:r>
      <w:r w:rsidRPr="00F43243">
        <w:t xml:space="preserve"> </w:t>
      </w:r>
      <w:r w:rsidR="004B4581">
        <w:t>in</w:t>
      </w:r>
      <w:r w:rsidRPr="00F43243">
        <w:t xml:space="preserve"> education s</w:t>
      </w:r>
      <w:r w:rsidRPr="00E80AA7">
        <w:t xml:space="preserve">pending </w:t>
      </w:r>
      <w:r w:rsidRPr="00F43243">
        <w:t xml:space="preserve">towards </w:t>
      </w:r>
      <w:r w:rsidRPr="00E80AA7">
        <w:t>additional tertiary education subsidies</w:t>
      </w:r>
      <w:r w:rsidRPr="00F43243">
        <w:t xml:space="preserve"> have been ongoing since 2016. However, international evidence from most emerging markets show</w:t>
      </w:r>
      <w:r w:rsidR="004B4581">
        <w:t>s</w:t>
      </w:r>
      <w:r w:rsidRPr="00F43243">
        <w:t xml:space="preserve"> that </w:t>
      </w:r>
      <w:r w:rsidRPr="00E80AA7">
        <w:t>tertiary education spending</w:t>
      </w:r>
      <w:r w:rsidRPr="00F43243">
        <w:t xml:space="preserve"> is </w:t>
      </w:r>
      <w:r w:rsidR="004B4581" w:rsidRPr="00F43243">
        <w:t xml:space="preserve">regressive </w:t>
      </w:r>
      <w:r w:rsidRPr="00F43243">
        <w:t xml:space="preserve">not only in absolute terms, but also gravitates towards profiting non poor households </w:t>
      </w:r>
      <w:r w:rsidRPr="00E80AA7">
        <w:t>disproportionately</w:t>
      </w:r>
      <w:r w:rsidRPr="00F43243">
        <w:rPr>
          <w:rStyle w:val="FootnoteReference"/>
        </w:rPr>
        <w:footnoteReference w:id="9"/>
      </w:r>
      <w:r w:rsidRPr="00F43243">
        <w:t>.</w:t>
      </w:r>
      <w:r w:rsidR="002D39CB">
        <w:t xml:space="preserve"> </w:t>
      </w:r>
      <w:r w:rsidRPr="00E80AA7">
        <w:t>Th</w:t>
      </w:r>
      <w:r w:rsidRPr="00F43243">
        <w:t>e reason for this</w:t>
      </w:r>
      <w:r w:rsidRPr="00E80AA7">
        <w:t xml:space="preserve"> is </w:t>
      </w:r>
      <w:r w:rsidRPr="00F43243">
        <w:t xml:space="preserve">that </w:t>
      </w:r>
      <w:r w:rsidRPr="00E80AA7">
        <w:t>poor</w:t>
      </w:r>
      <w:r w:rsidRPr="00F43243">
        <w:t xml:space="preserve"> students</w:t>
      </w:r>
      <w:r w:rsidRPr="00E80AA7">
        <w:t xml:space="preserve"> </w:t>
      </w:r>
      <w:r w:rsidRPr="00F43243">
        <w:t>are most likely</w:t>
      </w:r>
      <w:r w:rsidRPr="00E80AA7">
        <w:t xml:space="preserve"> to have weaker educational backgrounds than non-poor </w:t>
      </w:r>
      <w:r w:rsidRPr="00F43243">
        <w:t xml:space="preserve">students </w:t>
      </w:r>
      <w:r w:rsidRPr="00E80AA7">
        <w:t xml:space="preserve">and are less </w:t>
      </w:r>
      <w:r w:rsidRPr="00F43243">
        <w:t>incentivised</w:t>
      </w:r>
      <w:r w:rsidRPr="00E80AA7">
        <w:t xml:space="preserve"> to </w:t>
      </w:r>
      <w:r w:rsidRPr="00F43243">
        <w:t>pursue</w:t>
      </w:r>
      <w:r w:rsidRPr="00E80AA7">
        <w:t xml:space="preserve"> </w:t>
      </w:r>
      <w:r w:rsidRPr="00F43243">
        <w:t>tertiary education</w:t>
      </w:r>
      <w:r w:rsidRPr="00E80AA7">
        <w:t xml:space="preserve">. </w:t>
      </w:r>
      <w:r w:rsidRPr="00F43243">
        <w:t xml:space="preserve">Since </w:t>
      </w:r>
      <w:r w:rsidRPr="00E80AA7">
        <w:t>students who complete tertiary education typically earn higher wages</w:t>
      </w:r>
      <w:r w:rsidRPr="00F43243">
        <w:t xml:space="preserve">, non-poor households </w:t>
      </w:r>
      <w:r w:rsidRPr="00E80AA7">
        <w:t>who can afford tertiary education</w:t>
      </w:r>
      <w:r w:rsidRPr="00F43243">
        <w:t xml:space="preserve"> have an incentive t</w:t>
      </w:r>
      <w:r w:rsidRPr="00E80AA7">
        <w:t>o pay for it without any subsidi</w:t>
      </w:r>
      <w:r w:rsidR="00F443DA">
        <w:t>s</w:t>
      </w:r>
      <w:r w:rsidRPr="00E80AA7">
        <w:t xml:space="preserve">ation. </w:t>
      </w:r>
      <w:r w:rsidRPr="00F43243">
        <w:t>S</w:t>
      </w:r>
      <w:r w:rsidRPr="00E80AA7">
        <w:t>ubsidi</w:t>
      </w:r>
      <w:r w:rsidR="00A74E60">
        <w:t>s</w:t>
      </w:r>
      <w:r w:rsidRPr="00E80AA7">
        <w:t xml:space="preserve">ing students </w:t>
      </w:r>
      <w:r w:rsidRPr="00F43243">
        <w:t xml:space="preserve">from non-poor household who have an incentive to pay for tertiary education </w:t>
      </w:r>
      <w:r w:rsidRPr="00E80AA7">
        <w:t xml:space="preserve">in </w:t>
      </w:r>
      <w:r w:rsidRPr="00F43243">
        <w:t>the first place</w:t>
      </w:r>
      <w:r w:rsidRPr="00E80AA7">
        <w:t xml:space="preserve">, </w:t>
      </w:r>
      <w:r w:rsidRPr="00F43243">
        <w:t xml:space="preserve">means that </w:t>
      </w:r>
      <w:r w:rsidRPr="00E80AA7">
        <w:t>less f</w:t>
      </w:r>
      <w:r w:rsidRPr="00F43243">
        <w:t xml:space="preserve">inancial resources </w:t>
      </w:r>
      <w:r w:rsidRPr="00E80AA7">
        <w:t xml:space="preserve">are available to </w:t>
      </w:r>
      <w:r w:rsidRPr="00F43243">
        <w:t xml:space="preserve">support </w:t>
      </w:r>
      <w:r w:rsidRPr="00E80AA7">
        <w:t xml:space="preserve">those </w:t>
      </w:r>
      <w:r w:rsidRPr="00F43243">
        <w:t xml:space="preserve">that </w:t>
      </w:r>
      <w:r w:rsidRPr="00E80AA7">
        <w:t>need</w:t>
      </w:r>
      <w:r w:rsidRPr="00F43243">
        <w:t xml:space="preserve"> them the most</w:t>
      </w:r>
      <w:r w:rsidRPr="00E80AA7">
        <w:t>.</w:t>
      </w:r>
      <w:r w:rsidR="002D39CB">
        <w:t xml:space="preserve">  </w:t>
      </w:r>
      <w:r w:rsidRPr="00F43243">
        <w:t xml:space="preserve"> </w:t>
      </w:r>
    </w:p>
    <w:p w14:paraId="72F06455" w14:textId="77777777" w:rsidR="00DF2F49" w:rsidRDefault="00DF2F49" w:rsidP="00CC643A">
      <w:pPr>
        <w:keepNext/>
        <w:ind w:left="567" w:hanging="2"/>
        <w:rPr>
          <w:sz w:val="22"/>
        </w:rPr>
      </w:pPr>
    </w:p>
    <w:p w14:paraId="5D1B8748" w14:textId="3EE9F80E" w:rsidR="003414B8" w:rsidRPr="00742B5A" w:rsidRDefault="003414B8" w:rsidP="00B62345">
      <w:pPr>
        <w:pStyle w:val="ListParagraph"/>
      </w:pPr>
      <w:r w:rsidRPr="00742B5A">
        <w:t>Exposing South Africa’s large conglomerates to foreign competition</w:t>
      </w:r>
      <w:r w:rsidR="00DF2F49">
        <w:t>:</w:t>
      </w:r>
    </w:p>
    <w:p w14:paraId="1CA7AE46" w14:textId="61154026" w:rsidR="003414B8" w:rsidRDefault="003414B8" w:rsidP="00CC643A">
      <w:pPr>
        <w:ind w:left="567" w:hanging="2"/>
      </w:pPr>
      <w:r w:rsidRPr="00830915">
        <w:t>Several economic sectors, including manufacturing</w:t>
      </w:r>
      <w:r>
        <w:t xml:space="preserve"> </w:t>
      </w:r>
      <w:r w:rsidRPr="00830915">
        <w:t>and banking, are dominated by a handful of big players with significant market power. High</w:t>
      </w:r>
      <w:r>
        <w:t xml:space="preserve"> </w:t>
      </w:r>
      <w:r w:rsidRPr="00830915">
        <w:t xml:space="preserve">concentration </w:t>
      </w:r>
      <w:r w:rsidR="00144D78">
        <w:t>has</w:t>
      </w:r>
      <w:r w:rsidRPr="00830915">
        <w:t xml:space="preserve"> inhibited the emergence of</w:t>
      </w:r>
      <w:r>
        <w:t xml:space="preserve"> </w:t>
      </w:r>
      <w:r w:rsidRPr="00830915">
        <w:t>smaller firms, which are powerful job creators</w:t>
      </w:r>
      <w:r>
        <w:t xml:space="preserve">. </w:t>
      </w:r>
      <w:r w:rsidR="008C3C83">
        <w:t>In the past decade</w:t>
      </w:r>
      <w:r w:rsidR="00144D78">
        <w:t>,</w:t>
      </w:r>
      <w:r w:rsidR="008C3C83">
        <w:t xml:space="preserve"> </w:t>
      </w:r>
      <w:r w:rsidRPr="00830915">
        <w:t>SMEs have shrunk in importance relative</w:t>
      </w:r>
      <w:r>
        <w:t xml:space="preserve"> </w:t>
      </w:r>
      <w:r w:rsidRPr="00830915">
        <w:t>to large firms</w:t>
      </w:r>
      <w:r>
        <w:t xml:space="preserve">. There is a need for more competition for the large conglomerates in order to enable SMEs to enter the mainstream economy and reduce </w:t>
      </w:r>
      <w:r w:rsidRPr="00830915">
        <w:t xml:space="preserve">input costs and </w:t>
      </w:r>
      <w:r w:rsidR="00C557D4">
        <w:t>profits</w:t>
      </w:r>
      <w:r>
        <w:t xml:space="preserve"> that</w:t>
      </w:r>
      <w:r w:rsidRPr="00830915">
        <w:t xml:space="preserve"> are</w:t>
      </w:r>
      <w:r>
        <w:t xml:space="preserve"> </w:t>
      </w:r>
      <w:r w:rsidRPr="00830915">
        <w:t xml:space="preserve">associated with declining economic growth. </w:t>
      </w:r>
    </w:p>
    <w:p w14:paraId="77E4CD4F" w14:textId="77777777" w:rsidR="00DF2F49" w:rsidRDefault="00DF2F49" w:rsidP="00CC643A">
      <w:pPr>
        <w:ind w:left="567" w:hanging="2"/>
        <w:rPr>
          <w:sz w:val="22"/>
        </w:rPr>
      </w:pPr>
    </w:p>
    <w:p w14:paraId="67D58087" w14:textId="798F44BA" w:rsidR="003414B8" w:rsidRPr="00742B5A" w:rsidRDefault="003414B8" w:rsidP="00B62345">
      <w:pPr>
        <w:pStyle w:val="ListParagraph"/>
      </w:pPr>
      <w:r w:rsidRPr="00742B5A">
        <w:t>Land Reform</w:t>
      </w:r>
      <w:r w:rsidR="0057212D">
        <w:t xml:space="preserve"> and agriculture for food security</w:t>
      </w:r>
      <w:r w:rsidR="00DF2F49">
        <w:t>:</w:t>
      </w:r>
    </w:p>
    <w:p w14:paraId="0A8517A4" w14:textId="722D04A5" w:rsidR="0057212D" w:rsidRDefault="003414B8" w:rsidP="00CC643A">
      <w:pPr>
        <w:ind w:left="567" w:hanging="2"/>
        <w:rPr>
          <w:b/>
          <w:bCs/>
          <w:szCs w:val="24"/>
        </w:rPr>
      </w:pPr>
      <w:r w:rsidRPr="00E97AD2">
        <w:t>In line with best international</w:t>
      </w:r>
      <w:r>
        <w:t xml:space="preserve"> </w:t>
      </w:r>
      <w:r w:rsidRPr="00E97AD2">
        <w:t>experience</w:t>
      </w:r>
      <w:r w:rsidR="00144D78">
        <w:t>s</w:t>
      </w:r>
      <w:r w:rsidRPr="00E97AD2">
        <w:t>, land reform should focus on enhancing agricultural productivity, improving land</w:t>
      </w:r>
      <w:r>
        <w:t xml:space="preserve"> </w:t>
      </w:r>
      <w:r w:rsidRPr="00E97AD2">
        <w:t>administration to strengthen security of tenure, and reducing poverty. At the same time,</w:t>
      </w:r>
      <w:r>
        <w:t xml:space="preserve"> </w:t>
      </w:r>
      <w:r w:rsidRPr="00E97AD2">
        <w:t>there is a need to mitigate any potential negative effects of land reform on the agricultural</w:t>
      </w:r>
      <w:r>
        <w:t xml:space="preserve"> </w:t>
      </w:r>
      <w:r w:rsidRPr="00E97AD2">
        <w:t>base and the financial spill overs from changes in the value of land as collateral.</w:t>
      </w:r>
      <w:r>
        <w:t xml:space="preserve"> </w:t>
      </w:r>
      <w:r w:rsidRPr="00E97AD2">
        <w:t>The government will have to finely balance social and economic considerations when</w:t>
      </w:r>
      <w:r>
        <w:t xml:space="preserve"> </w:t>
      </w:r>
      <w:r w:rsidRPr="00E97AD2">
        <w:t>deciding the type of land to be redistributed and the modalities surrounding the process to make land</w:t>
      </w:r>
      <w:r>
        <w:t xml:space="preserve"> </w:t>
      </w:r>
      <w:r w:rsidRPr="00E97AD2">
        <w:t>tenure more productive.</w:t>
      </w:r>
      <w:r w:rsidR="00E444BC">
        <w:t xml:space="preserve"> </w:t>
      </w:r>
      <w:r w:rsidR="0057212D">
        <w:t xml:space="preserve">The Commission’s submission for the 2018 </w:t>
      </w:r>
      <w:r w:rsidR="00A74E60">
        <w:t>B</w:t>
      </w:r>
      <w:r w:rsidR="0057212D">
        <w:t xml:space="preserve">udget recommended that government consolidate grants aimed at assisting land reform and supporting agriculture into one funding programme for emerging land reform farmers under the Department of Agriculture, Forestry and Fisheries, which has more expertise in the area of agriculture </w:t>
      </w:r>
      <w:r w:rsidR="00C557D4">
        <w:t xml:space="preserve">in order to address </w:t>
      </w:r>
      <w:r w:rsidR="0057212D">
        <w:t>land reform challenges pertaining to resources for planning and aligning land reform with human settlements, agriculture and infrastructure; training land reform farmers in technical and business skills; and establishing selection criteria for land reform beneficiaries that are applied uniformly across all the provinces</w:t>
      </w:r>
      <w:r w:rsidR="00DF2F49">
        <w:rPr>
          <w:b/>
          <w:bCs/>
          <w:szCs w:val="24"/>
        </w:rPr>
        <w:t>.</w:t>
      </w:r>
    </w:p>
    <w:p w14:paraId="1BEFC957" w14:textId="77777777" w:rsidR="00DF2F49" w:rsidRDefault="00DF2F49" w:rsidP="00CC643A">
      <w:pPr>
        <w:ind w:left="567" w:hanging="2"/>
        <w:rPr>
          <w:b/>
          <w:bCs/>
          <w:szCs w:val="24"/>
        </w:rPr>
      </w:pPr>
    </w:p>
    <w:p w14:paraId="2EE8A37B" w14:textId="5924D4E4" w:rsidR="003414B8" w:rsidRPr="00742B5A" w:rsidRDefault="003414B8" w:rsidP="00B62345">
      <w:pPr>
        <w:pStyle w:val="ListParagraph"/>
      </w:pPr>
      <w:r w:rsidRPr="00742B5A">
        <w:t>Reducing the cost of broadband and assignment of high-demand spectrum</w:t>
      </w:r>
      <w:r w:rsidR="00DF2F49">
        <w:t>:</w:t>
      </w:r>
      <w:r w:rsidRPr="00742B5A">
        <w:t xml:space="preserve"> </w:t>
      </w:r>
    </w:p>
    <w:p w14:paraId="0617F90A" w14:textId="6BEFDAF6" w:rsidR="00DF2F49" w:rsidRDefault="003414B8" w:rsidP="00CC643A">
      <w:pPr>
        <w:ind w:left="567" w:hanging="2"/>
      </w:pPr>
      <w:r w:rsidRPr="00E97AD2">
        <w:t>South Africa has slower internet speed</w:t>
      </w:r>
      <w:r w:rsidR="00A74E60">
        <w:t>s</w:t>
      </w:r>
      <w:r w:rsidRPr="00E97AD2">
        <w:t xml:space="preserve"> and higher data</w:t>
      </w:r>
      <w:r>
        <w:t xml:space="preserve"> </w:t>
      </w:r>
      <w:r w:rsidRPr="00E97AD2">
        <w:t xml:space="preserve">prices than most </w:t>
      </w:r>
      <w:r w:rsidR="00CC2DA9">
        <w:t xml:space="preserve">country </w:t>
      </w:r>
      <w:r w:rsidRPr="00E97AD2">
        <w:t xml:space="preserve">comparators. </w:t>
      </w:r>
      <w:r>
        <w:t>The</w:t>
      </w:r>
      <w:r w:rsidR="00683809">
        <w:t xml:space="preserve">re is </w:t>
      </w:r>
      <w:r w:rsidR="00A74E60">
        <w:t xml:space="preserve">a </w:t>
      </w:r>
      <w:r w:rsidR="00683809">
        <w:t xml:space="preserve">need to </w:t>
      </w:r>
      <w:r w:rsidRPr="00E97AD2">
        <w:t>expedit</w:t>
      </w:r>
      <w:r w:rsidR="00683809">
        <w:t>e</w:t>
      </w:r>
      <w:r w:rsidRPr="00E97AD2">
        <w:t xml:space="preserve"> the </w:t>
      </w:r>
      <w:r w:rsidR="00C557D4">
        <w:t xml:space="preserve">permanent </w:t>
      </w:r>
      <w:r w:rsidRPr="00E97AD2">
        <w:t>allocation of broadband</w:t>
      </w:r>
      <w:r>
        <w:t xml:space="preserve"> </w:t>
      </w:r>
      <w:r w:rsidRPr="00E97AD2">
        <w:t>spectrum through auctions and leveraging private sector capabilities</w:t>
      </w:r>
      <w:r w:rsidR="00C557D4">
        <w:rPr>
          <w:rStyle w:val="FootnoteReference"/>
        </w:rPr>
        <w:footnoteReference w:id="10"/>
      </w:r>
      <w:r w:rsidRPr="00E97AD2">
        <w:t>. A more cost-efficient</w:t>
      </w:r>
      <w:r>
        <w:t xml:space="preserve"> </w:t>
      </w:r>
      <w:r w:rsidRPr="00E97AD2">
        <w:t>network would foster technology adoption and innovation, with broader spill overs</w:t>
      </w:r>
      <w:r w:rsidR="00E444BC">
        <w:t>. Broadband cost reduction will facilitate introduction of e-learning in public ordinary schools</w:t>
      </w:r>
      <w:r w:rsidR="00A74E60">
        <w:t>,</w:t>
      </w:r>
      <w:r w:rsidR="00E444BC">
        <w:t xml:space="preserve"> thus reducing the need for investment in physical infrastructure. In its submission to the 2013/14 division of revenue the Commission recommended that government institutionalise e-learning programme budgeting and invest in work force to roll out the implementation of digital education.</w:t>
      </w:r>
    </w:p>
    <w:p w14:paraId="47CBFBCA" w14:textId="607F1365" w:rsidR="00E27DE1" w:rsidRPr="006142F1" w:rsidRDefault="00E444BC" w:rsidP="00CC643A">
      <w:pPr>
        <w:ind w:left="567" w:hanging="2"/>
      </w:pPr>
      <w:r>
        <w:t xml:space="preserve"> </w:t>
      </w:r>
    </w:p>
    <w:p w14:paraId="1A6BBCD9" w14:textId="59CEBFC7" w:rsidR="0071546B" w:rsidRPr="0071546B" w:rsidRDefault="0071546B" w:rsidP="0071546B">
      <w:pPr>
        <w:numPr>
          <w:ilvl w:val="0"/>
          <w:numId w:val="24"/>
        </w:numPr>
        <w:tabs>
          <w:tab w:val="num" w:pos="720"/>
        </w:tabs>
        <w:ind w:left="567" w:hanging="567"/>
        <w:rPr>
          <w:rFonts w:ascii="Times" w:hAnsi="Times"/>
          <w:color w:val="000000" w:themeColor="text1"/>
        </w:rPr>
      </w:pPr>
      <w:r w:rsidRPr="0071546B">
        <w:rPr>
          <w:rFonts w:ascii="Times" w:hAnsi="Times"/>
          <w:color w:val="000000" w:themeColor="text1"/>
        </w:rPr>
        <w:t>Strengthening capacity of state</w:t>
      </w:r>
      <w:r w:rsidR="00DF2F49">
        <w:rPr>
          <w:rFonts w:ascii="Times" w:hAnsi="Times"/>
          <w:color w:val="000000" w:themeColor="text1"/>
        </w:rPr>
        <w:t>:</w:t>
      </w:r>
    </w:p>
    <w:p w14:paraId="447CCAC1" w14:textId="796BF83D" w:rsidR="0071546B" w:rsidRDefault="0071546B" w:rsidP="0071546B">
      <w:pPr>
        <w:keepNext/>
        <w:ind w:left="565"/>
        <w:rPr>
          <w:rFonts w:ascii="Times" w:hAnsi="Times"/>
          <w:bCs/>
        </w:rPr>
      </w:pPr>
      <w:r w:rsidRPr="0071546B">
        <w:rPr>
          <w:rFonts w:ascii="Times" w:hAnsi="Times"/>
          <w:bCs/>
        </w:rPr>
        <w:t>To strengthen the capacity of state, it is important that state machinery is reorganised to minimise duplication, sharpen coordination and adopt new technologies to improve efficiencies. It is also important for the state to invest in its key resource: frontline staff. The pandemic has amplified the importance of investing in key public servants such as nurses, doctors, police officers, soldiers, refuse removal workers, who are in the forefront of efforts to combat Covid-19 and keep essential services running. They have done this at their own risk and that of their families. Similarly, as we move towards a society where policy making is increasingly driven by data and information, this requires a refocussing by government to attach priority to functions such as research and innovation, which previously may have been relatively deprioritised.  Thus in building a capable state it is critical for government to invest in frontline, research and innovation employees. The Covid-19 pandemic has shown that social risks of return of such workers are immense.</w:t>
      </w:r>
    </w:p>
    <w:p w14:paraId="3E1F42A8" w14:textId="77777777" w:rsidR="00DF2F49" w:rsidRPr="00DF2F49" w:rsidRDefault="00DF2F49" w:rsidP="0071546B">
      <w:pPr>
        <w:keepNext/>
        <w:ind w:left="565"/>
        <w:rPr>
          <w:rFonts w:ascii="Times" w:hAnsi="Times"/>
          <w:bCs/>
        </w:rPr>
      </w:pPr>
    </w:p>
    <w:p w14:paraId="1F8AA706" w14:textId="61BF08B0" w:rsidR="0071546B" w:rsidRPr="00DF2F49" w:rsidRDefault="0071546B" w:rsidP="0071546B">
      <w:pPr>
        <w:pStyle w:val="ListParagraph"/>
        <w:numPr>
          <w:ilvl w:val="0"/>
          <w:numId w:val="25"/>
        </w:numPr>
        <w:ind w:left="567" w:hanging="567"/>
        <w:rPr>
          <w:bCs/>
        </w:rPr>
      </w:pPr>
      <w:r w:rsidRPr="00DF2F49">
        <w:t>Review of “means t</w:t>
      </w:r>
      <w:r w:rsidR="00DF2F49">
        <w:t>ests”:</w:t>
      </w:r>
    </w:p>
    <w:p w14:paraId="25365FA2" w14:textId="77777777" w:rsidR="0071546B" w:rsidRPr="00DF2F49" w:rsidRDefault="0071546B" w:rsidP="0071546B">
      <w:pPr>
        <w:ind w:left="565"/>
        <w:rPr>
          <w:bCs/>
        </w:rPr>
      </w:pPr>
      <w:r w:rsidRPr="00DF2F49">
        <w:t xml:space="preserve">Covid-19 has changed many things and turned people’s lives upside down. Many people have found themselves in poverty, with no incomes, unemployed and highly indebted. Even before Covid-19, the deteriorating economic situation meant that many people were neither able to sustain themselves nor invest in their future. Elsewhere in this document, the Commission notes that the R325 monthly grant is below the food poverty line of R561; an indication that the cost of raising a family has increased.  It is against this that the Commission underscores the need for a comprehensive and consultative review of various “means tests”: e.g. financial eligibility for various forms of grants or relief, student support, or even basic services in municipalities. </w:t>
      </w:r>
    </w:p>
    <w:p w14:paraId="32388FD9" w14:textId="7A1CF8AC" w:rsidR="0071546B" w:rsidRPr="0071546B" w:rsidRDefault="0071546B" w:rsidP="0071546B">
      <w:pPr>
        <w:keepNext/>
        <w:ind w:left="565"/>
        <w:rPr>
          <w:rFonts w:ascii="Times" w:hAnsi="Times"/>
          <w:bCs/>
        </w:rPr>
      </w:pPr>
      <w:r w:rsidRPr="0071546B">
        <w:rPr>
          <w:rFonts w:ascii="Times" w:hAnsi="Times"/>
          <w:bCs/>
        </w:rPr>
        <w:t xml:space="preserve">     </w:t>
      </w:r>
    </w:p>
    <w:p w14:paraId="34D73B57" w14:textId="77777777" w:rsidR="003414B8" w:rsidRDefault="003414B8" w:rsidP="00CC643A">
      <w:pPr>
        <w:ind w:left="567" w:hanging="567"/>
      </w:pPr>
      <w:r>
        <w:br w:type="page"/>
      </w:r>
    </w:p>
    <w:p w14:paraId="400C3E4A" w14:textId="77777777" w:rsidR="003D5A8F" w:rsidRPr="000D33E4" w:rsidRDefault="002817C2" w:rsidP="00CC643A">
      <w:pPr>
        <w:pStyle w:val="IntenseQuote"/>
        <w:ind w:right="-1"/>
      </w:pPr>
      <w:bookmarkStart w:id="84" w:name="_Toc42211918"/>
      <w:r w:rsidRPr="000D33E4">
        <w:rPr>
          <w:rFonts w:eastAsia="+mn-ea"/>
        </w:rPr>
        <w:t>Section 5</w:t>
      </w:r>
      <w:r w:rsidR="00556D9C">
        <w:rPr>
          <w:rFonts w:eastAsia="+mn-ea"/>
        </w:rPr>
        <w:t xml:space="preserve">: </w:t>
      </w:r>
      <w:r w:rsidR="00945BD6">
        <w:rPr>
          <w:rFonts w:eastAsia="+mn-ea"/>
        </w:rPr>
        <w:br/>
        <w:t>Where will the money come from</w:t>
      </w:r>
      <w:r w:rsidR="00B4512F">
        <w:rPr>
          <w:rFonts w:eastAsia="+mn-ea"/>
        </w:rPr>
        <w:t xml:space="preserve">? </w:t>
      </w:r>
      <w:r w:rsidR="00945BD6">
        <w:rPr>
          <w:rFonts w:eastAsia="+mn-ea"/>
        </w:rPr>
        <w:br/>
        <w:t xml:space="preserve">Reprioritisation in response </w:t>
      </w:r>
      <w:r w:rsidR="00945BD6">
        <w:rPr>
          <w:rFonts w:eastAsia="+mn-ea"/>
        </w:rPr>
        <w:br/>
        <w:t>to Covid-19</w:t>
      </w:r>
      <w:bookmarkEnd w:id="84"/>
    </w:p>
    <w:p w14:paraId="30BE73E0" w14:textId="0CB4D855" w:rsidR="003C2759" w:rsidRDefault="00B75110" w:rsidP="00E27DE1">
      <w:r w:rsidRPr="000D33E4">
        <w:t>Responding to the Covid</w:t>
      </w:r>
      <w:r w:rsidR="00945BD6">
        <w:t>-</w:t>
      </w:r>
      <w:r w:rsidRPr="000D33E4">
        <w:t xml:space="preserve">19 pandemic will require significant resources and a rethink of expenditure priorities going forward. Government has put together a social relief and economic support package worth R500 billion. Of the R500 billion, R130 billion must come from a reprioritisation of existing baselines. The Commission is of the view that reprioritised funds should be focussed on strengthening the </w:t>
      </w:r>
      <w:r w:rsidR="00945BD6">
        <w:t>Department of H</w:t>
      </w:r>
      <w:r w:rsidRPr="000D33E4">
        <w:t xml:space="preserve">ealth </w:t>
      </w:r>
      <w:r w:rsidR="004F6D22" w:rsidRPr="000D33E4">
        <w:t xml:space="preserve">to enable it to </w:t>
      </w:r>
      <w:r w:rsidRPr="000D33E4">
        <w:t xml:space="preserve">respond </w:t>
      </w:r>
      <w:r w:rsidR="004F6D22" w:rsidRPr="000D33E4">
        <w:t xml:space="preserve">effectively </w:t>
      </w:r>
      <w:r w:rsidRPr="000D33E4">
        <w:t>to the pandemic</w:t>
      </w:r>
      <w:r w:rsidR="00CC2DA9">
        <w:t>,</w:t>
      </w:r>
      <w:r w:rsidR="00CC2DA9" w:rsidRPr="00CC2DA9">
        <w:t xml:space="preserve"> </w:t>
      </w:r>
      <w:r w:rsidR="00CC2DA9">
        <w:t>as well as other departments that are assisting in this regard</w:t>
      </w:r>
      <w:r w:rsidRPr="000D33E4">
        <w:t>. Further</w:t>
      </w:r>
      <w:r w:rsidR="004F6D22" w:rsidRPr="000D33E4">
        <w:t xml:space="preserve"> to</w:t>
      </w:r>
      <w:r w:rsidRPr="000D33E4">
        <w:t xml:space="preserve"> that</w:t>
      </w:r>
      <w:r w:rsidR="004F6D22" w:rsidRPr="000D33E4">
        <w:t>,</w:t>
      </w:r>
      <w:r w:rsidRPr="000D33E4">
        <w:t xml:space="preserve"> the process of reprioritisation should ensure that support provided to vulnerable households and </w:t>
      </w:r>
      <w:r w:rsidR="00945BD6">
        <w:t>businesses</w:t>
      </w:r>
      <w:r w:rsidRPr="000D33E4">
        <w:t xml:space="preserve"> are </w:t>
      </w:r>
      <w:r w:rsidR="00CC2DA9">
        <w:t>enhanced</w:t>
      </w:r>
      <w:r w:rsidRPr="000D33E4">
        <w:t xml:space="preserve">. </w:t>
      </w:r>
    </w:p>
    <w:p w14:paraId="15702DCC" w14:textId="77777777" w:rsidR="003C2759" w:rsidRDefault="003C2759" w:rsidP="00E27DE1"/>
    <w:p w14:paraId="1FCD2D83" w14:textId="63DCA2DE" w:rsidR="00D85F0F" w:rsidRDefault="00944F5F" w:rsidP="00E27DE1">
      <w:r>
        <w:t>In addition, t</w:t>
      </w:r>
      <w:r w:rsidR="00D85F0F">
        <w:t>he Commission</w:t>
      </w:r>
      <w:r w:rsidR="00333060">
        <w:t xml:space="preserve">’s decisions to reprioritise </w:t>
      </w:r>
      <w:r w:rsidR="00CC2DA9">
        <w:t xml:space="preserve">funding </w:t>
      </w:r>
      <w:r w:rsidR="00333060">
        <w:t xml:space="preserve">away </w:t>
      </w:r>
      <w:r w:rsidR="00CC2DA9">
        <w:t xml:space="preserve">from budget baselines </w:t>
      </w:r>
      <w:r w:rsidR="00333060">
        <w:t xml:space="preserve">or not, </w:t>
      </w:r>
      <w:r w:rsidR="00CC2DA9">
        <w:t>were</w:t>
      </w:r>
      <w:r w:rsidR="00D85F0F">
        <w:t xml:space="preserve"> </w:t>
      </w:r>
      <w:r w:rsidR="00333060">
        <w:t>informed b</w:t>
      </w:r>
      <w:r w:rsidR="00D85F0F">
        <w:t xml:space="preserve">y the following factors: </w:t>
      </w:r>
    </w:p>
    <w:p w14:paraId="1D57B2B7" w14:textId="0077A45C" w:rsidR="0039678C" w:rsidRPr="00B62345" w:rsidRDefault="0039678C" w:rsidP="00B62345">
      <w:pPr>
        <w:pStyle w:val="ListParagraph"/>
      </w:pPr>
      <w:r w:rsidRPr="00B62345">
        <w:t xml:space="preserve">Rights </w:t>
      </w:r>
      <w:r w:rsidR="00944F5F" w:rsidRPr="00B62345">
        <w:t xml:space="preserve">based </w:t>
      </w:r>
      <w:r w:rsidRPr="00B62345">
        <w:t>approach: Protecting spending that caters for the basic rights of people</w:t>
      </w:r>
      <w:r w:rsidR="003C2759" w:rsidRPr="00B62345">
        <w:t xml:space="preserve"> (e.g. spending on basic services: water and sanitation, refuse removal)</w:t>
      </w:r>
      <w:r w:rsidR="00B62345">
        <w:t>;</w:t>
      </w:r>
    </w:p>
    <w:p w14:paraId="486FCBD4" w14:textId="375ABE0C" w:rsidR="0039678C" w:rsidRPr="00B62345" w:rsidRDefault="00D85F0F" w:rsidP="00B62345">
      <w:pPr>
        <w:pStyle w:val="ListParagraph"/>
      </w:pPr>
      <w:r w:rsidRPr="00B62345">
        <w:t>Equity</w:t>
      </w:r>
      <w:r w:rsidR="0039678C" w:rsidRPr="00B62345">
        <w:t xml:space="preserve"> and fairness</w:t>
      </w:r>
      <w:r w:rsidRPr="00B62345">
        <w:t xml:space="preserve">: </w:t>
      </w:r>
      <w:r w:rsidR="00CC2DA9">
        <w:t>B</w:t>
      </w:r>
      <w:r w:rsidRPr="00B62345">
        <w:t>alance rural vs urban (spatial equity)</w:t>
      </w:r>
      <w:r w:rsidR="003C2759" w:rsidRPr="00B62345">
        <w:t>, formal vs informal</w:t>
      </w:r>
      <w:r w:rsidR="00CC2DA9">
        <w:t xml:space="preserve"> service provision</w:t>
      </w:r>
      <w:r w:rsidRPr="00B62345">
        <w:t>. For example, a grant dedicated to urban areas may be a better candidate for reprioritisation than a grant focussing on rural areas</w:t>
      </w:r>
      <w:r w:rsidR="00CC2DA9">
        <w:t>,</w:t>
      </w:r>
      <w:r w:rsidR="00CC2DA9" w:rsidRPr="00CC2DA9">
        <w:t xml:space="preserve"> </w:t>
      </w:r>
      <w:r w:rsidR="00CC2DA9">
        <w:t>depending on its purpose</w:t>
      </w:r>
      <w:r w:rsidR="00813FFD">
        <w:t>;</w:t>
      </w:r>
    </w:p>
    <w:p w14:paraId="03EB6A72" w14:textId="3357662D" w:rsidR="0039678C" w:rsidRPr="00B62345" w:rsidRDefault="0039678C" w:rsidP="00B62345">
      <w:pPr>
        <w:pStyle w:val="ListParagraph"/>
      </w:pPr>
      <w:r w:rsidRPr="00B62345">
        <w:t>S</w:t>
      </w:r>
      <w:r w:rsidR="00D85F0F" w:rsidRPr="00B62345">
        <w:t xml:space="preserve">pending </w:t>
      </w:r>
      <w:r w:rsidRPr="00B62345">
        <w:t>performance: Reprioritising spending that exhibits consistent underspending, irregular or wasteful spending</w:t>
      </w:r>
      <w:r w:rsidR="00813FFD">
        <w:t>;</w:t>
      </w:r>
    </w:p>
    <w:p w14:paraId="795F5680" w14:textId="3AF79494" w:rsidR="0039678C" w:rsidRPr="00B62345" w:rsidRDefault="0039678C" w:rsidP="00B62345">
      <w:pPr>
        <w:pStyle w:val="ListParagraph"/>
      </w:pPr>
      <w:r w:rsidRPr="00B62345">
        <w:t xml:space="preserve">Impact: Reprioritising spending that would have the least impact on </w:t>
      </w:r>
      <w:r w:rsidR="00333060" w:rsidRPr="00B62345">
        <w:t>livelihoods</w:t>
      </w:r>
      <w:r w:rsidRPr="00B62345">
        <w:t xml:space="preserve"> and the economy</w:t>
      </w:r>
      <w:r w:rsidR="003C2759" w:rsidRPr="00B62345">
        <w:t>. Good examples include travel, subsistence allowances</w:t>
      </w:r>
      <w:r w:rsidR="00944F5F" w:rsidRPr="00B62345">
        <w:t>, training</w:t>
      </w:r>
      <w:r w:rsidR="003C2759" w:rsidRPr="00B62345">
        <w:t xml:space="preserve"> and catering</w:t>
      </w:r>
      <w:r w:rsidR="00F3416A">
        <w:t>;</w:t>
      </w:r>
    </w:p>
    <w:p w14:paraId="1A74D5AB" w14:textId="2A4B1386" w:rsidR="00CC2DA9" w:rsidRDefault="00333060" w:rsidP="00B62345">
      <w:pPr>
        <w:pStyle w:val="ListParagraph"/>
      </w:pPr>
      <w:r w:rsidRPr="00B62345">
        <w:t xml:space="preserve">Spending </w:t>
      </w:r>
      <w:r w:rsidR="00F3416A">
        <w:t>c</w:t>
      </w:r>
      <w:r w:rsidRPr="00B62345">
        <w:t xml:space="preserve">omposition: </w:t>
      </w:r>
      <w:r w:rsidR="00CC2DA9">
        <w:t>W</w:t>
      </w:r>
      <w:r w:rsidRPr="00B62345">
        <w:t xml:space="preserve">hether spending is for capacity building or infrastructure; </w:t>
      </w:r>
      <w:r w:rsidR="00CC2DA9">
        <w:t xml:space="preserve">for </w:t>
      </w:r>
      <w:r w:rsidRPr="00B62345">
        <w:t xml:space="preserve">new or existing infrastructure; </w:t>
      </w:r>
      <w:r w:rsidR="00CC2DA9">
        <w:t>for</w:t>
      </w:r>
      <w:r w:rsidR="00AA6339" w:rsidRPr="00B62345">
        <w:t xml:space="preserve"> social </w:t>
      </w:r>
      <w:r w:rsidR="00AA6339" w:rsidRPr="00CC643A">
        <w:t>relief</w:t>
      </w:r>
      <w:r w:rsidR="00AA6339" w:rsidRPr="00B62345">
        <w:t xml:space="preserve"> to the poor or not; critical to </w:t>
      </w:r>
      <w:r w:rsidR="00A1705E">
        <w:t>bolstering</w:t>
      </w:r>
      <w:r w:rsidR="00AA6339" w:rsidRPr="00B62345">
        <w:t xml:space="preserve"> </w:t>
      </w:r>
      <w:r w:rsidR="00CC2DA9">
        <w:t xml:space="preserve">or restructuring </w:t>
      </w:r>
      <w:r w:rsidR="00AA6339" w:rsidRPr="00B62345">
        <w:t xml:space="preserve">the economy or not; </w:t>
      </w:r>
      <w:r w:rsidR="00385C34" w:rsidRPr="00B62345">
        <w:t>and</w:t>
      </w:r>
      <w:r w:rsidR="00CC2DA9">
        <w:t xml:space="preserve"> whether it is </w:t>
      </w:r>
      <w:r w:rsidR="00385C34" w:rsidRPr="00B62345">
        <w:t>Covid</w:t>
      </w:r>
      <w:r w:rsidRPr="00B62345">
        <w:t xml:space="preserve">-19 related or not. </w:t>
      </w:r>
    </w:p>
    <w:p w14:paraId="5B37B66B" w14:textId="77777777" w:rsidR="00620354" w:rsidRDefault="00620354" w:rsidP="00CC2DA9">
      <w:pPr>
        <w:pStyle w:val="ListParagraph"/>
        <w:numPr>
          <w:ilvl w:val="1"/>
          <w:numId w:val="23"/>
        </w:numPr>
      </w:pPr>
      <w:r>
        <w:t xml:space="preserve">If spending is for new infrastructure, </w:t>
      </w:r>
      <w:r w:rsidR="00333060" w:rsidRPr="00B62345">
        <w:t xml:space="preserve"> not related to Covid-19 and </w:t>
      </w:r>
      <w:r>
        <w:t xml:space="preserve">has </w:t>
      </w:r>
      <w:r w:rsidR="00333060" w:rsidRPr="00B62345">
        <w:t xml:space="preserve">minimal impact on the people’s </w:t>
      </w:r>
      <w:r w:rsidR="00944F5F" w:rsidRPr="00B62345">
        <w:t xml:space="preserve">health, </w:t>
      </w:r>
      <w:r w:rsidR="00333060" w:rsidRPr="00B62345">
        <w:t xml:space="preserve">livelihoods </w:t>
      </w:r>
      <w:r w:rsidR="003C2759" w:rsidRPr="00B62345">
        <w:t xml:space="preserve">(e.g. basic services) </w:t>
      </w:r>
      <w:r w:rsidR="00333060" w:rsidRPr="00B62345">
        <w:t>or economy</w:t>
      </w:r>
      <w:r w:rsidR="003C2759" w:rsidRPr="00B62345">
        <w:t xml:space="preserve"> (SMMEs)</w:t>
      </w:r>
      <w:r w:rsidR="00333060" w:rsidRPr="00B62345">
        <w:t xml:space="preserve">, the Commission proposes </w:t>
      </w:r>
      <w:r>
        <w:t xml:space="preserve">either </w:t>
      </w:r>
      <w:r w:rsidR="00333060" w:rsidRPr="00B62345">
        <w:t xml:space="preserve">reprioritisation away, delaying or postponing or </w:t>
      </w:r>
      <w:r w:rsidR="003C2759" w:rsidRPr="00B62345">
        <w:t xml:space="preserve">reorienting </w:t>
      </w:r>
      <w:r w:rsidR="00333060" w:rsidRPr="00B62345">
        <w:t>such spending</w:t>
      </w:r>
      <w:r w:rsidR="003C2759" w:rsidRPr="00B62345">
        <w:t xml:space="preserve"> to Covid-19</w:t>
      </w:r>
      <w:r w:rsidR="00333060" w:rsidRPr="00B62345">
        <w:t xml:space="preserve">. </w:t>
      </w:r>
    </w:p>
    <w:p w14:paraId="5734D5E9" w14:textId="77777777" w:rsidR="00620354" w:rsidRDefault="00620354" w:rsidP="00CC2DA9">
      <w:pPr>
        <w:pStyle w:val="ListParagraph"/>
        <w:numPr>
          <w:ilvl w:val="1"/>
          <w:numId w:val="23"/>
        </w:numPr>
      </w:pPr>
      <w:r>
        <w:t>If spending is for</w:t>
      </w:r>
      <w:r w:rsidR="003C2759" w:rsidRPr="00B62345">
        <w:t xml:space="preserve"> non-essential capacity building programmes </w:t>
      </w:r>
      <w:r>
        <w:t xml:space="preserve">the Commission proposes it </w:t>
      </w:r>
      <w:r w:rsidR="003C2759" w:rsidRPr="00B62345">
        <w:t xml:space="preserve">be postponed. </w:t>
      </w:r>
    </w:p>
    <w:p w14:paraId="3514CF8A" w14:textId="77777777" w:rsidR="00620354" w:rsidRDefault="00944F5F" w:rsidP="00CC2DA9">
      <w:pPr>
        <w:pStyle w:val="ListParagraph"/>
        <w:numPr>
          <w:ilvl w:val="1"/>
          <w:numId w:val="23"/>
        </w:numPr>
      </w:pPr>
      <w:r w:rsidRPr="00B62345">
        <w:t xml:space="preserve">Covid-19 related </w:t>
      </w:r>
      <w:r w:rsidR="00CC2DA9">
        <w:t>capital</w:t>
      </w:r>
      <w:r w:rsidRPr="00B62345">
        <w:t xml:space="preserve"> spending (such as ventilators, hospital beds and other equipment, and upgrading and reconfiguration of buildings and institutions to serve as health care facilities as well as on water and sanitation (essential basic </w:t>
      </w:r>
      <w:r w:rsidR="00CC2DA9">
        <w:t>services)) should not be reduced</w:t>
      </w:r>
      <w:r w:rsidRPr="00B62345">
        <w:t xml:space="preserve">. </w:t>
      </w:r>
    </w:p>
    <w:p w14:paraId="7A06A655" w14:textId="59A12FCD" w:rsidR="00620354" w:rsidRDefault="00620354" w:rsidP="00CC2DA9">
      <w:pPr>
        <w:pStyle w:val="ListParagraph"/>
        <w:numPr>
          <w:ilvl w:val="1"/>
          <w:numId w:val="23"/>
        </w:numPr>
      </w:pPr>
      <w:r>
        <w:t>S</w:t>
      </w:r>
      <w:r w:rsidR="00944F5F" w:rsidRPr="00B62345">
        <w:t xml:space="preserve">pending that will in future increase the wage bill of non-Covid-19 related </w:t>
      </w:r>
      <w:r w:rsidRPr="00B62345">
        <w:t xml:space="preserve">areas </w:t>
      </w:r>
      <w:r>
        <w:t>staff, the Commission proposes it</w:t>
      </w:r>
      <w:r w:rsidR="00944F5F" w:rsidRPr="00B62345">
        <w:t xml:space="preserve"> be postponed.</w:t>
      </w:r>
      <w:r w:rsidR="00727B77" w:rsidRPr="00B62345">
        <w:t xml:space="preserve"> </w:t>
      </w:r>
    </w:p>
    <w:p w14:paraId="59866A74" w14:textId="52841A5F" w:rsidR="00333060" w:rsidRPr="00B62345" w:rsidRDefault="00727B77" w:rsidP="00CC2DA9">
      <w:pPr>
        <w:pStyle w:val="ListParagraph"/>
        <w:numPr>
          <w:ilvl w:val="1"/>
          <w:numId w:val="23"/>
        </w:numPr>
      </w:pPr>
      <w:r w:rsidRPr="00B62345">
        <w:t>Spending on activities that may compound the spread of Covid-</w:t>
      </w:r>
      <w:r w:rsidR="00620354" w:rsidRPr="00B62345">
        <w:t xml:space="preserve">19 </w:t>
      </w:r>
      <w:r w:rsidR="00620354">
        <w:t xml:space="preserve">like </w:t>
      </w:r>
      <w:r w:rsidRPr="00B62345">
        <w:t xml:space="preserve">are also seen as potential areas for deferment. </w:t>
      </w:r>
    </w:p>
    <w:p w14:paraId="14AECB05" w14:textId="3FECDEA3" w:rsidR="003C2759" w:rsidRPr="00CC643A" w:rsidRDefault="003C2759" w:rsidP="00B62345">
      <w:pPr>
        <w:pStyle w:val="ListParagraph"/>
      </w:pPr>
      <w:r w:rsidRPr="00CC643A">
        <w:t xml:space="preserve">High </w:t>
      </w:r>
      <w:r w:rsidR="00F3416A">
        <w:t>p</w:t>
      </w:r>
      <w:r w:rsidRPr="00CC643A">
        <w:t xml:space="preserve">erennial </w:t>
      </w:r>
      <w:r w:rsidR="00F3416A">
        <w:t>g</w:t>
      </w:r>
      <w:r w:rsidRPr="00CC643A">
        <w:t xml:space="preserve">rowth: The Commission looked at historical growth in allocations. In the Commission’s view, where growth was excessive in the past, the concerned spending item becomes a good candidate for moderation. </w:t>
      </w:r>
    </w:p>
    <w:p w14:paraId="10AF415B" w14:textId="77777777" w:rsidR="003C2759" w:rsidRPr="003C2759" w:rsidRDefault="003C2759" w:rsidP="003C2759"/>
    <w:p w14:paraId="453FA7DC" w14:textId="77777777" w:rsidR="00F3416A" w:rsidRDefault="00944F5F" w:rsidP="00E27DE1">
      <w:r>
        <w:t xml:space="preserve">The Commission proposes a three pronged approach to reprioritisation focussing on adjustments: </w:t>
      </w:r>
    </w:p>
    <w:p w14:paraId="047E6EC6" w14:textId="316BE196" w:rsidR="00FA385A" w:rsidRDefault="00FA385A" w:rsidP="00FA385A">
      <w:pPr>
        <w:pStyle w:val="ListParagraph"/>
      </w:pPr>
      <w:r>
        <w:t>B</w:t>
      </w:r>
      <w:r w:rsidR="00944F5F">
        <w:t>y department</w:t>
      </w:r>
      <w:r>
        <w:t>;</w:t>
      </w:r>
    </w:p>
    <w:p w14:paraId="275241BE" w14:textId="08F520C4" w:rsidR="00FA385A" w:rsidRDefault="00FA385A" w:rsidP="00FA385A">
      <w:pPr>
        <w:pStyle w:val="ListParagraph"/>
      </w:pPr>
      <w:r>
        <w:t>B</w:t>
      </w:r>
      <w:r w:rsidR="00944F5F">
        <w:t xml:space="preserve">y </w:t>
      </w:r>
      <w:r w:rsidR="00620354">
        <w:t>economic classification of spending</w:t>
      </w:r>
      <w:r w:rsidR="00944F5F">
        <w:t xml:space="preserve"> common to most departments (for example personnel spending, goods and services, infrastructure)</w:t>
      </w:r>
      <w:r>
        <w:t>; and</w:t>
      </w:r>
    </w:p>
    <w:p w14:paraId="3292F29B" w14:textId="11C69DEA" w:rsidR="00FA385A" w:rsidRDefault="00FA385A" w:rsidP="00FA385A">
      <w:pPr>
        <w:pStyle w:val="ListParagraph"/>
      </w:pPr>
      <w:r>
        <w:t>B</w:t>
      </w:r>
      <w:r w:rsidR="00944F5F">
        <w:t>y conditional grant.</w:t>
      </w:r>
    </w:p>
    <w:p w14:paraId="03A08FE2" w14:textId="77777777" w:rsidR="00FA385A" w:rsidRDefault="00FA385A" w:rsidP="00FA385A"/>
    <w:p w14:paraId="2E6AFEED" w14:textId="5D819043" w:rsidR="00E27DE1" w:rsidRPr="000D33E4" w:rsidRDefault="00944F5F" w:rsidP="00FA385A">
      <w:r>
        <w:t>In each instance decision makers need to distinguish between essential departments/spending and non-essential. Here essential is deemed to be those departments/items of spending that relate directly to fighting Covid-19. Second</w:t>
      </w:r>
      <w:r w:rsidR="00FA385A">
        <w:t>,</w:t>
      </w:r>
      <w:r>
        <w:t xml:space="preserve"> essential departments/items of spending include those departments that assist in providing social relief to poor and vulnerable households. Third, those department/activities that are essential to </w:t>
      </w:r>
      <w:r w:rsidR="00620354">
        <w:t xml:space="preserve">buoying and </w:t>
      </w:r>
      <w:r w:rsidR="00A1705E">
        <w:t>driving</w:t>
      </w:r>
      <w:r>
        <w:t xml:space="preserve"> the economy and directing government, coordination, planning and spending during this time. </w:t>
      </w:r>
      <w:r w:rsidR="00E27DE1">
        <w:t>The three approaches are discussed below</w:t>
      </w:r>
      <w:r w:rsidR="00E27DE1" w:rsidRPr="005C3D29">
        <w:rPr>
          <w:color w:val="000000" w:themeColor="text1"/>
        </w:rPr>
        <w:t xml:space="preserve">. </w:t>
      </w:r>
      <w:r w:rsidR="005C3D29" w:rsidRPr="005C3D29">
        <w:rPr>
          <w:color w:val="000000" w:themeColor="text1"/>
        </w:rPr>
        <w:fldChar w:fldCharType="begin"/>
      </w:r>
      <w:r w:rsidR="005C3D29" w:rsidRPr="005C3D29">
        <w:rPr>
          <w:color w:val="000000" w:themeColor="text1"/>
        </w:rPr>
        <w:instrText xml:space="preserve"> REF _Ref41133615 \h </w:instrText>
      </w:r>
      <w:r w:rsidR="005C3D29" w:rsidRPr="005C3D29">
        <w:rPr>
          <w:color w:val="000000" w:themeColor="text1"/>
        </w:rPr>
      </w:r>
      <w:r w:rsidR="005C3D29" w:rsidRPr="005C3D29">
        <w:rPr>
          <w:color w:val="000000" w:themeColor="text1"/>
        </w:rPr>
        <w:fldChar w:fldCharType="separate"/>
      </w:r>
      <w:r w:rsidR="005C3D29" w:rsidRPr="005C3D29">
        <w:rPr>
          <w:color w:val="000000" w:themeColor="text1"/>
          <w:szCs w:val="24"/>
        </w:rPr>
        <w:t xml:space="preserve">Table </w:t>
      </w:r>
      <w:r w:rsidR="005C3D29" w:rsidRPr="005C3D29">
        <w:rPr>
          <w:noProof/>
          <w:color w:val="000000" w:themeColor="text1"/>
          <w:szCs w:val="24"/>
        </w:rPr>
        <w:t>10</w:t>
      </w:r>
      <w:r w:rsidR="005C3D29" w:rsidRPr="005C3D29">
        <w:rPr>
          <w:color w:val="000000" w:themeColor="text1"/>
        </w:rPr>
        <w:fldChar w:fldCharType="end"/>
      </w:r>
      <w:r w:rsidR="00E27DE1">
        <w:t xml:space="preserve"> provides a summary of the spending items that the Commission proposes be assessed </w:t>
      </w:r>
      <w:r w:rsidR="00620354">
        <w:t xml:space="preserve">as candidates </w:t>
      </w:r>
      <w:r w:rsidR="00E27DE1">
        <w:t xml:space="preserve">for reprioritisation. The amounts reflected in </w:t>
      </w:r>
      <w:r w:rsidR="005C3D29" w:rsidRPr="005C3D29">
        <w:rPr>
          <w:color w:val="000000" w:themeColor="text1"/>
        </w:rPr>
        <w:fldChar w:fldCharType="begin"/>
      </w:r>
      <w:r w:rsidR="005C3D29" w:rsidRPr="005C3D29">
        <w:rPr>
          <w:color w:val="000000" w:themeColor="text1"/>
        </w:rPr>
        <w:instrText xml:space="preserve"> REF _Ref41133615 \h </w:instrText>
      </w:r>
      <w:r w:rsidR="005C3D29" w:rsidRPr="005C3D29">
        <w:rPr>
          <w:color w:val="000000" w:themeColor="text1"/>
        </w:rPr>
      </w:r>
      <w:r w:rsidR="005C3D29" w:rsidRPr="005C3D29">
        <w:rPr>
          <w:color w:val="000000" w:themeColor="text1"/>
        </w:rPr>
        <w:fldChar w:fldCharType="separate"/>
      </w:r>
      <w:r w:rsidR="005C3D29" w:rsidRPr="005C3D29">
        <w:rPr>
          <w:color w:val="000000" w:themeColor="text1"/>
          <w:szCs w:val="24"/>
        </w:rPr>
        <w:t xml:space="preserve">Table </w:t>
      </w:r>
      <w:r w:rsidR="005C3D29" w:rsidRPr="005C3D29">
        <w:rPr>
          <w:noProof/>
          <w:color w:val="000000" w:themeColor="text1"/>
          <w:szCs w:val="24"/>
        </w:rPr>
        <w:t>10</w:t>
      </w:r>
      <w:r w:rsidR="005C3D29" w:rsidRPr="005C3D29">
        <w:rPr>
          <w:color w:val="000000" w:themeColor="text1"/>
        </w:rPr>
        <w:fldChar w:fldCharType="end"/>
      </w:r>
      <w:r w:rsidR="005C3D29">
        <w:t xml:space="preserve"> </w:t>
      </w:r>
      <w:r w:rsidR="00E27DE1">
        <w:t xml:space="preserve">are aggregate pockets of funding that national departments plan to spend over the next three years and therefore funding that could be adjusted over the coming period. Essentially this section points out </w:t>
      </w:r>
      <w:r w:rsidR="00620354">
        <w:t xml:space="preserve">areas and categories </w:t>
      </w:r>
      <w:r w:rsidR="00E27DE1">
        <w:t xml:space="preserve">of spending that provide opportunity for reprioritisation. In each instance, the precise amounts that can be reprioritised will need to be determined by sector departments in consultation with National Treasury, and other relevant decision makers, for example provincial departments and </w:t>
      </w:r>
      <w:r w:rsidR="00620354">
        <w:t xml:space="preserve">provincial </w:t>
      </w:r>
      <w:r w:rsidR="00E27DE1">
        <w:t xml:space="preserve">treasuries and municipalities. </w:t>
      </w:r>
    </w:p>
    <w:p w14:paraId="59C28CC8" w14:textId="77777777" w:rsidR="00E27DE1" w:rsidRDefault="00E27DE1" w:rsidP="00E27DE1">
      <w:pPr>
        <w:rPr>
          <w:rFonts w:ascii="Times" w:hAnsi="Times"/>
        </w:rPr>
      </w:pPr>
    </w:p>
    <w:p w14:paraId="179FC7D3" w14:textId="022E1574" w:rsidR="00E27DE1" w:rsidRPr="006E55A9" w:rsidRDefault="006E55A9" w:rsidP="006E55A9">
      <w:pPr>
        <w:pStyle w:val="Caption"/>
        <w:keepNext/>
        <w:spacing w:after="60" w:line="240" w:lineRule="auto"/>
        <w:rPr>
          <w:rFonts w:ascii="Times" w:hAnsi="Times"/>
          <w:b w:val="0"/>
          <w:color w:val="004C45" w:themeColor="text2"/>
          <w:sz w:val="36"/>
          <w:szCs w:val="36"/>
        </w:rPr>
      </w:pPr>
      <w:bookmarkStart w:id="85" w:name="_Ref41133615"/>
      <w:bookmarkStart w:id="86" w:name="_Toc42212139"/>
      <w:r w:rsidRPr="006E55A9">
        <w:rPr>
          <w:color w:val="004C45" w:themeColor="text2"/>
          <w:sz w:val="24"/>
          <w:szCs w:val="24"/>
        </w:rPr>
        <w:t xml:space="preserve">Table </w:t>
      </w:r>
      <w:r w:rsidRPr="006E55A9">
        <w:rPr>
          <w:color w:val="004C45" w:themeColor="text2"/>
          <w:sz w:val="24"/>
          <w:szCs w:val="24"/>
        </w:rPr>
        <w:fldChar w:fldCharType="begin"/>
      </w:r>
      <w:r w:rsidRPr="006E55A9">
        <w:rPr>
          <w:color w:val="004C45" w:themeColor="text2"/>
          <w:sz w:val="24"/>
          <w:szCs w:val="24"/>
        </w:rPr>
        <w:instrText xml:space="preserve"> SEQ Table \* ARABIC </w:instrText>
      </w:r>
      <w:r w:rsidRPr="006E55A9">
        <w:rPr>
          <w:color w:val="004C45" w:themeColor="text2"/>
          <w:sz w:val="24"/>
          <w:szCs w:val="24"/>
        </w:rPr>
        <w:fldChar w:fldCharType="separate"/>
      </w:r>
      <w:r w:rsidR="00492893">
        <w:rPr>
          <w:noProof/>
          <w:color w:val="004C45" w:themeColor="text2"/>
          <w:sz w:val="24"/>
          <w:szCs w:val="24"/>
        </w:rPr>
        <w:t>11</w:t>
      </w:r>
      <w:r w:rsidRPr="006E55A9">
        <w:rPr>
          <w:color w:val="004C45" w:themeColor="text2"/>
          <w:sz w:val="24"/>
          <w:szCs w:val="24"/>
        </w:rPr>
        <w:fldChar w:fldCharType="end"/>
      </w:r>
      <w:bookmarkEnd w:id="85"/>
      <w:r w:rsidRPr="006E55A9">
        <w:rPr>
          <w:color w:val="004C45" w:themeColor="text2"/>
          <w:sz w:val="24"/>
          <w:szCs w:val="24"/>
        </w:rPr>
        <w:t xml:space="preserve">: Overview of spending items that FFC recommends for </w:t>
      </w:r>
      <w:r w:rsidR="00620354">
        <w:rPr>
          <w:color w:val="004C45" w:themeColor="text2"/>
          <w:sz w:val="24"/>
          <w:szCs w:val="24"/>
        </w:rPr>
        <w:t xml:space="preserve">consideration in </w:t>
      </w:r>
      <w:r w:rsidRPr="006E55A9">
        <w:rPr>
          <w:color w:val="004C45" w:themeColor="text2"/>
          <w:sz w:val="24"/>
          <w:szCs w:val="24"/>
        </w:rPr>
        <w:t>reprioritisation</w:t>
      </w:r>
      <w:bookmarkEnd w:id="86"/>
    </w:p>
    <w:tbl>
      <w:tblPr>
        <w:tblStyle w:val="GridTable1Light-Accent31"/>
        <w:tblW w:w="9715" w:type="dxa"/>
        <w:tblLook w:val="04A0" w:firstRow="1" w:lastRow="0" w:firstColumn="1" w:lastColumn="0" w:noHBand="0" w:noVBand="1"/>
      </w:tblPr>
      <w:tblGrid>
        <w:gridCol w:w="4480"/>
        <w:gridCol w:w="1185"/>
        <w:gridCol w:w="1134"/>
        <w:gridCol w:w="1276"/>
        <w:gridCol w:w="1640"/>
      </w:tblGrid>
      <w:tr w:rsidR="00E27DE1" w:rsidRPr="008D13CD" w14:paraId="1592F6DB" w14:textId="77777777" w:rsidTr="00121E5A">
        <w:trPr>
          <w:cnfStyle w:val="100000000000" w:firstRow="1" w:lastRow="0" w:firstColumn="0" w:lastColumn="0" w:oddVBand="0" w:evenVBand="0" w:oddHBand="0" w:evenHBand="0" w:firstRowFirstColumn="0" w:firstRowLastColumn="0" w:lastRowFirstColumn="0" w:lastRowLastColumn="0"/>
          <w:trHeight w:val="703"/>
        </w:trPr>
        <w:tc>
          <w:tcPr>
            <w:cnfStyle w:val="001000000000" w:firstRow="0" w:lastRow="0" w:firstColumn="1" w:lastColumn="0" w:oddVBand="0" w:evenVBand="0" w:oddHBand="0" w:evenHBand="0" w:firstRowFirstColumn="0" w:firstRowLastColumn="0" w:lastRowFirstColumn="0" w:lastRowLastColumn="0"/>
            <w:tcW w:w="4480" w:type="dxa"/>
            <w:noWrap/>
            <w:vAlign w:val="center"/>
            <w:hideMark/>
          </w:tcPr>
          <w:p w14:paraId="67C1A418" w14:textId="024F9441" w:rsidR="00E27DE1" w:rsidRPr="005C3D29" w:rsidRDefault="00E27DE1" w:rsidP="005C3D29">
            <w:pPr>
              <w:keepNext/>
              <w:jc w:val="left"/>
              <w:rPr>
                <w:rFonts w:ascii="Times" w:hAnsi="Times"/>
                <w:color w:val="000000"/>
                <w:sz w:val="20"/>
                <w:szCs w:val="20"/>
                <w:lang w:val="en-US"/>
              </w:rPr>
            </w:pPr>
            <w:r w:rsidRPr="005C3D29">
              <w:rPr>
                <w:rFonts w:ascii="Times" w:hAnsi="Times"/>
                <w:color w:val="000000"/>
                <w:sz w:val="20"/>
                <w:szCs w:val="20"/>
                <w:lang w:val="en-US"/>
              </w:rPr>
              <w:t xml:space="preserve">Item of </w:t>
            </w:r>
            <w:r w:rsidR="006E55A9" w:rsidRPr="005C3D29">
              <w:rPr>
                <w:rFonts w:ascii="Times" w:hAnsi="Times"/>
                <w:color w:val="000000"/>
                <w:sz w:val="20"/>
                <w:szCs w:val="20"/>
                <w:lang w:val="en-US"/>
              </w:rPr>
              <w:t>s</w:t>
            </w:r>
            <w:r w:rsidRPr="005C3D29">
              <w:rPr>
                <w:rFonts w:ascii="Times" w:hAnsi="Times"/>
                <w:color w:val="000000"/>
                <w:sz w:val="20"/>
                <w:szCs w:val="20"/>
                <w:lang w:val="en-US"/>
              </w:rPr>
              <w:t>pending (R</w:t>
            </w:r>
            <w:r w:rsidR="006E55A9" w:rsidRPr="005C3D29">
              <w:rPr>
                <w:rFonts w:ascii="Times" w:hAnsi="Times"/>
                <w:color w:val="000000"/>
                <w:sz w:val="20"/>
                <w:szCs w:val="20"/>
                <w:lang w:val="en-US"/>
              </w:rPr>
              <w:t xml:space="preserve"> </w:t>
            </w:r>
            <w:r w:rsidRPr="005C3D29">
              <w:rPr>
                <w:rFonts w:ascii="Times" w:hAnsi="Times"/>
                <w:color w:val="000000"/>
                <w:sz w:val="20"/>
                <w:szCs w:val="20"/>
                <w:lang w:val="en-US"/>
              </w:rPr>
              <w:t>million)</w:t>
            </w:r>
          </w:p>
        </w:tc>
        <w:tc>
          <w:tcPr>
            <w:tcW w:w="1185" w:type="dxa"/>
            <w:noWrap/>
            <w:vAlign w:val="center"/>
            <w:hideMark/>
          </w:tcPr>
          <w:p w14:paraId="0AC120A3" w14:textId="77777777" w:rsidR="00E27DE1" w:rsidRPr="005C3D29" w:rsidRDefault="00E27DE1" w:rsidP="005C3D29">
            <w:pPr>
              <w:keepNext/>
              <w:jc w:val="center"/>
              <w:cnfStyle w:val="100000000000" w:firstRow="1" w:lastRow="0" w:firstColumn="0" w:lastColumn="0" w:oddVBand="0" w:evenVBand="0" w:oddHBand="0" w:evenHBand="0" w:firstRowFirstColumn="0" w:firstRowLastColumn="0" w:lastRowFirstColumn="0" w:lastRowLastColumn="0"/>
              <w:rPr>
                <w:rFonts w:ascii="Times" w:hAnsi="Times"/>
                <w:color w:val="000000"/>
                <w:sz w:val="20"/>
                <w:szCs w:val="20"/>
                <w:lang w:val="en-US"/>
              </w:rPr>
            </w:pPr>
            <w:r w:rsidRPr="005C3D29">
              <w:rPr>
                <w:rFonts w:ascii="Times" w:hAnsi="Times"/>
                <w:color w:val="000000"/>
                <w:sz w:val="20"/>
                <w:szCs w:val="20"/>
                <w:lang w:val="en-US"/>
              </w:rPr>
              <w:t>2020/21</w:t>
            </w:r>
          </w:p>
        </w:tc>
        <w:tc>
          <w:tcPr>
            <w:tcW w:w="1134" w:type="dxa"/>
            <w:noWrap/>
            <w:vAlign w:val="center"/>
            <w:hideMark/>
          </w:tcPr>
          <w:p w14:paraId="2E0DC09E" w14:textId="77777777" w:rsidR="00E27DE1" w:rsidRPr="005C3D29" w:rsidRDefault="00E27DE1" w:rsidP="005C3D29">
            <w:pPr>
              <w:keepNext/>
              <w:jc w:val="center"/>
              <w:cnfStyle w:val="100000000000" w:firstRow="1" w:lastRow="0" w:firstColumn="0" w:lastColumn="0" w:oddVBand="0" w:evenVBand="0" w:oddHBand="0" w:evenHBand="0" w:firstRowFirstColumn="0" w:firstRowLastColumn="0" w:lastRowFirstColumn="0" w:lastRowLastColumn="0"/>
              <w:rPr>
                <w:rFonts w:ascii="Times" w:hAnsi="Times"/>
                <w:color w:val="000000"/>
                <w:sz w:val="20"/>
                <w:szCs w:val="20"/>
                <w:lang w:val="en-US"/>
              </w:rPr>
            </w:pPr>
            <w:r w:rsidRPr="005C3D29">
              <w:rPr>
                <w:rFonts w:ascii="Times" w:hAnsi="Times"/>
                <w:color w:val="000000"/>
                <w:sz w:val="20"/>
                <w:szCs w:val="20"/>
                <w:lang w:val="en-US"/>
              </w:rPr>
              <w:t>2021/22</w:t>
            </w:r>
          </w:p>
        </w:tc>
        <w:tc>
          <w:tcPr>
            <w:tcW w:w="1276" w:type="dxa"/>
            <w:noWrap/>
            <w:vAlign w:val="center"/>
            <w:hideMark/>
          </w:tcPr>
          <w:p w14:paraId="60A3381A" w14:textId="77777777" w:rsidR="00E27DE1" w:rsidRPr="005C3D29" w:rsidRDefault="00E27DE1" w:rsidP="005C3D29">
            <w:pPr>
              <w:keepNext/>
              <w:jc w:val="center"/>
              <w:cnfStyle w:val="100000000000" w:firstRow="1" w:lastRow="0" w:firstColumn="0" w:lastColumn="0" w:oddVBand="0" w:evenVBand="0" w:oddHBand="0" w:evenHBand="0" w:firstRowFirstColumn="0" w:firstRowLastColumn="0" w:lastRowFirstColumn="0" w:lastRowLastColumn="0"/>
              <w:rPr>
                <w:rFonts w:ascii="Times" w:hAnsi="Times"/>
                <w:color w:val="000000"/>
                <w:sz w:val="20"/>
                <w:szCs w:val="20"/>
                <w:lang w:val="en-US"/>
              </w:rPr>
            </w:pPr>
            <w:r w:rsidRPr="005C3D29">
              <w:rPr>
                <w:rFonts w:ascii="Times" w:hAnsi="Times"/>
                <w:color w:val="000000"/>
                <w:sz w:val="20"/>
                <w:szCs w:val="20"/>
                <w:lang w:val="en-US"/>
              </w:rPr>
              <w:t>2022/23</w:t>
            </w:r>
          </w:p>
        </w:tc>
        <w:tc>
          <w:tcPr>
            <w:tcW w:w="1640" w:type="dxa"/>
            <w:vAlign w:val="center"/>
            <w:hideMark/>
          </w:tcPr>
          <w:p w14:paraId="70AC1AF4" w14:textId="77777777" w:rsidR="00E27DE1" w:rsidRPr="005C3D29" w:rsidRDefault="00E27DE1" w:rsidP="005C3D29">
            <w:pPr>
              <w:keepNext/>
              <w:jc w:val="center"/>
              <w:cnfStyle w:val="100000000000" w:firstRow="1" w:lastRow="0" w:firstColumn="0" w:lastColumn="0" w:oddVBand="0" w:evenVBand="0" w:oddHBand="0" w:evenHBand="0" w:firstRowFirstColumn="0" w:firstRowLastColumn="0" w:lastRowFirstColumn="0" w:lastRowLastColumn="0"/>
              <w:rPr>
                <w:rFonts w:ascii="Times" w:hAnsi="Times"/>
                <w:color w:val="000000"/>
                <w:sz w:val="20"/>
                <w:szCs w:val="20"/>
                <w:lang w:val="en-US"/>
              </w:rPr>
            </w:pPr>
            <w:r w:rsidRPr="005C3D29">
              <w:rPr>
                <w:rFonts w:ascii="Times" w:hAnsi="Times"/>
                <w:color w:val="000000"/>
                <w:sz w:val="20"/>
                <w:szCs w:val="20"/>
                <w:lang w:val="en-US"/>
              </w:rPr>
              <w:t>Total over MTEF period: 2020/21-2022/23</w:t>
            </w:r>
          </w:p>
        </w:tc>
      </w:tr>
      <w:tr w:rsidR="00E27DE1" w:rsidRPr="008D13CD" w14:paraId="2F23F989" w14:textId="77777777" w:rsidTr="00121E5A">
        <w:trPr>
          <w:trHeight w:val="240"/>
        </w:trPr>
        <w:tc>
          <w:tcPr>
            <w:cnfStyle w:val="001000000000" w:firstRow="0" w:lastRow="0" w:firstColumn="1" w:lastColumn="0" w:oddVBand="0" w:evenVBand="0" w:oddHBand="0" w:evenHBand="0" w:firstRowFirstColumn="0" w:firstRowLastColumn="0" w:lastRowFirstColumn="0" w:lastRowLastColumn="0"/>
            <w:tcW w:w="4480" w:type="dxa"/>
            <w:noWrap/>
            <w:vAlign w:val="center"/>
            <w:hideMark/>
          </w:tcPr>
          <w:p w14:paraId="4214FEE8" w14:textId="766145B7" w:rsidR="00E27DE1" w:rsidRPr="005C3D29" w:rsidRDefault="00E27DE1" w:rsidP="005C3D29">
            <w:pPr>
              <w:keepNext/>
              <w:jc w:val="left"/>
              <w:rPr>
                <w:rFonts w:ascii="Times" w:hAnsi="Times"/>
                <w:b w:val="0"/>
                <w:color w:val="000000"/>
                <w:sz w:val="20"/>
                <w:szCs w:val="20"/>
                <w:lang w:val="en-US"/>
              </w:rPr>
            </w:pPr>
            <w:r w:rsidRPr="005C3D29">
              <w:rPr>
                <w:rFonts w:ascii="Times" w:hAnsi="Times"/>
                <w:b w:val="0"/>
                <w:color w:val="000000"/>
                <w:sz w:val="20"/>
                <w:szCs w:val="20"/>
                <w:lang w:val="en-US"/>
              </w:rPr>
              <w:t xml:space="preserve">Compensation of </w:t>
            </w:r>
            <w:r w:rsidR="005C3D29">
              <w:rPr>
                <w:rFonts w:ascii="Times" w:hAnsi="Times"/>
                <w:b w:val="0"/>
                <w:color w:val="000000"/>
                <w:sz w:val="20"/>
                <w:szCs w:val="20"/>
                <w:lang w:val="en-US"/>
              </w:rPr>
              <w:t>e</w:t>
            </w:r>
            <w:r w:rsidR="005C3D29" w:rsidRPr="005C3D29">
              <w:rPr>
                <w:rFonts w:ascii="Times" w:hAnsi="Times"/>
                <w:b w:val="0"/>
                <w:color w:val="000000"/>
                <w:sz w:val="20"/>
                <w:szCs w:val="20"/>
                <w:lang w:val="en-US"/>
              </w:rPr>
              <w:t>mployees by national departme</w:t>
            </w:r>
            <w:r w:rsidRPr="005C3D29">
              <w:rPr>
                <w:rFonts w:ascii="Times" w:hAnsi="Times"/>
                <w:b w:val="0"/>
                <w:color w:val="000000"/>
                <w:sz w:val="20"/>
                <w:szCs w:val="20"/>
                <w:lang w:val="en-US"/>
              </w:rPr>
              <w:t>nts</w:t>
            </w:r>
          </w:p>
        </w:tc>
        <w:tc>
          <w:tcPr>
            <w:tcW w:w="1185" w:type="dxa"/>
            <w:noWrap/>
            <w:vAlign w:val="center"/>
            <w:hideMark/>
          </w:tcPr>
          <w:p w14:paraId="3A83F1D5" w14:textId="03EFDF9B" w:rsidR="00E27DE1" w:rsidRPr="005C3D29" w:rsidRDefault="00E27DE1" w:rsidP="005C3D29">
            <w:pPr>
              <w:keepNext/>
              <w:jc w:val="right"/>
              <w:cnfStyle w:val="000000000000" w:firstRow="0" w:lastRow="0" w:firstColumn="0" w:lastColumn="0" w:oddVBand="0" w:evenVBand="0" w:oddHBand="0" w:evenHBand="0" w:firstRowFirstColumn="0" w:firstRowLastColumn="0" w:lastRowFirstColumn="0" w:lastRowLastColumn="0"/>
              <w:rPr>
                <w:rFonts w:ascii="Times" w:hAnsi="Times"/>
                <w:bCs/>
                <w:color w:val="000000"/>
                <w:sz w:val="20"/>
                <w:szCs w:val="20"/>
                <w:lang w:val="en-US"/>
              </w:rPr>
            </w:pPr>
            <w:r w:rsidRPr="005C3D29">
              <w:rPr>
                <w:rFonts w:ascii="Times" w:hAnsi="Times"/>
                <w:bCs/>
                <w:color w:val="000000"/>
                <w:sz w:val="20"/>
                <w:szCs w:val="20"/>
                <w:lang w:val="en-US"/>
              </w:rPr>
              <w:t>187</w:t>
            </w:r>
            <w:r w:rsidR="005C3D29">
              <w:rPr>
                <w:rFonts w:ascii="Times" w:hAnsi="Times"/>
                <w:bCs/>
                <w:color w:val="000000"/>
                <w:sz w:val="20"/>
                <w:szCs w:val="20"/>
                <w:lang w:val="en-US"/>
              </w:rPr>
              <w:t xml:space="preserve"> </w:t>
            </w:r>
            <w:r w:rsidRPr="005C3D29">
              <w:rPr>
                <w:rFonts w:ascii="Times" w:hAnsi="Times"/>
                <w:bCs/>
                <w:color w:val="000000"/>
                <w:sz w:val="20"/>
                <w:szCs w:val="20"/>
                <w:lang w:val="en-US"/>
              </w:rPr>
              <w:t>668.1</w:t>
            </w:r>
          </w:p>
        </w:tc>
        <w:tc>
          <w:tcPr>
            <w:tcW w:w="1134" w:type="dxa"/>
            <w:noWrap/>
            <w:vAlign w:val="center"/>
            <w:hideMark/>
          </w:tcPr>
          <w:p w14:paraId="72E15344" w14:textId="4D5AA795" w:rsidR="00E27DE1" w:rsidRPr="005C3D29" w:rsidRDefault="00E27DE1" w:rsidP="005C3D29">
            <w:pPr>
              <w:keepNext/>
              <w:jc w:val="right"/>
              <w:cnfStyle w:val="000000000000" w:firstRow="0" w:lastRow="0" w:firstColumn="0" w:lastColumn="0" w:oddVBand="0" w:evenVBand="0" w:oddHBand="0" w:evenHBand="0" w:firstRowFirstColumn="0" w:firstRowLastColumn="0" w:lastRowFirstColumn="0" w:lastRowLastColumn="0"/>
              <w:rPr>
                <w:rFonts w:ascii="Times" w:hAnsi="Times"/>
                <w:bCs/>
                <w:color w:val="000000"/>
                <w:sz w:val="20"/>
                <w:szCs w:val="20"/>
                <w:lang w:val="en-US"/>
              </w:rPr>
            </w:pPr>
            <w:r w:rsidRPr="005C3D29">
              <w:rPr>
                <w:rFonts w:ascii="Times" w:hAnsi="Times"/>
                <w:bCs/>
                <w:color w:val="000000"/>
                <w:sz w:val="20"/>
                <w:szCs w:val="20"/>
                <w:lang w:val="en-US"/>
              </w:rPr>
              <w:t>200</w:t>
            </w:r>
            <w:r w:rsidR="005C3D29">
              <w:rPr>
                <w:rFonts w:ascii="Times" w:hAnsi="Times"/>
                <w:bCs/>
                <w:color w:val="000000"/>
                <w:sz w:val="20"/>
                <w:szCs w:val="20"/>
                <w:lang w:val="en-US"/>
              </w:rPr>
              <w:t> </w:t>
            </w:r>
            <w:r w:rsidRPr="005C3D29">
              <w:rPr>
                <w:rFonts w:ascii="Times" w:hAnsi="Times"/>
                <w:bCs/>
                <w:color w:val="000000"/>
                <w:sz w:val="20"/>
                <w:szCs w:val="20"/>
                <w:lang w:val="en-US"/>
              </w:rPr>
              <w:t>116.5</w:t>
            </w:r>
          </w:p>
        </w:tc>
        <w:tc>
          <w:tcPr>
            <w:tcW w:w="1276" w:type="dxa"/>
            <w:noWrap/>
            <w:vAlign w:val="center"/>
            <w:hideMark/>
          </w:tcPr>
          <w:p w14:paraId="49443E34" w14:textId="580B2ADF" w:rsidR="00E27DE1" w:rsidRPr="005C3D29" w:rsidRDefault="00E27DE1" w:rsidP="005C3D29">
            <w:pPr>
              <w:keepNext/>
              <w:jc w:val="right"/>
              <w:cnfStyle w:val="000000000000" w:firstRow="0" w:lastRow="0" w:firstColumn="0" w:lastColumn="0" w:oddVBand="0" w:evenVBand="0" w:oddHBand="0" w:evenHBand="0" w:firstRowFirstColumn="0" w:firstRowLastColumn="0" w:lastRowFirstColumn="0" w:lastRowLastColumn="0"/>
              <w:rPr>
                <w:rFonts w:ascii="Times" w:hAnsi="Times"/>
                <w:bCs/>
                <w:color w:val="000000"/>
                <w:sz w:val="20"/>
                <w:szCs w:val="20"/>
                <w:lang w:val="en-US"/>
              </w:rPr>
            </w:pPr>
            <w:r w:rsidRPr="005C3D29">
              <w:rPr>
                <w:rFonts w:ascii="Times" w:hAnsi="Times"/>
                <w:bCs/>
                <w:color w:val="000000"/>
                <w:sz w:val="20"/>
                <w:szCs w:val="20"/>
                <w:lang w:val="en-US"/>
              </w:rPr>
              <w:t>208</w:t>
            </w:r>
            <w:r w:rsidR="005C3D29">
              <w:rPr>
                <w:rFonts w:ascii="Times" w:hAnsi="Times"/>
                <w:bCs/>
                <w:color w:val="000000"/>
                <w:sz w:val="20"/>
                <w:szCs w:val="20"/>
                <w:lang w:val="en-US"/>
              </w:rPr>
              <w:t xml:space="preserve"> </w:t>
            </w:r>
            <w:r w:rsidRPr="005C3D29">
              <w:rPr>
                <w:rFonts w:ascii="Times" w:hAnsi="Times"/>
                <w:bCs/>
                <w:color w:val="000000"/>
                <w:sz w:val="20"/>
                <w:szCs w:val="20"/>
                <w:lang w:val="en-US"/>
              </w:rPr>
              <w:t>736.4</w:t>
            </w:r>
          </w:p>
        </w:tc>
        <w:tc>
          <w:tcPr>
            <w:tcW w:w="1640" w:type="dxa"/>
            <w:noWrap/>
            <w:vAlign w:val="center"/>
            <w:hideMark/>
          </w:tcPr>
          <w:p w14:paraId="5A133D50" w14:textId="7D5C468B" w:rsidR="00E27DE1" w:rsidRPr="005C3D29" w:rsidRDefault="00E27DE1" w:rsidP="005C3D29">
            <w:pPr>
              <w:keepNext/>
              <w:jc w:val="right"/>
              <w:cnfStyle w:val="000000000000" w:firstRow="0" w:lastRow="0" w:firstColumn="0" w:lastColumn="0" w:oddVBand="0" w:evenVBand="0" w:oddHBand="0" w:evenHBand="0" w:firstRowFirstColumn="0" w:firstRowLastColumn="0" w:lastRowFirstColumn="0" w:lastRowLastColumn="0"/>
              <w:rPr>
                <w:rFonts w:ascii="Times" w:hAnsi="Times"/>
                <w:bCs/>
                <w:color w:val="000000"/>
                <w:sz w:val="20"/>
                <w:szCs w:val="20"/>
                <w:lang w:val="en-US"/>
              </w:rPr>
            </w:pPr>
            <w:r w:rsidRPr="005C3D29">
              <w:rPr>
                <w:rFonts w:ascii="Times" w:hAnsi="Times"/>
                <w:bCs/>
                <w:color w:val="000000"/>
                <w:sz w:val="20"/>
                <w:szCs w:val="20"/>
                <w:lang w:val="en-US"/>
              </w:rPr>
              <w:t>596521.0</w:t>
            </w:r>
          </w:p>
        </w:tc>
      </w:tr>
      <w:tr w:rsidR="00E27DE1" w:rsidRPr="008D13CD" w14:paraId="2F61E8C0" w14:textId="77777777" w:rsidTr="00121E5A">
        <w:trPr>
          <w:trHeight w:val="240"/>
        </w:trPr>
        <w:tc>
          <w:tcPr>
            <w:cnfStyle w:val="001000000000" w:firstRow="0" w:lastRow="0" w:firstColumn="1" w:lastColumn="0" w:oddVBand="0" w:evenVBand="0" w:oddHBand="0" w:evenHBand="0" w:firstRowFirstColumn="0" w:firstRowLastColumn="0" w:lastRowFirstColumn="0" w:lastRowLastColumn="0"/>
            <w:tcW w:w="4480" w:type="dxa"/>
            <w:noWrap/>
            <w:vAlign w:val="center"/>
            <w:hideMark/>
          </w:tcPr>
          <w:p w14:paraId="1228BD96" w14:textId="3251A0CF" w:rsidR="00E27DE1" w:rsidRPr="005C3D29" w:rsidRDefault="00E27DE1" w:rsidP="005C3D29">
            <w:pPr>
              <w:keepNext/>
              <w:jc w:val="left"/>
              <w:rPr>
                <w:rFonts w:ascii="Times" w:hAnsi="Times"/>
                <w:b w:val="0"/>
                <w:color w:val="000000"/>
                <w:sz w:val="20"/>
                <w:szCs w:val="20"/>
                <w:lang w:val="en-US"/>
              </w:rPr>
            </w:pPr>
            <w:r w:rsidRPr="005C3D29">
              <w:rPr>
                <w:rFonts w:ascii="Times" w:hAnsi="Times"/>
                <w:b w:val="0"/>
                <w:color w:val="000000"/>
                <w:sz w:val="20"/>
                <w:szCs w:val="20"/>
                <w:lang w:val="en-US"/>
              </w:rPr>
              <w:t xml:space="preserve">Goods and </w:t>
            </w:r>
            <w:r w:rsidR="005C3D29" w:rsidRPr="005C3D29">
              <w:rPr>
                <w:rFonts w:ascii="Times" w:hAnsi="Times"/>
                <w:b w:val="0"/>
                <w:color w:val="000000"/>
                <w:sz w:val="20"/>
                <w:szCs w:val="20"/>
                <w:lang w:val="en-US"/>
              </w:rPr>
              <w:t>services spending by national departments</w:t>
            </w:r>
          </w:p>
        </w:tc>
        <w:tc>
          <w:tcPr>
            <w:tcW w:w="1185" w:type="dxa"/>
            <w:noWrap/>
            <w:vAlign w:val="center"/>
            <w:hideMark/>
          </w:tcPr>
          <w:p w14:paraId="3FFDDB8A" w14:textId="5C0044F5" w:rsidR="00E27DE1" w:rsidRPr="005C3D29" w:rsidRDefault="00E27DE1" w:rsidP="005C3D29">
            <w:pPr>
              <w:keepNext/>
              <w:jc w:val="right"/>
              <w:cnfStyle w:val="000000000000" w:firstRow="0" w:lastRow="0" w:firstColumn="0" w:lastColumn="0" w:oddVBand="0" w:evenVBand="0" w:oddHBand="0" w:evenHBand="0" w:firstRowFirstColumn="0" w:firstRowLastColumn="0" w:lastRowFirstColumn="0" w:lastRowLastColumn="0"/>
              <w:rPr>
                <w:rFonts w:ascii="Times" w:hAnsi="Times"/>
                <w:bCs/>
                <w:color w:val="000000"/>
                <w:sz w:val="20"/>
                <w:szCs w:val="20"/>
                <w:lang w:val="en-US"/>
              </w:rPr>
            </w:pPr>
            <w:r w:rsidRPr="005C3D29">
              <w:rPr>
                <w:rFonts w:ascii="Times" w:hAnsi="Times"/>
                <w:bCs/>
                <w:color w:val="000000"/>
                <w:sz w:val="20"/>
                <w:szCs w:val="20"/>
                <w:lang w:val="en-US"/>
              </w:rPr>
              <w:t>77</w:t>
            </w:r>
            <w:r w:rsidR="005C3D29">
              <w:rPr>
                <w:rFonts w:ascii="Times" w:hAnsi="Times"/>
                <w:bCs/>
                <w:color w:val="000000"/>
                <w:sz w:val="20"/>
                <w:szCs w:val="20"/>
                <w:lang w:val="en-US"/>
              </w:rPr>
              <w:t> </w:t>
            </w:r>
            <w:r w:rsidRPr="005C3D29">
              <w:rPr>
                <w:rFonts w:ascii="Times" w:hAnsi="Times"/>
                <w:bCs/>
                <w:color w:val="000000"/>
                <w:sz w:val="20"/>
                <w:szCs w:val="20"/>
                <w:lang w:val="en-US"/>
              </w:rPr>
              <w:t>891.4</w:t>
            </w:r>
          </w:p>
        </w:tc>
        <w:tc>
          <w:tcPr>
            <w:tcW w:w="1134" w:type="dxa"/>
            <w:noWrap/>
            <w:vAlign w:val="center"/>
            <w:hideMark/>
          </w:tcPr>
          <w:p w14:paraId="08DC11E1" w14:textId="0E02690F" w:rsidR="00E27DE1" w:rsidRPr="005C3D29" w:rsidRDefault="00E27DE1" w:rsidP="005C3D29">
            <w:pPr>
              <w:keepNext/>
              <w:jc w:val="right"/>
              <w:cnfStyle w:val="000000000000" w:firstRow="0" w:lastRow="0" w:firstColumn="0" w:lastColumn="0" w:oddVBand="0" w:evenVBand="0" w:oddHBand="0" w:evenHBand="0" w:firstRowFirstColumn="0" w:firstRowLastColumn="0" w:lastRowFirstColumn="0" w:lastRowLastColumn="0"/>
              <w:rPr>
                <w:rFonts w:ascii="Times" w:hAnsi="Times"/>
                <w:bCs/>
                <w:color w:val="000000"/>
                <w:sz w:val="20"/>
                <w:szCs w:val="20"/>
                <w:lang w:val="en-US"/>
              </w:rPr>
            </w:pPr>
            <w:r w:rsidRPr="005C3D29">
              <w:rPr>
                <w:rFonts w:ascii="Times" w:hAnsi="Times"/>
                <w:bCs/>
                <w:color w:val="000000"/>
                <w:sz w:val="20"/>
                <w:szCs w:val="20"/>
                <w:lang w:val="en-US"/>
              </w:rPr>
              <w:t>83</w:t>
            </w:r>
            <w:r w:rsidR="005C3D29">
              <w:rPr>
                <w:rFonts w:ascii="Times" w:hAnsi="Times"/>
                <w:bCs/>
                <w:color w:val="000000"/>
                <w:sz w:val="20"/>
                <w:szCs w:val="20"/>
                <w:lang w:val="en-US"/>
              </w:rPr>
              <w:t xml:space="preserve"> </w:t>
            </w:r>
            <w:r w:rsidRPr="005C3D29">
              <w:rPr>
                <w:rFonts w:ascii="Times" w:hAnsi="Times"/>
                <w:bCs/>
                <w:color w:val="000000"/>
                <w:sz w:val="20"/>
                <w:szCs w:val="20"/>
                <w:lang w:val="en-US"/>
              </w:rPr>
              <w:t>642.8</w:t>
            </w:r>
          </w:p>
        </w:tc>
        <w:tc>
          <w:tcPr>
            <w:tcW w:w="1276" w:type="dxa"/>
            <w:noWrap/>
            <w:vAlign w:val="center"/>
            <w:hideMark/>
          </w:tcPr>
          <w:p w14:paraId="7DA6A8EB" w14:textId="48BC90B2" w:rsidR="00E27DE1" w:rsidRPr="005C3D29" w:rsidRDefault="00E27DE1" w:rsidP="005C3D29">
            <w:pPr>
              <w:keepNext/>
              <w:jc w:val="right"/>
              <w:cnfStyle w:val="000000000000" w:firstRow="0" w:lastRow="0" w:firstColumn="0" w:lastColumn="0" w:oddVBand="0" w:evenVBand="0" w:oddHBand="0" w:evenHBand="0" w:firstRowFirstColumn="0" w:firstRowLastColumn="0" w:lastRowFirstColumn="0" w:lastRowLastColumn="0"/>
              <w:rPr>
                <w:rFonts w:ascii="Times" w:hAnsi="Times"/>
                <w:bCs/>
                <w:color w:val="000000"/>
                <w:sz w:val="20"/>
                <w:szCs w:val="20"/>
                <w:lang w:val="en-US"/>
              </w:rPr>
            </w:pPr>
            <w:r w:rsidRPr="005C3D29">
              <w:rPr>
                <w:rFonts w:ascii="Times" w:hAnsi="Times"/>
                <w:bCs/>
                <w:color w:val="000000"/>
                <w:sz w:val="20"/>
                <w:szCs w:val="20"/>
                <w:lang w:val="en-US"/>
              </w:rPr>
              <w:t>84</w:t>
            </w:r>
            <w:r w:rsidR="005C3D29">
              <w:rPr>
                <w:rFonts w:ascii="Times" w:hAnsi="Times"/>
                <w:bCs/>
                <w:color w:val="000000"/>
                <w:sz w:val="20"/>
                <w:szCs w:val="20"/>
                <w:lang w:val="en-US"/>
              </w:rPr>
              <w:t xml:space="preserve"> </w:t>
            </w:r>
            <w:r w:rsidRPr="005C3D29">
              <w:rPr>
                <w:rFonts w:ascii="Times" w:hAnsi="Times"/>
                <w:bCs/>
                <w:color w:val="000000"/>
                <w:sz w:val="20"/>
                <w:szCs w:val="20"/>
                <w:lang w:val="en-US"/>
              </w:rPr>
              <w:t>630.8</w:t>
            </w:r>
          </w:p>
        </w:tc>
        <w:tc>
          <w:tcPr>
            <w:tcW w:w="1640" w:type="dxa"/>
            <w:noWrap/>
            <w:vAlign w:val="center"/>
            <w:hideMark/>
          </w:tcPr>
          <w:p w14:paraId="7DAB4ACF" w14:textId="1ABC8D85" w:rsidR="00E27DE1" w:rsidRPr="005C3D29" w:rsidRDefault="00E27DE1" w:rsidP="005C3D29">
            <w:pPr>
              <w:keepNext/>
              <w:jc w:val="right"/>
              <w:cnfStyle w:val="000000000000" w:firstRow="0" w:lastRow="0" w:firstColumn="0" w:lastColumn="0" w:oddVBand="0" w:evenVBand="0" w:oddHBand="0" w:evenHBand="0" w:firstRowFirstColumn="0" w:firstRowLastColumn="0" w:lastRowFirstColumn="0" w:lastRowLastColumn="0"/>
              <w:rPr>
                <w:rFonts w:ascii="Times" w:hAnsi="Times"/>
                <w:bCs/>
                <w:color w:val="000000"/>
                <w:sz w:val="20"/>
                <w:szCs w:val="20"/>
                <w:lang w:val="en-US"/>
              </w:rPr>
            </w:pPr>
            <w:r w:rsidRPr="005C3D29">
              <w:rPr>
                <w:rFonts w:ascii="Times" w:hAnsi="Times"/>
                <w:bCs/>
                <w:color w:val="000000"/>
                <w:sz w:val="20"/>
                <w:szCs w:val="20"/>
                <w:lang w:val="en-US"/>
              </w:rPr>
              <w:t>246</w:t>
            </w:r>
            <w:r w:rsidR="005C3D29">
              <w:rPr>
                <w:rFonts w:ascii="Times" w:hAnsi="Times"/>
                <w:bCs/>
                <w:color w:val="000000"/>
                <w:sz w:val="20"/>
                <w:szCs w:val="20"/>
                <w:lang w:val="en-US"/>
              </w:rPr>
              <w:t xml:space="preserve"> </w:t>
            </w:r>
            <w:r w:rsidRPr="005C3D29">
              <w:rPr>
                <w:rFonts w:ascii="Times" w:hAnsi="Times"/>
                <w:bCs/>
                <w:color w:val="000000"/>
                <w:sz w:val="20"/>
                <w:szCs w:val="20"/>
                <w:lang w:val="en-US"/>
              </w:rPr>
              <w:t>165.0</w:t>
            </w:r>
          </w:p>
        </w:tc>
      </w:tr>
      <w:tr w:rsidR="00E27DE1" w:rsidRPr="008D13CD" w14:paraId="14CAD6CF" w14:textId="77777777" w:rsidTr="00121E5A">
        <w:trPr>
          <w:trHeight w:val="240"/>
        </w:trPr>
        <w:tc>
          <w:tcPr>
            <w:cnfStyle w:val="001000000000" w:firstRow="0" w:lastRow="0" w:firstColumn="1" w:lastColumn="0" w:oddVBand="0" w:evenVBand="0" w:oddHBand="0" w:evenHBand="0" w:firstRowFirstColumn="0" w:firstRowLastColumn="0" w:lastRowFirstColumn="0" w:lastRowLastColumn="0"/>
            <w:tcW w:w="4480" w:type="dxa"/>
            <w:noWrap/>
            <w:vAlign w:val="center"/>
            <w:hideMark/>
          </w:tcPr>
          <w:p w14:paraId="5A2AE9D6" w14:textId="77777777" w:rsidR="00E27DE1" w:rsidRPr="005C3D29" w:rsidRDefault="00E27DE1" w:rsidP="005C3D29">
            <w:pPr>
              <w:keepNext/>
              <w:jc w:val="left"/>
              <w:rPr>
                <w:rFonts w:ascii="Times" w:hAnsi="Times"/>
                <w:b w:val="0"/>
                <w:i/>
                <w:iCs/>
                <w:color w:val="000000"/>
                <w:sz w:val="20"/>
                <w:szCs w:val="20"/>
                <w:lang w:val="en-US"/>
              </w:rPr>
            </w:pPr>
            <w:r w:rsidRPr="005C3D29">
              <w:rPr>
                <w:rFonts w:ascii="Times" w:hAnsi="Times"/>
                <w:b w:val="0"/>
                <w:i/>
                <w:iCs/>
                <w:color w:val="000000"/>
                <w:sz w:val="20"/>
                <w:szCs w:val="20"/>
                <w:lang w:val="en-US"/>
              </w:rPr>
              <w:t>of which:</w:t>
            </w:r>
          </w:p>
        </w:tc>
        <w:tc>
          <w:tcPr>
            <w:tcW w:w="1185" w:type="dxa"/>
            <w:noWrap/>
            <w:vAlign w:val="center"/>
            <w:hideMark/>
          </w:tcPr>
          <w:p w14:paraId="3B5999A6" w14:textId="77777777" w:rsidR="00E27DE1" w:rsidRPr="005C3D29" w:rsidRDefault="00E27DE1" w:rsidP="005C3D29">
            <w:pPr>
              <w:keepNext/>
              <w:jc w:val="right"/>
              <w:cnfStyle w:val="000000000000" w:firstRow="0" w:lastRow="0" w:firstColumn="0" w:lastColumn="0" w:oddVBand="0" w:evenVBand="0" w:oddHBand="0" w:evenHBand="0" w:firstRowFirstColumn="0" w:firstRowLastColumn="0" w:lastRowFirstColumn="0" w:lastRowLastColumn="0"/>
              <w:rPr>
                <w:rFonts w:ascii="Times" w:hAnsi="Times"/>
                <w:i/>
                <w:iCs/>
                <w:color w:val="000000"/>
                <w:sz w:val="20"/>
                <w:szCs w:val="20"/>
                <w:lang w:val="en-US"/>
              </w:rPr>
            </w:pPr>
          </w:p>
        </w:tc>
        <w:tc>
          <w:tcPr>
            <w:tcW w:w="1134" w:type="dxa"/>
            <w:noWrap/>
            <w:vAlign w:val="center"/>
            <w:hideMark/>
          </w:tcPr>
          <w:p w14:paraId="77684626" w14:textId="77777777" w:rsidR="00E27DE1" w:rsidRPr="005C3D29" w:rsidRDefault="00E27DE1" w:rsidP="005C3D29">
            <w:pPr>
              <w:keepNext/>
              <w:jc w:val="right"/>
              <w:cnfStyle w:val="000000000000" w:firstRow="0" w:lastRow="0" w:firstColumn="0" w:lastColumn="0" w:oddVBand="0" w:evenVBand="0" w:oddHBand="0" w:evenHBand="0" w:firstRowFirstColumn="0" w:firstRowLastColumn="0" w:lastRowFirstColumn="0" w:lastRowLastColumn="0"/>
              <w:rPr>
                <w:rFonts w:ascii="Times" w:hAnsi="Times"/>
                <w:sz w:val="20"/>
                <w:szCs w:val="20"/>
                <w:lang w:val="en-US"/>
              </w:rPr>
            </w:pPr>
          </w:p>
        </w:tc>
        <w:tc>
          <w:tcPr>
            <w:tcW w:w="1276" w:type="dxa"/>
            <w:noWrap/>
            <w:vAlign w:val="center"/>
            <w:hideMark/>
          </w:tcPr>
          <w:p w14:paraId="76581FA1" w14:textId="77777777" w:rsidR="00E27DE1" w:rsidRPr="005C3D29" w:rsidRDefault="00E27DE1" w:rsidP="005C3D29">
            <w:pPr>
              <w:keepNext/>
              <w:jc w:val="right"/>
              <w:cnfStyle w:val="000000000000" w:firstRow="0" w:lastRow="0" w:firstColumn="0" w:lastColumn="0" w:oddVBand="0" w:evenVBand="0" w:oddHBand="0" w:evenHBand="0" w:firstRowFirstColumn="0" w:firstRowLastColumn="0" w:lastRowFirstColumn="0" w:lastRowLastColumn="0"/>
              <w:rPr>
                <w:rFonts w:ascii="Times" w:hAnsi="Times"/>
                <w:sz w:val="20"/>
                <w:szCs w:val="20"/>
                <w:lang w:val="en-US"/>
              </w:rPr>
            </w:pPr>
          </w:p>
        </w:tc>
        <w:tc>
          <w:tcPr>
            <w:tcW w:w="1640" w:type="dxa"/>
            <w:noWrap/>
            <w:vAlign w:val="center"/>
            <w:hideMark/>
          </w:tcPr>
          <w:p w14:paraId="2DC25F32" w14:textId="77777777" w:rsidR="00E27DE1" w:rsidRPr="005C3D29" w:rsidRDefault="00E27DE1" w:rsidP="005C3D29">
            <w:pPr>
              <w:keepNext/>
              <w:jc w:val="right"/>
              <w:cnfStyle w:val="000000000000" w:firstRow="0" w:lastRow="0" w:firstColumn="0" w:lastColumn="0" w:oddVBand="0" w:evenVBand="0" w:oddHBand="0" w:evenHBand="0" w:firstRowFirstColumn="0" w:firstRowLastColumn="0" w:lastRowFirstColumn="0" w:lastRowLastColumn="0"/>
              <w:rPr>
                <w:rFonts w:ascii="Times" w:hAnsi="Times"/>
                <w:sz w:val="20"/>
                <w:szCs w:val="20"/>
                <w:lang w:val="en-US"/>
              </w:rPr>
            </w:pPr>
          </w:p>
        </w:tc>
      </w:tr>
      <w:tr w:rsidR="00E27DE1" w:rsidRPr="008D13CD" w14:paraId="2C8E32B2" w14:textId="77777777" w:rsidTr="00121E5A">
        <w:trPr>
          <w:trHeight w:val="240"/>
        </w:trPr>
        <w:tc>
          <w:tcPr>
            <w:cnfStyle w:val="001000000000" w:firstRow="0" w:lastRow="0" w:firstColumn="1" w:lastColumn="0" w:oddVBand="0" w:evenVBand="0" w:oddHBand="0" w:evenHBand="0" w:firstRowFirstColumn="0" w:firstRowLastColumn="0" w:lastRowFirstColumn="0" w:lastRowLastColumn="0"/>
            <w:tcW w:w="4480" w:type="dxa"/>
            <w:noWrap/>
            <w:vAlign w:val="center"/>
            <w:hideMark/>
          </w:tcPr>
          <w:p w14:paraId="449F8E47" w14:textId="77777777" w:rsidR="00E27DE1" w:rsidRPr="005C3D29" w:rsidRDefault="002D39CB" w:rsidP="005C3D29">
            <w:pPr>
              <w:keepNext/>
              <w:jc w:val="left"/>
              <w:rPr>
                <w:rFonts w:ascii="Times" w:hAnsi="Times"/>
                <w:b w:val="0"/>
                <w:color w:val="000000"/>
                <w:sz w:val="20"/>
                <w:szCs w:val="20"/>
                <w:lang w:val="en-US"/>
              </w:rPr>
            </w:pPr>
            <w:r w:rsidRPr="005C3D29">
              <w:rPr>
                <w:rFonts w:ascii="Times" w:hAnsi="Times"/>
                <w:b w:val="0"/>
                <w:color w:val="000000"/>
                <w:sz w:val="20"/>
                <w:szCs w:val="20"/>
                <w:lang w:val="en-US"/>
              </w:rPr>
              <w:t xml:space="preserve">  </w:t>
            </w:r>
            <w:r w:rsidR="008C3C83" w:rsidRPr="005C3D29">
              <w:rPr>
                <w:rFonts w:ascii="Times" w:hAnsi="Times"/>
                <w:b w:val="0"/>
                <w:color w:val="000000"/>
                <w:sz w:val="20"/>
                <w:szCs w:val="20"/>
                <w:lang w:val="en-US"/>
              </w:rPr>
              <w:t xml:space="preserve"> </w:t>
            </w:r>
            <w:r w:rsidR="00E27DE1" w:rsidRPr="005C3D29">
              <w:rPr>
                <w:rFonts w:ascii="Times" w:hAnsi="Times"/>
                <w:b w:val="0"/>
                <w:color w:val="000000"/>
                <w:sz w:val="20"/>
                <w:szCs w:val="20"/>
                <w:lang w:val="en-US"/>
              </w:rPr>
              <w:t>Travel and subsistence</w:t>
            </w:r>
          </w:p>
        </w:tc>
        <w:tc>
          <w:tcPr>
            <w:tcW w:w="1185" w:type="dxa"/>
            <w:noWrap/>
            <w:vAlign w:val="center"/>
            <w:hideMark/>
          </w:tcPr>
          <w:p w14:paraId="382213C8" w14:textId="0508A0D7" w:rsidR="00E27DE1" w:rsidRPr="005C3D29" w:rsidRDefault="00E27DE1" w:rsidP="005C3D29">
            <w:pPr>
              <w:keepNext/>
              <w:jc w:val="right"/>
              <w:cnfStyle w:val="000000000000" w:firstRow="0" w:lastRow="0" w:firstColumn="0" w:lastColumn="0" w:oddVBand="0" w:evenVBand="0" w:oddHBand="0" w:evenHBand="0" w:firstRowFirstColumn="0" w:firstRowLastColumn="0" w:lastRowFirstColumn="0" w:lastRowLastColumn="0"/>
              <w:rPr>
                <w:rFonts w:ascii="Times" w:hAnsi="Times"/>
                <w:color w:val="000000"/>
                <w:sz w:val="20"/>
                <w:szCs w:val="20"/>
                <w:lang w:val="en-US"/>
              </w:rPr>
            </w:pPr>
            <w:r w:rsidRPr="005C3D29">
              <w:rPr>
                <w:rFonts w:ascii="Times" w:hAnsi="Times"/>
                <w:color w:val="000000"/>
                <w:sz w:val="20"/>
                <w:szCs w:val="20"/>
                <w:lang w:val="en-US"/>
              </w:rPr>
              <w:t>6</w:t>
            </w:r>
            <w:r w:rsidR="005C3D29">
              <w:rPr>
                <w:rFonts w:ascii="Times" w:hAnsi="Times"/>
                <w:color w:val="000000"/>
                <w:sz w:val="20"/>
                <w:szCs w:val="20"/>
                <w:lang w:val="en-US"/>
              </w:rPr>
              <w:t> </w:t>
            </w:r>
            <w:r w:rsidRPr="005C3D29">
              <w:rPr>
                <w:rFonts w:ascii="Times" w:hAnsi="Times"/>
                <w:color w:val="000000"/>
                <w:sz w:val="20"/>
                <w:szCs w:val="20"/>
                <w:lang w:val="en-US"/>
              </w:rPr>
              <w:t>156.0</w:t>
            </w:r>
          </w:p>
        </w:tc>
        <w:tc>
          <w:tcPr>
            <w:tcW w:w="1134" w:type="dxa"/>
            <w:noWrap/>
            <w:vAlign w:val="center"/>
            <w:hideMark/>
          </w:tcPr>
          <w:p w14:paraId="0E5DBF45" w14:textId="324BF837" w:rsidR="00E27DE1" w:rsidRPr="005C3D29" w:rsidRDefault="00E27DE1" w:rsidP="005C3D29">
            <w:pPr>
              <w:keepNext/>
              <w:jc w:val="right"/>
              <w:cnfStyle w:val="000000000000" w:firstRow="0" w:lastRow="0" w:firstColumn="0" w:lastColumn="0" w:oddVBand="0" w:evenVBand="0" w:oddHBand="0" w:evenHBand="0" w:firstRowFirstColumn="0" w:firstRowLastColumn="0" w:lastRowFirstColumn="0" w:lastRowLastColumn="0"/>
              <w:rPr>
                <w:rFonts w:ascii="Times" w:hAnsi="Times"/>
                <w:color w:val="000000"/>
                <w:sz w:val="20"/>
                <w:szCs w:val="20"/>
                <w:lang w:val="en-US"/>
              </w:rPr>
            </w:pPr>
            <w:r w:rsidRPr="005C3D29">
              <w:rPr>
                <w:rFonts w:ascii="Times" w:hAnsi="Times"/>
                <w:color w:val="000000"/>
                <w:sz w:val="20"/>
                <w:szCs w:val="20"/>
                <w:lang w:val="en-US"/>
              </w:rPr>
              <w:t>6</w:t>
            </w:r>
            <w:r w:rsidR="005C3D29">
              <w:rPr>
                <w:rFonts w:ascii="Times" w:hAnsi="Times"/>
                <w:color w:val="000000"/>
                <w:sz w:val="20"/>
                <w:szCs w:val="20"/>
                <w:lang w:val="en-US"/>
              </w:rPr>
              <w:t xml:space="preserve"> </w:t>
            </w:r>
            <w:r w:rsidRPr="005C3D29">
              <w:rPr>
                <w:rFonts w:ascii="Times" w:hAnsi="Times"/>
                <w:color w:val="000000"/>
                <w:sz w:val="20"/>
                <w:szCs w:val="20"/>
                <w:lang w:val="en-US"/>
              </w:rPr>
              <w:t>476.0</w:t>
            </w:r>
          </w:p>
        </w:tc>
        <w:tc>
          <w:tcPr>
            <w:tcW w:w="1276" w:type="dxa"/>
            <w:noWrap/>
            <w:vAlign w:val="center"/>
            <w:hideMark/>
          </w:tcPr>
          <w:p w14:paraId="3D7F64DA" w14:textId="2AECCBC7" w:rsidR="00E27DE1" w:rsidRPr="005C3D29" w:rsidRDefault="00E27DE1" w:rsidP="005C3D29">
            <w:pPr>
              <w:keepNext/>
              <w:jc w:val="right"/>
              <w:cnfStyle w:val="000000000000" w:firstRow="0" w:lastRow="0" w:firstColumn="0" w:lastColumn="0" w:oddVBand="0" w:evenVBand="0" w:oddHBand="0" w:evenHBand="0" w:firstRowFirstColumn="0" w:firstRowLastColumn="0" w:lastRowFirstColumn="0" w:lastRowLastColumn="0"/>
              <w:rPr>
                <w:rFonts w:ascii="Times" w:hAnsi="Times"/>
                <w:color w:val="000000"/>
                <w:sz w:val="20"/>
                <w:szCs w:val="20"/>
                <w:lang w:val="en-US"/>
              </w:rPr>
            </w:pPr>
            <w:r w:rsidRPr="005C3D29">
              <w:rPr>
                <w:rFonts w:ascii="Times" w:hAnsi="Times"/>
                <w:color w:val="000000"/>
                <w:sz w:val="20"/>
                <w:szCs w:val="20"/>
                <w:lang w:val="en-US"/>
              </w:rPr>
              <w:t>6</w:t>
            </w:r>
            <w:r w:rsidR="005C3D29">
              <w:rPr>
                <w:rFonts w:ascii="Times" w:hAnsi="Times"/>
                <w:color w:val="000000"/>
                <w:sz w:val="20"/>
                <w:szCs w:val="20"/>
                <w:lang w:val="en-US"/>
              </w:rPr>
              <w:t xml:space="preserve"> </w:t>
            </w:r>
            <w:r w:rsidRPr="005C3D29">
              <w:rPr>
                <w:rFonts w:ascii="Times" w:hAnsi="Times"/>
                <w:color w:val="000000"/>
                <w:sz w:val="20"/>
                <w:szCs w:val="20"/>
                <w:lang w:val="en-US"/>
              </w:rPr>
              <w:t>574.4</w:t>
            </w:r>
          </w:p>
        </w:tc>
        <w:tc>
          <w:tcPr>
            <w:tcW w:w="1640" w:type="dxa"/>
            <w:noWrap/>
            <w:vAlign w:val="center"/>
            <w:hideMark/>
          </w:tcPr>
          <w:p w14:paraId="5B4CCE2B" w14:textId="492CD14D" w:rsidR="00E27DE1" w:rsidRPr="005C3D29" w:rsidRDefault="00E27DE1" w:rsidP="005C3D29">
            <w:pPr>
              <w:keepNext/>
              <w:jc w:val="right"/>
              <w:cnfStyle w:val="000000000000" w:firstRow="0" w:lastRow="0" w:firstColumn="0" w:lastColumn="0" w:oddVBand="0" w:evenVBand="0" w:oddHBand="0" w:evenHBand="0" w:firstRowFirstColumn="0" w:firstRowLastColumn="0" w:lastRowFirstColumn="0" w:lastRowLastColumn="0"/>
              <w:rPr>
                <w:rFonts w:ascii="Times" w:hAnsi="Times"/>
                <w:color w:val="000000"/>
                <w:sz w:val="20"/>
                <w:szCs w:val="20"/>
                <w:lang w:val="en-US"/>
              </w:rPr>
            </w:pPr>
            <w:r w:rsidRPr="005C3D29">
              <w:rPr>
                <w:rFonts w:ascii="Times" w:hAnsi="Times"/>
                <w:color w:val="000000"/>
                <w:sz w:val="20"/>
                <w:szCs w:val="20"/>
                <w:lang w:val="en-US"/>
              </w:rPr>
              <w:t>19</w:t>
            </w:r>
            <w:r w:rsidR="005C3D29">
              <w:rPr>
                <w:rFonts w:ascii="Times" w:hAnsi="Times"/>
                <w:color w:val="000000"/>
                <w:sz w:val="20"/>
                <w:szCs w:val="20"/>
                <w:lang w:val="en-US"/>
              </w:rPr>
              <w:t xml:space="preserve"> </w:t>
            </w:r>
            <w:r w:rsidRPr="005C3D29">
              <w:rPr>
                <w:rFonts w:ascii="Times" w:hAnsi="Times"/>
                <w:color w:val="000000"/>
                <w:sz w:val="20"/>
                <w:szCs w:val="20"/>
                <w:lang w:val="en-US"/>
              </w:rPr>
              <w:t>206.4</w:t>
            </w:r>
          </w:p>
        </w:tc>
      </w:tr>
      <w:tr w:rsidR="00E27DE1" w:rsidRPr="008D13CD" w14:paraId="7FD6D04A" w14:textId="77777777" w:rsidTr="00121E5A">
        <w:trPr>
          <w:trHeight w:val="240"/>
        </w:trPr>
        <w:tc>
          <w:tcPr>
            <w:cnfStyle w:val="001000000000" w:firstRow="0" w:lastRow="0" w:firstColumn="1" w:lastColumn="0" w:oddVBand="0" w:evenVBand="0" w:oddHBand="0" w:evenHBand="0" w:firstRowFirstColumn="0" w:firstRowLastColumn="0" w:lastRowFirstColumn="0" w:lastRowLastColumn="0"/>
            <w:tcW w:w="4480" w:type="dxa"/>
            <w:noWrap/>
            <w:vAlign w:val="center"/>
            <w:hideMark/>
          </w:tcPr>
          <w:p w14:paraId="663B9FCB" w14:textId="77777777" w:rsidR="00E27DE1" w:rsidRPr="005C3D29" w:rsidRDefault="002D39CB" w:rsidP="005C3D29">
            <w:pPr>
              <w:keepNext/>
              <w:jc w:val="left"/>
              <w:rPr>
                <w:rFonts w:ascii="Times" w:hAnsi="Times"/>
                <w:b w:val="0"/>
                <w:color w:val="000000"/>
                <w:sz w:val="20"/>
                <w:szCs w:val="20"/>
                <w:lang w:val="en-US"/>
              </w:rPr>
            </w:pPr>
            <w:r w:rsidRPr="005C3D29">
              <w:rPr>
                <w:rFonts w:ascii="Times" w:hAnsi="Times"/>
                <w:b w:val="0"/>
                <w:color w:val="000000"/>
                <w:sz w:val="20"/>
                <w:szCs w:val="20"/>
                <w:lang w:val="en-US"/>
              </w:rPr>
              <w:t xml:space="preserve">  </w:t>
            </w:r>
            <w:r w:rsidR="008C3C83" w:rsidRPr="005C3D29">
              <w:rPr>
                <w:rFonts w:ascii="Times" w:hAnsi="Times"/>
                <w:b w:val="0"/>
                <w:color w:val="000000"/>
                <w:sz w:val="20"/>
                <w:szCs w:val="20"/>
                <w:lang w:val="en-US"/>
              </w:rPr>
              <w:t xml:space="preserve"> </w:t>
            </w:r>
            <w:r w:rsidR="00E27DE1" w:rsidRPr="005C3D29">
              <w:rPr>
                <w:rFonts w:ascii="Times" w:hAnsi="Times"/>
                <w:b w:val="0"/>
                <w:color w:val="000000"/>
                <w:sz w:val="20"/>
                <w:szCs w:val="20"/>
                <w:lang w:val="en-US"/>
              </w:rPr>
              <w:t>Training and development</w:t>
            </w:r>
          </w:p>
        </w:tc>
        <w:tc>
          <w:tcPr>
            <w:tcW w:w="1185" w:type="dxa"/>
            <w:noWrap/>
            <w:vAlign w:val="center"/>
            <w:hideMark/>
          </w:tcPr>
          <w:p w14:paraId="186E1361" w14:textId="554ADB2C" w:rsidR="00E27DE1" w:rsidRPr="005C3D29" w:rsidRDefault="00E27DE1" w:rsidP="005C3D29">
            <w:pPr>
              <w:keepNext/>
              <w:jc w:val="right"/>
              <w:cnfStyle w:val="000000000000" w:firstRow="0" w:lastRow="0" w:firstColumn="0" w:lastColumn="0" w:oddVBand="0" w:evenVBand="0" w:oddHBand="0" w:evenHBand="0" w:firstRowFirstColumn="0" w:firstRowLastColumn="0" w:lastRowFirstColumn="0" w:lastRowLastColumn="0"/>
              <w:rPr>
                <w:rFonts w:ascii="Times" w:hAnsi="Times"/>
                <w:color w:val="000000"/>
                <w:sz w:val="20"/>
                <w:szCs w:val="20"/>
                <w:lang w:val="en-US"/>
              </w:rPr>
            </w:pPr>
            <w:r w:rsidRPr="005C3D29">
              <w:rPr>
                <w:rFonts w:ascii="Times" w:hAnsi="Times"/>
                <w:color w:val="000000"/>
                <w:sz w:val="20"/>
                <w:szCs w:val="20"/>
                <w:lang w:val="en-US"/>
              </w:rPr>
              <w:t>1</w:t>
            </w:r>
            <w:r w:rsidR="005C3D29">
              <w:rPr>
                <w:rFonts w:ascii="Times" w:hAnsi="Times"/>
                <w:color w:val="000000"/>
                <w:sz w:val="20"/>
                <w:szCs w:val="20"/>
                <w:lang w:val="en-US"/>
              </w:rPr>
              <w:t> </w:t>
            </w:r>
            <w:r w:rsidRPr="005C3D29">
              <w:rPr>
                <w:rFonts w:ascii="Times" w:hAnsi="Times"/>
                <w:color w:val="000000"/>
                <w:sz w:val="20"/>
                <w:szCs w:val="20"/>
                <w:lang w:val="en-US"/>
              </w:rPr>
              <w:t>158.2</w:t>
            </w:r>
          </w:p>
        </w:tc>
        <w:tc>
          <w:tcPr>
            <w:tcW w:w="1134" w:type="dxa"/>
            <w:noWrap/>
            <w:vAlign w:val="center"/>
            <w:hideMark/>
          </w:tcPr>
          <w:p w14:paraId="51EA218A" w14:textId="0A6DD64A" w:rsidR="00E27DE1" w:rsidRPr="005C3D29" w:rsidRDefault="00E27DE1" w:rsidP="005C3D29">
            <w:pPr>
              <w:keepNext/>
              <w:jc w:val="right"/>
              <w:cnfStyle w:val="000000000000" w:firstRow="0" w:lastRow="0" w:firstColumn="0" w:lastColumn="0" w:oddVBand="0" w:evenVBand="0" w:oddHBand="0" w:evenHBand="0" w:firstRowFirstColumn="0" w:firstRowLastColumn="0" w:lastRowFirstColumn="0" w:lastRowLastColumn="0"/>
              <w:rPr>
                <w:rFonts w:ascii="Times" w:hAnsi="Times"/>
                <w:color w:val="000000"/>
                <w:sz w:val="20"/>
                <w:szCs w:val="20"/>
                <w:lang w:val="en-US"/>
              </w:rPr>
            </w:pPr>
            <w:r w:rsidRPr="005C3D29">
              <w:rPr>
                <w:rFonts w:ascii="Times" w:hAnsi="Times"/>
                <w:color w:val="000000"/>
                <w:sz w:val="20"/>
                <w:szCs w:val="20"/>
                <w:lang w:val="en-US"/>
              </w:rPr>
              <w:t>1</w:t>
            </w:r>
            <w:r w:rsidR="005C3D29">
              <w:rPr>
                <w:rFonts w:ascii="Times" w:hAnsi="Times"/>
                <w:color w:val="000000"/>
                <w:sz w:val="20"/>
                <w:szCs w:val="20"/>
                <w:lang w:val="en-US"/>
              </w:rPr>
              <w:t xml:space="preserve"> </w:t>
            </w:r>
            <w:r w:rsidRPr="005C3D29">
              <w:rPr>
                <w:rFonts w:ascii="Times" w:hAnsi="Times"/>
                <w:color w:val="000000"/>
                <w:sz w:val="20"/>
                <w:szCs w:val="20"/>
                <w:lang w:val="en-US"/>
              </w:rPr>
              <w:t>121.4</w:t>
            </w:r>
          </w:p>
        </w:tc>
        <w:tc>
          <w:tcPr>
            <w:tcW w:w="1276" w:type="dxa"/>
            <w:noWrap/>
            <w:vAlign w:val="center"/>
            <w:hideMark/>
          </w:tcPr>
          <w:p w14:paraId="1E1598E8" w14:textId="6EE16177" w:rsidR="00E27DE1" w:rsidRPr="005C3D29" w:rsidRDefault="00E27DE1" w:rsidP="005C3D29">
            <w:pPr>
              <w:keepNext/>
              <w:jc w:val="right"/>
              <w:cnfStyle w:val="000000000000" w:firstRow="0" w:lastRow="0" w:firstColumn="0" w:lastColumn="0" w:oddVBand="0" w:evenVBand="0" w:oddHBand="0" w:evenHBand="0" w:firstRowFirstColumn="0" w:firstRowLastColumn="0" w:lastRowFirstColumn="0" w:lastRowLastColumn="0"/>
              <w:rPr>
                <w:rFonts w:ascii="Times" w:hAnsi="Times"/>
                <w:color w:val="000000"/>
                <w:sz w:val="20"/>
                <w:szCs w:val="20"/>
                <w:lang w:val="en-US"/>
              </w:rPr>
            </w:pPr>
            <w:r w:rsidRPr="005C3D29">
              <w:rPr>
                <w:rFonts w:ascii="Times" w:hAnsi="Times"/>
                <w:color w:val="000000"/>
                <w:sz w:val="20"/>
                <w:szCs w:val="20"/>
                <w:lang w:val="en-US"/>
              </w:rPr>
              <w:t>1</w:t>
            </w:r>
            <w:r w:rsidR="005C3D29">
              <w:rPr>
                <w:rFonts w:ascii="Times" w:hAnsi="Times"/>
                <w:color w:val="000000"/>
                <w:sz w:val="20"/>
                <w:szCs w:val="20"/>
                <w:lang w:val="en-US"/>
              </w:rPr>
              <w:t xml:space="preserve"> </w:t>
            </w:r>
            <w:r w:rsidRPr="005C3D29">
              <w:rPr>
                <w:rFonts w:ascii="Times" w:hAnsi="Times"/>
                <w:color w:val="000000"/>
                <w:sz w:val="20"/>
                <w:szCs w:val="20"/>
                <w:lang w:val="en-US"/>
              </w:rPr>
              <w:t>137.7</w:t>
            </w:r>
          </w:p>
        </w:tc>
        <w:tc>
          <w:tcPr>
            <w:tcW w:w="1640" w:type="dxa"/>
            <w:noWrap/>
            <w:vAlign w:val="center"/>
            <w:hideMark/>
          </w:tcPr>
          <w:p w14:paraId="3D97B3BB" w14:textId="5BD73A31" w:rsidR="00E27DE1" w:rsidRPr="005C3D29" w:rsidRDefault="00E27DE1" w:rsidP="005C3D29">
            <w:pPr>
              <w:keepNext/>
              <w:jc w:val="right"/>
              <w:cnfStyle w:val="000000000000" w:firstRow="0" w:lastRow="0" w:firstColumn="0" w:lastColumn="0" w:oddVBand="0" w:evenVBand="0" w:oddHBand="0" w:evenHBand="0" w:firstRowFirstColumn="0" w:firstRowLastColumn="0" w:lastRowFirstColumn="0" w:lastRowLastColumn="0"/>
              <w:rPr>
                <w:rFonts w:ascii="Times" w:hAnsi="Times"/>
                <w:color w:val="000000"/>
                <w:sz w:val="20"/>
                <w:szCs w:val="20"/>
                <w:lang w:val="en-US"/>
              </w:rPr>
            </w:pPr>
            <w:r w:rsidRPr="005C3D29">
              <w:rPr>
                <w:rFonts w:ascii="Times" w:hAnsi="Times"/>
                <w:color w:val="000000"/>
                <w:sz w:val="20"/>
                <w:szCs w:val="20"/>
                <w:lang w:val="en-US"/>
              </w:rPr>
              <w:t>3</w:t>
            </w:r>
            <w:r w:rsidR="005C3D29">
              <w:rPr>
                <w:rFonts w:ascii="Times" w:hAnsi="Times"/>
                <w:color w:val="000000"/>
                <w:sz w:val="20"/>
                <w:szCs w:val="20"/>
                <w:lang w:val="en-US"/>
              </w:rPr>
              <w:t xml:space="preserve"> </w:t>
            </w:r>
            <w:r w:rsidRPr="005C3D29">
              <w:rPr>
                <w:rFonts w:ascii="Times" w:hAnsi="Times"/>
                <w:color w:val="000000"/>
                <w:sz w:val="20"/>
                <w:szCs w:val="20"/>
                <w:lang w:val="en-US"/>
              </w:rPr>
              <w:t>417.3</w:t>
            </w:r>
          </w:p>
        </w:tc>
      </w:tr>
      <w:tr w:rsidR="00E27DE1" w:rsidRPr="008D13CD" w14:paraId="446B422F" w14:textId="77777777" w:rsidTr="00121E5A">
        <w:trPr>
          <w:trHeight w:val="240"/>
        </w:trPr>
        <w:tc>
          <w:tcPr>
            <w:cnfStyle w:val="001000000000" w:firstRow="0" w:lastRow="0" w:firstColumn="1" w:lastColumn="0" w:oddVBand="0" w:evenVBand="0" w:oddHBand="0" w:evenHBand="0" w:firstRowFirstColumn="0" w:firstRowLastColumn="0" w:lastRowFirstColumn="0" w:lastRowLastColumn="0"/>
            <w:tcW w:w="4480" w:type="dxa"/>
            <w:noWrap/>
            <w:vAlign w:val="center"/>
            <w:hideMark/>
          </w:tcPr>
          <w:p w14:paraId="6F01B266" w14:textId="77777777" w:rsidR="00E27DE1" w:rsidRPr="005C3D29" w:rsidRDefault="002D39CB" w:rsidP="005C3D29">
            <w:pPr>
              <w:keepNext/>
              <w:jc w:val="left"/>
              <w:rPr>
                <w:rFonts w:ascii="Times" w:hAnsi="Times"/>
                <w:b w:val="0"/>
                <w:color w:val="000000"/>
                <w:sz w:val="20"/>
                <w:szCs w:val="20"/>
                <w:lang w:val="en-US"/>
              </w:rPr>
            </w:pPr>
            <w:r w:rsidRPr="005C3D29">
              <w:rPr>
                <w:rFonts w:ascii="Times" w:hAnsi="Times"/>
                <w:b w:val="0"/>
                <w:color w:val="000000"/>
                <w:sz w:val="20"/>
                <w:szCs w:val="20"/>
                <w:lang w:val="en-US"/>
              </w:rPr>
              <w:t xml:space="preserve"> </w:t>
            </w:r>
            <w:r w:rsidR="008C3C83" w:rsidRPr="005C3D29">
              <w:rPr>
                <w:rFonts w:ascii="Times" w:hAnsi="Times"/>
                <w:b w:val="0"/>
                <w:color w:val="000000"/>
                <w:sz w:val="20"/>
                <w:szCs w:val="20"/>
                <w:lang w:val="en-US"/>
              </w:rPr>
              <w:t xml:space="preserve">    </w:t>
            </w:r>
            <w:r w:rsidR="00E27DE1" w:rsidRPr="005C3D29">
              <w:rPr>
                <w:rFonts w:ascii="Times" w:hAnsi="Times"/>
                <w:b w:val="0"/>
                <w:color w:val="000000"/>
                <w:sz w:val="20"/>
                <w:szCs w:val="20"/>
                <w:lang w:val="en-US"/>
              </w:rPr>
              <w:t>Catering</w:t>
            </w:r>
          </w:p>
        </w:tc>
        <w:tc>
          <w:tcPr>
            <w:tcW w:w="1185" w:type="dxa"/>
            <w:noWrap/>
            <w:vAlign w:val="center"/>
            <w:hideMark/>
          </w:tcPr>
          <w:p w14:paraId="2F25D549" w14:textId="77777777" w:rsidR="00E27DE1" w:rsidRPr="005C3D29" w:rsidRDefault="00E27DE1" w:rsidP="005C3D29">
            <w:pPr>
              <w:keepNext/>
              <w:jc w:val="right"/>
              <w:cnfStyle w:val="000000000000" w:firstRow="0" w:lastRow="0" w:firstColumn="0" w:lastColumn="0" w:oddVBand="0" w:evenVBand="0" w:oddHBand="0" w:evenHBand="0" w:firstRowFirstColumn="0" w:firstRowLastColumn="0" w:lastRowFirstColumn="0" w:lastRowLastColumn="0"/>
              <w:rPr>
                <w:rFonts w:ascii="Times" w:hAnsi="Times"/>
                <w:color w:val="000000"/>
                <w:sz w:val="20"/>
                <w:szCs w:val="20"/>
                <w:lang w:val="en-US"/>
              </w:rPr>
            </w:pPr>
            <w:r w:rsidRPr="005C3D29">
              <w:rPr>
                <w:rFonts w:ascii="Times" w:hAnsi="Times"/>
                <w:color w:val="000000"/>
                <w:sz w:val="20"/>
                <w:szCs w:val="20"/>
                <w:lang w:val="en-US"/>
              </w:rPr>
              <w:t>295.3</w:t>
            </w:r>
          </w:p>
        </w:tc>
        <w:tc>
          <w:tcPr>
            <w:tcW w:w="1134" w:type="dxa"/>
            <w:noWrap/>
            <w:vAlign w:val="center"/>
            <w:hideMark/>
          </w:tcPr>
          <w:p w14:paraId="59743074" w14:textId="77777777" w:rsidR="00E27DE1" w:rsidRPr="005C3D29" w:rsidRDefault="00E27DE1" w:rsidP="005C3D29">
            <w:pPr>
              <w:keepNext/>
              <w:jc w:val="right"/>
              <w:cnfStyle w:val="000000000000" w:firstRow="0" w:lastRow="0" w:firstColumn="0" w:lastColumn="0" w:oddVBand="0" w:evenVBand="0" w:oddHBand="0" w:evenHBand="0" w:firstRowFirstColumn="0" w:firstRowLastColumn="0" w:lastRowFirstColumn="0" w:lastRowLastColumn="0"/>
              <w:rPr>
                <w:rFonts w:ascii="Times" w:hAnsi="Times"/>
                <w:color w:val="000000"/>
                <w:sz w:val="20"/>
                <w:szCs w:val="20"/>
                <w:lang w:val="en-US"/>
              </w:rPr>
            </w:pPr>
            <w:r w:rsidRPr="005C3D29">
              <w:rPr>
                <w:rFonts w:ascii="Times" w:hAnsi="Times"/>
                <w:color w:val="000000"/>
                <w:sz w:val="20"/>
                <w:szCs w:val="20"/>
                <w:lang w:val="en-US"/>
              </w:rPr>
              <w:t>423.9</w:t>
            </w:r>
          </w:p>
        </w:tc>
        <w:tc>
          <w:tcPr>
            <w:tcW w:w="1276" w:type="dxa"/>
            <w:noWrap/>
            <w:vAlign w:val="center"/>
            <w:hideMark/>
          </w:tcPr>
          <w:p w14:paraId="5973B14C" w14:textId="77777777" w:rsidR="00E27DE1" w:rsidRPr="005C3D29" w:rsidRDefault="00E27DE1" w:rsidP="005C3D29">
            <w:pPr>
              <w:keepNext/>
              <w:jc w:val="right"/>
              <w:cnfStyle w:val="000000000000" w:firstRow="0" w:lastRow="0" w:firstColumn="0" w:lastColumn="0" w:oddVBand="0" w:evenVBand="0" w:oddHBand="0" w:evenHBand="0" w:firstRowFirstColumn="0" w:firstRowLastColumn="0" w:lastRowFirstColumn="0" w:lastRowLastColumn="0"/>
              <w:rPr>
                <w:rFonts w:ascii="Times" w:hAnsi="Times"/>
                <w:color w:val="000000"/>
                <w:sz w:val="20"/>
                <w:szCs w:val="20"/>
                <w:lang w:val="en-US"/>
              </w:rPr>
            </w:pPr>
            <w:r w:rsidRPr="005C3D29">
              <w:rPr>
                <w:rFonts w:ascii="Times" w:hAnsi="Times"/>
                <w:color w:val="000000"/>
                <w:sz w:val="20"/>
                <w:szCs w:val="20"/>
                <w:lang w:val="en-US"/>
              </w:rPr>
              <w:t>328.9</w:t>
            </w:r>
          </w:p>
        </w:tc>
        <w:tc>
          <w:tcPr>
            <w:tcW w:w="1640" w:type="dxa"/>
            <w:noWrap/>
            <w:vAlign w:val="center"/>
            <w:hideMark/>
          </w:tcPr>
          <w:p w14:paraId="4665A4AC" w14:textId="38421FBE" w:rsidR="00E27DE1" w:rsidRPr="005C3D29" w:rsidRDefault="00E27DE1" w:rsidP="005C3D29">
            <w:pPr>
              <w:keepNext/>
              <w:jc w:val="right"/>
              <w:cnfStyle w:val="000000000000" w:firstRow="0" w:lastRow="0" w:firstColumn="0" w:lastColumn="0" w:oddVBand="0" w:evenVBand="0" w:oddHBand="0" w:evenHBand="0" w:firstRowFirstColumn="0" w:firstRowLastColumn="0" w:lastRowFirstColumn="0" w:lastRowLastColumn="0"/>
              <w:rPr>
                <w:rFonts w:ascii="Times" w:hAnsi="Times"/>
                <w:color w:val="000000"/>
                <w:sz w:val="20"/>
                <w:szCs w:val="20"/>
                <w:lang w:val="en-US"/>
              </w:rPr>
            </w:pPr>
            <w:r w:rsidRPr="005C3D29">
              <w:rPr>
                <w:rFonts w:ascii="Times" w:hAnsi="Times"/>
                <w:color w:val="000000"/>
                <w:sz w:val="20"/>
                <w:szCs w:val="20"/>
                <w:lang w:val="en-US"/>
              </w:rPr>
              <w:t>1</w:t>
            </w:r>
            <w:r w:rsidR="005C3D29">
              <w:rPr>
                <w:rFonts w:ascii="Times" w:hAnsi="Times"/>
                <w:color w:val="000000"/>
                <w:sz w:val="20"/>
                <w:szCs w:val="20"/>
                <w:lang w:val="en-US"/>
              </w:rPr>
              <w:t xml:space="preserve"> </w:t>
            </w:r>
            <w:r w:rsidRPr="005C3D29">
              <w:rPr>
                <w:rFonts w:ascii="Times" w:hAnsi="Times"/>
                <w:color w:val="000000"/>
                <w:sz w:val="20"/>
                <w:szCs w:val="20"/>
                <w:lang w:val="en-US"/>
              </w:rPr>
              <w:t>048.0</w:t>
            </w:r>
          </w:p>
        </w:tc>
      </w:tr>
      <w:tr w:rsidR="00E27DE1" w:rsidRPr="008D13CD" w14:paraId="39EC70ED" w14:textId="77777777" w:rsidTr="00121E5A">
        <w:trPr>
          <w:trHeight w:val="240"/>
        </w:trPr>
        <w:tc>
          <w:tcPr>
            <w:cnfStyle w:val="001000000000" w:firstRow="0" w:lastRow="0" w:firstColumn="1" w:lastColumn="0" w:oddVBand="0" w:evenVBand="0" w:oddHBand="0" w:evenHBand="0" w:firstRowFirstColumn="0" w:firstRowLastColumn="0" w:lastRowFirstColumn="0" w:lastRowLastColumn="0"/>
            <w:tcW w:w="4480" w:type="dxa"/>
            <w:noWrap/>
            <w:vAlign w:val="center"/>
            <w:hideMark/>
          </w:tcPr>
          <w:p w14:paraId="61D6EDE6" w14:textId="23040C29" w:rsidR="00E27DE1" w:rsidRPr="005C3D29" w:rsidRDefault="00E27DE1" w:rsidP="005C3D29">
            <w:pPr>
              <w:keepNext/>
              <w:jc w:val="left"/>
              <w:rPr>
                <w:rFonts w:ascii="Times" w:hAnsi="Times"/>
                <w:b w:val="0"/>
                <w:color w:val="000000"/>
                <w:sz w:val="20"/>
                <w:szCs w:val="20"/>
                <w:lang w:val="en-US"/>
              </w:rPr>
            </w:pPr>
            <w:r w:rsidRPr="005C3D29">
              <w:rPr>
                <w:rFonts w:ascii="Times" w:hAnsi="Times"/>
                <w:b w:val="0"/>
                <w:color w:val="000000"/>
                <w:sz w:val="20"/>
                <w:szCs w:val="20"/>
                <w:lang w:val="en-US"/>
              </w:rPr>
              <w:t xml:space="preserve">Total </w:t>
            </w:r>
            <w:r w:rsidR="005C3D29" w:rsidRPr="005C3D29">
              <w:rPr>
                <w:rFonts w:ascii="Times" w:hAnsi="Times"/>
                <w:b w:val="0"/>
                <w:color w:val="000000"/>
                <w:sz w:val="20"/>
                <w:szCs w:val="20"/>
                <w:lang w:val="en-US"/>
              </w:rPr>
              <w:t>infrastructure spending by national departments</w:t>
            </w:r>
          </w:p>
        </w:tc>
        <w:tc>
          <w:tcPr>
            <w:tcW w:w="1185" w:type="dxa"/>
            <w:noWrap/>
            <w:vAlign w:val="center"/>
            <w:hideMark/>
          </w:tcPr>
          <w:p w14:paraId="0D716ED1" w14:textId="77C1AA6E" w:rsidR="00E27DE1" w:rsidRPr="005C3D29" w:rsidRDefault="00E27DE1" w:rsidP="005C3D29">
            <w:pPr>
              <w:keepNext/>
              <w:jc w:val="right"/>
              <w:cnfStyle w:val="000000000000" w:firstRow="0" w:lastRow="0" w:firstColumn="0" w:lastColumn="0" w:oddVBand="0" w:evenVBand="0" w:oddHBand="0" w:evenHBand="0" w:firstRowFirstColumn="0" w:firstRowLastColumn="0" w:lastRowFirstColumn="0" w:lastRowLastColumn="0"/>
              <w:rPr>
                <w:rFonts w:ascii="Times" w:hAnsi="Times"/>
                <w:bCs/>
                <w:color w:val="000000"/>
                <w:sz w:val="20"/>
                <w:szCs w:val="20"/>
                <w:lang w:val="en-US"/>
              </w:rPr>
            </w:pPr>
            <w:r w:rsidRPr="005C3D29">
              <w:rPr>
                <w:rFonts w:ascii="Times" w:hAnsi="Times"/>
                <w:bCs/>
                <w:color w:val="000000"/>
                <w:sz w:val="20"/>
                <w:szCs w:val="20"/>
                <w:lang w:val="en-US"/>
              </w:rPr>
              <w:t>136</w:t>
            </w:r>
            <w:r w:rsidR="005C3D29">
              <w:rPr>
                <w:rFonts w:ascii="Times" w:hAnsi="Times"/>
                <w:bCs/>
                <w:color w:val="000000"/>
                <w:sz w:val="20"/>
                <w:szCs w:val="20"/>
                <w:lang w:val="en-US"/>
              </w:rPr>
              <w:t> </w:t>
            </w:r>
            <w:r w:rsidRPr="005C3D29">
              <w:rPr>
                <w:rFonts w:ascii="Times" w:hAnsi="Times"/>
                <w:bCs/>
                <w:color w:val="000000"/>
                <w:sz w:val="20"/>
                <w:szCs w:val="20"/>
                <w:lang w:val="en-US"/>
              </w:rPr>
              <w:t>096.3</w:t>
            </w:r>
          </w:p>
        </w:tc>
        <w:tc>
          <w:tcPr>
            <w:tcW w:w="1134" w:type="dxa"/>
            <w:noWrap/>
            <w:vAlign w:val="center"/>
            <w:hideMark/>
          </w:tcPr>
          <w:p w14:paraId="53B50EBB" w14:textId="38891833" w:rsidR="00E27DE1" w:rsidRPr="005C3D29" w:rsidRDefault="00E27DE1" w:rsidP="005C3D29">
            <w:pPr>
              <w:keepNext/>
              <w:jc w:val="right"/>
              <w:cnfStyle w:val="000000000000" w:firstRow="0" w:lastRow="0" w:firstColumn="0" w:lastColumn="0" w:oddVBand="0" w:evenVBand="0" w:oddHBand="0" w:evenHBand="0" w:firstRowFirstColumn="0" w:firstRowLastColumn="0" w:lastRowFirstColumn="0" w:lastRowLastColumn="0"/>
              <w:rPr>
                <w:rFonts w:ascii="Times" w:hAnsi="Times"/>
                <w:bCs/>
                <w:color w:val="000000"/>
                <w:sz w:val="20"/>
                <w:szCs w:val="20"/>
                <w:lang w:val="en-US"/>
              </w:rPr>
            </w:pPr>
            <w:r w:rsidRPr="005C3D29">
              <w:rPr>
                <w:rFonts w:ascii="Times" w:hAnsi="Times"/>
                <w:bCs/>
                <w:color w:val="000000"/>
                <w:sz w:val="20"/>
                <w:szCs w:val="20"/>
                <w:lang w:val="en-US"/>
              </w:rPr>
              <w:t>145</w:t>
            </w:r>
            <w:r w:rsidR="005C3D29">
              <w:rPr>
                <w:rFonts w:ascii="Times" w:hAnsi="Times"/>
                <w:bCs/>
                <w:color w:val="000000"/>
                <w:sz w:val="20"/>
                <w:szCs w:val="20"/>
                <w:lang w:val="en-US"/>
              </w:rPr>
              <w:t xml:space="preserve"> </w:t>
            </w:r>
            <w:r w:rsidRPr="005C3D29">
              <w:rPr>
                <w:rFonts w:ascii="Times" w:hAnsi="Times"/>
                <w:bCs/>
                <w:color w:val="000000"/>
                <w:sz w:val="20"/>
                <w:szCs w:val="20"/>
                <w:lang w:val="en-US"/>
              </w:rPr>
              <w:t>126.1</w:t>
            </w:r>
          </w:p>
        </w:tc>
        <w:tc>
          <w:tcPr>
            <w:tcW w:w="1276" w:type="dxa"/>
            <w:noWrap/>
            <w:vAlign w:val="center"/>
            <w:hideMark/>
          </w:tcPr>
          <w:p w14:paraId="64030EB9" w14:textId="7EA2458F" w:rsidR="00E27DE1" w:rsidRPr="005C3D29" w:rsidRDefault="00E27DE1" w:rsidP="005C3D29">
            <w:pPr>
              <w:keepNext/>
              <w:jc w:val="right"/>
              <w:cnfStyle w:val="000000000000" w:firstRow="0" w:lastRow="0" w:firstColumn="0" w:lastColumn="0" w:oddVBand="0" w:evenVBand="0" w:oddHBand="0" w:evenHBand="0" w:firstRowFirstColumn="0" w:firstRowLastColumn="0" w:lastRowFirstColumn="0" w:lastRowLastColumn="0"/>
              <w:rPr>
                <w:rFonts w:ascii="Times" w:hAnsi="Times"/>
                <w:bCs/>
                <w:color w:val="000000"/>
                <w:sz w:val="20"/>
                <w:szCs w:val="20"/>
                <w:lang w:val="en-US"/>
              </w:rPr>
            </w:pPr>
            <w:r w:rsidRPr="005C3D29">
              <w:rPr>
                <w:rFonts w:ascii="Times" w:hAnsi="Times"/>
                <w:bCs/>
                <w:color w:val="000000"/>
                <w:sz w:val="20"/>
                <w:szCs w:val="20"/>
                <w:lang w:val="en-US"/>
              </w:rPr>
              <w:t>152</w:t>
            </w:r>
            <w:r w:rsidR="005C3D29">
              <w:rPr>
                <w:rFonts w:ascii="Times" w:hAnsi="Times"/>
                <w:bCs/>
                <w:color w:val="000000"/>
                <w:sz w:val="20"/>
                <w:szCs w:val="20"/>
                <w:lang w:val="en-US"/>
              </w:rPr>
              <w:t xml:space="preserve"> </w:t>
            </w:r>
            <w:r w:rsidRPr="005C3D29">
              <w:rPr>
                <w:rFonts w:ascii="Times" w:hAnsi="Times"/>
                <w:bCs/>
                <w:color w:val="000000"/>
                <w:sz w:val="20"/>
                <w:szCs w:val="20"/>
                <w:lang w:val="en-US"/>
              </w:rPr>
              <w:t>187.6</w:t>
            </w:r>
          </w:p>
        </w:tc>
        <w:tc>
          <w:tcPr>
            <w:tcW w:w="1640" w:type="dxa"/>
            <w:noWrap/>
            <w:vAlign w:val="center"/>
            <w:hideMark/>
          </w:tcPr>
          <w:p w14:paraId="6458B389" w14:textId="46F45BEB" w:rsidR="00E27DE1" w:rsidRPr="005C3D29" w:rsidRDefault="00E27DE1" w:rsidP="005C3D29">
            <w:pPr>
              <w:keepNext/>
              <w:jc w:val="right"/>
              <w:cnfStyle w:val="000000000000" w:firstRow="0" w:lastRow="0" w:firstColumn="0" w:lastColumn="0" w:oddVBand="0" w:evenVBand="0" w:oddHBand="0" w:evenHBand="0" w:firstRowFirstColumn="0" w:firstRowLastColumn="0" w:lastRowFirstColumn="0" w:lastRowLastColumn="0"/>
              <w:rPr>
                <w:rFonts w:ascii="Times" w:hAnsi="Times"/>
                <w:bCs/>
                <w:color w:val="000000"/>
                <w:sz w:val="20"/>
                <w:szCs w:val="20"/>
                <w:lang w:val="en-US"/>
              </w:rPr>
            </w:pPr>
            <w:r w:rsidRPr="005C3D29">
              <w:rPr>
                <w:rFonts w:ascii="Times" w:hAnsi="Times"/>
                <w:bCs/>
                <w:color w:val="000000"/>
                <w:sz w:val="20"/>
                <w:szCs w:val="20"/>
                <w:lang w:val="en-US"/>
              </w:rPr>
              <w:t>433</w:t>
            </w:r>
            <w:r w:rsidR="005C3D29">
              <w:rPr>
                <w:rFonts w:ascii="Times" w:hAnsi="Times"/>
                <w:bCs/>
                <w:color w:val="000000"/>
                <w:sz w:val="20"/>
                <w:szCs w:val="20"/>
                <w:lang w:val="en-US"/>
              </w:rPr>
              <w:t xml:space="preserve"> </w:t>
            </w:r>
            <w:r w:rsidRPr="005C3D29">
              <w:rPr>
                <w:rFonts w:ascii="Times" w:hAnsi="Times"/>
                <w:bCs/>
                <w:color w:val="000000"/>
                <w:sz w:val="20"/>
                <w:szCs w:val="20"/>
                <w:lang w:val="en-US"/>
              </w:rPr>
              <w:t>409.9</w:t>
            </w:r>
          </w:p>
        </w:tc>
      </w:tr>
      <w:tr w:rsidR="00E27DE1" w:rsidRPr="008D13CD" w14:paraId="6FF3509F" w14:textId="77777777" w:rsidTr="00121E5A">
        <w:trPr>
          <w:trHeight w:val="240"/>
        </w:trPr>
        <w:tc>
          <w:tcPr>
            <w:cnfStyle w:val="001000000000" w:firstRow="0" w:lastRow="0" w:firstColumn="1" w:lastColumn="0" w:oddVBand="0" w:evenVBand="0" w:oddHBand="0" w:evenHBand="0" w:firstRowFirstColumn="0" w:firstRowLastColumn="0" w:lastRowFirstColumn="0" w:lastRowLastColumn="0"/>
            <w:tcW w:w="4480" w:type="dxa"/>
            <w:noWrap/>
            <w:vAlign w:val="center"/>
            <w:hideMark/>
          </w:tcPr>
          <w:p w14:paraId="3EB50BFD" w14:textId="77777777" w:rsidR="00E27DE1" w:rsidRPr="005C3D29" w:rsidRDefault="00E27DE1" w:rsidP="005C3D29">
            <w:pPr>
              <w:keepNext/>
              <w:jc w:val="left"/>
              <w:rPr>
                <w:rFonts w:ascii="Times" w:hAnsi="Times"/>
                <w:b w:val="0"/>
                <w:i/>
                <w:iCs/>
                <w:color w:val="000000"/>
                <w:sz w:val="20"/>
                <w:szCs w:val="20"/>
                <w:lang w:val="en-US"/>
              </w:rPr>
            </w:pPr>
            <w:r w:rsidRPr="005C3D29">
              <w:rPr>
                <w:rFonts w:ascii="Times" w:hAnsi="Times"/>
                <w:b w:val="0"/>
                <w:i/>
                <w:iCs/>
                <w:color w:val="000000"/>
                <w:sz w:val="20"/>
                <w:szCs w:val="20"/>
                <w:lang w:val="en-US"/>
              </w:rPr>
              <w:t>of which:</w:t>
            </w:r>
          </w:p>
        </w:tc>
        <w:tc>
          <w:tcPr>
            <w:tcW w:w="1185" w:type="dxa"/>
            <w:noWrap/>
            <w:vAlign w:val="center"/>
            <w:hideMark/>
          </w:tcPr>
          <w:p w14:paraId="4299C539" w14:textId="77777777" w:rsidR="00E27DE1" w:rsidRPr="005C3D29" w:rsidRDefault="00E27DE1" w:rsidP="005C3D29">
            <w:pPr>
              <w:keepNext/>
              <w:jc w:val="right"/>
              <w:cnfStyle w:val="000000000000" w:firstRow="0" w:lastRow="0" w:firstColumn="0" w:lastColumn="0" w:oddVBand="0" w:evenVBand="0" w:oddHBand="0" w:evenHBand="0" w:firstRowFirstColumn="0" w:firstRowLastColumn="0" w:lastRowFirstColumn="0" w:lastRowLastColumn="0"/>
              <w:rPr>
                <w:rFonts w:ascii="Times" w:hAnsi="Times"/>
                <w:i/>
                <w:iCs/>
                <w:color w:val="000000"/>
                <w:sz w:val="20"/>
                <w:szCs w:val="20"/>
                <w:lang w:val="en-US"/>
              </w:rPr>
            </w:pPr>
          </w:p>
        </w:tc>
        <w:tc>
          <w:tcPr>
            <w:tcW w:w="1134" w:type="dxa"/>
            <w:noWrap/>
            <w:vAlign w:val="center"/>
            <w:hideMark/>
          </w:tcPr>
          <w:p w14:paraId="202FED28" w14:textId="77777777" w:rsidR="00E27DE1" w:rsidRPr="005C3D29" w:rsidRDefault="00E27DE1" w:rsidP="005C3D29">
            <w:pPr>
              <w:keepNext/>
              <w:jc w:val="right"/>
              <w:cnfStyle w:val="000000000000" w:firstRow="0" w:lastRow="0" w:firstColumn="0" w:lastColumn="0" w:oddVBand="0" w:evenVBand="0" w:oddHBand="0" w:evenHBand="0" w:firstRowFirstColumn="0" w:firstRowLastColumn="0" w:lastRowFirstColumn="0" w:lastRowLastColumn="0"/>
              <w:rPr>
                <w:rFonts w:ascii="Times" w:hAnsi="Times"/>
                <w:sz w:val="20"/>
                <w:szCs w:val="20"/>
                <w:lang w:val="en-US"/>
              </w:rPr>
            </w:pPr>
          </w:p>
        </w:tc>
        <w:tc>
          <w:tcPr>
            <w:tcW w:w="1276" w:type="dxa"/>
            <w:noWrap/>
            <w:vAlign w:val="center"/>
            <w:hideMark/>
          </w:tcPr>
          <w:p w14:paraId="69A9DC03" w14:textId="77777777" w:rsidR="00E27DE1" w:rsidRPr="005C3D29" w:rsidRDefault="00E27DE1" w:rsidP="005C3D29">
            <w:pPr>
              <w:keepNext/>
              <w:jc w:val="right"/>
              <w:cnfStyle w:val="000000000000" w:firstRow="0" w:lastRow="0" w:firstColumn="0" w:lastColumn="0" w:oddVBand="0" w:evenVBand="0" w:oddHBand="0" w:evenHBand="0" w:firstRowFirstColumn="0" w:firstRowLastColumn="0" w:lastRowFirstColumn="0" w:lastRowLastColumn="0"/>
              <w:rPr>
                <w:rFonts w:ascii="Times" w:hAnsi="Times"/>
                <w:sz w:val="20"/>
                <w:szCs w:val="20"/>
                <w:lang w:val="en-US"/>
              </w:rPr>
            </w:pPr>
          </w:p>
        </w:tc>
        <w:tc>
          <w:tcPr>
            <w:tcW w:w="1640" w:type="dxa"/>
            <w:noWrap/>
            <w:vAlign w:val="center"/>
            <w:hideMark/>
          </w:tcPr>
          <w:p w14:paraId="346A600B" w14:textId="77777777" w:rsidR="00E27DE1" w:rsidRPr="005C3D29" w:rsidRDefault="00E27DE1" w:rsidP="005C3D29">
            <w:pPr>
              <w:keepNext/>
              <w:jc w:val="right"/>
              <w:cnfStyle w:val="000000000000" w:firstRow="0" w:lastRow="0" w:firstColumn="0" w:lastColumn="0" w:oddVBand="0" w:evenVBand="0" w:oddHBand="0" w:evenHBand="0" w:firstRowFirstColumn="0" w:firstRowLastColumn="0" w:lastRowFirstColumn="0" w:lastRowLastColumn="0"/>
              <w:rPr>
                <w:rFonts w:ascii="Times" w:hAnsi="Times"/>
                <w:sz w:val="20"/>
                <w:szCs w:val="20"/>
                <w:lang w:val="en-US"/>
              </w:rPr>
            </w:pPr>
          </w:p>
        </w:tc>
      </w:tr>
      <w:tr w:rsidR="00E27DE1" w:rsidRPr="008D13CD" w14:paraId="17CFBC29" w14:textId="77777777" w:rsidTr="00121E5A">
        <w:trPr>
          <w:trHeight w:val="317"/>
        </w:trPr>
        <w:tc>
          <w:tcPr>
            <w:cnfStyle w:val="001000000000" w:firstRow="0" w:lastRow="0" w:firstColumn="1" w:lastColumn="0" w:oddVBand="0" w:evenVBand="0" w:oddHBand="0" w:evenHBand="0" w:firstRowFirstColumn="0" w:firstRowLastColumn="0" w:lastRowFirstColumn="0" w:lastRowLastColumn="0"/>
            <w:tcW w:w="4480" w:type="dxa"/>
            <w:noWrap/>
            <w:vAlign w:val="center"/>
            <w:hideMark/>
          </w:tcPr>
          <w:p w14:paraId="6468E0AA" w14:textId="2D51CF13" w:rsidR="00E27DE1" w:rsidRPr="005C3D29" w:rsidRDefault="008C3C83" w:rsidP="005C3D29">
            <w:pPr>
              <w:keepNext/>
              <w:jc w:val="left"/>
              <w:rPr>
                <w:rFonts w:ascii="Times" w:hAnsi="Times"/>
                <w:b w:val="0"/>
                <w:color w:val="000000"/>
                <w:sz w:val="20"/>
                <w:szCs w:val="20"/>
                <w:lang w:val="en-US"/>
              </w:rPr>
            </w:pPr>
            <w:r w:rsidRPr="005C3D29">
              <w:rPr>
                <w:rFonts w:ascii="Times" w:hAnsi="Times"/>
                <w:b w:val="0"/>
                <w:color w:val="000000"/>
                <w:sz w:val="20"/>
                <w:szCs w:val="20"/>
                <w:lang w:val="en-US"/>
              </w:rPr>
              <w:t xml:space="preserve">       </w:t>
            </w:r>
            <w:r w:rsidR="00E27DE1" w:rsidRPr="005C3D29">
              <w:rPr>
                <w:rFonts w:ascii="Times" w:hAnsi="Times"/>
                <w:b w:val="0"/>
                <w:color w:val="000000"/>
                <w:sz w:val="20"/>
                <w:szCs w:val="20"/>
                <w:lang w:val="en-US"/>
              </w:rPr>
              <w:t xml:space="preserve">New </w:t>
            </w:r>
            <w:r w:rsidR="005C3D29" w:rsidRPr="005C3D29">
              <w:rPr>
                <w:rFonts w:ascii="Times" w:hAnsi="Times"/>
                <w:b w:val="0"/>
                <w:color w:val="000000"/>
                <w:sz w:val="20"/>
                <w:szCs w:val="20"/>
                <w:lang w:val="en-US"/>
              </w:rPr>
              <w:t>infrastructure by national departments</w:t>
            </w:r>
          </w:p>
        </w:tc>
        <w:tc>
          <w:tcPr>
            <w:tcW w:w="1185" w:type="dxa"/>
            <w:noWrap/>
            <w:vAlign w:val="center"/>
            <w:hideMark/>
          </w:tcPr>
          <w:p w14:paraId="267FD22B" w14:textId="29F5E349" w:rsidR="00E27DE1" w:rsidRPr="005C3D29" w:rsidRDefault="00E27DE1" w:rsidP="005C3D29">
            <w:pPr>
              <w:keepNext/>
              <w:jc w:val="right"/>
              <w:cnfStyle w:val="000000000000" w:firstRow="0" w:lastRow="0" w:firstColumn="0" w:lastColumn="0" w:oddVBand="0" w:evenVBand="0" w:oddHBand="0" w:evenHBand="0" w:firstRowFirstColumn="0" w:firstRowLastColumn="0" w:lastRowFirstColumn="0" w:lastRowLastColumn="0"/>
              <w:rPr>
                <w:rFonts w:ascii="Times" w:hAnsi="Times"/>
                <w:color w:val="000000"/>
                <w:sz w:val="20"/>
                <w:szCs w:val="20"/>
                <w:lang w:val="en-US"/>
              </w:rPr>
            </w:pPr>
            <w:r w:rsidRPr="005C3D29">
              <w:rPr>
                <w:rFonts w:ascii="Times" w:hAnsi="Times"/>
                <w:color w:val="000000"/>
                <w:sz w:val="20"/>
                <w:szCs w:val="20"/>
                <w:lang w:val="en-US"/>
              </w:rPr>
              <w:t>4</w:t>
            </w:r>
            <w:r w:rsidR="005C3D29">
              <w:rPr>
                <w:rFonts w:ascii="Times" w:hAnsi="Times"/>
                <w:color w:val="000000"/>
                <w:sz w:val="20"/>
                <w:szCs w:val="20"/>
                <w:lang w:val="en-US"/>
              </w:rPr>
              <w:t> </w:t>
            </w:r>
            <w:r w:rsidRPr="005C3D29">
              <w:rPr>
                <w:rFonts w:ascii="Times" w:hAnsi="Times"/>
                <w:color w:val="000000"/>
                <w:sz w:val="20"/>
                <w:szCs w:val="20"/>
                <w:lang w:val="en-US"/>
              </w:rPr>
              <w:t>930.1</w:t>
            </w:r>
          </w:p>
        </w:tc>
        <w:tc>
          <w:tcPr>
            <w:tcW w:w="1134" w:type="dxa"/>
            <w:noWrap/>
            <w:vAlign w:val="center"/>
            <w:hideMark/>
          </w:tcPr>
          <w:p w14:paraId="10AE917E" w14:textId="1DFC41BC" w:rsidR="00E27DE1" w:rsidRPr="005C3D29" w:rsidRDefault="00E27DE1" w:rsidP="005C3D29">
            <w:pPr>
              <w:keepNext/>
              <w:jc w:val="right"/>
              <w:cnfStyle w:val="000000000000" w:firstRow="0" w:lastRow="0" w:firstColumn="0" w:lastColumn="0" w:oddVBand="0" w:evenVBand="0" w:oddHBand="0" w:evenHBand="0" w:firstRowFirstColumn="0" w:firstRowLastColumn="0" w:lastRowFirstColumn="0" w:lastRowLastColumn="0"/>
              <w:rPr>
                <w:rFonts w:ascii="Times" w:hAnsi="Times"/>
                <w:color w:val="000000"/>
                <w:sz w:val="20"/>
                <w:szCs w:val="20"/>
                <w:lang w:val="en-US"/>
              </w:rPr>
            </w:pPr>
            <w:r w:rsidRPr="005C3D29">
              <w:rPr>
                <w:rFonts w:ascii="Times" w:hAnsi="Times"/>
                <w:color w:val="000000"/>
                <w:sz w:val="20"/>
                <w:szCs w:val="20"/>
                <w:lang w:val="en-US"/>
              </w:rPr>
              <w:t>6</w:t>
            </w:r>
            <w:r w:rsidR="005C3D29">
              <w:rPr>
                <w:rFonts w:ascii="Times" w:hAnsi="Times"/>
                <w:color w:val="000000"/>
                <w:sz w:val="20"/>
                <w:szCs w:val="20"/>
                <w:lang w:val="en-US"/>
              </w:rPr>
              <w:t xml:space="preserve"> </w:t>
            </w:r>
            <w:r w:rsidRPr="005C3D29">
              <w:rPr>
                <w:rFonts w:ascii="Times" w:hAnsi="Times"/>
                <w:color w:val="000000"/>
                <w:sz w:val="20"/>
                <w:szCs w:val="20"/>
                <w:lang w:val="en-US"/>
              </w:rPr>
              <w:t>196.6</w:t>
            </w:r>
          </w:p>
        </w:tc>
        <w:tc>
          <w:tcPr>
            <w:tcW w:w="1276" w:type="dxa"/>
            <w:noWrap/>
            <w:vAlign w:val="center"/>
            <w:hideMark/>
          </w:tcPr>
          <w:p w14:paraId="14104865" w14:textId="51D5D655" w:rsidR="00E27DE1" w:rsidRPr="005C3D29" w:rsidRDefault="00E27DE1" w:rsidP="005C3D29">
            <w:pPr>
              <w:keepNext/>
              <w:jc w:val="right"/>
              <w:cnfStyle w:val="000000000000" w:firstRow="0" w:lastRow="0" w:firstColumn="0" w:lastColumn="0" w:oddVBand="0" w:evenVBand="0" w:oddHBand="0" w:evenHBand="0" w:firstRowFirstColumn="0" w:firstRowLastColumn="0" w:lastRowFirstColumn="0" w:lastRowLastColumn="0"/>
              <w:rPr>
                <w:rFonts w:ascii="Times" w:hAnsi="Times"/>
                <w:color w:val="000000"/>
                <w:sz w:val="20"/>
                <w:szCs w:val="20"/>
                <w:lang w:val="en-US"/>
              </w:rPr>
            </w:pPr>
            <w:r w:rsidRPr="005C3D29">
              <w:rPr>
                <w:rFonts w:ascii="Times" w:hAnsi="Times"/>
                <w:color w:val="000000"/>
                <w:sz w:val="20"/>
                <w:szCs w:val="20"/>
                <w:lang w:val="en-US"/>
              </w:rPr>
              <w:t>6</w:t>
            </w:r>
            <w:r w:rsidR="005C3D29">
              <w:rPr>
                <w:rFonts w:ascii="Times" w:hAnsi="Times"/>
                <w:color w:val="000000"/>
                <w:sz w:val="20"/>
                <w:szCs w:val="20"/>
                <w:lang w:val="en-US"/>
              </w:rPr>
              <w:t xml:space="preserve"> </w:t>
            </w:r>
            <w:r w:rsidRPr="005C3D29">
              <w:rPr>
                <w:rFonts w:ascii="Times" w:hAnsi="Times"/>
                <w:color w:val="000000"/>
                <w:sz w:val="20"/>
                <w:szCs w:val="20"/>
                <w:lang w:val="en-US"/>
              </w:rPr>
              <w:t>828.9</w:t>
            </w:r>
          </w:p>
        </w:tc>
        <w:tc>
          <w:tcPr>
            <w:tcW w:w="1640" w:type="dxa"/>
            <w:noWrap/>
            <w:vAlign w:val="center"/>
            <w:hideMark/>
          </w:tcPr>
          <w:p w14:paraId="4FB61851" w14:textId="0983E98E" w:rsidR="00E27DE1" w:rsidRPr="005C3D29" w:rsidRDefault="00E27DE1" w:rsidP="005C3D29">
            <w:pPr>
              <w:keepNext/>
              <w:jc w:val="right"/>
              <w:cnfStyle w:val="000000000000" w:firstRow="0" w:lastRow="0" w:firstColumn="0" w:lastColumn="0" w:oddVBand="0" w:evenVBand="0" w:oddHBand="0" w:evenHBand="0" w:firstRowFirstColumn="0" w:firstRowLastColumn="0" w:lastRowFirstColumn="0" w:lastRowLastColumn="0"/>
              <w:rPr>
                <w:rFonts w:ascii="Times" w:hAnsi="Times"/>
                <w:color w:val="000000"/>
                <w:sz w:val="20"/>
                <w:szCs w:val="20"/>
                <w:lang w:val="en-US"/>
              </w:rPr>
            </w:pPr>
            <w:r w:rsidRPr="005C3D29">
              <w:rPr>
                <w:rFonts w:ascii="Times" w:hAnsi="Times"/>
                <w:color w:val="000000"/>
                <w:sz w:val="20"/>
                <w:szCs w:val="20"/>
                <w:lang w:val="en-US"/>
              </w:rPr>
              <w:t>17</w:t>
            </w:r>
            <w:r w:rsidR="005C3D29">
              <w:rPr>
                <w:rFonts w:ascii="Times" w:hAnsi="Times"/>
                <w:color w:val="000000"/>
                <w:sz w:val="20"/>
                <w:szCs w:val="20"/>
                <w:lang w:val="en-US"/>
              </w:rPr>
              <w:t xml:space="preserve"> </w:t>
            </w:r>
            <w:r w:rsidRPr="005C3D29">
              <w:rPr>
                <w:rFonts w:ascii="Times" w:hAnsi="Times"/>
                <w:color w:val="000000"/>
                <w:sz w:val="20"/>
                <w:szCs w:val="20"/>
                <w:lang w:val="en-US"/>
              </w:rPr>
              <w:t>955.6</w:t>
            </w:r>
          </w:p>
        </w:tc>
      </w:tr>
      <w:tr w:rsidR="00E27DE1" w:rsidRPr="008D13CD" w14:paraId="5A2C0A18" w14:textId="77777777" w:rsidTr="00121E5A">
        <w:trPr>
          <w:trHeight w:val="240"/>
        </w:trPr>
        <w:tc>
          <w:tcPr>
            <w:cnfStyle w:val="001000000000" w:firstRow="0" w:lastRow="0" w:firstColumn="1" w:lastColumn="0" w:oddVBand="0" w:evenVBand="0" w:oddHBand="0" w:evenHBand="0" w:firstRowFirstColumn="0" w:firstRowLastColumn="0" w:lastRowFirstColumn="0" w:lastRowLastColumn="0"/>
            <w:tcW w:w="4480" w:type="dxa"/>
            <w:noWrap/>
            <w:vAlign w:val="center"/>
            <w:hideMark/>
          </w:tcPr>
          <w:p w14:paraId="1772377B" w14:textId="18F258D4" w:rsidR="00E27DE1" w:rsidRPr="005C3D29" w:rsidRDefault="008C3C83" w:rsidP="005C3D29">
            <w:pPr>
              <w:keepNext/>
              <w:jc w:val="left"/>
              <w:rPr>
                <w:rFonts w:ascii="Times" w:hAnsi="Times"/>
                <w:b w:val="0"/>
                <w:color w:val="000000"/>
                <w:sz w:val="20"/>
                <w:szCs w:val="20"/>
                <w:lang w:val="en-US"/>
              </w:rPr>
            </w:pPr>
            <w:r w:rsidRPr="005C3D29">
              <w:rPr>
                <w:rFonts w:ascii="Times" w:hAnsi="Times"/>
                <w:b w:val="0"/>
                <w:color w:val="000000"/>
                <w:sz w:val="20"/>
                <w:szCs w:val="20"/>
                <w:lang w:val="en-US"/>
              </w:rPr>
              <w:t xml:space="preserve">       Existing </w:t>
            </w:r>
            <w:r w:rsidR="005C3D29" w:rsidRPr="005C3D29">
              <w:rPr>
                <w:rFonts w:ascii="Times" w:hAnsi="Times"/>
                <w:b w:val="0"/>
                <w:color w:val="000000"/>
                <w:sz w:val="20"/>
                <w:szCs w:val="20"/>
                <w:lang w:val="en-US"/>
              </w:rPr>
              <w:t>infrastructure by national departments</w:t>
            </w:r>
          </w:p>
        </w:tc>
        <w:tc>
          <w:tcPr>
            <w:tcW w:w="1185" w:type="dxa"/>
            <w:noWrap/>
            <w:vAlign w:val="center"/>
            <w:hideMark/>
          </w:tcPr>
          <w:p w14:paraId="13C72135" w14:textId="4D3413B6" w:rsidR="00E27DE1" w:rsidRPr="005C3D29" w:rsidRDefault="00E27DE1" w:rsidP="005C3D29">
            <w:pPr>
              <w:keepNext/>
              <w:jc w:val="right"/>
              <w:cnfStyle w:val="000000000000" w:firstRow="0" w:lastRow="0" w:firstColumn="0" w:lastColumn="0" w:oddVBand="0" w:evenVBand="0" w:oddHBand="0" w:evenHBand="0" w:firstRowFirstColumn="0" w:firstRowLastColumn="0" w:lastRowFirstColumn="0" w:lastRowLastColumn="0"/>
              <w:rPr>
                <w:rFonts w:ascii="Times" w:hAnsi="Times"/>
                <w:color w:val="000000"/>
                <w:sz w:val="20"/>
                <w:szCs w:val="20"/>
                <w:lang w:val="en-US"/>
              </w:rPr>
            </w:pPr>
            <w:r w:rsidRPr="005C3D29">
              <w:rPr>
                <w:rFonts w:ascii="Times" w:hAnsi="Times"/>
                <w:color w:val="000000"/>
                <w:sz w:val="20"/>
                <w:szCs w:val="20"/>
                <w:lang w:val="en-US"/>
              </w:rPr>
              <w:t>6</w:t>
            </w:r>
            <w:r w:rsidR="005C3D29">
              <w:rPr>
                <w:rFonts w:ascii="Times" w:hAnsi="Times"/>
                <w:color w:val="000000"/>
                <w:sz w:val="20"/>
                <w:szCs w:val="20"/>
                <w:lang w:val="en-US"/>
              </w:rPr>
              <w:t> </w:t>
            </w:r>
            <w:r w:rsidRPr="005C3D29">
              <w:rPr>
                <w:rFonts w:ascii="Times" w:hAnsi="Times"/>
                <w:color w:val="000000"/>
                <w:sz w:val="20"/>
                <w:szCs w:val="20"/>
                <w:lang w:val="en-US"/>
              </w:rPr>
              <w:t>356.9</w:t>
            </w:r>
          </w:p>
        </w:tc>
        <w:tc>
          <w:tcPr>
            <w:tcW w:w="1134" w:type="dxa"/>
            <w:noWrap/>
            <w:vAlign w:val="center"/>
            <w:hideMark/>
          </w:tcPr>
          <w:p w14:paraId="5951B895" w14:textId="33602193" w:rsidR="00E27DE1" w:rsidRPr="005C3D29" w:rsidRDefault="00E27DE1" w:rsidP="005C3D29">
            <w:pPr>
              <w:keepNext/>
              <w:jc w:val="right"/>
              <w:cnfStyle w:val="000000000000" w:firstRow="0" w:lastRow="0" w:firstColumn="0" w:lastColumn="0" w:oddVBand="0" w:evenVBand="0" w:oddHBand="0" w:evenHBand="0" w:firstRowFirstColumn="0" w:firstRowLastColumn="0" w:lastRowFirstColumn="0" w:lastRowLastColumn="0"/>
              <w:rPr>
                <w:rFonts w:ascii="Times" w:hAnsi="Times"/>
                <w:color w:val="000000"/>
                <w:sz w:val="20"/>
                <w:szCs w:val="20"/>
                <w:lang w:val="en-US"/>
              </w:rPr>
            </w:pPr>
            <w:r w:rsidRPr="005C3D29">
              <w:rPr>
                <w:rFonts w:ascii="Times" w:hAnsi="Times"/>
                <w:color w:val="000000"/>
                <w:sz w:val="20"/>
                <w:szCs w:val="20"/>
                <w:lang w:val="en-US"/>
              </w:rPr>
              <w:t>5</w:t>
            </w:r>
            <w:r w:rsidR="005C3D29">
              <w:rPr>
                <w:rFonts w:ascii="Times" w:hAnsi="Times"/>
                <w:color w:val="000000"/>
                <w:sz w:val="20"/>
                <w:szCs w:val="20"/>
                <w:lang w:val="en-US"/>
              </w:rPr>
              <w:t xml:space="preserve"> </w:t>
            </w:r>
            <w:r w:rsidRPr="005C3D29">
              <w:rPr>
                <w:rFonts w:ascii="Times" w:hAnsi="Times"/>
                <w:color w:val="000000"/>
                <w:sz w:val="20"/>
                <w:szCs w:val="20"/>
                <w:lang w:val="en-US"/>
              </w:rPr>
              <w:t>670.8</w:t>
            </w:r>
          </w:p>
        </w:tc>
        <w:tc>
          <w:tcPr>
            <w:tcW w:w="1276" w:type="dxa"/>
            <w:noWrap/>
            <w:vAlign w:val="center"/>
            <w:hideMark/>
          </w:tcPr>
          <w:p w14:paraId="2F230D2A" w14:textId="0E5B6C1A" w:rsidR="00E27DE1" w:rsidRPr="005C3D29" w:rsidRDefault="00E27DE1" w:rsidP="005C3D29">
            <w:pPr>
              <w:keepNext/>
              <w:jc w:val="right"/>
              <w:cnfStyle w:val="000000000000" w:firstRow="0" w:lastRow="0" w:firstColumn="0" w:lastColumn="0" w:oddVBand="0" w:evenVBand="0" w:oddHBand="0" w:evenHBand="0" w:firstRowFirstColumn="0" w:firstRowLastColumn="0" w:lastRowFirstColumn="0" w:lastRowLastColumn="0"/>
              <w:rPr>
                <w:rFonts w:ascii="Times" w:hAnsi="Times"/>
                <w:color w:val="000000"/>
                <w:sz w:val="20"/>
                <w:szCs w:val="20"/>
                <w:lang w:val="en-US"/>
              </w:rPr>
            </w:pPr>
            <w:r w:rsidRPr="005C3D29">
              <w:rPr>
                <w:rFonts w:ascii="Times" w:hAnsi="Times"/>
                <w:color w:val="000000"/>
                <w:sz w:val="20"/>
                <w:szCs w:val="20"/>
                <w:lang w:val="en-US"/>
              </w:rPr>
              <w:t>5</w:t>
            </w:r>
            <w:r w:rsidR="005C3D29">
              <w:rPr>
                <w:rFonts w:ascii="Times" w:hAnsi="Times"/>
                <w:color w:val="000000"/>
                <w:sz w:val="20"/>
                <w:szCs w:val="20"/>
                <w:lang w:val="en-US"/>
              </w:rPr>
              <w:t xml:space="preserve"> </w:t>
            </w:r>
            <w:r w:rsidRPr="005C3D29">
              <w:rPr>
                <w:rFonts w:ascii="Times" w:hAnsi="Times"/>
                <w:color w:val="000000"/>
                <w:sz w:val="20"/>
                <w:szCs w:val="20"/>
                <w:lang w:val="en-US"/>
              </w:rPr>
              <w:t>185.0</w:t>
            </w:r>
          </w:p>
        </w:tc>
        <w:tc>
          <w:tcPr>
            <w:tcW w:w="1640" w:type="dxa"/>
            <w:noWrap/>
            <w:vAlign w:val="center"/>
            <w:hideMark/>
          </w:tcPr>
          <w:p w14:paraId="6EBCC059" w14:textId="3E1A811D" w:rsidR="00E27DE1" w:rsidRPr="005C3D29" w:rsidRDefault="00E27DE1" w:rsidP="005C3D29">
            <w:pPr>
              <w:keepNext/>
              <w:jc w:val="right"/>
              <w:cnfStyle w:val="000000000000" w:firstRow="0" w:lastRow="0" w:firstColumn="0" w:lastColumn="0" w:oddVBand="0" w:evenVBand="0" w:oddHBand="0" w:evenHBand="0" w:firstRowFirstColumn="0" w:firstRowLastColumn="0" w:lastRowFirstColumn="0" w:lastRowLastColumn="0"/>
              <w:rPr>
                <w:rFonts w:ascii="Times" w:hAnsi="Times"/>
                <w:color w:val="000000"/>
                <w:sz w:val="20"/>
                <w:szCs w:val="20"/>
                <w:lang w:val="en-US"/>
              </w:rPr>
            </w:pPr>
            <w:r w:rsidRPr="005C3D29">
              <w:rPr>
                <w:rFonts w:ascii="Times" w:hAnsi="Times"/>
                <w:color w:val="000000"/>
                <w:sz w:val="20"/>
                <w:szCs w:val="20"/>
                <w:lang w:val="en-US"/>
              </w:rPr>
              <w:t>17</w:t>
            </w:r>
            <w:r w:rsidR="005C3D29">
              <w:rPr>
                <w:rFonts w:ascii="Times" w:hAnsi="Times"/>
                <w:color w:val="000000"/>
                <w:sz w:val="20"/>
                <w:szCs w:val="20"/>
                <w:lang w:val="en-US"/>
              </w:rPr>
              <w:t xml:space="preserve"> </w:t>
            </w:r>
            <w:r w:rsidRPr="005C3D29">
              <w:rPr>
                <w:rFonts w:ascii="Times" w:hAnsi="Times"/>
                <w:color w:val="000000"/>
                <w:sz w:val="20"/>
                <w:szCs w:val="20"/>
                <w:lang w:val="en-US"/>
              </w:rPr>
              <w:t>212.7</w:t>
            </w:r>
          </w:p>
        </w:tc>
      </w:tr>
      <w:tr w:rsidR="00E27DE1" w:rsidRPr="008D13CD" w14:paraId="268F34E5" w14:textId="77777777" w:rsidTr="00121E5A">
        <w:trPr>
          <w:trHeight w:val="240"/>
        </w:trPr>
        <w:tc>
          <w:tcPr>
            <w:cnfStyle w:val="001000000000" w:firstRow="0" w:lastRow="0" w:firstColumn="1" w:lastColumn="0" w:oddVBand="0" w:evenVBand="0" w:oddHBand="0" w:evenHBand="0" w:firstRowFirstColumn="0" w:firstRowLastColumn="0" w:lastRowFirstColumn="0" w:lastRowLastColumn="0"/>
            <w:tcW w:w="4480" w:type="dxa"/>
            <w:noWrap/>
            <w:vAlign w:val="center"/>
            <w:hideMark/>
          </w:tcPr>
          <w:p w14:paraId="668C2CFB" w14:textId="40E2BA94" w:rsidR="00E27DE1" w:rsidRPr="005C3D29" w:rsidRDefault="00E27DE1" w:rsidP="005C3D29">
            <w:pPr>
              <w:keepNext/>
              <w:jc w:val="left"/>
              <w:rPr>
                <w:rFonts w:ascii="Times" w:hAnsi="Times"/>
                <w:b w:val="0"/>
                <w:color w:val="000000"/>
                <w:sz w:val="20"/>
                <w:szCs w:val="20"/>
                <w:lang w:val="en-US"/>
              </w:rPr>
            </w:pPr>
            <w:r w:rsidRPr="005C3D29">
              <w:rPr>
                <w:rFonts w:ascii="Times" w:hAnsi="Times"/>
                <w:b w:val="0"/>
                <w:color w:val="000000"/>
                <w:sz w:val="20"/>
                <w:szCs w:val="20"/>
                <w:lang w:val="en-US"/>
              </w:rPr>
              <w:t xml:space="preserve">Total </w:t>
            </w:r>
            <w:r w:rsidR="005C3D29" w:rsidRPr="005C3D29">
              <w:rPr>
                <w:rFonts w:ascii="Times" w:hAnsi="Times"/>
                <w:b w:val="0"/>
                <w:color w:val="000000"/>
                <w:sz w:val="20"/>
                <w:szCs w:val="20"/>
                <w:lang w:val="en-US"/>
              </w:rPr>
              <w:t>conditional grants spending</w:t>
            </w:r>
          </w:p>
        </w:tc>
        <w:tc>
          <w:tcPr>
            <w:tcW w:w="1185" w:type="dxa"/>
            <w:noWrap/>
            <w:vAlign w:val="center"/>
            <w:hideMark/>
          </w:tcPr>
          <w:p w14:paraId="2AA69976" w14:textId="2D36F4EC" w:rsidR="00E27DE1" w:rsidRPr="005C3D29" w:rsidRDefault="00E27DE1" w:rsidP="005C3D29">
            <w:pPr>
              <w:keepNext/>
              <w:jc w:val="right"/>
              <w:cnfStyle w:val="000000000000" w:firstRow="0" w:lastRow="0" w:firstColumn="0" w:lastColumn="0" w:oddVBand="0" w:evenVBand="0" w:oddHBand="0" w:evenHBand="0" w:firstRowFirstColumn="0" w:firstRowLastColumn="0" w:lastRowFirstColumn="0" w:lastRowLastColumn="0"/>
              <w:rPr>
                <w:rFonts w:ascii="Times" w:hAnsi="Times"/>
                <w:bCs/>
                <w:color w:val="000000"/>
                <w:sz w:val="20"/>
                <w:szCs w:val="20"/>
                <w:lang w:val="en-US"/>
              </w:rPr>
            </w:pPr>
            <w:r w:rsidRPr="005C3D29">
              <w:rPr>
                <w:rFonts w:ascii="Times" w:hAnsi="Times"/>
                <w:bCs/>
                <w:color w:val="000000"/>
                <w:sz w:val="20"/>
                <w:szCs w:val="20"/>
                <w:lang w:val="en-US"/>
              </w:rPr>
              <w:t>154</w:t>
            </w:r>
            <w:r w:rsidR="005C3D29">
              <w:rPr>
                <w:rFonts w:ascii="Times" w:hAnsi="Times"/>
                <w:bCs/>
                <w:color w:val="000000"/>
                <w:sz w:val="20"/>
                <w:szCs w:val="20"/>
                <w:lang w:val="en-US"/>
              </w:rPr>
              <w:t> </w:t>
            </w:r>
            <w:r w:rsidRPr="005C3D29">
              <w:rPr>
                <w:rFonts w:ascii="Times" w:hAnsi="Times"/>
                <w:bCs/>
                <w:color w:val="000000"/>
                <w:sz w:val="20"/>
                <w:szCs w:val="20"/>
                <w:lang w:val="en-US"/>
              </w:rPr>
              <w:t>603.3</w:t>
            </w:r>
          </w:p>
        </w:tc>
        <w:tc>
          <w:tcPr>
            <w:tcW w:w="1134" w:type="dxa"/>
            <w:noWrap/>
            <w:vAlign w:val="center"/>
            <w:hideMark/>
          </w:tcPr>
          <w:p w14:paraId="545A1C82" w14:textId="12FA8EB8" w:rsidR="00E27DE1" w:rsidRPr="005C3D29" w:rsidRDefault="00E27DE1" w:rsidP="005C3D29">
            <w:pPr>
              <w:keepNext/>
              <w:jc w:val="right"/>
              <w:cnfStyle w:val="000000000000" w:firstRow="0" w:lastRow="0" w:firstColumn="0" w:lastColumn="0" w:oddVBand="0" w:evenVBand="0" w:oddHBand="0" w:evenHBand="0" w:firstRowFirstColumn="0" w:firstRowLastColumn="0" w:lastRowFirstColumn="0" w:lastRowLastColumn="0"/>
              <w:rPr>
                <w:rFonts w:ascii="Times" w:hAnsi="Times"/>
                <w:bCs/>
                <w:color w:val="000000"/>
                <w:sz w:val="20"/>
                <w:szCs w:val="20"/>
                <w:lang w:val="en-US"/>
              </w:rPr>
            </w:pPr>
            <w:r w:rsidRPr="005C3D29">
              <w:rPr>
                <w:rFonts w:ascii="Times" w:hAnsi="Times"/>
                <w:bCs/>
                <w:color w:val="000000"/>
                <w:sz w:val="20"/>
                <w:szCs w:val="20"/>
                <w:lang w:val="en-US"/>
              </w:rPr>
              <w:t>164</w:t>
            </w:r>
            <w:r w:rsidR="005C3D29">
              <w:rPr>
                <w:rFonts w:ascii="Times" w:hAnsi="Times"/>
                <w:bCs/>
                <w:color w:val="000000"/>
                <w:sz w:val="20"/>
                <w:szCs w:val="20"/>
                <w:lang w:val="en-US"/>
              </w:rPr>
              <w:t xml:space="preserve"> </w:t>
            </w:r>
            <w:r w:rsidRPr="005C3D29">
              <w:rPr>
                <w:rFonts w:ascii="Times" w:hAnsi="Times"/>
                <w:bCs/>
                <w:color w:val="000000"/>
                <w:sz w:val="20"/>
                <w:szCs w:val="20"/>
                <w:lang w:val="en-US"/>
              </w:rPr>
              <w:t>159.3</w:t>
            </w:r>
          </w:p>
        </w:tc>
        <w:tc>
          <w:tcPr>
            <w:tcW w:w="1276" w:type="dxa"/>
            <w:noWrap/>
            <w:vAlign w:val="center"/>
            <w:hideMark/>
          </w:tcPr>
          <w:p w14:paraId="20047C7F" w14:textId="48C4AF68" w:rsidR="00E27DE1" w:rsidRPr="005C3D29" w:rsidRDefault="00E27DE1" w:rsidP="005C3D29">
            <w:pPr>
              <w:keepNext/>
              <w:jc w:val="right"/>
              <w:cnfStyle w:val="000000000000" w:firstRow="0" w:lastRow="0" w:firstColumn="0" w:lastColumn="0" w:oddVBand="0" w:evenVBand="0" w:oddHBand="0" w:evenHBand="0" w:firstRowFirstColumn="0" w:firstRowLastColumn="0" w:lastRowFirstColumn="0" w:lastRowLastColumn="0"/>
              <w:rPr>
                <w:rFonts w:ascii="Times" w:hAnsi="Times"/>
                <w:bCs/>
                <w:color w:val="000000"/>
                <w:sz w:val="20"/>
                <w:szCs w:val="20"/>
                <w:lang w:val="en-US"/>
              </w:rPr>
            </w:pPr>
            <w:r w:rsidRPr="005C3D29">
              <w:rPr>
                <w:rFonts w:ascii="Times" w:hAnsi="Times"/>
                <w:bCs/>
                <w:color w:val="000000"/>
                <w:sz w:val="20"/>
                <w:szCs w:val="20"/>
                <w:lang w:val="en-US"/>
              </w:rPr>
              <w:t>171</w:t>
            </w:r>
            <w:r w:rsidR="005C3D29">
              <w:rPr>
                <w:rFonts w:ascii="Times" w:hAnsi="Times"/>
                <w:bCs/>
                <w:color w:val="000000"/>
                <w:sz w:val="20"/>
                <w:szCs w:val="20"/>
                <w:lang w:val="en-US"/>
              </w:rPr>
              <w:t xml:space="preserve"> </w:t>
            </w:r>
            <w:r w:rsidRPr="005C3D29">
              <w:rPr>
                <w:rFonts w:ascii="Times" w:hAnsi="Times"/>
                <w:bCs/>
                <w:color w:val="000000"/>
                <w:sz w:val="20"/>
                <w:szCs w:val="20"/>
                <w:lang w:val="en-US"/>
              </w:rPr>
              <w:t>283.8</w:t>
            </w:r>
          </w:p>
        </w:tc>
        <w:tc>
          <w:tcPr>
            <w:tcW w:w="1640" w:type="dxa"/>
            <w:noWrap/>
            <w:vAlign w:val="center"/>
            <w:hideMark/>
          </w:tcPr>
          <w:p w14:paraId="6728E2BC" w14:textId="159EDEEB" w:rsidR="00E27DE1" w:rsidRPr="005C3D29" w:rsidRDefault="00E27DE1" w:rsidP="005C3D29">
            <w:pPr>
              <w:keepNext/>
              <w:jc w:val="right"/>
              <w:cnfStyle w:val="000000000000" w:firstRow="0" w:lastRow="0" w:firstColumn="0" w:lastColumn="0" w:oddVBand="0" w:evenVBand="0" w:oddHBand="0" w:evenHBand="0" w:firstRowFirstColumn="0" w:firstRowLastColumn="0" w:lastRowFirstColumn="0" w:lastRowLastColumn="0"/>
              <w:rPr>
                <w:rFonts w:ascii="Times" w:hAnsi="Times"/>
                <w:bCs/>
                <w:color w:val="000000"/>
                <w:sz w:val="20"/>
                <w:szCs w:val="20"/>
                <w:lang w:val="en-US"/>
              </w:rPr>
            </w:pPr>
            <w:r w:rsidRPr="005C3D29">
              <w:rPr>
                <w:rFonts w:ascii="Times" w:hAnsi="Times"/>
                <w:bCs/>
                <w:color w:val="000000"/>
                <w:sz w:val="20"/>
                <w:szCs w:val="20"/>
                <w:lang w:val="en-US"/>
              </w:rPr>
              <w:t>490</w:t>
            </w:r>
            <w:r w:rsidR="005C3D29">
              <w:rPr>
                <w:rFonts w:ascii="Times" w:hAnsi="Times"/>
                <w:bCs/>
                <w:color w:val="000000"/>
                <w:sz w:val="20"/>
                <w:szCs w:val="20"/>
                <w:lang w:val="en-US"/>
              </w:rPr>
              <w:t xml:space="preserve"> </w:t>
            </w:r>
            <w:r w:rsidRPr="005C3D29">
              <w:rPr>
                <w:rFonts w:ascii="Times" w:hAnsi="Times"/>
                <w:bCs/>
                <w:color w:val="000000"/>
                <w:sz w:val="20"/>
                <w:szCs w:val="20"/>
                <w:lang w:val="en-US"/>
              </w:rPr>
              <w:t>046.4</w:t>
            </w:r>
          </w:p>
        </w:tc>
      </w:tr>
      <w:tr w:rsidR="00E27DE1" w:rsidRPr="008D13CD" w14:paraId="7D8C8672" w14:textId="77777777" w:rsidTr="00121E5A">
        <w:trPr>
          <w:trHeight w:val="240"/>
        </w:trPr>
        <w:tc>
          <w:tcPr>
            <w:cnfStyle w:val="001000000000" w:firstRow="0" w:lastRow="0" w:firstColumn="1" w:lastColumn="0" w:oddVBand="0" w:evenVBand="0" w:oddHBand="0" w:evenHBand="0" w:firstRowFirstColumn="0" w:firstRowLastColumn="0" w:lastRowFirstColumn="0" w:lastRowLastColumn="0"/>
            <w:tcW w:w="4480" w:type="dxa"/>
            <w:noWrap/>
            <w:vAlign w:val="center"/>
            <w:hideMark/>
          </w:tcPr>
          <w:p w14:paraId="5EECEC90" w14:textId="77777777" w:rsidR="00E27DE1" w:rsidRPr="005C3D29" w:rsidRDefault="00E27DE1" w:rsidP="005C3D29">
            <w:pPr>
              <w:keepNext/>
              <w:jc w:val="left"/>
              <w:rPr>
                <w:rFonts w:ascii="Times" w:hAnsi="Times"/>
                <w:b w:val="0"/>
                <w:i/>
                <w:iCs/>
                <w:color w:val="000000"/>
                <w:sz w:val="20"/>
                <w:szCs w:val="20"/>
                <w:lang w:val="en-US"/>
              </w:rPr>
            </w:pPr>
            <w:r w:rsidRPr="005C3D29">
              <w:rPr>
                <w:rFonts w:ascii="Times" w:hAnsi="Times"/>
                <w:b w:val="0"/>
                <w:i/>
                <w:iCs/>
                <w:color w:val="000000"/>
                <w:sz w:val="20"/>
                <w:szCs w:val="20"/>
                <w:lang w:val="en-US"/>
              </w:rPr>
              <w:t>of which:</w:t>
            </w:r>
          </w:p>
        </w:tc>
        <w:tc>
          <w:tcPr>
            <w:tcW w:w="1185" w:type="dxa"/>
            <w:noWrap/>
            <w:vAlign w:val="center"/>
            <w:hideMark/>
          </w:tcPr>
          <w:p w14:paraId="423C3311" w14:textId="77777777" w:rsidR="00E27DE1" w:rsidRPr="005C3D29" w:rsidRDefault="00E27DE1" w:rsidP="005C3D29">
            <w:pPr>
              <w:keepNext/>
              <w:jc w:val="right"/>
              <w:cnfStyle w:val="000000000000" w:firstRow="0" w:lastRow="0" w:firstColumn="0" w:lastColumn="0" w:oddVBand="0" w:evenVBand="0" w:oddHBand="0" w:evenHBand="0" w:firstRowFirstColumn="0" w:firstRowLastColumn="0" w:lastRowFirstColumn="0" w:lastRowLastColumn="0"/>
              <w:rPr>
                <w:rFonts w:ascii="Times" w:hAnsi="Times"/>
                <w:i/>
                <w:iCs/>
                <w:color w:val="000000"/>
                <w:sz w:val="20"/>
                <w:szCs w:val="20"/>
                <w:lang w:val="en-US"/>
              </w:rPr>
            </w:pPr>
          </w:p>
        </w:tc>
        <w:tc>
          <w:tcPr>
            <w:tcW w:w="1134" w:type="dxa"/>
            <w:noWrap/>
            <w:vAlign w:val="center"/>
            <w:hideMark/>
          </w:tcPr>
          <w:p w14:paraId="1A7FFC74" w14:textId="77777777" w:rsidR="00E27DE1" w:rsidRPr="005C3D29" w:rsidRDefault="00E27DE1" w:rsidP="005C3D29">
            <w:pPr>
              <w:keepNext/>
              <w:jc w:val="right"/>
              <w:cnfStyle w:val="000000000000" w:firstRow="0" w:lastRow="0" w:firstColumn="0" w:lastColumn="0" w:oddVBand="0" w:evenVBand="0" w:oddHBand="0" w:evenHBand="0" w:firstRowFirstColumn="0" w:firstRowLastColumn="0" w:lastRowFirstColumn="0" w:lastRowLastColumn="0"/>
              <w:rPr>
                <w:rFonts w:ascii="Times" w:hAnsi="Times"/>
                <w:sz w:val="20"/>
                <w:szCs w:val="20"/>
                <w:lang w:val="en-US"/>
              </w:rPr>
            </w:pPr>
          </w:p>
        </w:tc>
        <w:tc>
          <w:tcPr>
            <w:tcW w:w="1276" w:type="dxa"/>
            <w:noWrap/>
            <w:vAlign w:val="center"/>
            <w:hideMark/>
          </w:tcPr>
          <w:p w14:paraId="3B04A97C" w14:textId="77777777" w:rsidR="00E27DE1" w:rsidRPr="005C3D29" w:rsidRDefault="00E27DE1" w:rsidP="005C3D29">
            <w:pPr>
              <w:keepNext/>
              <w:jc w:val="right"/>
              <w:cnfStyle w:val="000000000000" w:firstRow="0" w:lastRow="0" w:firstColumn="0" w:lastColumn="0" w:oddVBand="0" w:evenVBand="0" w:oddHBand="0" w:evenHBand="0" w:firstRowFirstColumn="0" w:firstRowLastColumn="0" w:lastRowFirstColumn="0" w:lastRowLastColumn="0"/>
              <w:rPr>
                <w:rFonts w:ascii="Times" w:hAnsi="Times"/>
                <w:sz w:val="20"/>
                <w:szCs w:val="20"/>
                <w:lang w:val="en-US"/>
              </w:rPr>
            </w:pPr>
          </w:p>
        </w:tc>
        <w:tc>
          <w:tcPr>
            <w:tcW w:w="1640" w:type="dxa"/>
            <w:noWrap/>
            <w:vAlign w:val="center"/>
            <w:hideMark/>
          </w:tcPr>
          <w:p w14:paraId="3CE6CE7E" w14:textId="77777777" w:rsidR="00E27DE1" w:rsidRPr="005C3D29" w:rsidRDefault="00E27DE1" w:rsidP="005C3D29">
            <w:pPr>
              <w:keepNext/>
              <w:jc w:val="right"/>
              <w:cnfStyle w:val="000000000000" w:firstRow="0" w:lastRow="0" w:firstColumn="0" w:lastColumn="0" w:oddVBand="0" w:evenVBand="0" w:oddHBand="0" w:evenHBand="0" w:firstRowFirstColumn="0" w:firstRowLastColumn="0" w:lastRowFirstColumn="0" w:lastRowLastColumn="0"/>
              <w:rPr>
                <w:rFonts w:ascii="Times" w:hAnsi="Times"/>
                <w:sz w:val="20"/>
                <w:szCs w:val="20"/>
                <w:lang w:val="en-US"/>
              </w:rPr>
            </w:pPr>
          </w:p>
        </w:tc>
      </w:tr>
      <w:tr w:rsidR="00E27DE1" w:rsidRPr="008D13CD" w14:paraId="4AFAD115" w14:textId="77777777" w:rsidTr="00121E5A">
        <w:trPr>
          <w:trHeight w:val="240"/>
        </w:trPr>
        <w:tc>
          <w:tcPr>
            <w:cnfStyle w:val="001000000000" w:firstRow="0" w:lastRow="0" w:firstColumn="1" w:lastColumn="0" w:oddVBand="0" w:evenVBand="0" w:oddHBand="0" w:evenHBand="0" w:firstRowFirstColumn="0" w:firstRowLastColumn="0" w:lastRowFirstColumn="0" w:lastRowLastColumn="0"/>
            <w:tcW w:w="4480" w:type="dxa"/>
            <w:noWrap/>
            <w:vAlign w:val="center"/>
            <w:hideMark/>
          </w:tcPr>
          <w:p w14:paraId="130EB8FB" w14:textId="457CDE23" w:rsidR="00E27DE1" w:rsidRPr="005C3D29" w:rsidRDefault="008C3C83" w:rsidP="005C3D29">
            <w:pPr>
              <w:keepNext/>
              <w:jc w:val="left"/>
              <w:rPr>
                <w:rFonts w:ascii="Times" w:hAnsi="Times"/>
                <w:b w:val="0"/>
                <w:color w:val="000000"/>
                <w:sz w:val="20"/>
                <w:szCs w:val="20"/>
                <w:lang w:val="en-US"/>
              </w:rPr>
            </w:pPr>
            <w:r w:rsidRPr="005C3D29">
              <w:rPr>
                <w:rFonts w:ascii="Times" w:hAnsi="Times"/>
                <w:b w:val="0"/>
                <w:color w:val="000000"/>
                <w:sz w:val="20"/>
                <w:szCs w:val="20"/>
                <w:lang w:val="en-US"/>
              </w:rPr>
              <w:t xml:space="preserve">       </w:t>
            </w:r>
            <w:r w:rsidR="00E27DE1" w:rsidRPr="005C3D29">
              <w:rPr>
                <w:rFonts w:ascii="Times" w:hAnsi="Times"/>
                <w:b w:val="0"/>
                <w:color w:val="000000"/>
                <w:sz w:val="20"/>
                <w:szCs w:val="20"/>
                <w:lang w:val="en-US"/>
              </w:rPr>
              <w:t xml:space="preserve">Conditional grants to </w:t>
            </w:r>
            <w:r w:rsidR="005C3D29">
              <w:rPr>
                <w:rFonts w:ascii="Times" w:hAnsi="Times"/>
                <w:b w:val="0"/>
                <w:color w:val="000000"/>
                <w:sz w:val="20"/>
                <w:szCs w:val="20"/>
                <w:lang w:val="en-US"/>
              </w:rPr>
              <w:t>p</w:t>
            </w:r>
            <w:r w:rsidR="00E27DE1" w:rsidRPr="005C3D29">
              <w:rPr>
                <w:rFonts w:ascii="Times" w:hAnsi="Times"/>
                <w:b w:val="0"/>
                <w:color w:val="000000"/>
                <w:sz w:val="20"/>
                <w:szCs w:val="20"/>
                <w:lang w:val="en-US"/>
              </w:rPr>
              <w:t>rovinces</w:t>
            </w:r>
          </w:p>
        </w:tc>
        <w:tc>
          <w:tcPr>
            <w:tcW w:w="1185" w:type="dxa"/>
            <w:noWrap/>
            <w:vAlign w:val="center"/>
            <w:hideMark/>
          </w:tcPr>
          <w:p w14:paraId="36DB2883" w14:textId="41D28B4F" w:rsidR="00E27DE1" w:rsidRPr="005C3D29" w:rsidRDefault="00E27DE1" w:rsidP="005C3D29">
            <w:pPr>
              <w:keepNext/>
              <w:jc w:val="right"/>
              <w:cnfStyle w:val="000000000000" w:firstRow="0" w:lastRow="0" w:firstColumn="0" w:lastColumn="0" w:oddVBand="0" w:evenVBand="0" w:oddHBand="0" w:evenHBand="0" w:firstRowFirstColumn="0" w:firstRowLastColumn="0" w:lastRowFirstColumn="0" w:lastRowLastColumn="0"/>
              <w:rPr>
                <w:rFonts w:ascii="Times" w:hAnsi="Times"/>
                <w:color w:val="000000"/>
                <w:sz w:val="20"/>
                <w:szCs w:val="20"/>
                <w:lang w:val="en-US"/>
              </w:rPr>
            </w:pPr>
            <w:r w:rsidRPr="005C3D29">
              <w:rPr>
                <w:rFonts w:ascii="Times" w:hAnsi="Times"/>
                <w:color w:val="000000"/>
                <w:sz w:val="20"/>
                <w:szCs w:val="20"/>
                <w:lang w:val="en-US"/>
              </w:rPr>
              <w:t>110</w:t>
            </w:r>
            <w:r w:rsidR="005C3D29">
              <w:rPr>
                <w:rFonts w:ascii="Times" w:hAnsi="Times"/>
                <w:color w:val="000000"/>
                <w:sz w:val="20"/>
                <w:szCs w:val="20"/>
                <w:lang w:val="en-US"/>
              </w:rPr>
              <w:t> </w:t>
            </w:r>
            <w:r w:rsidRPr="005C3D29">
              <w:rPr>
                <w:rFonts w:ascii="Times" w:hAnsi="Times"/>
                <w:color w:val="000000"/>
                <w:sz w:val="20"/>
                <w:szCs w:val="20"/>
                <w:lang w:val="en-US"/>
              </w:rPr>
              <w:t>784.8</w:t>
            </w:r>
          </w:p>
        </w:tc>
        <w:tc>
          <w:tcPr>
            <w:tcW w:w="1134" w:type="dxa"/>
            <w:noWrap/>
            <w:vAlign w:val="center"/>
            <w:hideMark/>
          </w:tcPr>
          <w:p w14:paraId="10ADED54" w14:textId="0129C185" w:rsidR="00E27DE1" w:rsidRPr="005C3D29" w:rsidRDefault="00E27DE1" w:rsidP="005C3D29">
            <w:pPr>
              <w:keepNext/>
              <w:jc w:val="right"/>
              <w:cnfStyle w:val="000000000000" w:firstRow="0" w:lastRow="0" w:firstColumn="0" w:lastColumn="0" w:oddVBand="0" w:evenVBand="0" w:oddHBand="0" w:evenHBand="0" w:firstRowFirstColumn="0" w:firstRowLastColumn="0" w:lastRowFirstColumn="0" w:lastRowLastColumn="0"/>
              <w:rPr>
                <w:rFonts w:ascii="Times" w:hAnsi="Times"/>
                <w:color w:val="000000"/>
                <w:sz w:val="20"/>
                <w:szCs w:val="20"/>
                <w:lang w:val="en-US"/>
              </w:rPr>
            </w:pPr>
            <w:r w:rsidRPr="005C3D29">
              <w:rPr>
                <w:rFonts w:ascii="Times" w:hAnsi="Times"/>
                <w:color w:val="000000"/>
                <w:sz w:val="20"/>
                <w:szCs w:val="20"/>
                <w:lang w:val="en-US"/>
              </w:rPr>
              <w:t>117</w:t>
            </w:r>
            <w:r w:rsidR="005C3D29">
              <w:rPr>
                <w:rFonts w:ascii="Times" w:hAnsi="Times"/>
                <w:color w:val="000000"/>
                <w:sz w:val="20"/>
                <w:szCs w:val="20"/>
                <w:lang w:val="en-US"/>
              </w:rPr>
              <w:t xml:space="preserve"> </w:t>
            </w:r>
            <w:r w:rsidRPr="005C3D29">
              <w:rPr>
                <w:rFonts w:ascii="Times" w:hAnsi="Times"/>
                <w:color w:val="000000"/>
                <w:sz w:val="20"/>
                <w:szCs w:val="20"/>
                <w:lang w:val="en-US"/>
              </w:rPr>
              <w:t>961.5</w:t>
            </w:r>
          </w:p>
        </w:tc>
        <w:tc>
          <w:tcPr>
            <w:tcW w:w="1276" w:type="dxa"/>
            <w:noWrap/>
            <w:vAlign w:val="center"/>
            <w:hideMark/>
          </w:tcPr>
          <w:p w14:paraId="7B766AC8" w14:textId="0BB831D6" w:rsidR="00E27DE1" w:rsidRPr="005C3D29" w:rsidRDefault="00E27DE1" w:rsidP="005C3D29">
            <w:pPr>
              <w:keepNext/>
              <w:jc w:val="right"/>
              <w:cnfStyle w:val="000000000000" w:firstRow="0" w:lastRow="0" w:firstColumn="0" w:lastColumn="0" w:oddVBand="0" w:evenVBand="0" w:oddHBand="0" w:evenHBand="0" w:firstRowFirstColumn="0" w:firstRowLastColumn="0" w:lastRowFirstColumn="0" w:lastRowLastColumn="0"/>
              <w:rPr>
                <w:rFonts w:ascii="Times" w:hAnsi="Times"/>
                <w:color w:val="000000"/>
                <w:sz w:val="20"/>
                <w:szCs w:val="20"/>
                <w:lang w:val="en-US"/>
              </w:rPr>
            </w:pPr>
            <w:r w:rsidRPr="005C3D29">
              <w:rPr>
                <w:rFonts w:ascii="Times" w:hAnsi="Times"/>
                <w:color w:val="000000"/>
                <w:sz w:val="20"/>
                <w:szCs w:val="20"/>
                <w:lang w:val="en-US"/>
              </w:rPr>
              <w:t>123</w:t>
            </w:r>
            <w:r w:rsidR="005C3D29">
              <w:rPr>
                <w:rFonts w:ascii="Times" w:hAnsi="Times"/>
                <w:color w:val="000000"/>
                <w:sz w:val="20"/>
                <w:szCs w:val="20"/>
                <w:lang w:val="en-US"/>
              </w:rPr>
              <w:t xml:space="preserve"> </w:t>
            </w:r>
            <w:r w:rsidRPr="005C3D29">
              <w:rPr>
                <w:rFonts w:ascii="Times" w:hAnsi="Times"/>
                <w:color w:val="000000"/>
                <w:sz w:val="20"/>
                <w:szCs w:val="20"/>
                <w:lang w:val="en-US"/>
              </w:rPr>
              <w:t>136.7</w:t>
            </w:r>
          </w:p>
        </w:tc>
        <w:tc>
          <w:tcPr>
            <w:tcW w:w="1640" w:type="dxa"/>
            <w:noWrap/>
            <w:vAlign w:val="center"/>
            <w:hideMark/>
          </w:tcPr>
          <w:p w14:paraId="08EB6E80" w14:textId="5C87F55A" w:rsidR="00E27DE1" w:rsidRPr="005C3D29" w:rsidRDefault="00E27DE1" w:rsidP="005C3D29">
            <w:pPr>
              <w:keepNext/>
              <w:jc w:val="right"/>
              <w:cnfStyle w:val="000000000000" w:firstRow="0" w:lastRow="0" w:firstColumn="0" w:lastColumn="0" w:oddVBand="0" w:evenVBand="0" w:oddHBand="0" w:evenHBand="0" w:firstRowFirstColumn="0" w:firstRowLastColumn="0" w:lastRowFirstColumn="0" w:lastRowLastColumn="0"/>
              <w:rPr>
                <w:rFonts w:ascii="Times" w:hAnsi="Times"/>
                <w:color w:val="000000"/>
                <w:sz w:val="20"/>
                <w:szCs w:val="20"/>
                <w:lang w:val="en-US"/>
              </w:rPr>
            </w:pPr>
            <w:r w:rsidRPr="005C3D29">
              <w:rPr>
                <w:rFonts w:ascii="Times" w:hAnsi="Times"/>
                <w:color w:val="000000"/>
                <w:sz w:val="20"/>
                <w:szCs w:val="20"/>
                <w:lang w:val="en-US"/>
              </w:rPr>
              <w:t>351</w:t>
            </w:r>
            <w:r w:rsidR="005C3D29">
              <w:rPr>
                <w:rFonts w:ascii="Times" w:hAnsi="Times"/>
                <w:color w:val="000000"/>
                <w:sz w:val="20"/>
                <w:szCs w:val="20"/>
                <w:lang w:val="en-US"/>
              </w:rPr>
              <w:t xml:space="preserve"> </w:t>
            </w:r>
            <w:r w:rsidRPr="005C3D29">
              <w:rPr>
                <w:rFonts w:ascii="Times" w:hAnsi="Times"/>
                <w:color w:val="000000"/>
                <w:sz w:val="20"/>
                <w:szCs w:val="20"/>
                <w:lang w:val="en-US"/>
              </w:rPr>
              <w:t>883.0</w:t>
            </w:r>
          </w:p>
        </w:tc>
      </w:tr>
      <w:tr w:rsidR="00E27DE1" w:rsidRPr="008D13CD" w14:paraId="7F3A3172" w14:textId="77777777" w:rsidTr="00121E5A">
        <w:trPr>
          <w:trHeight w:val="240"/>
        </w:trPr>
        <w:tc>
          <w:tcPr>
            <w:cnfStyle w:val="001000000000" w:firstRow="0" w:lastRow="0" w:firstColumn="1" w:lastColumn="0" w:oddVBand="0" w:evenVBand="0" w:oddHBand="0" w:evenHBand="0" w:firstRowFirstColumn="0" w:firstRowLastColumn="0" w:lastRowFirstColumn="0" w:lastRowLastColumn="0"/>
            <w:tcW w:w="4480" w:type="dxa"/>
            <w:noWrap/>
            <w:vAlign w:val="center"/>
            <w:hideMark/>
          </w:tcPr>
          <w:p w14:paraId="1333EF65" w14:textId="7F0D3816" w:rsidR="00E27DE1" w:rsidRPr="005C3D29" w:rsidRDefault="008C3C83" w:rsidP="005C3D29">
            <w:pPr>
              <w:keepNext/>
              <w:jc w:val="left"/>
              <w:rPr>
                <w:rFonts w:ascii="Times" w:hAnsi="Times"/>
                <w:b w:val="0"/>
                <w:color w:val="000000"/>
                <w:sz w:val="20"/>
                <w:szCs w:val="20"/>
                <w:lang w:val="en-US"/>
              </w:rPr>
            </w:pPr>
            <w:r w:rsidRPr="005C3D29">
              <w:rPr>
                <w:rFonts w:ascii="Times" w:hAnsi="Times"/>
                <w:b w:val="0"/>
                <w:color w:val="000000"/>
                <w:sz w:val="20"/>
                <w:szCs w:val="20"/>
                <w:lang w:val="en-US"/>
              </w:rPr>
              <w:t xml:space="preserve">       </w:t>
            </w:r>
            <w:r w:rsidR="00E27DE1" w:rsidRPr="005C3D29">
              <w:rPr>
                <w:rFonts w:ascii="Times" w:hAnsi="Times"/>
                <w:b w:val="0"/>
                <w:color w:val="000000"/>
                <w:sz w:val="20"/>
                <w:szCs w:val="20"/>
                <w:lang w:val="en-US"/>
              </w:rPr>
              <w:t xml:space="preserve">Conditional grants to </w:t>
            </w:r>
            <w:r w:rsidR="005C3D29">
              <w:rPr>
                <w:rFonts w:ascii="Times" w:hAnsi="Times"/>
                <w:b w:val="0"/>
                <w:color w:val="000000"/>
                <w:sz w:val="20"/>
                <w:szCs w:val="20"/>
                <w:lang w:val="en-US"/>
              </w:rPr>
              <w:t>m</w:t>
            </w:r>
            <w:r w:rsidR="00E27DE1" w:rsidRPr="005C3D29">
              <w:rPr>
                <w:rFonts w:ascii="Times" w:hAnsi="Times"/>
                <w:b w:val="0"/>
                <w:color w:val="000000"/>
                <w:sz w:val="20"/>
                <w:szCs w:val="20"/>
                <w:lang w:val="en-US"/>
              </w:rPr>
              <w:t>unicipalities</w:t>
            </w:r>
          </w:p>
        </w:tc>
        <w:tc>
          <w:tcPr>
            <w:tcW w:w="1185" w:type="dxa"/>
            <w:noWrap/>
            <w:vAlign w:val="center"/>
            <w:hideMark/>
          </w:tcPr>
          <w:p w14:paraId="4A73A439" w14:textId="6F478866" w:rsidR="00E27DE1" w:rsidRPr="005C3D29" w:rsidRDefault="00E27DE1" w:rsidP="005C3D29">
            <w:pPr>
              <w:keepNext/>
              <w:jc w:val="right"/>
              <w:cnfStyle w:val="000000000000" w:firstRow="0" w:lastRow="0" w:firstColumn="0" w:lastColumn="0" w:oddVBand="0" w:evenVBand="0" w:oddHBand="0" w:evenHBand="0" w:firstRowFirstColumn="0" w:firstRowLastColumn="0" w:lastRowFirstColumn="0" w:lastRowLastColumn="0"/>
              <w:rPr>
                <w:rFonts w:ascii="Times" w:hAnsi="Times"/>
                <w:color w:val="000000"/>
                <w:sz w:val="20"/>
                <w:szCs w:val="20"/>
                <w:lang w:val="en-US"/>
              </w:rPr>
            </w:pPr>
            <w:r w:rsidRPr="005C3D29">
              <w:rPr>
                <w:rFonts w:ascii="Times" w:hAnsi="Times"/>
                <w:color w:val="000000"/>
                <w:sz w:val="20"/>
                <w:szCs w:val="20"/>
                <w:lang w:val="en-US"/>
              </w:rPr>
              <w:t>43</w:t>
            </w:r>
            <w:r w:rsidR="005C3D29">
              <w:rPr>
                <w:rFonts w:ascii="Times" w:hAnsi="Times"/>
                <w:color w:val="000000"/>
                <w:sz w:val="20"/>
                <w:szCs w:val="20"/>
                <w:lang w:val="en-US"/>
              </w:rPr>
              <w:t> </w:t>
            </w:r>
            <w:r w:rsidRPr="005C3D29">
              <w:rPr>
                <w:rFonts w:ascii="Times" w:hAnsi="Times"/>
                <w:color w:val="000000"/>
                <w:sz w:val="20"/>
                <w:szCs w:val="20"/>
                <w:lang w:val="en-US"/>
              </w:rPr>
              <w:t>818.6</w:t>
            </w:r>
          </w:p>
        </w:tc>
        <w:tc>
          <w:tcPr>
            <w:tcW w:w="1134" w:type="dxa"/>
            <w:noWrap/>
            <w:vAlign w:val="center"/>
            <w:hideMark/>
          </w:tcPr>
          <w:p w14:paraId="516FF0D4" w14:textId="3230253D" w:rsidR="00E27DE1" w:rsidRPr="005C3D29" w:rsidRDefault="00E27DE1" w:rsidP="005C3D29">
            <w:pPr>
              <w:keepNext/>
              <w:jc w:val="right"/>
              <w:cnfStyle w:val="000000000000" w:firstRow="0" w:lastRow="0" w:firstColumn="0" w:lastColumn="0" w:oddVBand="0" w:evenVBand="0" w:oddHBand="0" w:evenHBand="0" w:firstRowFirstColumn="0" w:firstRowLastColumn="0" w:lastRowFirstColumn="0" w:lastRowLastColumn="0"/>
              <w:rPr>
                <w:rFonts w:ascii="Times" w:hAnsi="Times"/>
                <w:color w:val="000000"/>
                <w:sz w:val="20"/>
                <w:szCs w:val="20"/>
                <w:lang w:val="en-US"/>
              </w:rPr>
            </w:pPr>
            <w:r w:rsidRPr="005C3D29">
              <w:rPr>
                <w:rFonts w:ascii="Times" w:hAnsi="Times"/>
                <w:color w:val="000000"/>
                <w:sz w:val="20"/>
                <w:szCs w:val="20"/>
                <w:lang w:val="en-US"/>
              </w:rPr>
              <w:t>46</w:t>
            </w:r>
            <w:r w:rsidR="005C3D29">
              <w:rPr>
                <w:rFonts w:ascii="Times" w:hAnsi="Times"/>
                <w:color w:val="000000"/>
                <w:sz w:val="20"/>
                <w:szCs w:val="20"/>
                <w:lang w:val="en-US"/>
              </w:rPr>
              <w:t xml:space="preserve"> </w:t>
            </w:r>
            <w:r w:rsidRPr="005C3D29">
              <w:rPr>
                <w:rFonts w:ascii="Times" w:hAnsi="Times"/>
                <w:color w:val="000000"/>
                <w:sz w:val="20"/>
                <w:szCs w:val="20"/>
                <w:lang w:val="en-US"/>
              </w:rPr>
              <w:t>197.7</w:t>
            </w:r>
          </w:p>
        </w:tc>
        <w:tc>
          <w:tcPr>
            <w:tcW w:w="1276" w:type="dxa"/>
            <w:noWrap/>
            <w:vAlign w:val="center"/>
            <w:hideMark/>
          </w:tcPr>
          <w:p w14:paraId="4E76D1DA" w14:textId="42975349" w:rsidR="00E27DE1" w:rsidRPr="005C3D29" w:rsidRDefault="00E27DE1" w:rsidP="005C3D29">
            <w:pPr>
              <w:keepNext/>
              <w:jc w:val="right"/>
              <w:cnfStyle w:val="000000000000" w:firstRow="0" w:lastRow="0" w:firstColumn="0" w:lastColumn="0" w:oddVBand="0" w:evenVBand="0" w:oddHBand="0" w:evenHBand="0" w:firstRowFirstColumn="0" w:firstRowLastColumn="0" w:lastRowFirstColumn="0" w:lastRowLastColumn="0"/>
              <w:rPr>
                <w:rFonts w:ascii="Times" w:hAnsi="Times"/>
                <w:color w:val="000000"/>
                <w:sz w:val="20"/>
                <w:szCs w:val="20"/>
                <w:lang w:val="en-US"/>
              </w:rPr>
            </w:pPr>
            <w:r w:rsidRPr="005C3D29">
              <w:rPr>
                <w:rFonts w:ascii="Times" w:hAnsi="Times"/>
                <w:color w:val="000000"/>
                <w:sz w:val="20"/>
                <w:szCs w:val="20"/>
                <w:lang w:val="en-US"/>
              </w:rPr>
              <w:t>48</w:t>
            </w:r>
            <w:r w:rsidR="005C3D29">
              <w:rPr>
                <w:rFonts w:ascii="Times" w:hAnsi="Times"/>
                <w:color w:val="000000"/>
                <w:sz w:val="20"/>
                <w:szCs w:val="20"/>
                <w:lang w:val="en-US"/>
              </w:rPr>
              <w:t xml:space="preserve"> </w:t>
            </w:r>
            <w:r w:rsidRPr="005C3D29">
              <w:rPr>
                <w:rFonts w:ascii="Times" w:hAnsi="Times"/>
                <w:color w:val="000000"/>
                <w:sz w:val="20"/>
                <w:szCs w:val="20"/>
                <w:lang w:val="en-US"/>
              </w:rPr>
              <w:t>147.1</w:t>
            </w:r>
          </w:p>
        </w:tc>
        <w:tc>
          <w:tcPr>
            <w:tcW w:w="1640" w:type="dxa"/>
            <w:noWrap/>
            <w:vAlign w:val="center"/>
            <w:hideMark/>
          </w:tcPr>
          <w:p w14:paraId="3F5D740F" w14:textId="698FDF8E" w:rsidR="00E27DE1" w:rsidRPr="005C3D29" w:rsidRDefault="00E27DE1" w:rsidP="005C3D29">
            <w:pPr>
              <w:keepNext/>
              <w:jc w:val="right"/>
              <w:cnfStyle w:val="000000000000" w:firstRow="0" w:lastRow="0" w:firstColumn="0" w:lastColumn="0" w:oddVBand="0" w:evenVBand="0" w:oddHBand="0" w:evenHBand="0" w:firstRowFirstColumn="0" w:firstRowLastColumn="0" w:lastRowFirstColumn="0" w:lastRowLastColumn="0"/>
              <w:rPr>
                <w:rFonts w:ascii="Times" w:hAnsi="Times"/>
                <w:color w:val="000000"/>
                <w:sz w:val="20"/>
                <w:szCs w:val="20"/>
                <w:lang w:val="en-US"/>
              </w:rPr>
            </w:pPr>
            <w:r w:rsidRPr="005C3D29">
              <w:rPr>
                <w:rFonts w:ascii="Times" w:hAnsi="Times"/>
                <w:color w:val="000000"/>
                <w:sz w:val="20"/>
                <w:szCs w:val="20"/>
                <w:lang w:val="en-US"/>
              </w:rPr>
              <w:t>138</w:t>
            </w:r>
            <w:r w:rsidR="005C3D29">
              <w:rPr>
                <w:rFonts w:ascii="Times" w:hAnsi="Times"/>
                <w:color w:val="000000"/>
                <w:sz w:val="20"/>
                <w:szCs w:val="20"/>
                <w:lang w:val="en-US"/>
              </w:rPr>
              <w:t xml:space="preserve"> </w:t>
            </w:r>
            <w:r w:rsidRPr="005C3D29">
              <w:rPr>
                <w:rFonts w:ascii="Times" w:hAnsi="Times"/>
                <w:color w:val="000000"/>
                <w:sz w:val="20"/>
                <w:szCs w:val="20"/>
                <w:lang w:val="en-US"/>
              </w:rPr>
              <w:t>163.4</w:t>
            </w:r>
          </w:p>
        </w:tc>
      </w:tr>
    </w:tbl>
    <w:p w14:paraId="7687E5FC" w14:textId="77777777" w:rsidR="008C3C83" w:rsidRPr="006E55A9" w:rsidRDefault="008C3C83" w:rsidP="006E55A9">
      <w:pPr>
        <w:keepNext/>
        <w:spacing w:line="240" w:lineRule="auto"/>
        <w:rPr>
          <w:i/>
          <w:iCs/>
          <w:sz w:val="20"/>
          <w:szCs w:val="18"/>
        </w:rPr>
      </w:pPr>
      <w:r w:rsidRPr="006E55A9">
        <w:rPr>
          <w:i/>
          <w:iCs/>
          <w:sz w:val="20"/>
          <w:szCs w:val="18"/>
        </w:rPr>
        <w:t>Source: ENE 2020 data</w:t>
      </w:r>
    </w:p>
    <w:p w14:paraId="568EF340" w14:textId="77777777" w:rsidR="00E27DE1" w:rsidRDefault="00E27DE1" w:rsidP="00E27DE1">
      <w:pPr>
        <w:rPr>
          <w:rFonts w:ascii="Times" w:hAnsi="Times"/>
        </w:rPr>
      </w:pPr>
    </w:p>
    <w:p w14:paraId="4516BE15" w14:textId="3BC48B3E" w:rsidR="00E27DE1" w:rsidRPr="003F01F8" w:rsidRDefault="00E27DE1" w:rsidP="00FB6890">
      <w:pPr>
        <w:pStyle w:val="Heading2"/>
      </w:pPr>
      <w:bookmarkStart w:id="87" w:name="_Toc42211919"/>
      <w:r w:rsidRPr="003F01F8">
        <w:t xml:space="preserve">Reprioritisation by </w:t>
      </w:r>
      <w:r w:rsidR="00121E5A">
        <w:t>n</w:t>
      </w:r>
      <w:r w:rsidRPr="003F01F8">
        <w:t xml:space="preserve">ational </w:t>
      </w:r>
      <w:r w:rsidR="00121E5A">
        <w:t>d</w:t>
      </w:r>
      <w:r w:rsidRPr="003F01F8">
        <w:t>epartment</w:t>
      </w:r>
      <w:r w:rsidR="00121E5A">
        <w:t>s</w:t>
      </w:r>
      <w:bookmarkEnd w:id="87"/>
    </w:p>
    <w:p w14:paraId="148711AF" w14:textId="699D6AF5" w:rsidR="00E27DE1" w:rsidRDefault="00E27DE1" w:rsidP="00E27DE1">
      <w:r>
        <w:t>In the first instance departments can be divided into those that are essential to, and at the forefront of fighting Covid-19 and providing social relief, especially to the poor and vulnerable. This automatically prioritises departments such as health, social development, water and sanitation. In terms of assisting with the effects of Covid</w:t>
      </w:r>
      <w:r w:rsidR="00FE635A">
        <w:t>-19</w:t>
      </w:r>
      <w:r>
        <w:t xml:space="preserve"> and the lockdown, other departments such as police and defence are important in ensuring compliance with lockdown regulations. Then there are departments that are essential to </w:t>
      </w:r>
      <w:r w:rsidR="00620354">
        <w:t>propping up</w:t>
      </w:r>
      <w:r>
        <w:t xml:space="preserve"> the economy – departments like transport,</w:t>
      </w:r>
      <w:r w:rsidR="00620354" w:rsidRPr="00620354">
        <w:t xml:space="preserve"> </w:t>
      </w:r>
      <w:r w:rsidR="00620354">
        <w:t>small business development,</w:t>
      </w:r>
      <w:r>
        <w:t xml:space="preserve"> energy</w:t>
      </w:r>
      <w:r w:rsidR="00FF4CA7">
        <w:t xml:space="preserve"> and</w:t>
      </w:r>
      <w:r>
        <w:t xml:space="preserve"> agriculture. There are departments that are priority departments due to the changing nature of the world we live in</w:t>
      </w:r>
      <w:r w:rsidR="00FE635A">
        <w:t>, such as</w:t>
      </w:r>
      <w:r>
        <w:t xml:space="preserve"> departments </w:t>
      </w:r>
      <w:r w:rsidR="00FE635A">
        <w:t>of</w:t>
      </w:r>
      <w:r>
        <w:t xml:space="preserve"> Communication and Digital Technologies, Statistics South Africa and Science and Innovation. So the first step </w:t>
      </w:r>
      <w:r w:rsidR="002B0D6D">
        <w:t xml:space="preserve">will </w:t>
      </w:r>
      <w:r>
        <w:t xml:space="preserve">be for government to determine departments that are priority relative to </w:t>
      </w:r>
      <w:r w:rsidR="00896251">
        <w:t xml:space="preserve">other </w:t>
      </w:r>
      <w:r>
        <w:t>departments, who</w:t>
      </w:r>
      <w:r w:rsidR="002B0D6D">
        <w:t>,</w:t>
      </w:r>
      <w:r>
        <w:t xml:space="preserve"> at this time, can be considered non-essential. An example of a department that would not be considered priority is the Department of Sports, Arts and Culture </w:t>
      </w:r>
      <w:r w:rsidR="002B0D6D">
        <w:t>since</w:t>
      </w:r>
      <w:r>
        <w:t>, due to t</w:t>
      </w:r>
      <w:r w:rsidRPr="000D33E4">
        <w:t>he requirement</w:t>
      </w:r>
      <w:r>
        <w:t>s around</w:t>
      </w:r>
      <w:r w:rsidRPr="000D33E4">
        <w:t xml:space="preserve"> social distancing</w:t>
      </w:r>
      <w:r w:rsidR="002B0D6D">
        <w:t>,</w:t>
      </w:r>
      <w:r w:rsidRPr="000D33E4">
        <w:t xml:space="preserve"> </w:t>
      </w:r>
      <w:r>
        <w:t>there will be</w:t>
      </w:r>
      <w:r w:rsidRPr="000D33E4">
        <w:t xml:space="preserve"> limit</w:t>
      </w:r>
      <w:r>
        <w:t xml:space="preserve">s on </w:t>
      </w:r>
      <w:r w:rsidRPr="000D33E4">
        <w:t>participation in team sports and visiting cultural places</w:t>
      </w:r>
      <w:r>
        <w:t xml:space="preserve"> which is related to the core mandate of this department</w:t>
      </w:r>
      <w:r w:rsidRPr="000D33E4">
        <w:t xml:space="preserve">. </w:t>
      </w:r>
      <w:r>
        <w:t xml:space="preserve">The non-essential departments should then be subjected to more aggressive reprioritisation relative to their more essential counterparts. </w:t>
      </w:r>
      <w:r w:rsidR="002B0D6D">
        <w:t>E</w:t>
      </w:r>
      <w:r>
        <w:t xml:space="preserve">ven within priority/essential departments, there may be room for reducing allocations. For example, the </w:t>
      </w:r>
      <w:r w:rsidR="002B0D6D">
        <w:t>D</w:t>
      </w:r>
      <w:r>
        <w:t xml:space="preserve">epartment of </w:t>
      </w:r>
      <w:r w:rsidR="002B0D6D">
        <w:t>P</w:t>
      </w:r>
      <w:r>
        <w:t xml:space="preserve">lanning, </w:t>
      </w:r>
      <w:r w:rsidR="002B0D6D">
        <w:t>M</w:t>
      </w:r>
      <w:r>
        <w:t xml:space="preserve">onitoring and </w:t>
      </w:r>
      <w:r w:rsidR="002B0D6D">
        <w:t>E</w:t>
      </w:r>
      <w:r>
        <w:t xml:space="preserve">valuation should play a central role in assisting with coordination and innovative planning across the three spheres to ensure more effective allocation of resources during this extraordinary time. However, an assessment of this department’s spending performance shows an average trend of underspending (average of 93% of budget spent – see </w:t>
      </w:r>
      <w:r w:rsidR="002B0D6D" w:rsidRPr="002B0D6D">
        <w:rPr>
          <w:color w:val="000000" w:themeColor="text1"/>
        </w:rPr>
        <w:fldChar w:fldCharType="begin"/>
      </w:r>
      <w:r w:rsidR="002B0D6D" w:rsidRPr="002B0D6D">
        <w:rPr>
          <w:color w:val="000000" w:themeColor="text1"/>
        </w:rPr>
        <w:instrText xml:space="preserve"> REF _Ref41134109 \h </w:instrText>
      </w:r>
      <w:r w:rsidR="002B0D6D" w:rsidRPr="002B0D6D">
        <w:rPr>
          <w:color w:val="000000" w:themeColor="text1"/>
        </w:rPr>
      </w:r>
      <w:r w:rsidR="002B0D6D" w:rsidRPr="002B0D6D">
        <w:rPr>
          <w:color w:val="000000" w:themeColor="text1"/>
        </w:rPr>
        <w:fldChar w:fldCharType="separate"/>
      </w:r>
      <w:r w:rsidR="002B0D6D" w:rsidRPr="002B0D6D">
        <w:rPr>
          <w:color w:val="000000" w:themeColor="text1"/>
          <w:szCs w:val="24"/>
        </w:rPr>
        <w:t xml:space="preserve">Table </w:t>
      </w:r>
      <w:r w:rsidR="002B0D6D" w:rsidRPr="002B0D6D">
        <w:rPr>
          <w:noProof/>
          <w:color w:val="000000" w:themeColor="text1"/>
          <w:szCs w:val="24"/>
        </w:rPr>
        <w:t>11</w:t>
      </w:r>
      <w:r w:rsidR="002B0D6D" w:rsidRPr="002B0D6D">
        <w:rPr>
          <w:color w:val="000000" w:themeColor="text1"/>
        </w:rPr>
        <w:fldChar w:fldCharType="end"/>
      </w:r>
      <w:r w:rsidR="002B0D6D">
        <w:t>)</w:t>
      </w:r>
      <w:r>
        <w:t xml:space="preserve"> over the period 2016/17 to 2019/20. Thus, despite the centrality of this department, ther</w:t>
      </w:r>
      <w:r w:rsidR="00620354">
        <w:t>e is space for reprioritisation,</w:t>
      </w:r>
      <w:r w:rsidR="00620354" w:rsidRPr="00620354">
        <w:t xml:space="preserve"> </w:t>
      </w:r>
      <w:r w:rsidR="00620354">
        <w:t xml:space="preserve">and even for focus on its programmes that may be central or not. </w:t>
      </w:r>
      <w:r w:rsidR="002D39CB">
        <w:t xml:space="preserve"> </w:t>
      </w:r>
    </w:p>
    <w:p w14:paraId="571D2F3D" w14:textId="77777777" w:rsidR="00620354" w:rsidRDefault="00620354" w:rsidP="00E27DE1"/>
    <w:p w14:paraId="4FA82080" w14:textId="1DE34600" w:rsidR="00E27DE1" w:rsidRPr="002B0D6D" w:rsidRDefault="002B0D6D" w:rsidP="006142F1">
      <w:pPr>
        <w:pStyle w:val="Caption"/>
        <w:keepNext/>
        <w:spacing w:after="60" w:line="240" w:lineRule="auto"/>
        <w:rPr>
          <w:color w:val="004C45" w:themeColor="text2"/>
          <w:sz w:val="24"/>
          <w:szCs w:val="24"/>
        </w:rPr>
      </w:pPr>
      <w:bookmarkStart w:id="88" w:name="_Ref41134109"/>
      <w:bookmarkStart w:id="89" w:name="_Toc42212140"/>
      <w:r w:rsidRPr="002B0D6D">
        <w:rPr>
          <w:color w:val="004C45" w:themeColor="text2"/>
          <w:sz w:val="24"/>
          <w:szCs w:val="24"/>
        </w:rPr>
        <w:t xml:space="preserve">Table </w:t>
      </w:r>
      <w:r w:rsidRPr="002B0D6D">
        <w:rPr>
          <w:color w:val="004C45" w:themeColor="text2"/>
          <w:sz w:val="24"/>
          <w:szCs w:val="24"/>
        </w:rPr>
        <w:fldChar w:fldCharType="begin"/>
      </w:r>
      <w:r w:rsidRPr="002B0D6D">
        <w:rPr>
          <w:color w:val="004C45" w:themeColor="text2"/>
          <w:sz w:val="24"/>
          <w:szCs w:val="24"/>
        </w:rPr>
        <w:instrText xml:space="preserve"> SEQ Table \* ARABIC </w:instrText>
      </w:r>
      <w:r w:rsidRPr="002B0D6D">
        <w:rPr>
          <w:color w:val="004C45" w:themeColor="text2"/>
          <w:sz w:val="24"/>
          <w:szCs w:val="24"/>
        </w:rPr>
        <w:fldChar w:fldCharType="separate"/>
      </w:r>
      <w:r w:rsidR="00492893">
        <w:rPr>
          <w:noProof/>
          <w:color w:val="004C45" w:themeColor="text2"/>
          <w:sz w:val="24"/>
          <w:szCs w:val="24"/>
        </w:rPr>
        <w:t>12</w:t>
      </w:r>
      <w:r w:rsidRPr="002B0D6D">
        <w:rPr>
          <w:color w:val="004C45" w:themeColor="text2"/>
          <w:sz w:val="24"/>
          <w:szCs w:val="24"/>
        </w:rPr>
        <w:fldChar w:fldCharType="end"/>
      </w:r>
      <w:bookmarkEnd w:id="88"/>
      <w:r w:rsidRPr="002B0D6D">
        <w:rPr>
          <w:color w:val="004C45" w:themeColor="text2"/>
          <w:sz w:val="24"/>
          <w:szCs w:val="24"/>
        </w:rPr>
        <w:t>: Average spending performance of national departments</w:t>
      </w:r>
      <w:bookmarkEnd w:id="89"/>
    </w:p>
    <w:tbl>
      <w:tblPr>
        <w:tblStyle w:val="GridTable1Light-Accent31"/>
        <w:tblW w:w="9634" w:type="dxa"/>
        <w:tblLook w:val="04A0" w:firstRow="1" w:lastRow="0" w:firstColumn="1" w:lastColumn="0" w:noHBand="0" w:noVBand="1"/>
      </w:tblPr>
      <w:tblGrid>
        <w:gridCol w:w="3681"/>
        <w:gridCol w:w="1276"/>
        <w:gridCol w:w="283"/>
        <w:gridCol w:w="3119"/>
        <w:gridCol w:w="1275"/>
      </w:tblGrid>
      <w:tr w:rsidR="00E27DE1" w:rsidRPr="00AD6B55" w14:paraId="21D3ED95" w14:textId="77777777" w:rsidTr="0029322E">
        <w:trPr>
          <w:cnfStyle w:val="100000000000" w:firstRow="1" w:lastRow="0" w:firstColumn="0" w:lastColumn="0" w:oddVBand="0" w:evenVBand="0" w:oddHBand="0" w:evenHBand="0" w:firstRowFirstColumn="0" w:firstRowLastColumn="0" w:lastRowFirstColumn="0" w:lastRowLastColumn="0"/>
          <w:trHeight w:val="204"/>
        </w:trPr>
        <w:tc>
          <w:tcPr>
            <w:cnfStyle w:val="001000000000" w:firstRow="0" w:lastRow="0" w:firstColumn="1" w:lastColumn="0" w:oddVBand="0" w:evenVBand="0" w:oddHBand="0" w:evenHBand="0" w:firstRowFirstColumn="0" w:firstRowLastColumn="0" w:lastRowFirstColumn="0" w:lastRowLastColumn="0"/>
            <w:tcW w:w="3681" w:type="dxa"/>
            <w:vMerge w:val="restart"/>
            <w:hideMark/>
          </w:tcPr>
          <w:p w14:paraId="7FF3A2DE" w14:textId="77777777" w:rsidR="00E27DE1" w:rsidRPr="00AD6B55" w:rsidRDefault="00E27DE1" w:rsidP="002B0D6D">
            <w:pPr>
              <w:keepNext/>
              <w:spacing w:line="240" w:lineRule="auto"/>
              <w:jc w:val="left"/>
              <w:rPr>
                <w:sz w:val="16"/>
                <w:szCs w:val="16"/>
                <w:lang w:val="en-US"/>
              </w:rPr>
            </w:pPr>
            <w:r w:rsidRPr="00AD6B55">
              <w:rPr>
                <w:sz w:val="16"/>
                <w:szCs w:val="16"/>
                <w:lang w:val="en-US"/>
              </w:rPr>
              <w:t>Vote</w:t>
            </w:r>
          </w:p>
        </w:tc>
        <w:tc>
          <w:tcPr>
            <w:tcW w:w="1276" w:type="dxa"/>
            <w:vMerge w:val="restart"/>
            <w:hideMark/>
          </w:tcPr>
          <w:p w14:paraId="40BC0CB8" w14:textId="191C084D" w:rsidR="00E27DE1" w:rsidRPr="00AD6B55" w:rsidRDefault="00E27DE1" w:rsidP="002B0D6D">
            <w:pPr>
              <w:keepNext/>
              <w:spacing w:line="240" w:lineRule="auto"/>
              <w:jc w:val="center"/>
              <w:cnfStyle w:val="100000000000" w:firstRow="1" w:lastRow="0" w:firstColumn="0" w:lastColumn="0" w:oddVBand="0" w:evenVBand="0" w:oddHBand="0" w:evenHBand="0" w:firstRowFirstColumn="0" w:firstRowLastColumn="0" w:lastRowFirstColumn="0" w:lastRowLastColumn="0"/>
              <w:rPr>
                <w:color w:val="000000"/>
                <w:sz w:val="16"/>
                <w:szCs w:val="16"/>
                <w:lang w:val="en-US"/>
              </w:rPr>
            </w:pPr>
            <w:r w:rsidRPr="00AD6B55">
              <w:rPr>
                <w:color w:val="000000"/>
                <w:sz w:val="16"/>
                <w:szCs w:val="16"/>
                <w:lang w:val="en-US"/>
              </w:rPr>
              <w:t xml:space="preserve">Average spending over the period </w:t>
            </w:r>
            <w:r w:rsidR="0029322E">
              <w:rPr>
                <w:color w:val="000000"/>
                <w:sz w:val="16"/>
                <w:szCs w:val="16"/>
                <w:lang w:val="en-US"/>
              </w:rPr>
              <w:t>20</w:t>
            </w:r>
            <w:r w:rsidRPr="00AD6B55">
              <w:rPr>
                <w:color w:val="000000"/>
                <w:sz w:val="16"/>
                <w:szCs w:val="16"/>
                <w:lang w:val="en-US"/>
              </w:rPr>
              <w:t>16/17-</w:t>
            </w:r>
            <w:r w:rsidR="0029322E">
              <w:rPr>
                <w:color w:val="000000"/>
                <w:sz w:val="16"/>
                <w:szCs w:val="16"/>
                <w:lang w:val="en-US"/>
              </w:rPr>
              <w:br/>
              <w:t>20</w:t>
            </w:r>
            <w:r w:rsidRPr="00AD6B55">
              <w:rPr>
                <w:color w:val="000000"/>
                <w:sz w:val="16"/>
                <w:szCs w:val="16"/>
                <w:lang w:val="en-US"/>
              </w:rPr>
              <w:t>19/20</w:t>
            </w:r>
          </w:p>
        </w:tc>
        <w:tc>
          <w:tcPr>
            <w:tcW w:w="283" w:type="dxa"/>
            <w:shd w:val="clear" w:color="auto" w:fill="D6E3BC" w:themeFill="accent3" w:themeFillTint="66"/>
            <w:noWrap/>
            <w:hideMark/>
          </w:tcPr>
          <w:p w14:paraId="0940C23E" w14:textId="77777777" w:rsidR="00E27DE1" w:rsidRPr="00AD6B55" w:rsidRDefault="00E27DE1" w:rsidP="002B0D6D">
            <w:pPr>
              <w:keepNext/>
              <w:spacing w:line="240" w:lineRule="auto"/>
              <w:jc w:val="left"/>
              <w:cnfStyle w:val="100000000000" w:firstRow="1" w:lastRow="0" w:firstColumn="0" w:lastColumn="0" w:oddVBand="0" w:evenVBand="0" w:oddHBand="0" w:evenHBand="0" w:firstRowFirstColumn="0" w:firstRowLastColumn="0" w:lastRowFirstColumn="0" w:lastRowLastColumn="0"/>
              <w:rPr>
                <w:color w:val="000000"/>
                <w:sz w:val="16"/>
                <w:szCs w:val="16"/>
                <w:lang w:val="en-US"/>
              </w:rPr>
            </w:pPr>
          </w:p>
        </w:tc>
        <w:tc>
          <w:tcPr>
            <w:tcW w:w="3119" w:type="dxa"/>
            <w:vMerge w:val="restart"/>
            <w:hideMark/>
          </w:tcPr>
          <w:p w14:paraId="14687E5F" w14:textId="77777777" w:rsidR="00E27DE1" w:rsidRPr="00AD6B55" w:rsidRDefault="00E27DE1" w:rsidP="002B0D6D">
            <w:pPr>
              <w:keepNext/>
              <w:spacing w:line="240" w:lineRule="auto"/>
              <w:jc w:val="left"/>
              <w:cnfStyle w:val="100000000000" w:firstRow="1" w:lastRow="0" w:firstColumn="0" w:lastColumn="0" w:oddVBand="0" w:evenVBand="0" w:oddHBand="0" w:evenHBand="0" w:firstRowFirstColumn="0" w:firstRowLastColumn="0" w:lastRowFirstColumn="0" w:lastRowLastColumn="0"/>
              <w:rPr>
                <w:color w:val="000000"/>
                <w:sz w:val="16"/>
                <w:szCs w:val="16"/>
                <w:lang w:val="en-US"/>
              </w:rPr>
            </w:pPr>
            <w:r w:rsidRPr="00AD6B55">
              <w:rPr>
                <w:color w:val="000000"/>
                <w:sz w:val="16"/>
                <w:szCs w:val="16"/>
                <w:lang w:val="en-US"/>
              </w:rPr>
              <w:t>Vote</w:t>
            </w:r>
          </w:p>
        </w:tc>
        <w:tc>
          <w:tcPr>
            <w:tcW w:w="1275" w:type="dxa"/>
            <w:vMerge w:val="restart"/>
            <w:hideMark/>
          </w:tcPr>
          <w:p w14:paraId="07C4BEAF" w14:textId="70D46B40" w:rsidR="00E27DE1" w:rsidRPr="00AD6B55" w:rsidRDefault="00E27DE1" w:rsidP="002B0D6D">
            <w:pPr>
              <w:keepNext/>
              <w:spacing w:line="240" w:lineRule="auto"/>
              <w:jc w:val="center"/>
              <w:cnfStyle w:val="100000000000" w:firstRow="1" w:lastRow="0" w:firstColumn="0" w:lastColumn="0" w:oddVBand="0" w:evenVBand="0" w:oddHBand="0" w:evenHBand="0" w:firstRowFirstColumn="0" w:firstRowLastColumn="0" w:lastRowFirstColumn="0" w:lastRowLastColumn="0"/>
              <w:rPr>
                <w:color w:val="000000"/>
                <w:sz w:val="16"/>
                <w:szCs w:val="16"/>
                <w:lang w:val="en-US"/>
              </w:rPr>
            </w:pPr>
            <w:r w:rsidRPr="00AD6B55">
              <w:rPr>
                <w:color w:val="000000"/>
                <w:sz w:val="16"/>
                <w:szCs w:val="16"/>
                <w:lang w:val="en-US"/>
              </w:rPr>
              <w:t xml:space="preserve">Average spending over the period </w:t>
            </w:r>
            <w:r w:rsidR="0029322E">
              <w:rPr>
                <w:color w:val="000000"/>
                <w:sz w:val="16"/>
                <w:szCs w:val="16"/>
                <w:lang w:val="en-US"/>
              </w:rPr>
              <w:t>20</w:t>
            </w:r>
            <w:r w:rsidRPr="00AD6B55">
              <w:rPr>
                <w:color w:val="000000"/>
                <w:sz w:val="16"/>
                <w:szCs w:val="16"/>
                <w:lang w:val="en-US"/>
              </w:rPr>
              <w:t>16/17-</w:t>
            </w:r>
            <w:r w:rsidR="0029322E">
              <w:rPr>
                <w:color w:val="000000"/>
                <w:sz w:val="16"/>
                <w:szCs w:val="16"/>
                <w:lang w:val="en-US"/>
              </w:rPr>
              <w:t>20</w:t>
            </w:r>
            <w:r w:rsidRPr="00AD6B55">
              <w:rPr>
                <w:color w:val="000000"/>
                <w:sz w:val="16"/>
                <w:szCs w:val="16"/>
                <w:lang w:val="en-US"/>
              </w:rPr>
              <w:t>19/20</w:t>
            </w:r>
          </w:p>
        </w:tc>
      </w:tr>
      <w:tr w:rsidR="00E27DE1" w:rsidRPr="00AD6B55" w14:paraId="37D6893E" w14:textId="77777777" w:rsidTr="0029322E">
        <w:trPr>
          <w:trHeight w:val="204"/>
        </w:trPr>
        <w:tc>
          <w:tcPr>
            <w:cnfStyle w:val="001000000000" w:firstRow="0" w:lastRow="0" w:firstColumn="1" w:lastColumn="0" w:oddVBand="0" w:evenVBand="0" w:oddHBand="0" w:evenHBand="0" w:firstRowFirstColumn="0" w:firstRowLastColumn="0" w:lastRowFirstColumn="0" w:lastRowLastColumn="0"/>
            <w:tcW w:w="3681" w:type="dxa"/>
            <w:vMerge/>
            <w:hideMark/>
          </w:tcPr>
          <w:p w14:paraId="5A4E34D6" w14:textId="77777777" w:rsidR="00E27DE1" w:rsidRPr="00AD6B55" w:rsidRDefault="00E27DE1" w:rsidP="002B0D6D">
            <w:pPr>
              <w:keepNext/>
              <w:spacing w:line="240" w:lineRule="auto"/>
              <w:jc w:val="left"/>
              <w:rPr>
                <w:sz w:val="16"/>
                <w:szCs w:val="16"/>
                <w:lang w:val="en-US"/>
              </w:rPr>
            </w:pPr>
          </w:p>
        </w:tc>
        <w:tc>
          <w:tcPr>
            <w:tcW w:w="1276" w:type="dxa"/>
            <w:vMerge/>
            <w:hideMark/>
          </w:tcPr>
          <w:p w14:paraId="054DC911" w14:textId="77777777" w:rsidR="00E27DE1" w:rsidRPr="00AD6B55" w:rsidRDefault="00E27DE1" w:rsidP="002B0D6D">
            <w:pPr>
              <w:keepNext/>
              <w:spacing w:line="240" w:lineRule="auto"/>
              <w:jc w:val="center"/>
              <w:cnfStyle w:val="000000000000" w:firstRow="0" w:lastRow="0" w:firstColumn="0" w:lastColumn="0" w:oddVBand="0" w:evenVBand="0" w:oddHBand="0" w:evenHBand="0" w:firstRowFirstColumn="0" w:firstRowLastColumn="0" w:lastRowFirstColumn="0" w:lastRowLastColumn="0"/>
              <w:rPr>
                <w:b/>
                <w:bCs/>
                <w:color w:val="000000"/>
                <w:sz w:val="16"/>
                <w:szCs w:val="16"/>
                <w:lang w:val="en-US"/>
              </w:rPr>
            </w:pPr>
          </w:p>
        </w:tc>
        <w:tc>
          <w:tcPr>
            <w:tcW w:w="283" w:type="dxa"/>
            <w:shd w:val="clear" w:color="auto" w:fill="D6E3BC" w:themeFill="accent3" w:themeFillTint="66"/>
            <w:noWrap/>
            <w:hideMark/>
          </w:tcPr>
          <w:p w14:paraId="1427440E" w14:textId="77777777" w:rsidR="00E27DE1" w:rsidRPr="00AD6B55" w:rsidRDefault="00E27DE1" w:rsidP="002B0D6D">
            <w:pPr>
              <w:keepNext/>
              <w:spacing w:line="240" w:lineRule="auto"/>
              <w:jc w:val="left"/>
              <w:cnfStyle w:val="000000000000" w:firstRow="0" w:lastRow="0" w:firstColumn="0" w:lastColumn="0" w:oddVBand="0" w:evenVBand="0" w:oddHBand="0" w:evenHBand="0" w:firstRowFirstColumn="0" w:firstRowLastColumn="0" w:lastRowFirstColumn="0" w:lastRowLastColumn="0"/>
              <w:rPr>
                <w:b/>
                <w:bCs/>
                <w:color w:val="000000"/>
                <w:sz w:val="16"/>
                <w:szCs w:val="16"/>
                <w:lang w:val="en-US"/>
              </w:rPr>
            </w:pPr>
          </w:p>
        </w:tc>
        <w:tc>
          <w:tcPr>
            <w:tcW w:w="3119" w:type="dxa"/>
            <w:vMerge/>
            <w:hideMark/>
          </w:tcPr>
          <w:p w14:paraId="416A8D60" w14:textId="77777777" w:rsidR="00E27DE1" w:rsidRPr="00AD6B55" w:rsidRDefault="00E27DE1" w:rsidP="002B0D6D">
            <w:pPr>
              <w:keepNext/>
              <w:spacing w:line="240" w:lineRule="auto"/>
              <w:jc w:val="left"/>
              <w:cnfStyle w:val="000000000000" w:firstRow="0" w:lastRow="0" w:firstColumn="0" w:lastColumn="0" w:oddVBand="0" w:evenVBand="0" w:oddHBand="0" w:evenHBand="0" w:firstRowFirstColumn="0" w:firstRowLastColumn="0" w:lastRowFirstColumn="0" w:lastRowLastColumn="0"/>
              <w:rPr>
                <w:b/>
                <w:bCs/>
                <w:color w:val="000000"/>
                <w:sz w:val="16"/>
                <w:szCs w:val="16"/>
                <w:lang w:val="en-US"/>
              </w:rPr>
            </w:pPr>
          </w:p>
        </w:tc>
        <w:tc>
          <w:tcPr>
            <w:tcW w:w="1275" w:type="dxa"/>
            <w:vMerge/>
            <w:hideMark/>
          </w:tcPr>
          <w:p w14:paraId="2FBE6FDF" w14:textId="77777777" w:rsidR="00E27DE1" w:rsidRPr="00AD6B55" w:rsidRDefault="00E27DE1" w:rsidP="002B0D6D">
            <w:pPr>
              <w:keepNext/>
              <w:spacing w:line="240" w:lineRule="auto"/>
              <w:jc w:val="center"/>
              <w:cnfStyle w:val="000000000000" w:firstRow="0" w:lastRow="0" w:firstColumn="0" w:lastColumn="0" w:oddVBand="0" w:evenVBand="0" w:oddHBand="0" w:evenHBand="0" w:firstRowFirstColumn="0" w:firstRowLastColumn="0" w:lastRowFirstColumn="0" w:lastRowLastColumn="0"/>
              <w:rPr>
                <w:b/>
                <w:bCs/>
                <w:color w:val="000000"/>
                <w:sz w:val="16"/>
                <w:szCs w:val="16"/>
                <w:lang w:val="en-US"/>
              </w:rPr>
            </w:pPr>
          </w:p>
        </w:tc>
      </w:tr>
      <w:tr w:rsidR="00E27DE1" w:rsidRPr="00AD6B55" w14:paraId="569C9E6A" w14:textId="77777777" w:rsidTr="0029322E">
        <w:trPr>
          <w:trHeight w:val="204"/>
        </w:trPr>
        <w:tc>
          <w:tcPr>
            <w:cnfStyle w:val="001000000000" w:firstRow="0" w:lastRow="0" w:firstColumn="1" w:lastColumn="0" w:oddVBand="0" w:evenVBand="0" w:oddHBand="0" w:evenHBand="0" w:firstRowFirstColumn="0" w:firstRowLastColumn="0" w:lastRowFirstColumn="0" w:lastRowLastColumn="0"/>
            <w:tcW w:w="3681" w:type="dxa"/>
            <w:noWrap/>
            <w:hideMark/>
          </w:tcPr>
          <w:p w14:paraId="3C5BD116" w14:textId="77777777" w:rsidR="00E27DE1" w:rsidRPr="00AD6B55" w:rsidRDefault="00E27DE1" w:rsidP="002B0D6D">
            <w:pPr>
              <w:keepNext/>
              <w:spacing w:line="240" w:lineRule="auto"/>
              <w:jc w:val="left"/>
              <w:rPr>
                <w:b w:val="0"/>
                <w:color w:val="000000"/>
                <w:sz w:val="16"/>
                <w:szCs w:val="16"/>
                <w:lang w:val="en-US"/>
              </w:rPr>
            </w:pPr>
            <w:r w:rsidRPr="00AD6B55">
              <w:rPr>
                <w:b w:val="0"/>
                <w:color w:val="000000"/>
                <w:sz w:val="16"/>
                <w:szCs w:val="16"/>
                <w:lang w:val="en-US"/>
              </w:rPr>
              <w:t>The Presidency</w:t>
            </w:r>
          </w:p>
        </w:tc>
        <w:tc>
          <w:tcPr>
            <w:tcW w:w="1276" w:type="dxa"/>
            <w:noWrap/>
            <w:hideMark/>
          </w:tcPr>
          <w:p w14:paraId="2971105C" w14:textId="77777777" w:rsidR="00E27DE1" w:rsidRPr="00AD6B55" w:rsidRDefault="00E27DE1" w:rsidP="002B0D6D">
            <w:pPr>
              <w:keepNext/>
              <w:spacing w:line="24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val="en-US"/>
              </w:rPr>
            </w:pPr>
            <w:r w:rsidRPr="00AD6B55">
              <w:rPr>
                <w:color w:val="000000"/>
                <w:sz w:val="16"/>
                <w:szCs w:val="16"/>
                <w:lang w:val="en-US"/>
              </w:rPr>
              <w:t>96.0%</w:t>
            </w:r>
          </w:p>
        </w:tc>
        <w:tc>
          <w:tcPr>
            <w:tcW w:w="283" w:type="dxa"/>
            <w:shd w:val="clear" w:color="auto" w:fill="D6E3BC" w:themeFill="accent3" w:themeFillTint="66"/>
            <w:noWrap/>
            <w:hideMark/>
          </w:tcPr>
          <w:p w14:paraId="718D6B51" w14:textId="77777777" w:rsidR="00E27DE1" w:rsidRPr="00AD6B55" w:rsidRDefault="00E27DE1" w:rsidP="002B0D6D">
            <w:pPr>
              <w:keepNext/>
              <w:spacing w:line="240" w:lineRule="auto"/>
              <w:jc w:val="right"/>
              <w:cnfStyle w:val="000000000000" w:firstRow="0" w:lastRow="0" w:firstColumn="0" w:lastColumn="0" w:oddVBand="0" w:evenVBand="0" w:oddHBand="0" w:evenHBand="0" w:firstRowFirstColumn="0" w:firstRowLastColumn="0" w:lastRowFirstColumn="0" w:lastRowLastColumn="0"/>
              <w:rPr>
                <w:color w:val="000000"/>
                <w:sz w:val="16"/>
                <w:szCs w:val="16"/>
                <w:lang w:val="en-US"/>
              </w:rPr>
            </w:pPr>
          </w:p>
        </w:tc>
        <w:tc>
          <w:tcPr>
            <w:tcW w:w="3119" w:type="dxa"/>
            <w:noWrap/>
            <w:hideMark/>
          </w:tcPr>
          <w:p w14:paraId="595AF0B8" w14:textId="77777777" w:rsidR="00E27DE1" w:rsidRPr="00AD6B55" w:rsidRDefault="00E27DE1" w:rsidP="002B0D6D">
            <w:pPr>
              <w:keepNext/>
              <w:spacing w:line="240" w:lineRule="auto"/>
              <w:jc w:val="left"/>
              <w:cnfStyle w:val="000000000000" w:firstRow="0" w:lastRow="0" w:firstColumn="0" w:lastColumn="0" w:oddVBand="0" w:evenVBand="0" w:oddHBand="0" w:evenHBand="0" w:firstRowFirstColumn="0" w:firstRowLastColumn="0" w:lastRowFirstColumn="0" w:lastRowLastColumn="0"/>
              <w:rPr>
                <w:color w:val="000000"/>
                <w:sz w:val="16"/>
                <w:szCs w:val="16"/>
                <w:lang w:val="en-US"/>
              </w:rPr>
            </w:pPr>
            <w:r w:rsidRPr="00AD6B55">
              <w:rPr>
                <w:color w:val="000000"/>
                <w:sz w:val="16"/>
                <w:szCs w:val="16"/>
                <w:lang w:val="en-US"/>
              </w:rPr>
              <w:t>Civilian Secretariat for the Police Service</w:t>
            </w:r>
          </w:p>
        </w:tc>
        <w:tc>
          <w:tcPr>
            <w:tcW w:w="1275" w:type="dxa"/>
            <w:noWrap/>
            <w:hideMark/>
          </w:tcPr>
          <w:p w14:paraId="10D1AB12" w14:textId="77777777" w:rsidR="00E27DE1" w:rsidRPr="00AD6B55" w:rsidRDefault="00E27DE1" w:rsidP="002B0D6D">
            <w:pPr>
              <w:keepNext/>
              <w:spacing w:line="24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val="en-US"/>
              </w:rPr>
            </w:pPr>
            <w:r w:rsidRPr="00AD6B55">
              <w:rPr>
                <w:color w:val="000000"/>
                <w:sz w:val="16"/>
                <w:szCs w:val="16"/>
                <w:lang w:val="en-US"/>
              </w:rPr>
              <w:t>94.8%</w:t>
            </w:r>
          </w:p>
        </w:tc>
      </w:tr>
      <w:tr w:rsidR="00E27DE1" w:rsidRPr="00AD6B55" w14:paraId="14C379BE" w14:textId="77777777" w:rsidTr="0029322E">
        <w:trPr>
          <w:trHeight w:val="204"/>
        </w:trPr>
        <w:tc>
          <w:tcPr>
            <w:cnfStyle w:val="001000000000" w:firstRow="0" w:lastRow="0" w:firstColumn="1" w:lastColumn="0" w:oddVBand="0" w:evenVBand="0" w:oddHBand="0" w:evenHBand="0" w:firstRowFirstColumn="0" w:firstRowLastColumn="0" w:lastRowFirstColumn="0" w:lastRowLastColumn="0"/>
            <w:tcW w:w="3681" w:type="dxa"/>
            <w:noWrap/>
            <w:hideMark/>
          </w:tcPr>
          <w:p w14:paraId="51763048" w14:textId="77777777" w:rsidR="00E27DE1" w:rsidRPr="00AD6B55" w:rsidRDefault="00E27DE1" w:rsidP="002B0D6D">
            <w:pPr>
              <w:keepNext/>
              <w:spacing w:line="240" w:lineRule="auto"/>
              <w:jc w:val="left"/>
              <w:rPr>
                <w:b w:val="0"/>
                <w:color w:val="000000"/>
                <w:sz w:val="16"/>
                <w:szCs w:val="16"/>
                <w:lang w:val="en-US"/>
              </w:rPr>
            </w:pPr>
            <w:r w:rsidRPr="00AD6B55">
              <w:rPr>
                <w:b w:val="0"/>
                <w:color w:val="000000"/>
                <w:sz w:val="16"/>
                <w:szCs w:val="16"/>
                <w:lang w:val="en-US"/>
              </w:rPr>
              <w:t>Parliament</w:t>
            </w:r>
          </w:p>
        </w:tc>
        <w:tc>
          <w:tcPr>
            <w:tcW w:w="1276" w:type="dxa"/>
            <w:noWrap/>
            <w:hideMark/>
          </w:tcPr>
          <w:p w14:paraId="3E2729F3" w14:textId="77777777" w:rsidR="00E27DE1" w:rsidRPr="00AD6B55" w:rsidRDefault="00E27DE1" w:rsidP="002B0D6D">
            <w:pPr>
              <w:keepNext/>
              <w:spacing w:line="24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val="en-US"/>
              </w:rPr>
            </w:pPr>
            <w:r w:rsidRPr="00AD6B55">
              <w:rPr>
                <w:color w:val="000000"/>
                <w:sz w:val="16"/>
                <w:szCs w:val="16"/>
                <w:lang w:val="en-US"/>
              </w:rPr>
              <w:t>101.2%</w:t>
            </w:r>
          </w:p>
        </w:tc>
        <w:tc>
          <w:tcPr>
            <w:tcW w:w="283" w:type="dxa"/>
            <w:shd w:val="clear" w:color="auto" w:fill="D6E3BC" w:themeFill="accent3" w:themeFillTint="66"/>
            <w:noWrap/>
            <w:hideMark/>
          </w:tcPr>
          <w:p w14:paraId="7F81296A" w14:textId="77777777" w:rsidR="00E27DE1" w:rsidRPr="00AD6B55" w:rsidRDefault="00E27DE1" w:rsidP="002B0D6D">
            <w:pPr>
              <w:keepNext/>
              <w:spacing w:line="240" w:lineRule="auto"/>
              <w:jc w:val="right"/>
              <w:cnfStyle w:val="000000000000" w:firstRow="0" w:lastRow="0" w:firstColumn="0" w:lastColumn="0" w:oddVBand="0" w:evenVBand="0" w:oddHBand="0" w:evenHBand="0" w:firstRowFirstColumn="0" w:firstRowLastColumn="0" w:lastRowFirstColumn="0" w:lastRowLastColumn="0"/>
              <w:rPr>
                <w:color w:val="000000"/>
                <w:sz w:val="16"/>
                <w:szCs w:val="16"/>
                <w:lang w:val="en-US"/>
              </w:rPr>
            </w:pPr>
          </w:p>
        </w:tc>
        <w:tc>
          <w:tcPr>
            <w:tcW w:w="3119" w:type="dxa"/>
            <w:noWrap/>
            <w:hideMark/>
          </w:tcPr>
          <w:p w14:paraId="191EB50E" w14:textId="77777777" w:rsidR="00E27DE1" w:rsidRPr="00AD6B55" w:rsidRDefault="00E27DE1" w:rsidP="002B0D6D">
            <w:pPr>
              <w:keepNext/>
              <w:spacing w:line="240" w:lineRule="auto"/>
              <w:jc w:val="left"/>
              <w:cnfStyle w:val="000000000000" w:firstRow="0" w:lastRow="0" w:firstColumn="0" w:lastColumn="0" w:oddVBand="0" w:evenVBand="0" w:oddHBand="0" w:evenHBand="0" w:firstRowFirstColumn="0" w:firstRowLastColumn="0" w:lastRowFirstColumn="0" w:lastRowLastColumn="0"/>
              <w:rPr>
                <w:color w:val="000000"/>
                <w:sz w:val="16"/>
                <w:szCs w:val="16"/>
                <w:lang w:val="en-US"/>
              </w:rPr>
            </w:pPr>
            <w:r w:rsidRPr="00AD6B55">
              <w:rPr>
                <w:color w:val="000000"/>
                <w:sz w:val="16"/>
                <w:szCs w:val="16"/>
                <w:lang w:val="en-US"/>
              </w:rPr>
              <w:t>Correctional Services</w:t>
            </w:r>
          </w:p>
        </w:tc>
        <w:tc>
          <w:tcPr>
            <w:tcW w:w="1275" w:type="dxa"/>
            <w:noWrap/>
            <w:hideMark/>
          </w:tcPr>
          <w:p w14:paraId="4A14A324" w14:textId="77777777" w:rsidR="00E27DE1" w:rsidRPr="00AD6B55" w:rsidRDefault="00E27DE1" w:rsidP="002B0D6D">
            <w:pPr>
              <w:keepNext/>
              <w:spacing w:line="24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val="en-US"/>
              </w:rPr>
            </w:pPr>
            <w:r w:rsidRPr="00AD6B55">
              <w:rPr>
                <w:color w:val="000000"/>
                <w:sz w:val="16"/>
                <w:szCs w:val="16"/>
                <w:lang w:val="en-US"/>
              </w:rPr>
              <w:t>99.8%</w:t>
            </w:r>
          </w:p>
        </w:tc>
      </w:tr>
      <w:tr w:rsidR="00E27DE1" w:rsidRPr="00AD6B55" w14:paraId="7D382DF6" w14:textId="77777777" w:rsidTr="0029322E">
        <w:trPr>
          <w:trHeight w:val="204"/>
        </w:trPr>
        <w:tc>
          <w:tcPr>
            <w:cnfStyle w:val="001000000000" w:firstRow="0" w:lastRow="0" w:firstColumn="1" w:lastColumn="0" w:oddVBand="0" w:evenVBand="0" w:oddHBand="0" w:evenHBand="0" w:firstRowFirstColumn="0" w:firstRowLastColumn="0" w:lastRowFirstColumn="0" w:lastRowLastColumn="0"/>
            <w:tcW w:w="3681" w:type="dxa"/>
            <w:noWrap/>
            <w:hideMark/>
          </w:tcPr>
          <w:p w14:paraId="2A222373" w14:textId="77777777" w:rsidR="00E27DE1" w:rsidRPr="00AD6B55" w:rsidRDefault="00E27DE1" w:rsidP="002B0D6D">
            <w:pPr>
              <w:keepNext/>
              <w:spacing w:line="240" w:lineRule="auto"/>
              <w:jc w:val="left"/>
              <w:rPr>
                <w:b w:val="0"/>
                <w:color w:val="000000"/>
                <w:sz w:val="16"/>
                <w:szCs w:val="16"/>
                <w:lang w:val="en-US"/>
              </w:rPr>
            </w:pPr>
            <w:r w:rsidRPr="00AD6B55">
              <w:rPr>
                <w:b w:val="0"/>
                <w:color w:val="000000"/>
                <w:sz w:val="16"/>
                <w:szCs w:val="16"/>
                <w:lang w:val="en-US"/>
              </w:rPr>
              <w:t>Cooperative Governance</w:t>
            </w:r>
          </w:p>
        </w:tc>
        <w:tc>
          <w:tcPr>
            <w:tcW w:w="1276" w:type="dxa"/>
            <w:noWrap/>
            <w:hideMark/>
          </w:tcPr>
          <w:p w14:paraId="7AB6B9CE" w14:textId="77777777" w:rsidR="00E27DE1" w:rsidRPr="00AD6B55" w:rsidRDefault="00E27DE1" w:rsidP="002B0D6D">
            <w:pPr>
              <w:keepNext/>
              <w:spacing w:line="24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val="en-US"/>
              </w:rPr>
            </w:pPr>
            <w:r w:rsidRPr="00AD6B55">
              <w:rPr>
                <w:color w:val="000000"/>
                <w:sz w:val="16"/>
                <w:szCs w:val="16"/>
                <w:lang w:val="en-US"/>
              </w:rPr>
              <w:t>96.6%</w:t>
            </w:r>
          </w:p>
        </w:tc>
        <w:tc>
          <w:tcPr>
            <w:tcW w:w="283" w:type="dxa"/>
            <w:shd w:val="clear" w:color="auto" w:fill="D6E3BC" w:themeFill="accent3" w:themeFillTint="66"/>
            <w:noWrap/>
            <w:hideMark/>
          </w:tcPr>
          <w:p w14:paraId="4F031B88" w14:textId="77777777" w:rsidR="00E27DE1" w:rsidRPr="00AD6B55" w:rsidRDefault="00E27DE1" w:rsidP="002B0D6D">
            <w:pPr>
              <w:keepNext/>
              <w:spacing w:line="240" w:lineRule="auto"/>
              <w:jc w:val="right"/>
              <w:cnfStyle w:val="000000000000" w:firstRow="0" w:lastRow="0" w:firstColumn="0" w:lastColumn="0" w:oddVBand="0" w:evenVBand="0" w:oddHBand="0" w:evenHBand="0" w:firstRowFirstColumn="0" w:firstRowLastColumn="0" w:lastRowFirstColumn="0" w:lastRowLastColumn="0"/>
              <w:rPr>
                <w:color w:val="000000"/>
                <w:sz w:val="16"/>
                <w:szCs w:val="16"/>
                <w:lang w:val="en-US"/>
              </w:rPr>
            </w:pPr>
          </w:p>
        </w:tc>
        <w:tc>
          <w:tcPr>
            <w:tcW w:w="3119" w:type="dxa"/>
            <w:noWrap/>
            <w:hideMark/>
          </w:tcPr>
          <w:p w14:paraId="45440872" w14:textId="77777777" w:rsidR="00E27DE1" w:rsidRPr="00AD6B55" w:rsidRDefault="008C3C83" w:rsidP="002B0D6D">
            <w:pPr>
              <w:keepNext/>
              <w:spacing w:line="240" w:lineRule="auto"/>
              <w:jc w:val="left"/>
              <w:cnfStyle w:val="000000000000" w:firstRow="0" w:lastRow="0" w:firstColumn="0" w:lastColumn="0" w:oddVBand="0" w:evenVBand="0" w:oddHBand="0" w:evenHBand="0" w:firstRowFirstColumn="0" w:firstRowLastColumn="0" w:lastRowFirstColumn="0" w:lastRowLastColumn="0"/>
              <w:rPr>
                <w:color w:val="000000"/>
                <w:sz w:val="16"/>
                <w:szCs w:val="16"/>
                <w:lang w:val="en-US"/>
              </w:rPr>
            </w:pPr>
            <w:r w:rsidRPr="00AD6B55">
              <w:rPr>
                <w:color w:val="000000"/>
                <w:sz w:val="16"/>
                <w:szCs w:val="16"/>
                <w:lang w:val="en-US"/>
              </w:rPr>
              <w:t>Defense</w:t>
            </w:r>
          </w:p>
        </w:tc>
        <w:tc>
          <w:tcPr>
            <w:tcW w:w="1275" w:type="dxa"/>
            <w:noWrap/>
            <w:hideMark/>
          </w:tcPr>
          <w:p w14:paraId="5E04E7A9" w14:textId="77777777" w:rsidR="00E27DE1" w:rsidRPr="00AD6B55" w:rsidRDefault="00E27DE1" w:rsidP="002B0D6D">
            <w:pPr>
              <w:keepNext/>
              <w:spacing w:line="24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val="en-US"/>
              </w:rPr>
            </w:pPr>
            <w:r w:rsidRPr="00AD6B55">
              <w:rPr>
                <w:color w:val="000000"/>
                <w:sz w:val="16"/>
                <w:szCs w:val="16"/>
                <w:lang w:val="en-US"/>
              </w:rPr>
              <w:t>100.0%</w:t>
            </w:r>
          </w:p>
        </w:tc>
      </w:tr>
      <w:tr w:rsidR="00E27DE1" w:rsidRPr="00AD6B55" w14:paraId="51F82319" w14:textId="77777777" w:rsidTr="0029322E">
        <w:trPr>
          <w:trHeight w:val="204"/>
        </w:trPr>
        <w:tc>
          <w:tcPr>
            <w:cnfStyle w:val="001000000000" w:firstRow="0" w:lastRow="0" w:firstColumn="1" w:lastColumn="0" w:oddVBand="0" w:evenVBand="0" w:oddHBand="0" w:evenHBand="0" w:firstRowFirstColumn="0" w:firstRowLastColumn="0" w:lastRowFirstColumn="0" w:lastRowLastColumn="0"/>
            <w:tcW w:w="3681" w:type="dxa"/>
            <w:noWrap/>
            <w:hideMark/>
          </w:tcPr>
          <w:p w14:paraId="6F4821F6" w14:textId="77777777" w:rsidR="00E27DE1" w:rsidRPr="006D2681" w:rsidRDefault="00E27DE1" w:rsidP="002B0D6D">
            <w:pPr>
              <w:keepNext/>
              <w:spacing w:line="240" w:lineRule="auto"/>
              <w:jc w:val="left"/>
              <w:rPr>
                <w:b w:val="0"/>
                <w:color w:val="000000"/>
                <w:sz w:val="16"/>
                <w:szCs w:val="16"/>
                <w:lang w:val="en-US"/>
              </w:rPr>
            </w:pPr>
            <w:r w:rsidRPr="006D2681">
              <w:rPr>
                <w:b w:val="0"/>
                <w:color w:val="000000"/>
                <w:sz w:val="16"/>
                <w:szCs w:val="16"/>
                <w:lang w:val="en-US"/>
              </w:rPr>
              <w:t>Government Communication and Information System</w:t>
            </w:r>
          </w:p>
        </w:tc>
        <w:tc>
          <w:tcPr>
            <w:tcW w:w="1276" w:type="dxa"/>
            <w:noWrap/>
            <w:hideMark/>
          </w:tcPr>
          <w:p w14:paraId="3D4BD447" w14:textId="77777777" w:rsidR="00E27DE1" w:rsidRPr="00AD6B55" w:rsidRDefault="00E27DE1" w:rsidP="002B0D6D">
            <w:pPr>
              <w:keepNext/>
              <w:spacing w:line="24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val="en-US"/>
              </w:rPr>
            </w:pPr>
            <w:r w:rsidRPr="00AD6B55">
              <w:rPr>
                <w:color w:val="000000"/>
                <w:sz w:val="16"/>
                <w:szCs w:val="16"/>
                <w:lang w:val="en-US"/>
              </w:rPr>
              <w:t>99.0%</w:t>
            </w:r>
          </w:p>
        </w:tc>
        <w:tc>
          <w:tcPr>
            <w:tcW w:w="283" w:type="dxa"/>
            <w:shd w:val="clear" w:color="auto" w:fill="D6E3BC" w:themeFill="accent3" w:themeFillTint="66"/>
            <w:noWrap/>
            <w:hideMark/>
          </w:tcPr>
          <w:p w14:paraId="211B6FA7" w14:textId="77777777" w:rsidR="00E27DE1" w:rsidRPr="00AD6B55" w:rsidRDefault="00E27DE1" w:rsidP="002B0D6D">
            <w:pPr>
              <w:keepNext/>
              <w:spacing w:line="240" w:lineRule="auto"/>
              <w:jc w:val="right"/>
              <w:cnfStyle w:val="000000000000" w:firstRow="0" w:lastRow="0" w:firstColumn="0" w:lastColumn="0" w:oddVBand="0" w:evenVBand="0" w:oddHBand="0" w:evenHBand="0" w:firstRowFirstColumn="0" w:firstRowLastColumn="0" w:lastRowFirstColumn="0" w:lastRowLastColumn="0"/>
              <w:rPr>
                <w:color w:val="000000"/>
                <w:sz w:val="16"/>
                <w:szCs w:val="16"/>
                <w:lang w:val="en-US"/>
              </w:rPr>
            </w:pPr>
          </w:p>
        </w:tc>
        <w:tc>
          <w:tcPr>
            <w:tcW w:w="3119" w:type="dxa"/>
            <w:noWrap/>
            <w:hideMark/>
          </w:tcPr>
          <w:p w14:paraId="34971490" w14:textId="77777777" w:rsidR="00E27DE1" w:rsidRPr="00AD6B55" w:rsidRDefault="00E27DE1" w:rsidP="002B0D6D">
            <w:pPr>
              <w:keepNext/>
              <w:spacing w:line="240" w:lineRule="auto"/>
              <w:jc w:val="left"/>
              <w:cnfStyle w:val="000000000000" w:firstRow="0" w:lastRow="0" w:firstColumn="0" w:lastColumn="0" w:oddVBand="0" w:evenVBand="0" w:oddHBand="0" w:evenHBand="0" w:firstRowFirstColumn="0" w:firstRowLastColumn="0" w:lastRowFirstColumn="0" w:lastRowLastColumn="0"/>
              <w:rPr>
                <w:color w:val="000000"/>
                <w:sz w:val="16"/>
                <w:szCs w:val="16"/>
                <w:lang w:val="en-US"/>
              </w:rPr>
            </w:pPr>
            <w:r w:rsidRPr="00AD6B55">
              <w:rPr>
                <w:color w:val="000000"/>
                <w:sz w:val="16"/>
                <w:szCs w:val="16"/>
                <w:lang w:val="en-US"/>
              </w:rPr>
              <w:t>Independent Police Investigative Directorate</w:t>
            </w:r>
          </w:p>
        </w:tc>
        <w:tc>
          <w:tcPr>
            <w:tcW w:w="1275" w:type="dxa"/>
            <w:noWrap/>
            <w:hideMark/>
          </w:tcPr>
          <w:p w14:paraId="22FCA950" w14:textId="77777777" w:rsidR="00E27DE1" w:rsidRPr="00AD6B55" w:rsidRDefault="00E27DE1" w:rsidP="002B0D6D">
            <w:pPr>
              <w:keepNext/>
              <w:spacing w:line="24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val="en-US"/>
              </w:rPr>
            </w:pPr>
            <w:r w:rsidRPr="00AD6B55">
              <w:rPr>
                <w:color w:val="000000"/>
                <w:sz w:val="16"/>
                <w:szCs w:val="16"/>
                <w:lang w:val="en-US"/>
              </w:rPr>
              <w:t>99.9%</w:t>
            </w:r>
          </w:p>
        </w:tc>
      </w:tr>
      <w:tr w:rsidR="00E27DE1" w:rsidRPr="00AD6B55" w14:paraId="6CEB1EC0" w14:textId="77777777" w:rsidTr="0029322E">
        <w:trPr>
          <w:trHeight w:val="204"/>
        </w:trPr>
        <w:tc>
          <w:tcPr>
            <w:cnfStyle w:val="001000000000" w:firstRow="0" w:lastRow="0" w:firstColumn="1" w:lastColumn="0" w:oddVBand="0" w:evenVBand="0" w:oddHBand="0" w:evenHBand="0" w:firstRowFirstColumn="0" w:firstRowLastColumn="0" w:lastRowFirstColumn="0" w:lastRowLastColumn="0"/>
            <w:tcW w:w="3681" w:type="dxa"/>
            <w:noWrap/>
            <w:hideMark/>
          </w:tcPr>
          <w:p w14:paraId="37676966" w14:textId="77777777" w:rsidR="00E27DE1" w:rsidRPr="006D2681" w:rsidRDefault="00E27DE1" w:rsidP="002B0D6D">
            <w:pPr>
              <w:keepNext/>
              <w:spacing w:line="240" w:lineRule="auto"/>
              <w:jc w:val="left"/>
              <w:rPr>
                <w:b w:val="0"/>
                <w:color w:val="000000"/>
                <w:sz w:val="16"/>
                <w:szCs w:val="16"/>
                <w:lang w:val="en-US"/>
              </w:rPr>
            </w:pPr>
            <w:r w:rsidRPr="006D2681">
              <w:rPr>
                <w:b w:val="0"/>
                <w:color w:val="000000"/>
                <w:sz w:val="16"/>
                <w:szCs w:val="16"/>
                <w:lang w:val="en-US"/>
              </w:rPr>
              <w:t>Home Affairs</w:t>
            </w:r>
          </w:p>
        </w:tc>
        <w:tc>
          <w:tcPr>
            <w:tcW w:w="1276" w:type="dxa"/>
            <w:noWrap/>
            <w:hideMark/>
          </w:tcPr>
          <w:p w14:paraId="15433670" w14:textId="77777777" w:rsidR="00E27DE1" w:rsidRPr="00AD6B55" w:rsidRDefault="00E27DE1" w:rsidP="002B0D6D">
            <w:pPr>
              <w:keepNext/>
              <w:spacing w:line="24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val="en-US"/>
              </w:rPr>
            </w:pPr>
            <w:r w:rsidRPr="00AD6B55">
              <w:rPr>
                <w:color w:val="000000"/>
                <w:sz w:val="16"/>
                <w:szCs w:val="16"/>
                <w:lang w:val="en-US"/>
              </w:rPr>
              <w:t>100.0%</w:t>
            </w:r>
          </w:p>
        </w:tc>
        <w:tc>
          <w:tcPr>
            <w:tcW w:w="283" w:type="dxa"/>
            <w:shd w:val="clear" w:color="auto" w:fill="D6E3BC" w:themeFill="accent3" w:themeFillTint="66"/>
            <w:noWrap/>
            <w:hideMark/>
          </w:tcPr>
          <w:p w14:paraId="4E8C2BFF" w14:textId="77777777" w:rsidR="00E27DE1" w:rsidRPr="00AD6B55" w:rsidRDefault="00E27DE1" w:rsidP="002B0D6D">
            <w:pPr>
              <w:keepNext/>
              <w:spacing w:line="240" w:lineRule="auto"/>
              <w:jc w:val="right"/>
              <w:cnfStyle w:val="000000000000" w:firstRow="0" w:lastRow="0" w:firstColumn="0" w:lastColumn="0" w:oddVBand="0" w:evenVBand="0" w:oddHBand="0" w:evenHBand="0" w:firstRowFirstColumn="0" w:firstRowLastColumn="0" w:lastRowFirstColumn="0" w:lastRowLastColumn="0"/>
              <w:rPr>
                <w:color w:val="000000"/>
                <w:sz w:val="16"/>
                <w:szCs w:val="16"/>
                <w:lang w:val="en-US"/>
              </w:rPr>
            </w:pPr>
          </w:p>
        </w:tc>
        <w:tc>
          <w:tcPr>
            <w:tcW w:w="3119" w:type="dxa"/>
            <w:noWrap/>
            <w:hideMark/>
          </w:tcPr>
          <w:p w14:paraId="7280B026" w14:textId="77777777" w:rsidR="00E27DE1" w:rsidRPr="00AD6B55" w:rsidRDefault="00E27DE1" w:rsidP="002B0D6D">
            <w:pPr>
              <w:keepNext/>
              <w:spacing w:line="240" w:lineRule="auto"/>
              <w:jc w:val="left"/>
              <w:cnfStyle w:val="000000000000" w:firstRow="0" w:lastRow="0" w:firstColumn="0" w:lastColumn="0" w:oddVBand="0" w:evenVBand="0" w:oddHBand="0" w:evenHBand="0" w:firstRowFirstColumn="0" w:firstRowLastColumn="0" w:lastRowFirstColumn="0" w:lastRowLastColumn="0"/>
              <w:rPr>
                <w:color w:val="000000"/>
                <w:sz w:val="16"/>
                <w:szCs w:val="16"/>
                <w:lang w:val="en-US"/>
              </w:rPr>
            </w:pPr>
            <w:r w:rsidRPr="00AD6B55">
              <w:rPr>
                <w:color w:val="000000"/>
                <w:sz w:val="16"/>
                <w:szCs w:val="16"/>
                <w:lang w:val="en-US"/>
              </w:rPr>
              <w:t>Justice and Constitutional Development</w:t>
            </w:r>
          </w:p>
        </w:tc>
        <w:tc>
          <w:tcPr>
            <w:tcW w:w="1275" w:type="dxa"/>
            <w:noWrap/>
            <w:hideMark/>
          </w:tcPr>
          <w:p w14:paraId="4DF28BD4" w14:textId="77777777" w:rsidR="00E27DE1" w:rsidRPr="00AD6B55" w:rsidRDefault="00E27DE1" w:rsidP="002B0D6D">
            <w:pPr>
              <w:keepNext/>
              <w:spacing w:line="24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val="en-US"/>
              </w:rPr>
            </w:pPr>
            <w:r w:rsidRPr="00AD6B55">
              <w:rPr>
                <w:color w:val="000000"/>
                <w:sz w:val="16"/>
                <w:szCs w:val="16"/>
                <w:lang w:val="en-US"/>
              </w:rPr>
              <w:t>99.1%</w:t>
            </w:r>
          </w:p>
        </w:tc>
      </w:tr>
      <w:tr w:rsidR="00E27DE1" w:rsidRPr="00AD6B55" w14:paraId="300C933A" w14:textId="77777777" w:rsidTr="0029322E">
        <w:trPr>
          <w:trHeight w:val="204"/>
        </w:trPr>
        <w:tc>
          <w:tcPr>
            <w:cnfStyle w:val="001000000000" w:firstRow="0" w:lastRow="0" w:firstColumn="1" w:lastColumn="0" w:oddVBand="0" w:evenVBand="0" w:oddHBand="0" w:evenHBand="0" w:firstRowFirstColumn="0" w:firstRowLastColumn="0" w:lastRowFirstColumn="0" w:lastRowLastColumn="0"/>
            <w:tcW w:w="3681" w:type="dxa"/>
            <w:noWrap/>
            <w:hideMark/>
          </w:tcPr>
          <w:p w14:paraId="1307AAAE" w14:textId="77777777" w:rsidR="00E27DE1" w:rsidRPr="006D2681" w:rsidRDefault="00E27DE1" w:rsidP="002B0D6D">
            <w:pPr>
              <w:keepNext/>
              <w:spacing w:line="240" w:lineRule="auto"/>
              <w:jc w:val="left"/>
              <w:rPr>
                <w:b w:val="0"/>
                <w:color w:val="000000"/>
                <w:sz w:val="16"/>
                <w:szCs w:val="16"/>
                <w:lang w:val="en-US"/>
              </w:rPr>
            </w:pPr>
            <w:r w:rsidRPr="006D2681">
              <w:rPr>
                <w:b w:val="0"/>
                <w:color w:val="000000"/>
                <w:sz w:val="16"/>
                <w:szCs w:val="16"/>
                <w:lang w:val="en-US"/>
              </w:rPr>
              <w:t>International Relations and Cooperation</w:t>
            </w:r>
          </w:p>
        </w:tc>
        <w:tc>
          <w:tcPr>
            <w:tcW w:w="1276" w:type="dxa"/>
            <w:noWrap/>
            <w:hideMark/>
          </w:tcPr>
          <w:p w14:paraId="282BA3AA" w14:textId="77777777" w:rsidR="00E27DE1" w:rsidRPr="00AD6B55" w:rsidRDefault="00E27DE1" w:rsidP="002B0D6D">
            <w:pPr>
              <w:keepNext/>
              <w:spacing w:line="24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val="en-US"/>
              </w:rPr>
            </w:pPr>
            <w:r w:rsidRPr="00AD6B55">
              <w:rPr>
                <w:color w:val="000000"/>
                <w:sz w:val="16"/>
                <w:szCs w:val="16"/>
                <w:lang w:val="en-US"/>
              </w:rPr>
              <w:t>97.7%</w:t>
            </w:r>
          </w:p>
        </w:tc>
        <w:tc>
          <w:tcPr>
            <w:tcW w:w="283" w:type="dxa"/>
            <w:shd w:val="clear" w:color="auto" w:fill="D6E3BC" w:themeFill="accent3" w:themeFillTint="66"/>
            <w:noWrap/>
            <w:hideMark/>
          </w:tcPr>
          <w:p w14:paraId="2D326B0E" w14:textId="77777777" w:rsidR="00E27DE1" w:rsidRPr="00AD6B55" w:rsidRDefault="00E27DE1" w:rsidP="002B0D6D">
            <w:pPr>
              <w:keepNext/>
              <w:spacing w:line="240" w:lineRule="auto"/>
              <w:jc w:val="right"/>
              <w:cnfStyle w:val="000000000000" w:firstRow="0" w:lastRow="0" w:firstColumn="0" w:lastColumn="0" w:oddVBand="0" w:evenVBand="0" w:oddHBand="0" w:evenHBand="0" w:firstRowFirstColumn="0" w:firstRowLastColumn="0" w:lastRowFirstColumn="0" w:lastRowLastColumn="0"/>
              <w:rPr>
                <w:color w:val="000000"/>
                <w:sz w:val="16"/>
                <w:szCs w:val="16"/>
                <w:lang w:val="en-US"/>
              </w:rPr>
            </w:pPr>
          </w:p>
        </w:tc>
        <w:tc>
          <w:tcPr>
            <w:tcW w:w="3119" w:type="dxa"/>
            <w:noWrap/>
            <w:hideMark/>
          </w:tcPr>
          <w:p w14:paraId="0241B7B4" w14:textId="77777777" w:rsidR="00E27DE1" w:rsidRPr="00AD6B55" w:rsidRDefault="00E27DE1" w:rsidP="002B0D6D">
            <w:pPr>
              <w:keepNext/>
              <w:spacing w:line="240" w:lineRule="auto"/>
              <w:jc w:val="left"/>
              <w:cnfStyle w:val="000000000000" w:firstRow="0" w:lastRow="0" w:firstColumn="0" w:lastColumn="0" w:oddVBand="0" w:evenVBand="0" w:oddHBand="0" w:evenHBand="0" w:firstRowFirstColumn="0" w:firstRowLastColumn="0" w:lastRowFirstColumn="0" w:lastRowLastColumn="0"/>
              <w:rPr>
                <w:color w:val="000000"/>
                <w:sz w:val="16"/>
                <w:szCs w:val="16"/>
                <w:lang w:val="en-US"/>
              </w:rPr>
            </w:pPr>
            <w:r w:rsidRPr="00AD6B55">
              <w:rPr>
                <w:color w:val="000000"/>
                <w:sz w:val="16"/>
                <w:szCs w:val="16"/>
                <w:lang w:val="en-US"/>
              </w:rPr>
              <w:t>Military Veterans</w:t>
            </w:r>
          </w:p>
        </w:tc>
        <w:tc>
          <w:tcPr>
            <w:tcW w:w="1275" w:type="dxa"/>
            <w:noWrap/>
            <w:hideMark/>
          </w:tcPr>
          <w:p w14:paraId="2E313009" w14:textId="77777777" w:rsidR="00E27DE1" w:rsidRPr="00AD6B55" w:rsidRDefault="00E27DE1" w:rsidP="002B0D6D">
            <w:pPr>
              <w:keepNext/>
              <w:spacing w:line="24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val="en-US"/>
              </w:rPr>
            </w:pPr>
            <w:r w:rsidRPr="00AD6B55">
              <w:rPr>
                <w:color w:val="000000"/>
                <w:sz w:val="16"/>
                <w:szCs w:val="16"/>
                <w:lang w:val="en-US"/>
              </w:rPr>
              <w:t>91.9%</w:t>
            </w:r>
          </w:p>
        </w:tc>
      </w:tr>
      <w:tr w:rsidR="00E27DE1" w:rsidRPr="00AD6B55" w14:paraId="1494D197" w14:textId="77777777" w:rsidTr="0029322E">
        <w:trPr>
          <w:trHeight w:val="204"/>
        </w:trPr>
        <w:tc>
          <w:tcPr>
            <w:cnfStyle w:val="001000000000" w:firstRow="0" w:lastRow="0" w:firstColumn="1" w:lastColumn="0" w:oddVBand="0" w:evenVBand="0" w:oddHBand="0" w:evenHBand="0" w:firstRowFirstColumn="0" w:firstRowLastColumn="0" w:lastRowFirstColumn="0" w:lastRowLastColumn="0"/>
            <w:tcW w:w="3681" w:type="dxa"/>
            <w:noWrap/>
            <w:hideMark/>
          </w:tcPr>
          <w:p w14:paraId="6D78ED43" w14:textId="77777777" w:rsidR="00E27DE1" w:rsidRPr="006D2681" w:rsidRDefault="00E27DE1" w:rsidP="002B0D6D">
            <w:pPr>
              <w:keepNext/>
              <w:spacing w:line="240" w:lineRule="auto"/>
              <w:jc w:val="left"/>
              <w:rPr>
                <w:b w:val="0"/>
                <w:color w:val="000000"/>
                <w:sz w:val="16"/>
                <w:szCs w:val="16"/>
                <w:lang w:val="en-US"/>
              </w:rPr>
            </w:pPr>
            <w:r w:rsidRPr="006D2681">
              <w:rPr>
                <w:b w:val="0"/>
                <w:color w:val="000000"/>
                <w:sz w:val="16"/>
                <w:szCs w:val="16"/>
                <w:lang w:val="en-US"/>
              </w:rPr>
              <w:t>National School of Government</w:t>
            </w:r>
          </w:p>
        </w:tc>
        <w:tc>
          <w:tcPr>
            <w:tcW w:w="1276" w:type="dxa"/>
            <w:noWrap/>
            <w:hideMark/>
          </w:tcPr>
          <w:p w14:paraId="53331155" w14:textId="77777777" w:rsidR="00E27DE1" w:rsidRPr="00AD6B55" w:rsidRDefault="00E27DE1" w:rsidP="002B0D6D">
            <w:pPr>
              <w:keepNext/>
              <w:spacing w:line="24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val="en-US"/>
              </w:rPr>
            </w:pPr>
            <w:r w:rsidRPr="00AD6B55">
              <w:rPr>
                <w:color w:val="000000"/>
                <w:sz w:val="16"/>
                <w:szCs w:val="16"/>
                <w:lang w:val="en-US"/>
              </w:rPr>
              <w:t>98.4%</w:t>
            </w:r>
          </w:p>
        </w:tc>
        <w:tc>
          <w:tcPr>
            <w:tcW w:w="283" w:type="dxa"/>
            <w:shd w:val="clear" w:color="auto" w:fill="D6E3BC" w:themeFill="accent3" w:themeFillTint="66"/>
            <w:noWrap/>
            <w:hideMark/>
          </w:tcPr>
          <w:p w14:paraId="692CDC98" w14:textId="77777777" w:rsidR="00E27DE1" w:rsidRPr="00AD6B55" w:rsidRDefault="00E27DE1" w:rsidP="002B0D6D">
            <w:pPr>
              <w:keepNext/>
              <w:spacing w:line="240" w:lineRule="auto"/>
              <w:jc w:val="right"/>
              <w:cnfStyle w:val="000000000000" w:firstRow="0" w:lastRow="0" w:firstColumn="0" w:lastColumn="0" w:oddVBand="0" w:evenVBand="0" w:oddHBand="0" w:evenHBand="0" w:firstRowFirstColumn="0" w:firstRowLastColumn="0" w:lastRowFirstColumn="0" w:lastRowLastColumn="0"/>
              <w:rPr>
                <w:color w:val="000000"/>
                <w:sz w:val="16"/>
                <w:szCs w:val="16"/>
                <w:lang w:val="en-US"/>
              </w:rPr>
            </w:pPr>
          </w:p>
        </w:tc>
        <w:tc>
          <w:tcPr>
            <w:tcW w:w="3119" w:type="dxa"/>
            <w:noWrap/>
            <w:hideMark/>
          </w:tcPr>
          <w:p w14:paraId="79179094" w14:textId="77777777" w:rsidR="00E27DE1" w:rsidRPr="00AD6B55" w:rsidRDefault="00E27DE1" w:rsidP="002B0D6D">
            <w:pPr>
              <w:keepNext/>
              <w:spacing w:line="240" w:lineRule="auto"/>
              <w:jc w:val="left"/>
              <w:cnfStyle w:val="000000000000" w:firstRow="0" w:lastRow="0" w:firstColumn="0" w:lastColumn="0" w:oddVBand="0" w:evenVBand="0" w:oddHBand="0" w:evenHBand="0" w:firstRowFirstColumn="0" w:firstRowLastColumn="0" w:lastRowFirstColumn="0" w:lastRowLastColumn="0"/>
              <w:rPr>
                <w:color w:val="000000"/>
                <w:sz w:val="16"/>
                <w:szCs w:val="16"/>
                <w:lang w:val="en-US"/>
              </w:rPr>
            </w:pPr>
            <w:r w:rsidRPr="00AD6B55">
              <w:rPr>
                <w:color w:val="000000"/>
                <w:sz w:val="16"/>
                <w:szCs w:val="16"/>
                <w:lang w:val="en-US"/>
              </w:rPr>
              <w:t>Office of the Chief Justice</w:t>
            </w:r>
          </w:p>
        </w:tc>
        <w:tc>
          <w:tcPr>
            <w:tcW w:w="1275" w:type="dxa"/>
            <w:noWrap/>
            <w:hideMark/>
          </w:tcPr>
          <w:p w14:paraId="1812640C" w14:textId="77777777" w:rsidR="00E27DE1" w:rsidRPr="00AD6B55" w:rsidRDefault="00E27DE1" w:rsidP="002B0D6D">
            <w:pPr>
              <w:keepNext/>
              <w:spacing w:line="24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val="en-US"/>
              </w:rPr>
            </w:pPr>
            <w:r w:rsidRPr="00AD6B55">
              <w:rPr>
                <w:color w:val="000000"/>
                <w:sz w:val="16"/>
                <w:szCs w:val="16"/>
                <w:lang w:val="en-US"/>
              </w:rPr>
              <w:t>99.3%</w:t>
            </w:r>
          </w:p>
        </w:tc>
      </w:tr>
      <w:tr w:rsidR="00E27DE1" w:rsidRPr="00AD6B55" w14:paraId="44391383" w14:textId="77777777" w:rsidTr="0029322E">
        <w:trPr>
          <w:trHeight w:val="204"/>
        </w:trPr>
        <w:tc>
          <w:tcPr>
            <w:cnfStyle w:val="001000000000" w:firstRow="0" w:lastRow="0" w:firstColumn="1" w:lastColumn="0" w:oddVBand="0" w:evenVBand="0" w:oddHBand="0" w:evenHBand="0" w:firstRowFirstColumn="0" w:firstRowLastColumn="0" w:lastRowFirstColumn="0" w:lastRowLastColumn="0"/>
            <w:tcW w:w="3681" w:type="dxa"/>
            <w:noWrap/>
            <w:hideMark/>
          </w:tcPr>
          <w:p w14:paraId="2C394E4C" w14:textId="77777777" w:rsidR="00E27DE1" w:rsidRPr="006D2681" w:rsidRDefault="00E27DE1" w:rsidP="002B0D6D">
            <w:pPr>
              <w:keepNext/>
              <w:spacing w:line="240" w:lineRule="auto"/>
              <w:jc w:val="left"/>
              <w:rPr>
                <w:b w:val="0"/>
                <w:color w:val="000000"/>
                <w:sz w:val="16"/>
                <w:szCs w:val="16"/>
                <w:lang w:val="en-US"/>
              </w:rPr>
            </w:pPr>
            <w:r w:rsidRPr="006D2681">
              <w:rPr>
                <w:b w:val="0"/>
                <w:color w:val="000000"/>
                <w:sz w:val="16"/>
                <w:szCs w:val="16"/>
                <w:lang w:val="en-US"/>
              </w:rPr>
              <w:t>National Treasury</w:t>
            </w:r>
          </w:p>
        </w:tc>
        <w:tc>
          <w:tcPr>
            <w:tcW w:w="1276" w:type="dxa"/>
            <w:noWrap/>
            <w:hideMark/>
          </w:tcPr>
          <w:p w14:paraId="2D7D752E" w14:textId="77777777" w:rsidR="00E27DE1" w:rsidRPr="00AD6B55" w:rsidRDefault="00E27DE1" w:rsidP="002B0D6D">
            <w:pPr>
              <w:keepNext/>
              <w:spacing w:line="24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val="en-US"/>
              </w:rPr>
            </w:pPr>
            <w:r w:rsidRPr="00AD6B55">
              <w:rPr>
                <w:color w:val="000000"/>
                <w:sz w:val="16"/>
                <w:szCs w:val="16"/>
                <w:lang w:val="en-US"/>
              </w:rPr>
              <w:t>100.0%</w:t>
            </w:r>
          </w:p>
        </w:tc>
        <w:tc>
          <w:tcPr>
            <w:tcW w:w="283" w:type="dxa"/>
            <w:shd w:val="clear" w:color="auto" w:fill="D6E3BC" w:themeFill="accent3" w:themeFillTint="66"/>
            <w:noWrap/>
            <w:hideMark/>
          </w:tcPr>
          <w:p w14:paraId="410528B2" w14:textId="77777777" w:rsidR="00E27DE1" w:rsidRPr="00AD6B55" w:rsidRDefault="00E27DE1" w:rsidP="002B0D6D">
            <w:pPr>
              <w:keepNext/>
              <w:spacing w:line="240" w:lineRule="auto"/>
              <w:jc w:val="right"/>
              <w:cnfStyle w:val="000000000000" w:firstRow="0" w:lastRow="0" w:firstColumn="0" w:lastColumn="0" w:oddVBand="0" w:evenVBand="0" w:oddHBand="0" w:evenHBand="0" w:firstRowFirstColumn="0" w:firstRowLastColumn="0" w:lastRowFirstColumn="0" w:lastRowLastColumn="0"/>
              <w:rPr>
                <w:color w:val="000000"/>
                <w:sz w:val="16"/>
                <w:szCs w:val="16"/>
                <w:lang w:val="en-US"/>
              </w:rPr>
            </w:pPr>
          </w:p>
        </w:tc>
        <w:tc>
          <w:tcPr>
            <w:tcW w:w="3119" w:type="dxa"/>
            <w:noWrap/>
            <w:hideMark/>
          </w:tcPr>
          <w:p w14:paraId="7DF71D56" w14:textId="77777777" w:rsidR="00E27DE1" w:rsidRPr="00AD6B55" w:rsidRDefault="00E27DE1" w:rsidP="002B0D6D">
            <w:pPr>
              <w:keepNext/>
              <w:spacing w:line="240" w:lineRule="auto"/>
              <w:jc w:val="left"/>
              <w:cnfStyle w:val="000000000000" w:firstRow="0" w:lastRow="0" w:firstColumn="0" w:lastColumn="0" w:oddVBand="0" w:evenVBand="0" w:oddHBand="0" w:evenHBand="0" w:firstRowFirstColumn="0" w:firstRowLastColumn="0" w:lastRowFirstColumn="0" w:lastRowLastColumn="0"/>
              <w:rPr>
                <w:color w:val="000000"/>
                <w:sz w:val="16"/>
                <w:szCs w:val="16"/>
                <w:lang w:val="en-US"/>
              </w:rPr>
            </w:pPr>
            <w:r w:rsidRPr="00AD6B55">
              <w:rPr>
                <w:color w:val="000000"/>
                <w:sz w:val="16"/>
                <w:szCs w:val="16"/>
                <w:lang w:val="en-US"/>
              </w:rPr>
              <w:t>Police</w:t>
            </w:r>
          </w:p>
        </w:tc>
        <w:tc>
          <w:tcPr>
            <w:tcW w:w="1275" w:type="dxa"/>
            <w:noWrap/>
            <w:hideMark/>
          </w:tcPr>
          <w:p w14:paraId="0C2D62EF" w14:textId="77777777" w:rsidR="00E27DE1" w:rsidRPr="00AD6B55" w:rsidRDefault="00E27DE1" w:rsidP="002B0D6D">
            <w:pPr>
              <w:keepNext/>
              <w:spacing w:line="24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val="en-US"/>
              </w:rPr>
            </w:pPr>
            <w:r w:rsidRPr="00AD6B55">
              <w:rPr>
                <w:color w:val="000000"/>
                <w:sz w:val="16"/>
                <w:szCs w:val="16"/>
                <w:lang w:val="en-US"/>
              </w:rPr>
              <w:t>99.6%</w:t>
            </w:r>
          </w:p>
        </w:tc>
      </w:tr>
      <w:tr w:rsidR="00E27DE1" w:rsidRPr="00AD6B55" w14:paraId="1C5A7787" w14:textId="77777777" w:rsidTr="0029322E">
        <w:trPr>
          <w:trHeight w:val="204"/>
        </w:trPr>
        <w:tc>
          <w:tcPr>
            <w:cnfStyle w:val="001000000000" w:firstRow="0" w:lastRow="0" w:firstColumn="1" w:lastColumn="0" w:oddVBand="0" w:evenVBand="0" w:oddHBand="0" w:evenHBand="0" w:firstRowFirstColumn="0" w:firstRowLastColumn="0" w:lastRowFirstColumn="0" w:lastRowLastColumn="0"/>
            <w:tcW w:w="3681" w:type="dxa"/>
            <w:noWrap/>
            <w:hideMark/>
          </w:tcPr>
          <w:p w14:paraId="5CAE5444" w14:textId="77777777" w:rsidR="00E27DE1" w:rsidRPr="006D2681" w:rsidRDefault="00E27DE1" w:rsidP="002B0D6D">
            <w:pPr>
              <w:keepNext/>
              <w:spacing w:line="240" w:lineRule="auto"/>
              <w:jc w:val="left"/>
              <w:rPr>
                <w:b w:val="0"/>
                <w:color w:val="000000"/>
                <w:sz w:val="16"/>
                <w:szCs w:val="16"/>
                <w:lang w:val="en-US"/>
              </w:rPr>
            </w:pPr>
            <w:r w:rsidRPr="006D2681">
              <w:rPr>
                <w:b w:val="0"/>
                <w:color w:val="000000"/>
                <w:sz w:val="16"/>
                <w:szCs w:val="16"/>
                <w:lang w:val="en-US"/>
              </w:rPr>
              <w:t>Planning, Monitoring and Evaluation</w:t>
            </w:r>
          </w:p>
        </w:tc>
        <w:tc>
          <w:tcPr>
            <w:tcW w:w="1276" w:type="dxa"/>
            <w:noWrap/>
            <w:hideMark/>
          </w:tcPr>
          <w:p w14:paraId="26E3A014" w14:textId="77777777" w:rsidR="00E27DE1" w:rsidRPr="00AD6B55" w:rsidRDefault="00E27DE1" w:rsidP="002B0D6D">
            <w:pPr>
              <w:keepNext/>
              <w:spacing w:line="24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val="en-US"/>
              </w:rPr>
            </w:pPr>
            <w:r w:rsidRPr="00AD6B55">
              <w:rPr>
                <w:color w:val="000000"/>
                <w:sz w:val="16"/>
                <w:szCs w:val="16"/>
                <w:lang w:val="en-US"/>
              </w:rPr>
              <w:t>92.5%</w:t>
            </w:r>
          </w:p>
        </w:tc>
        <w:tc>
          <w:tcPr>
            <w:tcW w:w="283" w:type="dxa"/>
            <w:shd w:val="clear" w:color="auto" w:fill="D6E3BC" w:themeFill="accent3" w:themeFillTint="66"/>
            <w:noWrap/>
            <w:hideMark/>
          </w:tcPr>
          <w:p w14:paraId="0580DDE9" w14:textId="77777777" w:rsidR="00E27DE1" w:rsidRPr="00AD6B55" w:rsidRDefault="00E27DE1" w:rsidP="002B0D6D">
            <w:pPr>
              <w:keepNext/>
              <w:spacing w:line="240" w:lineRule="auto"/>
              <w:jc w:val="right"/>
              <w:cnfStyle w:val="000000000000" w:firstRow="0" w:lastRow="0" w:firstColumn="0" w:lastColumn="0" w:oddVBand="0" w:evenVBand="0" w:oddHBand="0" w:evenHBand="0" w:firstRowFirstColumn="0" w:firstRowLastColumn="0" w:lastRowFirstColumn="0" w:lastRowLastColumn="0"/>
              <w:rPr>
                <w:color w:val="000000"/>
                <w:sz w:val="16"/>
                <w:szCs w:val="16"/>
                <w:lang w:val="en-US"/>
              </w:rPr>
            </w:pPr>
          </w:p>
        </w:tc>
        <w:tc>
          <w:tcPr>
            <w:tcW w:w="3119" w:type="dxa"/>
            <w:noWrap/>
            <w:hideMark/>
          </w:tcPr>
          <w:p w14:paraId="3BCDE16D" w14:textId="77777777" w:rsidR="00E27DE1" w:rsidRPr="00AD6B55" w:rsidRDefault="00E27DE1" w:rsidP="002B0D6D">
            <w:pPr>
              <w:keepNext/>
              <w:spacing w:line="240" w:lineRule="auto"/>
              <w:jc w:val="left"/>
              <w:cnfStyle w:val="000000000000" w:firstRow="0" w:lastRow="0" w:firstColumn="0" w:lastColumn="0" w:oddVBand="0" w:evenVBand="0" w:oddHBand="0" w:evenHBand="0" w:firstRowFirstColumn="0" w:firstRowLastColumn="0" w:lastRowFirstColumn="0" w:lastRowLastColumn="0"/>
              <w:rPr>
                <w:color w:val="000000"/>
                <w:sz w:val="16"/>
                <w:szCs w:val="16"/>
                <w:lang w:val="en-US"/>
              </w:rPr>
            </w:pPr>
            <w:r w:rsidRPr="00AD6B55">
              <w:rPr>
                <w:color w:val="000000"/>
                <w:sz w:val="16"/>
                <w:szCs w:val="16"/>
                <w:lang w:val="en-US"/>
              </w:rPr>
              <w:t>Agriculture, Land Reform and Rural Development</w:t>
            </w:r>
          </w:p>
        </w:tc>
        <w:tc>
          <w:tcPr>
            <w:tcW w:w="1275" w:type="dxa"/>
            <w:noWrap/>
            <w:hideMark/>
          </w:tcPr>
          <w:p w14:paraId="644DEBC3" w14:textId="77777777" w:rsidR="00E27DE1" w:rsidRPr="00AD6B55" w:rsidRDefault="00E27DE1" w:rsidP="002B0D6D">
            <w:pPr>
              <w:keepNext/>
              <w:spacing w:line="24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val="en-US"/>
              </w:rPr>
            </w:pPr>
            <w:r w:rsidRPr="00AD6B55">
              <w:rPr>
                <w:color w:val="000000"/>
                <w:sz w:val="16"/>
                <w:szCs w:val="16"/>
                <w:lang w:val="en-US"/>
              </w:rPr>
              <w:t>98.0%</w:t>
            </w:r>
          </w:p>
        </w:tc>
      </w:tr>
      <w:tr w:rsidR="00E27DE1" w:rsidRPr="00AD6B55" w14:paraId="24BE0E4A" w14:textId="77777777" w:rsidTr="0029322E">
        <w:trPr>
          <w:trHeight w:val="204"/>
        </w:trPr>
        <w:tc>
          <w:tcPr>
            <w:cnfStyle w:val="001000000000" w:firstRow="0" w:lastRow="0" w:firstColumn="1" w:lastColumn="0" w:oddVBand="0" w:evenVBand="0" w:oddHBand="0" w:evenHBand="0" w:firstRowFirstColumn="0" w:firstRowLastColumn="0" w:lastRowFirstColumn="0" w:lastRowLastColumn="0"/>
            <w:tcW w:w="3681" w:type="dxa"/>
            <w:noWrap/>
            <w:hideMark/>
          </w:tcPr>
          <w:p w14:paraId="55A827CB" w14:textId="77777777" w:rsidR="00E27DE1" w:rsidRPr="006D2681" w:rsidRDefault="00E27DE1" w:rsidP="002B0D6D">
            <w:pPr>
              <w:keepNext/>
              <w:spacing w:line="240" w:lineRule="auto"/>
              <w:jc w:val="left"/>
              <w:rPr>
                <w:b w:val="0"/>
                <w:color w:val="000000"/>
                <w:sz w:val="16"/>
                <w:szCs w:val="16"/>
                <w:lang w:val="en-US"/>
              </w:rPr>
            </w:pPr>
            <w:r w:rsidRPr="006D2681">
              <w:rPr>
                <w:b w:val="0"/>
                <w:color w:val="000000"/>
                <w:sz w:val="16"/>
                <w:szCs w:val="16"/>
                <w:lang w:val="en-US"/>
              </w:rPr>
              <w:t>Public Enterprises</w:t>
            </w:r>
          </w:p>
        </w:tc>
        <w:tc>
          <w:tcPr>
            <w:tcW w:w="1276" w:type="dxa"/>
            <w:noWrap/>
            <w:hideMark/>
          </w:tcPr>
          <w:p w14:paraId="2F0B87F7" w14:textId="77777777" w:rsidR="00E27DE1" w:rsidRPr="00AD6B55" w:rsidRDefault="00E27DE1" w:rsidP="002B0D6D">
            <w:pPr>
              <w:keepNext/>
              <w:spacing w:line="24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val="en-US"/>
              </w:rPr>
            </w:pPr>
            <w:r w:rsidRPr="00AD6B55">
              <w:rPr>
                <w:color w:val="000000"/>
                <w:sz w:val="16"/>
                <w:szCs w:val="16"/>
                <w:lang w:val="en-US"/>
              </w:rPr>
              <w:t>97.0%</w:t>
            </w:r>
          </w:p>
        </w:tc>
        <w:tc>
          <w:tcPr>
            <w:tcW w:w="283" w:type="dxa"/>
            <w:shd w:val="clear" w:color="auto" w:fill="D6E3BC" w:themeFill="accent3" w:themeFillTint="66"/>
            <w:noWrap/>
            <w:hideMark/>
          </w:tcPr>
          <w:p w14:paraId="686BD3D0" w14:textId="77777777" w:rsidR="00E27DE1" w:rsidRPr="00AD6B55" w:rsidRDefault="00E27DE1" w:rsidP="002B0D6D">
            <w:pPr>
              <w:keepNext/>
              <w:spacing w:line="240" w:lineRule="auto"/>
              <w:jc w:val="right"/>
              <w:cnfStyle w:val="000000000000" w:firstRow="0" w:lastRow="0" w:firstColumn="0" w:lastColumn="0" w:oddVBand="0" w:evenVBand="0" w:oddHBand="0" w:evenHBand="0" w:firstRowFirstColumn="0" w:firstRowLastColumn="0" w:lastRowFirstColumn="0" w:lastRowLastColumn="0"/>
              <w:rPr>
                <w:color w:val="000000"/>
                <w:sz w:val="16"/>
                <w:szCs w:val="16"/>
                <w:lang w:val="en-US"/>
              </w:rPr>
            </w:pPr>
          </w:p>
        </w:tc>
        <w:tc>
          <w:tcPr>
            <w:tcW w:w="3119" w:type="dxa"/>
            <w:noWrap/>
            <w:hideMark/>
          </w:tcPr>
          <w:p w14:paraId="0BA9BE8A" w14:textId="77777777" w:rsidR="00E27DE1" w:rsidRPr="00AD6B55" w:rsidRDefault="00E27DE1" w:rsidP="002B0D6D">
            <w:pPr>
              <w:keepNext/>
              <w:spacing w:line="240" w:lineRule="auto"/>
              <w:jc w:val="left"/>
              <w:cnfStyle w:val="000000000000" w:firstRow="0" w:lastRow="0" w:firstColumn="0" w:lastColumn="0" w:oddVBand="0" w:evenVBand="0" w:oddHBand="0" w:evenHBand="0" w:firstRowFirstColumn="0" w:firstRowLastColumn="0" w:lastRowFirstColumn="0" w:lastRowLastColumn="0"/>
              <w:rPr>
                <w:color w:val="000000"/>
                <w:sz w:val="16"/>
                <w:szCs w:val="16"/>
                <w:lang w:val="en-US"/>
              </w:rPr>
            </w:pPr>
            <w:r w:rsidRPr="00AD6B55">
              <w:rPr>
                <w:color w:val="000000"/>
                <w:sz w:val="16"/>
                <w:szCs w:val="16"/>
                <w:lang w:val="en-US"/>
              </w:rPr>
              <w:t>Communications and Digital Technologies</w:t>
            </w:r>
          </w:p>
        </w:tc>
        <w:tc>
          <w:tcPr>
            <w:tcW w:w="1275" w:type="dxa"/>
            <w:noWrap/>
            <w:hideMark/>
          </w:tcPr>
          <w:p w14:paraId="09FF5DCC" w14:textId="77777777" w:rsidR="00E27DE1" w:rsidRPr="00AD6B55" w:rsidRDefault="00E27DE1" w:rsidP="002B0D6D">
            <w:pPr>
              <w:keepNext/>
              <w:spacing w:line="24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val="en-US"/>
              </w:rPr>
            </w:pPr>
            <w:r w:rsidRPr="00AD6B55">
              <w:rPr>
                <w:color w:val="000000"/>
                <w:sz w:val="16"/>
                <w:szCs w:val="16"/>
                <w:lang w:val="en-US"/>
              </w:rPr>
              <w:t>87.6%</w:t>
            </w:r>
          </w:p>
        </w:tc>
      </w:tr>
      <w:tr w:rsidR="00E27DE1" w:rsidRPr="00AD6B55" w14:paraId="5DD75446" w14:textId="77777777" w:rsidTr="0029322E">
        <w:trPr>
          <w:trHeight w:val="204"/>
        </w:trPr>
        <w:tc>
          <w:tcPr>
            <w:cnfStyle w:val="001000000000" w:firstRow="0" w:lastRow="0" w:firstColumn="1" w:lastColumn="0" w:oddVBand="0" w:evenVBand="0" w:oddHBand="0" w:evenHBand="0" w:firstRowFirstColumn="0" w:firstRowLastColumn="0" w:lastRowFirstColumn="0" w:lastRowLastColumn="0"/>
            <w:tcW w:w="3681" w:type="dxa"/>
            <w:noWrap/>
            <w:hideMark/>
          </w:tcPr>
          <w:p w14:paraId="2A36E2AF" w14:textId="77777777" w:rsidR="00E27DE1" w:rsidRPr="006D2681" w:rsidRDefault="00E27DE1" w:rsidP="002B0D6D">
            <w:pPr>
              <w:keepNext/>
              <w:spacing w:line="240" w:lineRule="auto"/>
              <w:jc w:val="left"/>
              <w:rPr>
                <w:b w:val="0"/>
                <w:color w:val="000000"/>
                <w:sz w:val="16"/>
                <w:szCs w:val="16"/>
                <w:lang w:val="en-US"/>
              </w:rPr>
            </w:pPr>
            <w:r w:rsidRPr="006D2681">
              <w:rPr>
                <w:b w:val="0"/>
                <w:color w:val="000000"/>
                <w:sz w:val="16"/>
                <w:szCs w:val="16"/>
                <w:lang w:val="en-US"/>
              </w:rPr>
              <w:t>Public Service and Administration</w:t>
            </w:r>
          </w:p>
        </w:tc>
        <w:tc>
          <w:tcPr>
            <w:tcW w:w="1276" w:type="dxa"/>
            <w:noWrap/>
            <w:hideMark/>
          </w:tcPr>
          <w:p w14:paraId="16A31716" w14:textId="77777777" w:rsidR="00E27DE1" w:rsidRPr="00AD6B55" w:rsidRDefault="00E27DE1" w:rsidP="002B0D6D">
            <w:pPr>
              <w:keepNext/>
              <w:spacing w:line="24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val="en-US"/>
              </w:rPr>
            </w:pPr>
            <w:r w:rsidRPr="00AD6B55">
              <w:rPr>
                <w:color w:val="000000"/>
                <w:sz w:val="16"/>
                <w:szCs w:val="16"/>
                <w:lang w:val="en-US"/>
              </w:rPr>
              <w:t>96.6%</w:t>
            </w:r>
          </w:p>
        </w:tc>
        <w:tc>
          <w:tcPr>
            <w:tcW w:w="283" w:type="dxa"/>
            <w:shd w:val="clear" w:color="auto" w:fill="D6E3BC" w:themeFill="accent3" w:themeFillTint="66"/>
            <w:noWrap/>
            <w:hideMark/>
          </w:tcPr>
          <w:p w14:paraId="09B973B9" w14:textId="77777777" w:rsidR="00E27DE1" w:rsidRPr="00AD6B55" w:rsidRDefault="00E27DE1" w:rsidP="002B0D6D">
            <w:pPr>
              <w:keepNext/>
              <w:spacing w:line="240" w:lineRule="auto"/>
              <w:jc w:val="right"/>
              <w:cnfStyle w:val="000000000000" w:firstRow="0" w:lastRow="0" w:firstColumn="0" w:lastColumn="0" w:oddVBand="0" w:evenVBand="0" w:oddHBand="0" w:evenHBand="0" w:firstRowFirstColumn="0" w:firstRowLastColumn="0" w:lastRowFirstColumn="0" w:lastRowLastColumn="0"/>
              <w:rPr>
                <w:color w:val="000000"/>
                <w:sz w:val="16"/>
                <w:szCs w:val="16"/>
                <w:lang w:val="en-US"/>
              </w:rPr>
            </w:pPr>
          </w:p>
        </w:tc>
        <w:tc>
          <w:tcPr>
            <w:tcW w:w="3119" w:type="dxa"/>
            <w:noWrap/>
            <w:hideMark/>
          </w:tcPr>
          <w:p w14:paraId="2A9933AF" w14:textId="77777777" w:rsidR="00E27DE1" w:rsidRPr="00AD6B55" w:rsidRDefault="00E27DE1" w:rsidP="002B0D6D">
            <w:pPr>
              <w:keepNext/>
              <w:spacing w:line="240" w:lineRule="auto"/>
              <w:jc w:val="left"/>
              <w:cnfStyle w:val="000000000000" w:firstRow="0" w:lastRow="0" w:firstColumn="0" w:lastColumn="0" w:oddVBand="0" w:evenVBand="0" w:oddHBand="0" w:evenHBand="0" w:firstRowFirstColumn="0" w:firstRowLastColumn="0" w:lastRowFirstColumn="0" w:lastRowLastColumn="0"/>
              <w:rPr>
                <w:color w:val="000000"/>
                <w:sz w:val="16"/>
                <w:szCs w:val="16"/>
                <w:lang w:val="en-US"/>
              </w:rPr>
            </w:pPr>
            <w:r w:rsidRPr="00AD6B55">
              <w:rPr>
                <w:color w:val="000000"/>
                <w:sz w:val="16"/>
                <w:szCs w:val="16"/>
                <w:lang w:val="en-US"/>
              </w:rPr>
              <w:t>Employment and Labour</w:t>
            </w:r>
          </w:p>
        </w:tc>
        <w:tc>
          <w:tcPr>
            <w:tcW w:w="1275" w:type="dxa"/>
            <w:noWrap/>
            <w:hideMark/>
          </w:tcPr>
          <w:p w14:paraId="5260923F" w14:textId="77777777" w:rsidR="00E27DE1" w:rsidRPr="00AD6B55" w:rsidRDefault="00E27DE1" w:rsidP="002B0D6D">
            <w:pPr>
              <w:keepNext/>
              <w:spacing w:line="24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val="en-US"/>
              </w:rPr>
            </w:pPr>
            <w:r w:rsidRPr="00AD6B55">
              <w:rPr>
                <w:color w:val="000000"/>
                <w:sz w:val="16"/>
                <w:szCs w:val="16"/>
                <w:lang w:val="en-US"/>
              </w:rPr>
              <w:t>95.7%</w:t>
            </w:r>
          </w:p>
        </w:tc>
      </w:tr>
      <w:tr w:rsidR="00E27DE1" w:rsidRPr="00AD6B55" w14:paraId="24D6ED7C" w14:textId="77777777" w:rsidTr="0029322E">
        <w:trPr>
          <w:trHeight w:val="261"/>
        </w:trPr>
        <w:tc>
          <w:tcPr>
            <w:cnfStyle w:val="001000000000" w:firstRow="0" w:lastRow="0" w:firstColumn="1" w:lastColumn="0" w:oddVBand="0" w:evenVBand="0" w:oddHBand="0" w:evenHBand="0" w:firstRowFirstColumn="0" w:firstRowLastColumn="0" w:lastRowFirstColumn="0" w:lastRowLastColumn="0"/>
            <w:tcW w:w="3681" w:type="dxa"/>
            <w:noWrap/>
            <w:hideMark/>
          </w:tcPr>
          <w:p w14:paraId="28C8F605" w14:textId="77777777" w:rsidR="00E27DE1" w:rsidRPr="006D2681" w:rsidRDefault="00E27DE1" w:rsidP="002B0D6D">
            <w:pPr>
              <w:keepNext/>
              <w:spacing w:line="240" w:lineRule="auto"/>
              <w:jc w:val="left"/>
              <w:rPr>
                <w:b w:val="0"/>
                <w:color w:val="000000"/>
                <w:sz w:val="16"/>
                <w:szCs w:val="16"/>
                <w:lang w:val="en-US"/>
              </w:rPr>
            </w:pPr>
            <w:r w:rsidRPr="006D2681">
              <w:rPr>
                <w:b w:val="0"/>
                <w:color w:val="000000"/>
                <w:sz w:val="16"/>
                <w:szCs w:val="16"/>
                <w:lang w:val="en-US"/>
              </w:rPr>
              <w:t>Public Service Commission</w:t>
            </w:r>
          </w:p>
        </w:tc>
        <w:tc>
          <w:tcPr>
            <w:tcW w:w="1276" w:type="dxa"/>
            <w:noWrap/>
            <w:hideMark/>
          </w:tcPr>
          <w:p w14:paraId="4092E992" w14:textId="77777777" w:rsidR="00E27DE1" w:rsidRPr="00AD6B55" w:rsidRDefault="00E27DE1" w:rsidP="002B0D6D">
            <w:pPr>
              <w:keepNext/>
              <w:spacing w:line="24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val="en-US"/>
              </w:rPr>
            </w:pPr>
            <w:r w:rsidRPr="00AD6B55">
              <w:rPr>
                <w:color w:val="000000"/>
                <w:sz w:val="16"/>
                <w:szCs w:val="16"/>
                <w:lang w:val="en-US"/>
              </w:rPr>
              <w:t>100.4%</w:t>
            </w:r>
          </w:p>
        </w:tc>
        <w:tc>
          <w:tcPr>
            <w:tcW w:w="283" w:type="dxa"/>
            <w:shd w:val="clear" w:color="auto" w:fill="D6E3BC" w:themeFill="accent3" w:themeFillTint="66"/>
            <w:noWrap/>
            <w:hideMark/>
          </w:tcPr>
          <w:p w14:paraId="5F175204" w14:textId="77777777" w:rsidR="00E27DE1" w:rsidRPr="00AD6B55" w:rsidRDefault="00E27DE1" w:rsidP="002B0D6D">
            <w:pPr>
              <w:keepNext/>
              <w:spacing w:line="240" w:lineRule="auto"/>
              <w:jc w:val="right"/>
              <w:cnfStyle w:val="000000000000" w:firstRow="0" w:lastRow="0" w:firstColumn="0" w:lastColumn="0" w:oddVBand="0" w:evenVBand="0" w:oddHBand="0" w:evenHBand="0" w:firstRowFirstColumn="0" w:firstRowLastColumn="0" w:lastRowFirstColumn="0" w:lastRowLastColumn="0"/>
              <w:rPr>
                <w:color w:val="000000"/>
                <w:sz w:val="16"/>
                <w:szCs w:val="16"/>
                <w:lang w:val="en-US"/>
              </w:rPr>
            </w:pPr>
          </w:p>
        </w:tc>
        <w:tc>
          <w:tcPr>
            <w:tcW w:w="3119" w:type="dxa"/>
            <w:noWrap/>
            <w:hideMark/>
          </w:tcPr>
          <w:p w14:paraId="1CB24456" w14:textId="77777777" w:rsidR="00E27DE1" w:rsidRPr="00AD6B55" w:rsidRDefault="00E27DE1" w:rsidP="002B0D6D">
            <w:pPr>
              <w:keepNext/>
              <w:spacing w:line="240" w:lineRule="auto"/>
              <w:jc w:val="left"/>
              <w:cnfStyle w:val="000000000000" w:firstRow="0" w:lastRow="0" w:firstColumn="0" w:lastColumn="0" w:oddVBand="0" w:evenVBand="0" w:oddHBand="0" w:evenHBand="0" w:firstRowFirstColumn="0" w:firstRowLastColumn="0" w:lastRowFirstColumn="0" w:lastRowLastColumn="0"/>
              <w:rPr>
                <w:color w:val="000000"/>
                <w:sz w:val="16"/>
                <w:szCs w:val="16"/>
                <w:lang w:val="en-US"/>
              </w:rPr>
            </w:pPr>
            <w:r w:rsidRPr="00AD6B55">
              <w:rPr>
                <w:color w:val="000000"/>
                <w:sz w:val="16"/>
                <w:szCs w:val="16"/>
                <w:lang w:val="en-US"/>
              </w:rPr>
              <w:t>Environment, Forestry and Fisheries</w:t>
            </w:r>
          </w:p>
        </w:tc>
        <w:tc>
          <w:tcPr>
            <w:tcW w:w="1275" w:type="dxa"/>
            <w:noWrap/>
            <w:hideMark/>
          </w:tcPr>
          <w:p w14:paraId="7DF46BC2" w14:textId="77777777" w:rsidR="00E27DE1" w:rsidRPr="00AD6B55" w:rsidRDefault="00E27DE1" w:rsidP="002B0D6D">
            <w:pPr>
              <w:keepNext/>
              <w:spacing w:line="24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val="en-US"/>
              </w:rPr>
            </w:pPr>
            <w:r w:rsidRPr="00AD6B55">
              <w:rPr>
                <w:color w:val="000000"/>
                <w:sz w:val="16"/>
                <w:szCs w:val="16"/>
                <w:lang w:val="en-US"/>
              </w:rPr>
              <w:t>98.0%</w:t>
            </w:r>
          </w:p>
        </w:tc>
      </w:tr>
      <w:tr w:rsidR="00E27DE1" w:rsidRPr="00AD6B55" w14:paraId="7C703C7E" w14:textId="77777777" w:rsidTr="0029322E">
        <w:trPr>
          <w:trHeight w:val="204"/>
        </w:trPr>
        <w:tc>
          <w:tcPr>
            <w:cnfStyle w:val="001000000000" w:firstRow="0" w:lastRow="0" w:firstColumn="1" w:lastColumn="0" w:oddVBand="0" w:evenVBand="0" w:oddHBand="0" w:evenHBand="0" w:firstRowFirstColumn="0" w:firstRowLastColumn="0" w:lastRowFirstColumn="0" w:lastRowLastColumn="0"/>
            <w:tcW w:w="3681" w:type="dxa"/>
            <w:noWrap/>
            <w:hideMark/>
          </w:tcPr>
          <w:p w14:paraId="64617933" w14:textId="77777777" w:rsidR="00E27DE1" w:rsidRPr="006D2681" w:rsidRDefault="00E27DE1" w:rsidP="002B0D6D">
            <w:pPr>
              <w:keepNext/>
              <w:spacing w:line="240" w:lineRule="auto"/>
              <w:jc w:val="left"/>
              <w:rPr>
                <w:b w:val="0"/>
                <w:color w:val="000000"/>
                <w:sz w:val="16"/>
                <w:szCs w:val="16"/>
                <w:lang w:val="en-US"/>
              </w:rPr>
            </w:pPr>
            <w:r w:rsidRPr="006D2681">
              <w:rPr>
                <w:b w:val="0"/>
                <w:color w:val="000000"/>
                <w:sz w:val="16"/>
                <w:szCs w:val="16"/>
                <w:lang w:val="en-US"/>
              </w:rPr>
              <w:t>Public Works and Infrastructure</w:t>
            </w:r>
          </w:p>
        </w:tc>
        <w:tc>
          <w:tcPr>
            <w:tcW w:w="1276" w:type="dxa"/>
            <w:noWrap/>
            <w:hideMark/>
          </w:tcPr>
          <w:p w14:paraId="0A737A7D" w14:textId="77777777" w:rsidR="00E27DE1" w:rsidRPr="00AD6B55" w:rsidRDefault="00E27DE1" w:rsidP="002B0D6D">
            <w:pPr>
              <w:keepNext/>
              <w:spacing w:line="24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val="en-US"/>
              </w:rPr>
            </w:pPr>
            <w:r w:rsidRPr="00AD6B55">
              <w:rPr>
                <w:color w:val="000000"/>
                <w:sz w:val="16"/>
                <w:szCs w:val="16"/>
                <w:lang w:val="en-US"/>
              </w:rPr>
              <w:t>99.2%</w:t>
            </w:r>
          </w:p>
        </w:tc>
        <w:tc>
          <w:tcPr>
            <w:tcW w:w="283" w:type="dxa"/>
            <w:shd w:val="clear" w:color="auto" w:fill="D6E3BC" w:themeFill="accent3" w:themeFillTint="66"/>
            <w:noWrap/>
            <w:hideMark/>
          </w:tcPr>
          <w:p w14:paraId="0B2EC28A" w14:textId="77777777" w:rsidR="00E27DE1" w:rsidRPr="00AD6B55" w:rsidRDefault="00E27DE1" w:rsidP="002B0D6D">
            <w:pPr>
              <w:keepNext/>
              <w:spacing w:line="240" w:lineRule="auto"/>
              <w:jc w:val="right"/>
              <w:cnfStyle w:val="000000000000" w:firstRow="0" w:lastRow="0" w:firstColumn="0" w:lastColumn="0" w:oddVBand="0" w:evenVBand="0" w:oddHBand="0" w:evenHBand="0" w:firstRowFirstColumn="0" w:firstRowLastColumn="0" w:lastRowFirstColumn="0" w:lastRowLastColumn="0"/>
              <w:rPr>
                <w:color w:val="000000"/>
                <w:sz w:val="16"/>
                <w:szCs w:val="16"/>
                <w:lang w:val="en-US"/>
              </w:rPr>
            </w:pPr>
          </w:p>
        </w:tc>
        <w:tc>
          <w:tcPr>
            <w:tcW w:w="3119" w:type="dxa"/>
            <w:noWrap/>
            <w:hideMark/>
          </w:tcPr>
          <w:p w14:paraId="1BE9D34B" w14:textId="77777777" w:rsidR="00E27DE1" w:rsidRPr="00AD6B55" w:rsidRDefault="00E27DE1" w:rsidP="002B0D6D">
            <w:pPr>
              <w:keepNext/>
              <w:spacing w:line="240" w:lineRule="auto"/>
              <w:jc w:val="left"/>
              <w:cnfStyle w:val="000000000000" w:firstRow="0" w:lastRow="0" w:firstColumn="0" w:lastColumn="0" w:oddVBand="0" w:evenVBand="0" w:oddHBand="0" w:evenHBand="0" w:firstRowFirstColumn="0" w:firstRowLastColumn="0" w:lastRowFirstColumn="0" w:lastRowLastColumn="0"/>
              <w:rPr>
                <w:color w:val="000000"/>
                <w:sz w:val="16"/>
                <w:szCs w:val="16"/>
                <w:lang w:val="en-US"/>
              </w:rPr>
            </w:pPr>
            <w:r w:rsidRPr="00AD6B55">
              <w:rPr>
                <w:color w:val="000000"/>
                <w:sz w:val="16"/>
                <w:szCs w:val="16"/>
                <w:lang w:val="en-US"/>
              </w:rPr>
              <w:t>Human Settlements</w:t>
            </w:r>
          </w:p>
        </w:tc>
        <w:tc>
          <w:tcPr>
            <w:tcW w:w="1275" w:type="dxa"/>
            <w:noWrap/>
            <w:hideMark/>
          </w:tcPr>
          <w:p w14:paraId="745BAFB2" w14:textId="77777777" w:rsidR="00E27DE1" w:rsidRPr="00AD6B55" w:rsidRDefault="00E27DE1" w:rsidP="002B0D6D">
            <w:pPr>
              <w:keepNext/>
              <w:spacing w:line="24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val="en-US"/>
              </w:rPr>
            </w:pPr>
            <w:r w:rsidRPr="00AD6B55">
              <w:rPr>
                <w:color w:val="000000"/>
                <w:sz w:val="16"/>
                <w:szCs w:val="16"/>
                <w:lang w:val="en-US"/>
              </w:rPr>
              <w:t>99.6%</w:t>
            </w:r>
          </w:p>
        </w:tc>
      </w:tr>
      <w:tr w:rsidR="00E27DE1" w:rsidRPr="00AD6B55" w14:paraId="15178B5D" w14:textId="77777777" w:rsidTr="0029322E">
        <w:trPr>
          <w:trHeight w:val="204"/>
        </w:trPr>
        <w:tc>
          <w:tcPr>
            <w:cnfStyle w:val="001000000000" w:firstRow="0" w:lastRow="0" w:firstColumn="1" w:lastColumn="0" w:oddVBand="0" w:evenVBand="0" w:oddHBand="0" w:evenHBand="0" w:firstRowFirstColumn="0" w:firstRowLastColumn="0" w:lastRowFirstColumn="0" w:lastRowLastColumn="0"/>
            <w:tcW w:w="3681" w:type="dxa"/>
            <w:noWrap/>
            <w:hideMark/>
          </w:tcPr>
          <w:p w14:paraId="78CD9F49" w14:textId="77777777" w:rsidR="00E27DE1" w:rsidRPr="006D2681" w:rsidRDefault="00E27DE1" w:rsidP="002B0D6D">
            <w:pPr>
              <w:keepNext/>
              <w:spacing w:line="240" w:lineRule="auto"/>
              <w:jc w:val="left"/>
              <w:rPr>
                <w:b w:val="0"/>
                <w:color w:val="000000"/>
                <w:sz w:val="16"/>
                <w:szCs w:val="16"/>
                <w:lang w:val="en-US"/>
              </w:rPr>
            </w:pPr>
            <w:r w:rsidRPr="006D2681">
              <w:rPr>
                <w:b w:val="0"/>
                <w:color w:val="000000"/>
                <w:sz w:val="16"/>
                <w:szCs w:val="16"/>
                <w:lang w:val="en-US"/>
              </w:rPr>
              <w:t>Statistics South Africa</w:t>
            </w:r>
          </w:p>
        </w:tc>
        <w:tc>
          <w:tcPr>
            <w:tcW w:w="1276" w:type="dxa"/>
            <w:noWrap/>
            <w:hideMark/>
          </w:tcPr>
          <w:p w14:paraId="0364BAEB" w14:textId="77777777" w:rsidR="00E27DE1" w:rsidRPr="00AD6B55" w:rsidRDefault="00E27DE1" w:rsidP="002B0D6D">
            <w:pPr>
              <w:keepNext/>
              <w:spacing w:line="24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val="en-US"/>
              </w:rPr>
            </w:pPr>
            <w:r w:rsidRPr="00AD6B55">
              <w:rPr>
                <w:color w:val="000000"/>
                <w:sz w:val="16"/>
                <w:szCs w:val="16"/>
                <w:lang w:val="en-US"/>
              </w:rPr>
              <w:t>99.9%</w:t>
            </w:r>
          </w:p>
        </w:tc>
        <w:tc>
          <w:tcPr>
            <w:tcW w:w="283" w:type="dxa"/>
            <w:shd w:val="clear" w:color="auto" w:fill="D6E3BC" w:themeFill="accent3" w:themeFillTint="66"/>
            <w:noWrap/>
            <w:hideMark/>
          </w:tcPr>
          <w:p w14:paraId="4A63858A" w14:textId="77777777" w:rsidR="00E27DE1" w:rsidRPr="00AD6B55" w:rsidRDefault="00E27DE1" w:rsidP="002B0D6D">
            <w:pPr>
              <w:keepNext/>
              <w:spacing w:line="240" w:lineRule="auto"/>
              <w:jc w:val="right"/>
              <w:cnfStyle w:val="000000000000" w:firstRow="0" w:lastRow="0" w:firstColumn="0" w:lastColumn="0" w:oddVBand="0" w:evenVBand="0" w:oddHBand="0" w:evenHBand="0" w:firstRowFirstColumn="0" w:firstRowLastColumn="0" w:lastRowFirstColumn="0" w:lastRowLastColumn="0"/>
              <w:rPr>
                <w:color w:val="000000"/>
                <w:sz w:val="16"/>
                <w:szCs w:val="16"/>
                <w:lang w:val="en-US"/>
              </w:rPr>
            </w:pPr>
          </w:p>
        </w:tc>
        <w:tc>
          <w:tcPr>
            <w:tcW w:w="3119" w:type="dxa"/>
            <w:noWrap/>
            <w:hideMark/>
          </w:tcPr>
          <w:p w14:paraId="6706D380" w14:textId="77777777" w:rsidR="00E27DE1" w:rsidRPr="00AD6B55" w:rsidRDefault="00E27DE1" w:rsidP="002B0D6D">
            <w:pPr>
              <w:keepNext/>
              <w:spacing w:line="240" w:lineRule="auto"/>
              <w:jc w:val="left"/>
              <w:cnfStyle w:val="000000000000" w:firstRow="0" w:lastRow="0" w:firstColumn="0" w:lastColumn="0" w:oddVBand="0" w:evenVBand="0" w:oddHBand="0" w:evenHBand="0" w:firstRowFirstColumn="0" w:firstRowLastColumn="0" w:lastRowFirstColumn="0" w:lastRowLastColumn="0"/>
              <w:rPr>
                <w:color w:val="000000"/>
                <w:sz w:val="16"/>
                <w:szCs w:val="16"/>
                <w:lang w:val="en-US"/>
              </w:rPr>
            </w:pPr>
            <w:r w:rsidRPr="00AD6B55">
              <w:rPr>
                <w:color w:val="000000"/>
                <w:sz w:val="16"/>
                <w:szCs w:val="16"/>
                <w:lang w:val="en-US"/>
              </w:rPr>
              <w:t>Mineral Resources and Energy</w:t>
            </w:r>
          </w:p>
        </w:tc>
        <w:tc>
          <w:tcPr>
            <w:tcW w:w="1275" w:type="dxa"/>
            <w:noWrap/>
            <w:hideMark/>
          </w:tcPr>
          <w:p w14:paraId="0BECC393" w14:textId="77777777" w:rsidR="00E27DE1" w:rsidRPr="00AD6B55" w:rsidRDefault="00E27DE1" w:rsidP="002B0D6D">
            <w:pPr>
              <w:keepNext/>
              <w:spacing w:line="24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val="en-US"/>
              </w:rPr>
            </w:pPr>
            <w:r w:rsidRPr="00AD6B55">
              <w:rPr>
                <w:color w:val="000000"/>
                <w:sz w:val="16"/>
                <w:szCs w:val="16"/>
                <w:lang w:val="en-US"/>
              </w:rPr>
              <w:t>98.7%</w:t>
            </w:r>
          </w:p>
        </w:tc>
      </w:tr>
      <w:tr w:rsidR="00E27DE1" w:rsidRPr="00AD6B55" w14:paraId="237EC9C8" w14:textId="77777777" w:rsidTr="0029322E">
        <w:trPr>
          <w:trHeight w:val="204"/>
        </w:trPr>
        <w:tc>
          <w:tcPr>
            <w:cnfStyle w:val="001000000000" w:firstRow="0" w:lastRow="0" w:firstColumn="1" w:lastColumn="0" w:oddVBand="0" w:evenVBand="0" w:oddHBand="0" w:evenHBand="0" w:firstRowFirstColumn="0" w:firstRowLastColumn="0" w:lastRowFirstColumn="0" w:lastRowLastColumn="0"/>
            <w:tcW w:w="3681" w:type="dxa"/>
            <w:noWrap/>
            <w:hideMark/>
          </w:tcPr>
          <w:p w14:paraId="434A21A9" w14:textId="77777777" w:rsidR="00E27DE1" w:rsidRPr="006D2681" w:rsidRDefault="00E27DE1" w:rsidP="002B0D6D">
            <w:pPr>
              <w:keepNext/>
              <w:spacing w:line="240" w:lineRule="auto"/>
              <w:jc w:val="left"/>
              <w:rPr>
                <w:b w:val="0"/>
                <w:color w:val="000000"/>
                <w:sz w:val="16"/>
                <w:szCs w:val="16"/>
                <w:lang w:val="en-US"/>
              </w:rPr>
            </w:pPr>
            <w:r w:rsidRPr="006D2681">
              <w:rPr>
                <w:b w:val="0"/>
                <w:color w:val="000000"/>
                <w:sz w:val="16"/>
                <w:szCs w:val="16"/>
                <w:lang w:val="en-US"/>
              </w:rPr>
              <w:t>Traditional Affairs</w:t>
            </w:r>
          </w:p>
        </w:tc>
        <w:tc>
          <w:tcPr>
            <w:tcW w:w="1276" w:type="dxa"/>
            <w:noWrap/>
            <w:hideMark/>
          </w:tcPr>
          <w:p w14:paraId="0DFA370D" w14:textId="77777777" w:rsidR="00E27DE1" w:rsidRPr="00AD6B55" w:rsidRDefault="00E27DE1" w:rsidP="002B0D6D">
            <w:pPr>
              <w:keepNext/>
              <w:spacing w:line="24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val="en-US"/>
              </w:rPr>
            </w:pPr>
            <w:r w:rsidRPr="00AD6B55">
              <w:rPr>
                <w:color w:val="000000"/>
                <w:sz w:val="16"/>
                <w:szCs w:val="16"/>
                <w:lang w:val="en-US"/>
              </w:rPr>
              <w:t>95.6%</w:t>
            </w:r>
          </w:p>
        </w:tc>
        <w:tc>
          <w:tcPr>
            <w:tcW w:w="283" w:type="dxa"/>
            <w:shd w:val="clear" w:color="auto" w:fill="D6E3BC" w:themeFill="accent3" w:themeFillTint="66"/>
            <w:noWrap/>
            <w:hideMark/>
          </w:tcPr>
          <w:p w14:paraId="531E9B5A" w14:textId="77777777" w:rsidR="00E27DE1" w:rsidRPr="00AD6B55" w:rsidRDefault="00E27DE1" w:rsidP="002B0D6D">
            <w:pPr>
              <w:keepNext/>
              <w:spacing w:line="240" w:lineRule="auto"/>
              <w:jc w:val="right"/>
              <w:cnfStyle w:val="000000000000" w:firstRow="0" w:lastRow="0" w:firstColumn="0" w:lastColumn="0" w:oddVBand="0" w:evenVBand="0" w:oddHBand="0" w:evenHBand="0" w:firstRowFirstColumn="0" w:firstRowLastColumn="0" w:lastRowFirstColumn="0" w:lastRowLastColumn="0"/>
              <w:rPr>
                <w:color w:val="000000"/>
                <w:sz w:val="16"/>
                <w:szCs w:val="16"/>
                <w:lang w:val="en-US"/>
              </w:rPr>
            </w:pPr>
          </w:p>
        </w:tc>
        <w:tc>
          <w:tcPr>
            <w:tcW w:w="3119" w:type="dxa"/>
            <w:noWrap/>
            <w:hideMark/>
          </w:tcPr>
          <w:p w14:paraId="583ABD49" w14:textId="77777777" w:rsidR="00E27DE1" w:rsidRPr="00AD6B55" w:rsidRDefault="00E27DE1" w:rsidP="002B0D6D">
            <w:pPr>
              <w:keepNext/>
              <w:spacing w:line="240" w:lineRule="auto"/>
              <w:jc w:val="left"/>
              <w:cnfStyle w:val="000000000000" w:firstRow="0" w:lastRow="0" w:firstColumn="0" w:lastColumn="0" w:oddVBand="0" w:evenVBand="0" w:oddHBand="0" w:evenHBand="0" w:firstRowFirstColumn="0" w:firstRowLastColumn="0" w:lastRowFirstColumn="0" w:lastRowLastColumn="0"/>
              <w:rPr>
                <w:color w:val="000000"/>
                <w:sz w:val="16"/>
                <w:szCs w:val="16"/>
                <w:lang w:val="en-US"/>
              </w:rPr>
            </w:pPr>
            <w:r w:rsidRPr="00AD6B55">
              <w:rPr>
                <w:color w:val="000000"/>
                <w:sz w:val="16"/>
                <w:szCs w:val="16"/>
                <w:lang w:val="en-US"/>
              </w:rPr>
              <w:t>Science and Innovation</w:t>
            </w:r>
          </w:p>
        </w:tc>
        <w:tc>
          <w:tcPr>
            <w:tcW w:w="1275" w:type="dxa"/>
            <w:noWrap/>
            <w:hideMark/>
          </w:tcPr>
          <w:p w14:paraId="607C8172" w14:textId="77777777" w:rsidR="00E27DE1" w:rsidRPr="00AD6B55" w:rsidRDefault="00E27DE1" w:rsidP="002B0D6D">
            <w:pPr>
              <w:keepNext/>
              <w:spacing w:line="24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val="en-US"/>
              </w:rPr>
            </w:pPr>
            <w:r w:rsidRPr="00AD6B55">
              <w:rPr>
                <w:color w:val="000000"/>
                <w:sz w:val="16"/>
                <w:szCs w:val="16"/>
                <w:lang w:val="en-US"/>
              </w:rPr>
              <w:t>99.4%</w:t>
            </w:r>
          </w:p>
        </w:tc>
      </w:tr>
      <w:tr w:rsidR="00E27DE1" w:rsidRPr="00AD6B55" w14:paraId="3542057F" w14:textId="77777777" w:rsidTr="0029322E">
        <w:trPr>
          <w:trHeight w:val="204"/>
        </w:trPr>
        <w:tc>
          <w:tcPr>
            <w:cnfStyle w:val="001000000000" w:firstRow="0" w:lastRow="0" w:firstColumn="1" w:lastColumn="0" w:oddVBand="0" w:evenVBand="0" w:oddHBand="0" w:evenHBand="0" w:firstRowFirstColumn="0" w:firstRowLastColumn="0" w:lastRowFirstColumn="0" w:lastRowLastColumn="0"/>
            <w:tcW w:w="3681" w:type="dxa"/>
            <w:noWrap/>
            <w:hideMark/>
          </w:tcPr>
          <w:p w14:paraId="520FCF8D" w14:textId="77777777" w:rsidR="00E27DE1" w:rsidRPr="006D2681" w:rsidRDefault="00E27DE1" w:rsidP="002B0D6D">
            <w:pPr>
              <w:keepNext/>
              <w:spacing w:line="240" w:lineRule="auto"/>
              <w:jc w:val="left"/>
              <w:rPr>
                <w:b w:val="0"/>
                <w:color w:val="000000"/>
                <w:sz w:val="16"/>
                <w:szCs w:val="16"/>
                <w:lang w:val="en-US"/>
              </w:rPr>
            </w:pPr>
            <w:r w:rsidRPr="006D2681">
              <w:rPr>
                <w:b w:val="0"/>
                <w:color w:val="000000"/>
                <w:sz w:val="16"/>
                <w:szCs w:val="16"/>
                <w:lang w:val="en-US"/>
              </w:rPr>
              <w:t>Basic Education</w:t>
            </w:r>
          </w:p>
        </w:tc>
        <w:tc>
          <w:tcPr>
            <w:tcW w:w="1276" w:type="dxa"/>
            <w:noWrap/>
            <w:hideMark/>
          </w:tcPr>
          <w:p w14:paraId="439A4284" w14:textId="77777777" w:rsidR="00E27DE1" w:rsidRPr="00AD6B55" w:rsidRDefault="00E27DE1" w:rsidP="002B0D6D">
            <w:pPr>
              <w:keepNext/>
              <w:spacing w:line="24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val="en-US"/>
              </w:rPr>
            </w:pPr>
            <w:r w:rsidRPr="00AD6B55">
              <w:rPr>
                <w:color w:val="000000"/>
                <w:sz w:val="16"/>
                <w:szCs w:val="16"/>
                <w:lang w:val="en-US"/>
              </w:rPr>
              <w:t>98.2%</w:t>
            </w:r>
          </w:p>
        </w:tc>
        <w:tc>
          <w:tcPr>
            <w:tcW w:w="283" w:type="dxa"/>
            <w:shd w:val="clear" w:color="auto" w:fill="D6E3BC" w:themeFill="accent3" w:themeFillTint="66"/>
            <w:noWrap/>
            <w:hideMark/>
          </w:tcPr>
          <w:p w14:paraId="0FF6AA2E" w14:textId="77777777" w:rsidR="00E27DE1" w:rsidRPr="00AD6B55" w:rsidRDefault="00E27DE1" w:rsidP="002B0D6D">
            <w:pPr>
              <w:keepNext/>
              <w:spacing w:line="240" w:lineRule="auto"/>
              <w:jc w:val="right"/>
              <w:cnfStyle w:val="000000000000" w:firstRow="0" w:lastRow="0" w:firstColumn="0" w:lastColumn="0" w:oddVBand="0" w:evenVBand="0" w:oddHBand="0" w:evenHBand="0" w:firstRowFirstColumn="0" w:firstRowLastColumn="0" w:lastRowFirstColumn="0" w:lastRowLastColumn="0"/>
              <w:rPr>
                <w:color w:val="000000"/>
                <w:sz w:val="16"/>
                <w:szCs w:val="16"/>
                <w:lang w:val="en-US"/>
              </w:rPr>
            </w:pPr>
          </w:p>
        </w:tc>
        <w:tc>
          <w:tcPr>
            <w:tcW w:w="3119" w:type="dxa"/>
            <w:noWrap/>
            <w:hideMark/>
          </w:tcPr>
          <w:p w14:paraId="04EB7397" w14:textId="77777777" w:rsidR="00E27DE1" w:rsidRPr="00AD6B55" w:rsidRDefault="00E27DE1" w:rsidP="002B0D6D">
            <w:pPr>
              <w:keepNext/>
              <w:spacing w:line="240" w:lineRule="auto"/>
              <w:jc w:val="left"/>
              <w:cnfStyle w:val="000000000000" w:firstRow="0" w:lastRow="0" w:firstColumn="0" w:lastColumn="0" w:oddVBand="0" w:evenVBand="0" w:oddHBand="0" w:evenHBand="0" w:firstRowFirstColumn="0" w:firstRowLastColumn="0" w:lastRowFirstColumn="0" w:lastRowLastColumn="0"/>
              <w:rPr>
                <w:color w:val="000000"/>
                <w:sz w:val="16"/>
                <w:szCs w:val="16"/>
                <w:lang w:val="en-US"/>
              </w:rPr>
            </w:pPr>
            <w:r w:rsidRPr="00AD6B55">
              <w:rPr>
                <w:color w:val="000000"/>
                <w:sz w:val="16"/>
                <w:szCs w:val="16"/>
                <w:lang w:val="en-US"/>
              </w:rPr>
              <w:t>Small Business Development</w:t>
            </w:r>
          </w:p>
        </w:tc>
        <w:tc>
          <w:tcPr>
            <w:tcW w:w="1275" w:type="dxa"/>
            <w:noWrap/>
            <w:hideMark/>
          </w:tcPr>
          <w:p w14:paraId="57BE2944" w14:textId="77777777" w:rsidR="00E27DE1" w:rsidRPr="00AD6B55" w:rsidRDefault="00E27DE1" w:rsidP="002B0D6D">
            <w:pPr>
              <w:keepNext/>
              <w:spacing w:line="24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val="en-US"/>
              </w:rPr>
            </w:pPr>
            <w:r w:rsidRPr="00AD6B55">
              <w:rPr>
                <w:color w:val="000000"/>
                <w:sz w:val="16"/>
                <w:szCs w:val="16"/>
                <w:lang w:val="en-US"/>
              </w:rPr>
              <w:t>96.3%</w:t>
            </w:r>
          </w:p>
        </w:tc>
      </w:tr>
      <w:tr w:rsidR="00E27DE1" w:rsidRPr="00AD6B55" w14:paraId="7621B3F7" w14:textId="77777777" w:rsidTr="0029322E">
        <w:trPr>
          <w:trHeight w:val="204"/>
        </w:trPr>
        <w:tc>
          <w:tcPr>
            <w:cnfStyle w:val="001000000000" w:firstRow="0" w:lastRow="0" w:firstColumn="1" w:lastColumn="0" w:oddVBand="0" w:evenVBand="0" w:oddHBand="0" w:evenHBand="0" w:firstRowFirstColumn="0" w:firstRowLastColumn="0" w:lastRowFirstColumn="0" w:lastRowLastColumn="0"/>
            <w:tcW w:w="3681" w:type="dxa"/>
            <w:noWrap/>
            <w:hideMark/>
          </w:tcPr>
          <w:p w14:paraId="40D9B347" w14:textId="77777777" w:rsidR="00E27DE1" w:rsidRPr="006D2681" w:rsidRDefault="00E27DE1" w:rsidP="002B0D6D">
            <w:pPr>
              <w:keepNext/>
              <w:spacing w:line="240" w:lineRule="auto"/>
              <w:jc w:val="left"/>
              <w:rPr>
                <w:b w:val="0"/>
                <w:color w:val="000000"/>
                <w:sz w:val="16"/>
                <w:szCs w:val="16"/>
                <w:lang w:val="en-US"/>
              </w:rPr>
            </w:pPr>
            <w:r w:rsidRPr="006D2681">
              <w:rPr>
                <w:b w:val="0"/>
                <w:color w:val="000000"/>
                <w:sz w:val="16"/>
                <w:szCs w:val="16"/>
                <w:lang w:val="en-US"/>
              </w:rPr>
              <w:t>Higher Education and Training</w:t>
            </w:r>
          </w:p>
        </w:tc>
        <w:tc>
          <w:tcPr>
            <w:tcW w:w="1276" w:type="dxa"/>
            <w:noWrap/>
            <w:hideMark/>
          </w:tcPr>
          <w:p w14:paraId="7ABF71F9" w14:textId="77777777" w:rsidR="00E27DE1" w:rsidRPr="00AD6B55" w:rsidRDefault="00E27DE1" w:rsidP="002B0D6D">
            <w:pPr>
              <w:keepNext/>
              <w:spacing w:line="24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val="en-US"/>
              </w:rPr>
            </w:pPr>
            <w:r w:rsidRPr="00AD6B55">
              <w:rPr>
                <w:color w:val="000000"/>
                <w:sz w:val="16"/>
                <w:szCs w:val="16"/>
                <w:lang w:val="en-US"/>
              </w:rPr>
              <w:t>100.0%</w:t>
            </w:r>
          </w:p>
        </w:tc>
        <w:tc>
          <w:tcPr>
            <w:tcW w:w="283" w:type="dxa"/>
            <w:shd w:val="clear" w:color="auto" w:fill="D6E3BC" w:themeFill="accent3" w:themeFillTint="66"/>
            <w:noWrap/>
            <w:hideMark/>
          </w:tcPr>
          <w:p w14:paraId="1D844CBA" w14:textId="77777777" w:rsidR="00E27DE1" w:rsidRPr="00AD6B55" w:rsidRDefault="00E27DE1" w:rsidP="002B0D6D">
            <w:pPr>
              <w:keepNext/>
              <w:spacing w:line="240" w:lineRule="auto"/>
              <w:jc w:val="right"/>
              <w:cnfStyle w:val="000000000000" w:firstRow="0" w:lastRow="0" w:firstColumn="0" w:lastColumn="0" w:oddVBand="0" w:evenVBand="0" w:oddHBand="0" w:evenHBand="0" w:firstRowFirstColumn="0" w:firstRowLastColumn="0" w:lastRowFirstColumn="0" w:lastRowLastColumn="0"/>
              <w:rPr>
                <w:color w:val="000000"/>
                <w:sz w:val="16"/>
                <w:szCs w:val="16"/>
                <w:lang w:val="en-US"/>
              </w:rPr>
            </w:pPr>
          </w:p>
        </w:tc>
        <w:tc>
          <w:tcPr>
            <w:tcW w:w="3119" w:type="dxa"/>
            <w:noWrap/>
            <w:hideMark/>
          </w:tcPr>
          <w:p w14:paraId="77804B5E" w14:textId="77777777" w:rsidR="00E27DE1" w:rsidRPr="00AD6B55" w:rsidRDefault="00E27DE1" w:rsidP="002B0D6D">
            <w:pPr>
              <w:keepNext/>
              <w:spacing w:line="240" w:lineRule="auto"/>
              <w:jc w:val="left"/>
              <w:cnfStyle w:val="000000000000" w:firstRow="0" w:lastRow="0" w:firstColumn="0" w:lastColumn="0" w:oddVBand="0" w:evenVBand="0" w:oddHBand="0" w:evenHBand="0" w:firstRowFirstColumn="0" w:firstRowLastColumn="0" w:lastRowFirstColumn="0" w:lastRowLastColumn="0"/>
              <w:rPr>
                <w:color w:val="000000"/>
                <w:sz w:val="16"/>
                <w:szCs w:val="16"/>
                <w:lang w:val="en-US"/>
              </w:rPr>
            </w:pPr>
            <w:r w:rsidRPr="00AD6B55">
              <w:rPr>
                <w:color w:val="000000"/>
                <w:sz w:val="16"/>
                <w:szCs w:val="16"/>
                <w:lang w:val="en-US"/>
              </w:rPr>
              <w:t>Sports, Arts and Culture</w:t>
            </w:r>
          </w:p>
        </w:tc>
        <w:tc>
          <w:tcPr>
            <w:tcW w:w="1275" w:type="dxa"/>
            <w:noWrap/>
            <w:hideMark/>
          </w:tcPr>
          <w:p w14:paraId="0FD84026" w14:textId="77777777" w:rsidR="00E27DE1" w:rsidRPr="00AD6B55" w:rsidRDefault="00E27DE1" w:rsidP="002B0D6D">
            <w:pPr>
              <w:keepNext/>
              <w:spacing w:line="24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val="en-US"/>
              </w:rPr>
            </w:pPr>
            <w:r w:rsidRPr="00AD6B55">
              <w:rPr>
                <w:color w:val="000000"/>
                <w:sz w:val="16"/>
                <w:szCs w:val="16"/>
                <w:lang w:val="en-US"/>
              </w:rPr>
              <w:t>97.7%</w:t>
            </w:r>
          </w:p>
        </w:tc>
      </w:tr>
      <w:tr w:rsidR="00E27DE1" w:rsidRPr="00AD6B55" w14:paraId="12F3794B" w14:textId="77777777" w:rsidTr="0029322E">
        <w:trPr>
          <w:trHeight w:val="204"/>
        </w:trPr>
        <w:tc>
          <w:tcPr>
            <w:cnfStyle w:val="001000000000" w:firstRow="0" w:lastRow="0" w:firstColumn="1" w:lastColumn="0" w:oddVBand="0" w:evenVBand="0" w:oddHBand="0" w:evenHBand="0" w:firstRowFirstColumn="0" w:firstRowLastColumn="0" w:lastRowFirstColumn="0" w:lastRowLastColumn="0"/>
            <w:tcW w:w="3681" w:type="dxa"/>
            <w:noWrap/>
            <w:hideMark/>
          </w:tcPr>
          <w:p w14:paraId="0601F37C" w14:textId="77777777" w:rsidR="00E27DE1" w:rsidRPr="006D2681" w:rsidRDefault="00E27DE1" w:rsidP="002B0D6D">
            <w:pPr>
              <w:keepNext/>
              <w:spacing w:line="240" w:lineRule="auto"/>
              <w:jc w:val="left"/>
              <w:rPr>
                <w:b w:val="0"/>
                <w:color w:val="000000"/>
                <w:sz w:val="16"/>
                <w:szCs w:val="16"/>
                <w:lang w:val="en-US"/>
              </w:rPr>
            </w:pPr>
            <w:r w:rsidRPr="006D2681">
              <w:rPr>
                <w:b w:val="0"/>
                <w:color w:val="000000"/>
                <w:sz w:val="16"/>
                <w:szCs w:val="16"/>
                <w:lang w:val="en-US"/>
              </w:rPr>
              <w:t>Health</w:t>
            </w:r>
          </w:p>
        </w:tc>
        <w:tc>
          <w:tcPr>
            <w:tcW w:w="1276" w:type="dxa"/>
            <w:noWrap/>
            <w:hideMark/>
          </w:tcPr>
          <w:p w14:paraId="13E68D21" w14:textId="77777777" w:rsidR="00E27DE1" w:rsidRPr="00AD6B55" w:rsidRDefault="00E27DE1" w:rsidP="002B0D6D">
            <w:pPr>
              <w:keepNext/>
              <w:spacing w:line="24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val="en-US"/>
              </w:rPr>
            </w:pPr>
            <w:r w:rsidRPr="00AD6B55">
              <w:rPr>
                <w:color w:val="000000"/>
                <w:sz w:val="16"/>
                <w:szCs w:val="16"/>
                <w:lang w:val="en-US"/>
              </w:rPr>
              <w:t>99.1%</w:t>
            </w:r>
          </w:p>
        </w:tc>
        <w:tc>
          <w:tcPr>
            <w:tcW w:w="283" w:type="dxa"/>
            <w:shd w:val="clear" w:color="auto" w:fill="D6E3BC" w:themeFill="accent3" w:themeFillTint="66"/>
            <w:noWrap/>
            <w:hideMark/>
          </w:tcPr>
          <w:p w14:paraId="0EC0DD7E" w14:textId="77777777" w:rsidR="00E27DE1" w:rsidRPr="00AD6B55" w:rsidRDefault="00E27DE1" w:rsidP="002B0D6D">
            <w:pPr>
              <w:keepNext/>
              <w:spacing w:line="240" w:lineRule="auto"/>
              <w:jc w:val="right"/>
              <w:cnfStyle w:val="000000000000" w:firstRow="0" w:lastRow="0" w:firstColumn="0" w:lastColumn="0" w:oddVBand="0" w:evenVBand="0" w:oddHBand="0" w:evenHBand="0" w:firstRowFirstColumn="0" w:firstRowLastColumn="0" w:lastRowFirstColumn="0" w:lastRowLastColumn="0"/>
              <w:rPr>
                <w:color w:val="000000"/>
                <w:sz w:val="16"/>
                <w:szCs w:val="16"/>
                <w:lang w:val="en-US"/>
              </w:rPr>
            </w:pPr>
          </w:p>
        </w:tc>
        <w:tc>
          <w:tcPr>
            <w:tcW w:w="3119" w:type="dxa"/>
            <w:noWrap/>
            <w:hideMark/>
          </w:tcPr>
          <w:p w14:paraId="17FDEE96" w14:textId="77777777" w:rsidR="00E27DE1" w:rsidRPr="00AD6B55" w:rsidRDefault="00E27DE1" w:rsidP="002B0D6D">
            <w:pPr>
              <w:keepNext/>
              <w:spacing w:line="240" w:lineRule="auto"/>
              <w:jc w:val="left"/>
              <w:cnfStyle w:val="000000000000" w:firstRow="0" w:lastRow="0" w:firstColumn="0" w:lastColumn="0" w:oddVBand="0" w:evenVBand="0" w:oddHBand="0" w:evenHBand="0" w:firstRowFirstColumn="0" w:firstRowLastColumn="0" w:lastRowFirstColumn="0" w:lastRowLastColumn="0"/>
              <w:rPr>
                <w:color w:val="000000"/>
                <w:sz w:val="16"/>
                <w:szCs w:val="16"/>
                <w:lang w:val="en-US"/>
              </w:rPr>
            </w:pPr>
            <w:r w:rsidRPr="00AD6B55">
              <w:rPr>
                <w:color w:val="000000"/>
                <w:sz w:val="16"/>
                <w:szCs w:val="16"/>
                <w:lang w:val="en-US"/>
              </w:rPr>
              <w:t>Tourism</w:t>
            </w:r>
          </w:p>
        </w:tc>
        <w:tc>
          <w:tcPr>
            <w:tcW w:w="1275" w:type="dxa"/>
            <w:noWrap/>
            <w:hideMark/>
          </w:tcPr>
          <w:p w14:paraId="03B6B2BC" w14:textId="77777777" w:rsidR="00E27DE1" w:rsidRPr="00AD6B55" w:rsidRDefault="00E27DE1" w:rsidP="002B0D6D">
            <w:pPr>
              <w:keepNext/>
              <w:spacing w:line="24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val="en-US"/>
              </w:rPr>
            </w:pPr>
            <w:r w:rsidRPr="00AD6B55">
              <w:rPr>
                <w:color w:val="000000"/>
                <w:sz w:val="16"/>
                <w:szCs w:val="16"/>
                <w:lang w:val="en-US"/>
              </w:rPr>
              <w:t>98.5%</w:t>
            </w:r>
          </w:p>
        </w:tc>
      </w:tr>
      <w:tr w:rsidR="00E27DE1" w:rsidRPr="00AD6B55" w14:paraId="7B981A78" w14:textId="77777777" w:rsidTr="0029322E">
        <w:trPr>
          <w:trHeight w:val="204"/>
        </w:trPr>
        <w:tc>
          <w:tcPr>
            <w:cnfStyle w:val="001000000000" w:firstRow="0" w:lastRow="0" w:firstColumn="1" w:lastColumn="0" w:oddVBand="0" w:evenVBand="0" w:oddHBand="0" w:evenHBand="0" w:firstRowFirstColumn="0" w:firstRowLastColumn="0" w:lastRowFirstColumn="0" w:lastRowLastColumn="0"/>
            <w:tcW w:w="3681" w:type="dxa"/>
            <w:noWrap/>
            <w:hideMark/>
          </w:tcPr>
          <w:p w14:paraId="2180DF0E" w14:textId="77777777" w:rsidR="00E27DE1" w:rsidRPr="006D2681" w:rsidRDefault="00E27DE1" w:rsidP="002B0D6D">
            <w:pPr>
              <w:keepNext/>
              <w:spacing w:line="240" w:lineRule="auto"/>
              <w:jc w:val="left"/>
              <w:rPr>
                <w:b w:val="0"/>
                <w:color w:val="000000"/>
                <w:sz w:val="16"/>
                <w:szCs w:val="16"/>
                <w:lang w:val="en-US"/>
              </w:rPr>
            </w:pPr>
            <w:r w:rsidRPr="006D2681">
              <w:rPr>
                <w:b w:val="0"/>
                <w:color w:val="000000"/>
                <w:sz w:val="16"/>
                <w:szCs w:val="16"/>
                <w:lang w:val="en-US"/>
              </w:rPr>
              <w:t>Social Development</w:t>
            </w:r>
          </w:p>
        </w:tc>
        <w:tc>
          <w:tcPr>
            <w:tcW w:w="1276" w:type="dxa"/>
            <w:noWrap/>
            <w:hideMark/>
          </w:tcPr>
          <w:p w14:paraId="67F9E763" w14:textId="77777777" w:rsidR="00E27DE1" w:rsidRPr="00AD6B55" w:rsidRDefault="00E27DE1" w:rsidP="002B0D6D">
            <w:pPr>
              <w:keepNext/>
              <w:spacing w:line="24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val="en-US"/>
              </w:rPr>
            </w:pPr>
            <w:r w:rsidRPr="00AD6B55">
              <w:rPr>
                <w:color w:val="000000"/>
                <w:sz w:val="16"/>
                <w:szCs w:val="16"/>
                <w:lang w:val="en-US"/>
              </w:rPr>
              <w:t>99.7%</w:t>
            </w:r>
          </w:p>
        </w:tc>
        <w:tc>
          <w:tcPr>
            <w:tcW w:w="283" w:type="dxa"/>
            <w:shd w:val="clear" w:color="auto" w:fill="D6E3BC" w:themeFill="accent3" w:themeFillTint="66"/>
            <w:noWrap/>
            <w:hideMark/>
          </w:tcPr>
          <w:p w14:paraId="792EAFDB" w14:textId="77777777" w:rsidR="00E27DE1" w:rsidRPr="00AD6B55" w:rsidRDefault="00E27DE1" w:rsidP="002B0D6D">
            <w:pPr>
              <w:keepNext/>
              <w:spacing w:line="240" w:lineRule="auto"/>
              <w:jc w:val="right"/>
              <w:cnfStyle w:val="000000000000" w:firstRow="0" w:lastRow="0" w:firstColumn="0" w:lastColumn="0" w:oddVBand="0" w:evenVBand="0" w:oddHBand="0" w:evenHBand="0" w:firstRowFirstColumn="0" w:firstRowLastColumn="0" w:lastRowFirstColumn="0" w:lastRowLastColumn="0"/>
              <w:rPr>
                <w:color w:val="000000"/>
                <w:sz w:val="16"/>
                <w:szCs w:val="16"/>
                <w:lang w:val="en-US"/>
              </w:rPr>
            </w:pPr>
          </w:p>
        </w:tc>
        <w:tc>
          <w:tcPr>
            <w:tcW w:w="3119" w:type="dxa"/>
            <w:noWrap/>
            <w:hideMark/>
          </w:tcPr>
          <w:p w14:paraId="0F1D5E2C" w14:textId="77777777" w:rsidR="00E27DE1" w:rsidRPr="00AD6B55" w:rsidRDefault="00E27DE1" w:rsidP="002B0D6D">
            <w:pPr>
              <w:keepNext/>
              <w:spacing w:line="240" w:lineRule="auto"/>
              <w:jc w:val="left"/>
              <w:cnfStyle w:val="000000000000" w:firstRow="0" w:lastRow="0" w:firstColumn="0" w:lastColumn="0" w:oddVBand="0" w:evenVBand="0" w:oddHBand="0" w:evenHBand="0" w:firstRowFirstColumn="0" w:firstRowLastColumn="0" w:lastRowFirstColumn="0" w:lastRowLastColumn="0"/>
              <w:rPr>
                <w:color w:val="000000"/>
                <w:sz w:val="16"/>
                <w:szCs w:val="16"/>
                <w:lang w:val="en-US"/>
              </w:rPr>
            </w:pPr>
            <w:r w:rsidRPr="00AD6B55">
              <w:rPr>
                <w:color w:val="000000"/>
                <w:sz w:val="16"/>
                <w:szCs w:val="16"/>
                <w:lang w:val="en-US"/>
              </w:rPr>
              <w:t>Trade, Industry and Competition</w:t>
            </w:r>
          </w:p>
        </w:tc>
        <w:tc>
          <w:tcPr>
            <w:tcW w:w="1275" w:type="dxa"/>
            <w:noWrap/>
            <w:hideMark/>
          </w:tcPr>
          <w:p w14:paraId="74B269F7" w14:textId="77777777" w:rsidR="00E27DE1" w:rsidRPr="00AD6B55" w:rsidRDefault="00E27DE1" w:rsidP="002B0D6D">
            <w:pPr>
              <w:keepNext/>
              <w:spacing w:line="24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val="en-US"/>
              </w:rPr>
            </w:pPr>
            <w:r w:rsidRPr="00AD6B55">
              <w:rPr>
                <w:color w:val="000000"/>
                <w:sz w:val="16"/>
                <w:szCs w:val="16"/>
                <w:lang w:val="en-US"/>
              </w:rPr>
              <w:t>99.4%</w:t>
            </w:r>
          </w:p>
        </w:tc>
      </w:tr>
      <w:tr w:rsidR="00E27DE1" w:rsidRPr="00AD6B55" w14:paraId="63E796D3" w14:textId="77777777" w:rsidTr="0029322E">
        <w:trPr>
          <w:trHeight w:val="204"/>
        </w:trPr>
        <w:tc>
          <w:tcPr>
            <w:cnfStyle w:val="001000000000" w:firstRow="0" w:lastRow="0" w:firstColumn="1" w:lastColumn="0" w:oddVBand="0" w:evenVBand="0" w:oddHBand="0" w:evenHBand="0" w:firstRowFirstColumn="0" w:firstRowLastColumn="0" w:lastRowFirstColumn="0" w:lastRowLastColumn="0"/>
            <w:tcW w:w="3681" w:type="dxa"/>
            <w:noWrap/>
            <w:hideMark/>
          </w:tcPr>
          <w:p w14:paraId="153C639C" w14:textId="77777777" w:rsidR="00E27DE1" w:rsidRPr="006D2681" w:rsidRDefault="00E27DE1" w:rsidP="002B0D6D">
            <w:pPr>
              <w:keepNext/>
              <w:spacing w:line="240" w:lineRule="auto"/>
              <w:jc w:val="left"/>
              <w:rPr>
                <w:b w:val="0"/>
                <w:color w:val="000000"/>
                <w:sz w:val="16"/>
                <w:szCs w:val="16"/>
                <w:lang w:val="en-US"/>
              </w:rPr>
            </w:pPr>
            <w:r w:rsidRPr="006D2681">
              <w:rPr>
                <w:b w:val="0"/>
                <w:color w:val="000000"/>
                <w:sz w:val="16"/>
                <w:szCs w:val="16"/>
                <w:lang w:val="en-US"/>
              </w:rPr>
              <w:t>Women, Youth and Persons with Disabilities</w:t>
            </w:r>
          </w:p>
        </w:tc>
        <w:tc>
          <w:tcPr>
            <w:tcW w:w="1276" w:type="dxa"/>
            <w:noWrap/>
            <w:hideMark/>
          </w:tcPr>
          <w:p w14:paraId="48C60E72" w14:textId="77777777" w:rsidR="00E27DE1" w:rsidRPr="00AD6B55" w:rsidRDefault="00E27DE1" w:rsidP="002B0D6D">
            <w:pPr>
              <w:keepNext/>
              <w:spacing w:line="24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val="en-US"/>
              </w:rPr>
            </w:pPr>
            <w:r w:rsidRPr="00AD6B55">
              <w:rPr>
                <w:color w:val="000000"/>
                <w:sz w:val="16"/>
                <w:szCs w:val="16"/>
                <w:lang w:val="en-US"/>
              </w:rPr>
              <w:t>99.2%</w:t>
            </w:r>
          </w:p>
        </w:tc>
        <w:tc>
          <w:tcPr>
            <w:tcW w:w="283" w:type="dxa"/>
            <w:shd w:val="clear" w:color="auto" w:fill="D6E3BC" w:themeFill="accent3" w:themeFillTint="66"/>
            <w:noWrap/>
            <w:hideMark/>
          </w:tcPr>
          <w:p w14:paraId="7124FCC9" w14:textId="77777777" w:rsidR="00E27DE1" w:rsidRPr="00AD6B55" w:rsidRDefault="00E27DE1" w:rsidP="002B0D6D">
            <w:pPr>
              <w:keepNext/>
              <w:spacing w:line="240" w:lineRule="auto"/>
              <w:jc w:val="right"/>
              <w:cnfStyle w:val="000000000000" w:firstRow="0" w:lastRow="0" w:firstColumn="0" w:lastColumn="0" w:oddVBand="0" w:evenVBand="0" w:oddHBand="0" w:evenHBand="0" w:firstRowFirstColumn="0" w:firstRowLastColumn="0" w:lastRowFirstColumn="0" w:lastRowLastColumn="0"/>
              <w:rPr>
                <w:color w:val="000000"/>
                <w:sz w:val="16"/>
                <w:szCs w:val="16"/>
                <w:lang w:val="en-US"/>
              </w:rPr>
            </w:pPr>
          </w:p>
        </w:tc>
        <w:tc>
          <w:tcPr>
            <w:tcW w:w="3119" w:type="dxa"/>
            <w:noWrap/>
            <w:hideMark/>
          </w:tcPr>
          <w:p w14:paraId="33028EE6" w14:textId="77777777" w:rsidR="00E27DE1" w:rsidRPr="00AD6B55" w:rsidRDefault="00E27DE1" w:rsidP="002B0D6D">
            <w:pPr>
              <w:keepNext/>
              <w:spacing w:line="240" w:lineRule="auto"/>
              <w:jc w:val="left"/>
              <w:cnfStyle w:val="000000000000" w:firstRow="0" w:lastRow="0" w:firstColumn="0" w:lastColumn="0" w:oddVBand="0" w:evenVBand="0" w:oddHBand="0" w:evenHBand="0" w:firstRowFirstColumn="0" w:firstRowLastColumn="0" w:lastRowFirstColumn="0" w:lastRowLastColumn="0"/>
              <w:rPr>
                <w:color w:val="000000"/>
                <w:sz w:val="16"/>
                <w:szCs w:val="16"/>
                <w:lang w:val="en-US"/>
              </w:rPr>
            </w:pPr>
            <w:r w:rsidRPr="00AD6B55">
              <w:rPr>
                <w:color w:val="000000"/>
                <w:sz w:val="16"/>
                <w:szCs w:val="16"/>
                <w:lang w:val="en-US"/>
              </w:rPr>
              <w:t>Transport</w:t>
            </w:r>
          </w:p>
        </w:tc>
        <w:tc>
          <w:tcPr>
            <w:tcW w:w="1275" w:type="dxa"/>
            <w:noWrap/>
            <w:hideMark/>
          </w:tcPr>
          <w:p w14:paraId="0430EC58" w14:textId="77777777" w:rsidR="00E27DE1" w:rsidRPr="00AD6B55" w:rsidRDefault="00E27DE1" w:rsidP="002B0D6D">
            <w:pPr>
              <w:keepNext/>
              <w:spacing w:line="24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val="en-US"/>
              </w:rPr>
            </w:pPr>
            <w:r w:rsidRPr="00AD6B55">
              <w:rPr>
                <w:color w:val="000000"/>
                <w:sz w:val="16"/>
                <w:szCs w:val="16"/>
                <w:lang w:val="en-US"/>
              </w:rPr>
              <w:t>97.6%</w:t>
            </w:r>
          </w:p>
        </w:tc>
      </w:tr>
      <w:tr w:rsidR="00E27DE1" w:rsidRPr="00AD6B55" w14:paraId="712C5281" w14:textId="77777777" w:rsidTr="0029322E">
        <w:trPr>
          <w:trHeight w:val="204"/>
        </w:trPr>
        <w:tc>
          <w:tcPr>
            <w:cnfStyle w:val="001000000000" w:firstRow="0" w:lastRow="0" w:firstColumn="1" w:lastColumn="0" w:oddVBand="0" w:evenVBand="0" w:oddHBand="0" w:evenHBand="0" w:firstRowFirstColumn="0" w:firstRowLastColumn="0" w:lastRowFirstColumn="0" w:lastRowLastColumn="0"/>
            <w:tcW w:w="3681" w:type="dxa"/>
            <w:noWrap/>
            <w:hideMark/>
          </w:tcPr>
          <w:p w14:paraId="469218F5" w14:textId="77777777" w:rsidR="00E27DE1" w:rsidRPr="00AD6B55" w:rsidRDefault="00E27DE1" w:rsidP="002B0D6D">
            <w:pPr>
              <w:keepNext/>
              <w:spacing w:line="240" w:lineRule="auto"/>
              <w:jc w:val="right"/>
              <w:rPr>
                <w:color w:val="000000"/>
                <w:sz w:val="16"/>
                <w:szCs w:val="16"/>
                <w:lang w:val="en-US"/>
              </w:rPr>
            </w:pPr>
          </w:p>
        </w:tc>
        <w:tc>
          <w:tcPr>
            <w:tcW w:w="1276" w:type="dxa"/>
            <w:noWrap/>
            <w:hideMark/>
          </w:tcPr>
          <w:p w14:paraId="6DD455F4" w14:textId="77777777" w:rsidR="00E27DE1" w:rsidRPr="00AD6B55" w:rsidRDefault="00E27DE1" w:rsidP="002B0D6D">
            <w:pPr>
              <w:keepNext/>
              <w:spacing w:line="240" w:lineRule="auto"/>
              <w:jc w:val="left"/>
              <w:cnfStyle w:val="000000000000" w:firstRow="0" w:lastRow="0" w:firstColumn="0" w:lastColumn="0" w:oddVBand="0" w:evenVBand="0" w:oddHBand="0" w:evenHBand="0" w:firstRowFirstColumn="0" w:firstRowLastColumn="0" w:lastRowFirstColumn="0" w:lastRowLastColumn="0"/>
              <w:rPr>
                <w:sz w:val="20"/>
                <w:szCs w:val="20"/>
                <w:lang w:val="en-US"/>
              </w:rPr>
            </w:pPr>
          </w:p>
        </w:tc>
        <w:tc>
          <w:tcPr>
            <w:tcW w:w="283" w:type="dxa"/>
            <w:shd w:val="clear" w:color="auto" w:fill="D6E3BC" w:themeFill="accent3" w:themeFillTint="66"/>
            <w:noWrap/>
            <w:hideMark/>
          </w:tcPr>
          <w:p w14:paraId="05F26183" w14:textId="77777777" w:rsidR="00E27DE1" w:rsidRPr="00AD6B55" w:rsidRDefault="00E27DE1" w:rsidP="002B0D6D">
            <w:pPr>
              <w:keepNext/>
              <w:spacing w:line="240" w:lineRule="auto"/>
              <w:jc w:val="left"/>
              <w:cnfStyle w:val="000000000000" w:firstRow="0" w:lastRow="0" w:firstColumn="0" w:lastColumn="0" w:oddVBand="0" w:evenVBand="0" w:oddHBand="0" w:evenHBand="0" w:firstRowFirstColumn="0" w:firstRowLastColumn="0" w:lastRowFirstColumn="0" w:lastRowLastColumn="0"/>
              <w:rPr>
                <w:sz w:val="20"/>
                <w:szCs w:val="20"/>
                <w:lang w:val="en-US"/>
              </w:rPr>
            </w:pPr>
          </w:p>
        </w:tc>
        <w:tc>
          <w:tcPr>
            <w:tcW w:w="3119" w:type="dxa"/>
            <w:noWrap/>
            <w:hideMark/>
          </w:tcPr>
          <w:p w14:paraId="3E939969" w14:textId="77777777" w:rsidR="00E27DE1" w:rsidRPr="00AD6B55" w:rsidRDefault="00E27DE1" w:rsidP="002B0D6D">
            <w:pPr>
              <w:keepNext/>
              <w:spacing w:line="240" w:lineRule="auto"/>
              <w:jc w:val="left"/>
              <w:cnfStyle w:val="000000000000" w:firstRow="0" w:lastRow="0" w:firstColumn="0" w:lastColumn="0" w:oddVBand="0" w:evenVBand="0" w:oddHBand="0" w:evenHBand="0" w:firstRowFirstColumn="0" w:firstRowLastColumn="0" w:lastRowFirstColumn="0" w:lastRowLastColumn="0"/>
              <w:rPr>
                <w:color w:val="000000"/>
                <w:sz w:val="16"/>
                <w:szCs w:val="16"/>
                <w:lang w:val="en-US"/>
              </w:rPr>
            </w:pPr>
            <w:r w:rsidRPr="00AD6B55">
              <w:rPr>
                <w:color w:val="000000"/>
                <w:sz w:val="16"/>
                <w:szCs w:val="16"/>
                <w:lang w:val="en-US"/>
              </w:rPr>
              <w:t>Water and Sanitation</w:t>
            </w:r>
          </w:p>
        </w:tc>
        <w:tc>
          <w:tcPr>
            <w:tcW w:w="1275" w:type="dxa"/>
            <w:noWrap/>
            <w:hideMark/>
          </w:tcPr>
          <w:p w14:paraId="3F711B2D" w14:textId="77777777" w:rsidR="00E27DE1" w:rsidRPr="00AD6B55" w:rsidRDefault="00E27DE1" w:rsidP="002B0D6D">
            <w:pPr>
              <w:keepNext/>
              <w:spacing w:line="24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val="en-US"/>
              </w:rPr>
            </w:pPr>
            <w:r w:rsidRPr="00AD6B55">
              <w:rPr>
                <w:color w:val="000000"/>
                <w:sz w:val="16"/>
                <w:szCs w:val="16"/>
                <w:lang w:val="en-US"/>
              </w:rPr>
              <w:t>98.4%</w:t>
            </w:r>
          </w:p>
        </w:tc>
      </w:tr>
    </w:tbl>
    <w:p w14:paraId="4C6611CE" w14:textId="485717EA" w:rsidR="00E27DE1" w:rsidRPr="002B0D6D" w:rsidRDefault="00E27DE1" w:rsidP="002B0D6D">
      <w:pPr>
        <w:keepNext/>
        <w:spacing w:line="240" w:lineRule="auto"/>
        <w:rPr>
          <w:i/>
          <w:iCs/>
          <w:sz w:val="20"/>
          <w:szCs w:val="18"/>
        </w:rPr>
      </w:pPr>
      <w:r w:rsidRPr="002B0D6D">
        <w:rPr>
          <w:i/>
          <w:iCs/>
          <w:sz w:val="20"/>
          <w:szCs w:val="18"/>
        </w:rPr>
        <w:t xml:space="preserve">Source: </w:t>
      </w:r>
      <w:r w:rsidR="00A12266">
        <w:rPr>
          <w:i/>
          <w:iCs/>
          <w:sz w:val="20"/>
          <w:szCs w:val="18"/>
        </w:rPr>
        <w:t>FFC</w:t>
      </w:r>
      <w:r w:rsidRPr="002B0D6D">
        <w:rPr>
          <w:i/>
          <w:iCs/>
          <w:sz w:val="20"/>
          <w:szCs w:val="18"/>
        </w:rPr>
        <w:t xml:space="preserve"> calculations based on ENE 2020 data</w:t>
      </w:r>
    </w:p>
    <w:p w14:paraId="02C5D7E4" w14:textId="77777777" w:rsidR="00E27DE1" w:rsidRDefault="00E27DE1" w:rsidP="00E27DE1"/>
    <w:p w14:paraId="7AF80750" w14:textId="2F4C0BFE" w:rsidR="00B75110" w:rsidRPr="000D33E4" w:rsidRDefault="00DE180A" w:rsidP="009A7F2D">
      <w:r w:rsidRPr="002B7A4C">
        <w:rPr>
          <w:color w:val="000000" w:themeColor="text1"/>
        </w:rPr>
        <w:fldChar w:fldCharType="begin"/>
      </w:r>
      <w:r w:rsidRPr="002B7A4C">
        <w:rPr>
          <w:color w:val="000000" w:themeColor="text1"/>
        </w:rPr>
        <w:instrText xml:space="preserve"> REF _Ref40883750 \h </w:instrText>
      </w:r>
      <w:r w:rsidRPr="002B7A4C">
        <w:rPr>
          <w:color w:val="000000" w:themeColor="text1"/>
        </w:rPr>
      </w:r>
      <w:r w:rsidRPr="002B7A4C">
        <w:rPr>
          <w:color w:val="000000" w:themeColor="text1"/>
        </w:rPr>
        <w:fldChar w:fldCharType="separate"/>
      </w:r>
      <w:r w:rsidR="0029322E" w:rsidRPr="002B7A4C">
        <w:rPr>
          <w:rFonts w:ascii="Times" w:hAnsi="Times"/>
          <w:color w:val="000000" w:themeColor="text1"/>
          <w:szCs w:val="24"/>
        </w:rPr>
        <w:t xml:space="preserve">Table </w:t>
      </w:r>
      <w:r w:rsidR="0029322E" w:rsidRPr="002B7A4C">
        <w:rPr>
          <w:rFonts w:ascii="Times" w:hAnsi="Times"/>
          <w:noProof/>
          <w:color w:val="000000" w:themeColor="text1"/>
          <w:szCs w:val="24"/>
        </w:rPr>
        <w:t>12</w:t>
      </w:r>
      <w:r w:rsidRPr="002B7A4C">
        <w:rPr>
          <w:color w:val="000000" w:themeColor="text1"/>
        </w:rPr>
        <w:fldChar w:fldCharType="end"/>
      </w:r>
      <w:r w:rsidR="00B75110" w:rsidRPr="000D33E4">
        <w:t xml:space="preserve"> shows the proposed allocations by function over the next three years. The following points are noted:</w:t>
      </w:r>
    </w:p>
    <w:p w14:paraId="183D7ED4" w14:textId="24632A68" w:rsidR="00B75110" w:rsidRPr="008C3C83" w:rsidRDefault="00B75110" w:rsidP="00B62345">
      <w:pPr>
        <w:pStyle w:val="ListParagraph"/>
      </w:pPr>
      <w:r w:rsidRPr="008C3C83">
        <w:t xml:space="preserve">Within the learning and culture functional category, for example, in the context of </w:t>
      </w:r>
      <w:r w:rsidR="00DE180A" w:rsidRPr="008C3C83">
        <w:t>C</w:t>
      </w:r>
      <w:r w:rsidRPr="008C3C83">
        <w:t xml:space="preserve">ovid-19, the activities related to the Department of Sports, Arts and Culture are relatively less essential than those offered by </w:t>
      </w:r>
      <w:r w:rsidR="002B7A4C">
        <w:t xml:space="preserve">the Departments of </w:t>
      </w:r>
      <w:r w:rsidRPr="008C3C83">
        <w:t>Basic Education and Higher Education and Training. Thus within the learning and culture category there is more room to effect cuts aggressively in</w:t>
      </w:r>
      <w:r w:rsidR="006D3CBD" w:rsidRPr="006D3CBD">
        <w:t xml:space="preserve"> </w:t>
      </w:r>
      <w:r w:rsidR="006D3CBD" w:rsidRPr="008C3C83">
        <w:t>Sports, Arts and Culture</w:t>
      </w:r>
      <w:r w:rsidRPr="008C3C83">
        <w:t xml:space="preserve"> during the reprioritisation process</w:t>
      </w:r>
      <w:r w:rsidR="002B7A4C">
        <w:t>;</w:t>
      </w:r>
      <w:r w:rsidRPr="008C3C83">
        <w:t xml:space="preserve"> </w:t>
      </w:r>
    </w:p>
    <w:p w14:paraId="0A3751AD" w14:textId="52BAB8B9" w:rsidR="00B75110" w:rsidRPr="008C3C83" w:rsidRDefault="00B75110" w:rsidP="005C3D29">
      <w:pPr>
        <w:pStyle w:val="ListParagraph"/>
      </w:pPr>
      <w:r w:rsidRPr="008C3C83">
        <w:t>The</w:t>
      </w:r>
      <w:r w:rsidR="00DE180A" w:rsidRPr="008C3C83">
        <w:t xml:space="preserve"> Departments of</w:t>
      </w:r>
      <w:r w:rsidRPr="008C3C83">
        <w:t xml:space="preserve"> Health and Social Development are both pertinent in the context of addressing the challenges related to Covid-19. In terms of the </w:t>
      </w:r>
      <w:r w:rsidR="00DE180A" w:rsidRPr="008C3C83">
        <w:t xml:space="preserve">social development </w:t>
      </w:r>
      <w:r w:rsidRPr="008C3C83">
        <w:t xml:space="preserve">functional category, it may be possible </w:t>
      </w:r>
      <w:r w:rsidR="00896251">
        <w:t xml:space="preserve">to </w:t>
      </w:r>
      <w:r w:rsidRPr="008C3C83">
        <w:t>divert funds from the Department of Women, Youth and Persons with Disabilities towards the</w:t>
      </w:r>
      <w:r w:rsidR="00DE180A" w:rsidRPr="008C3C83">
        <w:t xml:space="preserve"> D</w:t>
      </w:r>
      <w:r w:rsidRPr="008C3C83">
        <w:t>epartment of Social Development, since the latter also includes a focus on women, youth and people with disabilitie</w:t>
      </w:r>
      <w:r w:rsidR="002B7A4C">
        <w:t>s;</w:t>
      </w:r>
      <w:r w:rsidRPr="008C3C83">
        <w:t xml:space="preserve"> </w:t>
      </w:r>
    </w:p>
    <w:p w14:paraId="07451857" w14:textId="604D71A3" w:rsidR="00B75110" w:rsidRPr="008C3C83" w:rsidRDefault="00B75110" w:rsidP="002B0D6D">
      <w:pPr>
        <w:pStyle w:val="ListParagraph"/>
      </w:pPr>
      <w:r w:rsidRPr="008C3C83">
        <w:t>All departments in the community development functional area are essential when it comes to fighting Covid-19 as it covers sectors such as water and sanitation as well as human settlements</w:t>
      </w:r>
      <w:r w:rsidR="002B7A4C">
        <w:t>;</w:t>
      </w:r>
      <w:r w:rsidRPr="008C3C83">
        <w:t xml:space="preserve"> </w:t>
      </w:r>
    </w:p>
    <w:p w14:paraId="00C387D1" w14:textId="47BBB851" w:rsidR="00B75110" w:rsidRPr="008C3C83" w:rsidRDefault="00B75110" w:rsidP="002B0D6D">
      <w:pPr>
        <w:pStyle w:val="ListParagraph"/>
      </w:pPr>
      <w:r w:rsidRPr="008C3C83">
        <w:t xml:space="preserve">The </w:t>
      </w:r>
      <w:r w:rsidR="00DE180A" w:rsidRPr="008C3C83">
        <w:t xml:space="preserve">economic development function </w:t>
      </w:r>
      <w:r w:rsidRPr="008C3C83">
        <w:t xml:space="preserve">is a critical function both in achieving South Africa’s developmental goals and responding to the </w:t>
      </w:r>
      <w:r w:rsidR="00DE180A" w:rsidRPr="008C3C83">
        <w:t>Covid-19</w:t>
      </w:r>
      <w:r w:rsidRPr="008C3C83">
        <w:t xml:space="preserve"> pandemic. The general objective and mandate of this group of departments directly relates to employment, business and trade, agriculture and </w:t>
      </w:r>
      <w:r w:rsidR="00DE180A" w:rsidRPr="008C3C83">
        <w:t>f</w:t>
      </w:r>
      <w:r w:rsidRPr="008C3C83">
        <w:t xml:space="preserve">inance. The </w:t>
      </w:r>
      <w:r w:rsidR="00DE180A" w:rsidRPr="008C3C83">
        <w:t xml:space="preserve">economic development function </w:t>
      </w:r>
      <w:r w:rsidRPr="008C3C83">
        <w:t xml:space="preserve">departments </w:t>
      </w:r>
      <w:r w:rsidR="00DE180A" w:rsidRPr="008C3C83">
        <w:t>are</w:t>
      </w:r>
      <w:r w:rsidRPr="008C3C83">
        <w:t xml:space="preserve"> expected </w:t>
      </w:r>
      <w:r w:rsidR="004F6D22" w:rsidRPr="008C3C83">
        <w:t xml:space="preserve">to </w:t>
      </w:r>
      <w:r w:rsidRPr="008C3C83">
        <w:t>collectively and individually to play a much more strategic role in facilitating and implementing government’s response to Covid-19</w:t>
      </w:r>
      <w:r w:rsidR="006D3CBD">
        <w:t>– within this function though there may be room for reprioritisation</w:t>
      </w:r>
      <w:r w:rsidR="002B7A4C">
        <w:t>;</w:t>
      </w:r>
    </w:p>
    <w:p w14:paraId="683E17F8" w14:textId="3F2FDD36" w:rsidR="00B75110" w:rsidRPr="008C3C83" w:rsidRDefault="00B75110" w:rsidP="002B0D6D">
      <w:pPr>
        <w:pStyle w:val="ListParagraph"/>
      </w:pPr>
      <w:r w:rsidRPr="008C3C83">
        <w:t xml:space="preserve">The peace and security cluster is key during the period of </w:t>
      </w:r>
      <w:r w:rsidR="004F6D22" w:rsidRPr="008C3C83">
        <w:t>Covid-</w:t>
      </w:r>
      <w:r w:rsidRPr="008C3C83">
        <w:t>19 as it ensures compliance with lockdown regulations (particularly defence and police)</w:t>
      </w:r>
      <w:r w:rsidR="00DE180A" w:rsidRPr="008C3C83">
        <w:t>,</w:t>
      </w:r>
      <w:r w:rsidRPr="008C3C83">
        <w:t xml:space="preserve"> while </w:t>
      </w:r>
      <w:r w:rsidR="002B7A4C">
        <w:t>the Department of H</w:t>
      </w:r>
      <w:r w:rsidRPr="008C3C83">
        <w:t xml:space="preserve">ome </w:t>
      </w:r>
      <w:r w:rsidR="002B7A4C">
        <w:t>A</w:t>
      </w:r>
      <w:r w:rsidRPr="008C3C83">
        <w:t xml:space="preserve">ffairs </w:t>
      </w:r>
      <w:r w:rsidR="006D3CBD">
        <w:t>operations have reduced, it</w:t>
      </w:r>
      <w:r w:rsidR="006D3CBD" w:rsidRPr="008C3C83">
        <w:t xml:space="preserve"> </w:t>
      </w:r>
      <w:r w:rsidRPr="008C3C83">
        <w:t>ensures that services such as issuing of death and birth certificates</w:t>
      </w:r>
      <w:r w:rsidR="00DE180A" w:rsidRPr="008C3C83">
        <w:t>, for example,</w:t>
      </w:r>
      <w:r w:rsidRPr="008C3C83">
        <w:t xml:space="preserve"> are not compromised</w:t>
      </w:r>
      <w:r w:rsidR="002B7A4C">
        <w:t>;</w:t>
      </w:r>
    </w:p>
    <w:p w14:paraId="312A6408" w14:textId="1166D00E" w:rsidR="00B75110" w:rsidRPr="008C3C83" w:rsidRDefault="00B75110" w:rsidP="002B7A4C">
      <w:pPr>
        <w:pStyle w:val="ListParagraph"/>
      </w:pPr>
      <w:r w:rsidRPr="008C3C83">
        <w:t xml:space="preserve">Within the </w:t>
      </w:r>
      <w:r w:rsidR="00DE180A" w:rsidRPr="008C3C83">
        <w:t xml:space="preserve">general public services </w:t>
      </w:r>
      <w:r w:rsidRPr="008C3C83">
        <w:t xml:space="preserve">category, the Commission is of the view that some institutions in this cluster such as the Department of </w:t>
      </w:r>
      <w:r w:rsidR="002B7A4C">
        <w:t xml:space="preserve">Cooperative Governance and </w:t>
      </w:r>
      <w:r w:rsidRPr="008C3C83">
        <w:t xml:space="preserve">Traditional Affairs, the National School of Government, and the Public Service Commission are not as essential for the fight against </w:t>
      </w:r>
      <w:r w:rsidR="008B0F56" w:rsidRPr="008C3C83">
        <w:t>Covid</w:t>
      </w:r>
      <w:r w:rsidRPr="008C3C83">
        <w:t>-19</w:t>
      </w:r>
      <w:r w:rsidR="00DE180A" w:rsidRPr="008C3C83">
        <w:t xml:space="preserve"> as other</w:t>
      </w:r>
      <w:r w:rsidR="002B7A4C">
        <w:t>s</w:t>
      </w:r>
      <w:r w:rsidR="00DE180A" w:rsidRPr="008C3C83">
        <w:t xml:space="preserve"> mentioned above</w:t>
      </w:r>
      <w:r w:rsidRPr="008C3C83">
        <w:t xml:space="preserve">. The Commission recommends that a substantial fraction of the proposed spending for these institutions should be considered for reprioritisation. </w:t>
      </w:r>
    </w:p>
    <w:p w14:paraId="424C4B2B" w14:textId="77777777" w:rsidR="00B75110" w:rsidRPr="000D33E4" w:rsidRDefault="002D39CB" w:rsidP="007B1E55">
      <w:pPr>
        <w:jc w:val="center"/>
        <w:rPr>
          <w:rFonts w:ascii="Times" w:hAnsi="Times"/>
          <w:b/>
        </w:rPr>
      </w:pPr>
      <w:r>
        <w:rPr>
          <w:rFonts w:ascii="Times" w:hAnsi="Times"/>
          <w:b/>
        </w:rPr>
        <w:t xml:space="preserve"> </w:t>
      </w:r>
    </w:p>
    <w:p w14:paraId="03EC764F" w14:textId="50B78742" w:rsidR="00B826E6" w:rsidRPr="009A7F2D" w:rsidRDefault="00B826E6" w:rsidP="009A7F2D">
      <w:pPr>
        <w:pStyle w:val="Caption"/>
        <w:keepNext/>
        <w:rPr>
          <w:rFonts w:ascii="Times" w:hAnsi="Times"/>
          <w:color w:val="004C45" w:themeColor="text2"/>
          <w:sz w:val="24"/>
          <w:szCs w:val="24"/>
        </w:rPr>
      </w:pPr>
      <w:bookmarkStart w:id="90" w:name="_Ref40883750"/>
      <w:bookmarkStart w:id="91" w:name="_Toc42212141"/>
      <w:r w:rsidRPr="009A7F2D">
        <w:rPr>
          <w:rFonts w:ascii="Times" w:hAnsi="Times"/>
          <w:color w:val="004C45" w:themeColor="text2"/>
          <w:sz w:val="24"/>
          <w:szCs w:val="24"/>
        </w:rPr>
        <w:t xml:space="preserve">Table </w:t>
      </w:r>
      <w:r w:rsidRPr="009A7F2D">
        <w:rPr>
          <w:rFonts w:ascii="Times" w:hAnsi="Times"/>
          <w:color w:val="004C45" w:themeColor="text2"/>
          <w:sz w:val="24"/>
          <w:szCs w:val="24"/>
        </w:rPr>
        <w:fldChar w:fldCharType="begin"/>
      </w:r>
      <w:r w:rsidRPr="009A7F2D">
        <w:rPr>
          <w:rFonts w:ascii="Times" w:hAnsi="Times"/>
          <w:color w:val="004C45" w:themeColor="text2"/>
          <w:sz w:val="24"/>
          <w:szCs w:val="24"/>
        </w:rPr>
        <w:instrText xml:space="preserve"> SEQ Table \* ARABIC </w:instrText>
      </w:r>
      <w:r w:rsidRPr="009A7F2D">
        <w:rPr>
          <w:rFonts w:ascii="Times" w:hAnsi="Times"/>
          <w:color w:val="004C45" w:themeColor="text2"/>
          <w:sz w:val="24"/>
          <w:szCs w:val="24"/>
        </w:rPr>
        <w:fldChar w:fldCharType="separate"/>
      </w:r>
      <w:r w:rsidR="00492893">
        <w:rPr>
          <w:rFonts w:ascii="Times" w:hAnsi="Times"/>
          <w:noProof/>
          <w:color w:val="004C45" w:themeColor="text2"/>
          <w:sz w:val="24"/>
          <w:szCs w:val="24"/>
        </w:rPr>
        <w:t>13</w:t>
      </w:r>
      <w:r w:rsidRPr="009A7F2D">
        <w:rPr>
          <w:rFonts w:ascii="Times" w:hAnsi="Times"/>
          <w:color w:val="004C45" w:themeColor="text2"/>
          <w:sz w:val="24"/>
          <w:szCs w:val="24"/>
        </w:rPr>
        <w:fldChar w:fldCharType="end"/>
      </w:r>
      <w:bookmarkEnd w:id="90"/>
      <w:r w:rsidR="00DE180A" w:rsidRPr="009A7F2D">
        <w:rPr>
          <w:rFonts w:ascii="Times" w:hAnsi="Times"/>
          <w:color w:val="004C45" w:themeColor="text2"/>
          <w:sz w:val="24"/>
          <w:szCs w:val="24"/>
        </w:rPr>
        <w:t>:</w:t>
      </w:r>
      <w:r w:rsidRPr="009A7F2D">
        <w:rPr>
          <w:rFonts w:ascii="Times" w:hAnsi="Times"/>
          <w:color w:val="004C45" w:themeColor="text2"/>
          <w:sz w:val="24"/>
          <w:szCs w:val="24"/>
        </w:rPr>
        <w:t xml:space="preserve"> Proposed </w:t>
      </w:r>
      <w:r w:rsidR="00E827B9">
        <w:rPr>
          <w:rFonts w:ascii="Times" w:hAnsi="Times"/>
          <w:color w:val="004C45" w:themeColor="text2"/>
          <w:sz w:val="24"/>
          <w:szCs w:val="24"/>
        </w:rPr>
        <w:t>a</w:t>
      </w:r>
      <w:r w:rsidRPr="009A7F2D">
        <w:rPr>
          <w:rFonts w:ascii="Times" w:hAnsi="Times"/>
          <w:color w:val="004C45" w:themeColor="text2"/>
          <w:sz w:val="24"/>
          <w:szCs w:val="24"/>
        </w:rPr>
        <w:t xml:space="preserve">llocations over the 2020 MTEF </w:t>
      </w:r>
      <w:r w:rsidR="00E827B9">
        <w:rPr>
          <w:rFonts w:ascii="Times" w:hAnsi="Times"/>
          <w:color w:val="004C45" w:themeColor="text2"/>
          <w:sz w:val="24"/>
          <w:szCs w:val="24"/>
        </w:rPr>
        <w:t>p</w:t>
      </w:r>
      <w:r w:rsidRPr="009A7F2D">
        <w:rPr>
          <w:rFonts w:ascii="Times" w:hAnsi="Times"/>
          <w:color w:val="004C45" w:themeColor="text2"/>
          <w:sz w:val="24"/>
          <w:szCs w:val="24"/>
        </w:rPr>
        <w:t xml:space="preserve">eriod by </w:t>
      </w:r>
      <w:r w:rsidR="00E827B9">
        <w:rPr>
          <w:rFonts w:ascii="Times" w:hAnsi="Times"/>
          <w:color w:val="004C45" w:themeColor="text2"/>
          <w:sz w:val="24"/>
          <w:szCs w:val="24"/>
        </w:rPr>
        <w:t>f</w:t>
      </w:r>
      <w:r w:rsidRPr="009A7F2D">
        <w:rPr>
          <w:rFonts w:ascii="Times" w:hAnsi="Times"/>
          <w:color w:val="004C45" w:themeColor="text2"/>
          <w:sz w:val="24"/>
          <w:szCs w:val="24"/>
        </w:rPr>
        <w:t xml:space="preserve">unctional </w:t>
      </w:r>
      <w:r w:rsidR="00E827B9">
        <w:rPr>
          <w:rFonts w:ascii="Times" w:hAnsi="Times"/>
          <w:color w:val="004C45" w:themeColor="text2"/>
          <w:sz w:val="24"/>
          <w:szCs w:val="24"/>
        </w:rPr>
        <w:t>c</w:t>
      </w:r>
      <w:r w:rsidRPr="009A7F2D">
        <w:rPr>
          <w:rFonts w:ascii="Times" w:hAnsi="Times"/>
          <w:color w:val="004C45" w:themeColor="text2"/>
          <w:sz w:val="24"/>
          <w:szCs w:val="24"/>
        </w:rPr>
        <w:t>ategory</w:t>
      </w:r>
      <w:bookmarkEnd w:id="91"/>
    </w:p>
    <w:tbl>
      <w:tblPr>
        <w:tblW w:w="9662" w:type="dxa"/>
        <w:jc w:val="right"/>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Look w:val="04A0" w:firstRow="1" w:lastRow="0" w:firstColumn="1" w:lastColumn="0" w:noHBand="0" w:noVBand="1"/>
      </w:tblPr>
      <w:tblGrid>
        <w:gridCol w:w="2703"/>
        <w:gridCol w:w="1267"/>
        <w:gridCol w:w="1417"/>
        <w:gridCol w:w="1485"/>
        <w:gridCol w:w="1440"/>
        <w:gridCol w:w="1350"/>
      </w:tblGrid>
      <w:tr w:rsidR="00B75110" w:rsidRPr="000D33E4" w14:paraId="33C67E6A" w14:textId="77777777" w:rsidTr="00CC643A">
        <w:trPr>
          <w:trHeight w:val="288"/>
          <w:jc w:val="right"/>
        </w:trPr>
        <w:tc>
          <w:tcPr>
            <w:tcW w:w="2703" w:type="dxa"/>
            <w:shd w:val="clear" w:color="auto" w:fill="auto"/>
            <w:noWrap/>
            <w:vAlign w:val="bottom"/>
            <w:hideMark/>
          </w:tcPr>
          <w:p w14:paraId="21836554" w14:textId="77777777" w:rsidR="00B75110" w:rsidRPr="00DE180A" w:rsidRDefault="00B75110" w:rsidP="007B1E55">
            <w:pPr>
              <w:rPr>
                <w:rFonts w:ascii="Times" w:hAnsi="Times"/>
                <w:b/>
                <w:color w:val="000000"/>
                <w:sz w:val="18"/>
                <w:szCs w:val="18"/>
              </w:rPr>
            </w:pPr>
            <w:r w:rsidRPr="00DE180A">
              <w:rPr>
                <w:rFonts w:ascii="Times" w:hAnsi="Times"/>
                <w:b/>
                <w:color w:val="000000"/>
                <w:sz w:val="18"/>
                <w:szCs w:val="18"/>
              </w:rPr>
              <w:t>R</w:t>
            </w:r>
            <w:r w:rsidR="00DE180A" w:rsidRPr="00DE180A">
              <w:rPr>
                <w:rFonts w:ascii="Times" w:hAnsi="Times"/>
                <w:b/>
                <w:color w:val="000000"/>
                <w:sz w:val="18"/>
                <w:szCs w:val="18"/>
              </w:rPr>
              <w:t xml:space="preserve"> </w:t>
            </w:r>
            <w:r w:rsidRPr="00DE180A">
              <w:rPr>
                <w:rFonts w:ascii="Times" w:hAnsi="Times"/>
                <w:b/>
                <w:color w:val="000000"/>
                <w:sz w:val="18"/>
                <w:szCs w:val="18"/>
              </w:rPr>
              <w:t>bil</w:t>
            </w:r>
            <w:r w:rsidR="00DE180A" w:rsidRPr="00DE180A">
              <w:rPr>
                <w:rFonts w:ascii="Times" w:hAnsi="Times"/>
                <w:b/>
                <w:color w:val="000000"/>
                <w:sz w:val="18"/>
                <w:szCs w:val="18"/>
              </w:rPr>
              <w:t>lion</w:t>
            </w:r>
          </w:p>
        </w:tc>
        <w:tc>
          <w:tcPr>
            <w:tcW w:w="4169" w:type="dxa"/>
            <w:gridSpan w:val="3"/>
            <w:shd w:val="clear" w:color="auto" w:fill="auto"/>
            <w:vAlign w:val="bottom"/>
            <w:hideMark/>
          </w:tcPr>
          <w:p w14:paraId="48D31CEF" w14:textId="10F3DEE2" w:rsidR="00B75110" w:rsidRPr="00DE180A" w:rsidRDefault="00B75110" w:rsidP="00DE180A">
            <w:pPr>
              <w:jc w:val="center"/>
              <w:rPr>
                <w:rFonts w:ascii="Times" w:hAnsi="Times"/>
                <w:b/>
                <w:color w:val="000000"/>
                <w:sz w:val="18"/>
                <w:szCs w:val="18"/>
              </w:rPr>
            </w:pPr>
            <w:r w:rsidRPr="00DE180A">
              <w:rPr>
                <w:rFonts w:ascii="Times" w:hAnsi="Times"/>
                <w:b/>
                <w:color w:val="000000"/>
                <w:sz w:val="18"/>
                <w:szCs w:val="18"/>
              </w:rPr>
              <w:t xml:space="preserve">MTEF </w:t>
            </w:r>
            <w:r w:rsidR="002B7A4C">
              <w:rPr>
                <w:rFonts w:ascii="Times" w:hAnsi="Times"/>
                <w:b/>
                <w:color w:val="000000"/>
                <w:sz w:val="18"/>
                <w:szCs w:val="18"/>
              </w:rPr>
              <w:t>e</w:t>
            </w:r>
            <w:r w:rsidRPr="00DE180A">
              <w:rPr>
                <w:rFonts w:ascii="Times" w:hAnsi="Times"/>
                <w:b/>
                <w:color w:val="000000"/>
                <w:sz w:val="18"/>
                <w:szCs w:val="18"/>
              </w:rPr>
              <w:t>stimates</w:t>
            </w:r>
          </w:p>
        </w:tc>
        <w:tc>
          <w:tcPr>
            <w:tcW w:w="1440" w:type="dxa"/>
            <w:vMerge w:val="restart"/>
            <w:shd w:val="clear" w:color="auto" w:fill="auto"/>
            <w:vAlign w:val="bottom"/>
            <w:hideMark/>
          </w:tcPr>
          <w:p w14:paraId="6609D95C" w14:textId="77777777" w:rsidR="00B75110" w:rsidRPr="00DE180A" w:rsidRDefault="00B75110" w:rsidP="00DE180A">
            <w:pPr>
              <w:jc w:val="center"/>
              <w:rPr>
                <w:rFonts w:ascii="Times" w:hAnsi="Times"/>
                <w:b/>
                <w:color w:val="000000"/>
                <w:sz w:val="18"/>
                <w:szCs w:val="18"/>
              </w:rPr>
            </w:pPr>
            <w:r w:rsidRPr="00DE180A">
              <w:rPr>
                <w:rFonts w:ascii="Times" w:hAnsi="Times"/>
                <w:b/>
                <w:color w:val="000000"/>
                <w:sz w:val="18"/>
                <w:szCs w:val="18"/>
              </w:rPr>
              <w:t>Total over the 2020 MTEF period</w:t>
            </w:r>
          </w:p>
        </w:tc>
        <w:tc>
          <w:tcPr>
            <w:tcW w:w="1350" w:type="dxa"/>
            <w:vMerge w:val="restart"/>
            <w:shd w:val="clear" w:color="auto" w:fill="auto"/>
            <w:vAlign w:val="bottom"/>
            <w:hideMark/>
          </w:tcPr>
          <w:p w14:paraId="22E484C7" w14:textId="282A09F7" w:rsidR="00B75110" w:rsidRPr="00DE180A" w:rsidRDefault="00B75110" w:rsidP="00DE180A">
            <w:pPr>
              <w:jc w:val="center"/>
              <w:rPr>
                <w:rFonts w:ascii="Times" w:hAnsi="Times"/>
                <w:b/>
                <w:color w:val="000000"/>
                <w:sz w:val="18"/>
                <w:szCs w:val="18"/>
              </w:rPr>
            </w:pPr>
            <w:r w:rsidRPr="00DE180A">
              <w:rPr>
                <w:rFonts w:ascii="Times" w:hAnsi="Times"/>
                <w:b/>
                <w:color w:val="000000"/>
                <w:sz w:val="18"/>
                <w:szCs w:val="18"/>
              </w:rPr>
              <w:t>Real</w:t>
            </w:r>
            <w:r w:rsidR="002D39CB">
              <w:rPr>
                <w:rFonts w:ascii="Times" w:hAnsi="Times"/>
                <w:b/>
                <w:color w:val="000000"/>
                <w:sz w:val="18"/>
                <w:szCs w:val="18"/>
              </w:rPr>
              <w:t xml:space="preserve"> </w:t>
            </w:r>
            <w:r w:rsidR="002B7A4C" w:rsidRPr="00DE180A">
              <w:rPr>
                <w:rFonts w:ascii="Times" w:hAnsi="Times"/>
                <w:b/>
                <w:color w:val="000000"/>
                <w:sz w:val="18"/>
                <w:szCs w:val="18"/>
              </w:rPr>
              <w:t xml:space="preserve">average growth rate </w:t>
            </w:r>
            <w:r w:rsidRPr="00DE180A">
              <w:rPr>
                <w:rFonts w:ascii="Times" w:hAnsi="Times"/>
                <w:b/>
                <w:color w:val="000000"/>
                <w:sz w:val="18"/>
                <w:szCs w:val="18"/>
              </w:rPr>
              <w:t>2020/21-2022/23</w:t>
            </w:r>
          </w:p>
        </w:tc>
      </w:tr>
      <w:tr w:rsidR="00B75110" w:rsidRPr="000D33E4" w14:paraId="7CB636F1" w14:textId="77777777" w:rsidTr="00CC643A">
        <w:trPr>
          <w:trHeight w:val="432"/>
          <w:jc w:val="right"/>
        </w:trPr>
        <w:tc>
          <w:tcPr>
            <w:tcW w:w="2703" w:type="dxa"/>
            <w:shd w:val="clear" w:color="auto" w:fill="auto"/>
            <w:noWrap/>
            <w:vAlign w:val="center"/>
            <w:hideMark/>
          </w:tcPr>
          <w:p w14:paraId="60EC8438" w14:textId="77777777" w:rsidR="00B75110" w:rsidRPr="00DE180A" w:rsidRDefault="00B75110" w:rsidP="006142F1">
            <w:pPr>
              <w:jc w:val="left"/>
              <w:rPr>
                <w:rFonts w:ascii="Times" w:hAnsi="Times"/>
                <w:b/>
                <w:color w:val="000000"/>
                <w:sz w:val="18"/>
                <w:szCs w:val="18"/>
              </w:rPr>
            </w:pPr>
            <w:r w:rsidRPr="00DE180A">
              <w:rPr>
                <w:rFonts w:ascii="Times" w:hAnsi="Times"/>
                <w:b/>
                <w:color w:val="000000"/>
                <w:sz w:val="18"/>
                <w:szCs w:val="18"/>
              </w:rPr>
              <w:t xml:space="preserve">Functional </w:t>
            </w:r>
            <w:r w:rsidR="00DE180A">
              <w:rPr>
                <w:rFonts w:ascii="Times" w:hAnsi="Times"/>
                <w:b/>
                <w:color w:val="000000"/>
                <w:sz w:val="18"/>
                <w:szCs w:val="18"/>
              </w:rPr>
              <w:t>c</w:t>
            </w:r>
            <w:r w:rsidRPr="00DE180A">
              <w:rPr>
                <w:rFonts w:ascii="Times" w:hAnsi="Times"/>
                <w:b/>
                <w:color w:val="000000"/>
                <w:sz w:val="18"/>
                <w:szCs w:val="18"/>
              </w:rPr>
              <w:t>ategory</w:t>
            </w:r>
          </w:p>
        </w:tc>
        <w:tc>
          <w:tcPr>
            <w:tcW w:w="1267" w:type="dxa"/>
            <w:shd w:val="clear" w:color="auto" w:fill="auto"/>
            <w:noWrap/>
            <w:vAlign w:val="center"/>
            <w:hideMark/>
          </w:tcPr>
          <w:p w14:paraId="6C993EC5" w14:textId="77777777" w:rsidR="00B75110" w:rsidRPr="00DE180A" w:rsidRDefault="00B75110" w:rsidP="006142F1">
            <w:pPr>
              <w:jc w:val="center"/>
              <w:rPr>
                <w:rFonts w:ascii="Times" w:hAnsi="Times"/>
                <w:b/>
                <w:color w:val="000000"/>
                <w:sz w:val="18"/>
                <w:szCs w:val="18"/>
              </w:rPr>
            </w:pPr>
            <w:r w:rsidRPr="00DE180A">
              <w:rPr>
                <w:rFonts w:ascii="Times" w:hAnsi="Times"/>
                <w:b/>
                <w:color w:val="000000"/>
                <w:sz w:val="18"/>
                <w:szCs w:val="18"/>
              </w:rPr>
              <w:t>2020/21</w:t>
            </w:r>
          </w:p>
        </w:tc>
        <w:tc>
          <w:tcPr>
            <w:tcW w:w="1417" w:type="dxa"/>
            <w:shd w:val="clear" w:color="auto" w:fill="auto"/>
            <w:noWrap/>
            <w:vAlign w:val="center"/>
            <w:hideMark/>
          </w:tcPr>
          <w:p w14:paraId="4E09F105" w14:textId="77777777" w:rsidR="00B75110" w:rsidRPr="00DE180A" w:rsidRDefault="00B75110" w:rsidP="006142F1">
            <w:pPr>
              <w:jc w:val="center"/>
              <w:rPr>
                <w:rFonts w:ascii="Times" w:hAnsi="Times"/>
                <w:b/>
                <w:color w:val="000000"/>
                <w:sz w:val="18"/>
                <w:szCs w:val="18"/>
              </w:rPr>
            </w:pPr>
            <w:r w:rsidRPr="00DE180A">
              <w:rPr>
                <w:rFonts w:ascii="Times" w:hAnsi="Times"/>
                <w:b/>
                <w:color w:val="000000"/>
                <w:sz w:val="18"/>
                <w:szCs w:val="18"/>
              </w:rPr>
              <w:t>2021/22</w:t>
            </w:r>
          </w:p>
        </w:tc>
        <w:tc>
          <w:tcPr>
            <w:tcW w:w="1485" w:type="dxa"/>
            <w:shd w:val="clear" w:color="auto" w:fill="auto"/>
            <w:noWrap/>
            <w:vAlign w:val="center"/>
            <w:hideMark/>
          </w:tcPr>
          <w:p w14:paraId="6E70248E" w14:textId="77777777" w:rsidR="00B75110" w:rsidRPr="00DE180A" w:rsidRDefault="00B75110" w:rsidP="006142F1">
            <w:pPr>
              <w:jc w:val="center"/>
              <w:rPr>
                <w:rFonts w:ascii="Times" w:hAnsi="Times"/>
                <w:b/>
                <w:color w:val="000000"/>
                <w:sz w:val="18"/>
                <w:szCs w:val="18"/>
              </w:rPr>
            </w:pPr>
            <w:r w:rsidRPr="00DE180A">
              <w:rPr>
                <w:rFonts w:ascii="Times" w:hAnsi="Times"/>
                <w:b/>
                <w:color w:val="000000"/>
                <w:sz w:val="18"/>
                <w:szCs w:val="18"/>
              </w:rPr>
              <w:t>2022/23</w:t>
            </w:r>
          </w:p>
        </w:tc>
        <w:tc>
          <w:tcPr>
            <w:tcW w:w="1440" w:type="dxa"/>
            <w:vMerge/>
            <w:vAlign w:val="center"/>
            <w:hideMark/>
          </w:tcPr>
          <w:p w14:paraId="5F375053" w14:textId="77777777" w:rsidR="00B75110" w:rsidRPr="000D33E4" w:rsidRDefault="00B75110" w:rsidP="00DE180A">
            <w:pPr>
              <w:jc w:val="center"/>
              <w:rPr>
                <w:rFonts w:ascii="Times" w:hAnsi="Times"/>
                <w:color w:val="000000"/>
                <w:sz w:val="18"/>
                <w:szCs w:val="18"/>
              </w:rPr>
            </w:pPr>
          </w:p>
        </w:tc>
        <w:tc>
          <w:tcPr>
            <w:tcW w:w="1350" w:type="dxa"/>
            <w:vMerge/>
            <w:vAlign w:val="center"/>
            <w:hideMark/>
          </w:tcPr>
          <w:p w14:paraId="681159FD" w14:textId="77777777" w:rsidR="00B75110" w:rsidRPr="000D33E4" w:rsidRDefault="00B75110" w:rsidP="00DE180A">
            <w:pPr>
              <w:jc w:val="center"/>
              <w:rPr>
                <w:rFonts w:ascii="Times" w:hAnsi="Times"/>
                <w:color w:val="000000"/>
                <w:sz w:val="18"/>
                <w:szCs w:val="18"/>
              </w:rPr>
            </w:pPr>
          </w:p>
        </w:tc>
      </w:tr>
      <w:tr w:rsidR="00B75110" w:rsidRPr="000D33E4" w14:paraId="7E7045A8" w14:textId="77777777" w:rsidTr="00CC643A">
        <w:trPr>
          <w:trHeight w:val="204"/>
          <w:jc w:val="right"/>
        </w:trPr>
        <w:tc>
          <w:tcPr>
            <w:tcW w:w="2703" w:type="dxa"/>
            <w:shd w:val="clear" w:color="auto" w:fill="auto"/>
            <w:noWrap/>
            <w:vAlign w:val="bottom"/>
            <w:hideMark/>
          </w:tcPr>
          <w:p w14:paraId="7566BB4D" w14:textId="77777777" w:rsidR="00B75110" w:rsidRPr="000D33E4" w:rsidRDefault="00B75110" w:rsidP="007B1E55">
            <w:pPr>
              <w:rPr>
                <w:rFonts w:ascii="Times" w:hAnsi="Times"/>
                <w:color w:val="000000"/>
                <w:sz w:val="18"/>
                <w:szCs w:val="18"/>
              </w:rPr>
            </w:pPr>
            <w:r w:rsidRPr="000D33E4">
              <w:rPr>
                <w:rFonts w:ascii="Times" w:hAnsi="Times"/>
                <w:color w:val="000000"/>
                <w:sz w:val="18"/>
                <w:szCs w:val="18"/>
              </w:rPr>
              <w:t>Learning and culture</w:t>
            </w:r>
          </w:p>
        </w:tc>
        <w:tc>
          <w:tcPr>
            <w:tcW w:w="1267" w:type="dxa"/>
            <w:shd w:val="clear" w:color="auto" w:fill="auto"/>
            <w:noWrap/>
            <w:vAlign w:val="bottom"/>
            <w:hideMark/>
          </w:tcPr>
          <w:p w14:paraId="012C6DA4" w14:textId="77777777" w:rsidR="00B75110" w:rsidRPr="000D33E4" w:rsidRDefault="00B75110" w:rsidP="001D006A">
            <w:pPr>
              <w:jc w:val="center"/>
              <w:rPr>
                <w:rFonts w:ascii="Times" w:hAnsi="Times"/>
                <w:color w:val="000000"/>
                <w:sz w:val="18"/>
                <w:szCs w:val="18"/>
              </w:rPr>
            </w:pPr>
            <w:r w:rsidRPr="000D33E4">
              <w:rPr>
                <w:rFonts w:ascii="Times" w:hAnsi="Times"/>
                <w:color w:val="000000"/>
                <w:sz w:val="18"/>
                <w:szCs w:val="18"/>
              </w:rPr>
              <w:t>396.4</w:t>
            </w:r>
          </w:p>
        </w:tc>
        <w:tc>
          <w:tcPr>
            <w:tcW w:w="1417" w:type="dxa"/>
            <w:shd w:val="clear" w:color="auto" w:fill="auto"/>
            <w:noWrap/>
            <w:vAlign w:val="bottom"/>
            <w:hideMark/>
          </w:tcPr>
          <w:p w14:paraId="2076D903" w14:textId="77777777" w:rsidR="00B75110" w:rsidRPr="000D33E4" w:rsidRDefault="00B75110" w:rsidP="001D006A">
            <w:pPr>
              <w:jc w:val="center"/>
              <w:rPr>
                <w:rFonts w:ascii="Times" w:hAnsi="Times"/>
                <w:color w:val="000000"/>
                <w:sz w:val="18"/>
                <w:szCs w:val="18"/>
              </w:rPr>
            </w:pPr>
            <w:r w:rsidRPr="000D33E4">
              <w:rPr>
                <w:rFonts w:ascii="Times" w:hAnsi="Times"/>
                <w:color w:val="000000"/>
                <w:sz w:val="18"/>
                <w:szCs w:val="18"/>
              </w:rPr>
              <w:t>417.8</w:t>
            </w:r>
          </w:p>
        </w:tc>
        <w:tc>
          <w:tcPr>
            <w:tcW w:w="1485" w:type="dxa"/>
            <w:shd w:val="clear" w:color="auto" w:fill="auto"/>
            <w:noWrap/>
            <w:vAlign w:val="bottom"/>
            <w:hideMark/>
          </w:tcPr>
          <w:p w14:paraId="0A7016EB" w14:textId="77777777" w:rsidR="00B75110" w:rsidRPr="000D33E4" w:rsidRDefault="00B75110" w:rsidP="001D006A">
            <w:pPr>
              <w:jc w:val="center"/>
              <w:rPr>
                <w:rFonts w:ascii="Times" w:hAnsi="Times"/>
                <w:color w:val="000000"/>
                <w:sz w:val="18"/>
                <w:szCs w:val="18"/>
              </w:rPr>
            </w:pPr>
            <w:r w:rsidRPr="000D33E4">
              <w:rPr>
                <w:rFonts w:ascii="Times" w:hAnsi="Times"/>
                <w:color w:val="000000"/>
                <w:sz w:val="18"/>
                <w:szCs w:val="18"/>
              </w:rPr>
              <w:t>434.2</w:t>
            </w:r>
          </w:p>
        </w:tc>
        <w:tc>
          <w:tcPr>
            <w:tcW w:w="1440" w:type="dxa"/>
            <w:shd w:val="clear" w:color="auto" w:fill="auto"/>
            <w:noWrap/>
            <w:vAlign w:val="bottom"/>
            <w:hideMark/>
          </w:tcPr>
          <w:p w14:paraId="092BF7A6" w14:textId="77777777" w:rsidR="00B75110" w:rsidRPr="000D33E4" w:rsidRDefault="00B75110" w:rsidP="001D006A">
            <w:pPr>
              <w:jc w:val="center"/>
              <w:rPr>
                <w:rFonts w:ascii="Times" w:hAnsi="Times"/>
                <w:color w:val="000000"/>
                <w:sz w:val="18"/>
                <w:szCs w:val="18"/>
              </w:rPr>
            </w:pPr>
            <w:r w:rsidRPr="000D33E4">
              <w:rPr>
                <w:rFonts w:ascii="Times" w:hAnsi="Times"/>
                <w:color w:val="000000"/>
                <w:sz w:val="18"/>
                <w:szCs w:val="18"/>
              </w:rPr>
              <w:t>1</w:t>
            </w:r>
            <w:r w:rsidR="00DE180A">
              <w:rPr>
                <w:rFonts w:ascii="Times" w:hAnsi="Times"/>
                <w:color w:val="000000"/>
                <w:sz w:val="18"/>
                <w:szCs w:val="18"/>
              </w:rPr>
              <w:t xml:space="preserve"> </w:t>
            </w:r>
            <w:r w:rsidRPr="000D33E4">
              <w:rPr>
                <w:rFonts w:ascii="Times" w:hAnsi="Times"/>
                <w:color w:val="000000"/>
                <w:sz w:val="18"/>
                <w:szCs w:val="18"/>
              </w:rPr>
              <w:t>248.4</w:t>
            </w:r>
          </w:p>
        </w:tc>
        <w:tc>
          <w:tcPr>
            <w:tcW w:w="1350" w:type="dxa"/>
            <w:shd w:val="clear" w:color="auto" w:fill="auto"/>
            <w:noWrap/>
            <w:vAlign w:val="bottom"/>
            <w:hideMark/>
          </w:tcPr>
          <w:p w14:paraId="76C854F6" w14:textId="77777777" w:rsidR="00B75110" w:rsidRPr="000D33E4" w:rsidRDefault="00B75110" w:rsidP="001D006A">
            <w:pPr>
              <w:jc w:val="center"/>
              <w:rPr>
                <w:rFonts w:ascii="Times" w:hAnsi="Times"/>
                <w:color w:val="000000"/>
                <w:sz w:val="18"/>
                <w:szCs w:val="18"/>
              </w:rPr>
            </w:pPr>
            <w:r w:rsidRPr="000D33E4">
              <w:rPr>
                <w:rFonts w:ascii="Times" w:hAnsi="Times"/>
                <w:color w:val="000000"/>
                <w:sz w:val="18"/>
                <w:szCs w:val="18"/>
              </w:rPr>
              <w:t>-0.5%</w:t>
            </w:r>
          </w:p>
        </w:tc>
      </w:tr>
      <w:tr w:rsidR="00B75110" w:rsidRPr="000D33E4" w14:paraId="0940EB8F" w14:textId="77777777" w:rsidTr="00CC643A">
        <w:trPr>
          <w:trHeight w:val="204"/>
          <w:jc w:val="right"/>
        </w:trPr>
        <w:tc>
          <w:tcPr>
            <w:tcW w:w="2703" w:type="dxa"/>
            <w:shd w:val="clear" w:color="auto" w:fill="auto"/>
            <w:noWrap/>
            <w:vAlign w:val="bottom"/>
            <w:hideMark/>
          </w:tcPr>
          <w:p w14:paraId="342D3000" w14:textId="77777777" w:rsidR="00B75110" w:rsidRPr="000D33E4" w:rsidRDefault="00B75110" w:rsidP="007B1E55">
            <w:pPr>
              <w:rPr>
                <w:rFonts w:ascii="Times" w:hAnsi="Times"/>
                <w:color w:val="000000"/>
                <w:sz w:val="18"/>
                <w:szCs w:val="18"/>
              </w:rPr>
            </w:pPr>
            <w:r w:rsidRPr="000D33E4">
              <w:rPr>
                <w:rFonts w:ascii="Times" w:hAnsi="Times"/>
                <w:color w:val="000000"/>
                <w:sz w:val="18"/>
                <w:szCs w:val="18"/>
              </w:rPr>
              <w:t>Health</w:t>
            </w:r>
          </w:p>
        </w:tc>
        <w:tc>
          <w:tcPr>
            <w:tcW w:w="1267" w:type="dxa"/>
            <w:shd w:val="clear" w:color="auto" w:fill="auto"/>
            <w:noWrap/>
            <w:vAlign w:val="bottom"/>
            <w:hideMark/>
          </w:tcPr>
          <w:p w14:paraId="44972E1E" w14:textId="77777777" w:rsidR="00B75110" w:rsidRPr="000D33E4" w:rsidRDefault="00B75110" w:rsidP="001D006A">
            <w:pPr>
              <w:jc w:val="center"/>
              <w:rPr>
                <w:rFonts w:ascii="Times" w:hAnsi="Times"/>
                <w:color w:val="000000"/>
                <w:sz w:val="18"/>
                <w:szCs w:val="18"/>
              </w:rPr>
            </w:pPr>
            <w:r w:rsidRPr="000D33E4">
              <w:rPr>
                <w:rFonts w:ascii="Times" w:hAnsi="Times"/>
                <w:color w:val="000000"/>
                <w:sz w:val="18"/>
                <w:szCs w:val="18"/>
              </w:rPr>
              <w:t>229.7</w:t>
            </w:r>
          </w:p>
        </w:tc>
        <w:tc>
          <w:tcPr>
            <w:tcW w:w="1417" w:type="dxa"/>
            <w:shd w:val="clear" w:color="auto" w:fill="auto"/>
            <w:noWrap/>
            <w:vAlign w:val="bottom"/>
            <w:hideMark/>
          </w:tcPr>
          <w:p w14:paraId="76D0FEA0" w14:textId="77777777" w:rsidR="00B75110" w:rsidRPr="000D33E4" w:rsidRDefault="00B75110" w:rsidP="001D006A">
            <w:pPr>
              <w:jc w:val="center"/>
              <w:rPr>
                <w:rFonts w:ascii="Times" w:hAnsi="Times"/>
                <w:color w:val="000000"/>
                <w:sz w:val="18"/>
                <w:szCs w:val="18"/>
              </w:rPr>
            </w:pPr>
            <w:r w:rsidRPr="000D33E4">
              <w:rPr>
                <w:rFonts w:ascii="Times" w:hAnsi="Times"/>
                <w:color w:val="000000"/>
                <w:sz w:val="18"/>
                <w:szCs w:val="18"/>
              </w:rPr>
              <w:t>244.0</w:t>
            </w:r>
          </w:p>
        </w:tc>
        <w:tc>
          <w:tcPr>
            <w:tcW w:w="1485" w:type="dxa"/>
            <w:shd w:val="clear" w:color="auto" w:fill="auto"/>
            <w:noWrap/>
            <w:vAlign w:val="bottom"/>
            <w:hideMark/>
          </w:tcPr>
          <w:p w14:paraId="4AC53623" w14:textId="77777777" w:rsidR="00B75110" w:rsidRPr="000D33E4" w:rsidRDefault="00B75110" w:rsidP="001D006A">
            <w:pPr>
              <w:jc w:val="center"/>
              <w:rPr>
                <w:rFonts w:ascii="Times" w:hAnsi="Times"/>
                <w:color w:val="000000"/>
                <w:sz w:val="18"/>
                <w:szCs w:val="18"/>
              </w:rPr>
            </w:pPr>
            <w:r w:rsidRPr="000D33E4">
              <w:rPr>
                <w:rFonts w:ascii="Times" w:hAnsi="Times"/>
                <w:color w:val="000000"/>
                <w:sz w:val="18"/>
                <w:szCs w:val="18"/>
              </w:rPr>
              <w:t>257.6</w:t>
            </w:r>
          </w:p>
        </w:tc>
        <w:tc>
          <w:tcPr>
            <w:tcW w:w="1440" w:type="dxa"/>
            <w:shd w:val="clear" w:color="auto" w:fill="auto"/>
            <w:noWrap/>
            <w:vAlign w:val="bottom"/>
            <w:hideMark/>
          </w:tcPr>
          <w:p w14:paraId="0ABAB9DB" w14:textId="77777777" w:rsidR="00B75110" w:rsidRPr="000D33E4" w:rsidRDefault="00B75110" w:rsidP="001D006A">
            <w:pPr>
              <w:jc w:val="center"/>
              <w:rPr>
                <w:rFonts w:ascii="Times" w:hAnsi="Times"/>
                <w:color w:val="000000"/>
                <w:sz w:val="18"/>
                <w:szCs w:val="18"/>
              </w:rPr>
            </w:pPr>
            <w:r w:rsidRPr="000D33E4">
              <w:rPr>
                <w:rFonts w:ascii="Times" w:hAnsi="Times"/>
                <w:color w:val="000000"/>
                <w:sz w:val="18"/>
                <w:szCs w:val="18"/>
              </w:rPr>
              <w:t>731.2</w:t>
            </w:r>
          </w:p>
        </w:tc>
        <w:tc>
          <w:tcPr>
            <w:tcW w:w="1350" w:type="dxa"/>
            <w:shd w:val="clear" w:color="auto" w:fill="auto"/>
            <w:noWrap/>
            <w:vAlign w:val="bottom"/>
            <w:hideMark/>
          </w:tcPr>
          <w:p w14:paraId="3878B191" w14:textId="77777777" w:rsidR="00B75110" w:rsidRPr="000D33E4" w:rsidRDefault="00B75110" w:rsidP="001D006A">
            <w:pPr>
              <w:jc w:val="center"/>
              <w:rPr>
                <w:rFonts w:ascii="Times" w:hAnsi="Times"/>
                <w:color w:val="000000"/>
                <w:sz w:val="18"/>
                <w:szCs w:val="18"/>
              </w:rPr>
            </w:pPr>
            <w:r w:rsidRPr="000D33E4">
              <w:rPr>
                <w:rFonts w:ascii="Times" w:hAnsi="Times"/>
                <w:color w:val="000000"/>
                <w:sz w:val="18"/>
                <w:szCs w:val="18"/>
              </w:rPr>
              <w:t>0.5%</w:t>
            </w:r>
          </w:p>
        </w:tc>
      </w:tr>
      <w:tr w:rsidR="00B75110" w:rsidRPr="000D33E4" w14:paraId="405556D2" w14:textId="77777777" w:rsidTr="00CC643A">
        <w:trPr>
          <w:trHeight w:val="204"/>
          <w:jc w:val="right"/>
        </w:trPr>
        <w:tc>
          <w:tcPr>
            <w:tcW w:w="2703" w:type="dxa"/>
            <w:shd w:val="clear" w:color="auto" w:fill="auto"/>
            <w:noWrap/>
            <w:vAlign w:val="bottom"/>
            <w:hideMark/>
          </w:tcPr>
          <w:p w14:paraId="1A99854C" w14:textId="77777777" w:rsidR="00B75110" w:rsidRPr="000D33E4" w:rsidRDefault="00B75110" w:rsidP="007B1E55">
            <w:pPr>
              <w:rPr>
                <w:rFonts w:ascii="Times" w:hAnsi="Times"/>
                <w:color w:val="000000"/>
                <w:sz w:val="18"/>
                <w:szCs w:val="18"/>
              </w:rPr>
            </w:pPr>
            <w:r w:rsidRPr="000D33E4">
              <w:rPr>
                <w:rFonts w:ascii="Times" w:hAnsi="Times"/>
                <w:color w:val="000000"/>
                <w:sz w:val="18"/>
                <w:szCs w:val="18"/>
              </w:rPr>
              <w:t>Social development</w:t>
            </w:r>
          </w:p>
        </w:tc>
        <w:tc>
          <w:tcPr>
            <w:tcW w:w="1267" w:type="dxa"/>
            <w:shd w:val="clear" w:color="auto" w:fill="auto"/>
            <w:noWrap/>
            <w:vAlign w:val="bottom"/>
            <w:hideMark/>
          </w:tcPr>
          <w:p w14:paraId="0E9B7EDE" w14:textId="77777777" w:rsidR="00B75110" w:rsidRPr="000D33E4" w:rsidRDefault="00B75110" w:rsidP="001D006A">
            <w:pPr>
              <w:jc w:val="center"/>
              <w:rPr>
                <w:rFonts w:ascii="Times" w:hAnsi="Times"/>
                <w:color w:val="000000"/>
                <w:sz w:val="18"/>
                <w:szCs w:val="18"/>
              </w:rPr>
            </w:pPr>
            <w:r w:rsidRPr="000D33E4">
              <w:rPr>
                <w:rFonts w:ascii="Times" w:hAnsi="Times"/>
                <w:color w:val="000000"/>
                <w:sz w:val="18"/>
                <w:szCs w:val="18"/>
              </w:rPr>
              <w:t>309.5</w:t>
            </w:r>
          </w:p>
        </w:tc>
        <w:tc>
          <w:tcPr>
            <w:tcW w:w="1417" w:type="dxa"/>
            <w:shd w:val="clear" w:color="auto" w:fill="auto"/>
            <w:noWrap/>
            <w:vAlign w:val="bottom"/>
            <w:hideMark/>
          </w:tcPr>
          <w:p w14:paraId="7E5EBE58" w14:textId="77777777" w:rsidR="00B75110" w:rsidRPr="000D33E4" w:rsidRDefault="00B75110" w:rsidP="001D006A">
            <w:pPr>
              <w:jc w:val="center"/>
              <w:rPr>
                <w:rFonts w:ascii="Times" w:hAnsi="Times"/>
                <w:color w:val="000000"/>
                <w:sz w:val="18"/>
                <w:szCs w:val="18"/>
              </w:rPr>
            </w:pPr>
            <w:r w:rsidRPr="000D33E4">
              <w:rPr>
                <w:rFonts w:ascii="Times" w:hAnsi="Times"/>
                <w:color w:val="000000"/>
                <w:sz w:val="18"/>
                <w:szCs w:val="18"/>
              </w:rPr>
              <w:t>320.1</w:t>
            </w:r>
          </w:p>
        </w:tc>
        <w:tc>
          <w:tcPr>
            <w:tcW w:w="1485" w:type="dxa"/>
            <w:shd w:val="clear" w:color="auto" w:fill="auto"/>
            <w:noWrap/>
            <w:vAlign w:val="bottom"/>
            <w:hideMark/>
          </w:tcPr>
          <w:p w14:paraId="13B942E9" w14:textId="77777777" w:rsidR="00B75110" w:rsidRPr="000D33E4" w:rsidRDefault="00B75110" w:rsidP="001D006A">
            <w:pPr>
              <w:jc w:val="center"/>
              <w:rPr>
                <w:rFonts w:ascii="Times" w:hAnsi="Times"/>
                <w:color w:val="000000"/>
                <w:sz w:val="18"/>
                <w:szCs w:val="18"/>
              </w:rPr>
            </w:pPr>
            <w:r w:rsidRPr="000D33E4">
              <w:rPr>
                <w:rFonts w:ascii="Times" w:hAnsi="Times"/>
                <w:color w:val="000000"/>
                <w:sz w:val="18"/>
                <w:szCs w:val="18"/>
              </w:rPr>
              <w:t>340.9</w:t>
            </w:r>
          </w:p>
        </w:tc>
        <w:tc>
          <w:tcPr>
            <w:tcW w:w="1440" w:type="dxa"/>
            <w:shd w:val="clear" w:color="auto" w:fill="auto"/>
            <w:noWrap/>
            <w:vAlign w:val="bottom"/>
            <w:hideMark/>
          </w:tcPr>
          <w:p w14:paraId="4548B1BF" w14:textId="77777777" w:rsidR="00B75110" w:rsidRPr="000D33E4" w:rsidRDefault="00B75110" w:rsidP="001D006A">
            <w:pPr>
              <w:jc w:val="center"/>
              <w:rPr>
                <w:rFonts w:ascii="Times" w:hAnsi="Times"/>
                <w:color w:val="000000"/>
                <w:sz w:val="18"/>
                <w:szCs w:val="18"/>
              </w:rPr>
            </w:pPr>
            <w:r w:rsidRPr="000D33E4">
              <w:rPr>
                <w:rFonts w:ascii="Times" w:hAnsi="Times"/>
                <w:color w:val="000000"/>
                <w:sz w:val="18"/>
                <w:szCs w:val="18"/>
              </w:rPr>
              <w:t>970.5</w:t>
            </w:r>
          </w:p>
        </w:tc>
        <w:tc>
          <w:tcPr>
            <w:tcW w:w="1350" w:type="dxa"/>
            <w:shd w:val="clear" w:color="auto" w:fill="auto"/>
            <w:noWrap/>
            <w:vAlign w:val="bottom"/>
            <w:hideMark/>
          </w:tcPr>
          <w:p w14:paraId="10D7C2B5" w14:textId="77777777" w:rsidR="00B75110" w:rsidRPr="000D33E4" w:rsidRDefault="00B75110" w:rsidP="001D006A">
            <w:pPr>
              <w:jc w:val="center"/>
              <w:rPr>
                <w:rFonts w:ascii="Times" w:hAnsi="Times"/>
                <w:color w:val="000000"/>
                <w:sz w:val="18"/>
                <w:szCs w:val="18"/>
              </w:rPr>
            </w:pPr>
            <w:r w:rsidRPr="000D33E4">
              <w:rPr>
                <w:rFonts w:ascii="Times" w:hAnsi="Times"/>
                <w:color w:val="000000"/>
                <w:sz w:val="18"/>
                <w:szCs w:val="18"/>
              </w:rPr>
              <w:t>1.6%</w:t>
            </w:r>
          </w:p>
        </w:tc>
      </w:tr>
      <w:tr w:rsidR="00B75110" w:rsidRPr="000D33E4" w14:paraId="0C1B2E68" w14:textId="77777777" w:rsidTr="00CC643A">
        <w:trPr>
          <w:trHeight w:val="204"/>
          <w:jc w:val="right"/>
        </w:trPr>
        <w:tc>
          <w:tcPr>
            <w:tcW w:w="2703" w:type="dxa"/>
            <w:shd w:val="clear" w:color="auto" w:fill="auto"/>
            <w:noWrap/>
            <w:vAlign w:val="bottom"/>
            <w:hideMark/>
          </w:tcPr>
          <w:p w14:paraId="24F0918E" w14:textId="77777777" w:rsidR="00B75110" w:rsidRPr="000D33E4" w:rsidRDefault="00B75110" w:rsidP="007B1E55">
            <w:pPr>
              <w:rPr>
                <w:rFonts w:ascii="Times" w:hAnsi="Times"/>
                <w:color w:val="000000"/>
                <w:sz w:val="18"/>
                <w:szCs w:val="18"/>
              </w:rPr>
            </w:pPr>
            <w:r w:rsidRPr="000D33E4">
              <w:rPr>
                <w:rFonts w:ascii="Times" w:hAnsi="Times"/>
                <w:color w:val="000000"/>
                <w:sz w:val="18"/>
                <w:szCs w:val="18"/>
              </w:rPr>
              <w:t>Community development</w:t>
            </w:r>
          </w:p>
        </w:tc>
        <w:tc>
          <w:tcPr>
            <w:tcW w:w="1267" w:type="dxa"/>
            <w:shd w:val="clear" w:color="auto" w:fill="auto"/>
            <w:noWrap/>
            <w:vAlign w:val="bottom"/>
            <w:hideMark/>
          </w:tcPr>
          <w:p w14:paraId="3C0CB134" w14:textId="77777777" w:rsidR="00B75110" w:rsidRPr="000D33E4" w:rsidRDefault="00B75110" w:rsidP="001D006A">
            <w:pPr>
              <w:jc w:val="center"/>
              <w:rPr>
                <w:rFonts w:ascii="Times" w:hAnsi="Times"/>
                <w:color w:val="000000"/>
                <w:sz w:val="18"/>
                <w:szCs w:val="18"/>
              </w:rPr>
            </w:pPr>
            <w:r w:rsidRPr="000D33E4">
              <w:rPr>
                <w:rFonts w:ascii="Times" w:hAnsi="Times"/>
                <w:color w:val="000000"/>
                <w:sz w:val="18"/>
                <w:szCs w:val="18"/>
              </w:rPr>
              <w:t>212.3</w:t>
            </w:r>
          </w:p>
        </w:tc>
        <w:tc>
          <w:tcPr>
            <w:tcW w:w="1417" w:type="dxa"/>
            <w:shd w:val="clear" w:color="auto" w:fill="auto"/>
            <w:noWrap/>
            <w:vAlign w:val="bottom"/>
            <w:hideMark/>
          </w:tcPr>
          <w:p w14:paraId="4DF6EFB5" w14:textId="77777777" w:rsidR="00B75110" w:rsidRPr="000D33E4" w:rsidRDefault="00B75110" w:rsidP="001D006A">
            <w:pPr>
              <w:jc w:val="center"/>
              <w:rPr>
                <w:rFonts w:ascii="Times" w:hAnsi="Times"/>
                <w:color w:val="000000"/>
                <w:sz w:val="18"/>
                <w:szCs w:val="18"/>
              </w:rPr>
            </w:pPr>
            <w:r w:rsidRPr="000D33E4">
              <w:rPr>
                <w:rFonts w:ascii="Times" w:hAnsi="Times"/>
                <w:color w:val="000000"/>
                <w:sz w:val="18"/>
                <w:szCs w:val="18"/>
              </w:rPr>
              <w:t>228.2</w:t>
            </w:r>
          </w:p>
        </w:tc>
        <w:tc>
          <w:tcPr>
            <w:tcW w:w="1485" w:type="dxa"/>
            <w:shd w:val="clear" w:color="auto" w:fill="auto"/>
            <w:noWrap/>
            <w:vAlign w:val="bottom"/>
            <w:hideMark/>
          </w:tcPr>
          <w:p w14:paraId="1556C81A" w14:textId="77777777" w:rsidR="00B75110" w:rsidRPr="000D33E4" w:rsidRDefault="00B75110" w:rsidP="001D006A">
            <w:pPr>
              <w:jc w:val="center"/>
              <w:rPr>
                <w:rFonts w:ascii="Times" w:hAnsi="Times"/>
                <w:color w:val="000000"/>
                <w:sz w:val="18"/>
                <w:szCs w:val="18"/>
              </w:rPr>
            </w:pPr>
            <w:r w:rsidRPr="000D33E4">
              <w:rPr>
                <w:rFonts w:ascii="Times" w:hAnsi="Times"/>
                <w:color w:val="000000"/>
                <w:sz w:val="18"/>
                <w:szCs w:val="18"/>
              </w:rPr>
              <w:t>242.2</w:t>
            </w:r>
          </w:p>
        </w:tc>
        <w:tc>
          <w:tcPr>
            <w:tcW w:w="1440" w:type="dxa"/>
            <w:shd w:val="clear" w:color="auto" w:fill="auto"/>
            <w:noWrap/>
            <w:vAlign w:val="bottom"/>
            <w:hideMark/>
          </w:tcPr>
          <w:p w14:paraId="3D473CA7" w14:textId="77777777" w:rsidR="00B75110" w:rsidRPr="000D33E4" w:rsidRDefault="00B75110" w:rsidP="001D006A">
            <w:pPr>
              <w:jc w:val="center"/>
              <w:rPr>
                <w:rFonts w:ascii="Times" w:hAnsi="Times"/>
                <w:color w:val="000000"/>
                <w:sz w:val="18"/>
                <w:szCs w:val="18"/>
              </w:rPr>
            </w:pPr>
            <w:r w:rsidRPr="000D33E4">
              <w:rPr>
                <w:rFonts w:ascii="Times" w:hAnsi="Times"/>
                <w:color w:val="000000"/>
                <w:sz w:val="18"/>
                <w:szCs w:val="18"/>
              </w:rPr>
              <w:t>682.7</w:t>
            </w:r>
          </w:p>
        </w:tc>
        <w:tc>
          <w:tcPr>
            <w:tcW w:w="1350" w:type="dxa"/>
            <w:shd w:val="clear" w:color="auto" w:fill="auto"/>
            <w:noWrap/>
            <w:vAlign w:val="bottom"/>
            <w:hideMark/>
          </w:tcPr>
          <w:p w14:paraId="70EE96C6" w14:textId="77777777" w:rsidR="00B75110" w:rsidRPr="000D33E4" w:rsidRDefault="00B75110" w:rsidP="001D006A">
            <w:pPr>
              <w:jc w:val="center"/>
              <w:rPr>
                <w:rFonts w:ascii="Times" w:hAnsi="Times"/>
                <w:color w:val="000000"/>
                <w:sz w:val="18"/>
                <w:szCs w:val="18"/>
              </w:rPr>
            </w:pPr>
            <w:r w:rsidRPr="000D33E4">
              <w:rPr>
                <w:rFonts w:ascii="Times" w:hAnsi="Times"/>
                <w:color w:val="000000"/>
                <w:sz w:val="18"/>
                <w:szCs w:val="18"/>
              </w:rPr>
              <w:t>1.7%</w:t>
            </w:r>
          </w:p>
        </w:tc>
      </w:tr>
      <w:tr w:rsidR="00B75110" w:rsidRPr="000D33E4" w14:paraId="73AB80AE" w14:textId="77777777" w:rsidTr="00CC643A">
        <w:trPr>
          <w:trHeight w:val="204"/>
          <w:jc w:val="right"/>
        </w:trPr>
        <w:tc>
          <w:tcPr>
            <w:tcW w:w="2703" w:type="dxa"/>
            <w:shd w:val="clear" w:color="auto" w:fill="auto"/>
            <w:noWrap/>
            <w:vAlign w:val="bottom"/>
            <w:hideMark/>
          </w:tcPr>
          <w:p w14:paraId="09D004A8" w14:textId="77777777" w:rsidR="00B75110" w:rsidRPr="000D33E4" w:rsidRDefault="00B75110" w:rsidP="007B1E55">
            <w:pPr>
              <w:rPr>
                <w:rFonts w:ascii="Times" w:hAnsi="Times"/>
                <w:color w:val="000000"/>
                <w:sz w:val="18"/>
                <w:szCs w:val="18"/>
              </w:rPr>
            </w:pPr>
            <w:r w:rsidRPr="000D33E4">
              <w:rPr>
                <w:rFonts w:ascii="Times" w:hAnsi="Times"/>
                <w:color w:val="000000"/>
                <w:sz w:val="18"/>
                <w:szCs w:val="18"/>
              </w:rPr>
              <w:t>Economic development</w:t>
            </w:r>
          </w:p>
        </w:tc>
        <w:tc>
          <w:tcPr>
            <w:tcW w:w="1267" w:type="dxa"/>
            <w:shd w:val="clear" w:color="auto" w:fill="auto"/>
            <w:noWrap/>
            <w:vAlign w:val="bottom"/>
            <w:hideMark/>
          </w:tcPr>
          <w:p w14:paraId="0C4F4F57" w14:textId="77777777" w:rsidR="00B75110" w:rsidRPr="000D33E4" w:rsidRDefault="00B75110" w:rsidP="001D006A">
            <w:pPr>
              <w:jc w:val="center"/>
              <w:rPr>
                <w:rFonts w:ascii="Times" w:hAnsi="Times"/>
                <w:color w:val="000000"/>
                <w:sz w:val="18"/>
                <w:szCs w:val="18"/>
              </w:rPr>
            </w:pPr>
            <w:r w:rsidRPr="000D33E4">
              <w:rPr>
                <w:rFonts w:ascii="Times" w:hAnsi="Times"/>
                <w:color w:val="000000"/>
                <w:sz w:val="18"/>
                <w:szCs w:val="18"/>
              </w:rPr>
              <w:t>211.5</w:t>
            </w:r>
          </w:p>
        </w:tc>
        <w:tc>
          <w:tcPr>
            <w:tcW w:w="1417" w:type="dxa"/>
            <w:shd w:val="clear" w:color="auto" w:fill="auto"/>
            <w:noWrap/>
            <w:vAlign w:val="bottom"/>
            <w:hideMark/>
          </w:tcPr>
          <w:p w14:paraId="59A379D2" w14:textId="77777777" w:rsidR="00B75110" w:rsidRPr="000D33E4" w:rsidRDefault="00B75110" w:rsidP="001D006A">
            <w:pPr>
              <w:jc w:val="center"/>
              <w:rPr>
                <w:rFonts w:ascii="Times" w:hAnsi="Times"/>
                <w:color w:val="000000"/>
                <w:sz w:val="18"/>
                <w:szCs w:val="18"/>
              </w:rPr>
            </w:pPr>
            <w:r w:rsidRPr="000D33E4">
              <w:rPr>
                <w:rFonts w:ascii="Times" w:hAnsi="Times"/>
                <w:color w:val="000000"/>
                <w:sz w:val="18"/>
                <w:szCs w:val="18"/>
              </w:rPr>
              <w:t>228.2</w:t>
            </w:r>
          </w:p>
        </w:tc>
        <w:tc>
          <w:tcPr>
            <w:tcW w:w="1485" w:type="dxa"/>
            <w:shd w:val="clear" w:color="auto" w:fill="auto"/>
            <w:noWrap/>
            <w:vAlign w:val="bottom"/>
            <w:hideMark/>
          </w:tcPr>
          <w:p w14:paraId="6F85567C" w14:textId="77777777" w:rsidR="00B75110" w:rsidRPr="000D33E4" w:rsidRDefault="00B75110" w:rsidP="001D006A">
            <w:pPr>
              <w:jc w:val="center"/>
              <w:rPr>
                <w:rFonts w:ascii="Times" w:hAnsi="Times"/>
                <w:color w:val="000000"/>
                <w:sz w:val="18"/>
                <w:szCs w:val="18"/>
              </w:rPr>
            </w:pPr>
            <w:r w:rsidRPr="000D33E4">
              <w:rPr>
                <w:rFonts w:ascii="Times" w:hAnsi="Times"/>
                <w:color w:val="000000"/>
                <w:sz w:val="18"/>
                <w:szCs w:val="18"/>
              </w:rPr>
              <w:t>240.9</w:t>
            </w:r>
          </w:p>
        </w:tc>
        <w:tc>
          <w:tcPr>
            <w:tcW w:w="1440" w:type="dxa"/>
            <w:shd w:val="clear" w:color="auto" w:fill="auto"/>
            <w:noWrap/>
            <w:vAlign w:val="bottom"/>
            <w:hideMark/>
          </w:tcPr>
          <w:p w14:paraId="6953D425" w14:textId="77777777" w:rsidR="00B75110" w:rsidRPr="000D33E4" w:rsidRDefault="00B75110" w:rsidP="001D006A">
            <w:pPr>
              <w:jc w:val="center"/>
              <w:rPr>
                <w:rFonts w:ascii="Times" w:hAnsi="Times"/>
                <w:color w:val="000000"/>
                <w:sz w:val="18"/>
                <w:szCs w:val="18"/>
              </w:rPr>
            </w:pPr>
            <w:r w:rsidRPr="000D33E4">
              <w:rPr>
                <w:rFonts w:ascii="Times" w:hAnsi="Times"/>
                <w:color w:val="000000"/>
                <w:sz w:val="18"/>
                <w:szCs w:val="18"/>
              </w:rPr>
              <w:t>680.7</w:t>
            </w:r>
          </w:p>
        </w:tc>
        <w:tc>
          <w:tcPr>
            <w:tcW w:w="1350" w:type="dxa"/>
            <w:shd w:val="clear" w:color="auto" w:fill="auto"/>
            <w:noWrap/>
            <w:vAlign w:val="bottom"/>
            <w:hideMark/>
          </w:tcPr>
          <w:p w14:paraId="4FFE8E72" w14:textId="77777777" w:rsidR="00B75110" w:rsidRPr="000D33E4" w:rsidRDefault="00B75110" w:rsidP="001D006A">
            <w:pPr>
              <w:jc w:val="center"/>
              <w:rPr>
                <w:rFonts w:ascii="Times" w:hAnsi="Times"/>
                <w:color w:val="000000"/>
                <w:sz w:val="18"/>
                <w:szCs w:val="18"/>
              </w:rPr>
            </w:pPr>
            <w:r w:rsidRPr="000D33E4">
              <w:rPr>
                <w:rFonts w:ascii="Times" w:hAnsi="Times"/>
                <w:color w:val="000000"/>
                <w:sz w:val="18"/>
                <w:szCs w:val="18"/>
              </w:rPr>
              <w:t>2.0%</w:t>
            </w:r>
          </w:p>
        </w:tc>
      </w:tr>
      <w:tr w:rsidR="00B75110" w:rsidRPr="000D33E4" w14:paraId="344B3956" w14:textId="77777777" w:rsidTr="00CC643A">
        <w:trPr>
          <w:trHeight w:val="288"/>
          <w:jc w:val="right"/>
        </w:trPr>
        <w:tc>
          <w:tcPr>
            <w:tcW w:w="2703" w:type="dxa"/>
            <w:shd w:val="clear" w:color="auto" w:fill="auto"/>
            <w:noWrap/>
            <w:vAlign w:val="bottom"/>
            <w:hideMark/>
          </w:tcPr>
          <w:p w14:paraId="1574882D" w14:textId="77777777" w:rsidR="00B75110" w:rsidRPr="000D33E4" w:rsidRDefault="00B75110" w:rsidP="007B1E55">
            <w:pPr>
              <w:rPr>
                <w:rFonts w:ascii="Times" w:hAnsi="Times"/>
                <w:color w:val="000000"/>
                <w:sz w:val="18"/>
                <w:szCs w:val="18"/>
              </w:rPr>
            </w:pPr>
            <w:r w:rsidRPr="000D33E4">
              <w:rPr>
                <w:rFonts w:ascii="Times" w:hAnsi="Times"/>
                <w:color w:val="000000"/>
                <w:sz w:val="18"/>
                <w:szCs w:val="18"/>
              </w:rPr>
              <w:t>Peace and security</w:t>
            </w:r>
          </w:p>
        </w:tc>
        <w:tc>
          <w:tcPr>
            <w:tcW w:w="1267" w:type="dxa"/>
            <w:shd w:val="clear" w:color="auto" w:fill="auto"/>
            <w:noWrap/>
            <w:vAlign w:val="bottom"/>
            <w:hideMark/>
          </w:tcPr>
          <w:p w14:paraId="3298EEA8" w14:textId="77777777" w:rsidR="00B75110" w:rsidRPr="000D33E4" w:rsidRDefault="00B75110" w:rsidP="001D006A">
            <w:pPr>
              <w:jc w:val="center"/>
              <w:rPr>
                <w:rFonts w:ascii="Times" w:hAnsi="Times"/>
                <w:color w:val="000000"/>
                <w:sz w:val="18"/>
                <w:szCs w:val="18"/>
              </w:rPr>
            </w:pPr>
            <w:r w:rsidRPr="000D33E4">
              <w:rPr>
                <w:rFonts w:ascii="Times" w:hAnsi="Times"/>
                <w:color w:val="000000"/>
                <w:sz w:val="18"/>
                <w:szCs w:val="18"/>
              </w:rPr>
              <w:t>217.0</w:t>
            </w:r>
          </w:p>
        </w:tc>
        <w:tc>
          <w:tcPr>
            <w:tcW w:w="1417" w:type="dxa"/>
            <w:shd w:val="clear" w:color="auto" w:fill="auto"/>
            <w:noWrap/>
            <w:vAlign w:val="bottom"/>
            <w:hideMark/>
          </w:tcPr>
          <w:p w14:paraId="3008615F" w14:textId="77777777" w:rsidR="00B75110" w:rsidRPr="000D33E4" w:rsidRDefault="00B75110" w:rsidP="001D006A">
            <w:pPr>
              <w:jc w:val="center"/>
              <w:rPr>
                <w:rFonts w:ascii="Times" w:hAnsi="Times"/>
                <w:color w:val="000000"/>
                <w:sz w:val="18"/>
                <w:szCs w:val="18"/>
              </w:rPr>
            </w:pPr>
            <w:r w:rsidRPr="000D33E4">
              <w:rPr>
                <w:rFonts w:ascii="Times" w:hAnsi="Times"/>
                <w:color w:val="000000"/>
                <w:sz w:val="18"/>
                <w:szCs w:val="18"/>
              </w:rPr>
              <w:t>221.3</w:t>
            </w:r>
          </w:p>
        </w:tc>
        <w:tc>
          <w:tcPr>
            <w:tcW w:w="1485" w:type="dxa"/>
            <w:shd w:val="clear" w:color="auto" w:fill="auto"/>
            <w:noWrap/>
            <w:vAlign w:val="bottom"/>
            <w:hideMark/>
          </w:tcPr>
          <w:p w14:paraId="4C8C5825" w14:textId="77777777" w:rsidR="00B75110" w:rsidRPr="000D33E4" w:rsidRDefault="00B75110" w:rsidP="001D006A">
            <w:pPr>
              <w:jc w:val="center"/>
              <w:rPr>
                <w:rFonts w:ascii="Times" w:hAnsi="Times"/>
                <w:color w:val="000000"/>
                <w:sz w:val="18"/>
                <w:szCs w:val="18"/>
              </w:rPr>
            </w:pPr>
            <w:r w:rsidRPr="000D33E4">
              <w:rPr>
                <w:rFonts w:ascii="Times" w:hAnsi="Times"/>
                <w:color w:val="000000"/>
                <w:sz w:val="18"/>
                <w:szCs w:val="18"/>
              </w:rPr>
              <w:t>228.8</w:t>
            </w:r>
          </w:p>
        </w:tc>
        <w:tc>
          <w:tcPr>
            <w:tcW w:w="1440" w:type="dxa"/>
            <w:shd w:val="clear" w:color="auto" w:fill="auto"/>
            <w:noWrap/>
            <w:vAlign w:val="bottom"/>
            <w:hideMark/>
          </w:tcPr>
          <w:p w14:paraId="3F1E6D17" w14:textId="77777777" w:rsidR="00B75110" w:rsidRPr="000D33E4" w:rsidRDefault="00B75110" w:rsidP="001D006A">
            <w:pPr>
              <w:jc w:val="center"/>
              <w:rPr>
                <w:rFonts w:ascii="Times" w:hAnsi="Times"/>
                <w:color w:val="000000"/>
                <w:sz w:val="18"/>
                <w:szCs w:val="18"/>
              </w:rPr>
            </w:pPr>
            <w:r w:rsidRPr="000D33E4">
              <w:rPr>
                <w:rFonts w:ascii="Times" w:hAnsi="Times"/>
                <w:color w:val="000000"/>
                <w:sz w:val="18"/>
                <w:szCs w:val="18"/>
              </w:rPr>
              <w:t>667.1</w:t>
            </w:r>
          </w:p>
        </w:tc>
        <w:tc>
          <w:tcPr>
            <w:tcW w:w="1350" w:type="dxa"/>
            <w:shd w:val="clear" w:color="auto" w:fill="auto"/>
            <w:noWrap/>
            <w:vAlign w:val="bottom"/>
            <w:hideMark/>
          </w:tcPr>
          <w:p w14:paraId="0D4BE98B" w14:textId="77777777" w:rsidR="00B75110" w:rsidRPr="000D33E4" w:rsidRDefault="00B75110" w:rsidP="001D006A">
            <w:pPr>
              <w:jc w:val="center"/>
              <w:rPr>
                <w:rFonts w:ascii="Times" w:hAnsi="Times"/>
                <w:color w:val="000000"/>
                <w:sz w:val="18"/>
                <w:szCs w:val="18"/>
              </w:rPr>
            </w:pPr>
            <w:r w:rsidRPr="000D33E4">
              <w:rPr>
                <w:rFonts w:ascii="Times" w:hAnsi="Times"/>
                <w:color w:val="000000"/>
                <w:sz w:val="18"/>
                <w:szCs w:val="18"/>
              </w:rPr>
              <w:t>-2.2%</w:t>
            </w:r>
          </w:p>
        </w:tc>
      </w:tr>
      <w:tr w:rsidR="00B75110" w:rsidRPr="000D33E4" w14:paraId="1596294C" w14:textId="77777777" w:rsidTr="00CC643A">
        <w:trPr>
          <w:trHeight w:val="204"/>
          <w:jc w:val="right"/>
        </w:trPr>
        <w:tc>
          <w:tcPr>
            <w:tcW w:w="2703" w:type="dxa"/>
            <w:shd w:val="clear" w:color="auto" w:fill="auto"/>
            <w:noWrap/>
            <w:vAlign w:val="bottom"/>
            <w:hideMark/>
          </w:tcPr>
          <w:p w14:paraId="44E368CA" w14:textId="77777777" w:rsidR="00B75110" w:rsidRPr="000D33E4" w:rsidRDefault="00B75110" w:rsidP="007B1E55">
            <w:pPr>
              <w:rPr>
                <w:rFonts w:ascii="Times" w:hAnsi="Times"/>
                <w:color w:val="000000"/>
                <w:sz w:val="18"/>
                <w:szCs w:val="18"/>
              </w:rPr>
            </w:pPr>
            <w:r w:rsidRPr="000D33E4">
              <w:rPr>
                <w:rFonts w:ascii="Times" w:hAnsi="Times"/>
                <w:color w:val="000000"/>
                <w:sz w:val="18"/>
                <w:szCs w:val="18"/>
              </w:rPr>
              <w:t>General public services</w:t>
            </w:r>
          </w:p>
        </w:tc>
        <w:tc>
          <w:tcPr>
            <w:tcW w:w="1267" w:type="dxa"/>
            <w:shd w:val="clear" w:color="auto" w:fill="auto"/>
            <w:noWrap/>
            <w:vAlign w:val="bottom"/>
            <w:hideMark/>
          </w:tcPr>
          <w:p w14:paraId="6337F156" w14:textId="77777777" w:rsidR="00B75110" w:rsidRPr="000D33E4" w:rsidRDefault="00B75110" w:rsidP="001D006A">
            <w:pPr>
              <w:jc w:val="center"/>
              <w:rPr>
                <w:rFonts w:ascii="Times" w:hAnsi="Times"/>
                <w:color w:val="000000"/>
                <w:sz w:val="18"/>
                <w:szCs w:val="18"/>
              </w:rPr>
            </w:pPr>
            <w:r w:rsidRPr="000D33E4">
              <w:rPr>
                <w:rFonts w:ascii="Times" w:hAnsi="Times"/>
                <w:color w:val="000000"/>
                <w:sz w:val="18"/>
                <w:szCs w:val="18"/>
              </w:rPr>
              <w:t>70.0</w:t>
            </w:r>
          </w:p>
        </w:tc>
        <w:tc>
          <w:tcPr>
            <w:tcW w:w="1417" w:type="dxa"/>
            <w:shd w:val="clear" w:color="auto" w:fill="auto"/>
            <w:noWrap/>
            <w:vAlign w:val="bottom"/>
            <w:hideMark/>
          </w:tcPr>
          <w:p w14:paraId="743255EB" w14:textId="77777777" w:rsidR="00B75110" w:rsidRPr="000D33E4" w:rsidRDefault="00B75110" w:rsidP="001D006A">
            <w:pPr>
              <w:jc w:val="center"/>
              <w:rPr>
                <w:rFonts w:ascii="Times" w:hAnsi="Times"/>
                <w:color w:val="000000"/>
                <w:sz w:val="18"/>
                <w:szCs w:val="18"/>
              </w:rPr>
            </w:pPr>
            <w:r w:rsidRPr="000D33E4">
              <w:rPr>
                <w:rFonts w:ascii="Times" w:hAnsi="Times"/>
                <w:color w:val="000000"/>
                <w:sz w:val="18"/>
                <w:szCs w:val="18"/>
              </w:rPr>
              <w:t>73.2</w:t>
            </w:r>
          </w:p>
        </w:tc>
        <w:tc>
          <w:tcPr>
            <w:tcW w:w="1485" w:type="dxa"/>
            <w:shd w:val="clear" w:color="auto" w:fill="auto"/>
            <w:noWrap/>
            <w:vAlign w:val="bottom"/>
            <w:hideMark/>
          </w:tcPr>
          <w:p w14:paraId="4A1704DE" w14:textId="77777777" w:rsidR="00B75110" w:rsidRPr="000D33E4" w:rsidRDefault="00B75110" w:rsidP="001D006A">
            <w:pPr>
              <w:jc w:val="center"/>
              <w:rPr>
                <w:rFonts w:ascii="Times" w:hAnsi="Times"/>
                <w:color w:val="000000"/>
                <w:sz w:val="18"/>
                <w:szCs w:val="18"/>
              </w:rPr>
            </w:pPr>
            <w:r w:rsidRPr="000D33E4">
              <w:rPr>
                <w:rFonts w:ascii="Times" w:hAnsi="Times"/>
                <w:color w:val="000000"/>
                <w:sz w:val="18"/>
                <w:szCs w:val="18"/>
              </w:rPr>
              <w:t>74.1</w:t>
            </w:r>
          </w:p>
        </w:tc>
        <w:tc>
          <w:tcPr>
            <w:tcW w:w="1440" w:type="dxa"/>
            <w:shd w:val="clear" w:color="auto" w:fill="auto"/>
            <w:noWrap/>
            <w:vAlign w:val="bottom"/>
            <w:hideMark/>
          </w:tcPr>
          <w:p w14:paraId="70229316" w14:textId="77777777" w:rsidR="00B75110" w:rsidRPr="000D33E4" w:rsidRDefault="00B75110" w:rsidP="001D006A">
            <w:pPr>
              <w:jc w:val="center"/>
              <w:rPr>
                <w:rFonts w:ascii="Times" w:hAnsi="Times"/>
                <w:color w:val="000000"/>
                <w:sz w:val="18"/>
                <w:szCs w:val="18"/>
              </w:rPr>
            </w:pPr>
            <w:r w:rsidRPr="000D33E4">
              <w:rPr>
                <w:rFonts w:ascii="Times" w:hAnsi="Times"/>
                <w:color w:val="000000"/>
                <w:sz w:val="18"/>
                <w:szCs w:val="18"/>
              </w:rPr>
              <w:t>217.3</w:t>
            </w:r>
          </w:p>
        </w:tc>
        <w:tc>
          <w:tcPr>
            <w:tcW w:w="1350" w:type="dxa"/>
            <w:shd w:val="clear" w:color="auto" w:fill="auto"/>
            <w:noWrap/>
            <w:vAlign w:val="bottom"/>
            <w:hideMark/>
          </w:tcPr>
          <w:p w14:paraId="7971960B" w14:textId="77777777" w:rsidR="00B75110" w:rsidRPr="000D33E4" w:rsidRDefault="00B75110" w:rsidP="001D006A">
            <w:pPr>
              <w:jc w:val="center"/>
              <w:rPr>
                <w:rFonts w:ascii="Times" w:hAnsi="Times"/>
                <w:color w:val="000000"/>
                <w:sz w:val="18"/>
                <w:szCs w:val="18"/>
              </w:rPr>
            </w:pPr>
            <w:r w:rsidRPr="000D33E4">
              <w:rPr>
                <w:rFonts w:ascii="Times" w:hAnsi="Times"/>
                <w:color w:val="000000"/>
                <w:sz w:val="18"/>
                <w:szCs w:val="18"/>
              </w:rPr>
              <w:t>-0.8%</w:t>
            </w:r>
          </w:p>
        </w:tc>
      </w:tr>
    </w:tbl>
    <w:p w14:paraId="3CBB017B" w14:textId="77777777" w:rsidR="00B75110" w:rsidRPr="00DE180A" w:rsidRDefault="002D39CB" w:rsidP="00DE180A">
      <w:pPr>
        <w:rPr>
          <w:rFonts w:ascii="Times" w:hAnsi="Times"/>
          <w:i/>
          <w:iCs/>
          <w:sz w:val="28"/>
          <w:szCs w:val="24"/>
        </w:rPr>
      </w:pPr>
      <w:r>
        <w:rPr>
          <w:rFonts w:ascii="Times" w:hAnsi="Times"/>
          <w:i/>
          <w:iCs/>
          <w:sz w:val="20"/>
          <w:szCs w:val="24"/>
        </w:rPr>
        <w:t xml:space="preserve"> </w:t>
      </w:r>
      <w:r w:rsidR="00B75110" w:rsidRPr="00DE180A">
        <w:rPr>
          <w:rFonts w:ascii="Times" w:hAnsi="Times"/>
          <w:i/>
          <w:iCs/>
          <w:sz w:val="20"/>
          <w:szCs w:val="24"/>
        </w:rPr>
        <w:t>Source: Budget Review 2020</w:t>
      </w:r>
    </w:p>
    <w:p w14:paraId="6D34A05A" w14:textId="77777777" w:rsidR="003D5A8F" w:rsidRPr="000D33E4" w:rsidRDefault="003D5A8F" w:rsidP="007B1E55">
      <w:pPr>
        <w:rPr>
          <w:rFonts w:ascii="Times" w:hAnsi="Times"/>
        </w:rPr>
      </w:pPr>
    </w:p>
    <w:p w14:paraId="16F88047" w14:textId="77777777" w:rsidR="00B75110" w:rsidRPr="000D33E4" w:rsidRDefault="00B75110" w:rsidP="009A7F2D">
      <w:r w:rsidRPr="000D33E4">
        <w:t xml:space="preserve">Many departments oversee entities. These entities should be subjected to a process similar to national government departments. So apart from general reductions to aspects of goods and services and infrastructure-related spending, a process of distinguishing the essential from the non-essential should be conducted. </w:t>
      </w:r>
      <w:r w:rsidR="00DE180A">
        <w:t>E</w:t>
      </w:r>
      <w:r w:rsidRPr="000D33E4">
        <w:t>ntities such as the South African Social Security Agency (SASSA)</w:t>
      </w:r>
      <w:r w:rsidR="00DE180A">
        <w:t>,</w:t>
      </w:r>
      <w:r w:rsidRPr="000D33E4">
        <w:t xml:space="preserve"> the National Health Laboratory Service (NHLS), </w:t>
      </w:r>
      <w:r w:rsidR="00DE180A">
        <w:t>and</w:t>
      </w:r>
      <w:r w:rsidR="00DE180A" w:rsidRPr="000D33E4">
        <w:t xml:space="preserve"> </w:t>
      </w:r>
      <w:r w:rsidRPr="000D33E4">
        <w:t>the South African Revenue Service (SARS) are core to addressing impacts of Covid</w:t>
      </w:r>
      <w:r w:rsidR="00BE4330">
        <w:t>-</w:t>
      </w:r>
      <w:r w:rsidRPr="000D33E4">
        <w:t xml:space="preserve">19 and should be relatively more protected. </w:t>
      </w:r>
    </w:p>
    <w:p w14:paraId="565DE6B4" w14:textId="77777777" w:rsidR="003D1915" w:rsidRPr="000D33E4" w:rsidRDefault="003D1915" w:rsidP="003D1915">
      <w:pPr>
        <w:rPr>
          <w:rFonts w:ascii="Times" w:hAnsi="Times"/>
        </w:rPr>
      </w:pPr>
    </w:p>
    <w:p w14:paraId="6B686918" w14:textId="240DC55A" w:rsidR="00E27DE1" w:rsidRDefault="00E27DE1" w:rsidP="00FB6890">
      <w:pPr>
        <w:pStyle w:val="Heading2"/>
      </w:pPr>
      <w:bookmarkStart w:id="92" w:name="_Toc42211920"/>
      <w:r>
        <w:t xml:space="preserve">Reprioritisation by </w:t>
      </w:r>
      <w:r w:rsidR="006D3CBD">
        <w:t>economic category of spending</w:t>
      </w:r>
      <w:bookmarkEnd w:id="92"/>
    </w:p>
    <w:p w14:paraId="1E90C82E" w14:textId="77777777" w:rsidR="00FB6890" w:rsidRDefault="00FB6890" w:rsidP="00FB6890">
      <w:pPr>
        <w:pStyle w:val="Heading3"/>
      </w:pPr>
    </w:p>
    <w:p w14:paraId="1F94B887" w14:textId="4D87D78A" w:rsidR="00E27DE1" w:rsidRDefault="00E27DE1" w:rsidP="00FB6890">
      <w:pPr>
        <w:pStyle w:val="Heading3"/>
      </w:pPr>
      <w:bookmarkStart w:id="93" w:name="_Toc42211921"/>
      <w:r>
        <w:t xml:space="preserve">Compensation of </w:t>
      </w:r>
      <w:r w:rsidR="002B7A4C">
        <w:t>e</w:t>
      </w:r>
      <w:r>
        <w:t>mployees</w:t>
      </w:r>
      <w:bookmarkEnd w:id="93"/>
    </w:p>
    <w:p w14:paraId="2777E1CB" w14:textId="7F742A1D" w:rsidR="00D764E2" w:rsidRPr="00CC643A" w:rsidRDefault="00E27DE1" w:rsidP="00E27DE1">
      <w:pPr>
        <w:keepNext/>
        <w:rPr>
          <w:rFonts w:ascii="Times" w:hAnsi="Times"/>
          <w:bCs/>
        </w:rPr>
      </w:pPr>
      <w:r w:rsidRPr="00106A34">
        <w:rPr>
          <w:rFonts w:ascii="Times" w:hAnsi="Times"/>
          <w:bCs/>
        </w:rPr>
        <w:t xml:space="preserve">Compensation </w:t>
      </w:r>
      <w:r>
        <w:rPr>
          <w:rFonts w:ascii="Times" w:hAnsi="Times"/>
          <w:bCs/>
        </w:rPr>
        <w:t>is a major cost driver across government departments. Government has attempted to reign in this component of spending over the years. The Commission recommend</w:t>
      </w:r>
      <w:r w:rsidR="002B7A4C">
        <w:rPr>
          <w:rFonts w:ascii="Times" w:hAnsi="Times"/>
          <w:bCs/>
        </w:rPr>
        <w:t>s</w:t>
      </w:r>
      <w:r>
        <w:rPr>
          <w:rFonts w:ascii="Times" w:hAnsi="Times"/>
          <w:bCs/>
        </w:rPr>
        <w:t xml:space="preserve"> that Government focus on appropriately moderating salary increases during the current period. This should be done in a way that brings about spending efficiency but does not threaten the income of lower level personnel</w:t>
      </w:r>
      <w:r w:rsidR="002B7A4C">
        <w:rPr>
          <w:rFonts w:ascii="Times" w:hAnsi="Times"/>
          <w:bCs/>
        </w:rPr>
        <w:t>,</w:t>
      </w:r>
      <w:r>
        <w:rPr>
          <w:rFonts w:ascii="Times" w:hAnsi="Times"/>
          <w:bCs/>
        </w:rPr>
        <w:t xml:space="preserve"> especially frontline staff</w:t>
      </w:r>
      <w:r w:rsidR="002B7A4C">
        <w:rPr>
          <w:rFonts w:ascii="Times" w:hAnsi="Times"/>
          <w:bCs/>
        </w:rPr>
        <w:t>,</w:t>
      </w:r>
      <w:r>
        <w:rPr>
          <w:rFonts w:ascii="Times" w:hAnsi="Times"/>
          <w:bCs/>
        </w:rPr>
        <w:t xml:space="preserve"> </w:t>
      </w:r>
      <w:r w:rsidR="002B7A4C">
        <w:rPr>
          <w:rFonts w:ascii="Times" w:hAnsi="Times"/>
          <w:bCs/>
        </w:rPr>
        <w:t xml:space="preserve">who </w:t>
      </w:r>
      <w:r>
        <w:rPr>
          <w:rFonts w:ascii="Times" w:hAnsi="Times"/>
          <w:bCs/>
        </w:rPr>
        <w:t>are critical in the fight against Covid</w:t>
      </w:r>
      <w:r w:rsidR="002B7A4C">
        <w:rPr>
          <w:rFonts w:ascii="Times" w:hAnsi="Times"/>
          <w:bCs/>
        </w:rPr>
        <w:t>-</w:t>
      </w:r>
      <w:r>
        <w:rPr>
          <w:rFonts w:ascii="Times" w:hAnsi="Times"/>
          <w:bCs/>
        </w:rPr>
        <w:t xml:space="preserve">19. </w:t>
      </w:r>
      <w:r w:rsidR="00D764E2" w:rsidRPr="00CC643A">
        <w:rPr>
          <w:rFonts w:ascii="Times" w:hAnsi="Times"/>
          <w:bCs/>
        </w:rPr>
        <w:t>During this time, public servants such as nurses, doctors, police officers, soldiers, refuse removal workers, have been at the forefront of efforts to combat Covid-19 and keep essential services running. This has been done at the risk of own and their families’ health and wellbeing.</w:t>
      </w:r>
    </w:p>
    <w:p w14:paraId="3D1DFEEA" w14:textId="77777777" w:rsidR="00D764E2" w:rsidRPr="00CC643A" w:rsidRDefault="00D764E2" w:rsidP="00E27DE1">
      <w:pPr>
        <w:keepNext/>
        <w:rPr>
          <w:rFonts w:ascii="Times" w:hAnsi="Times"/>
          <w:bCs/>
        </w:rPr>
      </w:pPr>
    </w:p>
    <w:p w14:paraId="42C92C80" w14:textId="6F77E861" w:rsidR="00E27DE1" w:rsidRPr="00106A34" w:rsidRDefault="00E27DE1" w:rsidP="00E27DE1">
      <w:pPr>
        <w:keepNext/>
        <w:rPr>
          <w:rFonts w:ascii="Times" w:hAnsi="Times"/>
          <w:bCs/>
        </w:rPr>
      </w:pPr>
      <w:r w:rsidRPr="00CC643A">
        <w:rPr>
          <w:rFonts w:ascii="Times" w:hAnsi="Times"/>
          <w:bCs/>
        </w:rPr>
        <w:t>Based</w:t>
      </w:r>
      <w:r>
        <w:rPr>
          <w:rFonts w:ascii="Times" w:hAnsi="Times"/>
          <w:bCs/>
        </w:rPr>
        <w:t xml:space="preserve"> </w:t>
      </w:r>
      <w:r w:rsidR="00385C34">
        <w:rPr>
          <w:rFonts w:ascii="Times" w:hAnsi="Times"/>
          <w:bCs/>
        </w:rPr>
        <w:t xml:space="preserve">on </w:t>
      </w:r>
      <w:r w:rsidR="004F0E22">
        <w:rPr>
          <w:rFonts w:ascii="Times" w:hAnsi="Times"/>
          <w:bCs/>
        </w:rPr>
        <w:fldChar w:fldCharType="begin"/>
      </w:r>
      <w:r w:rsidR="004F0E22">
        <w:rPr>
          <w:rFonts w:ascii="Times" w:hAnsi="Times"/>
          <w:bCs/>
        </w:rPr>
        <w:instrText xml:space="preserve"> REF _Ref41139088 \h </w:instrText>
      </w:r>
      <w:r w:rsidR="004F0E22">
        <w:rPr>
          <w:rFonts w:ascii="Times" w:hAnsi="Times"/>
          <w:bCs/>
        </w:rPr>
      </w:r>
      <w:r w:rsidR="004F0E22">
        <w:rPr>
          <w:rFonts w:ascii="Times" w:hAnsi="Times"/>
          <w:bCs/>
        </w:rPr>
        <w:fldChar w:fldCharType="separate"/>
      </w:r>
      <w:r w:rsidR="004F0E22">
        <w:t xml:space="preserve">Table </w:t>
      </w:r>
      <w:r w:rsidR="004F0E22">
        <w:rPr>
          <w:noProof/>
        </w:rPr>
        <w:t>13</w:t>
      </w:r>
      <w:r w:rsidR="004F0E22">
        <w:rPr>
          <w:rFonts w:ascii="Times" w:hAnsi="Times"/>
          <w:bCs/>
        </w:rPr>
        <w:fldChar w:fldCharType="end"/>
      </w:r>
      <w:r>
        <w:rPr>
          <w:rFonts w:ascii="Times" w:hAnsi="Times"/>
          <w:bCs/>
        </w:rPr>
        <w:t>,</w:t>
      </w:r>
      <w:r w:rsidR="006D3CBD" w:rsidRPr="006D3CBD">
        <w:rPr>
          <w:rFonts w:ascii="Times" w:hAnsi="Times"/>
          <w:bCs/>
        </w:rPr>
        <w:t xml:space="preserve"> </w:t>
      </w:r>
      <w:r w:rsidR="006D3CBD">
        <w:rPr>
          <w:rFonts w:ascii="Times" w:hAnsi="Times"/>
          <w:bCs/>
        </w:rPr>
        <w:t>it is noteworthy that</w:t>
      </w:r>
      <w:r>
        <w:rPr>
          <w:rFonts w:ascii="Times" w:hAnsi="Times"/>
          <w:bCs/>
        </w:rPr>
        <w:t xml:space="preserve"> departments in the peace and security cluster allocate significantly more to personnel relative to other functional categories. </w:t>
      </w:r>
    </w:p>
    <w:p w14:paraId="3ABD0E01" w14:textId="77777777" w:rsidR="00E27DE1" w:rsidRDefault="00E27DE1" w:rsidP="00E27DE1">
      <w:pPr>
        <w:keepNext/>
        <w:rPr>
          <w:rFonts w:ascii="Times" w:hAnsi="Times"/>
          <w:b/>
          <w:bCs/>
        </w:rPr>
      </w:pPr>
    </w:p>
    <w:p w14:paraId="01CF1E99" w14:textId="7B7C1ECC" w:rsidR="00E27DE1" w:rsidRPr="004F0E22" w:rsidRDefault="004F0E22" w:rsidP="004F0E22">
      <w:pPr>
        <w:pStyle w:val="Caption"/>
        <w:spacing w:after="60"/>
        <w:rPr>
          <w:rFonts w:ascii="Times" w:hAnsi="Times"/>
          <w:b w:val="0"/>
          <w:bCs w:val="0"/>
          <w:color w:val="004C45" w:themeColor="text2"/>
          <w:sz w:val="24"/>
          <w:szCs w:val="24"/>
        </w:rPr>
      </w:pPr>
      <w:bookmarkStart w:id="94" w:name="_Ref41139088"/>
      <w:bookmarkStart w:id="95" w:name="_Toc42212142"/>
      <w:r w:rsidRPr="004F0E22">
        <w:rPr>
          <w:color w:val="004C45" w:themeColor="text2"/>
          <w:sz w:val="24"/>
          <w:szCs w:val="24"/>
        </w:rPr>
        <w:t xml:space="preserve">Table </w:t>
      </w:r>
      <w:r w:rsidRPr="004F0E22">
        <w:rPr>
          <w:color w:val="004C45" w:themeColor="text2"/>
          <w:sz w:val="24"/>
          <w:szCs w:val="24"/>
        </w:rPr>
        <w:fldChar w:fldCharType="begin"/>
      </w:r>
      <w:r w:rsidRPr="004F0E22">
        <w:rPr>
          <w:color w:val="004C45" w:themeColor="text2"/>
          <w:sz w:val="24"/>
          <w:szCs w:val="24"/>
        </w:rPr>
        <w:instrText xml:space="preserve"> SEQ Table \* ARABIC </w:instrText>
      </w:r>
      <w:r w:rsidRPr="004F0E22">
        <w:rPr>
          <w:color w:val="004C45" w:themeColor="text2"/>
          <w:sz w:val="24"/>
          <w:szCs w:val="24"/>
        </w:rPr>
        <w:fldChar w:fldCharType="separate"/>
      </w:r>
      <w:r w:rsidR="00492893">
        <w:rPr>
          <w:noProof/>
          <w:color w:val="004C45" w:themeColor="text2"/>
          <w:sz w:val="24"/>
          <w:szCs w:val="24"/>
        </w:rPr>
        <w:t>14</w:t>
      </w:r>
      <w:r w:rsidRPr="004F0E22">
        <w:rPr>
          <w:color w:val="004C45" w:themeColor="text2"/>
          <w:sz w:val="24"/>
          <w:szCs w:val="24"/>
        </w:rPr>
        <w:fldChar w:fldCharType="end"/>
      </w:r>
      <w:bookmarkEnd w:id="94"/>
      <w:r w:rsidRPr="004F0E22">
        <w:rPr>
          <w:color w:val="004C45" w:themeColor="text2"/>
          <w:sz w:val="24"/>
          <w:szCs w:val="24"/>
        </w:rPr>
        <w:t>: Planned personnel spending of national departments over the 2020 MTEF period</w:t>
      </w:r>
      <w:bookmarkEnd w:id="95"/>
    </w:p>
    <w:tbl>
      <w:tblPr>
        <w:tblW w:w="9639" w:type="dxa"/>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Look w:val="04A0" w:firstRow="1" w:lastRow="0" w:firstColumn="1" w:lastColumn="0" w:noHBand="0" w:noVBand="1"/>
      </w:tblPr>
      <w:tblGrid>
        <w:gridCol w:w="2268"/>
        <w:gridCol w:w="1418"/>
        <w:gridCol w:w="1559"/>
        <w:gridCol w:w="1559"/>
        <w:gridCol w:w="1701"/>
        <w:gridCol w:w="1134"/>
      </w:tblGrid>
      <w:tr w:rsidR="00E27DE1" w:rsidRPr="006D2681" w14:paraId="4E05E460" w14:textId="77777777" w:rsidTr="007976BA">
        <w:trPr>
          <w:trHeight w:val="408"/>
        </w:trPr>
        <w:tc>
          <w:tcPr>
            <w:tcW w:w="2268" w:type="dxa"/>
            <w:vMerge w:val="restart"/>
            <w:shd w:val="clear" w:color="auto" w:fill="auto"/>
            <w:vAlign w:val="bottom"/>
            <w:hideMark/>
          </w:tcPr>
          <w:p w14:paraId="01D58C15" w14:textId="7E4B7E8C" w:rsidR="00E27DE1" w:rsidRPr="007976BA" w:rsidRDefault="00E27DE1" w:rsidP="007976BA">
            <w:pPr>
              <w:jc w:val="left"/>
              <w:rPr>
                <w:rFonts w:ascii="Times" w:hAnsi="Times"/>
                <w:b/>
                <w:bCs/>
                <w:color w:val="000000"/>
                <w:sz w:val="20"/>
                <w:szCs w:val="20"/>
                <w:lang w:val="en-US"/>
              </w:rPr>
            </w:pPr>
            <w:r w:rsidRPr="007976BA">
              <w:rPr>
                <w:rFonts w:ascii="Times" w:hAnsi="Times"/>
                <w:b/>
                <w:bCs/>
                <w:color w:val="000000"/>
                <w:sz w:val="20"/>
                <w:szCs w:val="20"/>
                <w:lang w:val="en-US"/>
              </w:rPr>
              <w:t>Category (R</w:t>
            </w:r>
            <w:r w:rsidR="001D006A" w:rsidRPr="007976BA">
              <w:rPr>
                <w:rFonts w:ascii="Times" w:hAnsi="Times"/>
                <w:b/>
                <w:bCs/>
                <w:color w:val="000000"/>
                <w:sz w:val="20"/>
                <w:szCs w:val="20"/>
                <w:lang w:val="en-US"/>
              </w:rPr>
              <w:t xml:space="preserve"> </w:t>
            </w:r>
            <w:r w:rsidRPr="007976BA">
              <w:rPr>
                <w:rFonts w:ascii="Times" w:hAnsi="Times"/>
                <w:b/>
                <w:bCs/>
                <w:color w:val="000000"/>
                <w:sz w:val="20"/>
                <w:szCs w:val="20"/>
                <w:lang w:val="en-US"/>
              </w:rPr>
              <w:t>mil</w:t>
            </w:r>
            <w:r w:rsidR="001D006A" w:rsidRPr="007976BA">
              <w:rPr>
                <w:rFonts w:ascii="Times" w:hAnsi="Times"/>
                <w:b/>
                <w:bCs/>
                <w:color w:val="000000"/>
                <w:sz w:val="20"/>
                <w:szCs w:val="20"/>
                <w:lang w:val="en-US"/>
              </w:rPr>
              <w:t>lion</w:t>
            </w:r>
            <w:r w:rsidRPr="007976BA">
              <w:rPr>
                <w:rFonts w:ascii="Times" w:hAnsi="Times"/>
                <w:b/>
                <w:bCs/>
                <w:color w:val="000000"/>
                <w:sz w:val="20"/>
                <w:szCs w:val="20"/>
                <w:lang w:val="en-US"/>
              </w:rPr>
              <w:t>)</w:t>
            </w:r>
          </w:p>
        </w:tc>
        <w:tc>
          <w:tcPr>
            <w:tcW w:w="4536" w:type="dxa"/>
            <w:gridSpan w:val="3"/>
            <w:shd w:val="clear" w:color="auto" w:fill="auto"/>
            <w:vAlign w:val="center"/>
            <w:hideMark/>
          </w:tcPr>
          <w:p w14:paraId="786BB375" w14:textId="693A5174" w:rsidR="00E27DE1" w:rsidRPr="007976BA" w:rsidRDefault="00E27DE1" w:rsidP="007976BA">
            <w:pPr>
              <w:jc w:val="center"/>
              <w:rPr>
                <w:rFonts w:ascii="Times" w:hAnsi="Times"/>
                <w:b/>
                <w:bCs/>
                <w:color w:val="000000"/>
                <w:sz w:val="20"/>
                <w:szCs w:val="20"/>
                <w:lang w:val="en-US"/>
              </w:rPr>
            </w:pPr>
            <w:r w:rsidRPr="007976BA">
              <w:rPr>
                <w:rFonts w:ascii="Times" w:hAnsi="Times"/>
                <w:b/>
                <w:bCs/>
                <w:color w:val="000000"/>
                <w:sz w:val="20"/>
                <w:szCs w:val="20"/>
                <w:lang w:val="en-US"/>
              </w:rPr>
              <w:t>Medium-term expenditure estimates</w:t>
            </w:r>
          </w:p>
        </w:tc>
        <w:tc>
          <w:tcPr>
            <w:tcW w:w="1701" w:type="dxa"/>
            <w:shd w:val="clear" w:color="auto" w:fill="auto"/>
            <w:vAlign w:val="center"/>
            <w:hideMark/>
          </w:tcPr>
          <w:p w14:paraId="56D07853" w14:textId="77777777" w:rsidR="00E27DE1" w:rsidRPr="007976BA" w:rsidRDefault="00E27DE1" w:rsidP="007976BA">
            <w:pPr>
              <w:jc w:val="center"/>
              <w:rPr>
                <w:rFonts w:ascii="Times" w:hAnsi="Times"/>
                <w:b/>
                <w:bCs/>
                <w:color w:val="000000"/>
                <w:sz w:val="20"/>
                <w:szCs w:val="20"/>
                <w:lang w:val="en-US"/>
              </w:rPr>
            </w:pPr>
            <w:r w:rsidRPr="007976BA">
              <w:rPr>
                <w:rFonts w:ascii="Times" w:hAnsi="Times"/>
                <w:b/>
                <w:bCs/>
                <w:color w:val="000000"/>
                <w:sz w:val="20"/>
                <w:szCs w:val="20"/>
                <w:lang w:val="en-US"/>
              </w:rPr>
              <w:t>Total Over 2020 MTEF</w:t>
            </w:r>
          </w:p>
        </w:tc>
        <w:tc>
          <w:tcPr>
            <w:tcW w:w="1134" w:type="dxa"/>
            <w:vMerge w:val="restart"/>
            <w:shd w:val="clear" w:color="auto" w:fill="auto"/>
            <w:noWrap/>
            <w:vAlign w:val="center"/>
            <w:hideMark/>
          </w:tcPr>
          <w:p w14:paraId="16A4DED9" w14:textId="77777777" w:rsidR="00E27DE1" w:rsidRPr="007976BA" w:rsidRDefault="00E27DE1" w:rsidP="007976BA">
            <w:pPr>
              <w:jc w:val="center"/>
              <w:rPr>
                <w:rFonts w:ascii="Times" w:hAnsi="Times"/>
                <w:b/>
                <w:bCs/>
                <w:color w:val="000000"/>
                <w:sz w:val="20"/>
                <w:szCs w:val="20"/>
                <w:lang w:val="en-US"/>
              </w:rPr>
            </w:pPr>
            <w:r w:rsidRPr="007976BA">
              <w:rPr>
                <w:rFonts w:ascii="Times" w:hAnsi="Times"/>
                <w:b/>
                <w:bCs/>
                <w:color w:val="000000"/>
                <w:sz w:val="20"/>
                <w:szCs w:val="20"/>
                <w:lang w:val="en-US"/>
              </w:rPr>
              <w:t>% of MTEF total</w:t>
            </w:r>
          </w:p>
        </w:tc>
      </w:tr>
      <w:tr w:rsidR="00E27DE1" w:rsidRPr="006D2681" w14:paraId="1E7B81CF" w14:textId="77777777" w:rsidTr="007976BA">
        <w:trPr>
          <w:trHeight w:val="72"/>
        </w:trPr>
        <w:tc>
          <w:tcPr>
            <w:tcW w:w="2268" w:type="dxa"/>
            <w:vMerge/>
            <w:vAlign w:val="center"/>
            <w:hideMark/>
          </w:tcPr>
          <w:p w14:paraId="531723E5" w14:textId="77777777" w:rsidR="00E27DE1" w:rsidRPr="007976BA" w:rsidRDefault="00E27DE1" w:rsidP="007976BA">
            <w:pPr>
              <w:jc w:val="left"/>
              <w:rPr>
                <w:rFonts w:ascii="Times" w:hAnsi="Times"/>
                <w:color w:val="000000"/>
                <w:sz w:val="20"/>
                <w:szCs w:val="20"/>
                <w:lang w:val="en-US"/>
              </w:rPr>
            </w:pPr>
          </w:p>
        </w:tc>
        <w:tc>
          <w:tcPr>
            <w:tcW w:w="1418" w:type="dxa"/>
            <w:shd w:val="clear" w:color="auto" w:fill="auto"/>
            <w:noWrap/>
            <w:vAlign w:val="center"/>
            <w:hideMark/>
          </w:tcPr>
          <w:p w14:paraId="39C8ED0C" w14:textId="10ED6FAC" w:rsidR="00E27DE1" w:rsidRPr="007976BA" w:rsidRDefault="00E27DE1" w:rsidP="007976BA">
            <w:pPr>
              <w:jc w:val="center"/>
              <w:rPr>
                <w:rFonts w:ascii="Times" w:hAnsi="Times"/>
                <w:b/>
                <w:bCs/>
                <w:color w:val="000000"/>
                <w:sz w:val="20"/>
                <w:szCs w:val="20"/>
                <w:lang w:val="en-US"/>
              </w:rPr>
            </w:pPr>
            <w:r w:rsidRPr="007976BA">
              <w:rPr>
                <w:rFonts w:ascii="Times" w:hAnsi="Times"/>
                <w:b/>
                <w:bCs/>
                <w:color w:val="000000"/>
                <w:sz w:val="20"/>
                <w:szCs w:val="20"/>
                <w:lang w:val="en-US"/>
              </w:rPr>
              <w:t>2020/21</w:t>
            </w:r>
          </w:p>
        </w:tc>
        <w:tc>
          <w:tcPr>
            <w:tcW w:w="1559" w:type="dxa"/>
            <w:shd w:val="clear" w:color="auto" w:fill="auto"/>
            <w:noWrap/>
            <w:vAlign w:val="center"/>
            <w:hideMark/>
          </w:tcPr>
          <w:p w14:paraId="6C3AAB91" w14:textId="170A6DD0" w:rsidR="00E27DE1" w:rsidRPr="007976BA" w:rsidRDefault="00E27DE1" w:rsidP="007976BA">
            <w:pPr>
              <w:jc w:val="center"/>
              <w:rPr>
                <w:rFonts w:ascii="Times" w:hAnsi="Times"/>
                <w:b/>
                <w:bCs/>
                <w:color w:val="000000"/>
                <w:sz w:val="20"/>
                <w:szCs w:val="20"/>
                <w:lang w:val="en-US"/>
              </w:rPr>
            </w:pPr>
            <w:r w:rsidRPr="007976BA">
              <w:rPr>
                <w:rFonts w:ascii="Times" w:hAnsi="Times"/>
                <w:b/>
                <w:bCs/>
                <w:color w:val="000000"/>
                <w:sz w:val="20"/>
                <w:szCs w:val="20"/>
                <w:lang w:val="en-US"/>
              </w:rPr>
              <w:t>2021/22</w:t>
            </w:r>
          </w:p>
        </w:tc>
        <w:tc>
          <w:tcPr>
            <w:tcW w:w="1559" w:type="dxa"/>
            <w:shd w:val="clear" w:color="auto" w:fill="auto"/>
            <w:noWrap/>
            <w:vAlign w:val="center"/>
            <w:hideMark/>
          </w:tcPr>
          <w:p w14:paraId="21D4BB16" w14:textId="1DD73A3C" w:rsidR="00E27DE1" w:rsidRPr="007976BA" w:rsidRDefault="00E27DE1" w:rsidP="007976BA">
            <w:pPr>
              <w:jc w:val="center"/>
              <w:rPr>
                <w:rFonts w:ascii="Times" w:hAnsi="Times"/>
                <w:b/>
                <w:bCs/>
                <w:color w:val="000000"/>
                <w:sz w:val="20"/>
                <w:szCs w:val="20"/>
                <w:lang w:val="en-US"/>
              </w:rPr>
            </w:pPr>
            <w:r w:rsidRPr="007976BA">
              <w:rPr>
                <w:rFonts w:ascii="Times" w:hAnsi="Times"/>
                <w:b/>
                <w:bCs/>
                <w:color w:val="000000"/>
                <w:sz w:val="20"/>
                <w:szCs w:val="20"/>
                <w:lang w:val="en-US"/>
              </w:rPr>
              <w:t>2022/23</w:t>
            </w:r>
          </w:p>
        </w:tc>
        <w:tc>
          <w:tcPr>
            <w:tcW w:w="1701" w:type="dxa"/>
            <w:shd w:val="clear" w:color="auto" w:fill="auto"/>
            <w:noWrap/>
            <w:vAlign w:val="center"/>
            <w:hideMark/>
          </w:tcPr>
          <w:p w14:paraId="7919F38F" w14:textId="77777777" w:rsidR="00E27DE1" w:rsidRPr="007976BA" w:rsidRDefault="00E27DE1" w:rsidP="007976BA">
            <w:pPr>
              <w:jc w:val="center"/>
              <w:rPr>
                <w:rFonts w:ascii="Times" w:hAnsi="Times"/>
                <w:b/>
                <w:bCs/>
                <w:color w:val="000000"/>
                <w:sz w:val="20"/>
                <w:szCs w:val="20"/>
                <w:lang w:val="en-US"/>
              </w:rPr>
            </w:pPr>
            <w:r w:rsidRPr="007976BA">
              <w:rPr>
                <w:rFonts w:ascii="Times" w:hAnsi="Times"/>
                <w:b/>
                <w:bCs/>
                <w:color w:val="000000"/>
                <w:sz w:val="20"/>
                <w:szCs w:val="20"/>
                <w:lang w:val="en-US"/>
              </w:rPr>
              <w:t>2021/22-2022/23</w:t>
            </w:r>
          </w:p>
        </w:tc>
        <w:tc>
          <w:tcPr>
            <w:tcW w:w="1134" w:type="dxa"/>
            <w:vMerge/>
            <w:shd w:val="clear" w:color="auto" w:fill="auto"/>
            <w:noWrap/>
            <w:vAlign w:val="bottom"/>
            <w:hideMark/>
          </w:tcPr>
          <w:p w14:paraId="73A1BA78" w14:textId="77777777" w:rsidR="00E27DE1" w:rsidRPr="007976BA" w:rsidRDefault="00E27DE1" w:rsidP="007976BA">
            <w:pPr>
              <w:jc w:val="left"/>
              <w:rPr>
                <w:rFonts w:ascii="Times" w:hAnsi="Times"/>
                <w:color w:val="000000"/>
                <w:sz w:val="20"/>
                <w:szCs w:val="20"/>
                <w:lang w:val="en-US"/>
              </w:rPr>
            </w:pPr>
          </w:p>
        </w:tc>
      </w:tr>
      <w:tr w:rsidR="00E27DE1" w:rsidRPr="006D2681" w14:paraId="12A19DDA" w14:textId="77777777" w:rsidTr="007976BA">
        <w:trPr>
          <w:trHeight w:val="204"/>
        </w:trPr>
        <w:tc>
          <w:tcPr>
            <w:tcW w:w="2268" w:type="dxa"/>
            <w:shd w:val="clear" w:color="auto" w:fill="auto"/>
            <w:noWrap/>
            <w:vAlign w:val="bottom"/>
            <w:hideMark/>
          </w:tcPr>
          <w:p w14:paraId="032FB18D" w14:textId="77777777" w:rsidR="00E27DE1" w:rsidRPr="007976BA" w:rsidRDefault="00E27DE1" w:rsidP="007976BA">
            <w:pPr>
              <w:jc w:val="left"/>
              <w:rPr>
                <w:rFonts w:ascii="Times" w:hAnsi="Times"/>
                <w:color w:val="000000"/>
                <w:sz w:val="20"/>
                <w:szCs w:val="20"/>
                <w:lang w:val="en-US"/>
              </w:rPr>
            </w:pPr>
            <w:r w:rsidRPr="007976BA">
              <w:rPr>
                <w:rFonts w:ascii="Times" w:hAnsi="Times"/>
                <w:color w:val="000000"/>
                <w:sz w:val="20"/>
                <w:szCs w:val="20"/>
                <w:lang w:val="en-US"/>
              </w:rPr>
              <w:t>Learning and culture</w:t>
            </w:r>
          </w:p>
        </w:tc>
        <w:tc>
          <w:tcPr>
            <w:tcW w:w="1418" w:type="dxa"/>
            <w:shd w:val="clear" w:color="auto" w:fill="auto"/>
            <w:noWrap/>
            <w:vAlign w:val="center"/>
            <w:hideMark/>
          </w:tcPr>
          <w:p w14:paraId="57BB2F69" w14:textId="43666D9A" w:rsidR="00E27DE1" w:rsidRPr="007976BA" w:rsidRDefault="00E27DE1" w:rsidP="007976BA">
            <w:pPr>
              <w:jc w:val="right"/>
              <w:rPr>
                <w:rFonts w:ascii="Times" w:hAnsi="Times"/>
                <w:color w:val="000000"/>
                <w:sz w:val="20"/>
                <w:szCs w:val="20"/>
                <w:lang w:val="en-US"/>
              </w:rPr>
            </w:pPr>
            <w:r w:rsidRPr="007976BA">
              <w:rPr>
                <w:rFonts w:ascii="Times" w:hAnsi="Times"/>
                <w:color w:val="000000"/>
                <w:sz w:val="20"/>
                <w:szCs w:val="20"/>
                <w:lang w:val="en-US"/>
              </w:rPr>
              <w:t>11</w:t>
            </w:r>
            <w:r w:rsidR="007976BA">
              <w:rPr>
                <w:rFonts w:ascii="Times" w:hAnsi="Times"/>
                <w:color w:val="000000"/>
                <w:sz w:val="20"/>
                <w:szCs w:val="20"/>
                <w:lang w:val="en-US"/>
              </w:rPr>
              <w:t> </w:t>
            </w:r>
            <w:r w:rsidRPr="007976BA">
              <w:rPr>
                <w:rFonts w:ascii="Times" w:hAnsi="Times"/>
                <w:color w:val="000000"/>
                <w:sz w:val="20"/>
                <w:szCs w:val="20"/>
                <w:lang w:val="en-US"/>
              </w:rPr>
              <w:t>273.08</w:t>
            </w:r>
          </w:p>
        </w:tc>
        <w:tc>
          <w:tcPr>
            <w:tcW w:w="1559" w:type="dxa"/>
            <w:shd w:val="clear" w:color="auto" w:fill="auto"/>
            <w:noWrap/>
            <w:vAlign w:val="center"/>
            <w:hideMark/>
          </w:tcPr>
          <w:p w14:paraId="4316AA09" w14:textId="6F573CEF" w:rsidR="00E27DE1" w:rsidRPr="007976BA" w:rsidRDefault="00E27DE1" w:rsidP="007976BA">
            <w:pPr>
              <w:jc w:val="right"/>
              <w:rPr>
                <w:rFonts w:ascii="Times" w:hAnsi="Times"/>
                <w:color w:val="000000"/>
                <w:sz w:val="20"/>
                <w:szCs w:val="20"/>
                <w:lang w:val="en-US"/>
              </w:rPr>
            </w:pPr>
            <w:r w:rsidRPr="007976BA">
              <w:rPr>
                <w:rFonts w:ascii="Times" w:hAnsi="Times"/>
                <w:color w:val="000000"/>
                <w:sz w:val="20"/>
                <w:szCs w:val="20"/>
                <w:lang w:val="en-US"/>
              </w:rPr>
              <w:t>12</w:t>
            </w:r>
            <w:r w:rsidR="007976BA">
              <w:rPr>
                <w:rFonts w:ascii="Times" w:hAnsi="Times"/>
                <w:color w:val="000000"/>
                <w:sz w:val="20"/>
                <w:szCs w:val="20"/>
                <w:lang w:val="en-US"/>
              </w:rPr>
              <w:t> </w:t>
            </w:r>
            <w:r w:rsidRPr="007976BA">
              <w:rPr>
                <w:rFonts w:ascii="Times" w:hAnsi="Times"/>
                <w:color w:val="000000"/>
                <w:sz w:val="20"/>
                <w:szCs w:val="20"/>
                <w:lang w:val="en-US"/>
              </w:rPr>
              <w:t>003.13</w:t>
            </w:r>
          </w:p>
        </w:tc>
        <w:tc>
          <w:tcPr>
            <w:tcW w:w="1559" w:type="dxa"/>
            <w:shd w:val="clear" w:color="auto" w:fill="auto"/>
            <w:noWrap/>
            <w:vAlign w:val="center"/>
            <w:hideMark/>
          </w:tcPr>
          <w:p w14:paraId="5785F269" w14:textId="4CE3BE3E" w:rsidR="00E27DE1" w:rsidRPr="007976BA" w:rsidRDefault="00E27DE1" w:rsidP="007976BA">
            <w:pPr>
              <w:jc w:val="right"/>
              <w:rPr>
                <w:rFonts w:ascii="Times" w:hAnsi="Times"/>
                <w:color w:val="000000"/>
                <w:sz w:val="20"/>
                <w:szCs w:val="20"/>
                <w:lang w:val="en-US"/>
              </w:rPr>
            </w:pPr>
            <w:r w:rsidRPr="007976BA">
              <w:rPr>
                <w:rFonts w:ascii="Times" w:hAnsi="Times"/>
                <w:color w:val="000000"/>
                <w:sz w:val="20"/>
                <w:szCs w:val="20"/>
                <w:lang w:val="en-US"/>
              </w:rPr>
              <w:t>12</w:t>
            </w:r>
            <w:r w:rsidR="007976BA">
              <w:rPr>
                <w:rFonts w:ascii="Times" w:hAnsi="Times"/>
                <w:color w:val="000000"/>
                <w:sz w:val="20"/>
                <w:szCs w:val="20"/>
                <w:lang w:val="en-US"/>
              </w:rPr>
              <w:t xml:space="preserve"> </w:t>
            </w:r>
            <w:r w:rsidRPr="007976BA">
              <w:rPr>
                <w:rFonts w:ascii="Times" w:hAnsi="Times"/>
                <w:color w:val="000000"/>
                <w:sz w:val="20"/>
                <w:szCs w:val="20"/>
                <w:lang w:val="en-US"/>
              </w:rPr>
              <w:t>522.19</w:t>
            </w:r>
          </w:p>
        </w:tc>
        <w:tc>
          <w:tcPr>
            <w:tcW w:w="1701" w:type="dxa"/>
            <w:shd w:val="clear" w:color="auto" w:fill="auto"/>
            <w:noWrap/>
            <w:vAlign w:val="center"/>
            <w:hideMark/>
          </w:tcPr>
          <w:p w14:paraId="48B18980" w14:textId="0065DA05" w:rsidR="00E27DE1" w:rsidRPr="007976BA" w:rsidRDefault="00E27DE1" w:rsidP="007976BA">
            <w:pPr>
              <w:jc w:val="right"/>
              <w:rPr>
                <w:rFonts w:ascii="Times" w:hAnsi="Times"/>
                <w:b/>
                <w:bCs/>
                <w:color w:val="000000"/>
                <w:sz w:val="20"/>
                <w:szCs w:val="20"/>
                <w:lang w:val="en-US"/>
              </w:rPr>
            </w:pPr>
            <w:r w:rsidRPr="007976BA">
              <w:rPr>
                <w:rFonts w:ascii="Times" w:hAnsi="Times"/>
                <w:b/>
                <w:bCs/>
                <w:color w:val="000000"/>
                <w:sz w:val="20"/>
                <w:szCs w:val="20"/>
                <w:lang w:val="en-US"/>
              </w:rPr>
              <w:t>35</w:t>
            </w:r>
            <w:r w:rsidR="007976BA">
              <w:rPr>
                <w:rFonts w:ascii="Times" w:hAnsi="Times"/>
                <w:b/>
                <w:bCs/>
                <w:color w:val="000000"/>
                <w:sz w:val="20"/>
                <w:szCs w:val="20"/>
                <w:lang w:val="en-US"/>
              </w:rPr>
              <w:t xml:space="preserve"> </w:t>
            </w:r>
            <w:r w:rsidRPr="007976BA">
              <w:rPr>
                <w:rFonts w:ascii="Times" w:hAnsi="Times"/>
                <w:b/>
                <w:bCs/>
                <w:color w:val="000000"/>
                <w:sz w:val="20"/>
                <w:szCs w:val="20"/>
                <w:lang w:val="en-US"/>
              </w:rPr>
              <w:t>798.39</w:t>
            </w:r>
          </w:p>
        </w:tc>
        <w:tc>
          <w:tcPr>
            <w:tcW w:w="1134" w:type="dxa"/>
            <w:shd w:val="clear" w:color="auto" w:fill="auto"/>
            <w:noWrap/>
            <w:vAlign w:val="center"/>
            <w:hideMark/>
          </w:tcPr>
          <w:p w14:paraId="5DF4C7CB" w14:textId="77777777" w:rsidR="00E27DE1" w:rsidRPr="007976BA" w:rsidRDefault="00E27DE1" w:rsidP="007976BA">
            <w:pPr>
              <w:jc w:val="right"/>
              <w:rPr>
                <w:rFonts w:ascii="Times" w:hAnsi="Times"/>
                <w:color w:val="000000"/>
                <w:sz w:val="20"/>
                <w:szCs w:val="20"/>
                <w:lang w:val="en-US"/>
              </w:rPr>
            </w:pPr>
            <w:r w:rsidRPr="007976BA">
              <w:rPr>
                <w:rFonts w:ascii="Times" w:hAnsi="Times"/>
                <w:color w:val="000000"/>
                <w:sz w:val="20"/>
                <w:szCs w:val="20"/>
                <w:lang w:val="en-US"/>
              </w:rPr>
              <w:t>6.0%</w:t>
            </w:r>
          </w:p>
        </w:tc>
      </w:tr>
      <w:tr w:rsidR="00E27DE1" w:rsidRPr="006D2681" w14:paraId="73A5E319" w14:textId="77777777" w:rsidTr="007976BA">
        <w:trPr>
          <w:trHeight w:val="204"/>
        </w:trPr>
        <w:tc>
          <w:tcPr>
            <w:tcW w:w="2268" w:type="dxa"/>
            <w:shd w:val="clear" w:color="auto" w:fill="auto"/>
            <w:noWrap/>
            <w:vAlign w:val="bottom"/>
            <w:hideMark/>
          </w:tcPr>
          <w:p w14:paraId="5D316546" w14:textId="77777777" w:rsidR="00E27DE1" w:rsidRPr="007976BA" w:rsidRDefault="00E27DE1" w:rsidP="007976BA">
            <w:pPr>
              <w:jc w:val="left"/>
              <w:rPr>
                <w:rFonts w:ascii="Times" w:hAnsi="Times"/>
                <w:color w:val="000000"/>
                <w:sz w:val="20"/>
                <w:szCs w:val="20"/>
                <w:lang w:val="en-US"/>
              </w:rPr>
            </w:pPr>
            <w:r w:rsidRPr="007976BA">
              <w:rPr>
                <w:rFonts w:ascii="Times" w:hAnsi="Times"/>
                <w:color w:val="000000"/>
                <w:sz w:val="20"/>
                <w:szCs w:val="20"/>
                <w:lang w:val="en-US"/>
              </w:rPr>
              <w:t>Health</w:t>
            </w:r>
          </w:p>
        </w:tc>
        <w:tc>
          <w:tcPr>
            <w:tcW w:w="1418" w:type="dxa"/>
            <w:shd w:val="clear" w:color="auto" w:fill="auto"/>
            <w:noWrap/>
            <w:vAlign w:val="center"/>
            <w:hideMark/>
          </w:tcPr>
          <w:p w14:paraId="4B07074B" w14:textId="77777777" w:rsidR="00E27DE1" w:rsidRPr="007976BA" w:rsidRDefault="00E27DE1" w:rsidP="007976BA">
            <w:pPr>
              <w:jc w:val="right"/>
              <w:rPr>
                <w:rFonts w:ascii="Times" w:hAnsi="Times"/>
                <w:color w:val="000000"/>
                <w:sz w:val="20"/>
                <w:szCs w:val="20"/>
                <w:lang w:val="en-US"/>
              </w:rPr>
            </w:pPr>
            <w:r w:rsidRPr="007976BA">
              <w:rPr>
                <w:rFonts w:ascii="Times" w:hAnsi="Times"/>
                <w:color w:val="000000"/>
                <w:sz w:val="20"/>
                <w:szCs w:val="20"/>
                <w:lang w:val="en-US"/>
              </w:rPr>
              <w:t>905.8</w:t>
            </w:r>
          </w:p>
        </w:tc>
        <w:tc>
          <w:tcPr>
            <w:tcW w:w="1559" w:type="dxa"/>
            <w:shd w:val="clear" w:color="auto" w:fill="auto"/>
            <w:noWrap/>
            <w:vAlign w:val="center"/>
            <w:hideMark/>
          </w:tcPr>
          <w:p w14:paraId="67AFB26B" w14:textId="77777777" w:rsidR="00E27DE1" w:rsidRPr="007976BA" w:rsidRDefault="00E27DE1" w:rsidP="007976BA">
            <w:pPr>
              <w:jc w:val="right"/>
              <w:rPr>
                <w:rFonts w:ascii="Times" w:hAnsi="Times"/>
                <w:color w:val="000000"/>
                <w:sz w:val="20"/>
                <w:szCs w:val="20"/>
                <w:lang w:val="en-US"/>
              </w:rPr>
            </w:pPr>
            <w:r w:rsidRPr="007976BA">
              <w:rPr>
                <w:rFonts w:ascii="Times" w:hAnsi="Times"/>
                <w:color w:val="000000"/>
                <w:sz w:val="20"/>
                <w:szCs w:val="20"/>
                <w:lang w:val="en-US"/>
              </w:rPr>
              <w:t>958.7</w:t>
            </w:r>
          </w:p>
        </w:tc>
        <w:tc>
          <w:tcPr>
            <w:tcW w:w="1559" w:type="dxa"/>
            <w:shd w:val="clear" w:color="auto" w:fill="auto"/>
            <w:noWrap/>
            <w:vAlign w:val="center"/>
            <w:hideMark/>
          </w:tcPr>
          <w:p w14:paraId="5A5C9B78" w14:textId="77777777" w:rsidR="00E27DE1" w:rsidRPr="007976BA" w:rsidRDefault="00E27DE1" w:rsidP="007976BA">
            <w:pPr>
              <w:jc w:val="right"/>
              <w:rPr>
                <w:rFonts w:ascii="Times" w:hAnsi="Times"/>
                <w:color w:val="000000"/>
                <w:sz w:val="20"/>
                <w:szCs w:val="20"/>
                <w:lang w:val="en-US"/>
              </w:rPr>
            </w:pPr>
            <w:r w:rsidRPr="007976BA">
              <w:rPr>
                <w:rFonts w:ascii="Times" w:hAnsi="Times"/>
                <w:color w:val="000000"/>
                <w:sz w:val="20"/>
                <w:szCs w:val="20"/>
                <w:lang w:val="en-US"/>
              </w:rPr>
              <w:t>991.2</w:t>
            </w:r>
          </w:p>
        </w:tc>
        <w:tc>
          <w:tcPr>
            <w:tcW w:w="1701" w:type="dxa"/>
            <w:shd w:val="clear" w:color="auto" w:fill="auto"/>
            <w:noWrap/>
            <w:vAlign w:val="center"/>
            <w:hideMark/>
          </w:tcPr>
          <w:p w14:paraId="2DC53A50" w14:textId="16CE9639" w:rsidR="00E27DE1" w:rsidRPr="007976BA" w:rsidRDefault="00E27DE1" w:rsidP="007976BA">
            <w:pPr>
              <w:jc w:val="right"/>
              <w:rPr>
                <w:rFonts w:ascii="Times" w:hAnsi="Times"/>
                <w:b/>
                <w:bCs/>
                <w:color w:val="000000"/>
                <w:sz w:val="20"/>
                <w:szCs w:val="20"/>
                <w:lang w:val="en-US"/>
              </w:rPr>
            </w:pPr>
            <w:r w:rsidRPr="007976BA">
              <w:rPr>
                <w:rFonts w:ascii="Times" w:hAnsi="Times"/>
                <w:b/>
                <w:bCs/>
                <w:color w:val="000000"/>
                <w:sz w:val="20"/>
                <w:szCs w:val="20"/>
                <w:lang w:val="en-US"/>
              </w:rPr>
              <w:t>2</w:t>
            </w:r>
            <w:r w:rsidR="007976BA">
              <w:rPr>
                <w:rFonts w:ascii="Times" w:hAnsi="Times"/>
                <w:b/>
                <w:bCs/>
                <w:color w:val="000000"/>
                <w:sz w:val="20"/>
                <w:szCs w:val="20"/>
                <w:lang w:val="en-US"/>
              </w:rPr>
              <w:t xml:space="preserve"> </w:t>
            </w:r>
            <w:r w:rsidRPr="007976BA">
              <w:rPr>
                <w:rFonts w:ascii="Times" w:hAnsi="Times"/>
                <w:b/>
                <w:bCs/>
                <w:color w:val="000000"/>
                <w:sz w:val="20"/>
                <w:szCs w:val="20"/>
                <w:lang w:val="en-US"/>
              </w:rPr>
              <w:t>855.67</w:t>
            </w:r>
          </w:p>
        </w:tc>
        <w:tc>
          <w:tcPr>
            <w:tcW w:w="1134" w:type="dxa"/>
            <w:shd w:val="clear" w:color="auto" w:fill="auto"/>
            <w:noWrap/>
            <w:vAlign w:val="center"/>
            <w:hideMark/>
          </w:tcPr>
          <w:p w14:paraId="025AE23D" w14:textId="77777777" w:rsidR="00E27DE1" w:rsidRPr="007976BA" w:rsidRDefault="00E27DE1" w:rsidP="007976BA">
            <w:pPr>
              <w:jc w:val="right"/>
              <w:rPr>
                <w:rFonts w:ascii="Times" w:hAnsi="Times"/>
                <w:color w:val="000000"/>
                <w:sz w:val="20"/>
                <w:szCs w:val="20"/>
                <w:lang w:val="en-US"/>
              </w:rPr>
            </w:pPr>
            <w:r w:rsidRPr="007976BA">
              <w:rPr>
                <w:rFonts w:ascii="Times" w:hAnsi="Times"/>
                <w:color w:val="000000"/>
                <w:sz w:val="20"/>
                <w:szCs w:val="20"/>
                <w:lang w:val="en-US"/>
              </w:rPr>
              <w:t>0.5%</w:t>
            </w:r>
          </w:p>
        </w:tc>
      </w:tr>
      <w:tr w:rsidR="00E27DE1" w:rsidRPr="006D2681" w14:paraId="31C5C0E1" w14:textId="77777777" w:rsidTr="007976BA">
        <w:trPr>
          <w:trHeight w:val="204"/>
        </w:trPr>
        <w:tc>
          <w:tcPr>
            <w:tcW w:w="2268" w:type="dxa"/>
            <w:shd w:val="clear" w:color="auto" w:fill="auto"/>
            <w:noWrap/>
            <w:vAlign w:val="bottom"/>
            <w:hideMark/>
          </w:tcPr>
          <w:p w14:paraId="3E0624FB" w14:textId="77777777" w:rsidR="00E27DE1" w:rsidRPr="007976BA" w:rsidRDefault="00E27DE1" w:rsidP="007976BA">
            <w:pPr>
              <w:jc w:val="left"/>
              <w:rPr>
                <w:rFonts w:ascii="Times" w:hAnsi="Times"/>
                <w:color w:val="000000"/>
                <w:sz w:val="20"/>
                <w:szCs w:val="20"/>
                <w:lang w:val="en-US"/>
              </w:rPr>
            </w:pPr>
            <w:r w:rsidRPr="007976BA">
              <w:rPr>
                <w:rFonts w:ascii="Times" w:hAnsi="Times"/>
                <w:color w:val="000000"/>
                <w:sz w:val="20"/>
                <w:szCs w:val="20"/>
                <w:lang w:val="en-US"/>
              </w:rPr>
              <w:t>Social development</w:t>
            </w:r>
          </w:p>
        </w:tc>
        <w:tc>
          <w:tcPr>
            <w:tcW w:w="1418" w:type="dxa"/>
            <w:shd w:val="clear" w:color="auto" w:fill="auto"/>
            <w:noWrap/>
            <w:vAlign w:val="center"/>
            <w:hideMark/>
          </w:tcPr>
          <w:p w14:paraId="0CC57526" w14:textId="77777777" w:rsidR="00E27DE1" w:rsidRPr="007976BA" w:rsidRDefault="00E27DE1" w:rsidP="007976BA">
            <w:pPr>
              <w:jc w:val="right"/>
              <w:rPr>
                <w:rFonts w:ascii="Times" w:hAnsi="Times"/>
                <w:color w:val="000000"/>
                <w:sz w:val="20"/>
                <w:szCs w:val="20"/>
                <w:lang w:val="en-US"/>
              </w:rPr>
            </w:pPr>
            <w:r w:rsidRPr="007976BA">
              <w:rPr>
                <w:rFonts w:ascii="Times" w:hAnsi="Times"/>
                <w:color w:val="000000"/>
                <w:sz w:val="20"/>
                <w:szCs w:val="20"/>
                <w:lang w:val="en-US"/>
              </w:rPr>
              <w:t>659.04</w:t>
            </w:r>
          </w:p>
        </w:tc>
        <w:tc>
          <w:tcPr>
            <w:tcW w:w="1559" w:type="dxa"/>
            <w:shd w:val="clear" w:color="auto" w:fill="auto"/>
            <w:noWrap/>
            <w:vAlign w:val="center"/>
            <w:hideMark/>
          </w:tcPr>
          <w:p w14:paraId="0E2BDC9E" w14:textId="77777777" w:rsidR="00E27DE1" w:rsidRPr="007976BA" w:rsidRDefault="00E27DE1" w:rsidP="007976BA">
            <w:pPr>
              <w:jc w:val="right"/>
              <w:rPr>
                <w:rFonts w:ascii="Times" w:hAnsi="Times"/>
                <w:color w:val="000000"/>
                <w:sz w:val="20"/>
                <w:szCs w:val="20"/>
                <w:lang w:val="en-US"/>
              </w:rPr>
            </w:pPr>
            <w:r w:rsidRPr="007976BA">
              <w:rPr>
                <w:rFonts w:ascii="Times" w:hAnsi="Times"/>
                <w:color w:val="000000"/>
                <w:sz w:val="20"/>
                <w:szCs w:val="20"/>
                <w:lang w:val="en-US"/>
              </w:rPr>
              <w:t>702.52</w:t>
            </w:r>
          </w:p>
        </w:tc>
        <w:tc>
          <w:tcPr>
            <w:tcW w:w="1559" w:type="dxa"/>
            <w:shd w:val="clear" w:color="auto" w:fill="auto"/>
            <w:noWrap/>
            <w:vAlign w:val="center"/>
            <w:hideMark/>
          </w:tcPr>
          <w:p w14:paraId="43BB5A83" w14:textId="77777777" w:rsidR="00E27DE1" w:rsidRPr="007976BA" w:rsidRDefault="00E27DE1" w:rsidP="007976BA">
            <w:pPr>
              <w:jc w:val="right"/>
              <w:rPr>
                <w:rFonts w:ascii="Times" w:hAnsi="Times"/>
                <w:color w:val="000000"/>
                <w:sz w:val="20"/>
                <w:szCs w:val="20"/>
                <w:lang w:val="en-US"/>
              </w:rPr>
            </w:pPr>
            <w:r w:rsidRPr="007976BA">
              <w:rPr>
                <w:rFonts w:ascii="Times" w:hAnsi="Times"/>
                <w:color w:val="000000"/>
                <w:sz w:val="20"/>
                <w:szCs w:val="20"/>
                <w:lang w:val="en-US"/>
              </w:rPr>
              <w:t>733.61</w:t>
            </w:r>
          </w:p>
        </w:tc>
        <w:tc>
          <w:tcPr>
            <w:tcW w:w="1701" w:type="dxa"/>
            <w:shd w:val="clear" w:color="auto" w:fill="auto"/>
            <w:noWrap/>
            <w:vAlign w:val="center"/>
            <w:hideMark/>
          </w:tcPr>
          <w:p w14:paraId="058C2783" w14:textId="71B47470" w:rsidR="00E27DE1" w:rsidRPr="007976BA" w:rsidRDefault="00E27DE1" w:rsidP="007976BA">
            <w:pPr>
              <w:jc w:val="right"/>
              <w:rPr>
                <w:rFonts w:ascii="Times" w:hAnsi="Times"/>
                <w:b/>
                <w:bCs/>
                <w:color w:val="000000"/>
                <w:sz w:val="20"/>
                <w:szCs w:val="20"/>
                <w:lang w:val="en-US"/>
              </w:rPr>
            </w:pPr>
            <w:r w:rsidRPr="007976BA">
              <w:rPr>
                <w:rFonts w:ascii="Times" w:hAnsi="Times"/>
                <w:b/>
                <w:bCs/>
                <w:color w:val="000000"/>
                <w:sz w:val="20"/>
                <w:szCs w:val="20"/>
                <w:lang w:val="en-US"/>
              </w:rPr>
              <w:t>2</w:t>
            </w:r>
            <w:r w:rsidR="007976BA">
              <w:rPr>
                <w:rFonts w:ascii="Times" w:hAnsi="Times"/>
                <w:b/>
                <w:bCs/>
                <w:color w:val="000000"/>
                <w:sz w:val="20"/>
                <w:szCs w:val="20"/>
                <w:lang w:val="en-US"/>
              </w:rPr>
              <w:t xml:space="preserve"> </w:t>
            </w:r>
            <w:r w:rsidRPr="007976BA">
              <w:rPr>
                <w:rFonts w:ascii="Times" w:hAnsi="Times"/>
                <w:b/>
                <w:bCs/>
                <w:color w:val="000000"/>
                <w:sz w:val="20"/>
                <w:szCs w:val="20"/>
                <w:lang w:val="en-US"/>
              </w:rPr>
              <w:t>095.18</w:t>
            </w:r>
          </w:p>
        </w:tc>
        <w:tc>
          <w:tcPr>
            <w:tcW w:w="1134" w:type="dxa"/>
            <w:shd w:val="clear" w:color="auto" w:fill="auto"/>
            <w:noWrap/>
            <w:vAlign w:val="center"/>
            <w:hideMark/>
          </w:tcPr>
          <w:p w14:paraId="6CD490D9" w14:textId="77777777" w:rsidR="00E27DE1" w:rsidRPr="007976BA" w:rsidRDefault="00E27DE1" w:rsidP="007976BA">
            <w:pPr>
              <w:jc w:val="right"/>
              <w:rPr>
                <w:rFonts w:ascii="Times" w:hAnsi="Times"/>
                <w:color w:val="000000"/>
                <w:sz w:val="20"/>
                <w:szCs w:val="20"/>
                <w:lang w:val="en-US"/>
              </w:rPr>
            </w:pPr>
            <w:r w:rsidRPr="007976BA">
              <w:rPr>
                <w:rFonts w:ascii="Times" w:hAnsi="Times"/>
                <w:color w:val="000000"/>
                <w:sz w:val="20"/>
                <w:szCs w:val="20"/>
                <w:lang w:val="en-US"/>
              </w:rPr>
              <w:t>0.4%</w:t>
            </w:r>
          </w:p>
        </w:tc>
      </w:tr>
      <w:tr w:rsidR="00E27DE1" w:rsidRPr="006D2681" w14:paraId="08193A24" w14:textId="77777777" w:rsidTr="007976BA">
        <w:trPr>
          <w:trHeight w:val="204"/>
        </w:trPr>
        <w:tc>
          <w:tcPr>
            <w:tcW w:w="2268" w:type="dxa"/>
            <w:shd w:val="clear" w:color="auto" w:fill="auto"/>
            <w:noWrap/>
            <w:vAlign w:val="bottom"/>
            <w:hideMark/>
          </w:tcPr>
          <w:p w14:paraId="0A854EE2" w14:textId="77777777" w:rsidR="00E27DE1" w:rsidRPr="007976BA" w:rsidRDefault="00E27DE1" w:rsidP="007976BA">
            <w:pPr>
              <w:jc w:val="left"/>
              <w:rPr>
                <w:rFonts w:ascii="Times" w:hAnsi="Times"/>
                <w:color w:val="000000"/>
                <w:sz w:val="20"/>
                <w:szCs w:val="20"/>
                <w:lang w:val="en-US"/>
              </w:rPr>
            </w:pPr>
            <w:r w:rsidRPr="007976BA">
              <w:rPr>
                <w:rFonts w:ascii="Times" w:hAnsi="Times"/>
                <w:color w:val="000000"/>
                <w:sz w:val="20"/>
                <w:szCs w:val="20"/>
                <w:lang w:val="en-US"/>
              </w:rPr>
              <w:t>Community development</w:t>
            </w:r>
          </w:p>
        </w:tc>
        <w:tc>
          <w:tcPr>
            <w:tcW w:w="1418" w:type="dxa"/>
            <w:shd w:val="clear" w:color="auto" w:fill="auto"/>
            <w:noWrap/>
            <w:vAlign w:val="center"/>
            <w:hideMark/>
          </w:tcPr>
          <w:p w14:paraId="372FF118" w14:textId="2A8C9035" w:rsidR="00E27DE1" w:rsidRPr="007976BA" w:rsidRDefault="00E27DE1" w:rsidP="007976BA">
            <w:pPr>
              <w:jc w:val="right"/>
              <w:rPr>
                <w:rFonts w:ascii="Times" w:hAnsi="Times"/>
                <w:color w:val="000000"/>
                <w:sz w:val="20"/>
                <w:szCs w:val="20"/>
                <w:lang w:val="en-US"/>
              </w:rPr>
            </w:pPr>
            <w:r w:rsidRPr="007976BA">
              <w:rPr>
                <w:rFonts w:ascii="Times" w:hAnsi="Times"/>
                <w:color w:val="000000"/>
                <w:sz w:val="20"/>
                <w:szCs w:val="20"/>
                <w:lang w:val="en-US"/>
              </w:rPr>
              <w:t>2</w:t>
            </w:r>
            <w:r w:rsidR="007976BA">
              <w:rPr>
                <w:rFonts w:ascii="Times" w:hAnsi="Times"/>
                <w:color w:val="000000"/>
                <w:sz w:val="20"/>
                <w:szCs w:val="20"/>
                <w:lang w:val="en-US"/>
              </w:rPr>
              <w:t> </w:t>
            </w:r>
            <w:r w:rsidRPr="007976BA">
              <w:rPr>
                <w:rFonts w:ascii="Times" w:hAnsi="Times"/>
                <w:color w:val="000000"/>
                <w:sz w:val="20"/>
                <w:szCs w:val="20"/>
                <w:lang w:val="en-US"/>
              </w:rPr>
              <w:t>817.04</w:t>
            </w:r>
          </w:p>
        </w:tc>
        <w:tc>
          <w:tcPr>
            <w:tcW w:w="1559" w:type="dxa"/>
            <w:shd w:val="clear" w:color="auto" w:fill="auto"/>
            <w:noWrap/>
            <w:vAlign w:val="center"/>
            <w:hideMark/>
          </w:tcPr>
          <w:p w14:paraId="4540FA03" w14:textId="4EAE88EA" w:rsidR="00E27DE1" w:rsidRPr="007976BA" w:rsidRDefault="00E27DE1" w:rsidP="007976BA">
            <w:pPr>
              <w:jc w:val="right"/>
              <w:rPr>
                <w:rFonts w:ascii="Times" w:hAnsi="Times"/>
                <w:color w:val="000000"/>
                <w:sz w:val="20"/>
                <w:szCs w:val="20"/>
                <w:lang w:val="en-US"/>
              </w:rPr>
            </w:pPr>
            <w:r w:rsidRPr="007976BA">
              <w:rPr>
                <w:rFonts w:ascii="Times" w:hAnsi="Times"/>
                <w:color w:val="000000"/>
                <w:sz w:val="20"/>
                <w:szCs w:val="20"/>
                <w:lang w:val="en-US"/>
              </w:rPr>
              <w:t>2</w:t>
            </w:r>
            <w:r w:rsidR="007976BA">
              <w:rPr>
                <w:rFonts w:ascii="Times" w:hAnsi="Times"/>
                <w:color w:val="000000"/>
                <w:sz w:val="20"/>
                <w:szCs w:val="20"/>
                <w:lang w:val="en-US"/>
              </w:rPr>
              <w:t> </w:t>
            </w:r>
            <w:r w:rsidRPr="007976BA">
              <w:rPr>
                <w:rFonts w:ascii="Times" w:hAnsi="Times"/>
                <w:color w:val="000000"/>
                <w:sz w:val="20"/>
                <w:szCs w:val="20"/>
                <w:lang w:val="en-US"/>
              </w:rPr>
              <w:t>999.28</w:t>
            </w:r>
          </w:p>
        </w:tc>
        <w:tc>
          <w:tcPr>
            <w:tcW w:w="1559" w:type="dxa"/>
            <w:shd w:val="clear" w:color="auto" w:fill="auto"/>
            <w:noWrap/>
            <w:vAlign w:val="center"/>
            <w:hideMark/>
          </w:tcPr>
          <w:p w14:paraId="68C42C30" w14:textId="6DB8D080" w:rsidR="00E27DE1" w:rsidRPr="007976BA" w:rsidRDefault="00E27DE1" w:rsidP="007976BA">
            <w:pPr>
              <w:jc w:val="right"/>
              <w:rPr>
                <w:rFonts w:ascii="Times" w:hAnsi="Times"/>
                <w:color w:val="000000"/>
                <w:sz w:val="20"/>
                <w:szCs w:val="20"/>
                <w:lang w:val="en-US"/>
              </w:rPr>
            </w:pPr>
            <w:r w:rsidRPr="007976BA">
              <w:rPr>
                <w:rFonts w:ascii="Times" w:hAnsi="Times"/>
                <w:color w:val="000000"/>
                <w:sz w:val="20"/>
                <w:szCs w:val="20"/>
                <w:lang w:val="en-US"/>
              </w:rPr>
              <w:t>3</w:t>
            </w:r>
            <w:r w:rsidR="007976BA">
              <w:rPr>
                <w:rFonts w:ascii="Times" w:hAnsi="Times"/>
                <w:color w:val="000000"/>
                <w:sz w:val="20"/>
                <w:szCs w:val="20"/>
                <w:lang w:val="en-US"/>
              </w:rPr>
              <w:t xml:space="preserve"> </w:t>
            </w:r>
            <w:r w:rsidRPr="007976BA">
              <w:rPr>
                <w:rFonts w:ascii="Times" w:hAnsi="Times"/>
                <w:color w:val="000000"/>
                <w:sz w:val="20"/>
                <w:szCs w:val="20"/>
                <w:lang w:val="en-US"/>
              </w:rPr>
              <w:t>129.05</w:t>
            </w:r>
          </w:p>
        </w:tc>
        <w:tc>
          <w:tcPr>
            <w:tcW w:w="1701" w:type="dxa"/>
            <w:shd w:val="clear" w:color="auto" w:fill="auto"/>
            <w:noWrap/>
            <w:vAlign w:val="center"/>
            <w:hideMark/>
          </w:tcPr>
          <w:p w14:paraId="48E02B3E" w14:textId="01F38CC3" w:rsidR="00E27DE1" w:rsidRPr="007976BA" w:rsidRDefault="00E27DE1" w:rsidP="007976BA">
            <w:pPr>
              <w:jc w:val="right"/>
              <w:rPr>
                <w:rFonts w:ascii="Times" w:hAnsi="Times"/>
                <w:b/>
                <w:bCs/>
                <w:color w:val="000000"/>
                <w:sz w:val="20"/>
                <w:szCs w:val="20"/>
                <w:lang w:val="en-US"/>
              </w:rPr>
            </w:pPr>
            <w:r w:rsidRPr="007976BA">
              <w:rPr>
                <w:rFonts w:ascii="Times" w:hAnsi="Times"/>
                <w:b/>
                <w:bCs/>
                <w:color w:val="000000"/>
                <w:sz w:val="20"/>
                <w:szCs w:val="20"/>
                <w:lang w:val="en-US"/>
              </w:rPr>
              <w:t>8</w:t>
            </w:r>
            <w:r w:rsidR="007976BA">
              <w:rPr>
                <w:rFonts w:ascii="Times" w:hAnsi="Times"/>
                <w:b/>
                <w:bCs/>
                <w:color w:val="000000"/>
                <w:sz w:val="20"/>
                <w:szCs w:val="20"/>
                <w:lang w:val="en-US"/>
              </w:rPr>
              <w:t xml:space="preserve"> </w:t>
            </w:r>
            <w:r w:rsidRPr="007976BA">
              <w:rPr>
                <w:rFonts w:ascii="Times" w:hAnsi="Times"/>
                <w:b/>
                <w:bCs/>
                <w:color w:val="000000"/>
                <w:sz w:val="20"/>
                <w:szCs w:val="20"/>
                <w:lang w:val="en-US"/>
              </w:rPr>
              <w:t>945.38</w:t>
            </w:r>
          </w:p>
        </w:tc>
        <w:tc>
          <w:tcPr>
            <w:tcW w:w="1134" w:type="dxa"/>
            <w:shd w:val="clear" w:color="auto" w:fill="auto"/>
            <w:noWrap/>
            <w:vAlign w:val="center"/>
            <w:hideMark/>
          </w:tcPr>
          <w:p w14:paraId="5AE7C263" w14:textId="77777777" w:rsidR="00E27DE1" w:rsidRPr="007976BA" w:rsidRDefault="00E27DE1" w:rsidP="007976BA">
            <w:pPr>
              <w:jc w:val="right"/>
              <w:rPr>
                <w:rFonts w:ascii="Times" w:hAnsi="Times"/>
                <w:color w:val="000000"/>
                <w:sz w:val="20"/>
                <w:szCs w:val="20"/>
                <w:lang w:val="en-US"/>
              </w:rPr>
            </w:pPr>
            <w:r w:rsidRPr="007976BA">
              <w:rPr>
                <w:rFonts w:ascii="Times" w:hAnsi="Times"/>
                <w:color w:val="000000"/>
                <w:sz w:val="20"/>
                <w:szCs w:val="20"/>
                <w:lang w:val="en-US"/>
              </w:rPr>
              <w:t>1.5%</w:t>
            </w:r>
          </w:p>
        </w:tc>
      </w:tr>
      <w:tr w:rsidR="00E27DE1" w:rsidRPr="006D2681" w14:paraId="18406E8B" w14:textId="77777777" w:rsidTr="007976BA">
        <w:trPr>
          <w:trHeight w:val="204"/>
        </w:trPr>
        <w:tc>
          <w:tcPr>
            <w:tcW w:w="2268" w:type="dxa"/>
            <w:shd w:val="clear" w:color="auto" w:fill="auto"/>
            <w:noWrap/>
            <w:vAlign w:val="bottom"/>
            <w:hideMark/>
          </w:tcPr>
          <w:p w14:paraId="4AD83950" w14:textId="77777777" w:rsidR="00E27DE1" w:rsidRPr="007976BA" w:rsidRDefault="00E27DE1" w:rsidP="007976BA">
            <w:pPr>
              <w:jc w:val="left"/>
              <w:rPr>
                <w:rFonts w:ascii="Times" w:hAnsi="Times"/>
                <w:color w:val="000000"/>
                <w:sz w:val="20"/>
                <w:szCs w:val="20"/>
                <w:lang w:val="en-US"/>
              </w:rPr>
            </w:pPr>
            <w:r w:rsidRPr="007976BA">
              <w:rPr>
                <w:rFonts w:ascii="Times" w:hAnsi="Times"/>
                <w:color w:val="000000"/>
                <w:sz w:val="20"/>
                <w:szCs w:val="20"/>
                <w:lang w:val="en-US"/>
              </w:rPr>
              <w:t>Economic development</w:t>
            </w:r>
          </w:p>
        </w:tc>
        <w:tc>
          <w:tcPr>
            <w:tcW w:w="1418" w:type="dxa"/>
            <w:shd w:val="clear" w:color="auto" w:fill="auto"/>
            <w:noWrap/>
            <w:vAlign w:val="center"/>
            <w:hideMark/>
          </w:tcPr>
          <w:p w14:paraId="641BA1C7" w14:textId="262DFC3D" w:rsidR="00E27DE1" w:rsidRPr="007976BA" w:rsidRDefault="00E27DE1" w:rsidP="007976BA">
            <w:pPr>
              <w:jc w:val="right"/>
              <w:rPr>
                <w:rFonts w:ascii="Times" w:hAnsi="Times"/>
                <w:color w:val="000000"/>
                <w:sz w:val="20"/>
                <w:szCs w:val="20"/>
                <w:lang w:val="en-US"/>
              </w:rPr>
            </w:pPr>
            <w:r w:rsidRPr="007976BA">
              <w:rPr>
                <w:rFonts w:ascii="Times" w:hAnsi="Times"/>
                <w:color w:val="000000"/>
                <w:sz w:val="20"/>
                <w:szCs w:val="20"/>
                <w:lang w:val="en-US"/>
              </w:rPr>
              <w:t>13</w:t>
            </w:r>
            <w:r w:rsidR="007976BA">
              <w:rPr>
                <w:rFonts w:ascii="Times" w:hAnsi="Times"/>
                <w:color w:val="000000"/>
                <w:sz w:val="20"/>
                <w:szCs w:val="20"/>
                <w:lang w:val="en-US"/>
              </w:rPr>
              <w:t> </w:t>
            </w:r>
            <w:r w:rsidRPr="007976BA">
              <w:rPr>
                <w:rFonts w:ascii="Times" w:hAnsi="Times"/>
                <w:color w:val="000000"/>
                <w:sz w:val="20"/>
                <w:szCs w:val="20"/>
                <w:lang w:val="en-US"/>
              </w:rPr>
              <w:t>670.30</w:t>
            </w:r>
          </w:p>
        </w:tc>
        <w:tc>
          <w:tcPr>
            <w:tcW w:w="1559" w:type="dxa"/>
            <w:shd w:val="clear" w:color="auto" w:fill="auto"/>
            <w:noWrap/>
            <w:vAlign w:val="center"/>
            <w:hideMark/>
          </w:tcPr>
          <w:p w14:paraId="131A48D4" w14:textId="3254C560" w:rsidR="00E27DE1" w:rsidRPr="007976BA" w:rsidRDefault="00E27DE1" w:rsidP="007976BA">
            <w:pPr>
              <w:jc w:val="right"/>
              <w:rPr>
                <w:rFonts w:ascii="Times" w:hAnsi="Times"/>
                <w:color w:val="000000"/>
                <w:sz w:val="20"/>
                <w:szCs w:val="20"/>
                <w:lang w:val="en-US"/>
              </w:rPr>
            </w:pPr>
            <w:r w:rsidRPr="007976BA">
              <w:rPr>
                <w:rFonts w:ascii="Times" w:hAnsi="Times"/>
                <w:color w:val="000000"/>
                <w:sz w:val="20"/>
                <w:szCs w:val="20"/>
                <w:lang w:val="en-US"/>
              </w:rPr>
              <w:t>14</w:t>
            </w:r>
            <w:r w:rsidR="007976BA">
              <w:rPr>
                <w:rFonts w:ascii="Times" w:hAnsi="Times"/>
                <w:color w:val="000000"/>
                <w:sz w:val="20"/>
                <w:szCs w:val="20"/>
                <w:lang w:val="en-US"/>
              </w:rPr>
              <w:t> </w:t>
            </w:r>
            <w:r w:rsidRPr="007976BA">
              <w:rPr>
                <w:rFonts w:ascii="Times" w:hAnsi="Times"/>
                <w:color w:val="000000"/>
                <w:sz w:val="20"/>
                <w:szCs w:val="20"/>
                <w:lang w:val="en-US"/>
              </w:rPr>
              <w:t>551.02</w:t>
            </w:r>
          </w:p>
        </w:tc>
        <w:tc>
          <w:tcPr>
            <w:tcW w:w="1559" w:type="dxa"/>
            <w:shd w:val="clear" w:color="auto" w:fill="auto"/>
            <w:noWrap/>
            <w:vAlign w:val="center"/>
            <w:hideMark/>
          </w:tcPr>
          <w:p w14:paraId="7268B851" w14:textId="7E46ADB5" w:rsidR="00E27DE1" w:rsidRPr="007976BA" w:rsidRDefault="00E27DE1" w:rsidP="007976BA">
            <w:pPr>
              <w:jc w:val="right"/>
              <w:rPr>
                <w:rFonts w:ascii="Times" w:hAnsi="Times"/>
                <w:color w:val="000000"/>
                <w:sz w:val="20"/>
                <w:szCs w:val="20"/>
                <w:lang w:val="en-US"/>
              </w:rPr>
            </w:pPr>
            <w:r w:rsidRPr="007976BA">
              <w:rPr>
                <w:rFonts w:ascii="Times" w:hAnsi="Times"/>
                <w:color w:val="000000"/>
                <w:sz w:val="20"/>
                <w:szCs w:val="20"/>
                <w:lang w:val="en-US"/>
              </w:rPr>
              <w:t>15</w:t>
            </w:r>
            <w:r w:rsidR="007976BA">
              <w:rPr>
                <w:rFonts w:ascii="Times" w:hAnsi="Times"/>
                <w:color w:val="000000"/>
                <w:sz w:val="20"/>
                <w:szCs w:val="20"/>
                <w:lang w:val="en-US"/>
              </w:rPr>
              <w:t xml:space="preserve"> </w:t>
            </w:r>
            <w:r w:rsidRPr="007976BA">
              <w:rPr>
                <w:rFonts w:ascii="Times" w:hAnsi="Times"/>
                <w:color w:val="000000"/>
                <w:sz w:val="20"/>
                <w:szCs w:val="20"/>
                <w:lang w:val="en-US"/>
              </w:rPr>
              <w:t>185.08</w:t>
            </w:r>
          </w:p>
        </w:tc>
        <w:tc>
          <w:tcPr>
            <w:tcW w:w="1701" w:type="dxa"/>
            <w:shd w:val="clear" w:color="auto" w:fill="auto"/>
            <w:noWrap/>
            <w:vAlign w:val="center"/>
            <w:hideMark/>
          </w:tcPr>
          <w:p w14:paraId="3673EA52" w14:textId="52762DAF" w:rsidR="00E27DE1" w:rsidRPr="007976BA" w:rsidRDefault="00E27DE1" w:rsidP="007976BA">
            <w:pPr>
              <w:jc w:val="right"/>
              <w:rPr>
                <w:rFonts w:ascii="Times" w:hAnsi="Times"/>
                <w:b/>
                <w:bCs/>
                <w:color w:val="000000"/>
                <w:sz w:val="20"/>
                <w:szCs w:val="20"/>
                <w:lang w:val="en-US"/>
              </w:rPr>
            </w:pPr>
            <w:r w:rsidRPr="007976BA">
              <w:rPr>
                <w:rFonts w:ascii="Times" w:hAnsi="Times"/>
                <w:b/>
                <w:bCs/>
                <w:color w:val="000000"/>
                <w:sz w:val="20"/>
                <w:szCs w:val="20"/>
                <w:lang w:val="en-US"/>
              </w:rPr>
              <w:t>43</w:t>
            </w:r>
            <w:r w:rsidR="007976BA">
              <w:rPr>
                <w:rFonts w:ascii="Times" w:hAnsi="Times"/>
                <w:b/>
                <w:bCs/>
                <w:color w:val="000000"/>
                <w:sz w:val="20"/>
                <w:szCs w:val="20"/>
                <w:lang w:val="en-US"/>
              </w:rPr>
              <w:t xml:space="preserve"> </w:t>
            </w:r>
            <w:r w:rsidRPr="007976BA">
              <w:rPr>
                <w:rFonts w:ascii="Times" w:hAnsi="Times"/>
                <w:b/>
                <w:bCs/>
                <w:color w:val="000000"/>
                <w:sz w:val="20"/>
                <w:szCs w:val="20"/>
                <w:lang w:val="en-US"/>
              </w:rPr>
              <w:t>406.40</w:t>
            </w:r>
          </w:p>
        </w:tc>
        <w:tc>
          <w:tcPr>
            <w:tcW w:w="1134" w:type="dxa"/>
            <w:shd w:val="clear" w:color="auto" w:fill="auto"/>
            <w:noWrap/>
            <w:vAlign w:val="center"/>
            <w:hideMark/>
          </w:tcPr>
          <w:p w14:paraId="17F11F0A" w14:textId="77777777" w:rsidR="00E27DE1" w:rsidRPr="007976BA" w:rsidRDefault="00E27DE1" w:rsidP="007976BA">
            <w:pPr>
              <w:jc w:val="right"/>
              <w:rPr>
                <w:rFonts w:ascii="Times" w:hAnsi="Times"/>
                <w:color w:val="000000"/>
                <w:sz w:val="20"/>
                <w:szCs w:val="20"/>
                <w:lang w:val="en-US"/>
              </w:rPr>
            </w:pPr>
            <w:r w:rsidRPr="007976BA">
              <w:rPr>
                <w:rFonts w:ascii="Times" w:hAnsi="Times"/>
                <w:color w:val="000000"/>
                <w:sz w:val="20"/>
                <w:szCs w:val="20"/>
                <w:lang w:val="en-US"/>
              </w:rPr>
              <w:t>7.3%</w:t>
            </w:r>
          </w:p>
        </w:tc>
      </w:tr>
      <w:tr w:rsidR="00E27DE1" w:rsidRPr="006D2681" w14:paraId="287D4879" w14:textId="77777777" w:rsidTr="007976BA">
        <w:trPr>
          <w:trHeight w:val="204"/>
        </w:trPr>
        <w:tc>
          <w:tcPr>
            <w:tcW w:w="2268" w:type="dxa"/>
            <w:shd w:val="clear" w:color="auto" w:fill="auto"/>
            <w:noWrap/>
            <w:vAlign w:val="bottom"/>
            <w:hideMark/>
          </w:tcPr>
          <w:p w14:paraId="7ADD8EE7" w14:textId="77777777" w:rsidR="00E27DE1" w:rsidRPr="007976BA" w:rsidRDefault="00E27DE1" w:rsidP="007976BA">
            <w:pPr>
              <w:jc w:val="left"/>
              <w:rPr>
                <w:rFonts w:ascii="Times" w:hAnsi="Times"/>
                <w:color w:val="000000"/>
                <w:sz w:val="20"/>
                <w:szCs w:val="20"/>
                <w:lang w:val="en-US"/>
              </w:rPr>
            </w:pPr>
            <w:r w:rsidRPr="007976BA">
              <w:rPr>
                <w:rFonts w:ascii="Times" w:hAnsi="Times"/>
                <w:color w:val="000000"/>
                <w:sz w:val="20"/>
                <w:szCs w:val="20"/>
                <w:lang w:val="en-US"/>
              </w:rPr>
              <w:t>Peace and security</w:t>
            </w:r>
          </w:p>
        </w:tc>
        <w:tc>
          <w:tcPr>
            <w:tcW w:w="1418" w:type="dxa"/>
            <w:shd w:val="clear" w:color="auto" w:fill="auto"/>
            <w:noWrap/>
            <w:vAlign w:val="center"/>
            <w:hideMark/>
          </w:tcPr>
          <w:p w14:paraId="20C02DE7" w14:textId="232A9E9C" w:rsidR="00E27DE1" w:rsidRPr="007976BA" w:rsidRDefault="00E27DE1" w:rsidP="007976BA">
            <w:pPr>
              <w:jc w:val="right"/>
              <w:rPr>
                <w:rFonts w:ascii="Times" w:hAnsi="Times"/>
                <w:color w:val="000000"/>
                <w:sz w:val="20"/>
                <w:szCs w:val="20"/>
                <w:lang w:val="en-US"/>
              </w:rPr>
            </w:pPr>
            <w:r w:rsidRPr="007976BA">
              <w:rPr>
                <w:rFonts w:ascii="Times" w:hAnsi="Times"/>
                <w:color w:val="000000"/>
                <w:sz w:val="20"/>
                <w:szCs w:val="20"/>
                <w:lang w:val="en-US"/>
              </w:rPr>
              <w:t>150</w:t>
            </w:r>
            <w:r w:rsidR="007976BA">
              <w:rPr>
                <w:rFonts w:ascii="Times" w:hAnsi="Times"/>
                <w:color w:val="000000"/>
                <w:sz w:val="20"/>
                <w:szCs w:val="20"/>
                <w:lang w:val="en-US"/>
              </w:rPr>
              <w:t> </w:t>
            </w:r>
            <w:r w:rsidRPr="007976BA">
              <w:rPr>
                <w:rFonts w:ascii="Times" w:hAnsi="Times"/>
                <w:color w:val="000000"/>
                <w:sz w:val="20"/>
                <w:szCs w:val="20"/>
                <w:lang w:val="en-US"/>
              </w:rPr>
              <w:t>219.23</w:t>
            </w:r>
          </w:p>
        </w:tc>
        <w:tc>
          <w:tcPr>
            <w:tcW w:w="1559" w:type="dxa"/>
            <w:shd w:val="clear" w:color="auto" w:fill="auto"/>
            <w:noWrap/>
            <w:vAlign w:val="center"/>
            <w:hideMark/>
          </w:tcPr>
          <w:p w14:paraId="07ADC5AC" w14:textId="0FEFA574" w:rsidR="00E27DE1" w:rsidRPr="007976BA" w:rsidRDefault="00E27DE1" w:rsidP="007976BA">
            <w:pPr>
              <w:jc w:val="right"/>
              <w:rPr>
                <w:rFonts w:ascii="Times" w:hAnsi="Times"/>
                <w:color w:val="000000"/>
                <w:sz w:val="20"/>
                <w:szCs w:val="20"/>
                <w:lang w:val="en-US"/>
              </w:rPr>
            </w:pPr>
            <w:r w:rsidRPr="007976BA">
              <w:rPr>
                <w:rFonts w:ascii="Times" w:hAnsi="Times"/>
                <w:color w:val="000000"/>
                <w:sz w:val="20"/>
                <w:szCs w:val="20"/>
                <w:lang w:val="en-US"/>
              </w:rPr>
              <w:t>160</w:t>
            </w:r>
            <w:r w:rsidR="007976BA">
              <w:rPr>
                <w:rFonts w:ascii="Times" w:hAnsi="Times"/>
                <w:color w:val="000000"/>
                <w:sz w:val="20"/>
                <w:szCs w:val="20"/>
                <w:lang w:val="en-US"/>
              </w:rPr>
              <w:t> </w:t>
            </w:r>
            <w:r w:rsidRPr="007976BA">
              <w:rPr>
                <w:rFonts w:ascii="Times" w:hAnsi="Times"/>
                <w:color w:val="000000"/>
                <w:sz w:val="20"/>
                <w:szCs w:val="20"/>
                <w:lang w:val="en-US"/>
              </w:rPr>
              <w:t>221.46</w:t>
            </w:r>
          </w:p>
        </w:tc>
        <w:tc>
          <w:tcPr>
            <w:tcW w:w="1559" w:type="dxa"/>
            <w:shd w:val="clear" w:color="auto" w:fill="auto"/>
            <w:noWrap/>
            <w:vAlign w:val="center"/>
            <w:hideMark/>
          </w:tcPr>
          <w:p w14:paraId="3085074A" w14:textId="55A475DE" w:rsidR="00E27DE1" w:rsidRPr="007976BA" w:rsidRDefault="00E27DE1" w:rsidP="007976BA">
            <w:pPr>
              <w:jc w:val="right"/>
              <w:rPr>
                <w:rFonts w:ascii="Times" w:hAnsi="Times"/>
                <w:color w:val="000000"/>
                <w:sz w:val="20"/>
                <w:szCs w:val="20"/>
                <w:lang w:val="en-US"/>
              </w:rPr>
            </w:pPr>
            <w:r w:rsidRPr="007976BA">
              <w:rPr>
                <w:rFonts w:ascii="Times" w:hAnsi="Times"/>
                <w:color w:val="000000"/>
                <w:sz w:val="20"/>
                <w:szCs w:val="20"/>
                <w:lang w:val="en-US"/>
              </w:rPr>
              <w:t>167</w:t>
            </w:r>
            <w:r w:rsidR="007976BA">
              <w:rPr>
                <w:rFonts w:ascii="Times" w:hAnsi="Times"/>
                <w:color w:val="000000"/>
                <w:sz w:val="20"/>
                <w:szCs w:val="20"/>
                <w:lang w:val="en-US"/>
              </w:rPr>
              <w:t xml:space="preserve"> </w:t>
            </w:r>
            <w:r w:rsidRPr="007976BA">
              <w:rPr>
                <w:rFonts w:ascii="Times" w:hAnsi="Times"/>
                <w:color w:val="000000"/>
                <w:sz w:val="20"/>
                <w:szCs w:val="20"/>
                <w:lang w:val="en-US"/>
              </w:rPr>
              <w:t>135.21</w:t>
            </w:r>
          </w:p>
        </w:tc>
        <w:tc>
          <w:tcPr>
            <w:tcW w:w="1701" w:type="dxa"/>
            <w:shd w:val="clear" w:color="auto" w:fill="auto"/>
            <w:noWrap/>
            <w:vAlign w:val="center"/>
            <w:hideMark/>
          </w:tcPr>
          <w:p w14:paraId="7A75775F" w14:textId="4AF160C0" w:rsidR="00E27DE1" w:rsidRPr="007976BA" w:rsidRDefault="00E27DE1" w:rsidP="007976BA">
            <w:pPr>
              <w:jc w:val="right"/>
              <w:rPr>
                <w:rFonts w:ascii="Times" w:hAnsi="Times"/>
                <w:b/>
                <w:bCs/>
                <w:color w:val="000000"/>
                <w:sz w:val="20"/>
                <w:szCs w:val="20"/>
                <w:lang w:val="en-US"/>
              </w:rPr>
            </w:pPr>
            <w:r w:rsidRPr="007976BA">
              <w:rPr>
                <w:rFonts w:ascii="Times" w:hAnsi="Times"/>
                <w:b/>
                <w:bCs/>
                <w:color w:val="000000"/>
                <w:sz w:val="20"/>
                <w:szCs w:val="20"/>
                <w:lang w:val="en-US"/>
              </w:rPr>
              <w:t>477</w:t>
            </w:r>
            <w:r w:rsidR="007976BA">
              <w:rPr>
                <w:rFonts w:ascii="Times" w:hAnsi="Times"/>
                <w:b/>
                <w:bCs/>
                <w:color w:val="000000"/>
                <w:sz w:val="20"/>
                <w:szCs w:val="20"/>
                <w:lang w:val="en-US"/>
              </w:rPr>
              <w:t xml:space="preserve"> </w:t>
            </w:r>
            <w:r w:rsidRPr="007976BA">
              <w:rPr>
                <w:rFonts w:ascii="Times" w:hAnsi="Times"/>
                <w:b/>
                <w:bCs/>
                <w:color w:val="000000"/>
                <w:sz w:val="20"/>
                <w:szCs w:val="20"/>
                <w:lang w:val="en-US"/>
              </w:rPr>
              <w:t>575.91</w:t>
            </w:r>
          </w:p>
        </w:tc>
        <w:tc>
          <w:tcPr>
            <w:tcW w:w="1134" w:type="dxa"/>
            <w:shd w:val="clear" w:color="auto" w:fill="auto"/>
            <w:noWrap/>
            <w:vAlign w:val="center"/>
            <w:hideMark/>
          </w:tcPr>
          <w:p w14:paraId="07718162" w14:textId="77777777" w:rsidR="00E27DE1" w:rsidRPr="007976BA" w:rsidRDefault="00E27DE1" w:rsidP="007976BA">
            <w:pPr>
              <w:jc w:val="right"/>
              <w:rPr>
                <w:rFonts w:ascii="Times" w:hAnsi="Times"/>
                <w:color w:val="000000"/>
                <w:sz w:val="20"/>
                <w:szCs w:val="20"/>
                <w:lang w:val="en-US"/>
              </w:rPr>
            </w:pPr>
            <w:r w:rsidRPr="007976BA">
              <w:rPr>
                <w:rFonts w:ascii="Times" w:hAnsi="Times"/>
                <w:color w:val="000000"/>
                <w:sz w:val="20"/>
                <w:szCs w:val="20"/>
                <w:lang w:val="en-US"/>
              </w:rPr>
              <w:t>80.1%</w:t>
            </w:r>
          </w:p>
        </w:tc>
      </w:tr>
      <w:tr w:rsidR="00E27DE1" w:rsidRPr="006D2681" w14:paraId="67D8426F" w14:textId="77777777" w:rsidTr="007976BA">
        <w:trPr>
          <w:trHeight w:val="204"/>
        </w:trPr>
        <w:tc>
          <w:tcPr>
            <w:tcW w:w="2268" w:type="dxa"/>
            <w:shd w:val="clear" w:color="auto" w:fill="auto"/>
            <w:noWrap/>
            <w:vAlign w:val="bottom"/>
            <w:hideMark/>
          </w:tcPr>
          <w:p w14:paraId="69520273" w14:textId="77777777" w:rsidR="00E27DE1" w:rsidRPr="007976BA" w:rsidRDefault="00E27DE1" w:rsidP="007976BA">
            <w:pPr>
              <w:jc w:val="left"/>
              <w:rPr>
                <w:rFonts w:ascii="Times" w:hAnsi="Times"/>
                <w:color w:val="000000"/>
                <w:sz w:val="20"/>
                <w:szCs w:val="20"/>
                <w:lang w:val="en-US"/>
              </w:rPr>
            </w:pPr>
            <w:r w:rsidRPr="007976BA">
              <w:rPr>
                <w:rFonts w:ascii="Times" w:hAnsi="Times"/>
                <w:color w:val="000000"/>
                <w:sz w:val="20"/>
                <w:szCs w:val="20"/>
                <w:lang w:val="en-US"/>
              </w:rPr>
              <w:t>General public services</w:t>
            </w:r>
          </w:p>
        </w:tc>
        <w:tc>
          <w:tcPr>
            <w:tcW w:w="1418" w:type="dxa"/>
            <w:shd w:val="clear" w:color="auto" w:fill="auto"/>
            <w:noWrap/>
            <w:vAlign w:val="center"/>
            <w:hideMark/>
          </w:tcPr>
          <w:p w14:paraId="0A34F456" w14:textId="4B01EA48" w:rsidR="00E27DE1" w:rsidRPr="007976BA" w:rsidRDefault="00E27DE1" w:rsidP="007976BA">
            <w:pPr>
              <w:jc w:val="right"/>
              <w:rPr>
                <w:rFonts w:ascii="Times" w:hAnsi="Times"/>
                <w:color w:val="000000"/>
                <w:sz w:val="20"/>
                <w:szCs w:val="20"/>
                <w:lang w:val="en-US"/>
              </w:rPr>
            </w:pPr>
            <w:r w:rsidRPr="007976BA">
              <w:rPr>
                <w:rFonts w:ascii="Times" w:hAnsi="Times"/>
                <w:color w:val="000000"/>
                <w:sz w:val="20"/>
                <w:szCs w:val="20"/>
                <w:lang w:val="en-US"/>
              </w:rPr>
              <w:t>8</w:t>
            </w:r>
            <w:r w:rsidR="007976BA">
              <w:rPr>
                <w:rFonts w:ascii="Times" w:hAnsi="Times"/>
                <w:color w:val="000000"/>
                <w:sz w:val="20"/>
                <w:szCs w:val="20"/>
                <w:lang w:val="en-US"/>
              </w:rPr>
              <w:t> </w:t>
            </w:r>
            <w:r w:rsidRPr="007976BA">
              <w:rPr>
                <w:rFonts w:ascii="Times" w:hAnsi="Times"/>
                <w:color w:val="000000"/>
                <w:sz w:val="20"/>
                <w:szCs w:val="20"/>
                <w:lang w:val="en-US"/>
              </w:rPr>
              <w:t>123.67</w:t>
            </w:r>
          </w:p>
        </w:tc>
        <w:tc>
          <w:tcPr>
            <w:tcW w:w="1559" w:type="dxa"/>
            <w:shd w:val="clear" w:color="auto" w:fill="auto"/>
            <w:noWrap/>
            <w:vAlign w:val="center"/>
            <w:hideMark/>
          </w:tcPr>
          <w:p w14:paraId="2C8E32B4" w14:textId="79B90F95" w:rsidR="00E27DE1" w:rsidRPr="007976BA" w:rsidRDefault="00E27DE1" w:rsidP="007976BA">
            <w:pPr>
              <w:jc w:val="right"/>
              <w:rPr>
                <w:rFonts w:ascii="Times" w:hAnsi="Times"/>
                <w:color w:val="000000"/>
                <w:sz w:val="20"/>
                <w:szCs w:val="20"/>
                <w:lang w:val="en-US"/>
              </w:rPr>
            </w:pPr>
            <w:r w:rsidRPr="007976BA">
              <w:rPr>
                <w:rFonts w:ascii="Times" w:hAnsi="Times"/>
                <w:color w:val="000000"/>
                <w:sz w:val="20"/>
                <w:szCs w:val="20"/>
                <w:lang w:val="en-US"/>
              </w:rPr>
              <w:t>8</w:t>
            </w:r>
            <w:r w:rsidR="007976BA">
              <w:rPr>
                <w:rFonts w:ascii="Times" w:hAnsi="Times"/>
                <w:color w:val="000000"/>
                <w:sz w:val="20"/>
                <w:szCs w:val="20"/>
                <w:lang w:val="en-US"/>
              </w:rPr>
              <w:t> </w:t>
            </w:r>
            <w:r w:rsidRPr="007976BA">
              <w:rPr>
                <w:rFonts w:ascii="Times" w:hAnsi="Times"/>
                <w:color w:val="000000"/>
                <w:sz w:val="20"/>
                <w:szCs w:val="20"/>
                <w:lang w:val="en-US"/>
              </w:rPr>
              <w:t>680.34</w:t>
            </w:r>
          </w:p>
        </w:tc>
        <w:tc>
          <w:tcPr>
            <w:tcW w:w="1559" w:type="dxa"/>
            <w:shd w:val="clear" w:color="auto" w:fill="auto"/>
            <w:noWrap/>
            <w:vAlign w:val="center"/>
            <w:hideMark/>
          </w:tcPr>
          <w:p w14:paraId="663BE45A" w14:textId="505DAB41" w:rsidR="00E27DE1" w:rsidRPr="007976BA" w:rsidRDefault="00E27DE1" w:rsidP="007976BA">
            <w:pPr>
              <w:jc w:val="right"/>
              <w:rPr>
                <w:rFonts w:ascii="Times" w:hAnsi="Times"/>
                <w:color w:val="000000"/>
                <w:sz w:val="20"/>
                <w:szCs w:val="20"/>
                <w:lang w:val="en-US"/>
              </w:rPr>
            </w:pPr>
            <w:r w:rsidRPr="007976BA">
              <w:rPr>
                <w:rFonts w:ascii="Times" w:hAnsi="Times"/>
                <w:color w:val="000000"/>
                <w:sz w:val="20"/>
                <w:szCs w:val="20"/>
                <w:lang w:val="en-US"/>
              </w:rPr>
              <w:t>9</w:t>
            </w:r>
            <w:r w:rsidR="007976BA">
              <w:rPr>
                <w:rFonts w:ascii="Times" w:hAnsi="Times"/>
                <w:color w:val="000000"/>
                <w:sz w:val="20"/>
                <w:szCs w:val="20"/>
                <w:lang w:val="en-US"/>
              </w:rPr>
              <w:t xml:space="preserve"> </w:t>
            </w:r>
            <w:r w:rsidRPr="007976BA">
              <w:rPr>
                <w:rFonts w:ascii="Times" w:hAnsi="Times"/>
                <w:color w:val="000000"/>
                <w:sz w:val="20"/>
                <w:szCs w:val="20"/>
                <w:lang w:val="en-US"/>
              </w:rPr>
              <w:t>040.09</w:t>
            </w:r>
          </w:p>
        </w:tc>
        <w:tc>
          <w:tcPr>
            <w:tcW w:w="1701" w:type="dxa"/>
            <w:shd w:val="clear" w:color="auto" w:fill="auto"/>
            <w:noWrap/>
            <w:vAlign w:val="center"/>
            <w:hideMark/>
          </w:tcPr>
          <w:p w14:paraId="22B43D0B" w14:textId="22BB0F7D" w:rsidR="00E27DE1" w:rsidRPr="007976BA" w:rsidRDefault="00E27DE1" w:rsidP="007976BA">
            <w:pPr>
              <w:jc w:val="right"/>
              <w:rPr>
                <w:rFonts w:ascii="Times" w:hAnsi="Times"/>
                <w:b/>
                <w:bCs/>
                <w:color w:val="000000"/>
                <w:sz w:val="20"/>
                <w:szCs w:val="20"/>
                <w:lang w:val="en-US"/>
              </w:rPr>
            </w:pPr>
            <w:r w:rsidRPr="007976BA">
              <w:rPr>
                <w:rFonts w:ascii="Times" w:hAnsi="Times"/>
                <w:b/>
                <w:bCs/>
                <w:color w:val="000000"/>
                <w:sz w:val="20"/>
                <w:szCs w:val="20"/>
                <w:lang w:val="en-US"/>
              </w:rPr>
              <w:t>25</w:t>
            </w:r>
            <w:r w:rsidR="007976BA">
              <w:rPr>
                <w:rFonts w:ascii="Times" w:hAnsi="Times"/>
                <w:b/>
                <w:bCs/>
                <w:color w:val="000000"/>
                <w:sz w:val="20"/>
                <w:szCs w:val="20"/>
                <w:lang w:val="en-US"/>
              </w:rPr>
              <w:t xml:space="preserve"> </w:t>
            </w:r>
            <w:r w:rsidRPr="007976BA">
              <w:rPr>
                <w:rFonts w:ascii="Times" w:hAnsi="Times"/>
                <w:b/>
                <w:bCs/>
                <w:color w:val="000000"/>
                <w:sz w:val="20"/>
                <w:szCs w:val="20"/>
                <w:lang w:val="en-US"/>
              </w:rPr>
              <w:t>844.10</w:t>
            </w:r>
          </w:p>
        </w:tc>
        <w:tc>
          <w:tcPr>
            <w:tcW w:w="1134" w:type="dxa"/>
            <w:shd w:val="clear" w:color="auto" w:fill="auto"/>
            <w:noWrap/>
            <w:vAlign w:val="center"/>
            <w:hideMark/>
          </w:tcPr>
          <w:p w14:paraId="77969B7F" w14:textId="77777777" w:rsidR="00E27DE1" w:rsidRPr="007976BA" w:rsidRDefault="00E27DE1" w:rsidP="007976BA">
            <w:pPr>
              <w:jc w:val="right"/>
              <w:rPr>
                <w:rFonts w:ascii="Times" w:hAnsi="Times"/>
                <w:color w:val="000000"/>
                <w:sz w:val="20"/>
                <w:szCs w:val="20"/>
                <w:lang w:val="en-US"/>
              </w:rPr>
            </w:pPr>
            <w:r w:rsidRPr="007976BA">
              <w:rPr>
                <w:rFonts w:ascii="Times" w:hAnsi="Times"/>
                <w:color w:val="000000"/>
                <w:sz w:val="20"/>
                <w:szCs w:val="20"/>
                <w:lang w:val="en-US"/>
              </w:rPr>
              <w:t>4.3%</w:t>
            </w:r>
          </w:p>
        </w:tc>
      </w:tr>
      <w:tr w:rsidR="00E27DE1" w:rsidRPr="006D2681" w14:paraId="7B52499A" w14:textId="77777777" w:rsidTr="007976BA">
        <w:trPr>
          <w:trHeight w:val="204"/>
        </w:trPr>
        <w:tc>
          <w:tcPr>
            <w:tcW w:w="2268" w:type="dxa"/>
            <w:shd w:val="clear" w:color="auto" w:fill="auto"/>
            <w:noWrap/>
            <w:vAlign w:val="bottom"/>
            <w:hideMark/>
          </w:tcPr>
          <w:p w14:paraId="6E797A5B" w14:textId="77777777" w:rsidR="00E27DE1" w:rsidRPr="007976BA" w:rsidRDefault="00E27DE1" w:rsidP="007976BA">
            <w:pPr>
              <w:jc w:val="left"/>
              <w:rPr>
                <w:rFonts w:ascii="Times" w:hAnsi="Times"/>
                <w:color w:val="000000"/>
                <w:sz w:val="20"/>
                <w:szCs w:val="20"/>
                <w:lang w:val="en-US"/>
              </w:rPr>
            </w:pPr>
            <w:r w:rsidRPr="007976BA">
              <w:rPr>
                <w:rFonts w:ascii="Times" w:hAnsi="Times"/>
                <w:color w:val="000000"/>
                <w:sz w:val="20"/>
                <w:szCs w:val="20"/>
                <w:lang w:val="en-US"/>
              </w:rPr>
              <w:t xml:space="preserve">Total </w:t>
            </w:r>
          </w:p>
        </w:tc>
        <w:tc>
          <w:tcPr>
            <w:tcW w:w="1418" w:type="dxa"/>
            <w:shd w:val="clear" w:color="auto" w:fill="auto"/>
            <w:noWrap/>
            <w:vAlign w:val="center"/>
            <w:hideMark/>
          </w:tcPr>
          <w:p w14:paraId="4557F3B0" w14:textId="59DEF211" w:rsidR="00E27DE1" w:rsidRPr="007976BA" w:rsidRDefault="00E27DE1" w:rsidP="007976BA">
            <w:pPr>
              <w:jc w:val="right"/>
              <w:rPr>
                <w:rFonts w:ascii="Times" w:hAnsi="Times"/>
                <w:color w:val="000000"/>
                <w:sz w:val="20"/>
                <w:szCs w:val="20"/>
                <w:lang w:val="en-US"/>
              </w:rPr>
            </w:pPr>
            <w:r w:rsidRPr="007976BA">
              <w:rPr>
                <w:rFonts w:ascii="Times" w:hAnsi="Times"/>
                <w:color w:val="000000"/>
                <w:sz w:val="20"/>
                <w:szCs w:val="20"/>
                <w:lang w:val="en-US"/>
              </w:rPr>
              <w:t>187</w:t>
            </w:r>
            <w:r w:rsidR="007976BA">
              <w:rPr>
                <w:rFonts w:ascii="Times" w:hAnsi="Times"/>
                <w:color w:val="000000"/>
                <w:sz w:val="20"/>
                <w:szCs w:val="20"/>
                <w:lang w:val="en-US"/>
              </w:rPr>
              <w:t> </w:t>
            </w:r>
            <w:r w:rsidRPr="007976BA">
              <w:rPr>
                <w:rFonts w:ascii="Times" w:hAnsi="Times"/>
                <w:color w:val="000000"/>
                <w:sz w:val="20"/>
                <w:szCs w:val="20"/>
                <w:lang w:val="en-US"/>
              </w:rPr>
              <w:t>668.1</w:t>
            </w:r>
          </w:p>
        </w:tc>
        <w:tc>
          <w:tcPr>
            <w:tcW w:w="1559" w:type="dxa"/>
            <w:shd w:val="clear" w:color="auto" w:fill="auto"/>
            <w:noWrap/>
            <w:vAlign w:val="center"/>
            <w:hideMark/>
          </w:tcPr>
          <w:p w14:paraId="5A2C7FE0" w14:textId="15E6FABC" w:rsidR="00E27DE1" w:rsidRPr="007976BA" w:rsidRDefault="00E27DE1" w:rsidP="007976BA">
            <w:pPr>
              <w:jc w:val="right"/>
              <w:rPr>
                <w:rFonts w:ascii="Times" w:hAnsi="Times"/>
                <w:color w:val="000000"/>
                <w:sz w:val="20"/>
                <w:szCs w:val="20"/>
                <w:lang w:val="en-US"/>
              </w:rPr>
            </w:pPr>
            <w:r w:rsidRPr="007976BA">
              <w:rPr>
                <w:rFonts w:ascii="Times" w:hAnsi="Times"/>
                <w:color w:val="000000"/>
                <w:sz w:val="20"/>
                <w:szCs w:val="20"/>
                <w:lang w:val="en-US"/>
              </w:rPr>
              <w:t>200</w:t>
            </w:r>
            <w:r w:rsidR="007976BA">
              <w:rPr>
                <w:rFonts w:ascii="Times" w:hAnsi="Times"/>
                <w:color w:val="000000"/>
                <w:sz w:val="20"/>
                <w:szCs w:val="20"/>
                <w:lang w:val="en-US"/>
              </w:rPr>
              <w:t> </w:t>
            </w:r>
            <w:r w:rsidRPr="007976BA">
              <w:rPr>
                <w:rFonts w:ascii="Times" w:hAnsi="Times"/>
                <w:color w:val="000000"/>
                <w:sz w:val="20"/>
                <w:szCs w:val="20"/>
                <w:lang w:val="en-US"/>
              </w:rPr>
              <w:t>116.5</w:t>
            </w:r>
          </w:p>
        </w:tc>
        <w:tc>
          <w:tcPr>
            <w:tcW w:w="1559" w:type="dxa"/>
            <w:shd w:val="clear" w:color="auto" w:fill="auto"/>
            <w:noWrap/>
            <w:vAlign w:val="center"/>
            <w:hideMark/>
          </w:tcPr>
          <w:p w14:paraId="7832A583" w14:textId="30300F84" w:rsidR="00E27DE1" w:rsidRPr="007976BA" w:rsidRDefault="00E27DE1" w:rsidP="007976BA">
            <w:pPr>
              <w:jc w:val="right"/>
              <w:rPr>
                <w:rFonts w:ascii="Times" w:hAnsi="Times"/>
                <w:color w:val="000000"/>
                <w:sz w:val="20"/>
                <w:szCs w:val="20"/>
                <w:lang w:val="en-US"/>
              </w:rPr>
            </w:pPr>
            <w:r w:rsidRPr="007976BA">
              <w:rPr>
                <w:rFonts w:ascii="Times" w:hAnsi="Times"/>
                <w:color w:val="000000"/>
                <w:sz w:val="20"/>
                <w:szCs w:val="20"/>
                <w:lang w:val="en-US"/>
              </w:rPr>
              <w:t>208</w:t>
            </w:r>
            <w:r w:rsidR="007976BA">
              <w:rPr>
                <w:rFonts w:ascii="Times" w:hAnsi="Times"/>
                <w:color w:val="000000"/>
                <w:sz w:val="20"/>
                <w:szCs w:val="20"/>
                <w:lang w:val="en-US"/>
              </w:rPr>
              <w:t xml:space="preserve"> </w:t>
            </w:r>
            <w:r w:rsidRPr="007976BA">
              <w:rPr>
                <w:rFonts w:ascii="Times" w:hAnsi="Times"/>
                <w:color w:val="000000"/>
                <w:sz w:val="20"/>
                <w:szCs w:val="20"/>
                <w:lang w:val="en-US"/>
              </w:rPr>
              <w:t>736.4</w:t>
            </w:r>
          </w:p>
        </w:tc>
        <w:tc>
          <w:tcPr>
            <w:tcW w:w="1701" w:type="dxa"/>
            <w:shd w:val="clear" w:color="auto" w:fill="auto"/>
            <w:noWrap/>
            <w:vAlign w:val="center"/>
            <w:hideMark/>
          </w:tcPr>
          <w:p w14:paraId="4A049D6F" w14:textId="4FA38274" w:rsidR="00E27DE1" w:rsidRPr="007976BA" w:rsidRDefault="00E27DE1" w:rsidP="007976BA">
            <w:pPr>
              <w:jc w:val="right"/>
              <w:rPr>
                <w:rFonts w:ascii="Times" w:hAnsi="Times"/>
                <w:b/>
                <w:bCs/>
                <w:color w:val="000000"/>
                <w:sz w:val="20"/>
                <w:szCs w:val="20"/>
                <w:lang w:val="en-US"/>
              </w:rPr>
            </w:pPr>
            <w:r w:rsidRPr="007976BA">
              <w:rPr>
                <w:rFonts w:ascii="Times" w:hAnsi="Times"/>
                <w:b/>
                <w:bCs/>
                <w:color w:val="000000"/>
                <w:sz w:val="20"/>
                <w:szCs w:val="20"/>
                <w:lang w:val="en-US"/>
              </w:rPr>
              <w:t>596</w:t>
            </w:r>
            <w:r w:rsidR="007976BA">
              <w:rPr>
                <w:rFonts w:ascii="Times" w:hAnsi="Times"/>
                <w:b/>
                <w:bCs/>
                <w:color w:val="000000"/>
                <w:sz w:val="20"/>
                <w:szCs w:val="20"/>
                <w:lang w:val="en-US"/>
              </w:rPr>
              <w:t xml:space="preserve"> </w:t>
            </w:r>
            <w:r w:rsidRPr="007976BA">
              <w:rPr>
                <w:rFonts w:ascii="Times" w:hAnsi="Times"/>
                <w:b/>
                <w:bCs/>
                <w:color w:val="000000"/>
                <w:sz w:val="20"/>
                <w:szCs w:val="20"/>
                <w:lang w:val="en-US"/>
              </w:rPr>
              <w:t>521.02</w:t>
            </w:r>
          </w:p>
        </w:tc>
        <w:tc>
          <w:tcPr>
            <w:tcW w:w="1134" w:type="dxa"/>
            <w:shd w:val="clear" w:color="auto" w:fill="auto"/>
            <w:noWrap/>
            <w:vAlign w:val="center"/>
            <w:hideMark/>
          </w:tcPr>
          <w:p w14:paraId="2E187521" w14:textId="77777777" w:rsidR="00E27DE1" w:rsidRPr="007976BA" w:rsidRDefault="00E27DE1" w:rsidP="007976BA">
            <w:pPr>
              <w:jc w:val="right"/>
              <w:rPr>
                <w:rFonts w:ascii="Times" w:hAnsi="Times"/>
                <w:color w:val="000000"/>
                <w:sz w:val="20"/>
                <w:szCs w:val="20"/>
                <w:lang w:val="en-US"/>
              </w:rPr>
            </w:pPr>
            <w:r w:rsidRPr="007976BA">
              <w:rPr>
                <w:rFonts w:ascii="Times" w:hAnsi="Times"/>
                <w:color w:val="000000"/>
                <w:sz w:val="20"/>
                <w:szCs w:val="20"/>
                <w:lang w:val="en-US"/>
              </w:rPr>
              <w:t>100.0%</w:t>
            </w:r>
          </w:p>
        </w:tc>
      </w:tr>
    </w:tbl>
    <w:p w14:paraId="1EDE9840" w14:textId="24E8FE09" w:rsidR="00E27DE1" w:rsidRPr="00A16E5A" w:rsidRDefault="00E27DE1" w:rsidP="00E27DE1">
      <w:pPr>
        <w:keepNext/>
        <w:rPr>
          <w:rFonts w:ascii="Times" w:hAnsi="Times"/>
          <w:bCs/>
          <w:i/>
          <w:sz w:val="22"/>
        </w:rPr>
      </w:pPr>
      <w:r w:rsidRPr="007976BA">
        <w:rPr>
          <w:rFonts w:ascii="Times" w:hAnsi="Times"/>
          <w:bCs/>
          <w:i/>
          <w:sz w:val="20"/>
          <w:szCs w:val="20"/>
        </w:rPr>
        <w:t xml:space="preserve">Source: </w:t>
      </w:r>
      <w:r w:rsidR="007976BA">
        <w:rPr>
          <w:rFonts w:ascii="Times" w:hAnsi="Times"/>
          <w:bCs/>
          <w:i/>
          <w:sz w:val="20"/>
          <w:szCs w:val="20"/>
        </w:rPr>
        <w:t>FFC</w:t>
      </w:r>
      <w:r w:rsidRPr="007976BA">
        <w:rPr>
          <w:rFonts w:ascii="Times" w:hAnsi="Times"/>
          <w:bCs/>
          <w:i/>
          <w:sz w:val="20"/>
          <w:szCs w:val="20"/>
        </w:rPr>
        <w:t xml:space="preserve"> calculations based on 2020 ENE </w:t>
      </w:r>
      <w:r w:rsidR="00751D6C">
        <w:rPr>
          <w:rFonts w:ascii="Times" w:hAnsi="Times"/>
          <w:bCs/>
          <w:i/>
          <w:sz w:val="20"/>
          <w:szCs w:val="20"/>
        </w:rPr>
        <w:t>s</w:t>
      </w:r>
      <w:r w:rsidRPr="007976BA">
        <w:rPr>
          <w:rFonts w:ascii="Times" w:hAnsi="Times"/>
          <w:bCs/>
          <w:i/>
          <w:sz w:val="20"/>
          <w:szCs w:val="20"/>
        </w:rPr>
        <w:t xml:space="preserve">ummary </w:t>
      </w:r>
      <w:r w:rsidR="00751D6C">
        <w:rPr>
          <w:rFonts w:ascii="Times" w:hAnsi="Times"/>
          <w:bCs/>
          <w:i/>
          <w:sz w:val="20"/>
          <w:szCs w:val="20"/>
        </w:rPr>
        <w:t>t</w:t>
      </w:r>
      <w:r w:rsidRPr="007976BA">
        <w:rPr>
          <w:rFonts w:ascii="Times" w:hAnsi="Times"/>
          <w:bCs/>
          <w:i/>
          <w:sz w:val="20"/>
          <w:szCs w:val="20"/>
        </w:rPr>
        <w:t xml:space="preserve">able </w:t>
      </w:r>
      <w:r w:rsidR="00751D6C">
        <w:rPr>
          <w:rFonts w:ascii="Times" w:hAnsi="Times"/>
          <w:bCs/>
          <w:i/>
          <w:sz w:val="20"/>
          <w:szCs w:val="20"/>
        </w:rPr>
        <w:t>n</w:t>
      </w:r>
      <w:r w:rsidRPr="007976BA">
        <w:rPr>
          <w:rFonts w:ascii="Times" w:hAnsi="Times"/>
          <w:bCs/>
          <w:i/>
          <w:sz w:val="20"/>
          <w:szCs w:val="20"/>
        </w:rPr>
        <w:t>umber 8</w:t>
      </w:r>
      <w:r>
        <w:rPr>
          <w:rFonts w:ascii="Times" w:hAnsi="Times"/>
          <w:bCs/>
          <w:i/>
          <w:sz w:val="22"/>
        </w:rPr>
        <w:t>.</w:t>
      </w:r>
      <w:r w:rsidRPr="00A16E5A">
        <w:rPr>
          <w:rFonts w:ascii="Times" w:hAnsi="Times"/>
          <w:bCs/>
          <w:i/>
          <w:sz w:val="22"/>
        </w:rPr>
        <w:t xml:space="preserve"> </w:t>
      </w:r>
    </w:p>
    <w:p w14:paraId="5C839A1A" w14:textId="77777777" w:rsidR="003D5A8F" w:rsidRPr="000D33E4" w:rsidRDefault="003D5A8F" w:rsidP="007B1E55">
      <w:pPr>
        <w:rPr>
          <w:rFonts w:ascii="Times" w:hAnsi="Times"/>
          <w:b/>
          <w:bCs/>
        </w:rPr>
      </w:pPr>
    </w:p>
    <w:p w14:paraId="3FBBC2E5" w14:textId="77777777" w:rsidR="00B75110" w:rsidRPr="000D33E4" w:rsidRDefault="00B75110" w:rsidP="00FB6890">
      <w:pPr>
        <w:pStyle w:val="Heading3"/>
      </w:pPr>
      <w:bookmarkStart w:id="96" w:name="_Toc42211922"/>
      <w:r w:rsidRPr="000D33E4">
        <w:t xml:space="preserve">Goods and </w:t>
      </w:r>
      <w:r w:rsidR="00DE180A">
        <w:t>s</w:t>
      </w:r>
      <w:r w:rsidRPr="000D33E4">
        <w:t>ervices</w:t>
      </w:r>
      <w:bookmarkEnd w:id="96"/>
      <w:r w:rsidRPr="000D33E4">
        <w:t xml:space="preserve"> </w:t>
      </w:r>
    </w:p>
    <w:p w14:paraId="213090CD" w14:textId="14F0FCF0" w:rsidR="00B75110" w:rsidRPr="000D33E4" w:rsidRDefault="00B75110" w:rsidP="00D71D8C">
      <w:pPr>
        <w:keepNext/>
      </w:pPr>
      <w:r w:rsidRPr="000D33E4">
        <w:t>Goods and services spending contain an array of items that could be considered non-essential in relation to the Covid-19 challenge and subsequent lockdown restrictions. For example, spending on good and services include</w:t>
      </w:r>
      <w:r w:rsidR="00DE180A">
        <w:t>s</w:t>
      </w:r>
      <w:r w:rsidRPr="000D33E4">
        <w:t xml:space="preserve"> provision for items such as advertising, catering, travel and subsistence, training and development</w:t>
      </w:r>
      <w:r w:rsidR="00DE180A">
        <w:t>. These i</w:t>
      </w:r>
      <w:r w:rsidRPr="000D33E4">
        <w:t xml:space="preserve">tems of spending are not only of less strategic importance in terms of service delivery but may not be utilised due to restrictions on movement and the need for social distancing. </w:t>
      </w:r>
      <w:r w:rsidR="00391393" w:rsidRPr="000D33E4">
        <w:t xml:space="preserve">The opportunities brought about by technology </w:t>
      </w:r>
      <w:r w:rsidR="00DE180A">
        <w:t>are</w:t>
      </w:r>
      <w:r w:rsidR="00391393" w:rsidRPr="000D33E4">
        <w:t xml:space="preserve"> also making travel, workshops and conferences less important</w:t>
      </w:r>
      <w:r w:rsidR="006D3CBD" w:rsidRPr="006D3CBD">
        <w:t xml:space="preserve"> </w:t>
      </w:r>
      <w:r w:rsidR="006D3CBD">
        <w:t>in conducting productive activity going forward</w:t>
      </w:r>
      <w:r w:rsidR="006D3CBD" w:rsidRPr="000D33E4">
        <w:t>.</w:t>
      </w:r>
      <w:r w:rsidR="00391393" w:rsidRPr="000D33E4">
        <w:t xml:space="preserve"> </w:t>
      </w:r>
      <w:r w:rsidRPr="000D33E4">
        <w:t>Over the 2020 MTEF period, total government spending on goods and services is projected to reach R835 billion over the next three years, with departments focussing on health care, economic development</w:t>
      </w:r>
      <w:r w:rsidR="00DE180A">
        <w:t>,</w:t>
      </w:r>
      <w:r w:rsidRPr="000D33E4">
        <w:t xml:space="preserve"> and peace and security </w:t>
      </w:r>
      <w:r w:rsidR="00DE180A">
        <w:t>as</w:t>
      </w:r>
      <w:r w:rsidR="00DE180A" w:rsidRPr="000D33E4">
        <w:t xml:space="preserve"> </w:t>
      </w:r>
      <w:r w:rsidRPr="000D33E4">
        <w:t xml:space="preserve">the drivers of such spending, thus implying that there may be room for reprioritisation </w:t>
      </w:r>
      <w:r w:rsidR="006D3CBD">
        <w:t>with</w:t>
      </w:r>
      <w:r w:rsidRPr="000D33E4">
        <w:t>in these departments</w:t>
      </w:r>
      <w:r w:rsidR="006D3CBD">
        <w:t>’ programmes, albeit that they are essential for responding to the Covid-19 pandemic</w:t>
      </w:r>
      <w:r w:rsidR="006D3CBD" w:rsidRPr="000D33E4">
        <w:t>.</w:t>
      </w:r>
      <w:r w:rsidRPr="000D33E4">
        <w:t xml:space="preserve"> Honing in on total goods and services spending by national departments, </w:t>
      </w:r>
      <w:r w:rsidR="00DE180A">
        <w:t>estimates of national expenditure (</w:t>
      </w:r>
      <w:r w:rsidRPr="000D33E4">
        <w:t>ENE</w:t>
      </w:r>
      <w:r w:rsidR="00DE180A">
        <w:t>)</w:t>
      </w:r>
      <w:r w:rsidRPr="000D33E4">
        <w:t xml:space="preserve"> data shows that the 41 departments are projected to spend R246 billion over the next three years. As shown </w:t>
      </w:r>
      <w:r w:rsidR="006D3CBD" w:rsidRPr="000D33E4">
        <w:t>in</w:t>
      </w:r>
      <w:r w:rsidR="006D3CBD">
        <w:t xml:space="preserve"> </w:t>
      </w:r>
      <w:r w:rsidR="008A2A7B" w:rsidRPr="008A2A7B">
        <w:rPr>
          <w:rFonts w:ascii="Times" w:hAnsi="Times"/>
          <w:color w:val="000000" w:themeColor="text1"/>
        </w:rPr>
        <w:fldChar w:fldCharType="begin"/>
      </w:r>
      <w:r w:rsidR="008A2A7B" w:rsidRPr="008A2A7B">
        <w:rPr>
          <w:rFonts w:ascii="Times" w:hAnsi="Times"/>
          <w:color w:val="000000" w:themeColor="text1"/>
        </w:rPr>
        <w:instrText xml:space="preserve"> REF _Ref41139509 \h </w:instrText>
      </w:r>
      <w:r w:rsidR="008A2A7B">
        <w:rPr>
          <w:rFonts w:ascii="Times" w:hAnsi="Times"/>
          <w:color w:val="000000" w:themeColor="text1"/>
        </w:rPr>
        <w:instrText xml:space="preserve"> \* MERGEFORMAT </w:instrText>
      </w:r>
      <w:r w:rsidR="008A2A7B" w:rsidRPr="008A2A7B">
        <w:rPr>
          <w:rFonts w:ascii="Times" w:hAnsi="Times"/>
          <w:color w:val="000000" w:themeColor="text1"/>
        </w:rPr>
      </w:r>
      <w:r w:rsidR="008A2A7B" w:rsidRPr="008A2A7B">
        <w:rPr>
          <w:rFonts w:ascii="Times" w:hAnsi="Times"/>
          <w:color w:val="000000" w:themeColor="text1"/>
        </w:rPr>
        <w:fldChar w:fldCharType="separate"/>
      </w:r>
      <w:r w:rsidR="008A2A7B" w:rsidRPr="008A2A7B">
        <w:rPr>
          <w:rFonts w:ascii="Times" w:hAnsi="Times"/>
          <w:color w:val="000000" w:themeColor="text1"/>
          <w:szCs w:val="24"/>
        </w:rPr>
        <w:t xml:space="preserve">Table </w:t>
      </w:r>
      <w:r w:rsidR="008A2A7B" w:rsidRPr="008A2A7B">
        <w:rPr>
          <w:rFonts w:ascii="Times" w:hAnsi="Times"/>
          <w:noProof/>
          <w:color w:val="000000" w:themeColor="text1"/>
          <w:szCs w:val="24"/>
        </w:rPr>
        <w:t>14</w:t>
      </w:r>
      <w:r w:rsidR="008A2A7B" w:rsidRPr="008A2A7B">
        <w:rPr>
          <w:rFonts w:ascii="Times" w:hAnsi="Times"/>
          <w:color w:val="000000" w:themeColor="text1"/>
        </w:rPr>
        <w:fldChar w:fldCharType="end"/>
      </w:r>
      <w:r w:rsidR="008A2A7B" w:rsidRPr="008A2A7B">
        <w:rPr>
          <w:rFonts w:ascii="Times" w:hAnsi="Times"/>
          <w:color w:val="000000" w:themeColor="text1"/>
        </w:rPr>
        <w:t>,</w:t>
      </w:r>
      <w:r w:rsidR="008A2A7B">
        <w:rPr>
          <w:rFonts w:ascii="Times" w:hAnsi="Times"/>
          <w:color w:val="000000" w:themeColor="text1"/>
        </w:rPr>
        <w:t xml:space="preserve"> </w:t>
      </w:r>
      <w:r w:rsidRPr="000D33E4">
        <w:t>the peace and security departments are</w:t>
      </w:r>
      <w:r w:rsidR="00DE180A">
        <w:t xml:space="preserve"> </w:t>
      </w:r>
      <w:r w:rsidRPr="000D33E4">
        <w:t>responsible for 57</w:t>
      </w:r>
      <w:r w:rsidR="00DE180A">
        <w:t xml:space="preserve"> per cent</w:t>
      </w:r>
      <w:r w:rsidRPr="000D33E4">
        <w:t xml:space="preserve"> of total goods and services spending by the 41 national departments.</w:t>
      </w:r>
      <w:r w:rsidR="002D39CB">
        <w:t xml:space="preserve">    </w:t>
      </w:r>
    </w:p>
    <w:p w14:paraId="5F2FD87F" w14:textId="77777777" w:rsidR="00E27DE1" w:rsidRPr="000D33E4" w:rsidRDefault="00E27DE1" w:rsidP="00E27DE1">
      <w:pPr>
        <w:rPr>
          <w:rFonts w:ascii="Times" w:hAnsi="Times"/>
        </w:rPr>
      </w:pPr>
    </w:p>
    <w:p w14:paraId="499159AD" w14:textId="120AB315" w:rsidR="00E27DE1" w:rsidRPr="008A2A7B" w:rsidRDefault="008A2A7B" w:rsidP="008A2A7B">
      <w:pPr>
        <w:pStyle w:val="Caption"/>
        <w:keepNext/>
        <w:spacing w:after="60" w:line="240" w:lineRule="auto"/>
        <w:rPr>
          <w:rFonts w:ascii="Times" w:hAnsi="Times"/>
          <w:b w:val="0"/>
          <w:color w:val="004C45" w:themeColor="text2"/>
          <w:sz w:val="24"/>
          <w:szCs w:val="24"/>
        </w:rPr>
      </w:pPr>
      <w:bookmarkStart w:id="97" w:name="_Ref41139509"/>
      <w:bookmarkStart w:id="98" w:name="_Toc42212143"/>
      <w:r w:rsidRPr="008A2A7B">
        <w:rPr>
          <w:color w:val="004C45" w:themeColor="text2"/>
          <w:sz w:val="24"/>
          <w:szCs w:val="24"/>
        </w:rPr>
        <w:t xml:space="preserve">Table </w:t>
      </w:r>
      <w:r w:rsidRPr="008A2A7B">
        <w:rPr>
          <w:color w:val="004C45" w:themeColor="text2"/>
          <w:sz w:val="24"/>
          <w:szCs w:val="24"/>
        </w:rPr>
        <w:fldChar w:fldCharType="begin"/>
      </w:r>
      <w:r w:rsidRPr="008A2A7B">
        <w:rPr>
          <w:color w:val="004C45" w:themeColor="text2"/>
          <w:sz w:val="24"/>
          <w:szCs w:val="24"/>
        </w:rPr>
        <w:instrText xml:space="preserve"> SEQ Table \* ARABIC </w:instrText>
      </w:r>
      <w:r w:rsidRPr="008A2A7B">
        <w:rPr>
          <w:color w:val="004C45" w:themeColor="text2"/>
          <w:sz w:val="24"/>
          <w:szCs w:val="24"/>
        </w:rPr>
        <w:fldChar w:fldCharType="separate"/>
      </w:r>
      <w:r w:rsidR="00492893">
        <w:rPr>
          <w:noProof/>
          <w:color w:val="004C45" w:themeColor="text2"/>
          <w:sz w:val="24"/>
          <w:szCs w:val="24"/>
        </w:rPr>
        <w:t>15</w:t>
      </w:r>
      <w:r w:rsidRPr="008A2A7B">
        <w:rPr>
          <w:color w:val="004C45" w:themeColor="text2"/>
          <w:sz w:val="24"/>
          <w:szCs w:val="24"/>
        </w:rPr>
        <w:fldChar w:fldCharType="end"/>
      </w:r>
      <w:bookmarkEnd w:id="97"/>
      <w:r w:rsidRPr="008A2A7B">
        <w:rPr>
          <w:color w:val="004C45" w:themeColor="text2"/>
          <w:sz w:val="24"/>
          <w:szCs w:val="24"/>
        </w:rPr>
        <w:t>: Spending on goods and services by national departments</w:t>
      </w:r>
      <w:bookmarkEnd w:id="98"/>
    </w:p>
    <w:tbl>
      <w:tblPr>
        <w:tblW w:w="9631" w:type="dxa"/>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Look w:val="04A0" w:firstRow="1" w:lastRow="0" w:firstColumn="1" w:lastColumn="0" w:noHBand="0" w:noVBand="1"/>
      </w:tblPr>
      <w:tblGrid>
        <w:gridCol w:w="3750"/>
        <w:gridCol w:w="1148"/>
        <w:gridCol w:w="1148"/>
        <w:gridCol w:w="1150"/>
        <w:gridCol w:w="1387"/>
        <w:gridCol w:w="1048"/>
      </w:tblGrid>
      <w:tr w:rsidR="00E27DE1" w:rsidRPr="001D006A" w14:paraId="3752CDD3" w14:textId="77777777" w:rsidTr="008A2A7B">
        <w:trPr>
          <w:trHeight w:val="306"/>
        </w:trPr>
        <w:tc>
          <w:tcPr>
            <w:tcW w:w="3750" w:type="dxa"/>
            <w:vMerge w:val="restart"/>
            <w:shd w:val="clear" w:color="auto" w:fill="auto"/>
            <w:vAlign w:val="center"/>
            <w:hideMark/>
          </w:tcPr>
          <w:p w14:paraId="682A1E02" w14:textId="221887A9" w:rsidR="00E27DE1" w:rsidRPr="006142F1" w:rsidRDefault="00E27DE1" w:rsidP="00EB4D4E">
            <w:pPr>
              <w:keepNext/>
              <w:jc w:val="center"/>
              <w:rPr>
                <w:rFonts w:ascii="Times" w:hAnsi="Times"/>
                <w:b/>
                <w:bCs/>
                <w:color w:val="000000"/>
                <w:sz w:val="20"/>
                <w:szCs w:val="20"/>
                <w:lang w:val="en-US"/>
              </w:rPr>
            </w:pPr>
            <w:r w:rsidRPr="006142F1">
              <w:rPr>
                <w:rFonts w:ascii="Times" w:hAnsi="Times"/>
                <w:b/>
                <w:bCs/>
                <w:color w:val="000000"/>
                <w:sz w:val="20"/>
                <w:szCs w:val="20"/>
                <w:lang w:val="en-US"/>
              </w:rPr>
              <w:t>Category (R</w:t>
            </w:r>
            <w:r w:rsidR="008A2A7B" w:rsidRPr="006142F1">
              <w:rPr>
                <w:rFonts w:ascii="Times" w:hAnsi="Times"/>
                <w:b/>
                <w:bCs/>
                <w:color w:val="000000"/>
                <w:sz w:val="20"/>
                <w:szCs w:val="20"/>
                <w:lang w:val="en-US"/>
              </w:rPr>
              <w:t xml:space="preserve"> </w:t>
            </w:r>
            <w:r w:rsidRPr="006142F1">
              <w:rPr>
                <w:rFonts w:ascii="Times" w:hAnsi="Times"/>
                <w:b/>
                <w:bCs/>
                <w:color w:val="000000"/>
                <w:sz w:val="20"/>
                <w:szCs w:val="20"/>
                <w:lang w:val="en-US"/>
              </w:rPr>
              <w:t>mi</w:t>
            </w:r>
            <w:r w:rsidR="008A2A7B" w:rsidRPr="006142F1">
              <w:rPr>
                <w:rFonts w:ascii="Times" w:hAnsi="Times"/>
                <w:b/>
                <w:bCs/>
                <w:color w:val="000000"/>
                <w:sz w:val="20"/>
                <w:szCs w:val="20"/>
                <w:lang w:val="en-US"/>
              </w:rPr>
              <w:t>llion</w:t>
            </w:r>
            <w:r w:rsidRPr="006142F1">
              <w:rPr>
                <w:rFonts w:ascii="Times" w:hAnsi="Times"/>
                <w:b/>
                <w:bCs/>
                <w:color w:val="000000"/>
                <w:sz w:val="20"/>
                <w:szCs w:val="20"/>
                <w:lang w:val="en-US"/>
              </w:rPr>
              <w:t>)</w:t>
            </w:r>
          </w:p>
        </w:tc>
        <w:tc>
          <w:tcPr>
            <w:tcW w:w="3446" w:type="dxa"/>
            <w:gridSpan w:val="3"/>
            <w:vMerge w:val="restart"/>
            <w:shd w:val="clear" w:color="auto" w:fill="auto"/>
            <w:vAlign w:val="center"/>
            <w:hideMark/>
          </w:tcPr>
          <w:p w14:paraId="32CE1C9A" w14:textId="77777777" w:rsidR="00E27DE1" w:rsidRPr="006142F1" w:rsidRDefault="00E27DE1" w:rsidP="00EB4D4E">
            <w:pPr>
              <w:keepNext/>
              <w:jc w:val="center"/>
              <w:rPr>
                <w:rFonts w:ascii="Times" w:hAnsi="Times"/>
                <w:b/>
                <w:bCs/>
                <w:color w:val="000000"/>
                <w:sz w:val="20"/>
                <w:szCs w:val="20"/>
                <w:lang w:val="en-US"/>
              </w:rPr>
            </w:pPr>
            <w:r w:rsidRPr="006142F1">
              <w:rPr>
                <w:rFonts w:ascii="Times" w:hAnsi="Times"/>
                <w:b/>
                <w:bCs/>
                <w:color w:val="000000"/>
                <w:sz w:val="20"/>
                <w:szCs w:val="20"/>
                <w:lang w:val="en-US"/>
              </w:rPr>
              <w:t>Medium-term expenditure estimates</w:t>
            </w:r>
          </w:p>
        </w:tc>
        <w:tc>
          <w:tcPr>
            <w:tcW w:w="1387" w:type="dxa"/>
            <w:vMerge w:val="restart"/>
            <w:shd w:val="clear" w:color="auto" w:fill="auto"/>
            <w:vAlign w:val="center"/>
            <w:hideMark/>
          </w:tcPr>
          <w:p w14:paraId="282C0CAC" w14:textId="77777777" w:rsidR="00E27DE1" w:rsidRPr="006142F1" w:rsidRDefault="00E27DE1" w:rsidP="00EB4D4E">
            <w:pPr>
              <w:keepNext/>
              <w:jc w:val="center"/>
              <w:rPr>
                <w:rFonts w:ascii="Times" w:hAnsi="Times"/>
                <w:b/>
                <w:bCs/>
                <w:color w:val="000000"/>
                <w:sz w:val="20"/>
                <w:szCs w:val="20"/>
                <w:lang w:val="en-US"/>
              </w:rPr>
            </w:pPr>
            <w:r w:rsidRPr="006142F1">
              <w:rPr>
                <w:rFonts w:ascii="Times" w:hAnsi="Times"/>
                <w:b/>
                <w:bCs/>
                <w:color w:val="000000"/>
                <w:sz w:val="20"/>
                <w:szCs w:val="20"/>
                <w:lang w:val="en-US"/>
              </w:rPr>
              <w:t>Total Over 2020 MTEF</w:t>
            </w:r>
          </w:p>
        </w:tc>
        <w:tc>
          <w:tcPr>
            <w:tcW w:w="1048" w:type="dxa"/>
            <w:vMerge w:val="restart"/>
            <w:shd w:val="clear" w:color="auto" w:fill="auto"/>
            <w:vAlign w:val="center"/>
            <w:hideMark/>
          </w:tcPr>
          <w:p w14:paraId="3CEEFC53" w14:textId="77777777" w:rsidR="00E27DE1" w:rsidRPr="006142F1" w:rsidRDefault="00E27DE1" w:rsidP="00EB4D4E">
            <w:pPr>
              <w:keepNext/>
              <w:jc w:val="center"/>
              <w:rPr>
                <w:rFonts w:ascii="Times" w:hAnsi="Times"/>
                <w:b/>
                <w:bCs/>
                <w:color w:val="000000"/>
                <w:sz w:val="20"/>
                <w:szCs w:val="20"/>
                <w:lang w:val="en-US"/>
              </w:rPr>
            </w:pPr>
            <w:r w:rsidRPr="006142F1">
              <w:rPr>
                <w:rFonts w:ascii="Times" w:hAnsi="Times"/>
                <w:b/>
                <w:bCs/>
                <w:color w:val="000000"/>
                <w:sz w:val="20"/>
                <w:szCs w:val="20"/>
                <w:lang w:val="en-US"/>
              </w:rPr>
              <w:t>% of MTEF Total</w:t>
            </w:r>
          </w:p>
        </w:tc>
      </w:tr>
      <w:tr w:rsidR="00E27DE1" w:rsidRPr="001D006A" w14:paraId="074C1C5B" w14:textId="77777777" w:rsidTr="008A2A7B">
        <w:trPr>
          <w:trHeight w:val="306"/>
        </w:trPr>
        <w:tc>
          <w:tcPr>
            <w:tcW w:w="3750" w:type="dxa"/>
            <w:vMerge/>
            <w:vAlign w:val="center"/>
            <w:hideMark/>
          </w:tcPr>
          <w:p w14:paraId="7EAEF10A" w14:textId="77777777" w:rsidR="00E27DE1" w:rsidRPr="006142F1" w:rsidRDefault="00E27DE1" w:rsidP="00EB4D4E">
            <w:pPr>
              <w:keepNext/>
              <w:jc w:val="left"/>
              <w:rPr>
                <w:rFonts w:ascii="Times" w:hAnsi="Times"/>
                <w:color w:val="000000"/>
                <w:sz w:val="20"/>
                <w:szCs w:val="20"/>
                <w:lang w:val="en-US"/>
              </w:rPr>
            </w:pPr>
          </w:p>
        </w:tc>
        <w:tc>
          <w:tcPr>
            <w:tcW w:w="3446" w:type="dxa"/>
            <w:gridSpan w:val="3"/>
            <w:vMerge/>
            <w:vAlign w:val="center"/>
            <w:hideMark/>
          </w:tcPr>
          <w:p w14:paraId="18620139" w14:textId="77777777" w:rsidR="00E27DE1" w:rsidRPr="006142F1" w:rsidRDefault="00E27DE1" w:rsidP="00EB4D4E">
            <w:pPr>
              <w:keepNext/>
              <w:jc w:val="center"/>
              <w:rPr>
                <w:rFonts w:ascii="Times" w:hAnsi="Times"/>
                <w:b/>
                <w:bCs/>
                <w:color w:val="000000"/>
                <w:sz w:val="20"/>
                <w:szCs w:val="20"/>
                <w:lang w:val="en-US"/>
              </w:rPr>
            </w:pPr>
          </w:p>
        </w:tc>
        <w:tc>
          <w:tcPr>
            <w:tcW w:w="1387" w:type="dxa"/>
            <w:vMerge/>
            <w:shd w:val="clear" w:color="auto" w:fill="auto"/>
            <w:vAlign w:val="center"/>
            <w:hideMark/>
          </w:tcPr>
          <w:p w14:paraId="02D5B377" w14:textId="77777777" w:rsidR="00E27DE1" w:rsidRPr="006142F1" w:rsidRDefault="00E27DE1" w:rsidP="00EB4D4E">
            <w:pPr>
              <w:keepNext/>
              <w:jc w:val="center"/>
              <w:rPr>
                <w:rFonts w:ascii="Times" w:hAnsi="Times"/>
                <w:b/>
                <w:bCs/>
                <w:color w:val="000000"/>
                <w:sz w:val="20"/>
                <w:szCs w:val="20"/>
                <w:lang w:val="en-US"/>
              </w:rPr>
            </w:pPr>
          </w:p>
        </w:tc>
        <w:tc>
          <w:tcPr>
            <w:tcW w:w="1048" w:type="dxa"/>
            <w:vMerge/>
            <w:vAlign w:val="center"/>
            <w:hideMark/>
          </w:tcPr>
          <w:p w14:paraId="5B5281D8" w14:textId="77777777" w:rsidR="00E27DE1" w:rsidRPr="006142F1" w:rsidRDefault="00E27DE1" w:rsidP="00EB4D4E">
            <w:pPr>
              <w:keepNext/>
              <w:jc w:val="center"/>
              <w:rPr>
                <w:rFonts w:ascii="Times" w:hAnsi="Times"/>
                <w:b/>
                <w:bCs/>
                <w:color w:val="000000"/>
                <w:sz w:val="20"/>
                <w:szCs w:val="20"/>
                <w:lang w:val="en-US"/>
              </w:rPr>
            </w:pPr>
          </w:p>
        </w:tc>
      </w:tr>
      <w:tr w:rsidR="00E27DE1" w:rsidRPr="001D006A" w14:paraId="65E53C13" w14:textId="77777777" w:rsidTr="008A2A7B">
        <w:trPr>
          <w:trHeight w:val="226"/>
        </w:trPr>
        <w:tc>
          <w:tcPr>
            <w:tcW w:w="3750" w:type="dxa"/>
            <w:vMerge/>
            <w:vAlign w:val="center"/>
            <w:hideMark/>
          </w:tcPr>
          <w:p w14:paraId="0DE89439" w14:textId="77777777" w:rsidR="00E27DE1" w:rsidRPr="006142F1" w:rsidRDefault="00E27DE1" w:rsidP="00EB4D4E">
            <w:pPr>
              <w:keepNext/>
              <w:jc w:val="left"/>
              <w:rPr>
                <w:rFonts w:ascii="Times" w:hAnsi="Times"/>
                <w:color w:val="000000"/>
                <w:sz w:val="20"/>
                <w:szCs w:val="20"/>
                <w:lang w:val="en-US"/>
              </w:rPr>
            </w:pPr>
          </w:p>
        </w:tc>
        <w:tc>
          <w:tcPr>
            <w:tcW w:w="1148" w:type="dxa"/>
            <w:shd w:val="clear" w:color="auto" w:fill="auto"/>
            <w:noWrap/>
            <w:vAlign w:val="center"/>
            <w:hideMark/>
          </w:tcPr>
          <w:p w14:paraId="2E8AF4EC" w14:textId="77777777" w:rsidR="00E27DE1" w:rsidRPr="006142F1" w:rsidRDefault="00E27DE1" w:rsidP="00EB4D4E">
            <w:pPr>
              <w:keepNext/>
              <w:jc w:val="center"/>
              <w:rPr>
                <w:rFonts w:ascii="Times" w:hAnsi="Times"/>
                <w:b/>
                <w:bCs/>
                <w:color w:val="000000"/>
                <w:sz w:val="20"/>
                <w:szCs w:val="20"/>
                <w:lang w:val="en-US"/>
              </w:rPr>
            </w:pPr>
            <w:r w:rsidRPr="006142F1">
              <w:rPr>
                <w:rFonts w:ascii="Times" w:hAnsi="Times"/>
                <w:b/>
                <w:bCs/>
                <w:color w:val="000000"/>
                <w:sz w:val="20"/>
                <w:szCs w:val="20"/>
                <w:lang w:val="en-US"/>
              </w:rPr>
              <w:t>2020/21</w:t>
            </w:r>
          </w:p>
        </w:tc>
        <w:tc>
          <w:tcPr>
            <w:tcW w:w="1148" w:type="dxa"/>
            <w:shd w:val="clear" w:color="auto" w:fill="auto"/>
            <w:noWrap/>
            <w:vAlign w:val="center"/>
            <w:hideMark/>
          </w:tcPr>
          <w:p w14:paraId="23E2CDA4" w14:textId="77777777" w:rsidR="00E27DE1" w:rsidRPr="006142F1" w:rsidRDefault="00E27DE1" w:rsidP="00EB4D4E">
            <w:pPr>
              <w:keepNext/>
              <w:jc w:val="center"/>
              <w:rPr>
                <w:rFonts w:ascii="Times" w:hAnsi="Times"/>
                <w:b/>
                <w:bCs/>
                <w:color w:val="000000"/>
                <w:sz w:val="20"/>
                <w:szCs w:val="20"/>
                <w:lang w:val="en-US"/>
              </w:rPr>
            </w:pPr>
            <w:r w:rsidRPr="006142F1">
              <w:rPr>
                <w:rFonts w:ascii="Times" w:hAnsi="Times"/>
                <w:b/>
                <w:bCs/>
                <w:color w:val="000000"/>
                <w:sz w:val="20"/>
                <w:szCs w:val="20"/>
                <w:lang w:val="en-US"/>
              </w:rPr>
              <w:t>2021/22</w:t>
            </w:r>
          </w:p>
        </w:tc>
        <w:tc>
          <w:tcPr>
            <w:tcW w:w="1148" w:type="dxa"/>
            <w:shd w:val="clear" w:color="auto" w:fill="auto"/>
            <w:noWrap/>
            <w:vAlign w:val="center"/>
            <w:hideMark/>
          </w:tcPr>
          <w:p w14:paraId="4EF7C021" w14:textId="77777777" w:rsidR="00E27DE1" w:rsidRPr="006142F1" w:rsidRDefault="00E27DE1" w:rsidP="00EB4D4E">
            <w:pPr>
              <w:keepNext/>
              <w:jc w:val="center"/>
              <w:rPr>
                <w:rFonts w:ascii="Times" w:hAnsi="Times"/>
                <w:b/>
                <w:bCs/>
                <w:color w:val="000000"/>
                <w:sz w:val="20"/>
                <w:szCs w:val="20"/>
                <w:lang w:val="en-US"/>
              </w:rPr>
            </w:pPr>
            <w:r w:rsidRPr="006142F1">
              <w:rPr>
                <w:rFonts w:ascii="Times" w:hAnsi="Times"/>
                <w:b/>
                <w:bCs/>
                <w:color w:val="000000"/>
                <w:sz w:val="20"/>
                <w:szCs w:val="20"/>
                <w:lang w:val="en-US"/>
              </w:rPr>
              <w:t>2022/23</w:t>
            </w:r>
          </w:p>
        </w:tc>
        <w:tc>
          <w:tcPr>
            <w:tcW w:w="1387" w:type="dxa"/>
            <w:shd w:val="clear" w:color="auto" w:fill="auto"/>
            <w:noWrap/>
            <w:vAlign w:val="center"/>
            <w:hideMark/>
          </w:tcPr>
          <w:p w14:paraId="11928AA2" w14:textId="77777777" w:rsidR="00E27DE1" w:rsidRPr="006142F1" w:rsidRDefault="00E27DE1" w:rsidP="00EB4D4E">
            <w:pPr>
              <w:keepNext/>
              <w:jc w:val="center"/>
              <w:rPr>
                <w:rFonts w:ascii="Times" w:hAnsi="Times"/>
                <w:b/>
                <w:bCs/>
                <w:color w:val="000000"/>
                <w:sz w:val="20"/>
                <w:szCs w:val="20"/>
                <w:lang w:val="en-US"/>
              </w:rPr>
            </w:pPr>
            <w:r w:rsidRPr="006142F1">
              <w:rPr>
                <w:rFonts w:ascii="Times" w:hAnsi="Times"/>
                <w:b/>
                <w:bCs/>
                <w:color w:val="000000"/>
                <w:sz w:val="20"/>
                <w:szCs w:val="20"/>
                <w:lang w:val="en-US"/>
              </w:rPr>
              <w:t>2021/22-2022/23</w:t>
            </w:r>
          </w:p>
        </w:tc>
        <w:tc>
          <w:tcPr>
            <w:tcW w:w="1048" w:type="dxa"/>
            <w:vMerge/>
            <w:vAlign w:val="center"/>
            <w:hideMark/>
          </w:tcPr>
          <w:p w14:paraId="3DDD17C2" w14:textId="77777777" w:rsidR="00E27DE1" w:rsidRPr="006142F1" w:rsidRDefault="00E27DE1" w:rsidP="00EB4D4E">
            <w:pPr>
              <w:keepNext/>
              <w:jc w:val="center"/>
              <w:rPr>
                <w:rFonts w:ascii="Times" w:hAnsi="Times"/>
                <w:b/>
                <w:bCs/>
                <w:color w:val="000000"/>
                <w:sz w:val="20"/>
                <w:szCs w:val="20"/>
                <w:lang w:val="en-US"/>
              </w:rPr>
            </w:pPr>
          </w:p>
        </w:tc>
      </w:tr>
      <w:tr w:rsidR="00E27DE1" w:rsidRPr="001D006A" w14:paraId="1D11B396" w14:textId="77777777" w:rsidTr="008A2A7B">
        <w:trPr>
          <w:trHeight w:val="226"/>
        </w:trPr>
        <w:tc>
          <w:tcPr>
            <w:tcW w:w="3750" w:type="dxa"/>
            <w:shd w:val="clear" w:color="auto" w:fill="auto"/>
            <w:noWrap/>
            <w:vAlign w:val="bottom"/>
            <w:hideMark/>
          </w:tcPr>
          <w:p w14:paraId="263E9380" w14:textId="77777777" w:rsidR="00E27DE1" w:rsidRPr="006142F1" w:rsidRDefault="00E27DE1" w:rsidP="00EB4D4E">
            <w:pPr>
              <w:keepNext/>
              <w:jc w:val="left"/>
              <w:rPr>
                <w:rFonts w:ascii="Times" w:hAnsi="Times"/>
                <w:color w:val="000000"/>
                <w:sz w:val="20"/>
                <w:szCs w:val="20"/>
                <w:lang w:val="en-US"/>
              </w:rPr>
            </w:pPr>
            <w:r w:rsidRPr="006142F1">
              <w:rPr>
                <w:rFonts w:ascii="Times" w:hAnsi="Times"/>
                <w:color w:val="000000"/>
                <w:sz w:val="20"/>
                <w:szCs w:val="20"/>
                <w:lang w:val="en-US"/>
              </w:rPr>
              <w:t>Learning and culture</w:t>
            </w:r>
          </w:p>
        </w:tc>
        <w:tc>
          <w:tcPr>
            <w:tcW w:w="1148" w:type="dxa"/>
            <w:shd w:val="clear" w:color="auto" w:fill="auto"/>
            <w:noWrap/>
            <w:vAlign w:val="bottom"/>
            <w:hideMark/>
          </w:tcPr>
          <w:p w14:paraId="49AD4CDF" w14:textId="143AF2D8" w:rsidR="00E27DE1" w:rsidRPr="006142F1" w:rsidRDefault="00E27DE1" w:rsidP="00EB4D4E">
            <w:pPr>
              <w:keepNext/>
              <w:jc w:val="right"/>
              <w:rPr>
                <w:rFonts w:ascii="Times" w:hAnsi="Times"/>
                <w:color w:val="000000"/>
                <w:sz w:val="20"/>
                <w:szCs w:val="20"/>
                <w:lang w:val="en-US"/>
              </w:rPr>
            </w:pPr>
            <w:r w:rsidRPr="006142F1">
              <w:rPr>
                <w:rFonts w:ascii="Times" w:hAnsi="Times"/>
                <w:color w:val="000000"/>
                <w:sz w:val="20"/>
                <w:szCs w:val="20"/>
                <w:lang w:val="en-US"/>
              </w:rPr>
              <w:t>3</w:t>
            </w:r>
            <w:r w:rsidR="008A2A7B" w:rsidRPr="006142F1">
              <w:rPr>
                <w:rFonts w:ascii="Times" w:hAnsi="Times"/>
                <w:color w:val="000000"/>
                <w:sz w:val="20"/>
                <w:szCs w:val="20"/>
                <w:lang w:val="en-US"/>
              </w:rPr>
              <w:t xml:space="preserve"> </w:t>
            </w:r>
            <w:r w:rsidRPr="006142F1">
              <w:rPr>
                <w:rFonts w:ascii="Times" w:hAnsi="Times"/>
                <w:color w:val="000000"/>
                <w:sz w:val="20"/>
                <w:szCs w:val="20"/>
                <w:lang w:val="en-US"/>
              </w:rPr>
              <w:t>361.45</w:t>
            </w:r>
          </w:p>
        </w:tc>
        <w:tc>
          <w:tcPr>
            <w:tcW w:w="1148" w:type="dxa"/>
            <w:shd w:val="clear" w:color="auto" w:fill="auto"/>
            <w:noWrap/>
            <w:vAlign w:val="bottom"/>
            <w:hideMark/>
          </w:tcPr>
          <w:p w14:paraId="186AE9C5" w14:textId="20AEFD16" w:rsidR="00E27DE1" w:rsidRPr="006142F1" w:rsidRDefault="00E27DE1" w:rsidP="00EB4D4E">
            <w:pPr>
              <w:keepNext/>
              <w:jc w:val="right"/>
              <w:rPr>
                <w:rFonts w:ascii="Times" w:hAnsi="Times"/>
                <w:color w:val="000000"/>
                <w:sz w:val="20"/>
                <w:szCs w:val="20"/>
                <w:lang w:val="en-US"/>
              </w:rPr>
            </w:pPr>
            <w:r w:rsidRPr="006142F1">
              <w:rPr>
                <w:rFonts w:ascii="Times" w:hAnsi="Times"/>
                <w:color w:val="000000"/>
                <w:sz w:val="20"/>
                <w:szCs w:val="20"/>
                <w:lang w:val="en-US"/>
              </w:rPr>
              <w:t>3</w:t>
            </w:r>
            <w:r w:rsidR="008A2A7B" w:rsidRPr="006142F1">
              <w:rPr>
                <w:rFonts w:ascii="Times" w:hAnsi="Times"/>
                <w:color w:val="000000"/>
                <w:sz w:val="20"/>
                <w:szCs w:val="20"/>
                <w:lang w:val="en-US"/>
              </w:rPr>
              <w:t xml:space="preserve"> </w:t>
            </w:r>
            <w:r w:rsidRPr="006142F1">
              <w:rPr>
                <w:rFonts w:ascii="Times" w:hAnsi="Times"/>
                <w:color w:val="000000"/>
                <w:sz w:val="20"/>
                <w:szCs w:val="20"/>
                <w:lang w:val="en-US"/>
              </w:rPr>
              <w:t>549.27</w:t>
            </w:r>
          </w:p>
        </w:tc>
        <w:tc>
          <w:tcPr>
            <w:tcW w:w="1148" w:type="dxa"/>
            <w:shd w:val="clear" w:color="auto" w:fill="auto"/>
            <w:noWrap/>
            <w:vAlign w:val="bottom"/>
            <w:hideMark/>
          </w:tcPr>
          <w:p w14:paraId="5896ED7A" w14:textId="71516316" w:rsidR="00E27DE1" w:rsidRPr="006142F1" w:rsidRDefault="00E27DE1" w:rsidP="00EB4D4E">
            <w:pPr>
              <w:keepNext/>
              <w:jc w:val="right"/>
              <w:rPr>
                <w:rFonts w:ascii="Times" w:hAnsi="Times"/>
                <w:color w:val="000000"/>
                <w:sz w:val="20"/>
                <w:szCs w:val="20"/>
                <w:lang w:val="en-US"/>
              </w:rPr>
            </w:pPr>
            <w:r w:rsidRPr="006142F1">
              <w:rPr>
                <w:rFonts w:ascii="Times" w:hAnsi="Times"/>
                <w:color w:val="000000"/>
                <w:sz w:val="20"/>
                <w:szCs w:val="20"/>
                <w:lang w:val="en-US"/>
              </w:rPr>
              <w:t>3</w:t>
            </w:r>
            <w:r w:rsidR="008A2A7B" w:rsidRPr="006142F1">
              <w:rPr>
                <w:rFonts w:ascii="Times" w:hAnsi="Times"/>
                <w:color w:val="000000"/>
                <w:sz w:val="20"/>
                <w:szCs w:val="20"/>
                <w:lang w:val="en-US"/>
              </w:rPr>
              <w:t xml:space="preserve"> </w:t>
            </w:r>
            <w:r w:rsidRPr="006142F1">
              <w:rPr>
                <w:rFonts w:ascii="Times" w:hAnsi="Times"/>
                <w:color w:val="000000"/>
                <w:sz w:val="20"/>
                <w:szCs w:val="20"/>
                <w:lang w:val="en-US"/>
              </w:rPr>
              <w:t>787.84</w:t>
            </w:r>
          </w:p>
        </w:tc>
        <w:tc>
          <w:tcPr>
            <w:tcW w:w="1387" w:type="dxa"/>
            <w:shd w:val="clear" w:color="auto" w:fill="auto"/>
            <w:noWrap/>
            <w:vAlign w:val="bottom"/>
            <w:hideMark/>
          </w:tcPr>
          <w:p w14:paraId="31214307" w14:textId="4351D46F" w:rsidR="00E27DE1" w:rsidRPr="006142F1" w:rsidRDefault="00E27DE1" w:rsidP="00EB4D4E">
            <w:pPr>
              <w:keepNext/>
              <w:jc w:val="right"/>
              <w:rPr>
                <w:rFonts w:ascii="Times" w:hAnsi="Times"/>
                <w:color w:val="000000"/>
                <w:sz w:val="20"/>
                <w:szCs w:val="20"/>
                <w:lang w:val="en-US"/>
              </w:rPr>
            </w:pPr>
            <w:r w:rsidRPr="006142F1">
              <w:rPr>
                <w:rFonts w:ascii="Times" w:hAnsi="Times"/>
                <w:color w:val="000000"/>
                <w:sz w:val="20"/>
                <w:szCs w:val="20"/>
                <w:lang w:val="en-US"/>
              </w:rPr>
              <w:t>10</w:t>
            </w:r>
            <w:r w:rsidR="008A2A7B" w:rsidRPr="006142F1">
              <w:rPr>
                <w:rFonts w:ascii="Times" w:hAnsi="Times"/>
                <w:color w:val="000000"/>
                <w:sz w:val="20"/>
                <w:szCs w:val="20"/>
                <w:lang w:val="en-US"/>
              </w:rPr>
              <w:t xml:space="preserve"> </w:t>
            </w:r>
            <w:r w:rsidRPr="006142F1">
              <w:rPr>
                <w:rFonts w:ascii="Times" w:hAnsi="Times"/>
                <w:color w:val="000000"/>
                <w:sz w:val="20"/>
                <w:szCs w:val="20"/>
                <w:lang w:val="en-US"/>
              </w:rPr>
              <w:t>699</w:t>
            </w:r>
          </w:p>
        </w:tc>
        <w:tc>
          <w:tcPr>
            <w:tcW w:w="1048" w:type="dxa"/>
            <w:shd w:val="clear" w:color="auto" w:fill="auto"/>
            <w:noWrap/>
            <w:vAlign w:val="bottom"/>
            <w:hideMark/>
          </w:tcPr>
          <w:p w14:paraId="641537FC" w14:textId="77777777" w:rsidR="00E27DE1" w:rsidRPr="006142F1" w:rsidRDefault="00E27DE1" w:rsidP="00EB4D4E">
            <w:pPr>
              <w:keepNext/>
              <w:jc w:val="right"/>
              <w:rPr>
                <w:rFonts w:ascii="Times" w:hAnsi="Times"/>
                <w:color w:val="000000"/>
                <w:sz w:val="20"/>
                <w:szCs w:val="20"/>
                <w:lang w:val="en-US"/>
              </w:rPr>
            </w:pPr>
            <w:r w:rsidRPr="006142F1">
              <w:rPr>
                <w:rFonts w:ascii="Times" w:hAnsi="Times"/>
                <w:color w:val="000000"/>
                <w:sz w:val="20"/>
                <w:szCs w:val="20"/>
                <w:lang w:val="en-US"/>
              </w:rPr>
              <w:t>4.3%</w:t>
            </w:r>
          </w:p>
        </w:tc>
      </w:tr>
      <w:tr w:rsidR="00E27DE1" w:rsidRPr="001D006A" w14:paraId="26226D9E" w14:textId="77777777" w:rsidTr="008A2A7B">
        <w:trPr>
          <w:trHeight w:val="226"/>
        </w:trPr>
        <w:tc>
          <w:tcPr>
            <w:tcW w:w="3750" w:type="dxa"/>
            <w:shd w:val="clear" w:color="auto" w:fill="auto"/>
            <w:noWrap/>
            <w:vAlign w:val="bottom"/>
            <w:hideMark/>
          </w:tcPr>
          <w:p w14:paraId="4B2350B1" w14:textId="77777777" w:rsidR="00E27DE1" w:rsidRPr="006142F1" w:rsidRDefault="00E27DE1" w:rsidP="00EB4D4E">
            <w:pPr>
              <w:keepNext/>
              <w:jc w:val="left"/>
              <w:rPr>
                <w:rFonts w:ascii="Times" w:hAnsi="Times"/>
                <w:color w:val="000000"/>
                <w:sz w:val="20"/>
                <w:szCs w:val="20"/>
                <w:lang w:val="en-US"/>
              </w:rPr>
            </w:pPr>
            <w:r w:rsidRPr="006142F1">
              <w:rPr>
                <w:rFonts w:ascii="Times" w:hAnsi="Times"/>
                <w:color w:val="000000"/>
                <w:sz w:val="20"/>
                <w:szCs w:val="20"/>
                <w:lang w:val="en-US"/>
              </w:rPr>
              <w:t>Health</w:t>
            </w:r>
          </w:p>
        </w:tc>
        <w:tc>
          <w:tcPr>
            <w:tcW w:w="1148" w:type="dxa"/>
            <w:shd w:val="clear" w:color="auto" w:fill="auto"/>
            <w:noWrap/>
            <w:vAlign w:val="bottom"/>
            <w:hideMark/>
          </w:tcPr>
          <w:p w14:paraId="24DB6FEB" w14:textId="45DABE18" w:rsidR="00E27DE1" w:rsidRPr="006142F1" w:rsidRDefault="00E27DE1" w:rsidP="00EB4D4E">
            <w:pPr>
              <w:keepNext/>
              <w:jc w:val="right"/>
              <w:rPr>
                <w:rFonts w:ascii="Times" w:hAnsi="Times"/>
                <w:color w:val="000000"/>
                <w:sz w:val="20"/>
                <w:szCs w:val="20"/>
                <w:lang w:val="en-US"/>
              </w:rPr>
            </w:pPr>
            <w:r w:rsidRPr="006142F1">
              <w:rPr>
                <w:rFonts w:ascii="Times" w:hAnsi="Times"/>
                <w:color w:val="000000"/>
                <w:sz w:val="20"/>
                <w:szCs w:val="20"/>
                <w:lang w:val="en-US"/>
              </w:rPr>
              <w:t>2</w:t>
            </w:r>
            <w:r w:rsidR="008A2A7B" w:rsidRPr="006142F1">
              <w:rPr>
                <w:rFonts w:ascii="Times" w:hAnsi="Times"/>
                <w:color w:val="000000"/>
                <w:sz w:val="20"/>
                <w:szCs w:val="20"/>
                <w:lang w:val="en-US"/>
              </w:rPr>
              <w:t xml:space="preserve"> </w:t>
            </w:r>
            <w:r w:rsidRPr="006142F1">
              <w:rPr>
                <w:rFonts w:ascii="Times" w:hAnsi="Times"/>
                <w:color w:val="000000"/>
                <w:sz w:val="20"/>
                <w:szCs w:val="20"/>
                <w:lang w:val="en-US"/>
              </w:rPr>
              <w:t>102.9</w:t>
            </w:r>
          </w:p>
        </w:tc>
        <w:tc>
          <w:tcPr>
            <w:tcW w:w="1148" w:type="dxa"/>
            <w:shd w:val="clear" w:color="auto" w:fill="auto"/>
            <w:noWrap/>
            <w:vAlign w:val="bottom"/>
            <w:hideMark/>
          </w:tcPr>
          <w:p w14:paraId="11614724" w14:textId="79CABA98" w:rsidR="00E27DE1" w:rsidRPr="006142F1" w:rsidRDefault="00E27DE1" w:rsidP="00EB4D4E">
            <w:pPr>
              <w:keepNext/>
              <w:jc w:val="right"/>
              <w:rPr>
                <w:rFonts w:ascii="Times" w:hAnsi="Times"/>
                <w:color w:val="000000"/>
                <w:sz w:val="20"/>
                <w:szCs w:val="20"/>
                <w:lang w:val="en-US"/>
              </w:rPr>
            </w:pPr>
            <w:r w:rsidRPr="006142F1">
              <w:rPr>
                <w:rFonts w:ascii="Times" w:hAnsi="Times"/>
                <w:color w:val="000000"/>
                <w:sz w:val="20"/>
                <w:szCs w:val="20"/>
                <w:lang w:val="en-US"/>
              </w:rPr>
              <w:t>2</w:t>
            </w:r>
            <w:r w:rsidR="008A2A7B" w:rsidRPr="006142F1">
              <w:rPr>
                <w:rFonts w:ascii="Times" w:hAnsi="Times"/>
                <w:color w:val="000000"/>
                <w:sz w:val="20"/>
                <w:szCs w:val="20"/>
                <w:lang w:val="en-US"/>
              </w:rPr>
              <w:t xml:space="preserve"> </w:t>
            </w:r>
            <w:r w:rsidRPr="006142F1">
              <w:rPr>
                <w:rFonts w:ascii="Times" w:hAnsi="Times"/>
                <w:color w:val="000000"/>
                <w:sz w:val="20"/>
                <w:szCs w:val="20"/>
                <w:lang w:val="en-US"/>
              </w:rPr>
              <w:t>268.9</w:t>
            </w:r>
          </w:p>
        </w:tc>
        <w:tc>
          <w:tcPr>
            <w:tcW w:w="1148" w:type="dxa"/>
            <w:shd w:val="clear" w:color="auto" w:fill="auto"/>
            <w:noWrap/>
            <w:vAlign w:val="bottom"/>
            <w:hideMark/>
          </w:tcPr>
          <w:p w14:paraId="5BF2EF77" w14:textId="550AF9AD" w:rsidR="00E27DE1" w:rsidRPr="006142F1" w:rsidRDefault="00E27DE1" w:rsidP="00EB4D4E">
            <w:pPr>
              <w:keepNext/>
              <w:jc w:val="right"/>
              <w:rPr>
                <w:rFonts w:ascii="Times" w:hAnsi="Times"/>
                <w:color w:val="000000"/>
                <w:sz w:val="20"/>
                <w:szCs w:val="20"/>
                <w:lang w:val="en-US"/>
              </w:rPr>
            </w:pPr>
            <w:r w:rsidRPr="006142F1">
              <w:rPr>
                <w:rFonts w:ascii="Times" w:hAnsi="Times"/>
                <w:color w:val="000000"/>
                <w:sz w:val="20"/>
                <w:szCs w:val="20"/>
                <w:lang w:val="en-US"/>
              </w:rPr>
              <w:t>2</w:t>
            </w:r>
            <w:r w:rsidR="008A2A7B" w:rsidRPr="006142F1">
              <w:rPr>
                <w:rFonts w:ascii="Times" w:hAnsi="Times"/>
                <w:color w:val="000000"/>
                <w:sz w:val="20"/>
                <w:szCs w:val="20"/>
                <w:lang w:val="en-US"/>
              </w:rPr>
              <w:t xml:space="preserve"> </w:t>
            </w:r>
            <w:r w:rsidRPr="006142F1">
              <w:rPr>
                <w:rFonts w:ascii="Times" w:hAnsi="Times"/>
                <w:color w:val="000000"/>
                <w:sz w:val="20"/>
                <w:szCs w:val="20"/>
                <w:lang w:val="en-US"/>
              </w:rPr>
              <w:t>290.32</w:t>
            </w:r>
          </w:p>
        </w:tc>
        <w:tc>
          <w:tcPr>
            <w:tcW w:w="1387" w:type="dxa"/>
            <w:shd w:val="clear" w:color="auto" w:fill="auto"/>
            <w:noWrap/>
            <w:vAlign w:val="bottom"/>
            <w:hideMark/>
          </w:tcPr>
          <w:p w14:paraId="11D99BB3" w14:textId="5F0B2C81" w:rsidR="00E27DE1" w:rsidRPr="006142F1" w:rsidRDefault="00E27DE1" w:rsidP="00EB4D4E">
            <w:pPr>
              <w:keepNext/>
              <w:jc w:val="right"/>
              <w:rPr>
                <w:rFonts w:ascii="Times" w:hAnsi="Times"/>
                <w:color w:val="000000"/>
                <w:sz w:val="20"/>
                <w:szCs w:val="20"/>
                <w:lang w:val="en-US"/>
              </w:rPr>
            </w:pPr>
            <w:r w:rsidRPr="006142F1">
              <w:rPr>
                <w:rFonts w:ascii="Times" w:hAnsi="Times"/>
                <w:color w:val="000000"/>
                <w:sz w:val="20"/>
                <w:szCs w:val="20"/>
                <w:lang w:val="en-US"/>
              </w:rPr>
              <w:t>6</w:t>
            </w:r>
            <w:r w:rsidR="008A2A7B" w:rsidRPr="006142F1">
              <w:rPr>
                <w:rFonts w:ascii="Times" w:hAnsi="Times"/>
                <w:color w:val="000000"/>
                <w:sz w:val="20"/>
                <w:szCs w:val="20"/>
                <w:lang w:val="en-US"/>
              </w:rPr>
              <w:t xml:space="preserve"> </w:t>
            </w:r>
            <w:r w:rsidRPr="006142F1">
              <w:rPr>
                <w:rFonts w:ascii="Times" w:hAnsi="Times"/>
                <w:color w:val="000000"/>
                <w:sz w:val="20"/>
                <w:szCs w:val="20"/>
                <w:lang w:val="en-US"/>
              </w:rPr>
              <w:t>662</w:t>
            </w:r>
          </w:p>
        </w:tc>
        <w:tc>
          <w:tcPr>
            <w:tcW w:w="1048" w:type="dxa"/>
            <w:shd w:val="clear" w:color="auto" w:fill="auto"/>
            <w:noWrap/>
            <w:vAlign w:val="bottom"/>
            <w:hideMark/>
          </w:tcPr>
          <w:p w14:paraId="6436D1FB" w14:textId="77777777" w:rsidR="00E27DE1" w:rsidRPr="006142F1" w:rsidRDefault="00E27DE1" w:rsidP="00EB4D4E">
            <w:pPr>
              <w:keepNext/>
              <w:jc w:val="right"/>
              <w:rPr>
                <w:rFonts w:ascii="Times" w:hAnsi="Times"/>
                <w:color w:val="000000"/>
                <w:sz w:val="20"/>
                <w:szCs w:val="20"/>
                <w:lang w:val="en-US"/>
              </w:rPr>
            </w:pPr>
            <w:r w:rsidRPr="006142F1">
              <w:rPr>
                <w:rFonts w:ascii="Times" w:hAnsi="Times"/>
                <w:color w:val="000000"/>
                <w:sz w:val="20"/>
                <w:szCs w:val="20"/>
                <w:lang w:val="en-US"/>
              </w:rPr>
              <w:t>2.7%</w:t>
            </w:r>
          </w:p>
        </w:tc>
      </w:tr>
      <w:tr w:rsidR="00E27DE1" w:rsidRPr="001D006A" w14:paraId="187C71CD" w14:textId="77777777" w:rsidTr="008A2A7B">
        <w:trPr>
          <w:trHeight w:val="226"/>
        </w:trPr>
        <w:tc>
          <w:tcPr>
            <w:tcW w:w="3750" w:type="dxa"/>
            <w:shd w:val="clear" w:color="auto" w:fill="auto"/>
            <w:noWrap/>
            <w:vAlign w:val="bottom"/>
            <w:hideMark/>
          </w:tcPr>
          <w:p w14:paraId="11D3FB4D" w14:textId="77777777" w:rsidR="00E27DE1" w:rsidRPr="006142F1" w:rsidRDefault="00E27DE1" w:rsidP="00EB4D4E">
            <w:pPr>
              <w:keepNext/>
              <w:jc w:val="left"/>
              <w:rPr>
                <w:rFonts w:ascii="Times" w:hAnsi="Times"/>
                <w:color w:val="000000"/>
                <w:sz w:val="20"/>
                <w:szCs w:val="20"/>
                <w:lang w:val="en-US"/>
              </w:rPr>
            </w:pPr>
            <w:r w:rsidRPr="006142F1">
              <w:rPr>
                <w:rFonts w:ascii="Times" w:hAnsi="Times"/>
                <w:color w:val="000000"/>
                <w:sz w:val="20"/>
                <w:szCs w:val="20"/>
                <w:lang w:val="en-US"/>
              </w:rPr>
              <w:t>Social development</w:t>
            </w:r>
          </w:p>
        </w:tc>
        <w:tc>
          <w:tcPr>
            <w:tcW w:w="1148" w:type="dxa"/>
            <w:shd w:val="clear" w:color="auto" w:fill="auto"/>
            <w:noWrap/>
            <w:vAlign w:val="bottom"/>
            <w:hideMark/>
          </w:tcPr>
          <w:p w14:paraId="0C5C7598" w14:textId="77777777" w:rsidR="00E27DE1" w:rsidRPr="006142F1" w:rsidRDefault="00E27DE1" w:rsidP="00EB4D4E">
            <w:pPr>
              <w:keepNext/>
              <w:jc w:val="right"/>
              <w:rPr>
                <w:rFonts w:ascii="Times" w:hAnsi="Times"/>
                <w:color w:val="000000"/>
                <w:sz w:val="20"/>
                <w:szCs w:val="20"/>
                <w:lang w:val="en-US"/>
              </w:rPr>
            </w:pPr>
            <w:r w:rsidRPr="006142F1">
              <w:rPr>
                <w:rFonts w:ascii="Times" w:hAnsi="Times"/>
                <w:color w:val="000000"/>
                <w:sz w:val="20"/>
                <w:szCs w:val="20"/>
                <w:lang w:val="en-US"/>
              </w:rPr>
              <w:t>486.58</w:t>
            </w:r>
          </w:p>
        </w:tc>
        <w:tc>
          <w:tcPr>
            <w:tcW w:w="1148" w:type="dxa"/>
            <w:shd w:val="clear" w:color="auto" w:fill="auto"/>
            <w:noWrap/>
            <w:vAlign w:val="bottom"/>
            <w:hideMark/>
          </w:tcPr>
          <w:p w14:paraId="5217F9AC" w14:textId="77777777" w:rsidR="00E27DE1" w:rsidRPr="006142F1" w:rsidRDefault="00E27DE1" w:rsidP="00EB4D4E">
            <w:pPr>
              <w:keepNext/>
              <w:jc w:val="right"/>
              <w:rPr>
                <w:rFonts w:ascii="Times" w:hAnsi="Times"/>
                <w:color w:val="000000"/>
                <w:sz w:val="20"/>
                <w:szCs w:val="20"/>
                <w:lang w:val="en-US"/>
              </w:rPr>
            </w:pPr>
            <w:r w:rsidRPr="006142F1">
              <w:rPr>
                <w:rFonts w:ascii="Times" w:hAnsi="Times"/>
                <w:color w:val="000000"/>
                <w:sz w:val="20"/>
                <w:szCs w:val="20"/>
                <w:lang w:val="en-US"/>
              </w:rPr>
              <w:t>522.71</w:t>
            </w:r>
          </w:p>
        </w:tc>
        <w:tc>
          <w:tcPr>
            <w:tcW w:w="1148" w:type="dxa"/>
            <w:shd w:val="clear" w:color="auto" w:fill="auto"/>
            <w:noWrap/>
            <w:vAlign w:val="bottom"/>
            <w:hideMark/>
          </w:tcPr>
          <w:p w14:paraId="7CD210D3" w14:textId="77777777" w:rsidR="00E27DE1" w:rsidRPr="006142F1" w:rsidRDefault="00E27DE1" w:rsidP="00EB4D4E">
            <w:pPr>
              <w:keepNext/>
              <w:jc w:val="right"/>
              <w:rPr>
                <w:rFonts w:ascii="Times" w:hAnsi="Times"/>
                <w:color w:val="000000"/>
                <w:sz w:val="20"/>
                <w:szCs w:val="20"/>
                <w:lang w:val="en-US"/>
              </w:rPr>
            </w:pPr>
            <w:r w:rsidRPr="006142F1">
              <w:rPr>
                <w:rFonts w:ascii="Times" w:hAnsi="Times"/>
                <w:color w:val="000000"/>
                <w:sz w:val="20"/>
                <w:szCs w:val="20"/>
                <w:lang w:val="en-US"/>
              </w:rPr>
              <w:t>541.49</w:t>
            </w:r>
          </w:p>
        </w:tc>
        <w:tc>
          <w:tcPr>
            <w:tcW w:w="1387" w:type="dxa"/>
            <w:shd w:val="clear" w:color="auto" w:fill="auto"/>
            <w:noWrap/>
            <w:vAlign w:val="bottom"/>
            <w:hideMark/>
          </w:tcPr>
          <w:p w14:paraId="21DC6A96" w14:textId="74F01361" w:rsidR="00E27DE1" w:rsidRPr="006142F1" w:rsidRDefault="00E27DE1" w:rsidP="00EB4D4E">
            <w:pPr>
              <w:keepNext/>
              <w:jc w:val="right"/>
              <w:rPr>
                <w:rFonts w:ascii="Times" w:hAnsi="Times"/>
                <w:color w:val="000000"/>
                <w:sz w:val="20"/>
                <w:szCs w:val="20"/>
                <w:lang w:val="en-US"/>
              </w:rPr>
            </w:pPr>
            <w:r w:rsidRPr="006142F1">
              <w:rPr>
                <w:rFonts w:ascii="Times" w:hAnsi="Times"/>
                <w:color w:val="000000"/>
                <w:sz w:val="20"/>
                <w:szCs w:val="20"/>
                <w:lang w:val="en-US"/>
              </w:rPr>
              <w:t>1</w:t>
            </w:r>
            <w:r w:rsidR="008A2A7B" w:rsidRPr="006142F1">
              <w:rPr>
                <w:rFonts w:ascii="Times" w:hAnsi="Times"/>
                <w:color w:val="000000"/>
                <w:sz w:val="20"/>
                <w:szCs w:val="20"/>
                <w:lang w:val="en-US"/>
              </w:rPr>
              <w:t xml:space="preserve"> </w:t>
            </w:r>
            <w:r w:rsidRPr="006142F1">
              <w:rPr>
                <w:rFonts w:ascii="Times" w:hAnsi="Times"/>
                <w:color w:val="000000"/>
                <w:sz w:val="20"/>
                <w:szCs w:val="20"/>
                <w:lang w:val="en-US"/>
              </w:rPr>
              <w:t>551</w:t>
            </w:r>
          </w:p>
        </w:tc>
        <w:tc>
          <w:tcPr>
            <w:tcW w:w="1048" w:type="dxa"/>
            <w:shd w:val="clear" w:color="auto" w:fill="auto"/>
            <w:noWrap/>
            <w:vAlign w:val="bottom"/>
            <w:hideMark/>
          </w:tcPr>
          <w:p w14:paraId="1FF1C0C1" w14:textId="77777777" w:rsidR="00E27DE1" w:rsidRPr="006142F1" w:rsidRDefault="00E27DE1" w:rsidP="00EB4D4E">
            <w:pPr>
              <w:keepNext/>
              <w:jc w:val="right"/>
              <w:rPr>
                <w:rFonts w:ascii="Times" w:hAnsi="Times"/>
                <w:color w:val="000000"/>
                <w:sz w:val="20"/>
                <w:szCs w:val="20"/>
                <w:lang w:val="en-US"/>
              </w:rPr>
            </w:pPr>
            <w:r w:rsidRPr="006142F1">
              <w:rPr>
                <w:rFonts w:ascii="Times" w:hAnsi="Times"/>
                <w:color w:val="000000"/>
                <w:sz w:val="20"/>
                <w:szCs w:val="20"/>
                <w:lang w:val="en-US"/>
              </w:rPr>
              <w:t>0.6%</w:t>
            </w:r>
          </w:p>
        </w:tc>
      </w:tr>
      <w:tr w:rsidR="00E27DE1" w:rsidRPr="001D006A" w14:paraId="549195E3" w14:textId="77777777" w:rsidTr="008A2A7B">
        <w:trPr>
          <w:trHeight w:val="226"/>
        </w:trPr>
        <w:tc>
          <w:tcPr>
            <w:tcW w:w="3750" w:type="dxa"/>
            <w:shd w:val="clear" w:color="auto" w:fill="auto"/>
            <w:noWrap/>
            <w:vAlign w:val="bottom"/>
            <w:hideMark/>
          </w:tcPr>
          <w:p w14:paraId="79267619" w14:textId="77777777" w:rsidR="00E27DE1" w:rsidRPr="006142F1" w:rsidRDefault="00E27DE1" w:rsidP="00EB4D4E">
            <w:pPr>
              <w:keepNext/>
              <w:jc w:val="left"/>
              <w:rPr>
                <w:rFonts w:ascii="Times" w:hAnsi="Times"/>
                <w:color w:val="000000"/>
                <w:sz w:val="20"/>
                <w:szCs w:val="20"/>
                <w:lang w:val="en-US"/>
              </w:rPr>
            </w:pPr>
            <w:r w:rsidRPr="006142F1">
              <w:rPr>
                <w:rFonts w:ascii="Times" w:hAnsi="Times"/>
                <w:color w:val="000000"/>
                <w:sz w:val="20"/>
                <w:szCs w:val="20"/>
                <w:lang w:val="en-US"/>
              </w:rPr>
              <w:t>Community development</w:t>
            </w:r>
          </w:p>
        </w:tc>
        <w:tc>
          <w:tcPr>
            <w:tcW w:w="1148" w:type="dxa"/>
            <w:shd w:val="clear" w:color="auto" w:fill="auto"/>
            <w:noWrap/>
            <w:vAlign w:val="bottom"/>
            <w:hideMark/>
          </w:tcPr>
          <w:p w14:paraId="538D98DD" w14:textId="466D6BA0" w:rsidR="00E27DE1" w:rsidRPr="006142F1" w:rsidRDefault="00E27DE1" w:rsidP="00EB4D4E">
            <w:pPr>
              <w:keepNext/>
              <w:jc w:val="right"/>
              <w:rPr>
                <w:rFonts w:ascii="Times" w:hAnsi="Times"/>
                <w:color w:val="000000"/>
                <w:sz w:val="20"/>
                <w:szCs w:val="20"/>
                <w:lang w:val="en-US"/>
              </w:rPr>
            </w:pPr>
            <w:r w:rsidRPr="006142F1">
              <w:rPr>
                <w:rFonts w:ascii="Times" w:hAnsi="Times"/>
                <w:color w:val="000000"/>
                <w:sz w:val="20"/>
                <w:szCs w:val="20"/>
                <w:lang w:val="en-US"/>
              </w:rPr>
              <w:t>6</w:t>
            </w:r>
            <w:r w:rsidR="008A2A7B" w:rsidRPr="006142F1">
              <w:rPr>
                <w:rFonts w:ascii="Times" w:hAnsi="Times"/>
                <w:color w:val="000000"/>
                <w:sz w:val="20"/>
                <w:szCs w:val="20"/>
                <w:lang w:val="en-US"/>
              </w:rPr>
              <w:t xml:space="preserve"> </w:t>
            </w:r>
            <w:r w:rsidRPr="006142F1">
              <w:rPr>
                <w:rFonts w:ascii="Times" w:hAnsi="Times"/>
                <w:color w:val="000000"/>
                <w:sz w:val="20"/>
                <w:szCs w:val="20"/>
                <w:lang w:val="en-US"/>
              </w:rPr>
              <w:t>722.29</w:t>
            </w:r>
          </w:p>
        </w:tc>
        <w:tc>
          <w:tcPr>
            <w:tcW w:w="1148" w:type="dxa"/>
            <w:shd w:val="clear" w:color="auto" w:fill="auto"/>
            <w:noWrap/>
            <w:vAlign w:val="bottom"/>
            <w:hideMark/>
          </w:tcPr>
          <w:p w14:paraId="7A2E32D2" w14:textId="5711A7CF" w:rsidR="00E27DE1" w:rsidRPr="006142F1" w:rsidRDefault="00E27DE1" w:rsidP="00EB4D4E">
            <w:pPr>
              <w:keepNext/>
              <w:jc w:val="right"/>
              <w:rPr>
                <w:rFonts w:ascii="Times" w:hAnsi="Times"/>
                <w:color w:val="000000"/>
                <w:sz w:val="20"/>
                <w:szCs w:val="20"/>
                <w:lang w:val="en-US"/>
              </w:rPr>
            </w:pPr>
            <w:r w:rsidRPr="006142F1">
              <w:rPr>
                <w:rFonts w:ascii="Times" w:hAnsi="Times"/>
                <w:color w:val="000000"/>
                <w:sz w:val="20"/>
                <w:szCs w:val="20"/>
                <w:lang w:val="en-US"/>
              </w:rPr>
              <w:t>7</w:t>
            </w:r>
            <w:r w:rsidR="008A2A7B" w:rsidRPr="006142F1">
              <w:rPr>
                <w:rFonts w:ascii="Times" w:hAnsi="Times"/>
                <w:color w:val="000000"/>
                <w:sz w:val="20"/>
                <w:szCs w:val="20"/>
                <w:lang w:val="en-US"/>
              </w:rPr>
              <w:t xml:space="preserve"> </w:t>
            </w:r>
            <w:r w:rsidRPr="006142F1">
              <w:rPr>
                <w:rFonts w:ascii="Times" w:hAnsi="Times"/>
                <w:color w:val="000000"/>
                <w:sz w:val="20"/>
                <w:szCs w:val="20"/>
                <w:lang w:val="en-US"/>
              </w:rPr>
              <w:t>068.45</w:t>
            </w:r>
          </w:p>
        </w:tc>
        <w:tc>
          <w:tcPr>
            <w:tcW w:w="1148" w:type="dxa"/>
            <w:shd w:val="clear" w:color="auto" w:fill="auto"/>
            <w:noWrap/>
            <w:vAlign w:val="bottom"/>
            <w:hideMark/>
          </w:tcPr>
          <w:p w14:paraId="596088A4" w14:textId="7B17351D" w:rsidR="00E27DE1" w:rsidRPr="006142F1" w:rsidRDefault="00E27DE1" w:rsidP="00EB4D4E">
            <w:pPr>
              <w:keepNext/>
              <w:jc w:val="right"/>
              <w:rPr>
                <w:rFonts w:ascii="Times" w:hAnsi="Times"/>
                <w:color w:val="000000"/>
                <w:sz w:val="20"/>
                <w:szCs w:val="20"/>
                <w:lang w:val="en-US"/>
              </w:rPr>
            </w:pPr>
            <w:r w:rsidRPr="006142F1">
              <w:rPr>
                <w:rFonts w:ascii="Times" w:hAnsi="Times"/>
                <w:color w:val="000000"/>
                <w:sz w:val="20"/>
                <w:szCs w:val="20"/>
                <w:lang w:val="en-US"/>
              </w:rPr>
              <w:t>7</w:t>
            </w:r>
            <w:r w:rsidR="008A2A7B" w:rsidRPr="006142F1">
              <w:rPr>
                <w:rFonts w:ascii="Times" w:hAnsi="Times"/>
                <w:color w:val="000000"/>
                <w:sz w:val="20"/>
                <w:szCs w:val="20"/>
                <w:lang w:val="en-US"/>
              </w:rPr>
              <w:t xml:space="preserve"> </w:t>
            </w:r>
            <w:r w:rsidRPr="006142F1">
              <w:rPr>
                <w:rFonts w:ascii="Times" w:hAnsi="Times"/>
                <w:color w:val="000000"/>
                <w:sz w:val="20"/>
                <w:szCs w:val="20"/>
                <w:lang w:val="en-US"/>
              </w:rPr>
              <w:t>360.06</w:t>
            </w:r>
          </w:p>
        </w:tc>
        <w:tc>
          <w:tcPr>
            <w:tcW w:w="1387" w:type="dxa"/>
            <w:shd w:val="clear" w:color="auto" w:fill="auto"/>
            <w:noWrap/>
            <w:vAlign w:val="bottom"/>
            <w:hideMark/>
          </w:tcPr>
          <w:p w14:paraId="6766DA36" w14:textId="52F45B08" w:rsidR="00E27DE1" w:rsidRPr="006142F1" w:rsidRDefault="00E27DE1" w:rsidP="00EB4D4E">
            <w:pPr>
              <w:keepNext/>
              <w:jc w:val="right"/>
              <w:rPr>
                <w:rFonts w:ascii="Times" w:hAnsi="Times"/>
                <w:color w:val="000000"/>
                <w:sz w:val="20"/>
                <w:szCs w:val="20"/>
                <w:lang w:val="en-US"/>
              </w:rPr>
            </w:pPr>
            <w:r w:rsidRPr="006142F1">
              <w:rPr>
                <w:rFonts w:ascii="Times" w:hAnsi="Times"/>
                <w:color w:val="000000"/>
                <w:sz w:val="20"/>
                <w:szCs w:val="20"/>
                <w:lang w:val="en-US"/>
              </w:rPr>
              <w:t>21</w:t>
            </w:r>
            <w:r w:rsidR="008A2A7B" w:rsidRPr="006142F1">
              <w:rPr>
                <w:rFonts w:ascii="Times" w:hAnsi="Times"/>
                <w:color w:val="000000"/>
                <w:sz w:val="20"/>
                <w:szCs w:val="20"/>
                <w:lang w:val="en-US"/>
              </w:rPr>
              <w:t xml:space="preserve"> </w:t>
            </w:r>
            <w:r w:rsidRPr="006142F1">
              <w:rPr>
                <w:rFonts w:ascii="Times" w:hAnsi="Times"/>
                <w:color w:val="000000"/>
                <w:sz w:val="20"/>
                <w:szCs w:val="20"/>
                <w:lang w:val="en-US"/>
              </w:rPr>
              <w:t>151</w:t>
            </w:r>
          </w:p>
        </w:tc>
        <w:tc>
          <w:tcPr>
            <w:tcW w:w="1048" w:type="dxa"/>
            <w:shd w:val="clear" w:color="auto" w:fill="auto"/>
            <w:noWrap/>
            <w:vAlign w:val="bottom"/>
            <w:hideMark/>
          </w:tcPr>
          <w:p w14:paraId="6FCE3343" w14:textId="77777777" w:rsidR="00E27DE1" w:rsidRPr="006142F1" w:rsidRDefault="00E27DE1" w:rsidP="00EB4D4E">
            <w:pPr>
              <w:keepNext/>
              <w:jc w:val="right"/>
              <w:rPr>
                <w:rFonts w:ascii="Times" w:hAnsi="Times"/>
                <w:color w:val="000000"/>
                <w:sz w:val="20"/>
                <w:szCs w:val="20"/>
                <w:lang w:val="en-US"/>
              </w:rPr>
            </w:pPr>
            <w:r w:rsidRPr="006142F1">
              <w:rPr>
                <w:rFonts w:ascii="Times" w:hAnsi="Times"/>
                <w:color w:val="000000"/>
                <w:sz w:val="20"/>
                <w:szCs w:val="20"/>
                <w:lang w:val="en-US"/>
              </w:rPr>
              <w:t>8.6%</w:t>
            </w:r>
          </w:p>
        </w:tc>
      </w:tr>
      <w:tr w:rsidR="00E27DE1" w:rsidRPr="001D006A" w14:paraId="3E3940B5" w14:textId="77777777" w:rsidTr="008A2A7B">
        <w:trPr>
          <w:trHeight w:val="226"/>
        </w:trPr>
        <w:tc>
          <w:tcPr>
            <w:tcW w:w="3750" w:type="dxa"/>
            <w:shd w:val="clear" w:color="auto" w:fill="auto"/>
            <w:noWrap/>
            <w:vAlign w:val="bottom"/>
            <w:hideMark/>
          </w:tcPr>
          <w:p w14:paraId="70300BBD" w14:textId="77777777" w:rsidR="00E27DE1" w:rsidRPr="006142F1" w:rsidRDefault="00E27DE1" w:rsidP="00EB4D4E">
            <w:pPr>
              <w:keepNext/>
              <w:jc w:val="left"/>
              <w:rPr>
                <w:rFonts w:ascii="Times" w:hAnsi="Times"/>
                <w:color w:val="000000"/>
                <w:sz w:val="20"/>
                <w:szCs w:val="20"/>
                <w:lang w:val="en-US"/>
              </w:rPr>
            </w:pPr>
            <w:r w:rsidRPr="006142F1">
              <w:rPr>
                <w:rFonts w:ascii="Times" w:hAnsi="Times"/>
                <w:color w:val="000000"/>
                <w:sz w:val="20"/>
                <w:szCs w:val="20"/>
                <w:lang w:val="en-US"/>
              </w:rPr>
              <w:t>Economic development</w:t>
            </w:r>
          </w:p>
        </w:tc>
        <w:tc>
          <w:tcPr>
            <w:tcW w:w="1148" w:type="dxa"/>
            <w:shd w:val="clear" w:color="auto" w:fill="auto"/>
            <w:noWrap/>
            <w:vAlign w:val="bottom"/>
            <w:hideMark/>
          </w:tcPr>
          <w:p w14:paraId="7E3F4F89" w14:textId="73A8D976" w:rsidR="00E27DE1" w:rsidRPr="006142F1" w:rsidRDefault="00E27DE1" w:rsidP="00EB4D4E">
            <w:pPr>
              <w:keepNext/>
              <w:jc w:val="right"/>
              <w:rPr>
                <w:rFonts w:ascii="Times" w:hAnsi="Times"/>
                <w:color w:val="000000"/>
                <w:sz w:val="20"/>
                <w:szCs w:val="20"/>
                <w:lang w:val="en-US"/>
              </w:rPr>
            </w:pPr>
            <w:r w:rsidRPr="006142F1">
              <w:rPr>
                <w:rFonts w:ascii="Times" w:hAnsi="Times"/>
                <w:color w:val="000000"/>
                <w:sz w:val="20"/>
                <w:szCs w:val="20"/>
                <w:lang w:val="en-US"/>
              </w:rPr>
              <w:t>15</w:t>
            </w:r>
            <w:r w:rsidR="008A2A7B" w:rsidRPr="006142F1">
              <w:rPr>
                <w:rFonts w:ascii="Times" w:hAnsi="Times"/>
                <w:color w:val="000000"/>
                <w:sz w:val="20"/>
                <w:szCs w:val="20"/>
                <w:lang w:val="en-US"/>
              </w:rPr>
              <w:t xml:space="preserve"> </w:t>
            </w:r>
            <w:r w:rsidRPr="006142F1">
              <w:rPr>
                <w:rFonts w:ascii="Times" w:hAnsi="Times"/>
                <w:color w:val="000000"/>
                <w:sz w:val="20"/>
                <w:szCs w:val="20"/>
                <w:lang w:val="en-US"/>
              </w:rPr>
              <w:t>242.26</w:t>
            </w:r>
          </w:p>
        </w:tc>
        <w:tc>
          <w:tcPr>
            <w:tcW w:w="1148" w:type="dxa"/>
            <w:shd w:val="clear" w:color="auto" w:fill="auto"/>
            <w:noWrap/>
            <w:vAlign w:val="bottom"/>
            <w:hideMark/>
          </w:tcPr>
          <w:p w14:paraId="5DDB40F7" w14:textId="5F250FBF" w:rsidR="00E27DE1" w:rsidRPr="006142F1" w:rsidRDefault="00E27DE1" w:rsidP="00EB4D4E">
            <w:pPr>
              <w:keepNext/>
              <w:jc w:val="right"/>
              <w:rPr>
                <w:rFonts w:ascii="Times" w:hAnsi="Times"/>
                <w:color w:val="000000"/>
                <w:sz w:val="20"/>
                <w:szCs w:val="20"/>
                <w:lang w:val="en-US"/>
              </w:rPr>
            </w:pPr>
            <w:r w:rsidRPr="006142F1">
              <w:rPr>
                <w:rFonts w:ascii="Times" w:hAnsi="Times"/>
                <w:color w:val="000000"/>
                <w:sz w:val="20"/>
                <w:szCs w:val="20"/>
                <w:lang w:val="en-US"/>
              </w:rPr>
              <w:t>16</w:t>
            </w:r>
            <w:r w:rsidR="008A2A7B" w:rsidRPr="006142F1">
              <w:rPr>
                <w:rFonts w:ascii="Times" w:hAnsi="Times"/>
                <w:color w:val="000000"/>
                <w:sz w:val="20"/>
                <w:szCs w:val="20"/>
                <w:lang w:val="en-US"/>
              </w:rPr>
              <w:t xml:space="preserve"> </w:t>
            </w:r>
            <w:r w:rsidRPr="006142F1">
              <w:rPr>
                <w:rFonts w:ascii="Times" w:hAnsi="Times"/>
                <w:color w:val="000000"/>
                <w:sz w:val="20"/>
                <w:szCs w:val="20"/>
                <w:lang w:val="en-US"/>
              </w:rPr>
              <w:t>153.59</w:t>
            </w:r>
          </w:p>
        </w:tc>
        <w:tc>
          <w:tcPr>
            <w:tcW w:w="1148" w:type="dxa"/>
            <w:shd w:val="clear" w:color="auto" w:fill="auto"/>
            <w:noWrap/>
            <w:vAlign w:val="bottom"/>
            <w:hideMark/>
          </w:tcPr>
          <w:p w14:paraId="3F5829DC" w14:textId="676FA361" w:rsidR="00E27DE1" w:rsidRPr="006142F1" w:rsidRDefault="00E27DE1" w:rsidP="00EB4D4E">
            <w:pPr>
              <w:keepNext/>
              <w:jc w:val="right"/>
              <w:rPr>
                <w:rFonts w:ascii="Times" w:hAnsi="Times"/>
                <w:color w:val="000000"/>
                <w:sz w:val="20"/>
                <w:szCs w:val="20"/>
                <w:lang w:val="en-US"/>
              </w:rPr>
            </w:pPr>
            <w:r w:rsidRPr="006142F1">
              <w:rPr>
                <w:rFonts w:ascii="Times" w:hAnsi="Times"/>
                <w:color w:val="000000"/>
                <w:sz w:val="20"/>
                <w:szCs w:val="20"/>
                <w:lang w:val="en-US"/>
              </w:rPr>
              <w:t>16</w:t>
            </w:r>
            <w:r w:rsidR="008A2A7B" w:rsidRPr="006142F1">
              <w:rPr>
                <w:rFonts w:ascii="Times" w:hAnsi="Times"/>
                <w:color w:val="000000"/>
                <w:sz w:val="20"/>
                <w:szCs w:val="20"/>
                <w:lang w:val="en-US"/>
              </w:rPr>
              <w:t xml:space="preserve"> </w:t>
            </w:r>
            <w:r w:rsidRPr="006142F1">
              <w:rPr>
                <w:rFonts w:ascii="Times" w:hAnsi="Times"/>
                <w:color w:val="000000"/>
                <w:sz w:val="20"/>
                <w:szCs w:val="20"/>
                <w:lang w:val="en-US"/>
              </w:rPr>
              <w:t>630.70</w:t>
            </w:r>
          </w:p>
        </w:tc>
        <w:tc>
          <w:tcPr>
            <w:tcW w:w="1387" w:type="dxa"/>
            <w:shd w:val="clear" w:color="auto" w:fill="auto"/>
            <w:noWrap/>
            <w:vAlign w:val="bottom"/>
            <w:hideMark/>
          </w:tcPr>
          <w:p w14:paraId="344AA681" w14:textId="479DF5CD" w:rsidR="00E27DE1" w:rsidRPr="006142F1" w:rsidRDefault="00E27DE1" w:rsidP="00EB4D4E">
            <w:pPr>
              <w:keepNext/>
              <w:jc w:val="right"/>
              <w:rPr>
                <w:rFonts w:ascii="Times" w:hAnsi="Times"/>
                <w:color w:val="000000"/>
                <w:sz w:val="20"/>
                <w:szCs w:val="20"/>
                <w:lang w:val="en-US"/>
              </w:rPr>
            </w:pPr>
            <w:r w:rsidRPr="006142F1">
              <w:rPr>
                <w:rFonts w:ascii="Times" w:hAnsi="Times"/>
                <w:color w:val="000000"/>
                <w:sz w:val="20"/>
                <w:szCs w:val="20"/>
                <w:lang w:val="en-US"/>
              </w:rPr>
              <w:t>48</w:t>
            </w:r>
            <w:r w:rsidR="008A2A7B" w:rsidRPr="006142F1">
              <w:rPr>
                <w:rFonts w:ascii="Times" w:hAnsi="Times"/>
                <w:color w:val="000000"/>
                <w:sz w:val="20"/>
                <w:szCs w:val="20"/>
                <w:lang w:val="en-US"/>
              </w:rPr>
              <w:t xml:space="preserve"> </w:t>
            </w:r>
            <w:r w:rsidRPr="006142F1">
              <w:rPr>
                <w:rFonts w:ascii="Times" w:hAnsi="Times"/>
                <w:color w:val="000000"/>
                <w:sz w:val="20"/>
                <w:szCs w:val="20"/>
                <w:lang w:val="en-US"/>
              </w:rPr>
              <w:t>027</w:t>
            </w:r>
          </w:p>
        </w:tc>
        <w:tc>
          <w:tcPr>
            <w:tcW w:w="1048" w:type="dxa"/>
            <w:shd w:val="clear" w:color="auto" w:fill="auto"/>
            <w:noWrap/>
            <w:vAlign w:val="bottom"/>
            <w:hideMark/>
          </w:tcPr>
          <w:p w14:paraId="2EE26494" w14:textId="77777777" w:rsidR="00E27DE1" w:rsidRPr="006142F1" w:rsidRDefault="00E27DE1" w:rsidP="00EB4D4E">
            <w:pPr>
              <w:keepNext/>
              <w:jc w:val="right"/>
              <w:rPr>
                <w:rFonts w:ascii="Times" w:hAnsi="Times"/>
                <w:color w:val="000000"/>
                <w:sz w:val="20"/>
                <w:szCs w:val="20"/>
                <w:lang w:val="en-US"/>
              </w:rPr>
            </w:pPr>
            <w:r w:rsidRPr="006142F1">
              <w:rPr>
                <w:rFonts w:ascii="Times" w:hAnsi="Times"/>
                <w:color w:val="000000"/>
                <w:sz w:val="20"/>
                <w:szCs w:val="20"/>
                <w:lang w:val="en-US"/>
              </w:rPr>
              <w:t>19.5%</w:t>
            </w:r>
          </w:p>
        </w:tc>
      </w:tr>
      <w:tr w:rsidR="00E27DE1" w:rsidRPr="001D006A" w14:paraId="072B92AF" w14:textId="77777777" w:rsidTr="008A2A7B">
        <w:trPr>
          <w:trHeight w:val="226"/>
        </w:trPr>
        <w:tc>
          <w:tcPr>
            <w:tcW w:w="3750" w:type="dxa"/>
            <w:shd w:val="clear" w:color="auto" w:fill="auto"/>
            <w:noWrap/>
            <w:vAlign w:val="bottom"/>
            <w:hideMark/>
          </w:tcPr>
          <w:p w14:paraId="35742969" w14:textId="77777777" w:rsidR="00E27DE1" w:rsidRPr="006142F1" w:rsidRDefault="00E27DE1" w:rsidP="00EB4D4E">
            <w:pPr>
              <w:keepNext/>
              <w:jc w:val="left"/>
              <w:rPr>
                <w:rFonts w:ascii="Times" w:hAnsi="Times"/>
                <w:color w:val="000000"/>
                <w:sz w:val="20"/>
                <w:szCs w:val="20"/>
                <w:lang w:val="en-US"/>
              </w:rPr>
            </w:pPr>
            <w:r w:rsidRPr="006142F1">
              <w:rPr>
                <w:rFonts w:ascii="Times" w:hAnsi="Times"/>
                <w:color w:val="000000"/>
                <w:sz w:val="20"/>
                <w:szCs w:val="20"/>
                <w:lang w:val="en-US"/>
              </w:rPr>
              <w:t>Peace and security</w:t>
            </w:r>
          </w:p>
        </w:tc>
        <w:tc>
          <w:tcPr>
            <w:tcW w:w="1148" w:type="dxa"/>
            <w:shd w:val="clear" w:color="auto" w:fill="auto"/>
            <w:noWrap/>
            <w:vAlign w:val="bottom"/>
            <w:hideMark/>
          </w:tcPr>
          <w:p w14:paraId="446569D3" w14:textId="185C34C2" w:rsidR="00E27DE1" w:rsidRPr="006142F1" w:rsidRDefault="00E27DE1" w:rsidP="00EB4D4E">
            <w:pPr>
              <w:keepNext/>
              <w:jc w:val="right"/>
              <w:rPr>
                <w:rFonts w:ascii="Times" w:hAnsi="Times"/>
                <w:color w:val="000000"/>
                <w:sz w:val="20"/>
                <w:szCs w:val="20"/>
                <w:lang w:val="en-US"/>
              </w:rPr>
            </w:pPr>
            <w:r w:rsidRPr="006142F1">
              <w:rPr>
                <w:rFonts w:ascii="Times" w:hAnsi="Times"/>
                <w:color w:val="000000"/>
                <w:sz w:val="20"/>
                <w:szCs w:val="20"/>
                <w:lang w:val="en-US"/>
              </w:rPr>
              <w:t>44</w:t>
            </w:r>
            <w:r w:rsidR="008A2A7B" w:rsidRPr="006142F1">
              <w:rPr>
                <w:rFonts w:ascii="Times" w:hAnsi="Times"/>
                <w:color w:val="000000"/>
                <w:sz w:val="20"/>
                <w:szCs w:val="20"/>
                <w:lang w:val="en-US"/>
              </w:rPr>
              <w:t xml:space="preserve"> </w:t>
            </w:r>
            <w:r w:rsidRPr="006142F1">
              <w:rPr>
                <w:rFonts w:ascii="Times" w:hAnsi="Times"/>
                <w:color w:val="000000"/>
                <w:sz w:val="20"/>
                <w:szCs w:val="20"/>
                <w:lang w:val="en-US"/>
              </w:rPr>
              <w:t>400.32</w:t>
            </w:r>
          </w:p>
        </w:tc>
        <w:tc>
          <w:tcPr>
            <w:tcW w:w="1148" w:type="dxa"/>
            <w:shd w:val="clear" w:color="auto" w:fill="auto"/>
            <w:noWrap/>
            <w:vAlign w:val="bottom"/>
            <w:hideMark/>
          </w:tcPr>
          <w:p w14:paraId="0199A4D7" w14:textId="2ED17FDF" w:rsidR="00E27DE1" w:rsidRPr="006142F1" w:rsidRDefault="00E27DE1" w:rsidP="00EB4D4E">
            <w:pPr>
              <w:keepNext/>
              <w:jc w:val="right"/>
              <w:rPr>
                <w:rFonts w:ascii="Times" w:hAnsi="Times"/>
                <w:color w:val="000000"/>
                <w:sz w:val="20"/>
                <w:szCs w:val="20"/>
                <w:lang w:val="en-US"/>
              </w:rPr>
            </w:pPr>
            <w:r w:rsidRPr="006142F1">
              <w:rPr>
                <w:rFonts w:ascii="Times" w:hAnsi="Times"/>
                <w:color w:val="000000"/>
                <w:sz w:val="20"/>
                <w:szCs w:val="20"/>
                <w:lang w:val="en-US"/>
              </w:rPr>
              <w:t>46</w:t>
            </w:r>
            <w:r w:rsidR="008A2A7B" w:rsidRPr="006142F1">
              <w:rPr>
                <w:rFonts w:ascii="Times" w:hAnsi="Times"/>
                <w:color w:val="000000"/>
                <w:sz w:val="20"/>
                <w:szCs w:val="20"/>
                <w:lang w:val="en-US"/>
              </w:rPr>
              <w:t xml:space="preserve"> </w:t>
            </w:r>
            <w:r w:rsidRPr="006142F1">
              <w:rPr>
                <w:rFonts w:ascii="Times" w:hAnsi="Times"/>
                <w:color w:val="000000"/>
                <w:sz w:val="20"/>
                <w:szCs w:val="20"/>
                <w:lang w:val="en-US"/>
              </w:rPr>
              <w:t>971.50</w:t>
            </w:r>
          </w:p>
        </w:tc>
        <w:tc>
          <w:tcPr>
            <w:tcW w:w="1148" w:type="dxa"/>
            <w:shd w:val="clear" w:color="auto" w:fill="auto"/>
            <w:noWrap/>
            <w:vAlign w:val="bottom"/>
            <w:hideMark/>
          </w:tcPr>
          <w:p w14:paraId="7E556FC5" w14:textId="02DEBB37" w:rsidR="00E27DE1" w:rsidRPr="006142F1" w:rsidRDefault="00E27DE1" w:rsidP="00EB4D4E">
            <w:pPr>
              <w:keepNext/>
              <w:jc w:val="right"/>
              <w:rPr>
                <w:rFonts w:ascii="Times" w:hAnsi="Times"/>
                <w:color w:val="000000"/>
                <w:sz w:val="20"/>
                <w:szCs w:val="20"/>
                <w:lang w:val="en-US"/>
              </w:rPr>
            </w:pPr>
            <w:r w:rsidRPr="006142F1">
              <w:rPr>
                <w:rFonts w:ascii="Times" w:hAnsi="Times"/>
                <w:color w:val="000000"/>
                <w:sz w:val="20"/>
                <w:szCs w:val="20"/>
                <w:lang w:val="en-US"/>
              </w:rPr>
              <w:t>48</w:t>
            </w:r>
            <w:r w:rsidR="008A2A7B" w:rsidRPr="006142F1">
              <w:rPr>
                <w:rFonts w:ascii="Times" w:hAnsi="Times"/>
                <w:color w:val="000000"/>
                <w:sz w:val="20"/>
                <w:szCs w:val="20"/>
                <w:lang w:val="en-US"/>
              </w:rPr>
              <w:t xml:space="preserve"> </w:t>
            </w:r>
            <w:r w:rsidRPr="006142F1">
              <w:rPr>
                <w:rFonts w:ascii="Times" w:hAnsi="Times"/>
                <w:color w:val="000000"/>
                <w:sz w:val="20"/>
                <w:szCs w:val="20"/>
                <w:lang w:val="en-US"/>
              </w:rPr>
              <w:t>796.14</w:t>
            </w:r>
          </w:p>
        </w:tc>
        <w:tc>
          <w:tcPr>
            <w:tcW w:w="1387" w:type="dxa"/>
            <w:shd w:val="clear" w:color="auto" w:fill="auto"/>
            <w:noWrap/>
            <w:vAlign w:val="bottom"/>
            <w:hideMark/>
          </w:tcPr>
          <w:p w14:paraId="2EADC417" w14:textId="4156325D" w:rsidR="00E27DE1" w:rsidRPr="006142F1" w:rsidRDefault="00E27DE1" w:rsidP="00EB4D4E">
            <w:pPr>
              <w:keepNext/>
              <w:jc w:val="right"/>
              <w:rPr>
                <w:rFonts w:ascii="Times" w:hAnsi="Times"/>
                <w:color w:val="000000"/>
                <w:sz w:val="20"/>
                <w:szCs w:val="20"/>
                <w:lang w:val="en-US"/>
              </w:rPr>
            </w:pPr>
            <w:r w:rsidRPr="006142F1">
              <w:rPr>
                <w:rFonts w:ascii="Times" w:hAnsi="Times"/>
                <w:color w:val="000000"/>
                <w:sz w:val="20"/>
                <w:szCs w:val="20"/>
                <w:lang w:val="en-US"/>
              </w:rPr>
              <w:t>140</w:t>
            </w:r>
            <w:r w:rsidR="008A2A7B" w:rsidRPr="006142F1">
              <w:rPr>
                <w:rFonts w:ascii="Times" w:hAnsi="Times"/>
                <w:color w:val="000000"/>
                <w:sz w:val="20"/>
                <w:szCs w:val="20"/>
                <w:lang w:val="en-US"/>
              </w:rPr>
              <w:t xml:space="preserve"> </w:t>
            </w:r>
            <w:r w:rsidRPr="006142F1">
              <w:rPr>
                <w:rFonts w:ascii="Times" w:hAnsi="Times"/>
                <w:color w:val="000000"/>
                <w:sz w:val="20"/>
                <w:szCs w:val="20"/>
                <w:lang w:val="en-US"/>
              </w:rPr>
              <w:t>168</w:t>
            </w:r>
          </w:p>
        </w:tc>
        <w:tc>
          <w:tcPr>
            <w:tcW w:w="1048" w:type="dxa"/>
            <w:shd w:val="clear" w:color="auto" w:fill="auto"/>
            <w:noWrap/>
            <w:vAlign w:val="bottom"/>
            <w:hideMark/>
          </w:tcPr>
          <w:p w14:paraId="5B487E8B" w14:textId="77777777" w:rsidR="00E27DE1" w:rsidRPr="006142F1" w:rsidRDefault="00E27DE1" w:rsidP="00EB4D4E">
            <w:pPr>
              <w:keepNext/>
              <w:jc w:val="right"/>
              <w:rPr>
                <w:rFonts w:ascii="Times" w:hAnsi="Times"/>
                <w:color w:val="000000"/>
                <w:sz w:val="20"/>
                <w:szCs w:val="20"/>
                <w:lang w:val="en-US"/>
              </w:rPr>
            </w:pPr>
            <w:r w:rsidRPr="006142F1">
              <w:rPr>
                <w:rFonts w:ascii="Times" w:hAnsi="Times"/>
                <w:color w:val="000000"/>
                <w:sz w:val="20"/>
                <w:szCs w:val="20"/>
                <w:lang w:val="en-US"/>
              </w:rPr>
              <w:t>56.9%</w:t>
            </w:r>
          </w:p>
        </w:tc>
      </w:tr>
      <w:tr w:rsidR="00E27DE1" w:rsidRPr="001D006A" w14:paraId="0D802486" w14:textId="77777777" w:rsidTr="008A2A7B">
        <w:trPr>
          <w:trHeight w:val="226"/>
        </w:trPr>
        <w:tc>
          <w:tcPr>
            <w:tcW w:w="3750" w:type="dxa"/>
            <w:shd w:val="clear" w:color="auto" w:fill="auto"/>
            <w:noWrap/>
            <w:vAlign w:val="bottom"/>
            <w:hideMark/>
          </w:tcPr>
          <w:p w14:paraId="2DA7048A" w14:textId="77777777" w:rsidR="00E27DE1" w:rsidRPr="006142F1" w:rsidRDefault="00E27DE1" w:rsidP="00EB4D4E">
            <w:pPr>
              <w:keepNext/>
              <w:jc w:val="left"/>
              <w:rPr>
                <w:rFonts w:ascii="Times" w:hAnsi="Times"/>
                <w:color w:val="000000"/>
                <w:sz w:val="20"/>
                <w:szCs w:val="20"/>
                <w:lang w:val="en-US"/>
              </w:rPr>
            </w:pPr>
            <w:r w:rsidRPr="006142F1">
              <w:rPr>
                <w:rFonts w:ascii="Times" w:hAnsi="Times"/>
                <w:color w:val="000000"/>
                <w:sz w:val="20"/>
                <w:szCs w:val="20"/>
                <w:lang w:val="en-US"/>
              </w:rPr>
              <w:t>General public services</w:t>
            </w:r>
          </w:p>
        </w:tc>
        <w:tc>
          <w:tcPr>
            <w:tcW w:w="1148" w:type="dxa"/>
            <w:shd w:val="clear" w:color="auto" w:fill="auto"/>
            <w:noWrap/>
            <w:vAlign w:val="bottom"/>
            <w:hideMark/>
          </w:tcPr>
          <w:p w14:paraId="7B65E81D" w14:textId="296FE844" w:rsidR="00E27DE1" w:rsidRPr="006142F1" w:rsidRDefault="00E27DE1" w:rsidP="00EB4D4E">
            <w:pPr>
              <w:keepNext/>
              <w:jc w:val="right"/>
              <w:rPr>
                <w:rFonts w:ascii="Times" w:hAnsi="Times"/>
                <w:color w:val="000000"/>
                <w:sz w:val="20"/>
                <w:szCs w:val="20"/>
                <w:lang w:val="en-US"/>
              </w:rPr>
            </w:pPr>
            <w:r w:rsidRPr="006142F1">
              <w:rPr>
                <w:rFonts w:ascii="Times" w:hAnsi="Times"/>
                <w:color w:val="000000"/>
                <w:sz w:val="20"/>
                <w:szCs w:val="20"/>
                <w:lang w:val="en-US"/>
              </w:rPr>
              <w:t>5</w:t>
            </w:r>
            <w:r w:rsidR="008A2A7B" w:rsidRPr="006142F1">
              <w:rPr>
                <w:rFonts w:ascii="Times" w:hAnsi="Times"/>
                <w:color w:val="000000"/>
                <w:sz w:val="20"/>
                <w:szCs w:val="20"/>
                <w:lang w:val="en-US"/>
              </w:rPr>
              <w:t xml:space="preserve"> </w:t>
            </w:r>
            <w:r w:rsidRPr="006142F1">
              <w:rPr>
                <w:rFonts w:ascii="Times" w:hAnsi="Times"/>
                <w:color w:val="000000"/>
                <w:sz w:val="20"/>
                <w:szCs w:val="20"/>
                <w:lang w:val="en-US"/>
              </w:rPr>
              <w:t>575.50</w:t>
            </w:r>
          </w:p>
        </w:tc>
        <w:tc>
          <w:tcPr>
            <w:tcW w:w="1148" w:type="dxa"/>
            <w:shd w:val="clear" w:color="auto" w:fill="auto"/>
            <w:noWrap/>
            <w:vAlign w:val="bottom"/>
            <w:hideMark/>
          </w:tcPr>
          <w:p w14:paraId="0F869367" w14:textId="1C18FC12" w:rsidR="00E27DE1" w:rsidRPr="006142F1" w:rsidRDefault="00E27DE1" w:rsidP="00EB4D4E">
            <w:pPr>
              <w:keepNext/>
              <w:jc w:val="right"/>
              <w:rPr>
                <w:rFonts w:ascii="Times" w:hAnsi="Times"/>
                <w:color w:val="000000"/>
                <w:sz w:val="20"/>
                <w:szCs w:val="20"/>
                <w:lang w:val="en-US"/>
              </w:rPr>
            </w:pPr>
            <w:r w:rsidRPr="006142F1">
              <w:rPr>
                <w:rFonts w:ascii="Times" w:hAnsi="Times"/>
                <w:color w:val="000000"/>
                <w:sz w:val="20"/>
                <w:szCs w:val="20"/>
                <w:lang w:val="en-US"/>
              </w:rPr>
              <w:t>7</w:t>
            </w:r>
            <w:r w:rsidR="008A2A7B" w:rsidRPr="006142F1">
              <w:rPr>
                <w:rFonts w:ascii="Times" w:hAnsi="Times"/>
                <w:color w:val="000000"/>
                <w:sz w:val="20"/>
                <w:szCs w:val="20"/>
                <w:lang w:val="en-US"/>
              </w:rPr>
              <w:t xml:space="preserve"> </w:t>
            </w:r>
            <w:r w:rsidRPr="006142F1">
              <w:rPr>
                <w:rFonts w:ascii="Times" w:hAnsi="Times"/>
                <w:color w:val="000000"/>
                <w:sz w:val="20"/>
                <w:szCs w:val="20"/>
                <w:lang w:val="en-US"/>
              </w:rPr>
              <w:t>108.39</w:t>
            </w:r>
          </w:p>
        </w:tc>
        <w:tc>
          <w:tcPr>
            <w:tcW w:w="1148" w:type="dxa"/>
            <w:shd w:val="clear" w:color="auto" w:fill="auto"/>
            <w:noWrap/>
            <w:vAlign w:val="bottom"/>
            <w:hideMark/>
          </w:tcPr>
          <w:p w14:paraId="38D19B6D" w14:textId="3DB59DA9" w:rsidR="00E27DE1" w:rsidRPr="006142F1" w:rsidRDefault="00E27DE1" w:rsidP="00EB4D4E">
            <w:pPr>
              <w:keepNext/>
              <w:jc w:val="right"/>
              <w:rPr>
                <w:rFonts w:ascii="Times" w:hAnsi="Times"/>
                <w:color w:val="000000"/>
                <w:sz w:val="20"/>
                <w:szCs w:val="20"/>
                <w:lang w:val="en-US"/>
              </w:rPr>
            </w:pPr>
            <w:r w:rsidRPr="006142F1">
              <w:rPr>
                <w:rFonts w:ascii="Times" w:hAnsi="Times"/>
                <w:color w:val="000000"/>
                <w:sz w:val="20"/>
                <w:szCs w:val="20"/>
                <w:lang w:val="en-US"/>
              </w:rPr>
              <w:t>5</w:t>
            </w:r>
            <w:r w:rsidR="008A2A7B" w:rsidRPr="006142F1">
              <w:rPr>
                <w:rFonts w:ascii="Times" w:hAnsi="Times"/>
                <w:color w:val="000000"/>
                <w:sz w:val="20"/>
                <w:szCs w:val="20"/>
                <w:lang w:val="en-US"/>
              </w:rPr>
              <w:t xml:space="preserve"> </w:t>
            </w:r>
            <w:r w:rsidRPr="006142F1">
              <w:rPr>
                <w:rFonts w:ascii="Times" w:hAnsi="Times"/>
                <w:color w:val="000000"/>
                <w:sz w:val="20"/>
                <w:szCs w:val="20"/>
                <w:lang w:val="en-US"/>
              </w:rPr>
              <w:t>224.29</w:t>
            </w:r>
          </w:p>
        </w:tc>
        <w:tc>
          <w:tcPr>
            <w:tcW w:w="1387" w:type="dxa"/>
            <w:shd w:val="clear" w:color="auto" w:fill="auto"/>
            <w:noWrap/>
            <w:vAlign w:val="bottom"/>
            <w:hideMark/>
          </w:tcPr>
          <w:p w14:paraId="5C448999" w14:textId="4E96684C" w:rsidR="00E27DE1" w:rsidRPr="006142F1" w:rsidRDefault="00E27DE1" w:rsidP="00EB4D4E">
            <w:pPr>
              <w:keepNext/>
              <w:jc w:val="right"/>
              <w:rPr>
                <w:rFonts w:ascii="Times" w:hAnsi="Times"/>
                <w:color w:val="000000"/>
                <w:sz w:val="20"/>
                <w:szCs w:val="20"/>
                <w:lang w:val="en-US"/>
              </w:rPr>
            </w:pPr>
            <w:r w:rsidRPr="006142F1">
              <w:rPr>
                <w:rFonts w:ascii="Times" w:hAnsi="Times"/>
                <w:color w:val="000000"/>
                <w:sz w:val="20"/>
                <w:szCs w:val="20"/>
                <w:lang w:val="en-US"/>
              </w:rPr>
              <w:t>17</w:t>
            </w:r>
            <w:r w:rsidR="008A2A7B" w:rsidRPr="006142F1">
              <w:rPr>
                <w:rFonts w:ascii="Times" w:hAnsi="Times"/>
                <w:color w:val="000000"/>
                <w:sz w:val="20"/>
                <w:szCs w:val="20"/>
                <w:lang w:val="en-US"/>
              </w:rPr>
              <w:t xml:space="preserve"> </w:t>
            </w:r>
            <w:r w:rsidRPr="006142F1">
              <w:rPr>
                <w:rFonts w:ascii="Times" w:hAnsi="Times"/>
                <w:color w:val="000000"/>
                <w:sz w:val="20"/>
                <w:szCs w:val="20"/>
                <w:lang w:val="en-US"/>
              </w:rPr>
              <w:t>908</w:t>
            </w:r>
          </w:p>
        </w:tc>
        <w:tc>
          <w:tcPr>
            <w:tcW w:w="1048" w:type="dxa"/>
            <w:shd w:val="clear" w:color="auto" w:fill="auto"/>
            <w:noWrap/>
            <w:vAlign w:val="bottom"/>
            <w:hideMark/>
          </w:tcPr>
          <w:p w14:paraId="4C5FAD17" w14:textId="77777777" w:rsidR="00E27DE1" w:rsidRPr="006142F1" w:rsidRDefault="00E27DE1" w:rsidP="00EB4D4E">
            <w:pPr>
              <w:keepNext/>
              <w:jc w:val="right"/>
              <w:rPr>
                <w:rFonts w:ascii="Times" w:hAnsi="Times"/>
                <w:color w:val="000000"/>
                <w:sz w:val="20"/>
                <w:szCs w:val="20"/>
                <w:lang w:val="en-US"/>
              </w:rPr>
            </w:pPr>
            <w:r w:rsidRPr="006142F1">
              <w:rPr>
                <w:rFonts w:ascii="Times" w:hAnsi="Times"/>
                <w:color w:val="000000"/>
                <w:sz w:val="20"/>
                <w:szCs w:val="20"/>
                <w:lang w:val="en-US"/>
              </w:rPr>
              <w:t>7.3%</w:t>
            </w:r>
          </w:p>
        </w:tc>
      </w:tr>
      <w:tr w:rsidR="00E27DE1" w:rsidRPr="001D006A" w14:paraId="78609432" w14:textId="77777777" w:rsidTr="008A2A7B">
        <w:trPr>
          <w:trHeight w:val="226"/>
        </w:trPr>
        <w:tc>
          <w:tcPr>
            <w:tcW w:w="3750" w:type="dxa"/>
            <w:shd w:val="clear" w:color="auto" w:fill="auto"/>
            <w:noWrap/>
            <w:vAlign w:val="bottom"/>
            <w:hideMark/>
          </w:tcPr>
          <w:p w14:paraId="0805E201" w14:textId="77777777" w:rsidR="00E27DE1" w:rsidRPr="006142F1" w:rsidRDefault="00E27DE1" w:rsidP="00EB4D4E">
            <w:pPr>
              <w:keepNext/>
              <w:jc w:val="left"/>
              <w:rPr>
                <w:rFonts w:ascii="Times" w:hAnsi="Times"/>
                <w:b/>
                <w:color w:val="000000"/>
                <w:sz w:val="20"/>
                <w:szCs w:val="20"/>
                <w:lang w:val="en-US"/>
              </w:rPr>
            </w:pPr>
            <w:r w:rsidRPr="006142F1">
              <w:rPr>
                <w:rFonts w:ascii="Times" w:hAnsi="Times"/>
                <w:b/>
                <w:color w:val="000000"/>
                <w:sz w:val="20"/>
                <w:szCs w:val="20"/>
                <w:lang w:val="en-US"/>
              </w:rPr>
              <w:t>Total</w:t>
            </w:r>
          </w:p>
        </w:tc>
        <w:tc>
          <w:tcPr>
            <w:tcW w:w="1148" w:type="dxa"/>
            <w:shd w:val="clear" w:color="auto" w:fill="auto"/>
            <w:noWrap/>
            <w:vAlign w:val="bottom"/>
            <w:hideMark/>
          </w:tcPr>
          <w:p w14:paraId="64BBF21D" w14:textId="6119729F" w:rsidR="00E27DE1" w:rsidRPr="006142F1" w:rsidRDefault="00E27DE1" w:rsidP="00EB4D4E">
            <w:pPr>
              <w:keepNext/>
              <w:jc w:val="right"/>
              <w:rPr>
                <w:rFonts w:ascii="Times" w:hAnsi="Times"/>
                <w:b/>
                <w:color w:val="000000"/>
                <w:sz w:val="20"/>
                <w:szCs w:val="20"/>
                <w:lang w:val="en-US"/>
              </w:rPr>
            </w:pPr>
            <w:r w:rsidRPr="006142F1">
              <w:rPr>
                <w:rFonts w:ascii="Times" w:hAnsi="Times"/>
                <w:b/>
                <w:color w:val="000000"/>
                <w:sz w:val="20"/>
                <w:szCs w:val="20"/>
                <w:lang w:val="en-US"/>
              </w:rPr>
              <w:t>77</w:t>
            </w:r>
            <w:r w:rsidR="008A2A7B" w:rsidRPr="006142F1">
              <w:rPr>
                <w:rFonts w:ascii="Times" w:hAnsi="Times"/>
                <w:b/>
                <w:color w:val="000000"/>
                <w:sz w:val="20"/>
                <w:szCs w:val="20"/>
                <w:lang w:val="en-US"/>
              </w:rPr>
              <w:t xml:space="preserve"> </w:t>
            </w:r>
            <w:r w:rsidRPr="006142F1">
              <w:rPr>
                <w:rFonts w:ascii="Times" w:hAnsi="Times"/>
                <w:b/>
                <w:color w:val="000000"/>
                <w:sz w:val="20"/>
                <w:szCs w:val="20"/>
                <w:lang w:val="en-US"/>
              </w:rPr>
              <w:t>891.4</w:t>
            </w:r>
          </w:p>
        </w:tc>
        <w:tc>
          <w:tcPr>
            <w:tcW w:w="1148" w:type="dxa"/>
            <w:shd w:val="clear" w:color="auto" w:fill="auto"/>
            <w:noWrap/>
            <w:vAlign w:val="bottom"/>
            <w:hideMark/>
          </w:tcPr>
          <w:p w14:paraId="194433C1" w14:textId="01990EF6" w:rsidR="00E27DE1" w:rsidRPr="006142F1" w:rsidRDefault="00E27DE1" w:rsidP="00EB4D4E">
            <w:pPr>
              <w:keepNext/>
              <w:jc w:val="right"/>
              <w:rPr>
                <w:rFonts w:ascii="Times" w:hAnsi="Times"/>
                <w:b/>
                <w:color w:val="000000"/>
                <w:sz w:val="20"/>
                <w:szCs w:val="20"/>
                <w:lang w:val="en-US"/>
              </w:rPr>
            </w:pPr>
            <w:r w:rsidRPr="006142F1">
              <w:rPr>
                <w:rFonts w:ascii="Times" w:hAnsi="Times"/>
                <w:b/>
                <w:color w:val="000000"/>
                <w:sz w:val="20"/>
                <w:szCs w:val="20"/>
                <w:lang w:val="en-US"/>
              </w:rPr>
              <w:t>83</w:t>
            </w:r>
            <w:r w:rsidR="008A2A7B" w:rsidRPr="006142F1">
              <w:rPr>
                <w:rFonts w:ascii="Times" w:hAnsi="Times"/>
                <w:b/>
                <w:color w:val="000000"/>
                <w:sz w:val="20"/>
                <w:szCs w:val="20"/>
                <w:lang w:val="en-US"/>
              </w:rPr>
              <w:t xml:space="preserve"> </w:t>
            </w:r>
            <w:r w:rsidRPr="006142F1">
              <w:rPr>
                <w:rFonts w:ascii="Times" w:hAnsi="Times"/>
                <w:b/>
                <w:color w:val="000000"/>
                <w:sz w:val="20"/>
                <w:szCs w:val="20"/>
                <w:lang w:val="en-US"/>
              </w:rPr>
              <w:t>642.8</w:t>
            </w:r>
          </w:p>
        </w:tc>
        <w:tc>
          <w:tcPr>
            <w:tcW w:w="1148" w:type="dxa"/>
            <w:shd w:val="clear" w:color="auto" w:fill="auto"/>
            <w:noWrap/>
            <w:vAlign w:val="bottom"/>
            <w:hideMark/>
          </w:tcPr>
          <w:p w14:paraId="68823832" w14:textId="088F4F7A" w:rsidR="00E27DE1" w:rsidRPr="006142F1" w:rsidRDefault="00E27DE1" w:rsidP="00EB4D4E">
            <w:pPr>
              <w:keepNext/>
              <w:jc w:val="right"/>
              <w:rPr>
                <w:rFonts w:ascii="Times" w:hAnsi="Times"/>
                <w:b/>
                <w:color w:val="000000"/>
                <w:sz w:val="20"/>
                <w:szCs w:val="20"/>
                <w:lang w:val="en-US"/>
              </w:rPr>
            </w:pPr>
            <w:r w:rsidRPr="006142F1">
              <w:rPr>
                <w:rFonts w:ascii="Times" w:hAnsi="Times"/>
                <w:b/>
                <w:color w:val="000000"/>
                <w:sz w:val="20"/>
                <w:szCs w:val="20"/>
                <w:lang w:val="en-US"/>
              </w:rPr>
              <w:t>84</w:t>
            </w:r>
            <w:r w:rsidR="008A2A7B" w:rsidRPr="006142F1">
              <w:rPr>
                <w:rFonts w:ascii="Times" w:hAnsi="Times"/>
                <w:b/>
                <w:color w:val="000000"/>
                <w:sz w:val="20"/>
                <w:szCs w:val="20"/>
                <w:lang w:val="en-US"/>
              </w:rPr>
              <w:t xml:space="preserve"> </w:t>
            </w:r>
            <w:r w:rsidRPr="006142F1">
              <w:rPr>
                <w:rFonts w:ascii="Times" w:hAnsi="Times"/>
                <w:b/>
                <w:color w:val="000000"/>
                <w:sz w:val="20"/>
                <w:szCs w:val="20"/>
                <w:lang w:val="en-US"/>
              </w:rPr>
              <w:t>630.8</w:t>
            </w:r>
          </w:p>
        </w:tc>
        <w:tc>
          <w:tcPr>
            <w:tcW w:w="1387" w:type="dxa"/>
            <w:shd w:val="clear" w:color="auto" w:fill="auto"/>
            <w:noWrap/>
            <w:vAlign w:val="bottom"/>
            <w:hideMark/>
          </w:tcPr>
          <w:p w14:paraId="66B2C222" w14:textId="03B20EDE" w:rsidR="00E27DE1" w:rsidRPr="006142F1" w:rsidRDefault="00E27DE1" w:rsidP="00EB4D4E">
            <w:pPr>
              <w:keepNext/>
              <w:jc w:val="right"/>
              <w:rPr>
                <w:rFonts w:ascii="Times" w:hAnsi="Times"/>
                <w:b/>
                <w:color w:val="000000"/>
                <w:sz w:val="20"/>
                <w:szCs w:val="20"/>
                <w:lang w:val="en-US"/>
              </w:rPr>
            </w:pPr>
            <w:r w:rsidRPr="006142F1">
              <w:rPr>
                <w:rFonts w:ascii="Times" w:hAnsi="Times"/>
                <w:b/>
                <w:color w:val="000000"/>
                <w:sz w:val="20"/>
                <w:szCs w:val="20"/>
                <w:lang w:val="en-US"/>
              </w:rPr>
              <w:t>246</w:t>
            </w:r>
            <w:r w:rsidR="008A2A7B" w:rsidRPr="006142F1">
              <w:rPr>
                <w:rFonts w:ascii="Times" w:hAnsi="Times"/>
                <w:b/>
                <w:color w:val="000000"/>
                <w:sz w:val="20"/>
                <w:szCs w:val="20"/>
                <w:lang w:val="en-US"/>
              </w:rPr>
              <w:t xml:space="preserve"> </w:t>
            </w:r>
            <w:r w:rsidRPr="006142F1">
              <w:rPr>
                <w:rFonts w:ascii="Times" w:hAnsi="Times"/>
                <w:b/>
                <w:color w:val="000000"/>
                <w:sz w:val="20"/>
                <w:szCs w:val="20"/>
                <w:lang w:val="en-US"/>
              </w:rPr>
              <w:t>165</w:t>
            </w:r>
          </w:p>
        </w:tc>
        <w:tc>
          <w:tcPr>
            <w:tcW w:w="1048" w:type="dxa"/>
            <w:shd w:val="clear" w:color="auto" w:fill="auto"/>
            <w:noWrap/>
            <w:vAlign w:val="bottom"/>
            <w:hideMark/>
          </w:tcPr>
          <w:p w14:paraId="72CE88BC" w14:textId="77777777" w:rsidR="00E27DE1" w:rsidRPr="006142F1" w:rsidRDefault="00E27DE1" w:rsidP="00EB4D4E">
            <w:pPr>
              <w:keepNext/>
              <w:jc w:val="right"/>
              <w:rPr>
                <w:rFonts w:ascii="Times" w:hAnsi="Times"/>
                <w:b/>
                <w:color w:val="000000"/>
                <w:sz w:val="20"/>
                <w:szCs w:val="20"/>
                <w:lang w:val="en-US"/>
              </w:rPr>
            </w:pPr>
            <w:r w:rsidRPr="006142F1">
              <w:rPr>
                <w:rFonts w:ascii="Times" w:hAnsi="Times"/>
                <w:b/>
                <w:color w:val="000000"/>
                <w:sz w:val="20"/>
                <w:szCs w:val="20"/>
                <w:lang w:val="en-US"/>
              </w:rPr>
              <w:t>100.0%</w:t>
            </w:r>
          </w:p>
        </w:tc>
      </w:tr>
    </w:tbl>
    <w:p w14:paraId="2C2244C4" w14:textId="268085E9" w:rsidR="00E27DE1" w:rsidRPr="009A7F2D" w:rsidRDefault="00E27DE1" w:rsidP="008A2A7B">
      <w:pPr>
        <w:keepNext/>
        <w:spacing w:line="240" w:lineRule="auto"/>
        <w:rPr>
          <w:rFonts w:ascii="Times" w:hAnsi="Times"/>
          <w:i/>
          <w:sz w:val="20"/>
          <w:szCs w:val="20"/>
        </w:rPr>
      </w:pPr>
      <w:r w:rsidRPr="009A7F2D">
        <w:rPr>
          <w:rFonts w:ascii="Times" w:hAnsi="Times"/>
          <w:i/>
          <w:sz w:val="20"/>
          <w:szCs w:val="20"/>
        </w:rPr>
        <w:t xml:space="preserve">Source: </w:t>
      </w:r>
      <w:r w:rsidR="008A2A7B">
        <w:rPr>
          <w:rFonts w:ascii="Times" w:hAnsi="Times"/>
          <w:i/>
          <w:sz w:val="20"/>
          <w:szCs w:val="20"/>
        </w:rPr>
        <w:t>FFC</w:t>
      </w:r>
      <w:r>
        <w:rPr>
          <w:rFonts w:ascii="Times" w:hAnsi="Times"/>
          <w:i/>
          <w:sz w:val="20"/>
          <w:szCs w:val="20"/>
        </w:rPr>
        <w:t xml:space="preserve"> calculations based on 2020 </w:t>
      </w:r>
      <w:r w:rsidRPr="009A7F2D">
        <w:rPr>
          <w:rFonts w:ascii="Times" w:hAnsi="Times"/>
          <w:i/>
          <w:sz w:val="20"/>
          <w:szCs w:val="20"/>
        </w:rPr>
        <w:t>ENE</w:t>
      </w:r>
      <w:r w:rsidRPr="000D6350">
        <w:t xml:space="preserve"> </w:t>
      </w:r>
      <w:r w:rsidR="008A2A7B" w:rsidRPr="000D6350">
        <w:rPr>
          <w:rFonts w:ascii="Times" w:hAnsi="Times"/>
          <w:i/>
          <w:sz w:val="20"/>
          <w:szCs w:val="20"/>
        </w:rPr>
        <w:t>individual vo</w:t>
      </w:r>
      <w:r w:rsidRPr="000D6350">
        <w:rPr>
          <w:rFonts w:ascii="Times" w:hAnsi="Times"/>
          <w:i/>
          <w:sz w:val="20"/>
          <w:szCs w:val="20"/>
        </w:rPr>
        <w:t>tes</w:t>
      </w:r>
      <w:r>
        <w:rPr>
          <w:rFonts w:ascii="Times" w:hAnsi="Times"/>
          <w:i/>
          <w:sz w:val="20"/>
          <w:szCs w:val="20"/>
        </w:rPr>
        <w:t>.</w:t>
      </w:r>
    </w:p>
    <w:p w14:paraId="39B4DDC2" w14:textId="77777777" w:rsidR="00B75110" w:rsidRPr="000D33E4" w:rsidRDefault="00B75110" w:rsidP="007B1E55">
      <w:pPr>
        <w:rPr>
          <w:rFonts w:ascii="Times" w:hAnsi="Times"/>
        </w:rPr>
      </w:pPr>
    </w:p>
    <w:p w14:paraId="6AAC2B0C" w14:textId="6BBA0F72" w:rsidR="00B75110" w:rsidRPr="000D33E4" w:rsidRDefault="006D3CBD" w:rsidP="009A7F2D">
      <w:r>
        <w:t>Government should</w:t>
      </w:r>
      <w:r w:rsidR="00B75110" w:rsidRPr="000D33E4">
        <w:t xml:space="preserve"> also allow payments for goods and services to </w:t>
      </w:r>
      <w:r>
        <w:t>be incurred</w:t>
      </w:r>
      <w:r w:rsidR="00B75110" w:rsidRPr="000D33E4">
        <w:t xml:space="preserve">. This should be supplemented by the mandatory </w:t>
      </w:r>
      <w:r w:rsidR="0083024E">
        <w:t>scrutiny</w:t>
      </w:r>
      <w:r w:rsidR="00B75110" w:rsidRPr="000D33E4">
        <w:t xml:space="preserve"> of goods and service expenditures with the aim of identifying savings from travelling, workshops and other state events as well as deferrals such as acquisitions of premises, furniture, etc. for non-essential services. There is a delicate balance to be struck between accrued liabilities and private sector solvency. Caution must be exercised to ensure that </w:t>
      </w:r>
      <w:r w:rsidR="008B0F56">
        <w:t>Covid</w:t>
      </w:r>
      <w:r w:rsidR="00B75110" w:rsidRPr="000D33E4">
        <w:t xml:space="preserve">-19 response measures, such as debt relief loans to small and medium enterprises, are not undermined by the failure of government to make timely payment for goods and services rendered. </w:t>
      </w:r>
    </w:p>
    <w:p w14:paraId="69FC67D0" w14:textId="77777777" w:rsidR="00B75110" w:rsidRPr="000D33E4" w:rsidRDefault="00B75110" w:rsidP="007B1E55">
      <w:pPr>
        <w:rPr>
          <w:rFonts w:ascii="Times" w:hAnsi="Times"/>
        </w:rPr>
      </w:pPr>
    </w:p>
    <w:p w14:paraId="13278B74" w14:textId="77777777" w:rsidR="00B75110" w:rsidRPr="000D33E4" w:rsidRDefault="00B75110" w:rsidP="009A7F2D">
      <w:r w:rsidRPr="000D33E4">
        <w:t>Particular components in the goods and service category that could be significantly reduced include travel, training and catering</w:t>
      </w:r>
      <w:r w:rsidR="009376F0" w:rsidRPr="000D33E4">
        <w:t xml:space="preserve"> expenditures</w:t>
      </w:r>
      <w:r w:rsidRPr="000D33E4">
        <w:t>. Over the next three years national government departments plan to spend approximately R23 billion on these three goods and services items. Some detail is provided on these below. The Commission is further of the view that there are additional goods and services related items that present space for reprioritisation</w:t>
      </w:r>
      <w:r w:rsidR="00FC603B">
        <w:t xml:space="preserve">, including </w:t>
      </w:r>
      <w:r w:rsidRPr="000D33E4">
        <w:t>spending on entertainment</w:t>
      </w:r>
      <w:r w:rsidR="009376F0" w:rsidRPr="000D33E4">
        <w:t>, workshops and conferences</w:t>
      </w:r>
      <w:r w:rsidR="00E27DE1" w:rsidRPr="00E27DE1">
        <w:t xml:space="preserve"> </w:t>
      </w:r>
      <w:r w:rsidR="00E27DE1">
        <w:t>and spending on consumables such as stationary, printing, office supplies</w:t>
      </w:r>
      <w:r w:rsidR="006965BC" w:rsidRPr="000D33E4">
        <w:t>.</w:t>
      </w:r>
      <w:r w:rsidRPr="000D33E4">
        <w:t xml:space="preserve"> </w:t>
      </w:r>
    </w:p>
    <w:p w14:paraId="6F1DA267" w14:textId="77777777" w:rsidR="00B75110" w:rsidRPr="000D33E4" w:rsidRDefault="00B75110" w:rsidP="007B1E55">
      <w:pPr>
        <w:rPr>
          <w:rFonts w:ascii="Times" w:hAnsi="Times"/>
        </w:rPr>
      </w:pPr>
    </w:p>
    <w:p w14:paraId="5EEC2B46" w14:textId="565151FE" w:rsidR="00B75110" w:rsidRDefault="00B75110" w:rsidP="00E827B9">
      <w:pPr>
        <w:rPr>
          <w:rFonts w:eastAsia="Calibri"/>
        </w:rPr>
      </w:pPr>
      <w:r w:rsidRPr="000D33E4">
        <w:rPr>
          <w:i/>
        </w:rPr>
        <w:t xml:space="preserve">Travel and </w:t>
      </w:r>
      <w:r w:rsidR="00FC603B">
        <w:rPr>
          <w:i/>
        </w:rPr>
        <w:t>s</w:t>
      </w:r>
      <w:r w:rsidRPr="000D33E4">
        <w:rPr>
          <w:i/>
        </w:rPr>
        <w:t xml:space="preserve">ubsistence: </w:t>
      </w:r>
      <w:r w:rsidRPr="000D33E4">
        <w:t xml:space="preserve">Travel and subsistence spending is projected at R19.2 billion over the next three years. </w:t>
      </w:r>
      <w:r w:rsidR="00B80F34" w:rsidRPr="00B80F34">
        <w:rPr>
          <w:rFonts w:ascii="Times" w:hAnsi="Times"/>
          <w:color w:val="000000" w:themeColor="text1"/>
        </w:rPr>
        <w:fldChar w:fldCharType="begin"/>
      </w:r>
      <w:r w:rsidR="00B80F34" w:rsidRPr="00B80F34">
        <w:rPr>
          <w:rFonts w:ascii="Times" w:hAnsi="Times"/>
          <w:color w:val="000000" w:themeColor="text1"/>
        </w:rPr>
        <w:instrText xml:space="preserve"> REF _Ref41139882 \h  \* MERGEFORMAT </w:instrText>
      </w:r>
      <w:r w:rsidR="00B80F34" w:rsidRPr="00B80F34">
        <w:rPr>
          <w:rFonts w:ascii="Times" w:hAnsi="Times"/>
          <w:color w:val="000000" w:themeColor="text1"/>
        </w:rPr>
      </w:r>
      <w:r w:rsidR="00B80F34" w:rsidRPr="00B80F34">
        <w:rPr>
          <w:rFonts w:ascii="Times" w:hAnsi="Times"/>
          <w:color w:val="000000" w:themeColor="text1"/>
        </w:rPr>
        <w:fldChar w:fldCharType="separate"/>
      </w:r>
      <w:r w:rsidR="00E06F06" w:rsidRPr="00E06F06">
        <w:rPr>
          <w:rFonts w:ascii="Times" w:hAnsi="Times"/>
          <w:color w:val="000000" w:themeColor="text1"/>
          <w:szCs w:val="24"/>
        </w:rPr>
        <w:t xml:space="preserve">Table </w:t>
      </w:r>
      <w:r w:rsidR="00E06F06" w:rsidRPr="00E06F06">
        <w:rPr>
          <w:rFonts w:ascii="Times" w:hAnsi="Times"/>
          <w:noProof/>
          <w:color w:val="000000" w:themeColor="text1"/>
          <w:szCs w:val="24"/>
        </w:rPr>
        <w:t>16</w:t>
      </w:r>
      <w:r w:rsidR="00B80F34" w:rsidRPr="00B80F34">
        <w:rPr>
          <w:rFonts w:ascii="Times" w:hAnsi="Times"/>
          <w:color w:val="000000" w:themeColor="text1"/>
        </w:rPr>
        <w:fldChar w:fldCharType="end"/>
      </w:r>
      <w:r w:rsidR="006965BC" w:rsidRPr="00B80F34">
        <w:rPr>
          <w:rFonts w:ascii="Times" w:hAnsi="Times"/>
          <w:color w:val="000000" w:themeColor="text1"/>
        </w:rPr>
        <w:t xml:space="preserve"> </w:t>
      </w:r>
      <w:r w:rsidR="006965BC" w:rsidRPr="000D33E4">
        <w:t>provides</w:t>
      </w:r>
      <w:r w:rsidRPr="000D33E4">
        <w:t xml:space="preserve"> a sense of these costs by function. The driver of these items of spending are departments within the peace and security function, specifically the </w:t>
      </w:r>
      <w:r w:rsidR="00B80F34" w:rsidRPr="000D33E4">
        <w:t xml:space="preserve">police and defence </w:t>
      </w:r>
      <w:r w:rsidRPr="000D33E4">
        <w:t>departments. In the economic development cluster, the main driver of travel and subsistence is the Department of Agriculture, Land Reform and Rural Development. C</w:t>
      </w:r>
      <w:r w:rsidRPr="000D33E4">
        <w:rPr>
          <w:rFonts w:eastAsia="Calibri"/>
        </w:rPr>
        <w:t xml:space="preserve">aution must be exercised </w:t>
      </w:r>
      <w:r w:rsidR="009376F0" w:rsidRPr="000D33E4">
        <w:rPr>
          <w:rFonts w:eastAsia="Calibri"/>
        </w:rPr>
        <w:t>when reprioriti</w:t>
      </w:r>
      <w:r w:rsidR="00B80F34">
        <w:rPr>
          <w:rFonts w:eastAsia="Calibri"/>
        </w:rPr>
        <w:t>s</w:t>
      </w:r>
      <w:r w:rsidR="009376F0" w:rsidRPr="000D33E4">
        <w:rPr>
          <w:rFonts w:eastAsia="Calibri"/>
        </w:rPr>
        <w:t>ing from this item</w:t>
      </w:r>
      <w:r w:rsidRPr="000D33E4">
        <w:rPr>
          <w:rFonts w:eastAsia="Calibri"/>
        </w:rPr>
        <w:t xml:space="preserve"> in respect of the </w:t>
      </w:r>
      <w:r w:rsidR="00B80F34">
        <w:rPr>
          <w:rFonts w:eastAsia="Calibri"/>
        </w:rPr>
        <w:t>p</w:t>
      </w:r>
      <w:r w:rsidRPr="000D33E4">
        <w:rPr>
          <w:rFonts w:eastAsia="Calibri"/>
        </w:rPr>
        <w:t xml:space="preserve">olice and </w:t>
      </w:r>
      <w:r w:rsidR="00B80F34">
        <w:rPr>
          <w:rFonts w:eastAsia="Calibri"/>
        </w:rPr>
        <w:t>d</w:t>
      </w:r>
      <w:r w:rsidRPr="000D33E4">
        <w:rPr>
          <w:rFonts w:eastAsia="Calibri"/>
        </w:rPr>
        <w:t xml:space="preserve">efence departments as they are key to ensuring compliance with lockdown regulations and restrictions. </w:t>
      </w:r>
    </w:p>
    <w:p w14:paraId="2544FEF6" w14:textId="77777777" w:rsidR="00E27DE1" w:rsidRDefault="00E27DE1" w:rsidP="00E827B9">
      <w:pPr>
        <w:rPr>
          <w:rFonts w:eastAsia="Calibri"/>
        </w:rPr>
      </w:pPr>
    </w:p>
    <w:p w14:paraId="62F5F7BC" w14:textId="62E8E3F6" w:rsidR="00E27DE1" w:rsidRPr="00566E4B" w:rsidRDefault="00566E4B" w:rsidP="006D0563">
      <w:pPr>
        <w:pStyle w:val="Caption"/>
        <w:keepNext/>
        <w:spacing w:after="60" w:line="240" w:lineRule="auto"/>
        <w:rPr>
          <w:rFonts w:ascii="Times" w:hAnsi="Times"/>
          <w:color w:val="004C45" w:themeColor="text2"/>
          <w:sz w:val="36"/>
          <w:szCs w:val="36"/>
        </w:rPr>
      </w:pPr>
      <w:bookmarkStart w:id="99" w:name="_Ref41139882"/>
      <w:bookmarkStart w:id="100" w:name="_Toc42212144"/>
      <w:r w:rsidRPr="00566E4B">
        <w:rPr>
          <w:color w:val="004C45" w:themeColor="text2"/>
          <w:sz w:val="24"/>
          <w:szCs w:val="24"/>
        </w:rPr>
        <w:t xml:space="preserve">Table </w:t>
      </w:r>
      <w:r w:rsidRPr="00566E4B">
        <w:rPr>
          <w:color w:val="004C45" w:themeColor="text2"/>
          <w:sz w:val="24"/>
          <w:szCs w:val="24"/>
        </w:rPr>
        <w:fldChar w:fldCharType="begin"/>
      </w:r>
      <w:r w:rsidRPr="00566E4B">
        <w:rPr>
          <w:color w:val="004C45" w:themeColor="text2"/>
          <w:sz w:val="24"/>
          <w:szCs w:val="24"/>
        </w:rPr>
        <w:instrText xml:space="preserve"> SEQ Table \* ARABIC </w:instrText>
      </w:r>
      <w:r w:rsidRPr="00566E4B">
        <w:rPr>
          <w:color w:val="004C45" w:themeColor="text2"/>
          <w:sz w:val="24"/>
          <w:szCs w:val="24"/>
        </w:rPr>
        <w:fldChar w:fldCharType="separate"/>
      </w:r>
      <w:r w:rsidR="00492893">
        <w:rPr>
          <w:noProof/>
          <w:color w:val="004C45" w:themeColor="text2"/>
          <w:sz w:val="24"/>
          <w:szCs w:val="24"/>
        </w:rPr>
        <w:t>16</w:t>
      </w:r>
      <w:r w:rsidRPr="00566E4B">
        <w:rPr>
          <w:color w:val="004C45" w:themeColor="text2"/>
          <w:sz w:val="24"/>
          <w:szCs w:val="24"/>
        </w:rPr>
        <w:fldChar w:fldCharType="end"/>
      </w:r>
      <w:bookmarkEnd w:id="99"/>
      <w:r w:rsidRPr="00566E4B">
        <w:rPr>
          <w:color w:val="004C45" w:themeColor="text2"/>
          <w:sz w:val="24"/>
          <w:szCs w:val="24"/>
        </w:rPr>
        <w:t>: Travel and subsistence spending by national departments over the 2020 MTEF period</w:t>
      </w:r>
      <w:bookmarkEnd w:id="100"/>
    </w:p>
    <w:tbl>
      <w:tblPr>
        <w:tblW w:w="9639" w:type="dxa"/>
        <w:jc w:val="center"/>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Look w:val="04A0" w:firstRow="1" w:lastRow="0" w:firstColumn="1" w:lastColumn="0" w:noHBand="0" w:noVBand="1"/>
      </w:tblPr>
      <w:tblGrid>
        <w:gridCol w:w="3880"/>
        <w:gridCol w:w="1000"/>
        <w:gridCol w:w="1000"/>
        <w:gridCol w:w="1000"/>
        <w:gridCol w:w="1560"/>
        <w:gridCol w:w="1199"/>
      </w:tblGrid>
      <w:tr w:rsidR="00B80F34" w:rsidRPr="00B80F34" w14:paraId="0AE736E8" w14:textId="77777777" w:rsidTr="008F7033">
        <w:trPr>
          <w:trHeight w:val="531"/>
          <w:jc w:val="center"/>
        </w:trPr>
        <w:tc>
          <w:tcPr>
            <w:tcW w:w="3880" w:type="dxa"/>
            <w:vMerge w:val="restart"/>
            <w:tcBorders>
              <w:bottom w:val="single" w:sz="4" w:space="0" w:color="D6E3BC" w:themeColor="accent3" w:themeTint="66"/>
            </w:tcBorders>
            <w:shd w:val="clear" w:color="auto" w:fill="auto"/>
            <w:noWrap/>
            <w:vAlign w:val="center"/>
            <w:hideMark/>
          </w:tcPr>
          <w:p w14:paraId="112DD55F" w14:textId="6BCCD513" w:rsidR="00B80F34" w:rsidRPr="00B80F34" w:rsidRDefault="00B80F34" w:rsidP="006142F1">
            <w:pPr>
              <w:keepNext/>
              <w:jc w:val="center"/>
              <w:rPr>
                <w:rFonts w:ascii="Times" w:hAnsi="Times"/>
                <w:sz w:val="20"/>
                <w:szCs w:val="20"/>
                <w:lang w:val="en-US"/>
              </w:rPr>
            </w:pPr>
            <w:r w:rsidRPr="00B80F34">
              <w:rPr>
                <w:rFonts w:ascii="Times" w:hAnsi="Times"/>
                <w:b/>
                <w:bCs/>
                <w:sz w:val="20"/>
                <w:szCs w:val="20"/>
                <w:lang w:val="en-US"/>
              </w:rPr>
              <w:t>Category (R</w:t>
            </w:r>
            <w:r>
              <w:rPr>
                <w:rFonts w:ascii="Times" w:hAnsi="Times"/>
                <w:b/>
                <w:bCs/>
                <w:sz w:val="20"/>
                <w:szCs w:val="20"/>
                <w:lang w:val="en-US"/>
              </w:rPr>
              <w:t xml:space="preserve"> </w:t>
            </w:r>
            <w:r w:rsidRPr="00B80F34">
              <w:rPr>
                <w:rFonts w:ascii="Times" w:hAnsi="Times"/>
                <w:b/>
                <w:bCs/>
                <w:sz w:val="20"/>
                <w:szCs w:val="20"/>
                <w:lang w:val="en-US"/>
              </w:rPr>
              <w:t>mil</w:t>
            </w:r>
            <w:r>
              <w:rPr>
                <w:rFonts w:ascii="Times" w:hAnsi="Times"/>
                <w:b/>
                <w:bCs/>
                <w:sz w:val="20"/>
                <w:szCs w:val="20"/>
                <w:lang w:val="en-US"/>
              </w:rPr>
              <w:t>lion</w:t>
            </w:r>
            <w:r w:rsidRPr="00B80F34">
              <w:rPr>
                <w:rFonts w:ascii="Times" w:hAnsi="Times"/>
                <w:b/>
                <w:bCs/>
                <w:sz w:val="20"/>
                <w:szCs w:val="20"/>
                <w:lang w:val="en-US"/>
              </w:rPr>
              <w:t>)</w:t>
            </w:r>
          </w:p>
        </w:tc>
        <w:tc>
          <w:tcPr>
            <w:tcW w:w="3000" w:type="dxa"/>
            <w:gridSpan w:val="3"/>
            <w:tcBorders>
              <w:bottom w:val="single" w:sz="4" w:space="0" w:color="D6E3BC" w:themeColor="accent3" w:themeTint="66"/>
            </w:tcBorders>
            <w:shd w:val="clear" w:color="auto" w:fill="auto"/>
            <w:vAlign w:val="center"/>
            <w:hideMark/>
          </w:tcPr>
          <w:p w14:paraId="265F4A78" w14:textId="719797DE" w:rsidR="00B80F34" w:rsidRPr="00B80F34" w:rsidRDefault="00B80F34" w:rsidP="006142F1">
            <w:pPr>
              <w:keepNext/>
              <w:jc w:val="center"/>
              <w:rPr>
                <w:rFonts w:ascii="Times" w:hAnsi="Times"/>
                <w:b/>
                <w:bCs/>
                <w:color w:val="000000"/>
                <w:sz w:val="20"/>
                <w:szCs w:val="20"/>
                <w:lang w:val="en-US"/>
              </w:rPr>
            </w:pPr>
            <w:r w:rsidRPr="00B80F34">
              <w:rPr>
                <w:rFonts w:ascii="Times" w:hAnsi="Times"/>
                <w:b/>
                <w:bCs/>
                <w:color w:val="000000"/>
                <w:sz w:val="20"/>
                <w:szCs w:val="20"/>
                <w:lang w:val="en-US"/>
              </w:rPr>
              <w:t>Medium-term expenditure estimates</w:t>
            </w:r>
          </w:p>
        </w:tc>
        <w:tc>
          <w:tcPr>
            <w:tcW w:w="1560" w:type="dxa"/>
            <w:tcBorders>
              <w:bottom w:val="single" w:sz="4" w:space="0" w:color="D6E3BC" w:themeColor="accent3" w:themeTint="66"/>
            </w:tcBorders>
            <w:shd w:val="clear" w:color="auto" w:fill="auto"/>
            <w:vAlign w:val="center"/>
            <w:hideMark/>
          </w:tcPr>
          <w:p w14:paraId="30B8B6D6" w14:textId="2C4CAFCF" w:rsidR="00B80F34" w:rsidRPr="00B80F34" w:rsidRDefault="00B80F34" w:rsidP="006142F1">
            <w:pPr>
              <w:keepNext/>
              <w:jc w:val="center"/>
              <w:rPr>
                <w:rFonts w:ascii="Times" w:hAnsi="Times"/>
                <w:b/>
                <w:bCs/>
                <w:color w:val="000000"/>
                <w:sz w:val="20"/>
                <w:szCs w:val="20"/>
                <w:lang w:val="en-US"/>
              </w:rPr>
            </w:pPr>
            <w:r w:rsidRPr="00B80F34">
              <w:rPr>
                <w:rFonts w:ascii="Times" w:hAnsi="Times"/>
                <w:b/>
                <w:bCs/>
                <w:color w:val="000000"/>
                <w:sz w:val="20"/>
                <w:szCs w:val="20"/>
                <w:lang w:val="en-US"/>
              </w:rPr>
              <w:t xml:space="preserve">Total </w:t>
            </w:r>
            <w:r>
              <w:rPr>
                <w:rFonts w:ascii="Times" w:hAnsi="Times"/>
                <w:b/>
                <w:bCs/>
                <w:color w:val="000000"/>
                <w:sz w:val="20"/>
                <w:szCs w:val="20"/>
                <w:lang w:val="en-US"/>
              </w:rPr>
              <w:t>o</w:t>
            </w:r>
            <w:r w:rsidRPr="00B80F34">
              <w:rPr>
                <w:rFonts w:ascii="Times" w:hAnsi="Times"/>
                <w:b/>
                <w:bCs/>
                <w:color w:val="000000"/>
                <w:sz w:val="20"/>
                <w:szCs w:val="20"/>
                <w:lang w:val="en-US"/>
              </w:rPr>
              <w:t>ver 2020 MTEF</w:t>
            </w:r>
          </w:p>
        </w:tc>
        <w:tc>
          <w:tcPr>
            <w:tcW w:w="1199" w:type="dxa"/>
            <w:vMerge w:val="restart"/>
            <w:tcBorders>
              <w:bottom w:val="single" w:sz="4" w:space="0" w:color="D6E3BC" w:themeColor="accent3" w:themeTint="66"/>
            </w:tcBorders>
            <w:shd w:val="clear" w:color="auto" w:fill="auto"/>
            <w:vAlign w:val="center"/>
            <w:hideMark/>
          </w:tcPr>
          <w:p w14:paraId="394AF008" w14:textId="77777777" w:rsidR="00B80F34" w:rsidRPr="00B80F34" w:rsidRDefault="00B80F34" w:rsidP="006142F1">
            <w:pPr>
              <w:keepNext/>
              <w:jc w:val="center"/>
              <w:rPr>
                <w:rFonts w:ascii="Times" w:hAnsi="Times"/>
                <w:b/>
                <w:bCs/>
                <w:color w:val="000000"/>
                <w:sz w:val="20"/>
                <w:szCs w:val="20"/>
                <w:lang w:val="en-US"/>
              </w:rPr>
            </w:pPr>
            <w:r w:rsidRPr="00B80F34">
              <w:rPr>
                <w:rFonts w:ascii="Times" w:hAnsi="Times"/>
                <w:b/>
                <w:bCs/>
                <w:color w:val="000000"/>
                <w:sz w:val="20"/>
                <w:szCs w:val="20"/>
                <w:lang w:val="en-US"/>
              </w:rPr>
              <w:t>% of MTEF Total</w:t>
            </w:r>
          </w:p>
        </w:tc>
      </w:tr>
      <w:tr w:rsidR="00B80F34" w:rsidRPr="00B80F34" w14:paraId="647DDBED" w14:textId="77777777" w:rsidTr="00B80F34">
        <w:trPr>
          <w:trHeight w:val="204"/>
          <w:jc w:val="center"/>
        </w:trPr>
        <w:tc>
          <w:tcPr>
            <w:tcW w:w="3880" w:type="dxa"/>
            <w:vMerge/>
            <w:shd w:val="clear" w:color="auto" w:fill="auto"/>
            <w:noWrap/>
            <w:vAlign w:val="center"/>
            <w:hideMark/>
          </w:tcPr>
          <w:p w14:paraId="60AB9AD9" w14:textId="77777777" w:rsidR="00B80F34" w:rsidRPr="00B80F34" w:rsidRDefault="00B80F34" w:rsidP="006142F1">
            <w:pPr>
              <w:keepNext/>
              <w:jc w:val="center"/>
              <w:rPr>
                <w:rFonts w:ascii="Times" w:hAnsi="Times"/>
                <w:b/>
                <w:bCs/>
                <w:sz w:val="20"/>
                <w:szCs w:val="20"/>
                <w:lang w:val="en-US"/>
              </w:rPr>
            </w:pPr>
          </w:p>
        </w:tc>
        <w:tc>
          <w:tcPr>
            <w:tcW w:w="1000" w:type="dxa"/>
            <w:shd w:val="clear" w:color="auto" w:fill="auto"/>
            <w:noWrap/>
            <w:vAlign w:val="center"/>
            <w:hideMark/>
          </w:tcPr>
          <w:p w14:paraId="32606A26" w14:textId="77777777" w:rsidR="00B80F34" w:rsidRPr="00B80F34" w:rsidRDefault="00B80F34" w:rsidP="006142F1">
            <w:pPr>
              <w:keepNext/>
              <w:jc w:val="center"/>
              <w:rPr>
                <w:rFonts w:ascii="Times" w:hAnsi="Times"/>
                <w:b/>
                <w:bCs/>
                <w:color w:val="000000"/>
                <w:sz w:val="20"/>
                <w:szCs w:val="20"/>
                <w:lang w:val="en-US"/>
              </w:rPr>
            </w:pPr>
            <w:r w:rsidRPr="00B80F34">
              <w:rPr>
                <w:rFonts w:ascii="Times" w:hAnsi="Times"/>
                <w:b/>
                <w:bCs/>
                <w:color w:val="000000"/>
                <w:sz w:val="20"/>
                <w:szCs w:val="20"/>
                <w:lang w:val="en-US"/>
              </w:rPr>
              <w:t>2020/21</w:t>
            </w:r>
          </w:p>
        </w:tc>
        <w:tc>
          <w:tcPr>
            <w:tcW w:w="1000" w:type="dxa"/>
            <w:shd w:val="clear" w:color="auto" w:fill="auto"/>
            <w:noWrap/>
            <w:vAlign w:val="center"/>
            <w:hideMark/>
          </w:tcPr>
          <w:p w14:paraId="37D4FC30" w14:textId="77777777" w:rsidR="00B80F34" w:rsidRPr="00B80F34" w:rsidRDefault="00B80F34" w:rsidP="006142F1">
            <w:pPr>
              <w:keepNext/>
              <w:jc w:val="center"/>
              <w:rPr>
                <w:rFonts w:ascii="Times" w:hAnsi="Times"/>
                <w:b/>
                <w:bCs/>
                <w:color w:val="000000"/>
                <w:sz w:val="20"/>
                <w:szCs w:val="20"/>
                <w:lang w:val="en-US"/>
              </w:rPr>
            </w:pPr>
            <w:r w:rsidRPr="00B80F34">
              <w:rPr>
                <w:rFonts w:ascii="Times" w:hAnsi="Times"/>
                <w:b/>
                <w:bCs/>
                <w:color w:val="000000"/>
                <w:sz w:val="20"/>
                <w:szCs w:val="20"/>
                <w:lang w:val="en-US"/>
              </w:rPr>
              <w:t>2021/22</w:t>
            </w:r>
          </w:p>
        </w:tc>
        <w:tc>
          <w:tcPr>
            <w:tcW w:w="1000" w:type="dxa"/>
            <w:shd w:val="clear" w:color="auto" w:fill="auto"/>
            <w:noWrap/>
            <w:vAlign w:val="center"/>
            <w:hideMark/>
          </w:tcPr>
          <w:p w14:paraId="00DB82C0" w14:textId="77777777" w:rsidR="00B80F34" w:rsidRPr="00B80F34" w:rsidRDefault="00B80F34" w:rsidP="006142F1">
            <w:pPr>
              <w:keepNext/>
              <w:jc w:val="center"/>
              <w:rPr>
                <w:rFonts w:ascii="Times" w:hAnsi="Times"/>
                <w:b/>
                <w:bCs/>
                <w:color w:val="000000"/>
                <w:sz w:val="20"/>
                <w:szCs w:val="20"/>
                <w:lang w:val="en-US"/>
              </w:rPr>
            </w:pPr>
            <w:r w:rsidRPr="00B80F34">
              <w:rPr>
                <w:rFonts w:ascii="Times" w:hAnsi="Times"/>
                <w:b/>
                <w:bCs/>
                <w:color w:val="000000"/>
                <w:sz w:val="20"/>
                <w:szCs w:val="20"/>
                <w:lang w:val="en-US"/>
              </w:rPr>
              <w:t>2022/23</w:t>
            </w:r>
          </w:p>
        </w:tc>
        <w:tc>
          <w:tcPr>
            <w:tcW w:w="1560" w:type="dxa"/>
            <w:shd w:val="clear" w:color="auto" w:fill="auto"/>
            <w:noWrap/>
            <w:vAlign w:val="center"/>
            <w:hideMark/>
          </w:tcPr>
          <w:p w14:paraId="0033B3E8" w14:textId="77777777" w:rsidR="00B80F34" w:rsidRPr="00B80F34" w:rsidRDefault="00B80F34" w:rsidP="006142F1">
            <w:pPr>
              <w:keepNext/>
              <w:jc w:val="center"/>
              <w:rPr>
                <w:rFonts w:ascii="Times" w:hAnsi="Times"/>
                <w:b/>
                <w:bCs/>
                <w:color w:val="000000"/>
                <w:sz w:val="20"/>
                <w:szCs w:val="20"/>
                <w:lang w:val="en-US"/>
              </w:rPr>
            </w:pPr>
            <w:r w:rsidRPr="00B80F34">
              <w:rPr>
                <w:rFonts w:ascii="Times" w:hAnsi="Times"/>
                <w:b/>
                <w:bCs/>
                <w:color w:val="000000"/>
                <w:sz w:val="20"/>
                <w:szCs w:val="20"/>
                <w:lang w:val="en-US"/>
              </w:rPr>
              <w:t>2021/22-2022/23</w:t>
            </w:r>
          </w:p>
        </w:tc>
        <w:tc>
          <w:tcPr>
            <w:tcW w:w="1199" w:type="dxa"/>
            <w:vMerge/>
            <w:vAlign w:val="center"/>
            <w:hideMark/>
          </w:tcPr>
          <w:p w14:paraId="5A896894" w14:textId="77777777" w:rsidR="00B80F34" w:rsidRPr="00B80F34" w:rsidRDefault="00B80F34" w:rsidP="006142F1">
            <w:pPr>
              <w:keepNext/>
              <w:jc w:val="center"/>
              <w:rPr>
                <w:rFonts w:ascii="Times" w:hAnsi="Times"/>
                <w:b/>
                <w:bCs/>
                <w:color w:val="000000"/>
                <w:sz w:val="20"/>
                <w:szCs w:val="20"/>
                <w:lang w:val="en-US"/>
              </w:rPr>
            </w:pPr>
          </w:p>
        </w:tc>
      </w:tr>
      <w:tr w:rsidR="00E27DE1" w:rsidRPr="00B80F34" w14:paraId="70221E7F" w14:textId="77777777" w:rsidTr="00B80F34">
        <w:trPr>
          <w:trHeight w:val="204"/>
          <w:jc w:val="center"/>
        </w:trPr>
        <w:tc>
          <w:tcPr>
            <w:tcW w:w="3880" w:type="dxa"/>
            <w:shd w:val="clear" w:color="auto" w:fill="auto"/>
            <w:noWrap/>
            <w:vAlign w:val="bottom"/>
            <w:hideMark/>
          </w:tcPr>
          <w:p w14:paraId="4B6B0596" w14:textId="77777777" w:rsidR="00E27DE1" w:rsidRPr="00B80F34" w:rsidRDefault="00E27DE1" w:rsidP="006142F1">
            <w:pPr>
              <w:keepNext/>
              <w:jc w:val="left"/>
              <w:rPr>
                <w:rFonts w:ascii="Times" w:hAnsi="Times"/>
                <w:sz w:val="20"/>
                <w:szCs w:val="20"/>
                <w:lang w:val="en-US"/>
              </w:rPr>
            </w:pPr>
            <w:r w:rsidRPr="00B80F34">
              <w:rPr>
                <w:rFonts w:ascii="Times" w:hAnsi="Times"/>
                <w:sz w:val="20"/>
                <w:szCs w:val="20"/>
                <w:lang w:val="en-US"/>
              </w:rPr>
              <w:t>Learning and culture</w:t>
            </w:r>
          </w:p>
        </w:tc>
        <w:tc>
          <w:tcPr>
            <w:tcW w:w="1000" w:type="dxa"/>
            <w:shd w:val="clear" w:color="auto" w:fill="auto"/>
            <w:noWrap/>
            <w:vAlign w:val="bottom"/>
            <w:hideMark/>
          </w:tcPr>
          <w:p w14:paraId="63C23A4F" w14:textId="77777777" w:rsidR="00E27DE1" w:rsidRPr="00B80F34" w:rsidRDefault="00E27DE1" w:rsidP="006142F1">
            <w:pPr>
              <w:keepNext/>
              <w:jc w:val="right"/>
              <w:rPr>
                <w:rFonts w:ascii="Times" w:hAnsi="Times"/>
                <w:color w:val="000000"/>
                <w:sz w:val="20"/>
                <w:szCs w:val="20"/>
                <w:lang w:val="en-US"/>
              </w:rPr>
            </w:pPr>
            <w:r w:rsidRPr="00B80F34">
              <w:rPr>
                <w:rFonts w:ascii="Times" w:hAnsi="Times"/>
                <w:color w:val="000000"/>
                <w:sz w:val="20"/>
                <w:szCs w:val="20"/>
                <w:lang w:val="en-US"/>
              </w:rPr>
              <w:t>410.08</w:t>
            </w:r>
          </w:p>
        </w:tc>
        <w:tc>
          <w:tcPr>
            <w:tcW w:w="1000" w:type="dxa"/>
            <w:shd w:val="clear" w:color="auto" w:fill="auto"/>
            <w:noWrap/>
            <w:vAlign w:val="bottom"/>
            <w:hideMark/>
          </w:tcPr>
          <w:p w14:paraId="2D43DB57" w14:textId="77777777" w:rsidR="00E27DE1" w:rsidRPr="00B80F34" w:rsidRDefault="00E27DE1" w:rsidP="006142F1">
            <w:pPr>
              <w:keepNext/>
              <w:jc w:val="right"/>
              <w:rPr>
                <w:rFonts w:ascii="Times" w:hAnsi="Times"/>
                <w:color w:val="000000"/>
                <w:sz w:val="20"/>
                <w:szCs w:val="20"/>
                <w:lang w:val="en-US"/>
              </w:rPr>
            </w:pPr>
            <w:r w:rsidRPr="00B80F34">
              <w:rPr>
                <w:rFonts w:ascii="Times" w:hAnsi="Times"/>
                <w:color w:val="000000"/>
                <w:sz w:val="20"/>
                <w:szCs w:val="20"/>
                <w:lang w:val="en-US"/>
              </w:rPr>
              <w:t>420.25</w:t>
            </w:r>
          </w:p>
        </w:tc>
        <w:tc>
          <w:tcPr>
            <w:tcW w:w="1000" w:type="dxa"/>
            <w:shd w:val="clear" w:color="auto" w:fill="auto"/>
            <w:noWrap/>
            <w:vAlign w:val="bottom"/>
            <w:hideMark/>
          </w:tcPr>
          <w:p w14:paraId="1F426F00" w14:textId="77777777" w:rsidR="00E27DE1" w:rsidRPr="00B80F34" w:rsidRDefault="00E27DE1" w:rsidP="006142F1">
            <w:pPr>
              <w:keepNext/>
              <w:jc w:val="right"/>
              <w:rPr>
                <w:rFonts w:ascii="Times" w:hAnsi="Times"/>
                <w:color w:val="000000"/>
                <w:sz w:val="20"/>
                <w:szCs w:val="20"/>
                <w:lang w:val="en-US"/>
              </w:rPr>
            </w:pPr>
            <w:r w:rsidRPr="00B80F34">
              <w:rPr>
                <w:rFonts w:ascii="Times" w:hAnsi="Times"/>
                <w:color w:val="000000"/>
                <w:sz w:val="20"/>
                <w:szCs w:val="20"/>
                <w:lang w:val="en-US"/>
              </w:rPr>
              <w:t>433.67</w:t>
            </w:r>
          </w:p>
        </w:tc>
        <w:tc>
          <w:tcPr>
            <w:tcW w:w="1560" w:type="dxa"/>
            <w:shd w:val="clear" w:color="auto" w:fill="auto"/>
            <w:noWrap/>
            <w:vAlign w:val="bottom"/>
            <w:hideMark/>
          </w:tcPr>
          <w:p w14:paraId="52A91709" w14:textId="1D2FF8F6" w:rsidR="00E27DE1" w:rsidRPr="00B80F34" w:rsidRDefault="00E27DE1" w:rsidP="006142F1">
            <w:pPr>
              <w:keepNext/>
              <w:jc w:val="right"/>
              <w:rPr>
                <w:rFonts w:ascii="Times" w:hAnsi="Times"/>
                <w:color w:val="000000"/>
                <w:sz w:val="20"/>
                <w:szCs w:val="20"/>
                <w:lang w:val="en-US"/>
              </w:rPr>
            </w:pPr>
            <w:r w:rsidRPr="00B80F34">
              <w:rPr>
                <w:rFonts w:ascii="Times" w:hAnsi="Times"/>
                <w:color w:val="000000"/>
                <w:sz w:val="20"/>
                <w:szCs w:val="20"/>
                <w:lang w:val="en-US"/>
              </w:rPr>
              <w:t>1</w:t>
            </w:r>
            <w:r w:rsidR="00B80F34">
              <w:rPr>
                <w:rFonts w:ascii="Times" w:hAnsi="Times"/>
                <w:color w:val="000000"/>
                <w:sz w:val="20"/>
                <w:szCs w:val="20"/>
                <w:lang w:val="en-US"/>
              </w:rPr>
              <w:t xml:space="preserve"> </w:t>
            </w:r>
            <w:r w:rsidRPr="00B80F34">
              <w:rPr>
                <w:rFonts w:ascii="Times" w:hAnsi="Times"/>
                <w:color w:val="000000"/>
                <w:sz w:val="20"/>
                <w:szCs w:val="20"/>
                <w:lang w:val="en-US"/>
              </w:rPr>
              <w:t>263.99</w:t>
            </w:r>
          </w:p>
        </w:tc>
        <w:tc>
          <w:tcPr>
            <w:tcW w:w="1199" w:type="dxa"/>
            <w:shd w:val="clear" w:color="auto" w:fill="auto"/>
            <w:noWrap/>
            <w:vAlign w:val="bottom"/>
            <w:hideMark/>
          </w:tcPr>
          <w:p w14:paraId="3BE58B69" w14:textId="77777777" w:rsidR="00E27DE1" w:rsidRPr="00B80F34" w:rsidRDefault="00E27DE1" w:rsidP="006142F1">
            <w:pPr>
              <w:keepNext/>
              <w:jc w:val="right"/>
              <w:rPr>
                <w:rFonts w:ascii="Times" w:hAnsi="Times"/>
                <w:color w:val="000000"/>
                <w:sz w:val="20"/>
                <w:szCs w:val="20"/>
                <w:lang w:val="en-US"/>
              </w:rPr>
            </w:pPr>
            <w:r w:rsidRPr="00B80F34">
              <w:rPr>
                <w:rFonts w:ascii="Times" w:hAnsi="Times"/>
                <w:color w:val="000000"/>
                <w:sz w:val="20"/>
                <w:szCs w:val="20"/>
                <w:lang w:val="en-US"/>
              </w:rPr>
              <w:t>6.6%</w:t>
            </w:r>
          </w:p>
        </w:tc>
      </w:tr>
      <w:tr w:rsidR="00E27DE1" w:rsidRPr="00B80F34" w14:paraId="7062B637" w14:textId="77777777" w:rsidTr="00B80F34">
        <w:trPr>
          <w:trHeight w:val="204"/>
          <w:jc w:val="center"/>
        </w:trPr>
        <w:tc>
          <w:tcPr>
            <w:tcW w:w="3880" w:type="dxa"/>
            <w:shd w:val="clear" w:color="auto" w:fill="auto"/>
            <w:noWrap/>
            <w:vAlign w:val="bottom"/>
            <w:hideMark/>
          </w:tcPr>
          <w:p w14:paraId="67F8E8CB" w14:textId="77777777" w:rsidR="00E27DE1" w:rsidRPr="00B80F34" w:rsidRDefault="00E27DE1" w:rsidP="006142F1">
            <w:pPr>
              <w:keepNext/>
              <w:jc w:val="left"/>
              <w:rPr>
                <w:rFonts w:ascii="Times" w:hAnsi="Times"/>
                <w:sz w:val="20"/>
                <w:szCs w:val="20"/>
                <w:lang w:val="en-US"/>
              </w:rPr>
            </w:pPr>
            <w:r w:rsidRPr="00B80F34">
              <w:rPr>
                <w:rFonts w:ascii="Times" w:hAnsi="Times"/>
                <w:sz w:val="20"/>
                <w:szCs w:val="20"/>
                <w:lang w:val="en-US"/>
              </w:rPr>
              <w:t>Health</w:t>
            </w:r>
          </w:p>
        </w:tc>
        <w:tc>
          <w:tcPr>
            <w:tcW w:w="1000" w:type="dxa"/>
            <w:shd w:val="clear" w:color="auto" w:fill="auto"/>
            <w:noWrap/>
            <w:vAlign w:val="bottom"/>
            <w:hideMark/>
          </w:tcPr>
          <w:p w14:paraId="53079AEC" w14:textId="77777777" w:rsidR="00E27DE1" w:rsidRPr="00B80F34" w:rsidRDefault="00E27DE1" w:rsidP="006142F1">
            <w:pPr>
              <w:keepNext/>
              <w:jc w:val="right"/>
              <w:rPr>
                <w:rFonts w:ascii="Times" w:hAnsi="Times"/>
                <w:color w:val="000000"/>
                <w:sz w:val="20"/>
                <w:szCs w:val="20"/>
                <w:lang w:val="en-US"/>
              </w:rPr>
            </w:pPr>
            <w:r w:rsidRPr="00B80F34">
              <w:rPr>
                <w:rFonts w:ascii="Times" w:hAnsi="Times"/>
                <w:color w:val="000000"/>
                <w:sz w:val="20"/>
                <w:szCs w:val="20"/>
                <w:lang w:val="en-US"/>
              </w:rPr>
              <w:t>113.3</w:t>
            </w:r>
          </w:p>
        </w:tc>
        <w:tc>
          <w:tcPr>
            <w:tcW w:w="1000" w:type="dxa"/>
            <w:shd w:val="clear" w:color="auto" w:fill="auto"/>
            <w:noWrap/>
            <w:vAlign w:val="bottom"/>
            <w:hideMark/>
          </w:tcPr>
          <w:p w14:paraId="65CF2E24" w14:textId="77777777" w:rsidR="00E27DE1" w:rsidRPr="00B80F34" w:rsidRDefault="00E27DE1" w:rsidP="006142F1">
            <w:pPr>
              <w:keepNext/>
              <w:jc w:val="right"/>
              <w:rPr>
                <w:rFonts w:ascii="Times" w:hAnsi="Times"/>
                <w:color w:val="000000"/>
                <w:sz w:val="20"/>
                <w:szCs w:val="20"/>
                <w:lang w:val="en-US"/>
              </w:rPr>
            </w:pPr>
            <w:r w:rsidRPr="00B80F34">
              <w:rPr>
                <w:rFonts w:ascii="Times" w:hAnsi="Times"/>
                <w:color w:val="000000"/>
                <w:sz w:val="20"/>
                <w:szCs w:val="20"/>
                <w:lang w:val="en-US"/>
              </w:rPr>
              <w:t>122.4</w:t>
            </w:r>
          </w:p>
        </w:tc>
        <w:tc>
          <w:tcPr>
            <w:tcW w:w="1000" w:type="dxa"/>
            <w:shd w:val="clear" w:color="auto" w:fill="auto"/>
            <w:noWrap/>
            <w:vAlign w:val="bottom"/>
            <w:hideMark/>
          </w:tcPr>
          <w:p w14:paraId="582A162F" w14:textId="77777777" w:rsidR="00E27DE1" w:rsidRPr="00B80F34" w:rsidRDefault="00E27DE1" w:rsidP="006142F1">
            <w:pPr>
              <w:keepNext/>
              <w:jc w:val="right"/>
              <w:rPr>
                <w:rFonts w:ascii="Times" w:hAnsi="Times"/>
                <w:color w:val="000000"/>
                <w:sz w:val="20"/>
                <w:szCs w:val="20"/>
                <w:lang w:val="en-US"/>
              </w:rPr>
            </w:pPr>
            <w:r w:rsidRPr="00B80F34">
              <w:rPr>
                <w:rFonts w:ascii="Times" w:hAnsi="Times"/>
                <w:color w:val="000000"/>
                <w:sz w:val="20"/>
                <w:szCs w:val="20"/>
                <w:lang w:val="en-US"/>
              </w:rPr>
              <w:t>124.30</w:t>
            </w:r>
          </w:p>
        </w:tc>
        <w:tc>
          <w:tcPr>
            <w:tcW w:w="1560" w:type="dxa"/>
            <w:shd w:val="clear" w:color="auto" w:fill="auto"/>
            <w:noWrap/>
            <w:vAlign w:val="bottom"/>
            <w:hideMark/>
          </w:tcPr>
          <w:p w14:paraId="61A1F39F" w14:textId="77777777" w:rsidR="00E27DE1" w:rsidRPr="00B80F34" w:rsidRDefault="00E27DE1" w:rsidP="006142F1">
            <w:pPr>
              <w:keepNext/>
              <w:jc w:val="right"/>
              <w:rPr>
                <w:rFonts w:ascii="Times" w:hAnsi="Times"/>
                <w:color w:val="000000"/>
                <w:sz w:val="20"/>
                <w:szCs w:val="20"/>
                <w:lang w:val="en-US"/>
              </w:rPr>
            </w:pPr>
            <w:r w:rsidRPr="00B80F34">
              <w:rPr>
                <w:rFonts w:ascii="Times" w:hAnsi="Times"/>
                <w:color w:val="000000"/>
                <w:sz w:val="20"/>
                <w:szCs w:val="20"/>
                <w:lang w:val="en-US"/>
              </w:rPr>
              <w:t>360.01</w:t>
            </w:r>
          </w:p>
        </w:tc>
        <w:tc>
          <w:tcPr>
            <w:tcW w:w="1199" w:type="dxa"/>
            <w:shd w:val="clear" w:color="auto" w:fill="auto"/>
            <w:noWrap/>
            <w:vAlign w:val="bottom"/>
            <w:hideMark/>
          </w:tcPr>
          <w:p w14:paraId="1D0BFFD8" w14:textId="77777777" w:rsidR="00E27DE1" w:rsidRPr="00B80F34" w:rsidRDefault="00E27DE1" w:rsidP="006142F1">
            <w:pPr>
              <w:keepNext/>
              <w:jc w:val="right"/>
              <w:rPr>
                <w:rFonts w:ascii="Times" w:hAnsi="Times"/>
                <w:color w:val="000000"/>
                <w:sz w:val="20"/>
                <w:szCs w:val="20"/>
                <w:lang w:val="en-US"/>
              </w:rPr>
            </w:pPr>
            <w:r w:rsidRPr="00B80F34">
              <w:rPr>
                <w:rFonts w:ascii="Times" w:hAnsi="Times"/>
                <w:color w:val="000000"/>
                <w:sz w:val="20"/>
                <w:szCs w:val="20"/>
                <w:lang w:val="en-US"/>
              </w:rPr>
              <w:t>1.9%</w:t>
            </w:r>
          </w:p>
        </w:tc>
      </w:tr>
      <w:tr w:rsidR="00E27DE1" w:rsidRPr="00B80F34" w14:paraId="3C1FDCDD" w14:textId="77777777" w:rsidTr="00B80F34">
        <w:trPr>
          <w:trHeight w:val="204"/>
          <w:jc w:val="center"/>
        </w:trPr>
        <w:tc>
          <w:tcPr>
            <w:tcW w:w="3880" w:type="dxa"/>
            <w:shd w:val="clear" w:color="auto" w:fill="auto"/>
            <w:noWrap/>
            <w:vAlign w:val="bottom"/>
            <w:hideMark/>
          </w:tcPr>
          <w:p w14:paraId="15F55764" w14:textId="77777777" w:rsidR="00E27DE1" w:rsidRPr="00B80F34" w:rsidRDefault="00E27DE1" w:rsidP="006142F1">
            <w:pPr>
              <w:keepNext/>
              <w:jc w:val="left"/>
              <w:rPr>
                <w:rFonts w:ascii="Times" w:hAnsi="Times"/>
                <w:sz w:val="20"/>
                <w:szCs w:val="20"/>
                <w:lang w:val="en-US"/>
              </w:rPr>
            </w:pPr>
            <w:r w:rsidRPr="00B80F34">
              <w:rPr>
                <w:rFonts w:ascii="Times" w:hAnsi="Times"/>
                <w:sz w:val="20"/>
                <w:szCs w:val="20"/>
                <w:lang w:val="en-US"/>
              </w:rPr>
              <w:t>Social development</w:t>
            </w:r>
          </w:p>
        </w:tc>
        <w:tc>
          <w:tcPr>
            <w:tcW w:w="1000" w:type="dxa"/>
            <w:shd w:val="clear" w:color="auto" w:fill="auto"/>
            <w:noWrap/>
            <w:vAlign w:val="bottom"/>
            <w:hideMark/>
          </w:tcPr>
          <w:p w14:paraId="0026511A" w14:textId="77777777" w:rsidR="00E27DE1" w:rsidRPr="00B80F34" w:rsidRDefault="00E27DE1" w:rsidP="006142F1">
            <w:pPr>
              <w:keepNext/>
              <w:jc w:val="right"/>
              <w:rPr>
                <w:rFonts w:ascii="Times" w:hAnsi="Times"/>
                <w:color w:val="000000"/>
                <w:sz w:val="20"/>
                <w:szCs w:val="20"/>
                <w:lang w:val="en-US"/>
              </w:rPr>
            </w:pPr>
            <w:r w:rsidRPr="00B80F34">
              <w:rPr>
                <w:rFonts w:ascii="Times" w:hAnsi="Times"/>
                <w:color w:val="000000"/>
                <w:sz w:val="20"/>
                <w:szCs w:val="20"/>
                <w:lang w:val="en-US"/>
              </w:rPr>
              <w:t>97.77</w:t>
            </w:r>
          </w:p>
        </w:tc>
        <w:tc>
          <w:tcPr>
            <w:tcW w:w="1000" w:type="dxa"/>
            <w:shd w:val="clear" w:color="auto" w:fill="auto"/>
            <w:noWrap/>
            <w:vAlign w:val="bottom"/>
            <w:hideMark/>
          </w:tcPr>
          <w:p w14:paraId="590207A5" w14:textId="77777777" w:rsidR="00E27DE1" w:rsidRPr="00B80F34" w:rsidRDefault="00E27DE1" w:rsidP="006142F1">
            <w:pPr>
              <w:keepNext/>
              <w:jc w:val="right"/>
              <w:rPr>
                <w:rFonts w:ascii="Times" w:hAnsi="Times"/>
                <w:color w:val="000000"/>
                <w:sz w:val="20"/>
                <w:szCs w:val="20"/>
                <w:lang w:val="en-US"/>
              </w:rPr>
            </w:pPr>
            <w:r w:rsidRPr="00B80F34">
              <w:rPr>
                <w:rFonts w:ascii="Times" w:hAnsi="Times"/>
                <w:color w:val="000000"/>
                <w:sz w:val="20"/>
                <w:szCs w:val="20"/>
                <w:lang w:val="en-US"/>
              </w:rPr>
              <w:t>108.90</w:t>
            </w:r>
          </w:p>
        </w:tc>
        <w:tc>
          <w:tcPr>
            <w:tcW w:w="1000" w:type="dxa"/>
            <w:shd w:val="clear" w:color="auto" w:fill="auto"/>
            <w:noWrap/>
            <w:vAlign w:val="bottom"/>
            <w:hideMark/>
          </w:tcPr>
          <w:p w14:paraId="3DEC1D6F" w14:textId="77777777" w:rsidR="00E27DE1" w:rsidRPr="00B80F34" w:rsidRDefault="00E27DE1" w:rsidP="006142F1">
            <w:pPr>
              <w:keepNext/>
              <w:jc w:val="right"/>
              <w:rPr>
                <w:rFonts w:ascii="Times" w:hAnsi="Times"/>
                <w:color w:val="000000"/>
                <w:sz w:val="20"/>
                <w:szCs w:val="20"/>
                <w:lang w:val="en-US"/>
              </w:rPr>
            </w:pPr>
            <w:r w:rsidRPr="00B80F34">
              <w:rPr>
                <w:rFonts w:ascii="Times" w:hAnsi="Times"/>
                <w:color w:val="000000"/>
                <w:sz w:val="20"/>
                <w:szCs w:val="20"/>
                <w:lang w:val="en-US"/>
              </w:rPr>
              <w:t>110.74</w:t>
            </w:r>
          </w:p>
        </w:tc>
        <w:tc>
          <w:tcPr>
            <w:tcW w:w="1560" w:type="dxa"/>
            <w:shd w:val="clear" w:color="auto" w:fill="auto"/>
            <w:noWrap/>
            <w:vAlign w:val="bottom"/>
            <w:hideMark/>
          </w:tcPr>
          <w:p w14:paraId="2632010B" w14:textId="77777777" w:rsidR="00E27DE1" w:rsidRPr="00B80F34" w:rsidRDefault="00E27DE1" w:rsidP="006142F1">
            <w:pPr>
              <w:keepNext/>
              <w:jc w:val="right"/>
              <w:rPr>
                <w:rFonts w:ascii="Times" w:hAnsi="Times"/>
                <w:color w:val="000000"/>
                <w:sz w:val="20"/>
                <w:szCs w:val="20"/>
                <w:lang w:val="en-US"/>
              </w:rPr>
            </w:pPr>
            <w:r w:rsidRPr="00B80F34">
              <w:rPr>
                <w:rFonts w:ascii="Times" w:hAnsi="Times"/>
                <w:color w:val="000000"/>
                <w:sz w:val="20"/>
                <w:szCs w:val="20"/>
                <w:lang w:val="en-US"/>
              </w:rPr>
              <w:t>317.40</w:t>
            </w:r>
          </w:p>
        </w:tc>
        <w:tc>
          <w:tcPr>
            <w:tcW w:w="1199" w:type="dxa"/>
            <w:shd w:val="clear" w:color="auto" w:fill="auto"/>
            <w:noWrap/>
            <w:vAlign w:val="bottom"/>
            <w:hideMark/>
          </w:tcPr>
          <w:p w14:paraId="675ED50A" w14:textId="77777777" w:rsidR="00E27DE1" w:rsidRPr="00B80F34" w:rsidRDefault="00E27DE1" w:rsidP="006142F1">
            <w:pPr>
              <w:keepNext/>
              <w:jc w:val="right"/>
              <w:rPr>
                <w:rFonts w:ascii="Times" w:hAnsi="Times"/>
                <w:color w:val="000000"/>
                <w:sz w:val="20"/>
                <w:szCs w:val="20"/>
                <w:lang w:val="en-US"/>
              </w:rPr>
            </w:pPr>
            <w:r w:rsidRPr="00B80F34">
              <w:rPr>
                <w:rFonts w:ascii="Times" w:hAnsi="Times"/>
                <w:color w:val="000000"/>
                <w:sz w:val="20"/>
                <w:szCs w:val="20"/>
                <w:lang w:val="en-US"/>
              </w:rPr>
              <w:t>1.7%</w:t>
            </w:r>
          </w:p>
        </w:tc>
      </w:tr>
      <w:tr w:rsidR="00E27DE1" w:rsidRPr="00B80F34" w14:paraId="45B0DC09" w14:textId="77777777" w:rsidTr="00B80F34">
        <w:trPr>
          <w:trHeight w:val="204"/>
          <w:jc w:val="center"/>
        </w:trPr>
        <w:tc>
          <w:tcPr>
            <w:tcW w:w="3880" w:type="dxa"/>
            <w:shd w:val="clear" w:color="auto" w:fill="auto"/>
            <w:noWrap/>
            <w:vAlign w:val="bottom"/>
            <w:hideMark/>
          </w:tcPr>
          <w:p w14:paraId="2D68EA45" w14:textId="77777777" w:rsidR="00E27DE1" w:rsidRPr="00B80F34" w:rsidRDefault="00E27DE1" w:rsidP="006142F1">
            <w:pPr>
              <w:keepNext/>
              <w:jc w:val="left"/>
              <w:rPr>
                <w:rFonts w:ascii="Times" w:hAnsi="Times"/>
                <w:sz w:val="20"/>
                <w:szCs w:val="20"/>
                <w:lang w:val="en-US"/>
              </w:rPr>
            </w:pPr>
            <w:r w:rsidRPr="00B80F34">
              <w:rPr>
                <w:rFonts w:ascii="Times" w:hAnsi="Times"/>
                <w:sz w:val="20"/>
                <w:szCs w:val="20"/>
                <w:lang w:val="en-US"/>
              </w:rPr>
              <w:t>Community development</w:t>
            </w:r>
          </w:p>
        </w:tc>
        <w:tc>
          <w:tcPr>
            <w:tcW w:w="1000" w:type="dxa"/>
            <w:shd w:val="clear" w:color="auto" w:fill="auto"/>
            <w:noWrap/>
            <w:vAlign w:val="bottom"/>
            <w:hideMark/>
          </w:tcPr>
          <w:p w14:paraId="2CF026B2" w14:textId="77777777" w:rsidR="00E27DE1" w:rsidRPr="00B80F34" w:rsidRDefault="00E27DE1" w:rsidP="006142F1">
            <w:pPr>
              <w:keepNext/>
              <w:jc w:val="right"/>
              <w:rPr>
                <w:rFonts w:ascii="Times" w:hAnsi="Times"/>
                <w:color w:val="000000"/>
                <w:sz w:val="20"/>
                <w:szCs w:val="20"/>
                <w:lang w:val="en-US"/>
              </w:rPr>
            </w:pPr>
            <w:r w:rsidRPr="00B80F34">
              <w:rPr>
                <w:rFonts w:ascii="Times" w:hAnsi="Times"/>
                <w:color w:val="000000"/>
                <w:sz w:val="20"/>
                <w:szCs w:val="20"/>
                <w:lang w:val="en-US"/>
              </w:rPr>
              <w:t>277.87</w:t>
            </w:r>
          </w:p>
        </w:tc>
        <w:tc>
          <w:tcPr>
            <w:tcW w:w="1000" w:type="dxa"/>
            <w:shd w:val="clear" w:color="auto" w:fill="auto"/>
            <w:noWrap/>
            <w:vAlign w:val="bottom"/>
            <w:hideMark/>
          </w:tcPr>
          <w:p w14:paraId="14093509" w14:textId="77777777" w:rsidR="00E27DE1" w:rsidRPr="00B80F34" w:rsidRDefault="00E27DE1" w:rsidP="006142F1">
            <w:pPr>
              <w:keepNext/>
              <w:jc w:val="right"/>
              <w:rPr>
                <w:rFonts w:ascii="Times" w:hAnsi="Times"/>
                <w:color w:val="000000"/>
                <w:sz w:val="20"/>
                <w:szCs w:val="20"/>
                <w:lang w:val="en-US"/>
              </w:rPr>
            </w:pPr>
            <w:r w:rsidRPr="00B80F34">
              <w:rPr>
                <w:rFonts w:ascii="Times" w:hAnsi="Times"/>
                <w:color w:val="000000"/>
                <w:sz w:val="20"/>
                <w:szCs w:val="20"/>
                <w:lang w:val="en-US"/>
              </w:rPr>
              <w:t>291.49</w:t>
            </w:r>
          </w:p>
        </w:tc>
        <w:tc>
          <w:tcPr>
            <w:tcW w:w="1000" w:type="dxa"/>
            <w:shd w:val="clear" w:color="auto" w:fill="auto"/>
            <w:noWrap/>
            <w:vAlign w:val="bottom"/>
            <w:hideMark/>
          </w:tcPr>
          <w:p w14:paraId="404460DA" w14:textId="77777777" w:rsidR="00E27DE1" w:rsidRPr="00B80F34" w:rsidRDefault="00E27DE1" w:rsidP="006142F1">
            <w:pPr>
              <w:keepNext/>
              <w:jc w:val="right"/>
              <w:rPr>
                <w:rFonts w:ascii="Times" w:hAnsi="Times"/>
                <w:color w:val="000000"/>
                <w:sz w:val="20"/>
                <w:szCs w:val="20"/>
                <w:lang w:val="en-US"/>
              </w:rPr>
            </w:pPr>
            <w:r w:rsidRPr="00B80F34">
              <w:rPr>
                <w:rFonts w:ascii="Times" w:hAnsi="Times"/>
                <w:color w:val="000000"/>
                <w:sz w:val="20"/>
                <w:szCs w:val="20"/>
                <w:lang w:val="en-US"/>
              </w:rPr>
              <w:t>303.78</w:t>
            </w:r>
          </w:p>
        </w:tc>
        <w:tc>
          <w:tcPr>
            <w:tcW w:w="1560" w:type="dxa"/>
            <w:shd w:val="clear" w:color="auto" w:fill="auto"/>
            <w:noWrap/>
            <w:vAlign w:val="bottom"/>
            <w:hideMark/>
          </w:tcPr>
          <w:p w14:paraId="1A446915" w14:textId="77777777" w:rsidR="00E27DE1" w:rsidRPr="00B80F34" w:rsidRDefault="00E27DE1" w:rsidP="006142F1">
            <w:pPr>
              <w:keepNext/>
              <w:jc w:val="right"/>
              <w:rPr>
                <w:rFonts w:ascii="Times" w:hAnsi="Times"/>
                <w:color w:val="000000"/>
                <w:sz w:val="20"/>
                <w:szCs w:val="20"/>
                <w:lang w:val="en-US"/>
              </w:rPr>
            </w:pPr>
            <w:r w:rsidRPr="00B80F34">
              <w:rPr>
                <w:rFonts w:ascii="Times" w:hAnsi="Times"/>
                <w:color w:val="000000"/>
                <w:sz w:val="20"/>
                <w:szCs w:val="20"/>
                <w:lang w:val="en-US"/>
              </w:rPr>
              <w:t>873.13</w:t>
            </w:r>
          </w:p>
        </w:tc>
        <w:tc>
          <w:tcPr>
            <w:tcW w:w="1199" w:type="dxa"/>
            <w:shd w:val="clear" w:color="auto" w:fill="auto"/>
            <w:noWrap/>
            <w:vAlign w:val="bottom"/>
            <w:hideMark/>
          </w:tcPr>
          <w:p w14:paraId="4D8014F5" w14:textId="77777777" w:rsidR="00E27DE1" w:rsidRPr="00B80F34" w:rsidRDefault="00E27DE1" w:rsidP="006142F1">
            <w:pPr>
              <w:keepNext/>
              <w:jc w:val="right"/>
              <w:rPr>
                <w:rFonts w:ascii="Times" w:hAnsi="Times"/>
                <w:color w:val="000000"/>
                <w:sz w:val="20"/>
                <w:szCs w:val="20"/>
                <w:lang w:val="en-US"/>
              </w:rPr>
            </w:pPr>
            <w:r w:rsidRPr="00B80F34">
              <w:rPr>
                <w:rFonts w:ascii="Times" w:hAnsi="Times"/>
                <w:color w:val="000000"/>
                <w:sz w:val="20"/>
                <w:szCs w:val="20"/>
                <w:lang w:val="en-US"/>
              </w:rPr>
              <w:t>4.5%</w:t>
            </w:r>
          </w:p>
        </w:tc>
      </w:tr>
      <w:tr w:rsidR="00E27DE1" w:rsidRPr="00B80F34" w14:paraId="4D06E37C" w14:textId="77777777" w:rsidTr="00B80F34">
        <w:trPr>
          <w:trHeight w:val="204"/>
          <w:jc w:val="center"/>
        </w:trPr>
        <w:tc>
          <w:tcPr>
            <w:tcW w:w="3880" w:type="dxa"/>
            <w:shd w:val="clear" w:color="auto" w:fill="auto"/>
            <w:noWrap/>
            <w:vAlign w:val="bottom"/>
            <w:hideMark/>
          </w:tcPr>
          <w:p w14:paraId="2CF627BA" w14:textId="77777777" w:rsidR="00E27DE1" w:rsidRPr="00B80F34" w:rsidRDefault="00E27DE1" w:rsidP="006142F1">
            <w:pPr>
              <w:keepNext/>
              <w:jc w:val="left"/>
              <w:rPr>
                <w:rFonts w:ascii="Times" w:hAnsi="Times"/>
                <w:sz w:val="20"/>
                <w:szCs w:val="20"/>
                <w:lang w:val="en-US"/>
              </w:rPr>
            </w:pPr>
            <w:r w:rsidRPr="00B80F34">
              <w:rPr>
                <w:rFonts w:ascii="Times" w:hAnsi="Times"/>
                <w:sz w:val="20"/>
                <w:szCs w:val="20"/>
                <w:lang w:val="en-US"/>
              </w:rPr>
              <w:t>Economic development</w:t>
            </w:r>
          </w:p>
        </w:tc>
        <w:tc>
          <w:tcPr>
            <w:tcW w:w="1000" w:type="dxa"/>
            <w:shd w:val="clear" w:color="auto" w:fill="auto"/>
            <w:noWrap/>
            <w:vAlign w:val="bottom"/>
            <w:hideMark/>
          </w:tcPr>
          <w:p w14:paraId="7A5ED7F8" w14:textId="366F7FB3" w:rsidR="00E27DE1" w:rsidRPr="00B80F34" w:rsidRDefault="00E27DE1" w:rsidP="006142F1">
            <w:pPr>
              <w:keepNext/>
              <w:jc w:val="right"/>
              <w:rPr>
                <w:rFonts w:ascii="Times" w:hAnsi="Times"/>
                <w:color w:val="000000"/>
                <w:sz w:val="20"/>
                <w:szCs w:val="20"/>
                <w:lang w:val="en-US"/>
              </w:rPr>
            </w:pPr>
            <w:r w:rsidRPr="00B80F34">
              <w:rPr>
                <w:rFonts w:ascii="Times" w:hAnsi="Times"/>
                <w:color w:val="000000"/>
                <w:sz w:val="20"/>
                <w:szCs w:val="20"/>
                <w:lang w:val="en-US"/>
              </w:rPr>
              <w:t>1</w:t>
            </w:r>
            <w:r w:rsidR="00B80F34">
              <w:rPr>
                <w:rFonts w:ascii="Times" w:hAnsi="Times"/>
                <w:color w:val="000000"/>
                <w:sz w:val="20"/>
                <w:szCs w:val="20"/>
                <w:lang w:val="en-US"/>
              </w:rPr>
              <w:t xml:space="preserve"> </w:t>
            </w:r>
            <w:r w:rsidRPr="00B80F34">
              <w:rPr>
                <w:rFonts w:ascii="Times" w:hAnsi="Times"/>
                <w:color w:val="000000"/>
                <w:sz w:val="20"/>
                <w:szCs w:val="20"/>
                <w:lang w:val="en-US"/>
              </w:rPr>
              <w:t>276.93</w:t>
            </w:r>
          </w:p>
        </w:tc>
        <w:tc>
          <w:tcPr>
            <w:tcW w:w="1000" w:type="dxa"/>
            <w:shd w:val="clear" w:color="auto" w:fill="auto"/>
            <w:noWrap/>
            <w:vAlign w:val="bottom"/>
            <w:hideMark/>
          </w:tcPr>
          <w:p w14:paraId="23903749" w14:textId="299E7E25" w:rsidR="00E27DE1" w:rsidRPr="00B80F34" w:rsidRDefault="00E27DE1" w:rsidP="006142F1">
            <w:pPr>
              <w:keepNext/>
              <w:jc w:val="right"/>
              <w:rPr>
                <w:rFonts w:ascii="Times" w:hAnsi="Times"/>
                <w:color w:val="000000"/>
                <w:sz w:val="20"/>
                <w:szCs w:val="20"/>
                <w:lang w:val="en-US"/>
              </w:rPr>
            </w:pPr>
            <w:r w:rsidRPr="00B80F34">
              <w:rPr>
                <w:rFonts w:ascii="Times" w:hAnsi="Times"/>
                <w:color w:val="000000"/>
                <w:sz w:val="20"/>
                <w:szCs w:val="20"/>
                <w:lang w:val="en-US"/>
              </w:rPr>
              <w:t>1</w:t>
            </w:r>
            <w:r w:rsidR="00B80F34">
              <w:rPr>
                <w:rFonts w:ascii="Times" w:hAnsi="Times"/>
                <w:color w:val="000000"/>
                <w:sz w:val="20"/>
                <w:szCs w:val="20"/>
                <w:lang w:val="en-US"/>
              </w:rPr>
              <w:t xml:space="preserve"> </w:t>
            </w:r>
            <w:r w:rsidRPr="00B80F34">
              <w:rPr>
                <w:rFonts w:ascii="Times" w:hAnsi="Times"/>
                <w:color w:val="000000"/>
                <w:sz w:val="20"/>
                <w:szCs w:val="20"/>
                <w:lang w:val="en-US"/>
              </w:rPr>
              <w:t>351.76</w:t>
            </w:r>
          </w:p>
        </w:tc>
        <w:tc>
          <w:tcPr>
            <w:tcW w:w="1000" w:type="dxa"/>
            <w:shd w:val="clear" w:color="auto" w:fill="auto"/>
            <w:noWrap/>
            <w:vAlign w:val="bottom"/>
            <w:hideMark/>
          </w:tcPr>
          <w:p w14:paraId="6EA5BE76" w14:textId="5A1F2A29" w:rsidR="00E27DE1" w:rsidRPr="00B80F34" w:rsidRDefault="00E27DE1" w:rsidP="006142F1">
            <w:pPr>
              <w:keepNext/>
              <w:jc w:val="right"/>
              <w:rPr>
                <w:rFonts w:ascii="Times" w:hAnsi="Times"/>
                <w:color w:val="000000"/>
                <w:sz w:val="20"/>
                <w:szCs w:val="20"/>
                <w:lang w:val="en-US"/>
              </w:rPr>
            </w:pPr>
            <w:r w:rsidRPr="00B80F34">
              <w:rPr>
                <w:rFonts w:ascii="Times" w:hAnsi="Times"/>
                <w:color w:val="000000"/>
                <w:sz w:val="20"/>
                <w:szCs w:val="20"/>
                <w:lang w:val="en-US"/>
              </w:rPr>
              <w:t>1</w:t>
            </w:r>
            <w:r w:rsidR="00B80F34">
              <w:rPr>
                <w:rFonts w:ascii="Times" w:hAnsi="Times"/>
                <w:color w:val="000000"/>
                <w:sz w:val="20"/>
                <w:szCs w:val="20"/>
                <w:lang w:val="en-US"/>
              </w:rPr>
              <w:t xml:space="preserve"> </w:t>
            </w:r>
            <w:r w:rsidRPr="00B80F34">
              <w:rPr>
                <w:rFonts w:ascii="Times" w:hAnsi="Times"/>
                <w:color w:val="000000"/>
                <w:sz w:val="20"/>
                <w:szCs w:val="20"/>
                <w:lang w:val="en-US"/>
              </w:rPr>
              <w:t>407.87</w:t>
            </w:r>
          </w:p>
        </w:tc>
        <w:tc>
          <w:tcPr>
            <w:tcW w:w="1560" w:type="dxa"/>
            <w:shd w:val="clear" w:color="auto" w:fill="auto"/>
            <w:noWrap/>
            <w:vAlign w:val="bottom"/>
            <w:hideMark/>
          </w:tcPr>
          <w:p w14:paraId="6788B7FD" w14:textId="5EFDA9CB" w:rsidR="00E27DE1" w:rsidRPr="00B80F34" w:rsidRDefault="00E27DE1" w:rsidP="006142F1">
            <w:pPr>
              <w:keepNext/>
              <w:jc w:val="right"/>
              <w:rPr>
                <w:rFonts w:ascii="Times" w:hAnsi="Times"/>
                <w:color w:val="000000"/>
                <w:sz w:val="20"/>
                <w:szCs w:val="20"/>
                <w:lang w:val="en-US"/>
              </w:rPr>
            </w:pPr>
            <w:r w:rsidRPr="00B80F34">
              <w:rPr>
                <w:rFonts w:ascii="Times" w:hAnsi="Times"/>
                <w:color w:val="000000"/>
                <w:sz w:val="20"/>
                <w:szCs w:val="20"/>
                <w:lang w:val="en-US"/>
              </w:rPr>
              <w:t>4</w:t>
            </w:r>
            <w:r w:rsidR="00B80F34">
              <w:rPr>
                <w:rFonts w:ascii="Times" w:hAnsi="Times"/>
                <w:color w:val="000000"/>
                <w:sz w:val="20"/>
                <w:szCs w:val="20"/>
                <w:lang w:val="en-US"/>
              </w:rPr>
              <w:t xml:space="preserve"> </w:t>
            </w:r>
            <w:r w:rsidRPr="00B80F34">
              <w:rPr>
                <w:rFonts w:ascii="Times" w:hAnsi="Times"/>
                <w:color w:val="000000"/>
                <w:sz w:val="20"/>
                <w:szCs w:val="20"/>
                <w:lang w:val="en-US"/>
              </w:rPr>
              <w:t>036.56</w:t>
            </w:r>
          </w:p>
        </w:tc>
        <w:tc>
          <w:tcPr>
            <w:tcW w:w="1199" w:type="dxa"/>
            <w:shd w:val="clear" w:color="auto" w:fill="auto"/>
            <w:noWrap/>
            <w:vAlign w:val="bottom"/>
            <w:hideMark/>
          </w:tcPr>
          <w:p w14:paraId="03076052" w14:textId="77777777" w:rsidR="00E27DE1" w:rsidRPr="00B80F34" w:rsidRDefault="00E27DE1" w:rsidP="006142F1">
            <w:pPr>
              <w:keepNext/>
              <w:jc w:val="right"/>
              <w:rPr>
                <w:rFonts w:ascii="Times" w:hAnsi="Times"/>
                <w:color w:val="000000"/>
                <w:sz w:val="20"/>
                <w:szCs w:val="20"/>
                <w:lang w:val="en-US"/>
              </w:rPr>
            </w:pPr>
            <w:r w:rsidRPr="00B80F34">
              <w:rPr>
                <w:rFonts w:ascii="Times" w:hAnsi="Times"/>
                <w:color w:val="000000"/>
                <w:sz w:val="20"/>
                <w:szCs w:val="20"/>
                <w:lang w:val="en-US"/>
              </w:rPr>
              <w:t>21.0%</w:t>
            </w:r>
          </w:p>
        </w:tc>
      </w:tr>
      <w:tr w:rsidR="00E27DE1" w:rsidRPr="00B80F34" w14:paraId="787F9CE0" w14:textId="77777777" w:rsidTr="00B80F34">
        <w:trPr>
          <w:trHeight w:val="204"/>
          <w:jc w:val="center"/>
        </w:trPr>
        <w:tc>
          <w:tcPr>
            <w:tcW w:w="3880" w:type="dxa"/>
            <w:shd w:val="clear" w:color="auto" w:fill="auto"/>
            <w:noWrap/>
            <w:vAlign w:val="bottom"/>
            <w:hideMark/>
          </w:tcPr>
          <w:p w14:paraId="1C51E0A5" w14:textId="77777777" w:rsidR="00E27DE1" w:rsidRPr="00B80F34" w:rsidRDefault="00E27DE1" w:rsidP="006142F1">
            <w:pPr>
              <w:keepNext/>
              <w:jc w:val="left"/>
              <w:rPr>
                <w:rFonts w:ascii="Times" w:hAnsi="Times"/>
                <w:sz w:val="20"/>
                <w:szCs w:val="20"/>
                <w:lang w:val="en-US"/>
              </w:rPr>
            </w:pPr>
            <w:r w:rsidRPr="00B80F34">
              <w:rPr>
                <w:rFonts w:ascii="Times" w:hAnsi="Times"/>
                <w:sz w:val="20"/>
                <w:szCs w:val="20"/>
                <w:lang w:val="en-US"/>
              </w:rPr>
              <w:t>Peace and security</w:t>
            </w:r>
          </w:p>
        </w:tc>
        <w:tc>
          <w:tcPr>
            <w:tcW w:w="1000" w:type="dxa"/>
            <w:shd w:val="clear" w:color="auto" w:fill="auto"/>
            <w:noWrap/>
            <w:vAlign w:val="bottom"/>
            <w:hideMark/>
          </w:tcPr>
          <w:p w14:paraId="0C23E732" w14:textId="5960FEA5" w:rsidR="00E27DE1" w:rsidRPr="00B80F34" w:rsidRDefault="00E27DE1" w:rsidP="006142F1">
            <w:pPr>
              <w:keepNext/>
              <w:jc w:val="right"/>
              <w:rPr>
                <w:rFonts w:ascii="Times" w:hAnsi="Times"/>
                <w:color w:val="000000"/>
                <w:sz w:val="20"/>
                <w:szCs w:val="20"/>
                <w:lang w:val="en-US"/>
              </w:rPr>
            </w:pPr>
            <w:r w:rsidRPr="00B80F34">
              <w:rPr>
                <w:rFonts w:ascii="Times" w:hAnsi="Times"/>
                <w:color w:val="000000"/>
                <w:sz w:val="20"/>
                <w:szCs w:val="20"/>
                <w:lang w:val="en-US"/>
              </w:rPr>
              <w:t>3</w:t>
            </w:r>
            <w:r w:rsidR="00B80F34">
              <w:rPr>
                <w:rFonts w:ascii="Times" w:hAnsi="Times"/>
                <w:color w:val="000000"/>
                <w:sz w:val="20"/>
                <w:szCs w:val="20"/>
                <w:lang w:val="en-US"/>
              </w:rPr>
              <w:t xml:space="preserve"> </w:t>
            </w:r>
            <w:r w:rsidRPr="00B80F34">
              <w:rPr>
                <w:rFonts w:ascii="Times" w:hAnsi="Times"/>
                <w:color w:val="000000"/>
                <w:sz w:val="20"/>
                <w:szCs w:val="20"/>
                <w:lang w:val="en-US"/>
              </w:rPr>
              <w:t>037.68</w:t>
            </w:r>
          </w:p>
        </w:tc>
        <w:tc>
          <w:tcPr>
            <w:tcW w:w="1000" w:type="dxa"/>
            <w:shd w:val="clear" w:color="auto" w:fill="auto"/>
            <w:noWrap/>
            <w:vAlign w:val="bottom"/>
            <w:hideMark/>
          </w:tcPr>
          <w:p w14:paraId="5869270E" w14:textId="56E058DC" w:rsidR="00E27DE1" w:rsidRPr="00B80F34" w:rsidRDefault="00E27DE1" w:rsidP="006142F1">
            <w:pPr>
              <w:keepNext/>
              <w:jc w:val="right"/>
              <w:rPr>
                <w:rFonts w:ascii="Times" w:hAnsi="Times"/>
                <w:color w:val="000000"/>
                <w:sz w:val="20"/>
                <w:szCs w:val="20"/>
                <w:lang w:val="en-US"/>
              </w:rPr>
            </w:pPr>
            <w:r w:rsidRPr="00B80F34">
              <w:rPr>
                <w:rFonts w:ascii="Times" w:hAnsi="Times"/>
                <w:color w:val="000000"/>
                <w:sz w:val="20"/>
                <w:szCs w:val="20"/>
                <w:lang w:val="en-US"/>
              </w:rPr>
              <w:t>2</w:t>
            </w:r>
            <w:r w:rsidR="00B80F34">
              <w:rPr>
                <w:rFonts w:ascii="Times" w:hAnsi="Times"/>
                <w:color w:val="000000"/>
                <w:sz w:val="20"/>
                <w:szCs w:val="20"/>
                <w:lang w:val="en-US"/>
              </w:rPr>
              <w:t xml:space="preserve"> </w:t>
            </w:r>
            <w:r w:rsidRPr="00B80F34">
              <w:rPr>
                <w:rFonts w:ascii="Times" w:hAnsi="Times"/>
                <w:color w:val="000000"/>
                <w:sz w:val="20"/>
                <w:szCs w:val="20"/>
                <w:lang w:val="en-US"/>
              </w:rPr>
              <w:t>987.47</w:t>
            </w:r>
          </w:p>
        </w:tc>
        <w:tc>
          <w:tcPr>
            <w:tcW w:w="1000" w:type="dxa"/>
            <w:shd w:val="clear" w:color="auto" w:fill="auto"/>
            <w:noWrap/>
            <w:vAlign w:val="bottom"/>
            <w:hideMark/>
          </w:tcPr>
          <w:p w14:paraId="550C1F46" w14:textId="4A7E66A5" w:rsidR="00E27DE1" w:rsidRPr="00B80F34" w:rsidRDefault="00E27DE1" w:rsidP="006142F1">
            <w:pPr>
              <w:keepNext/>
              <w:jc w:val="right"/>
              <w:rPr>
                <w:rFonts w:ascii="Times" w:hAnsi="Times"/>
                <w:color w:val="000000"/>
                <w:sz w:val="20"/>
                <w:szCs w:val="20"/>
                <w:lang w:val="en-US"/>
              </w:rPr>
            </w:pPr>
            <w:r w:rsidRPr="00B80F34">
              <w:rPr>
                <w:rFonts w:ascii="Times" w:hAnsi="Times"/>
                <w:color w:val="000000"/>
                <w:sz w:val="20"/>
                <w:szCs w:val="20"/>
                <w:lang w:val="en-US"/>
              </w:rPr>
              <w:t>3</w:t>
            </w:r>
            <w:r w:rsidR="00B80F34">
              <w:rPr>
                <w:rFonts w:ascii="Times" w:hAnsi="Times"/>
                <w:color w:val="000000"/>
                <w:sz w:val="20"/>
                <w:szCs w:val="20"/>
                <w:lang w:val="en-US"/>
              </w:rPr>
              <w:t xml:space="preserve"> </w:t>
            </w:r>
            <w:r w:rsidRPr="00B80F34">
              <w:rPr>
                <w:rFonts w:ascii="Times" w:hAnsi="Times"/>
                <w:color w:val="000000"/>
                <w:sz w:val="20"/>
                <w:szCs w:val="20"/>
                <w:lang w:val="en-US"/>
              </w:rPr>
              <w:t>152.74</w:t>
            </w:r>
          </w:p>
        </w:tc>
        <w:tc>
          <w:tcPr>
            <w:tcW w:w="1560" w:type="dxa"/>
            <w:shd w:val="clear" w:color="auto" w:fill="auto"/>
            <w:noWrap/>
            <w:vAlign w:val="bottom"/>
            <w:hideMark/>
          </w:tcPr>
          <w:p w14:paraId="4D189C71" w14:textId="74744439" w:rsidR="00E27DE1" w:rsidRPr="00B80F34" w:rsidRDefault="00E27DE1" w:rsidP="006142F1">
            <w:pPr>
              <w:keepNext/>
              <w:jc w:val="right"/>
              <w:rPr>
                <w:rFonts w:ascii="Times" w:hAnsi="Times"/>
                <w:color w:val="000000"/>
                <w:sz w:val="20"/>
                <w:szCs w:val="20"/>
                <w:lang w:val="en-US"/>
              </w:rPr>
            </w:pPr>
            <w:r w:rsidRPr="00B80F34">
              <w:rPr>
                <w:rFonts w:ascii="Times" w:hAnsi="Times"/>
                <w:color w:val="000000"/>
                <w:sz w:val="20"/>
                <w:szCs w:val="20"/>
                <w:lang w:val="en-US"/>
              </w:rPr>
              <w:t>9</w:t>
            </w:r>
            <w:r w:rsidR="00B80F34">
              <w:rPr>
                <w:rFonts w:ascii="Times" w:hAnsi="Times"/>
                <w:color w:val="000000"/>
                <w:sz w:val="20"/>
                <w:szCs w:val="20"/>
                <w:lang w:val="en-US"/>
              </w:rPr>
              <w:t xml:space="preserve"> </w:t>
            </w:r>
            <w:r w:rsidRPr="00B80F34">
              <w:rPr>
                <w:rFonts w:ascii="Times" w:hAnsi="Times"/>
                <w:color w:val="000000"/>
                <w:sz w:val="20"/>
                <w:szCs w:val="20"/>
                <w:lang w:val="en-US"/>
              </w:rPr>
              <w:t>177.89</w:t>
            </w:r>
          </w:p>
        </w:tc>
        <w:tc>
          <w:tcPr>
            <w:tcW w:w="1199" w:type="dxa"/>
            <w:shd w:val="clear" w:color="auto" w:fill="auto"/>
            <w:noWrap/>
            <w:vAlign w:val="bottom"/>
            <w:hideMark/>
          </w:tcPr>
          <w:p w14:paraId="443676FD" w14:textId="77777777" w:rsidR="00E27DE1" w:rsidRPr="00B80F34" w:rsidRDefault="00E27DE1" w:rsidP="006142F1">
            <w:pPr>
              <w:keepNext/>
              <w:jc w:val="right"/>
              <w:rPr>
                <w:rFonts w:ascii="Times" w:hAnsi="Times"/>
                <w:color w:val="000000"/>
                <w:sz w:val="20"/>
                <w:szCs w:val="20"/>
                <w:lang w:val="en-US"/>
              </w:rPr>
            </w:pPr>
            <w:r w:rsidRPr="00B80F34">
              <w:rPr>
                <w:rFonts w:ascii="Times" w:hAnsi="Times"/>
                <w:color w:val="000000"/>
                <w:sz w:val="20"/>
                <w:szCs w:val="20"/>
                <w:lang w:val="en-US"/>
              </w:rPr>
              <w:t>47.8%</w:t>
            </w:r>
          </w:p>
        </w:tc>
      </w:tr>
      <w:tr w:rsidR="00E27DE1" w:rsidRPr="00B80F34" w14:paraId="78BE0D22" w14:textId="77777777" w:rsidTr="00B80F34">
        <w:trPr>
          <w:trHeight w:val="204"/>
          <w:jc w:val="center"/>
        </w:trPr>
        <w:tc>
          <w:tcPr>
            <w:tcW w:w="3880" w:type="dxa"/>
            <w:shd w:val="clear" w:color="auto" w:fill="auto"/>
            <w:noWrap/>
            <w:vAlign w:val="bottom"/>
            <w:hideMark/>
          </w:tcPr>
          <w:p w14:paraId="52B23CD4" w14:textId="77777777" w:rsidR="00E27DE1" w:rsidRPr="00B80F34" w:rsidRDefault="00E27DE1" w:rsidP="006142F1">
            <w:pPr>
              <w:keepNext/>
              <w:jc w:val="left"/>
              <w:rPr>
                <w:rFonts w:ascii="Times" w:hAnsi="Times"/>
                <w:sz w:val="20"/>
                <w:szCs w:val="20"/>
                <w:lang w:val="en-US"/>
              </w:rPr>
            </w:pPr>
            <w:r w:rsidRPr="00B80F34">
              <w:rPr>
                <w:rFonts w:ascii="Times" w:hAnsi="Times"/>
                <w:sz w:val="20"/>
                <w:szCs w:val="20"/>
                <w:lang w:val="en-US"/>
              </w:rPr>
              <w:t>General public services</w:t>
            </w:r>
          </w:p>
        </w:tc>
        <w:tc>
          <w:tcPr>
            <w:tcW w:w="1000" w:type="dxa"/>
            <w:shd w:val="clear" w:color="auto" w:fill="auto"/>
            <w:noWrap/>
            <w:vAlign w:val="bottom"/>
            <w:hideMark/>
          </w:tcPr>
          <w:p w14:paraId="1AD469CF" w14:textId="77777777" w:rsidR="00E27DE1" w:rsidRPr="00B80F34" w:rsidRDefault="00E27DE1" w:rsidP="006142F1">
            <w:pPr>
              <w:keepNext/>
              <w:jc w:val="right"/>
              <w:rPr>
                <w:rFonts w:ascii="Times" w:hAnsi="Times"/>
                <w:color w:val="000000"/>
                <w:sz w:val="20"/>
                <w:szCs w:val="20"/>
                <w:lang w:val="en-US"/>
              </w:rPr>
            </w:pPr>
            <w:r w:rsidRPr="00B80F34">
              <w:rPr>
                <w:rFonts w:ascii="Times" w:hAnsi="Times"/>
                <w:color w:val="000000"/>
                <w:sz w:val="20"/>
                <w:szCs w:val="20"/>
                <w:lang w:val="en-US"/>
              </w:rPr>
              <w:t>942.34</w:t>
            </w:r>
          </w:p>
        </w:tc>
        <w:tc>
          <w:tcPr>
            <w:tcW w:w="1000" w:type="dxa"/>
            <w:shd w:val="clear" w:color="auto" w:fill="auto"/>
            <w:noWrap/>
            <w:vAlign w:val="bottom"/>
            <w:hideMark/>
          </w:tcPr>
          <w:p w14:paraId="61EBE70A" w14:textId="229DE931" w:rsidR="00E27DE1" w:rsidRPr="00B80F34" w:rsidRDefault="00E27DE1" w:rsidP="006142F1">
            <w:pPr>
              <w:keepNext/>
              <w:jc w:val="right"/>
              <w:rPr>
                <w:rFonts w:ascii="Times" w:hAnsi="Times"/>
                <w:color w:val="000000"/>
                <w:sz w:val="20"/>
                <w:szCs w:val="20"/>
                <w:lang w:val="en-US"/>
              </w:rPr>
            </w:pPr>
            <w:r w:rsidRPr="00B80F34">
              <w:rPr>
                <w:rFonts w:ascii="Times" w:hAnsi="Times"/>
                <w:color w:val="000000"/>
                <w:sz w:val="20"/>
                <w:szCs w:val="20"/>
                <w:lang w:val="en-US"/>
              </w:rPr>
              <w:t>1</w:t>
            </w:r>
            <w:r w:rsidR="00B80F34">
              <w:rPr>
                <w:rFonts w:ascii="Times" w:hAnsi="Times"/>
                <w:color w:val="000000"/>
                <w:sz w:val="20"/>
                <w:szCs w:val="20"/>
                <w:lang w:val="en-US"/>
              </w:rPr>
              <w:t xml:space="preserve"> </w:t>
            </w:r>
            <w:r w:rsidRPr="00B80F34">
              <w:rPr>
                <w:rFonts w:ascii="Times" w:hAnsi="Times"/>
                <w:color w:val="000000"/>
                <w:sz w:val="20"/>
                <w:szCs w:val="20"/>
                <w:lang w:val="en-US"/>
              </w:rPr>
              <w:t>193.69</w:t>
            </w:r>
          </w:p>
        </w:tc>
        <w:tc>
          <w:tcPr>
            <w:tcW w:w="1000" w:type="dxa"/>
            <w:shd w:val="clear" w:color="auto" w:fill="auto"/>
            <w:noWrap/>
            <w:vAlign w:val="bottom"/>
            <w:hideMark/>
          </w:tcPr>
          <w:p w14:paraId="320B575B" w14:textId="0749EB37" w:rsidR="00E27DE1" w:rsidRPr="00B80F34" w:rsidRDefault="00E27DE1" w:rsidP="006142F1">
            <w:pPr>
              <w:keepNext/>
              <w:jc w:val="right"/>
              <w:rPr>
                <w:rFonts w:ascii="Times" w:hAnsi="Times"/>
                <w:color w:val="000000"/>
                <w:sz w:val="20"/>
                <w:szCs w:val="20"/>
                <w:lang w:val="en-US"/>
              </w:rPr>
            </w:pPr>
            <w:r w:rsidRPr="00B80F34">
              <w:rPr>
                <w:rFonts w:ascii="Times" w:hAnsi="Times"/>
                <w:color w:val="000000"/>
                <w:sz w:val="20"/>
                <w:szCs w:val="20"/>
                <w:lang w:val="en-US"/>
              </w:rPr>
              <w:t>1</w:t>
            </w:r>
            <w:r w:rsidR="00B80F34">
              <w:rPr>
                <w:rFonts w:ascii="Times" w:hAnsi="Times"/>
                <w:color w:val="000000"/>
                <w:sz w:val="20"/>
                <w:szCs w:val="20"/>
                <w:lang w:val="en-US"/>
              </w:rPr>
              <w:t xml:space="preserve"> </w:t>
            </w:r>
            <w:r w:rsidRPr="00B80F34">
              <w:rPr>
                <w:rFonts w:ascii="Times" w:hAnsi="Times"/>
                <w:color w:val="000000"/>
                <w:sz w:val="20"/>
                <w:szCs w:val="20"/>
                <w:lang w:val="en-US"/>
              </w:rPr>
              <w:t>041.34</w:t>
            </w:r>
          </w:p>
        </w:tc>
        <w:tc>
          <w:tcPr>
            <w:tcW w:w="1560" w:type="dxa"/>
            <w:shd w:val="clear" w:color="auto" w:fill="auto"/>
            <w:noWrap/>
            <w:vAlign w:val="bottom"/>
            <w:hideMark/>
          </w:tcPr>
          <w:p w14:paraId="78230709" w14:textId="2F13BE26" w:rsidR="00E27DE1" w:rsidRPr="00B80F34" w:rsidRDefault="00E27DE1" w:rsidP="006142F1">
            <w:pPr>
              <w:keepNext/>
              <w:jc w:val="right"/>
              <w:rPr>
                <w:rFonts w:ascii="Times" w:hAnsi="Times"/>
                <w:color w:val="000000"/>
                <w:sz w:val="20"/>
                <w:szCs w:val="20"/>
                <w:lang w:val="en-US"/>
              </w:rPr>
            </w:pPr>
            <w:r w:rsidRPr="00B80F34">
              <w:rPr>
                <w:rFonts w:ascii="Times" w:hAnsi="Times"/>
                <w:color w:val="000000"/>
                <w:sz w:val="20"/>
                <w:szCs w:val="20"/>
                <w:lang w:val="en-US"/>
              </w:rPr>
              <w:t>3</w:t>
            </w:r>
            <w:r w:rsidR="00B80F34">
              <w:rPr>
                <w:rFonts w:ascii="Times" w:hAnsi="Times"/>
                <w:color w:val="000000"/>
                <w:sz w:val="20"/>
                <w:szCs w:val="20"/>
                <w:lang w:val="en-US"/>
              </w:rPr>
              <w:t xml:space="preserve"> </w:t>
            </w:r>
            <w:r w:rsidRPr="00B80F34">
              <w:rPr>
                <w:rFonts w:ascii="Times" w:hAnsi="Times"/>
                <w:color w:val="000000"/>
                <w:sz w:val="20"/>
                <w:szCs w:val="20"/>
                <w:lang w:val="en-US"/>
              </w:rPr>
              <w:t>177.37</w:t>
            </w:r>
          </w:p>
        </w:tc>
        <w:tc>
          <w:tcPr>
            <w:tcW w:w="1199" w:type="dxa"/>
            <w:shd w:val="clear" w:color="auto" w:fill="auto"/>
            <w:noWrap/>
            <w:vAlign w:val="bottom"/>
            <w:hideMark/>
          </w:tcPr>
          <w:p w14:paraId="72D1E152" w14:textId="77777777" w:rsidR="00E27DE1" w:rsidRPr="00B80F34" w:rsidRDefault="00E27DE1" w:rsidP="006142F1">
            <w:pPr>
              <w:keepNext/>
              <w:jc w:val="right"/>
              <w:rPr>
                <w:rFonts w:ascii="Times" w:hAnsi="Times"/>
                <w:color w:val="000000"/>
                <w:sz w:val="20"/>
                <w:szCs w:val="20"/>
                <w:lang w:val="en-US"/>
              </w:rPr>
            </w:pPr>
            <w:r w:rsidRPr="00B80F34">
              <w:rPr>
                <w:rFonts w:ascii="Times" w:hAnsi="Times"/>
                <w:color w:val="000000"/>
                <w:sz w:val="20"/>
                <w:szCs w:val="20"/>
                <w:lang w:val="en-US"/>
              </w:rPr>
              <w:t>16.5%</w:t>
            </w:r>
          </w:p>
        </w:tc>
      </w:tr>
      <w:tr w:rsidR="00E27DE1" w:rsidRPr="00B80F34" w14:paraId="612F88FF" w14:textId="77777777" w:rsidTr="00B80F34">
        <w:trPr>
          <w:trHeight w:val="204"/>
          <w:jc w:val="center"/>
        </w:trPr>
        <w:tc>
          <w:tcPr>
            <w:tcW w:w="3880" w:type="dxa"/>
            <w:shd w:val="clear" w:color="auto" w:fill="auto"/>
            <w:noWrap/>
            <w:vAlign w:val="bottom"/>
            <w:hideMark/>
          </w:tcPr>
          <w:p w14:paraId="2E0AC56B" w14:textId="77777777" w:rsidR="00E27DE1" w:rsidRPr="00B80F34" w:rsidRDefault="00E27DE1" w:rsidP="006142F1">
            <w:pPr>
              <w:keepNext/>
              <w:jc w:val="left"/>
              <w:rPr>
                <w:rFonts w:ascii="Times" w:hAnsi="Times"/>
                <w:b/>
                <w:bCs/>
                <w:sz w:val="20"/>
                <w:szCs w:val="20"/>
                <w:lang w:val="en-US"/>
              </w:rPr>
            </w:pPr>
            <w:r w:rsidRPr="00B80F34">
              <w:rPr>
                <w:rFonts w:ascii="Times" w:hAnsi="Times"/>
                <w:b/>
                <w:bCs/>
                <w:sz w:val="20"/>
                <w:szCs w:val="20"/>
                <w:lang w:val="en-US"/>
              </w:rPr>
              <w:t xml:space="preserve">Total </w:t>
            </w:r>
          </w:p>
        </w:tc>
        <w:tc>
          <w:tcPr>
            <w:tcW w:w="1000" w:type="dxa"/>
            <w:shd w:val="clear" w:color="auto" w:fill="auto"/>
            <w:noWrap/>
            <w:vAlign w:val="bottom"/>
            <w:hideMark/>
          </w:tcPr>
          <w:p w14:paraId="6E445B48" w14:textId="7D4758BD" w:rsidR="00E27DE1" w:rsidRPr="00B80F34" w:rsidRDefault="00E27DE1" w:rsidP="006142F1">
            <w:pPr>
              <w:keepNext/>
              <w:jc w:val="right"/>
              <w:rPr>
                <w:rFonts w:ascii="Times" w:hAnsi="Times"/>
                <w:b/>
                <w:bCs/>
                <w:color w:val="000000"/>
                <w:sz w:val="20"/>
                <w:szCs w:val="20"/>
                <w:lang w:val="en-US"/>
              </w:rPr>
            </w:pPr>
            <w:r w:rsidRPr="00B80F34">
              <w:rPr>
                <w:rFonts w:ascii="Times" w:hAnsi="Times"/>
                <w:b/>
                <w:bCs/>
                <w:color w:val="000000"/>
                <w:sz w:val="20"/>
                <w:szCs w:val="20"/>
                <w:lang w:val="en-US"/>
              </w:rPr>
              <w:t>6</w:t>
            </w:r>
            <w:r w:rsidR="00B80F34">
              <w:rPr>
                <w:rFonts w:ascii="Times" w:hAnsi="Times"/>
                <w:b/>
                <w:bCs/>
                <w:color w:val="000000"/>
                <w:sz w:val="20"/>
                <w:szCs w:val="20"/>
                <w:lang w:val="en-US"/>
              </w:rPr>
              <w:t xml:space="preserve"> </w:t>
            </w:r>
            <w:r w:rsidRPr="00B80F34">
              <w:rPr>
                <w:rFonts w:ascii="Times" w:hAnsi="Times"/>
                <w:b/>
                <w:bCs/>
                <w:color w:val="000000"/>
                <w:sz w:val="20"/>
                <w:szCs w:val="20"/>
                <w:lang w:val="en-US"/>
              </w:rPr>
              <w:t>156.0</w:t>
            </w:r>
          </w:p>
        </w:tc>
        <w:tc>
          <w:tcPr>
            <w:tcW w:w="1000" w:type="dxa"/>
            <w:shd w:val="clear" w:color="auto" w:fill="auto"/>
            <w:noWrap/>
            <w:vAlign w:val="bottom"/>
            <w:hideMark/>
          </w:tcPr>
          <w:p w14:paraId="4F6EC8F3" w14:textId="4CE5AB9F" w:rsidR="00E27DE1" w:rsidRPr="00B80F34" w:rsidRDefault="00E27DE1" w:rsidP="006142F1">
            <w:pPr>
              <w:keepNext/>
              <w:jc w:val="right"/>
              <w:rPr>
                <w:rFonts w:ascii="Times" w:hAnsi="Times"/>
                <w:b/>
                <w:bCs/>
                <w:color w:val="000000"/>
                <w:sz w:val="20"/>
                <w:szCs w:val="20"/>
                <w:lang w:val="en-US"/>
              </w:rPr>
            </w:pPr>
            <w:r w:rsidRPr="00B80F34">
              <w:rPr>
                <w:rFonts w:ascii="Times" w:hAnsi="Times"/>
                <w:b/>
                <w:bCs/>
                <w:color w:val="000000"/>
                <w:sz w:val="20"/>
                <w:szCs w:val="20"/>
                <w:lang w:val="en-US"/>
              </w:rPr>
              <w:t>6</w:t>
            </w:r>
            <w:r w:rsidR="00B80F34">
              <w:rPr>
                <w:rFonts w:ascii="Times" w:hAnsi="Times"/>
                <w:b/>
                <w:bCs/>
                <w:color w:val="000000"/>
                <w:sz w:val="20"/>
                <w:szCs w:val="20"/>
                <w:lang w:val="en-US"/>
              </w:rPr>
              <w:t xml:space="preserve"> </w:t>
            </w:r>
            <w:r w:rsidRPr="00B80F34">
              <w:rPr>
                <w:rFonts w:ascii="Times" w:hAnsi="Times"/>
                <w:b/>
                <w:bCs/>
                <w:color w:val="000000"/>
                <w:sz w:val="20"/>
                <w:szCs w:val="20"/>
                <w:lang w:val="en-US"/>
              </w:rPr>
              <w:t>476.0</w:t>
            </w:r>
          </w:p>
        </w:tc>
        <w:tc>
          <w:tcPr>
            <w:tcW w:w="1000" w:type="dxa"/>
            <w:shd w:val="clear" w:color="auto" w:fill="auto"/>
            <w:noWrap/>
            <w:vAlign w:val="bottom"/>
            <w:hideMark/>
          </w:tcPr>
          <w:p w14:paraId="681FEC6A" w14:textId="6C21B3DA" w:rsidR="00E27DE1" w:rsidRPr="00B80F34" w:rsidRDefault="00E27DE1" w:rsidP="006142F1">
            <w:pPr>
              <w:keepNext/>
              <w:jc w:val="right"/>
              <w:rPr>
                <w:rFonts w:ascii="Times" w:hAnsi="Times"/>
                <w:b/>
                <w:bCs/>
                <w:color w:val="000000"/>
                <w:sz w:val="20"/>
                <w:szCs w:val="20"/>
                <w:lang w:val="en-US"/>
              </w:rPr>
            </w:pPr>
            <w:r w:rsidRPr="00B80F34">
              <w:rPr>
                <w:rFonts w:ascii="Times" w:hAnsi="Times"/>
                <w:b/>
                <w:bCs/>
                <w:color w:val="000000"/>
                <w:sz w:val="20"/>
                <w:szCs w:val="20"/>
                <w:lang w:val="en-US"/>
              </w:rPr>
              <w:t>6</w:t>
            </w:r>
            <w:r w:rsidR="00B80F34">
              <w:rPr>
                <w:rFonts w:ascii="Times" w:hAnsi="Times"/>
                <w:b/>
                <w:bCs/>
                <w:color w:val="000000"/>
                <w:sz w:val="20"/>
                <w:szCs w:val="20"/>
                <w:lang w:val="en-US"/>
              </w:rPr>
              <w:t xml:space="preserve"> </w:t>
            </w:r>
            <w:r w:rsidRPr="00B80F34">
              <w:rPr>
                <w:rFonts w:ascii="Times" w:hAnsi="Times"/>
                <w:b/>
                <w:bCs/>
                <w:color w:val="000000"/>
                <w:sz w:val="20"/>
                <w:szCs w:val="20"/>
                <w:lang w:val="en-US"/>
              </w:rPr>
              <w:t>574.4</w:t>
            </w:r>
          </w:p>
        </w:tc>
        <w:tc>
          <w:tcPr>
            <w:tcW w:w="1560" w:type="dxa"/>
            <w:shd w:val="clear" w:color="auto" w:fill="auto"/>
            <w:noWrap/>
            <w:vAlign w:val="bottom"/>
            <w:hideMark/>
          </w:tcPr>
          <w:p w14:paraId="2BBD8C0E" w14:textId="11B85E05" w:rsidR="00E27DE1" w:rsidRPr="00B80F34" w:rsidRDefault="00E27DE1" w:rsidP="006142F1">
            <w:pPr>
              <w:keepNext/>
              <w:jc w:val="right"/>
              <w:rPr>
                <w:rFonts w:ascii="Times" w:hAnsi="Times"/>
                <w:b/>
                <w:bCs/>
                <w:color w:val="000000"/>
                <w:sz w:val="20"/>
                <w:szCs w:val="20"/>
                <w:lang w:val="en-US"/>
              </w:rPr>
            </w:pPr>
            <w:r w:rsidRPr="00B80F34">
              <w:rPr>
                <w:rFonts w:ascii="Times" w:hAnsi="Times"/>
                <w:b/>
                <w:bCs/>
                <w:color w:val="000000"/>
                <w:sz w:val="20"/>
                <w:szCs w:val="20"/>
                <w:lang w:val="en-US"/>
              </w:rPr>
              <w:t>19</w:t>
            </w:r>
            <w:r w:rsidR="00B80F34">
              <w:rPr>
                <w:rFonts w:ascii="Times" w:hAnsi="Times"/>
                <w:b/>
                <w:bCs/>
                <w:color w:val="000000"/>
                <w:sz w:val="20"/>
                <w:szCs w:val="20"/>
                <w:lang w:val="en-US"/>
              </w:rPr>
              <w:t xml:space="preserve"> </w:t>
            </w:r>
            <w:r w:rsidRPr="00B80F34">
              <w:rPr>
                <w:rFonts w:ascii="Times" w:hAnsi="Times"/>
                <w:b/>
                <w:bCs/>
                <w:color w:val="000000"/>
                <w:sz w:val="20"/>
                <w:szCs w:val="20"/>
                <w:lang w:val="en-US"/>
              </w:rPr>
              <w:t>206.35</w:t>
            </w:r>
          </w:p>
        </w:tc>
        <w:tc>
          <w:tcPr>
            <w:tcW w:w="1199" w:type="dxa"/>
            <w:shd w:val="clear" w:color="auto" w:fill="auto"/>
            <w:noWrap/>
            <w:vAlign w:val="bottom"/>
            <w:hideMark/>
          </w:tcPr>
          <w:p w14:paraId="21B2BDFE" w14:textId="77777777" w:rsidR="00E27DE1" w:rsidRPr="00B80F34" w:rsidRDefault="00E27DE1" w:rsidP="006142F1">
            <w:pPr>
              <w:keepNext/>
              <w:jc w:val="right"/>
              <w:rPr>
                <w:rFonts w:ascii="Times" w:hAnsi="Times"/>
                <w:color w:val="000000"/>
                <w:sz w:val="20"/>
                <w:szCs w:val="20"/>
                <w:lang w:val="en-US"/>
              </w:rPr>
            </w:pPr>
            <w:r w:rsidRPr="00B80F34">
              <w:rPr>
                <w:rFonts w:ascii="Times" w:hAnsi="Times"/>
                <w:color w:val="000000"/>
                <w:sz w:val="20"/>
                <w:szCs w:val="20"/>
                <w:lang w:val="en-US"/>
              </w:rPr>
              <w:t>100.0%</w:t>
            </w:r>
          </w:p>
        </w:tc>
      </w:tr>
    </w:tbl>
    <w:p w14:paraId="77A782AA" w14:textId="77777777" w:rsidR="00E27DE1" w:rsidRPr="00F50C46" w:rsidRDefault="00E27DE1" w:rsidP="00F50C46">
      <w:r w:rsidRPr="009A7F2D">
        <w:t xml:space="preserve">Source: </w:t>
      </w:r>
      <w:r>
        <w:t xml:space="preserve">Commission calculations based on 2020 </w:t>
      </w:r>
      <w:r w:rsidRPr="009A7F2D">
        <w:t>ENE</w:t>
      </w:r>
      <w:r w:rsidRPr="000D6350">
        <w:t xml:space="preserve"> Excel Spreadsheet of Individual Votes</w:t>
      </w:r>
      <w:r>
        <w:t>.</w:t>
      </w:r>
    </w:p>
    <w:p w14:paraId="704CA067" w14:textId="77777777" w:rsidR="00E27DE1" w:rsidRPr="00F50C46" w:rsidRDefault="00E27DE1" w:rsidP="00F50C46"/>
    <w:p w14:paraId="3853A0FF" w14:textId="77777777" w:rsidR="00446AAC" w:rsidRPr="003B5FF2" w:rsidRDefault="00943ACA" w:rsidP="003B5FF2">
      <w:bookmarkStart w:id="101" w:name="_Toc42212106"/>
      <w:bookmarkStart w:id="102" w:name="_Toc42212145"/>
      <w:r w:rsidRPr="003B5FF2">
        <w:t xml:space="preserve">Training and Development: Projections show that on aggregate, the 41 national departments will spend R3.4 billion on training over the next three years (R1.2 billion in 2020/21; R1.1 billion in 2021/22; R1.1 billion in 2022/23) (Table </w:t>
      </w:r>
      <w:fldSimple w:instr=" SEQ Table \* ARABIC ">
        <w:r w:rsidRPr="003B5FF2">
          <w:t>17</w:t>
        </w:r>
      </w:fldSimple>
      <w:r w:rsidRPr="003B5FF2">
        <w:t>). Within the peace and security functional area, spending on training and development is driven by the police and defence departments. While these two departments are key during the Covid-19 period, the Commission proposes that even for them, this spending presents a good opportunity for reprioritisation and that where planned training is not essential, the funds be diverted to fighting Covid-19.</w:t>
      </w:r>
      <w:bookmarkEnd w:id="101"/>
      <w:bookmarkEnd w:id="102"/>
      <w:r w:rsidRPr="003B5FF2">
        <w:t xml:space="preserve"> </w:t>
      </w:r>
    </w:p>
    <w:p w14:paraId="7B541AD1" w14:textId="77777777" w:rsidR="003B5FF2" w:rsidRPr="003B5FF2" w:rsidRDefault="003B5FF2" w:rsidP="003B5FF2"/>
    <w:p w14:paraId="47B04160" w14:textId="77777777" w:rsidR="00E27DE1" w:rsidRPr="000D33E4" w:rsidRDefault="00E27DE1" w:rsidP="00E27DE1"/>
    <w:p w14:paraId="4FC8DE22" w14:textId="7A1BF18B" w:rsidR="00E27DE1" w:rsidRPr="0048285C" w:rsidRDefault="0048285C" w:rsidP="0048285C">
      <w:pPr>
        <w:pStyle w:val="Caption"/>
        <w:rPr>
          <w:rFonts w:ascii="Times" w:hAnsi="Times"/>
          <w:b w:val="0"/>
          <w:color w:val="004C45" w:themeColor="text2"/>
          <w:sz w:val="24"/>
          <w:szCs w:val="24"/>
        </w:rPr>
      </w:pPr>
      <w:bookmarkStart w:id="103" w:name="_Toc42212146"/>
      <w:r w:rsidRPr="0048285C">
        <w:rPr>
          <w:color w:val="004C45" w:themeColor="text2"/>
          <w:sz w:val="24"/>
          <w:szCs w:val="24"/>
        </w:rPr>
        <w:t xml:space="preserve">Table </w:t>
      </w:r>
      <w:r w:rsidRPr="0048285C">
        <w:rPr>
          <w:color w:val="004C45" w:themeColor="text2"/>
          <w:sz w:val="24"/>
          <w:szCs w:val="24"/>
        </w:rPr>
        <w:fldChar w:fldCharType="begin"/>
      </w:r>
      <w:r w:rsidRPr="0048285C">
        <w:rPr>
          <w:color w:val="004C45" w:themeColor="text2"/>
          <w:sz w:val="24"/>
          <w:szCs w:val="24"/>
        </w:rPr>
        <w:instrText xml:space="preserve"> SEQ Table \* ARABIC </w:instrText>
      </w:r>
      <w:r w:rsidRPr="0048285C">
        <w:rPr>
          <w:color w:val="004C45" w:themeColor="text2"/>
          <w:sz w:val="24"/>
          <w:szCs w:val="24"/>
        </w:rPr>
        <w:fldChar w:fldCharType="separate"/>
      </w:r>
      <w:r w:rsidR="00492893">
        <w:rPr>
          <w:noProof/>
          <w:color w:val="004C45" w:themeColor="text2"/>
          <w:sz w:val="24"/>
          <w:szCs w:val="24"/>
        </w:rPr>
        <w:t>17</w:t>
      </w:r>
      <w:r w:rsidRPr="0048285C">
        <w:rPr>
          <w:color w:val="004C45" w:themeColor="text2"/>
          <w:sz w:val="24"/>
          <w:szCs w:val="24"/>
        </w:rPr>
        <w:fldChar w:fldCharType="end"/>
      </w:r>
      <w:r>
        <w:rPr>
          <w:color w:val="004C45" w:themeColor="text2"/>
          <w:sz w:val="24"/>
          <w:szCs w:val="24"/>
        </w:rPr>
        <w:t>:</w:t>
      </w:r>
      <w:r w:rsidRPr="0048285C">
        <w:rPr>
          <w:color w:val="004C45" w:themeColor="text2"/>
          <w:sz w:val="24"/>
          <w:szCs w:val="24"/>
        </w:rPr>
        <w:t xml:space="preserve"> Proposed spending on training and development by functional category over the 2020 MTEF period</w:t>
      </w:r>
      <w:bookmarkEnd w:id="103"/>
    </w:p>
    <w:tbl>
      <w:tblPr>
        <w:tblW w:w="9634" w:type="dxa"/>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Look w:val="04A0" w:firstRow="1" w:lastRow="0" w:firstColumn="1" w:lastColumn="0" w:noHBand="0" w:noVBand="1"/>
      </w:tblPr>
      <w:tblGrid>
        <w:gridCol w:w="3114"/>
        <w:gridCol w:w="1417"/>
        <w:gridCol w:w="1216"/>
        <w:gridCol w:w="1194"/>
        <w:gridCol w:w="1418"/>
        <w:gridCol w:w="1275"/>
      </w:tblGrid>
      <w:tr w:rsidR="00E27DE1" w:rsidRPr="0048285C" w14:paraId="5B2352E7" w14:textId="77777777" w:rsidTr="0048285C">
        <w:trPr>
          <w:trHeight w:val="276"/>
        </w:trPr>
        <w:tc>
          <w:tcPr>
            <w:tcW w:w="3114" w:type="dxa"/>
            <w:vMerge w:val="restart"/>
            <w:shd w:val="clear" w:color="auto" w:fill="auto"/>
            <w:vAlign w:val="center"/>
            <w:hideMark/>
          </w:tcPr>
          <w:p w14:paraId="67FEAB85" w14:textId="6D05090B" w:rsidR="00E27DE1" w:rsidRPr="0048285C" w:rsidRDefault="00E27DE1" w:rsidP="0048285C">
            <w:pPr>
              <w:jc w:val="center"/>
              <w:rPr>
                <w:rFonts w:ascii="Times" w:hAnsi="Times"/>
                <w:b/>
                <w:bCs/>
                <w:color w:val="000000"/>
                <w:sz w:val="20"/>
                <w:szCs w:val="20"/>
                <w:lang w:val="en-US"/>
              </w:rPr>
            </w:pPr>
            <w:r w:rsidRPr="0048285C">
              <w:rPr>
                <w:rFonts w:ascii="Times" w:hAnsi="Times"/>
                <w:b/>
                <w:bCs/>
                <w:color w:val="000000"/>
                <w:sz w:val="20"/>
                <w:szCs w:val="20"/>
                <w:lang w:val="en-US"/>
              </w:rPr>
              <w:t>Category (R</w:t>
            </w:r>
            <w:r w:rsidR="0048285C">
              <w:rPr>
                <w:rFonts w:ascii="Times" w:hAnsi="Times"/>
                <w:b/>
                <w:bCs/>
                <w:color w:val="000000"/>
                <w:sz w:val="20"/>
                <w:szCs w:val="20"/>
                <w:lang w:val="en-US"/>
              </w:rPr>
              <w:t xml:space="preserve"> </w:t>
            </w:r>
            <w:r w:rsidRPr="0048285C">
              <w:rPr>
                <w:rFonts w:ascii="Times" w:hAnsi="Times"/>
                <w:b/>
                <w:bCs/>
                <w:color w:val="000000"/>
                <w:sz w:val="20"/>
                <w:szCs w:val="20"/>
                <w:lang w:val="en-US"/>
              </w:rPr>
              <w:t>mil</w:t>
            </w:r>
            <w:r w:rsidR="0048285C">
              <w:rPr>
                <w:rFonts w:ascii="Times" w:hAnsi="Times"/>
                <w:b/>
                <w:bCs/>
                <w:color w:val="000000"/>
                <w:sz w:val="20"/>
                <w:szCs w:val="20"/>
                <w:lang w:val="en-US"/>
              </w:rPr>
              <w:t>lion</w:t>
            </w:r>
            <w:r w:rsidRPr="0048285C">
              <w:rPr>
                <w:rFonts w:ascii="Times" w:hAnsi="Times"/>
                <w:b/>
                <w:bCs/>
                <w:color w:val="000000"/>
                <w:sz w:val="20"/>
                <w:szCs w:val="20"/>
                <w:lang w:val="en-US"/>
              </w:rPr>
              <w:t>)</w:t>
            </w:r>
          </w:p>
        </w:tc>
        <w:tc>
          <w:tcPr>
            <w:tcW w:w="3827" w:type="dxa"/>
            <w:gridSpan w:val="3"/>
            <w:vMerge w:val="restart"/>
            <w:shd w:val="clear" w:color="auto" w:fill="auto"/>
            <w:vAlign w:val="center"/>
            <w:hideMark/>
          </w:tcPr>
          <w:p w14:paraId="3007001C" w14:textId="22C39F5D" w:rsidR="00E27DE1" w:rsidRPr="0048285C" w:rsidRDefault="00E27DE1" w:rsidP="0048285C">
            <w:pPr>
              <w:jc w:val="center"/>
              <w:rPr>
                <w:rFonts w:ascii="Times" w:hAnsi="Times"/>
                <w:b/>
                <w:bCs/>
                <w:color w:val="000000"/>
                <w:sz w:val="20"/>
                <w:szCs w:val="20"/>
                <w:lang w:val="en-US"/>
              </w:rPr>
            </w:pPr>
            <w:r w:rsidRPr="0048285C">
              <w:rPr>
                <w:rFonts w:ascii="Times" w:hAnsi="Times"/>
                <w:b/>
                <w:bCs/>
                <w:color w:val="000000"/>
                <w:sz w:val="20"/>
                <w:szCs w:val="20"/>
                <w:lang w:val="en-US"/>
              </w:rPr>
              <w:t>Medium-term expenditure estimates</w:t>
            </w:r>
          </w:p>
        </w:tc>
        <w:tc>
          <w:tcPr>
            <w:tcW w:w="1418" w:type="dxa"/>
            <w:vMerge w:val="restart"/>
            <w:shd w:val="clear" w:color="auto" w:fill="auto"/>
            <w:vAlign w:val="center"/>
            <w:hideMark/>
          </w:tcPr>
          <w:p w14:paraId="179BF024" w14:textId="6ED4C97B" w:rsidR="00E27DE1" w:rsidRPr="0048285C" w:rsidRDefault="00E27DE1" w:rsidP="0048285C">
            <w:pPr>
              <w:jc w:val="center"/>
              <w:rPr>
                <w:rFonts w:ascii="Times" w:hAnsi="Times"/>
                <w:b/>
                <w:bCs/>
                <w:color w:val="000000"/>
                <w:sz w:val="20"/>
                <w:szCs w:val="20"/>
                <w:lang w:val="en-US"/>
              </w:rPr>
            </w:pPr>
            <w:r w:rsidRPr="0048285C">
              <w:rPr>
                <w:rFonts w:ascii="Times" w:hAnsi="Times"/>
                <w:b/>
                <w:bCs/>
                <w:color w:val="000000"/>
                <w:sz w:val="20"/>
                <w:szCs w:val="20"/>
                <w:lang w:val="en-US"/>
              </w:rPr>
              <w:t xml:space="preserve">Total </w:t>
            </w:r>
            <w:r w:rsidR="00961BB1">
              <w:rPr>
                <w:rFonts w:ascii="Times" w:hAnsi="Times"/>
                <w:b/>
                <w:bCs/>
                <w:color w:val="000000"/>
                <w:sz w:val="20"/>
                <w:szCs w:val="20"/>
                <w:lang w:val="en-US"/>
              </w:rPr>
              <w:t>o</w:t>
            </w:r>
            <w:r w:rsidRPr="0048285C">
              <w:rPr>
                <w:rFonts w:ascii="Times" w:hAnsi="Times"/>
                <w:b/>
                <w:bCs/>
                <w:color w:val="000000"/>
                <w:sz w:val="20"/>
                <w:szCs w:val="20"/>
                <w:lang w:val="en-US"/>
              </w:rPr>
              <w:t>ver MTEF</w:t>
            </w:r>
          </w:p>
        </w:tc>
        <w:tc>
          <w:tcPr>
            <w:tcW w:w="1275" w:type="dxa"/>
            <w:vMerge w:val="restart"/>
            <w:shd w:val="clear" w:color="auto" w:fill="auto"/>
            <w:vAlign w:val="center"/>
            <w:hideMark/>
          </w:tcPr>
          <w:p w14:paraId="545850DF" w14:textId="36C6A689" w:rsidR="00E27DE1" w:rsidRPr="0048285C" w:rsidRDefault="00E27DE1" w:rsidP="0048285C">
            <w:pPr>
              <w:jc w:val="center"/>
              <w:rPr>
                <w:rFonts w:ascii="Times" w:hAnsi="Times"/>
                <w:b/>
                <w:color w:val="000000"/>
                <w:sz w:val="20"/>
                <w:szCs w:val="20"/>
                <w:lang w:val="en-US"/>
              </w:rPr>
            </w:pPr>
            <w:r w:rsidRPr="0048285C">
              <w:rPr>
                <w:rFonts w:ascii="Times" w:hAnsi="Times"/>
                <w:b/>
                <w:color w:val="000000"/>
                <w:sz w:val="20"/>
                <w:szCs w:val="20"/>
                <w:lang w:val="en-US"/>
              </w:rPr>
              <w:t xml:space="preserve">% of MTEF </w:t>
            </w:r>
            <w:r w:rsidR="00961BB1">
              <w:rPr>
                <w:rFonts w:ascii="Times" w:hAnsi="Times"/>
                <w:b/>
                <w:color w:val="000000"/>
                <w:sz w:val="20"/>
                <w:szCs w:val="20"/>
                <w:lang w:val="en-US"/>
              </w:rPr>
              <w:t>t</w:t>
            </w:r>
            <w:r w:rsidRPr="0048285C">
              <w:rPr>
                <w:rFonts w:ascii="Times" w:hAnsi="Times"/>
                <w:b/>
                <w:color w:val="000000"/>
                <w:sz w:val="20"/>
                <w:szCs w:val="20"/>
                <w:lang w:val="en-US"/>
              </w:rPr>
              <w:t>otal</w:t>
            </w:r>
          </w:p>
        </w:tc>
      </w:tr>
      <w:tr w:rsidR="00E27DE1" w:rsidRPr="0048285C" w14:paraId="49713926" w14:textId="77777777" w:rsidTr="0048285C">
        <w:trPr>
          <w:trHeight w:val="276"/>
        </w:trPr>
        <w:tc>
          <w:tcPr>
            <w:tcW w:w="3114" w:type="dxa"/>
            <w:vMerge/>
            <w:vAlign w:val="center"/>
            <w:hideMark/>
          </w:tcPr>
          <w:p w14:paraId="7530443A" w14:textId="77777777" w:rsidR="00E27DE1" w:rsidRPr="0048285C" w:rsidRDefault="00E27DE1" w:rsidP="0048285C">
            <w:pPr>
              <w:jc w:val="left"/>
              <w:rPr>
                <w:rFonts w:ascii="Times" w:hAnsi="Times"/>
                <w:b/>
                <w:bCs/>
                <w:color w:val="000000"/>
                <w:sz w:val="20"/>
                <w:szCs w:val="20"/>
                <w:lang w:val="en-US"/>
              </w:rPr>
            </w:pPr>
          </w:p>
        </w:tc>
        <w:tc>
          <w:tcPr>
            <w:tcW w:w="3827" w:type="dxa"/>
            <w:gridSpan w:val="3"/>
            <w:vMerge/>
            <w:vAlign w:val="center"/>
            <w:hideMark/>
          </w:tcPr>
          <w:p w14:paraId="57B65CE1" w14:textId="77777777" w:rsidR="00E27DE1" w:rsidRPr="0048285C" w:rsidRDefault="00E27DE1" w:rsidP="0048285C">
            <w:pPr>
              <w:jc w:val="left"/>
              <w:rPr>
                <w:rFonts w:ascii="Times" w:hAnsi="Times"/>
                <w:b/>
                <w:bCs/>
                <w:color w:val="000000"/>
                <w:sz w:val="20"/>
                <w:szCs w:val="20"/>
                <w:lang w:val="en-US"/>
              </w:rPr>
            </w:pPr>
          </w:p>
        </w:tc>
        <w:tc>
          <w:tcPr>
            <w:tcW w:w="1418" w:type="dxa"/>
            <w:vMerge/>
            <w:shd w:val="clear" w:color="auto" w:fill="auto"/>
            <w:vAlign w:val="center"/>
            <w:hideMark/>
          </w:tcPr>
          <w:p w14:paraId="0A160EAA" w14:textId="77777777" w:rsidR="00E27DE1" w:rsidRPr="0048285C" w:rsidRDefault="00E27DE1" w:rsidP="0048285C">
            <w:pPr>
              <w:jc w:val="left"/>
              <w:rPr>
                <w:rFonts w:ascii="Times" w:hAnsi="Times"/>
                <w:b/>
                <w:bCs/>
                <w:color w:val="000000"/>
                <w:sz w:val="20"/>
                <w:szCs w:val="20"/>
                <w:lang w:val="en-US"/>
              </w:rPr>
            </w:pPr>
          </w:p>
        </w:tc>
        <w:tc>
          <w:tcPr>
            <w:tcW w:w="1275" w:type="dxa"/>
            <w:vMerge/>
            <w:vAlign w:val="center"/>
            <w:hideMark/>
          </w:tcPr>
          <w:p w14:paraId="0B3D4AF4" w14:textId="77777777" w:rsidR="00E27DE1" w:rsidRPr="0048285C" w:rsidRDefault="00E27DE1" w:rsidP="0048285C">
            <w:pPr>
              <w:jc w:val="left"/>
              <w:rPr>
                <w:rFonts w:ascii="Times" w:hAnsi="Times"/>
                <w:color w:val="000000"/>
                <w:sz w:val="20"/>
                <w:szCs w:val="20"/>
                <w:lang w:val="en-US"/>
              </w:rPr>
            </w:pPr>
          </w:p>
        </w:tc>
      </w:tr>
      <w:tr w:rsidR="00E27DE1" w:rsidRPr="0048285C" w14:paraId="2821C2BE" w14:textId="77777777" w:rsidTr="0048285C">
        <w:trPr>
          <w:trHeight w:val="204"/>
        </w:trPr>
        <w:tc>
          <w:tcPr>
            <w:tcW w:w="3114" w:type="dxa"/>
            <w:vMerge/>
            <w:vAlign w:val="center"/>
            <w:hideMark/>
          </w:tcPr>
          <w:p w14:paraId="17AA3DB9" w14:textId="77777777" w:rsidR="00E27DE1" w:rsidRPr="0048285C" w:rsidRDefault="00E27DE1" w:rsidP="0048285C">
            <w:pPr>
              <w:jc w:val="left"/>
              <w:rPr>
                <w:rFonts w:ascii="Times" w:hAnsi="Times"/>
                <w:b/>
                <w:bCs/>
                <w:color w:val="000000"/>
                <w:sz w:val="20"/>
                <w:szCs w:val="20"/>
                <w:lang w:val="en-US"/>
              </w:rPr>
            </w:pPr>
          </w:p>
        </w:tc>
        <w:tc>
          <w:tcPr>
            <w:tcW w:w="1417" w:type="dxa"/>
            <w:shd w:val="clear" w:color="auto" w:fill="auto"/>
            <w:noWrap/>
            <w:vAlign w:val="center"/>
            <w:hideMark/>
          </w:tcPr>
          <w:p w14:paraId="790EB0A7" w14:textId="6EDEF3A5" w:rsidR="00E27DE1" w:rsidRPr="0048285C" w:rsidRDefault="00E27DE1" w:rsidP="0048285C">
            <w:pPr>
              <w:jc w:val="center"/>
              <w:rPr>
                <w:rFonts w:ascii="Times" w:hAnsi="Times"/>
                <w:b/>
                <w:bCs/>
                <w:color w:val="000000"/>
                <w:sz w:val="20"/>
                <w:szCs w:val="20"/>
                <w:lang w:val="en-US"/>
              </w:rPr>
            </w:pPr>
            <w:r w:rsidRPr="0048285C">
              <w:rPr>
                <w:rFonts w:ascii="Times" w:hAnsi="Times"/>
                <w:b/>
                <w:bCs/>
                <w:color w:val="000000"/>
                <w:sz w:val="20"/>
                <w:szCs w:val="20"/>
                <w:lang w:val="en-US"/>
              </w:rPr>
              <w:t>2020/21</w:t>
            </w:r>
          </w:p>
        </w:tc>
        <w:tc>
          <w:tcPr>
            <w:tcW w:w="1216" w:type="dxa"/>
            <w:shd w:val="clear" w:color="auto" w:fill="auto"/>
            <w:noWrap/>
            <w:vAlign w:val="center"/>
            <w:hideMark/>
          </w:tcPr>
          <w:p w14:paraId="439BFDB0" w14:textId="01AEFE9C" w:rsidR="00E27DE1" w:rsidRPr="0048285C" w:rsidRDefault="00E27DE1" w:rsidP="0048285C">
            <w:pPr>
              <w:jc w:val="center"/>
              <w:rPr>
                <w:rFonts w:ascii="Times" w:hAnsi="Times"/>
                <w:b/>
                <w:bCs/>
                <w:color w:val="000000"/>
                <w:sz w:val="20"/>
                <w:szCs w:val="20"/>
                <w:lang w:val="en-US"/>
              </w:rPr>
            </w:pPr>
            <w:r w:rsidRPr="0048285C">
              <w:rPr>
                <w:rFonts w:ascii="Times" w:hAnsi="Times"/>
                <w:b/>
                <w:bCs/>
                <w:color w:val="000000"/>
                <w:sz w:val="20"/>
                <w:szCs w:val="20"/>
                <w:lang w:val="en-US"/>
              </w:rPr>
              <w:t>2021/22</w:t>
            </w:r>
          </w:p>
        </w:tc>
        <w:tc>
          <w:tcPr>
            <w:tcW w:w="1194" w:type="dxa"/>
            <w:shd w:val="clear" w:color="auto" w:fill="auto"/>
            <w:noWrap/>
            <w:vAlign w:val="center"/>
            <w:hideMark/>
          </w:tcPr>
          <w:p w14:paraId="52602F10" w14:textId="556AD400" w:rsidR="00E27DE1" w:rsidRPr="0048285C" w:rsidRDefault="00E27DE1" w:rsidP="0048285C">
            <w:pPr>
              <w:jc w:val="center"/>
              <w:rPr>
                <w:rFonts w:ascii="Times" w:hAnsi="Times"/>
                <w:b/>
                <w:bCs/>
                <w:color w:val="000000"/>
                <w:sz w:val="20"/>
                <w:szCs w:val="20"/>
                <w:lang w:val="en-US"/>
              </w:rPr>
            </w:pPr>
            <w:r w:rsidRPr="0048285C">
              <w:rPr>
                <w:rFonts w:ascii="Times" w:hAnsi="Times"/>
                <w:b/>
                <w:bCs/>
                <w:color w:val="000000"/>
                <w:sz w:val="20"/>
                <w:szCs w:val="20"/>
                <w:lang w:val="en-US"/>
              </w:rPr>
              <w:t>2022/23</w:t>
            </w:r>
          </w:p>
        </w:tc>
        <w:tc>
          <w:tcPr>
            <w:tcW w:w="1418" w:type="dxa"/>
            <w:shd w:val="clear" w:color="auto" w:fill="auto"/>
            <w:noWrap/>
            <w:vAlign w:val="center"/>
            <w:hideMark/>
          </w:tcPr>
          <w:p w14:paraId="4EFA68C1" w14:textId="77777777" w:rsidR="00E27DE1" w:rsidRPr="0048285C" w:rsidRDefault="00E27DE1" w:rsidP="0048285C">
            <w:pPr>
              <w:jc w:val="center"/>
              <w:rPr>
                <w:rFonts w:ascii="Times" w:hAnsi="Times"/>
                <w:b/>
                <w:bCs/>
                <w:color w:val="000000"/>
                <w:sz w:val="20"/>
                <w:szCs w:val="20"/>
                <w:lang w:val="en-US"/>
              </w:rPr>
            </w:pPr>
            <w:r w:rsidRPr="0048285C">
              <w:rPr>
                <w:rFonts w:ascii="Times" w:hAnsi="Times"/>
                <w:b/>
                <w:bCs/>
                <w:color w:val="000000"/>
                <w:sz w:val="20"/>
                <w:szCs w:val="20"/>
                <w:lang w:val="en-US"/>
              </w:rPr>
              <w:t>2021/22-2022/23</w:t>
            </w:r>
          </w:p>
        </w:tc>
        <w:tc>
          <w:tcPr>
            <w:tcW w:w="1275" w:type="dxa"/>
            <w:vMerge/>
            <w:vAlign w:val="center"/>
            <w:hideMark/>
          </w:tcPr>
          <w:p w14:paraId="77919C30" w14:textId="77777777" w:rsidR="00E27DE1" w:rsidRPr="0048285C" w:rsidRDefault="00E27DE1" w:rsidP="0048285C">
            <w:pPr>
              <w:jc w:val="left"/>
              <w:rPr>
                <w:rFonts w:ascii="Times" w:hAnsi="Times"/>
                <w:color w:val="000000"/>
                <w:sz w:val="20"/>
                <w:szCs w:val="20"/>
                <w:lang w:val="en-US"/>
              </w:rPr>
            </w:pPr>
          </w:p>
        </w:tc>
      </w:tr>
      <w:tr w:rsidR="00E27DE1" w:rsidRPr="0048285C" w14:paraId="6B217876" w14:textId="77777777" w:rsidTr="0048285C">
        <w:trPr>
          <w:trHeight w:val="204"/>
        </w:trPr>
        <w:tc>
          <w:tcPr>
            <w:tcW w:w="3114" w:type="dxa"/>
            <w:shd w:val="clear" w:color="auto" w:fill="auto"/>
            <w:noWrap/>
            <w:vAlign w:val="bottom"/>
            <w:hideMark/>
          </w:tcPr>
          <w:p w14:paraId="3238BCAE" w14:textId="77777777" w:rsidR="00E27DE1" w:rsidRPr="0048285C" w:rsidRDefault="00E27DE1" w:rsidP="0048285C">
            <w:pPr>
              <w:jc w:val="left"/>
              <w:rPr>
                <w:rFonts w:ascii="Times" w:hAnsi="Times"/>
                <w:color w:val="000000"/>
                <w:sz w:val="20"/>
                <w:szCs w:val="20"/>
                <w:lang w:val="en-US"/>
              </w:rPr>
            </w:pPr>
            <w:r w:rsidRPr="0048285C">
              <w:rPr>
                <w:rFonts w:ascii="Times" w:hAnsi="Times"/>
                <w:color w:val="000000"/>
                <w:sz w:val="20"/>
                <w:szCs w:val="20"/>
                <w:lang w:val="en-US"/>
              </w:rPr>
              <w:t>Learning and culture</w:t>
            </w:r>
          </w:p>
        </w:tc>
        <w:tc>
          <w:tcPr>
            <w:tcW w:w="1417" w:type="dxa"/>
            <w:shd w:val="clear" w:color="auto" w:fill="auto"/>
            <w:noWrap/>
            <w:vAlign w:val="bottom"/>
            <w:hideMark/>
          </w:tcPr>
          <w:p w14:paraId="45AB27E4" w14:textId="77777777" w:rsidR="00E27DE1" w:rsidRPr="0048285C" w:rsidRDefault="00E27DE1" w:rsidP="0048285C">
            <w:pPr>
              <w:jc w:val="right"/>
              <w:rPr>
                <w:rFonts w:ascii="Times" w:hAnsi="Times"/>
                <w:color w:val="000000"/>
                <w:sz w:val="20"/>
                <w:szCs w:val="20"/>
                <w:lang w:val="en-US"/>
              </w:rPr>
            </w:pPr>
            <w:r w:rsidRPr="0048285C">
              <w:rPr>
                <w:rFonts w:ascii="Times" w:hAnsi="Times"/>
                <w:color w:val="000000"/>
                <w:sz w:val="20"/>
                <w:szCs w:val="20"/>
                <w:lang w:val="en-US"/>
              </w:rPr>
              <w:t>58.85</w:t>
            </w:r>
          </w:p>
        </w:tc>
        <w:tc>
          <w:tcPr>
            <w:tcW w:w="1216" w:type="dxa"/>
            <w:shd w:val="clear" w:color="auto" w:fill="auto"/>
            <w:noWrap/>
            <w:vAlign w:val="bottom"/>
            <w:hideMark/>
          </w:tcPr>
          <w:p w14:paraId="52263702" w14:textId="77777777" w:rsidR="00E27DE1" w:rsidRPr="0048285C" w:rsidRDefault="00E27DE1" w:rsidP="0048285C">
            <w:pPr>
              <w:jc w:val="right"/>
              <w:rPr>
                <w:rFonts w:ascii="Times" w:hAnsi="Times"/>
                <w:color w:val="000000"/>
                <w:sz w:val="20"/>
                <w:szCs w:val="20"/>
                <w:lang w:val="en-US"/>
              </w:rPr>
            </w:pPr>
            <w:r w:rsidRPr="0048285C">
              <w:rPr>
                <w:rFonts w:ascii="Times" w:hAnsi="Times"/>
                <w:color w:val="000000"/>
                <w:sz w:val="20"/>
                <w:szCs w:val="20"/>
                <w:lang w:val="en-US"/>
              </w:rPr>
              <w:t>59.54</w:t>
            </w:r>
          </w:p>
        </w:tc>
        <w:tc>
          <w:tcPr>
            <w:tcW w:w="1194" w:type="dxa"/>
            <w:shd w:val="clear" w:color="auto" w:fill="auto"/>
            <w:noWrap/>
            <w:vAlign w:val="bottom"/>
            <w:hideMark/>
          </w:tcPr>
          <w:p w14:paraId="1F19381F" w14:textId="77777777" w:rsidR="00E27DE1" w:rsidRPr="0048285C" w:rsidRDefault="00E27DE1" w:rsidP="0048285C">
            <w:pPr>
              <w:jc w:val="right"/>
              <w:rPr>
                <w:rFonts w:ascii="Times" w:hAnsi="Times"/>
                <w:color w:val="000000"/>
                <w:sz w:val="20"/>
                <w:szCs w:val="20"/>
                <w:lang w:val="en-US"/>
              </w:rPr>
            </w:pPr>
            <w:r w:rsidRPr="0048285C">
              <w:rPr>
                <w:rFonts w:ascii="Times" w:hAnsi="Times"/>
                <w:color w:val="000000"/>
                <w:sz w:val="20"/>
                <w:szCs w:val="20"/>
                <w:lang w:val="en-US"/>
              </w:rPr>
              <w:t>62.20</w:t>
            </w:r>
          </w:p>
        </w:tc>
        <w:tc>
          <w:tcPr>
            <w:tcW w:w="1418" w:type="dxa"/>
            <w:shd w:val="clear" w:color="auto" w:fill="auto"/>
            <w:noWrap/>
            <w:vAlign w:val="bottom"/>
            <w:hideMark/>
          </w:tcPr>
          <w:p w14:paraId="258AC26C" w14:textId="77777777" w:rsidR="00E27DE1" w:rsidRPr="0048285C" w:rsidRDefault="00E27DE1" w:rsidP="0048285C">
            <w:pPr>
              <w:jc w:val="right"/>
              <w:rPr>
                <w:rFonts w:ascii="Times" w:hAnsi="Times"/>
                <w:color w:val="000000"/>
                <w:sz w:val="20"/>
                <w:szCs w:val="20"/>
                <w:lang w:val="en-US"/>
              </w:rPr>
            </w:pPr>
            <w:r w:rsidRPr="0048285C">
              <w:rPr>
                <w:rFonts w:ascii="Times" w:hAnsi="Times"/>
                <w:color w:val="000000"/>
                <w:sz w:val="20"/>
                <w:szCs w:val="20"/>
                <w:lang w:val="en-US"/>
              </w:rPr>
              <w:t>180.58</w:t>
            </w:r>
          </w:p>
        </w:tc>
        <w:tc>
          <w:tcPr>
            <w:tcW w:w="1275" w:type="dxa"/>
            <w:shd w:val="clear" w:color="auto" w:fill="auto"/>
            <w:noWrap/>
            <w:vAlign w:val="bottom"/>
            <w:hideMark/>
          </w:tcPr>
          <w:p w14:paraId="575175CF" w14:textId="77777777" w:rsidR="00E27DE1" w:rsidRPr="0048285C" w:rsidRDefault="00E27DE1" w:rsidP="0048285C">
            <w:pPr>
              <w:jc w:val="right"/>
              <w:rPr>
                <w:rFonts w:ascii="Times" w:hAnsi="Times"/>
                <w:color w:val="000000"/>
                <w:sz w:val="20"/>
                <w:szCs w:val="20"/>
                <w:lang w:val="en-US"/>
              </w:rPr>
            </w:pPr>
            <w:r w:rsidRPr="0048285C">
              <w:rPr>
                <w:rFonts w:ascii="Times" w:hAnsi="Times"/>
                <w:color w:val="000000"/>
                <w:sz w:val="20"/>
                <w:szCs w:val="20"/>
                <w:lang w:val="en-US"/>
              </w:rPr>
              <w:t>5.3%</w:t>
            </w:r>
          </w:p>
        </w:tc>
      </w:tr>
      <w:tr w:rsidR="00E27DE1" w:rsidRPr="0048285C" w14:paraId="2BEA1079" w14:textId="77777777" w:rsidTr="0048285C">
        <w:trPr>
          <w:trHeight w:val="204"/>
        </w:trPr>
        <w:tc>
          <w:tcPr>
            <w:tcW w:w="3114" w:type="dxa"/>
            <w:shd w:val="clear" w:color="auto" w:fill="auto"/>
            <w:noWrap/>
            <w:vAlign w:val="bottom"/>
            <w:hideMark/>
          </w:tcPr>
          <w:p w14:paraId="7E174724" w14:textId="77777777" w:rsidR="00E27DE1" w:rsidRPr="0048285C" w:rsidRDefault="00E27DE1" w:rsidP="0048285C">
            <w:pPr>
              <w:jc w:val="left"/>
              <w:rPr>
                <w:rFonts w:ascii="Times" w:hAnsi="Times"/>
                <w:color w:val="000000"/>
                <w:sz w:val="20"/>
                <w:szCs w:val="20"/>
                <w:lang w:val="en-US"/>
              </w:rPr>
            </w:pPr>
            <w:r w:rsidRPr="0048285C">
              <w:rPr>
                <w:rFonts w:ascii="Times" w:hAnsi="Times"/>
                <w:color w:val="000000"/>
                <w:sz w:val="20"/>
                <w:szCs w:val="20"/>
                <w:lang w:val="en-US"/>
              </w:rPr>
              <w:t>Health</w:t>
            </w:r>
          </w:p>
        </w:tc>
        <w:tc>
          <w:tcPr>
            <w:tcW w:w="1417" w:type="dxa"/>
            <w:shd w:val="clear" w:color="auto" w:fill="auto"/>
            <w:noWrap/>
            <w:vAlign w:val="bottom"/>
            <w:hideMark/>
          </w:tcPr>
          <w:p w14:paraId="5E112F14" w14:textId="77777777" w:rsidR="00E27DE1" w:rsidRPr="0048285C" w:rsidRDefault="00E27DE1" w:rsidP="0048285C">
            <w:pPr>
              <w:jc w:val="right"/>
              <w:rPr>
                <w:rFonts w:ascii="Times" w:hAnsi="Times"/>
                <w:color w:val="000000"/>
                <w:sz w:val="20"/>
                <w:szCs w:val="20"/>
                <w:lang w:val="en-US"/>
              </w:rPr>
            </w:pPr>
            <w:r w:rsidRPr="0048285C">
              <w:rPr>
                <w:rFonts w:ascii="Times" w:hAnsi="Times"/>
                <w:color w:val="000000"/>
                <w:sz w:val="20"/>
                <w:szCs w:val="20"/>
                <w:lang w:val="en-US"/>
              </w:rPr>
              <w:t>23.0</w:t>
            </w:r>
          </w:p>
        </w:tc>
        <w:tc>
          <w:tcPr>
            <w:tcW w:w="1216" w:type="dxa"/>
            <w:shd w:val="clear" w:color="auto" w:fill="auto"/>
            <w:noWrap/>
            <w:vAlign w:val="bottom"/>
            <w:hideMark/>
          </w:tcPr>
          <w:p w14:paraId="54480DF9" w14:textId="77777777" w:rsidR="00E27DE1" w:rsidRPr="0048285C" w:rsidRDefault="00E27DE1" w:rsidP="0048285C">
            <w:pPr>
              <w:jc w:val="right"/>
              <w:rPr>
                <w:rFonts w:ascii="Times" w:hAnsi="Times"/>
                <w:color w:val="000000"/>
                <w:sz w:val="20"/>
                <w:szCs w:val="20"/>
                <w:lang w:val="en-US"/>
              </w:rPr>
            </w:pPr>
            <w:r w:rsidRPr="0048285C">
              <w:rPr>
                <w:rFonts w:ascii="Times" w:hAnsi="Times"/>
                <w:color w:val="000000"/>
                <w:sz w:val="20"/>
                <w:szCs w:val="20"/>
                <w:lang w:val="en-US"/>
              </w:rPr>
              <w:t>27.4</w:t>
            </w:r>
          </w:p>
        </w:tc>
        <w:tc>
          <w:tcPr>
            <w:tcW w:w="1194" w:type="dxa"/>
            <w:shd w:val="clear" w:color="auto" w:fill="auto"/>
            <w:noWrap/>
            <w:vAlign w:val="bottom"/>
            <w:hideMark/>
          </w:tcPr>
          <w:p w14:paraId="6B4CDF06" w14:textId="77777777" w:rsidR="00E27DE1" w:rsidRPr="0048285C" w:rsidRDefault="00E27DE1" w:rsidP="0048285C">
            <w:pPr>
              <w:jc w:val="right"/>
              <w:rPr>
                <w:rFonts w:ascii="Times" w:hAnsi="Times"/>
                <w:color w:val="000000"/>
                <w:sz w:val="20"/>
                <w:szCs w:val="20"/>
                <w:lang w:val="en-US"/>
              </w:rPr>
            </w:pPr>
            <w:r w:rsidRPr="0048285C">
              <w:rPr>
                <w:rFonts w:ascii="Times" w:hAnsi="Times"/>
                <w:color w:val="000000"/>
                <w:sz w:val="20"/>
                <w:szCs w:val="20"/>
                <w:lang w:val="en-US"/>
              </w:rPr>
              <w:t>28.4</w:t>
            </w:r>
          </w:p>
        </w:tc>
        <w:tc>
          <w:tcPr>
            <w:tcW w:w="1418" w:type="dxa"/>
            <w:shd w:val="clear" w:color="auto" w:fill="auto"/>
            <w:noWrap/>
            <w:vAlign w:val="bottom"/>
            <w:hideMark/>
          </w:tcPr>
          <w:p w14:paraId="7F14D3A6" w14:textId="77777777" w:rsidR="00E27DE1" w:rsidRPr="0048285C" w:rsidRDefault="00E27DE1" w:rsidP="0048285C">
            <w:pPr>
              <w:jc w:val="right"/>
              <w:rPr>
                <w:rFonts w:ascii="Times" w:hAnsi="Times"/>
                <w:color w:val="000000"/>
                <w:sz w:val="20"/>
                <w:szCs w:val="20"/>
                <w:lang w:val="en-US"/>
              </w:rPr>
            </w:pPr>
            <w:r w:rsidRPr="0048285C">
              <w:rPr>
                <w:rFonts w:ascii="Times" w:hAnsi="Times"/>
                <w:color w:val="000000"/>
                <w:sz w:val="20"/>
                <w:szCs w:val="20"/>
                <w:lang w:val="en-US"/>
              </w:rPr>
              <w:t>78.75</w:t>
            </w:r>
          </w:p>
        </w:tc>
        <w:tc>
          <w:tcPr>
            <w:tcW w:w="1275" w:type="dxa"/>
            <w:shd w:val="clear" w:color="auto" w:fill="auto"/>
            <w:noWrap/>
            <w:vAlign w:val="bottom"/>
            <w:hideMark/>
          </w:tcPr>
          <w:p w14:paraId="5D088BDA" w14:textId="77777777" w:rsidR="00E27DE1" w:rsidRPr="0048285C" w:rsidRDefault="00E27DE1" w:rsidP="0048285C">
            <w:pPr>
              <w:jc w:val="right"/>
              <w:rPr>
                <w:rFonts w:ascii="Times" w:hAnsi="Times"/>
                <w:color w:val="000000"/>
                <w:sz w:val="20"/>
                <w:szCs w:val="20"/>
                <w:lang w:val="en-US"/>
              </w:rPr>
            </w:pPr>
            <w:r w:rsidRPr="0048285C">
              <w:rPr>
                <w:rFonts w:ascii="Times" w:hAnsi="Times"/>
                <w:color w:val="000000"/>
                <w:sz w:val="20"/>
                <w:szCs w:val="20"/>
                <w:lang w:val="en-US"/>
              </w:rPr>
              <w:t>2.3%</w:t>
            </w:r>
          </w:p>
        </w:tc>
      </w:tr>
      <w:tr w:rsidR="00E27DE1" w:rsidRPr="0048285C" w14:paraId="4D0B6A61" w14:textId="77777777" w:rsidTr="0048285C">
        <w:trPr>
          <w:trHeight w:val="204"/>
        </w:trPr>
        <w:tc>
          <w:tcPr>
            <w:tcW w:w="3114" w:type="dxa"/>
            <w:shd w:val="clear" w:color="auto" w:fill="auto"/>
            <w:noWrap/>
            <w:vAlign w:val="bottom"/>
            <w:hideMark/>
          </w:tcPr>
          <w:p w14:paraId="4D86C979" w14:textId="77777777" w:rsidR="00E27DE1" w:rsidRPr="0048285C" w:rsidRDefault="00E27DE1" w:rsidP="0048285C">
            <w:pPr>
              <w:jc w:val="left"/>
              <w:rPr>
                <w:rFonts w:ascii="Times" w:hAnsi="Times"/>
                <w:color w:val="000000"/>
                <w:sz w:val="20"/>
                <w:szCs w:val="20"/>
                <w:lang w:val="en-US"/>
              </w:rPr>
            </w:pPr>
            <w:r w:rsidRPr="0048285C">
              <w:rPr>
                <w:rFonts w:ascii="Times" w:hAnsi="Times"/>
                <w:color w:val="000000"/>
                <w:sz w:val="20"/>
                <w:szCs w:val="20"/>
                <w:lang w:val="en-US"/>
              </w:rPr>
              <w:t>Social development</w:t>
            </w:r>
          </w:p>
        </w:tc>
        <w:tc>
          <w:tcPr>
            <w:tcW w:w="1417" w:type="dxa"/>
            <w:shd w:val="clear" w:color="auto" w:fill="auto"/>
            <w:noWrap/>
            <w:vAlign w:val="bottom"/>
            <w:hideMark/>
          </w:tcPr>
          <w:p w14:paraId="46EC06CA" w14:textId="77777777" w:rsidR="00E27DE1" w:rsidRPr="0048285C" w:rsidRDefault="00E27DE1" w:rsidP="0048285C">
            <w:pPr>
              <w:jc w:val="right"/>
              <w:rPr>
                <w:rFonts w:ascii="Times" w:hAnsi="Times"/>
                <w:color w:val="000000"/>
                <w:sz w:val="20"/>
                <w:szCs w:val="20"/>
                <w:lang w:val="en-US"/>
              </w:rPr>
            </w:pPr>
            <w:r w:rsidRPr="0048285C">
              <w:rPr>
                <w:rFonts w:ascii="Times" w:hAnsi="Times"/>
                <w:color w:val="000000"/>
                <w:sz w:val="20"/>
                <w:szCs w:val="20"/>
                <w:lang w:val="en-US"/>
              </w:rPr>
              <w:t>8.89</w:t>
            </w:r>
          </w:p>
        </w:tc>
        <w:tc>
          <w:tcPr>
            <w:tcW w:w="1216" w:type="dxa"/>
            <w:shd w:val="clear" w:color="auto" w:fill="auto"/>
            <w:noWrap/>
            <w:vAlign w:val="bottom"/>
            <w:hideMark/>
          </w:tcPr>
          <w:p w14:paraId="67CD596F" w14:textId="77777777" w:rsidR="00E27DE1" w:rsidRPr="0048285C" w:rsidRDefault="00E27DE1" w:rsidP="0048285C">
            <w:pPr>
              <w:jc w:val="right"/>
              <w:rPr>
                <w:rFonts w:ascii="Times" w:hAnsi="Times"/>
                <w:color w:val="000000"/>
                <w:sz w:val="20"/>
                <w:szCs w:val="20"/>
                <w:lang w:val="en-US"/>
              </w:rPr>
            </w:pPr>
            <w:r w:rsidRPr="0048285C">
              <w:rPr>
                <w:rFonts w:ascii="Times" w:hAnsi="Times"/>
                <w:color w:val="000000"/>
                <w:sz w:val="20"/>
                <w:szCs w:val="20"/>
                <w:lang w:val="en-US"/>
              </w:rPr>
              <w:t>9.28</w:t>
            </w:r>
          </w:p>
        </w:tc>
        <w:tc>
          <w:tcPr>
            <w:tcW w:w="1194" w:type="dxa"/>
            <w:shd w:val="clear" w:color="auto" w:fill="auto"/>
            <w:noWrap/>
            <w:vAlign w:val="bottom"/>
            <w:hideMark/>
          </w:tcPr>
          <w:p w14:paraId="4BECE04C" w14:textId="77777777" w:rsidR="00E27DE1" w:rsidRPr="0048285C" w:rsidRDefault="00E27DE1" w:rsidP="0048285C">
            <w:pPr>
              <w:jc w:val="right"/>
              <w:rPr>
                <w:rFonts w:ascii="Times" w:hAnsi="Times"/>
                <w:color w:val="000000"/>
                <w:sz w:val="20"/>
                <w:szCs w:val="20"/>
                <w:lang w:val="en-US"/>
              </w:rPr>
            </w:pPr>
            <w:r w:rsidRPr="0048285C">
              <w:rPr>
                <w:rFonts w:ascii="Times" w:hAnsi="Times"/>
                <w:color w:val="000000"/>
                <w:sz w:val="20"/>
                <w:szCs w:val="20"/>
                <w:lang w:val="en-US"/>
              </w:rPr>
              <w:t>9.64</w:t>
            </w:r>
          </w:p>
        </w:tc>
        <w:tc>
          <w:tcPr>
            <w:tcW w:w="1418" w:type="dxa"/>
            <w:shd w:val="clear" w:color="auto" w:fill="auto"/>
            <w:noWrap/>
            <w:vAlign w:val="bottom"/>
            <w:hideMark/>
          </w:tcPr>
          <w:p w14:paraId="5965AFCE" w14:textId="77777777" w:rsidR="00E27DE1" w:rsidRPr="0048285C" w:rsidRDefault="00E27DE1" w:rsidP="0048285C">
            <w:pPr>
              <w:jc w:val="right"/>
              <w:rPr>
                <w:rFonts w:ascii="Times" w:hAnsi="Times"/>
                <w:color w:val="000000"/>
                <w:sz w:val="20"/>
                <w:szCs w:val="20"/>
                <w:lang w:val="en-US"/>
              </w:rPr>
            </w:pPr>
            <w:r w:rsidRPr="0048285C">
              <w:rPr>
                <w:rFonts w:ascii="Times" w:hAnsi="Times"/>
                <w:color w:val="000000"/>
                <w:sz w:val="20"/>
                <w:szCs w:val="20"/>
                <w:lang w:val="en-US"/>
              </w:rPr>
              <w:t>27.80</w:t>
            </w:r>
          </w:p>
        </w:tc>
        <w:tc>
          <w:tcPr>
            <w:tcW w:w="1275" w:type="dxa"/>
            <w:shd w:val="clear" w:color="auto" w:fill="auto"/>
            <w:noWrap/>
            <w:vAlign w:val="bottom"/>
            <w:hideMark/>
          </w:tcPr>
          <w:p w14:paraId="2D1656C4" w14:textId="77777777" w:rsidR="00E27DE1" w:rsidRPr="0048285C" w:rsidRDefault="00E27DE1" w:rsidP="0048285C">
            <w:pPr>
              <w:jc w:val="right"/>
              <w:rPr>
                <w:rFonts w:ascii="Times" w:hAnsi="Times"/>
                <w:color w:val="000000"/>
                <w:sz w:val="20"/>
                <w:szCs w:val="20"/>
                <w:lang w:val="en-US"/>
              </w:rPr>
            </w:pPr>
            <w:r w:rsidRPr="0048285C">
              <w:rPr>
                <w:rFonts w:ascii="Times" w:hAnsi="Times"/>
                <w:color w:val="000000"/>
                <w:sz w:val="20"/>
                <w:szCs w:val="20"/>
                <w:lang w:val="en-US"/>
              </w:rPr>
              <w:t>0.8%</w:t>
            </w:r>
          </w:p>
        </w:tc>
      </w:tr>
      <w:tr w:rsidR="00E27DE1" w:rsidRPr="0048285C" w14:paraId="70C42E4D" w14:textId="77777777" w:rsidTr="0048285C">
        <w:trPr>
          <w:trHeight w:val="204"/>
        </w:trPr>
        <w:tc>
          <w:tcPr>
            <w:tcW w:w="3114" w:type="dxa"/>
            <w:shd w:val="clear" w:color="auto" w:fill="auto"/>
            <w:noWrap/>
            <w:vAlign w:val="bottom"/>
            <w:hideMark/>
          </w:tcPr>
          <w:p w14:paraId="49FCE886" w14:textId="77777777" w:rsidR="00E27DE1" w:rsidRPr="0048285C" w:rsidRDefault="00E27DE1" w:rsidP="0048285C">
            <w:pPr>
              <w:jc w:val="left"/>
              <w:rPr>
                <w:rFonts w:ascii="Times" w:hAnsi="Times"/>
                <w:color w:val="000000"/>
                <w:sz w:val="20"/>
                <w:szCs w:val="20"/>
                <w:lang w:val="en-US"/>
              </w:rPr>
            </w:pPr>
            <w:r w:rsidRPr="0048285C">
              <w:rPr>
                <w:rFonts w:ascii="Times" w:hAnsi="Times"/>
                <w:color w:val="000000"/>
                <w:sz w:val="20"/>
                <w:szCs w:val="20"/>
                <w:lang w:val="en-US"/>
              </w:rPr>
              <w:t>Community development</w:t>
            </w:r>
          </w:p>
        </w:tc>
        <w:tc>
          <w:tcPr>
            <w:tcW w:w="1417" w:type="dxa"/>
            <w:shd w:val="clear" w:color="auto" w:fill="auto"/>
            <w:noWrap/>
            <w:vAlign w:val="bottom"/>
            <w:hideMark/>
          </w:tcPr>
          <w:p w14:paraId="06713BFE" w14:textId="77777777" w:rsidR="00E27DE1" w:rsidRPr="0048285C" w:rsidRDefault="00E27DE1" w:rsidP="0048285C">
            <w:pPr>
              <w:jc w:val="right"/>
              <w:rPr>
                <w:rFonts w:ascii="Times" w:hAnsi="Times"/>
                <w:color w:val="000000"/>
                <w:sz w:val="20"/>
                <w:szCs w:val="20"/>
                <w:lang w:val="en-US"/>
              </w:rPr>
            </w:pPr>
            <w:r w:rsidRPr="0048285C">
              <w:rPr>
                <w:rFonts w:ascii="Times" w:hAnsi="Times"/>
                <w:color w:val="000000"/>
                <w:sz w:val="20"/>
                <w:szCs w:val="20"/>
                <w:lang w:val="en-US"/>
              </w:rPr>
              <w:t>141.41</w:t>
            </w:r>
          </w:p>
        </w:tc>
        <w:tc>
          <w:tcPr>
            <w:tcW w:w="1216" w:type="dxa"/>
            <w:shd w:val="clear" w:color="auto" w:fill="auto"/>
            <w:noWrap/>
            <w:vAlign w:val="bottom"/>
            <w:hideMark/>
          </w:tcPr>
          <w:p w14:paraId="4117348C" w14:textId="77777777" w:rsidR="00E27DE1" w:rsidRPr="0048285C" w:rsidRDefault="00E27DE1" w:rsidP="0048285C">
            <w:pPr>
              <w:jc w:val="right"/>
              <w:rPr>
                <w:rFonts w:ascii="Times" w:hAnsi="Times"/>
                <w:color w:val="000000"/>
                <w:sz w:val="20"/>
                <w:szCs w:val="20"/>
                <w:lang w:val="en-US"/>
              </w:rPr>
            </w:pPr>
            <w:r w:rsidRPr="0048285C">
              <w:rPr>
                <w:rFonts w:ascii="Times" w:hAnsi="Times"/>
                <w:color w:val="000000"/>
                <w:sz w:val="20"/>
                <w:szCs w:val="20"/>
                <w:lang w:val="en-US"/>
              </w:rPr>
              <w:t>149.72</w:t>
            </w:r>
          </w:p>
        </w:tc>
        <w:tc>
          <w:tcPr>
            <w:tcW w:w="1194" w:type="dxa"/>
            <w:shd w:val="clear" w:color="auto" w:fill="auto"/>
            <w:noWrap/>
            <w:vAlign w:val="bottom"/>
            <w:hideMark/>
          </w:tcPr>
          <w:p w14:paraId="3247BE52" w14:textId="77777777" w:rsidR="00E27DE1" w:rsidRPr="0048285C" w:rsidRDefault="00E27DE1" w:rsidP="0048285C">
            <w:pPr>
              <w:jc w:val="right"/>
              <w:rPr>
                <w:rFonts w:ascii="Times" w:hAnsi="Times"/>
                <w:color w:val="000000"/>
                <w:sz w:val="20"/>
                <w:szCs w:val="20"/>
                <w:lang w:val="en-US"/>
              </w:rPr>
            </w:pPr>
            <w:r w:rsidRPr="0048285C">
              <w:rPr>
                <w:rFonts w:ascii="Times" w:hAnsi="Times"/>
                <w:color w:val="000000"/>
                <w:sz w:val="20"/>
                <w:szCs w:val="20"/>
                <w:lang w:val="en-US"/>
              </w:rPr>
              <w:t>155.67</w:t>
            </w:r>
          </w:p>
        </w:tc>
        <w:tc>
          <w:tcPr>
            <w:tcW w:w="1418" w:type="dxa"/>
            <w:shd w:val="clear" w:color="auto" w:fill="auto"/>
            <w:noWrap/>
            <w:vAlign w:val="bottom"/>
            <w:hideMark/>
          </w:tcPr>
          <w:p w14:paraId="055D1301" w14:textId="77777777" w:rsidR="00E27DE1" w:rsidRPr="0048285C" w:rsidRDefault="00E27DE1" w:rsidP="0048285C">
            <w:pPr>
              <w:jc w:val="right"/>
              <w:rPr>
                <w:rFonts w:ascii="Times" w:hAnsi="Times"/>
                <w:color w:val="000000"/>
                <w:sz w:val="20"/>
                <w:szCs w:val="20"/>
                <w:lang w:val="en-US"/>
              </w:rPr>
            </w:pPr>
            <w:r w:rsidRPr="0048285C">
              <w:rPr>
                <w:rFonts w:ascii="Times" w:hAnsi="Times"/>
                <w:color w:val="000000"/>
                <w:sz w:val="20"/>
                <w:szCs w:val="20"/>
                <w:lang w:val="en-US"/>
              </w:rPr>
              <w:t>446.80</w:t>
            </w:r>
          </w:p>
        </w:tc>
        <w:tc>
          <w:tcPr>
            <w:tcW w:w="1275" w:type="dxa"/>
            <w:shd w:val="clear" w:color="auto" w:fill="auto"/>
            <w:noWrap/>
            <w:vAlign w:val="bottom"/>
            <w:hideMark/>
          </w:tcPr>
          <w:p w14:paraId="5EAEBE37" w14:textId="77777777" w:rsidR="00E27DE1" w:rsidRPr="0048285C" w:rsidRDefault="00E27DE1" w:rsidP="0048285C">
            <w:pPr>
              <w:jc w:val="right"/>
              <w:rPr>
                <w:rFonts w:ascii="Times" w:hAnsi="Times"/>
                <w:color w:val="000000"/>
                <w:sz w:val="20"/>
                <w:szCs w:val="20"/>
                <w:lang w:val="en-US"/>
              </w:rPr>
            </w:pPr>
            <w:r w:rsidRPr="0048285C">
              <w:rPr>
                <w:rFonts w:ascii="Times" w:hAnsi="Times"/>
                <w:color w:val="000000"/>
                <w:sz w:val="20"/>
                <w:szCs w:val="20"/>
                <w:lang w:val="en-US"/>
              </w:rPr>
              <w:t>13.1%</w:t>
            </w:r>
          </w:p>
        </w:tc>
      </w:tr>
      <w:tr w:rsidR="00E27DE1" w:rsidRPr="0048285C" w14:paraId="3FF4E6B2" w14:textId="77777777" w:rsidTr="0048285C">
        <w:trPr>
          <w:trHeight w:val="204"/>
        </w:trPr>
        <w:tc>
          <w:tcPr>
            <w:tcW w:w="3114" w:type="dxa"/>
            <w:shd w:val="clear" w:color="auto" w:fill="auto"/>
            <w:noWrap/>
            <w:vAlign w:val="bottom"/>
            <w:hideMark/>
          </w:tcPr>
          <w:p w14:paraId="31313683" w14:textId="77777777" w:rsidR="00E27DE1" w:rsidRPr="0048285C" w:rsidRDefault="00E27DE1" w:rsidP="0048285C">
            <w:pPr>
              <w:jc w:val="left"/>
              <w:rPr>
                <w:rFonts w:ascii="Times" w:hAnsi="Times"/>
                <w:color w:val="000000"/>
                <w:sz w:val="20"/>
                <w:szCs w:val="20"/>
                <w:lang w:val="en-US"/>
              </w:rPr>
            </w:pPr>
            <w:r w:rsidRPr="0048285C">
              <w:rPr>
                <w:rFonts w:ascii="Times" w:hAnsi="Times"/>
                <w:color w:val="000000"/>
                <w:sz w:val="20"/>
                <w:szCs w:val="20"/>
                <w:lang w:val="en-US"/>
              </w:rPr>
              <w:t>Economic development</w:t>
            </w:r>
          </w:p>
        </w:tc>
        <w:tc>
          <w:tcPr>
            <w:tcW w:w="1417" w:type="dxa"/>
            <w:shd w:val="clear" w:color="auto" w:fill="auto"/>
            <w:noWrap/>
            <w:vAlign w:val="bottom"/>
            <w:hideMark/>
          </w:tcPr>
          <w:p w14:paraId="480500DA" w14:textId="77777777" w:rsidR="00E27DE1" w:rsidRPr="0048285C" w:rsidRDefault="00E27DE1" w:rsidP="0048285C">
            <w:pPr>
              <w:jc w:val="right"/>
              <w:rPr>
                <w:rFonts w:ascii="Times" w:hAnsi="Times"/>
                <w:color w:val="000000"/>
                <w:sz w:val="20"/>
                <w:szCs w:val="20"/>
                <w:lang w:val="en-US"/>
              </w:rPr>
            </w:pPr>
            <w:r w:rsidRPr="0048285C">
              <w:rPr>
                <w:rFonts w:ascii="Times" w:hAnsi="Times"/>
                <w:color w:val="000000"/>
                <w:sz w:val="20"/>
                <w:szCs w:val="20"/>
                <w:lang w:val="en-US"/>
              </w:rPr>
              <w:t>392.50</w:t>
            </w:r>
          </w:p>
        </w:tc>
        <w:tc>
          <w:tcPr>
            <w:tcW w:w="1216" w:type="dxa"/>
            <w:shd w:val="clear" w:color="auto" w:fill="auto"/>
            <w:noWrap/>
            <w:vAlign w:val="bottom"/>
            <w:hideMark/>
          </w:tcPr>
          <w:p w14:paraId="02FE8D0E" w14:textId="77777777" w:rsidR="00E27DE1" w:rsidRPr="0048285C" w:rsidRDefault="00E27DE1" w:rsidP="0048285C">
            <w:pPr>
              <w:jc w:val="right"/>
              <w:rPr>
                <w:rFonts w:ascii="Times" w:hAnsi="Times"/>
                <w:color w:val="000000"/>
                <w:sz w:val="20"/>
                <w:szCs w:val="20"/>
                <w:lang w:val="en-US"/>
              </w:rPr>
            </w:pPr>
            <w:r w:rsidRPr="0048285C">
              <w:rPr>
                <w:rFonts w:ascii="Times" w:hAnsi="Times"/>
                <w:color w:val="000000"/>
                <w:sz w:val="20"/>
                <w:szCs w:val="20"/>
                <w:lang w:val="en-US"/>
              </w:rPr>
              <w:t>362.72</w:t>
            </w:r>
          </w:p>
        </w:tc>
        <w:tc>
          <w:tcPr>
            <w:tcW w:w="1194" w:type="dxa"/>
            <w:shd w:val="clear" w:color="auto" w:fill="auto"/>
            <w:noWrap/>
            <w:vAlign w:val="bottom"/>
            <w:hideMark/>
          </w:tcPr>
          <w:p w14:paraId="7A760E1A" w14:textId="77777777" w:rsidR="00E27DE1" w:rsidRPr="0048285C" w:rsidRDefault="00E27DE1" w:rsidP="0048285C">
            <w:pPr>
              <w:jc w:val="right"/>
              <w:rPr>
                <w:rFonts w:ascii="Times" w:hAnsi="Times"/>
                <w:color w:val="000000"/>
                <w:sz w:val="20"/>
                <w:szCs w:val="20"/>
                <w:lang w:val="en-US"/>
              </w:rPr>
            </w:pPr>
            <w:r w:rsidRPr="0048285C">
              <w:rPr>
                <w:rFonts w:ascii="Times" w:hAnsi="Times"/>
                <w:color w:val="000000"/>
                <w:sz w:val="20"/>
                <w:szCs w:val="20"/>
                <w:lang w:val="en-US"/>
              </w:rPr>
              <w:t>377.19</w:t>
            </w:r>
          </w:p>
        </w:tc>
        <w:tc>
          <w:tcPr>
            <w:tcW w:w="1418" w:type="dxa"/>
            <w:shd w:val="clear" w:color="auto" w:fill="auto"/>
            <w:noWrap/>
            <w:vAlign w:val="bottom"/>
            <w:hideMark/>
          </w:tcPr>
          <w:p w14:paraId="1E07E83F" w14:textId="4EEC810F" w:rsidR="00E27DE1" w:rsidRPr="0048285C" w:rsidRDefault="00E27DE1" w:rsidP="0048285C">
            <w:pPr>
              <w:jc w:val="right"/>
              <w:rPr>
                <w:rFonts w:ascii="Times" w:hAnsi="Times"/>
                <w:color w:val="000000"/>
                <w:sz w:val="20"/>
                <w:szCs w:val="20"/>
                <w:lang w:val="en-US"/>
              </w:rPr>
            </w:pPr>
            <w:r w:rsidRPr="0048285C">
              <w:rPr>
                <w:rFonts w:ascii="Times" w:hAnsi="Times"/>
                <w:color w:val="000000"/>
                <w:sz w:val="20"/>
                <w:szCs w:val="20"/>
                <w:lang w:val="en-US"/>
              </w:rPr>
              <w:t>1</w:t>
            </w:r>
            <w:r w:rsidR="0048285C">
              <w:rPr>
                <w:rFonts w:ascii="Times" w:hAnsi="Times"/>
                <w:color w:val="000000"/>
                <w:sz w:val="20"/>
                <w:szCs w:val="20"/>
                <w:lang w:val="en-US"/>
              </w:rPr>
              <w:t xml:space="preserve"> </w:t>
            </w:r>
            <w:r w:rsidRPr="0048285C">
              <w:rPr>
                <w:rFonts w:ascii="Times" w:hAnsi="Times"/>
                <w:color w:val="000000"/>
                <w:sz w:val="20"/>
                <w:szCs w:val="20"/>
                <w:lang w:val="en-US"/>
              </w:rPr>
              <w:t>132.40</w:t>
            </w:r>
          </w:p>
        </w:tc>
        <w:tc>
          <w:tcPr>
            <w:tcW w:w="1275" w:type="dxa"/>
            <w:shd w:val="clear" w:color="auto" w:fill="auto"/>
            <w:noWrap/>
            <w:vAlign w:val="bottom"/>
            <w:hideMark/>
          </w:tcPr>
          <w:p w14:paraId="3065798D" w14:textId="77777777" w:rsidR="00E27DE1" w:rsidRPr="0048285C" w:rsidRDefault="00E27DE1" w:rsidP="0048285C">
            <w:pPr>
              <w:jc w:val="right"/>
              <w:rPr>
                <w:rFonts w:ascii="Times" w:hAnsi="Times"/>
                <w:color w:val="000000"/>
                <w:sz w:val="20"/>
                <w:szCs w:val="20"/>
                <w:lang w:val="en-US"/>
              </w:rPr>
            </w:pPr>
            <w:r w:rsidRPr="0048285C">
              <w:rPr>
                <w:rFonts w:ascii="Times" w:hAnsi="Times"/>
                <w:color w:val="000000"/>
                <w:sz w:val="20"/>
                <w:szCs w:val="20"/>
                <w:lang w:val="en-US"/>
              </w:rPr>
              <w:t>33.1%</w:t>
            </w:r>
          </w:p>
        </w:tc>
      </w:tr>
      <w:tr w:rsidR="00E27DE1" w:rsidRPr="0048285C" w14:paraId="1208196D" w14:textId="77777777" w:rsidTr="0048285C">
        <w:trPr>
          <w:trHeight w:val="204"/>
        </w:trPr>
        <w:tc>
          <w:tcPr>
            <w:tcW w:w="3114" w:type="dxa"/>
            <w:shd w:val="clear" w:color="auto" w:fill="auto"/>
            <w:noWrap/>
            <w:vAlign w:val="bottom"/>
            <w:hideMark/>
          </w:tcPr>
          <w:p w14:paraId="314317A7" w14:textId="77777777" w:rsidR="00E27DE1" w:rsidRPr="0048285C" w:rsidRDefault="00E27DE1" w:rsidP="0048285C">
            <w:pPr>
              <w:jc w:val="left"/>
              <w:rPr>
                <w:rFonts w:ascii="Times" w:hAnsi="Times"/>
                <w:color w:val="000000"/>
                <w:sz w:val="20"/>
                <w:szCs w:val="20"/>
                <w:lang w:val="en-US"/>
              </w:rPr>
            </w:pPr>
            <w:r w:rsidRPr="0048285C">
              <w:rPr>
                <w:rFonts w:ascii="Times" w:hAnsi="Times"/>
                <w:color w:val="000000"/>
                <w:sz w:val="20"/>
                <w:szCs w:val="20"/>
                <w:lang w:val="en-US"/>
              </w:rPr>
              <w:t>Peace and security</w:t>
            </w:r>
          </w:p>
        </w:tc>
        <w:tc>
          <w:tcPr>
            <w:tcW w:w="1417" w:type="dxa"/>
            <w:shd w:val="clear" w:color="auto" w:fill="auto"/>
            <w:noWrap/>
            <w:vAlign w:val="bottom"/>
            <w:hideMark/>
          </w:tcPr>
          <w:p w14:paraId="75EF251A" w14:textId="77777777" w:rsidR="00E27DE1" w:rsidRPr="0048285C" w:rsidRDefault="00E27DE1" w:rsidP="0048285C">
            <w:pPr>
              <w:jc w:val="right"/>
              <w:rPr>
                <w:rFonts w:ascii="Times" w:hAnsi="Times"/>
                <w:color w:val="000000"/>
                <w:sz w:val="20"/>
                <w:szCs w:val="20"/>
                <w:lang w:val="en-US"/>
              </w:rPr>
            </w:pPr>
            <w:r w:rsidRPr="0048285C">
              <w:rPr>
                <w:rFonts w:ascii="Times" w:hAnsi="Times"/>
                <w:color w:val="000000"/>
                <w:sz w:val="20"/>
                <w:szCs w:val="20"/>
                <w:lang w:val="en-US"/>
              </w:rPr>
              <w:t>468.39</w:t>
            </w:r>
          </w:p>
        </w:tc>
        <w:tc>
          <w:tcPr>
            <w:tcW w:w="1216" w:type="dxa"/>
            <w:shd w:val="clear" w:color="auto" w:fill="auto"/>
            <w:noWrap/>
            <w:vAlign w:val="bottom"/>
            <w:hideMark/>
          </w:tcPr>
          <w:p w14:paraId="726F4290" w14:textId="77777777" w:rsidR="00E27DE1" w:rsidRPr="0048285C" w:rsidRDefault="00E27DE1" w:rsidP="0048285C">
            <w:pPr>
              <w:jc w:val="right"/>
              <w:rPr>
                <w:rFonts w:ascii="Times" w:hAnsi="Times"/>
                <w:color w:val="000000"/>
                <w:sz w:val="20"/>
                <w:szCs w:val="20"/>
                <w:lang w:val="en-US"/>
              </w:rPr>
            </w:pPr>
            <w:r w:rsidRPr="0048285C">
              <w:rPr>
                <w:rFonts w:ascii="Times" w:hAnsi="Times"/>
                <w:color w:val="000000"/>
                <w:sz w:val="20"/>
                <w:szCs w:val="20"/>
                <w:lang w:val="en-US"/>
              </w:rPr>
              <w:t>455.44</w:t>
            </w:r>
          </w:p>
        </w:tc>
        <w:tc>
          <w:tcPr>
            <w:tcW w:w="1194" w:type="dxa"/>
            <w:shd w:val="clear" w:color="auto" w:fill="auto"/>
            <w:noWrap/>
            <w:vAlign w:val="bottom"/>
            <w:hideMark/>
          </w:tcPr>
          <w:p w14:paraId="315992B6" w14:textId="77777777" w:rsidR="00E27DE1" w:rsidRPr="0048285C" w:rsidRDefault="00E27DE1" w:rsidP="0048285C">
            <w:pPr>
              <w:jc w:val="right"/>
              <w:rPr>
                <w:rFonts w:ascii="Times" w:hAnsi="Times"/>
                <w:color w:val="000000"/>
                <w:sz w:val="20"/>
                <w:szCs w:val="20"/>
                <w:lang w:val="en-US"/>
              </w:rPr>
            </w:pPr>
            <w:r w:rsidRPr="0048285C">
              <w:rPr>
                <w:rFonts w:ascii="Times" w:hAnsi="Times"/>
                <w:color w:val="000000"/>
                <w:sz w:val="20"/>
                <w:szCs w:val="20"/>
                <w:lang w:val="en-US"/>
              </w:rPr>
              <w:t>442.25</w:t>
            </w:r>
          </w:p>
        </w:tc>
        <w:tc>
          <w:tcPr>
            <w:tcW w:w="1418" w:type="dxa"/>
            <w:shd w:val="clear" w:color="auto" w:fill="auto"/>
            <w:noWrap/>
            <w:vAlign w:val="bottom"/>
            <w:hideMark/>
          </w:tcPr>
          <w:p w14:paraId="545E2875" w14:textId="7E3E31CD" w:rsidR="00E27DE1" w:rsidRPr="0048285C" w:rsidRDefault="00E27DE1" w:rsidP="0048285C">
            <w:pPr>
              <w:jc w:val="right"/>
              <w:rPr>
                <w:rFonts w:ascii="Times" w:hAnsi="Times"/>
                <w:color w:val="000000"/>
                <w:sz w:val="20"/>
                <w:szCs w:val="20"/>
                <w:lang w:val="en-US"/>
              </w:rPr>
            </w:pPr>
            <w:r w:rsidRPr="0048285C">
              <w:rPr>
                <w:rFonts w:ascii="Times" w:hAnsi="Times"/>
                <w:color w:val="000000"/>
                <w:sz w:val="20"/>
                <w:szCs w:val="20"/>
                <w:lang w:val="en-US"/>
              </w:rPr>
              <w:t>1</w:t>
            </w:r>
            <w:r w:rsidR="0048285C">
              <w:rPr>
                <w:rFonts w:ascii="Times" w:hAnsi="Times"/>
                <w:color w:val="000000"/>
                <w:sz w:val="20"/>
                <w:szCs w:val="20"/>
                <w:lang w:val="en-US"/>
              </w:rPr>
              <w:t xml:space="preserve"> </w:t>
            </w:r>
            <w:r w:rsidRPr="0048285C">
              <w:rPr>
                <w:rFonts w:ascii="Times" w:hAnsi="Times"/>
                <w:color w:val="000000"/>
                <w:sz w:val="20"/>
                <w:szCs w:val="20"/>
                <w:lang w:val="en-US"/>
              </w:rPr>
              <w:t>366.08</w:t>
            </w:r>
          </w:p>
        </w:tc>
        <w:tc>
          <w:tcPr>
            <w:tcW w:w="1275" w:type="dxa"/>
            <w:shd w:val="clear" w:color="auto" w:fill="auto"/>
            <w:noWrap/>
            <w:vAlign w:val="bottom"/>
            <w:hideMark/>
          </w:tcPr>
          <w:p w14:paraId="3B42F043" w14:textId="77777777" w:rsidR="00E27DE1" w:rsidRPr="0048285C" w:rsidRDefault="00E27DE1" w:rsidP="0048285C">
            <w:pPr>
              <w:jc w:val="right"/>
              <w:rPr>
                <w:rFonts w:ascii="Times" w:hAnsi="Times"/>
                <w:color w:val="000000"/>
                <w:sz w:val="20"/>
                <w:szCs w:val="20"/>
                <w:lang w:val="en-US"/>
              </w:rPr>
            </w:pPr>
            <w:r w:rsidRPr="0048285C">
              <w:rPr>
                <w:rFonts w:ascii="Times" w:hAnsi="Times"/>
                <w:color w:val="000000"/>
                <w:sz w:val="20"/>
                <w:szCs w:val="20"/>
                <w:lang w:val="en-US"/>
              </w:rPr>
              <w:t>40.0%</w:t>
            </w:r>
          </w:p>
        </w:tc>
      </w:tr>
      <w:tr w:rsidR="00E27DE1" w:rsidRPr="0048285C" w14:paraId="4E1D4FCC" w14:textId="77777777" w:rsidTr="0048285C">
        <w:trPr>
          <w:trHeight w:val="204"/>
        </w:trPr>
        <w:tc>
          <w:tcPr>
            <w:tcW w:w="3114" w:type="dxa"/>
            <w:shd w:val="clear" w:color="auto" w:fill="auto"/>
            <w:noWrap/>
            <w:vAlign w:val="bottom"/>
            <w:hideMark/>
          </w:tcPr>
          <w:p w14:paraId="5BC43154" w14:textId="77777777" w:rsidR="00E27DE1" w:rsidRPr="0048285C" w:rsidRDefault="00E27DE1" w:rsidP="0048285C">
            <w:pPr>
              <w:jc w:val="left"/>
              <w:rPr>
                <w:rFonts w:ascii="Times" w:hAnsi="Times"/>
                <w:color w:val="000000"/>
                <w:sz w:val="20"/>
                <w:szCs w:val="20"/>
                <w:lang w:val="en-US"/>
              </w:rPr>
            </w:pPr>
            <w:r w:rsidRPr="0048285C">
              <w:rPr>
                <w:rFonts w:ascii="Times" w:hAnsi="Times"/>
                <w:color w:val="000000"/>
                <w:sz w:val="20"/>
                <w:szCs w:val="20"/>
                <w:lang w:val="en-US"/>
              </w:rPr>
              <w:t>General public services</w:t>
            </w:r>
          </w:p>
        </w:tc>
        <w:tc>
          <w:tcPr>
            <w:tcW w:w="1417" w:type="dxa"/>
            <w:shd w:val="clear" w:color="auto" w:fill="auto"/>
            <w:noWrap/>
            <w:vAlign w:val="bottom"/>
            <w:hideMark/>
          </w:tcPr>
          <w:p w14:paraId="10A54F57" w14:textId="77777777" w:rsidR="00E27DE1" w:rsidRPr="0048285C" w:rsidRDefault="00E27DE1" w:rsidP="0048285C">
            <w:pPr>
              <w:jc w:val="right"/>
              <w:rPr>
                <w:rFonts w:ascii="Times" w:hAnsi="Times"/>
                <w:color w:val="000000"/>
                <w:sz w:val="20"/>
                <w:szCs w:val="20"/>
                <w:lang w:val="en-US"/>
              </w:rPr>
            </w:pPr>
            <w:r w:rsidRPr="0048285C">
              <w:rPr>
                <w:rFonts w:ascii="Times" w:hAnsi="Times"/>
                <w:color w:val="000000"/>
                <w:sz w:val="20"/>
                <w:szCs w:val="20"/>
                <w:lang w:val="en-US"/>
              </w:rPr>
              <w:t>65.17</w:t>
            </w:r>
          </w:p>
        </w:tc>
        <w:tc>
          <w:tcPr>
            <w:tcW w:w="1216" w:type="dxa"/>
            <w:shd w:val="clear" w:color="auto" w:fill="auto"/>
            <w:noWrap/>
            <w:vAlign w:val="bottom"/>
            <w:hideMark/>
          </w:tcPr>
          <w:p w14:paraId="30E17EB2" w14:textId="77777777" w:rsidR="00E27DE1" w:rsidRPr="0048285C" w:rsidRDefault="00E27DE1" w:rsidP="0048285C">
            <w:pPr>
              <w:jc w:val="right"/>
              <w:rPr>
                <w:rFonts w:ascii="Times" w:hAnsi="Times"/>
                <w:color w:val="000000"/>
                <w:sz w:val="20"/>
                <w:szCs w:val="20"/>
                <w:lang w:val="en-US"/>
              </w:rPr>
            </w:pPr>
            <w:r w:rsidRPr="0048285C">
              <w:rPr>
                <w:rFonts w:ascii="Times" w:hAnsi="Times"/>
                <w:color w:val="000000"/>
                <w:sz w:val="20"/>
                <w:szCs w:val="20"/>
                <w:lang w:val="en-US"/>
              </w:rPr>
              <w:t>57.33</w:t>
            </w:r>
          </w:p>
        </w:tc>
        <w:tc>
          <w:tcPr>
            <w:tcW w:w="1194" w:type="dxa"/>
            <w:shd w:val="clear" w:color="auto" w:fill="auto"/>
            <w:noWrap/>
            <w:vAlign w:val="bottom"/>
            <w:hideMark/>
          </w:tcPr>
          <w:p w14:paraId="55C62E15" w14:textId="77777777" w:rsidR="00E27DE1" w:rsidRPr="0048285C" w:rsidRDefault="00E27DE1" w:rsidP="0048285C">
            <w:pPr>
              <w:jc w:val="right"/>
              <w:rPr>
                <w:rFonts w:ascii="Times" w:hAnsi="Times"/>
                <w:color w:val="000000"/>
                <w:sz w:val="20"/>
                <w:szCs w:val="20"/>
                <w:lang w:val="en-US"/>
              </w:rPr>
            </w:pPr>
            <w:r w:rsidRPr="0048285C">
              <w:rPr>
                <w:rFonts w:ascii="Times" w:hAnsi="Times"/>
                <w:color w:val="000000"/>
                <w:sz w:val="20"/>
                <w:szCs w:val="20"/>
                <w:lang w:val="en-US"/>
              </w:rPr>
              <w:t>62.41</w:t>
            </w:r>
          </w:p>
        </w:tc>
        <w:tc>
          <w:tcPr>
            <w:tcW w:w="1418" w:type="dxa"/>
            <w:shd w:val="clear" w:color="auto" w:fill="auto"/>
            <w:noWrap/>
            <w:vAlign w:val="bottom"/>
            <w:hideMark/>
          </w:tcPr>
          <w:p w14:paraId="2EE2B70B" w14:textId="77777777" w:rsidR="00E27DE1" w:rsidRPr="0048285C" w:rsidRDefault="00E27DE1" w:rsidP="0048285C">
            <w:pPr>
              <w:jc w:val="right"/>
              <w:rPr>
                <w:rFonts w:ascii="Times" w:hAnsi="Times"/>
                <w:color w:val="000000"/>
                <w:sz w:val="20"/>
                <w:szCs w:val="20"/>
                <w:lang w:val="en-US"/>
              </w:rPr>
            </w:pPr>
            <w:r w:rsidRPr="0048285C">
              <w:rPr>
                <w:rFonts w:ascii="Times" w:hAnsi="Times"/>
                <w:color w:val="000000"/>
                <w:sz w:val="20"/>
                <w:szCs w:val="20"/>
                <w:lang w:val="en-US"/>
              </w:rPr>
              <w:t>184.91</w:t>
            </w:r>
          </w:p>
        </w:tc>
        <w:tc>
          <w:tcPr>
            <w:tcW w:w="1275" w:type="dxa"/>
            <w:shd w:val="clear" w:color="auto" w:fill="auto"/>
            <w:noWrap/>
            <w:vAlign w:val="bottom"/>
            <w:hideMark/>
          </w:tcPr>
          <w:p w14:paraId="4A94EB8D" w14:textId="77777777" w:rsidR="00E27DE1" w:rsidRPr="0048285C" w:rsidRDefault="00E27DE1" w:rsidP="0048285C">
            <w:pPr>
              <w:jc w:val="right"/>
              <w:rPr>
                <w:rFonts w:ascii="Times" w:hAnsi="Times"/>
                <w:color w:val="000000"/>
                <w:sz w:val="20"/>
                <w:szCs w:val="20"/>
                <w:lang w:val="en-US"/>
              </w:rPr>
            </w:pPr>
            <w:r w:rsidRPr="0048285C">
              <w:rPr>
                <w:rFonts w:ascii="Times" w:hAnsi="Times"/>
                <w:color w:val="000000"/>
                <w:sz w:val="20"/>
                <w:szCs w:val="20"/>
                <w:lang w:val="en-US"/>
              </w:rPr>
              <w:t>5.4%</w:t>
            </w:r>
          </w:p>
        </w:tc>
      </w:tr>
      <w:tr w:rsidR="00E27DE1" w:rsidRPr="0048285C" w14:paraId="41326E8D" w14:textId="77777777" w:rsidTr="0048285C">
        <w:trPr>
          <w:trHeight w:val="204"/>
        </w:trPr>
        <w:tc>
          <w:tcPr>
            <w:tcW w:w="3114" w:type="dxa"/>
            <w:shd w:val="clear" w:color="auto" w:fill="auto"/>
            <w:noWrap/>
            <w:vAlign w:val="bottom"/>
            <w:hideMark/>
          </w:tcPr>
          <w:p w14:paraId="558B1B33" w14:textId="77777777" w:rsidR="00E27DE1" w:rsidRPr="0048285C" w:rsidRDefault="00E27DE1" w:rsidP="0048285C">
            <w:pPr>
              <w:jc w:val="left"/>
              <w:rPr>
                <w:rFonts w:ascii="Times" w:hAnsi="Times"/>
                <w:b/>
                <w:bCs/>
                <w:color w:val="000000"/>
                <w:sz w:val="20"/>
                <w:szCs w:val="20"/>
                <w:lang w:val="en-US"/>
              </w:rPr>
            </w:pPr>
            <w:r w:rsidRPr="0048285C">
              <w:rPr>
                <w:rFonts w:ascii="Times" w:hAnsi="Times"/>
                <w:b/>
                <w:bCs/>
                <w:color w:val="000000"/>
                <w:sz w:val="20"/>
                <w:szCs w:val="20"/>
                <w:lang w:val="en-US"/>
              </w:rPr>
              <w:t>Total</w:t>
            </w:r>
          </w:p>
        </w:tc>
        <w:tc>
          <w:tcPr>
            <w:tcW w:w="1417" w:type="dxa"/>
            <w:shd w:val="clear" w:color="auto" w:fill="auto"/>
            <w:noWrap/>
            <w:vAlign w:val="bottom"/>
            <w:hideMark/>
          </w:tcPr>
          <w:p w14:paraId="549F686A" w14:textId="1145998F" w:rsidR="00E27DE1" w:rsidRPr="0048285C" w:rsidRDefault="00E27DE1" w:rsidP="0048285C">
            <w:pPr>
              <w:jc w:val="right"/>
              <w:rPr>
                <w:rFonts w:ascii="Times" w:hAnsi="Times"/>
                <w:b/>
                <w:bCs/>
                <w:color w:val="000000"/>
                <w:sz w:val="20"/>
                <w:szCs w:val="20"/>
                <w:lang w:val="en-US"/>
              </w:rPr>
            </w:pPr>
            <w:r w:rsidRPr="0048285C">
              <w:rPr>
                <w:rFonts w:ascii="Times" w:hAnsi="Times"/>
                <w:b/>
                <w:bCs/>
                <w:color w:val="000000"/>
                <w:sz w:val="20"/>
                <w:szCs w:val="20"/>
                <w:lang w:val="en-US"/>
              </w:rPr>
              <w:t>1</w:t>
            </w:r>
            <w:r w:rsidR="0048285C">
              <w:rPr>
                <w:rFonts w:ascii="Times" w:hAnsi="Times"/>
                <w:b/>
                <w:bCs/>
                <w:color w:val="000000"/>
                <w:sz w:val="20"/>
                <w:szCs w:val="20"/>
                <w:lang w:val="en-US"/>
              </w:rPr>
              <w:t xml:space="preserve"> </w:t>
            </w:r>
            <w:r w:rsidRPr="0048285C">
              <w:rPr>
                <w:rFonts w:ascii="Times" w:hAnsi="Times"/>
                <w:b/>
                <w:bCs/>
                <w:color w:val="000000"/>
                <w:sz w:val="20"/>
                <w:szCs w:val="20"/>
                <w:lang w:val="en-US"/>
              </w:rPr>
              <w:t>158.2</w:t>
            </w:r>
          </w:p>
        </w:tc>
        <w:tc>
          <w:tcPr>
            <w:tcW w:w="1216" w:type="dxa"/>
            <w:shd w:val="clear" w:color="auto" w:fill="auto"/>
            <w:noWrap/>
            <w:vAlign w:val="bottom"/>
            <w:hideMark/>
          </w:tcPr>
          <w:p w14:paraId="02759223" w14:textId="1FE96670" w:rsidR="00E27DE1" w:rsidRPr="0048285C" w:rsidRDefault="00E27DE1" w:rsidP="0048285C">
            <w:pPr>
              <w:jc w:val="right"/>
              <w:rPr>
                <w:rFonts w:ascii="Times" w:hAnsi="Times"/>
                <w:b/>
                <w:bCs/>
                <w:color w:val="000000"/>
                <w:sz w:val="20"/>
                <w:szCs w:val="20"/>
                <w:lang w:val="en-US"/>
              </w:rPr>
            </w:pPr>
            <w:r w:rsidRPr="0048285C">
              <w:rPr>
                <w:rFonts w:ascii="Times" w:hAnsi="Times"/>
                <w:b/>
                <w:bCs/>
                <w:color w:val="000000"/>
                <w:sz w:val="20"/>
                <w:szCs w:val="20"/>
                <w:lang w:val="en-US"/>
              </w:rPr>
              <w:t>1</w:t>
            </w:r>
            <w:r w:rsidR="0048285C">
              <w:rPr>
                <w:rFonts w:ascii="Times" w:hAnsi="Times"/>
                <w:b/>
                <w:bCs/>
                <w:color w:val="000000"/>
                <w:sz w:val="20"/>
                <w:szCs w:val="20"/>
                <w:lang w:val="en-US"/>
              </w:rPr>
              <w:t xml:space="preserve"> </w:t>
            </w:r>
            <w:r w:rsidRPr="0048285C">
              <w:rPr>
                <w:rFonts w:ascii="Times" w:hAnsi="Times"/>
                <w:b/>
                <w:bCs/>
                <w:color w:val="000000"/>
                <w:sz w:val="20"/>
                <w:szCs w:val="20"/>
                <w:lang w:val="en-US"/>
              </w:rPr>
              <w:t>121.4</w:t>
            </w:r>
          </w:p>
        </w:tc>
        <w:tc>
          <w:tcPr>
            <w:tcW w:w="1194" w:type="dxa"/>
            <w:shd w:val="clear" w:color="auto" w:fill="auto"/>
            <w:noWrap/>
            <w:vAlign w:val="bottom"/>
            <w:hideMark/>
          </w:tcPr>
          <w:p w14:paraId="73740435" w14:textId="4D7E21E7" w:rsidR="00E27DE1" w:rsidRPr="0048285C" w:rsidRDefault="00E27DE1" w:rsidP="0048285C">
            <w:pPr>
              <w:jc w:val="right"/>
              <w:rPr>
                <w:rFonts w:ascii="Times" w:hAnsi="Times"/>
                <w:b/>
                <w:bCs/>
                <w:color w:val="000000"/>
                <w:sz w:val="20"/>
                <w:szCs w:val="20"/>
                <w:lang w:val="en-US"/>
              </w:rPr>
            </w:pPr>
            <w:r w:rsidRPr="0048285C">
              <w:rPr>
                <w:rFonts w:ascii="Times" w:hAnsi="Times"/>
                <w:b/>
                <w:bCs/>
                <w:color w:val="000000"/>
                <w:sz w:val="20"/>
                <w:szCs w:val="20"/>
                <w:lang w:val="en-US"/>
              </w:rPr>
              <w:t>1</w:t>
            </w:r>
            <w:r w:rsidR="0048285C">
              <w:rPr>
                <w:rFonts w:ascii="Times" w:hAnsi="Times"/>
                <w:b/>
                <w:bCs/>
                <w:color w:val="000000"/>
                <w:sz w:val="20"/>
                <w:szCs w:val="20"/>
                <w:lang w:val="en-US"/>
              </w:rPr>
              <w:t xml:space="preserve"> </w:t>
            </w:r>
            <w:r w:rsidRPr="0048285C">
              <w:rPr>
                <w:rFonts w:ascii="Times" w:hAnsi="Times"/>
                <w:b/>
                <w:bCs/>
                <w:color w:val="000000"/>
                <w:sz w:val="20"/>
                <w:szCs w:val="20"/>
                <w:lang w:val="en-US"/>
              </w:rPr>
              <w:t>137.7</w:t>
            </w:r>
          </w:p>
        </w:tc>
        <w:tc>
          <w:tcPr>
            <w:tcW w:w="1418" w:type="dxa"/>
            <w:shd w:val="clear" w:color="auto" w:fill="auto"/>
            <w:noWrap/>
            <w:vAlign w:val="bottom"/>
            <w:hideMark/>
          </w:tcPr>
          <w:p w14:paraId="44D247A3" w14:textId="1F1A89C2" w:rsidR="00E27DE1" w:rsidRPr="00961BB1" w:rsidRDefault="00E27DE1" w:rsidP="0048285C">
            <w:pPr>
              <w:jc w:val="right"/>
              <w:rPr>
                <w:rFonts w:ascii="Times" w:hAnsi="Times"/>
                <w:b/>
                <w:bCs/>
                <w:color w:val="000000"/>
                <w:sz w:val="20"/>
                <w:szCs w:val="20"/>
                <w:lang w:val="en-US"/>
              </w:rPr>
            </w:pPr>
            <w:r w:rsidRPr="00961BB1">
              <w:rPr>
                <w:rFonts w:ascii="Times" w:hAnsi="Times"/>
                <w:b/>
                <w:bCs/>
                <w:color w:val="000000"/>
                <w:sz w:val="20"/>
                <w:szCs w:val="20"/>
                <w:lang w:val="en-US"/>
              </w:rPr>
              <w:t>3</w:t>
            </w:r>
            <w:r w:rsidR="0048285C" w:rsidRPr="00961BB1">
              <w:rPr>
                <w:rFonts w:ascii="Times" w:hAnsi="Times"/>
                <w:b/>
                <w:bCs/>
                <w:color w:val="000000"/>
                <w:sz w:val="20"/>
                <w:szCs w:val="20"/>
                <w:lang w:val="en-US"/>
              </w:rPr>
              <w:t xml:space="preserve"> </w:t>
            </w:r>
            <w:r w:rsidRPr="00961BB1">
              <w:rPr>
                <w:rFonts w:ascii="Times" w:hAnsi="Times"/>
                <w:b/>
                <w:bCs/>
                <w:color w:val="000000"/>
                <w:sz w:val="20"/>
                <w:szCs w:val="20"/>
                <w:lang w:val="en-US"/>
              </w:rPr>
              <w:t>417.32</w:t>
            </w:r>
          </w:p>
        </w:tc>
        <w:tc>
          <w:tcPr>
            <w:tcW w:w="1275" w:type="dxa"/>
            <w:shd w:val="clear" w:color="auto" w:fill="auto"/>
            <w:noWrap/>
            <w:vAlign w:val="bottom"/>
            <w:hideMark/>
          </w:tcPr>
          <w:p w14:paraId="521315A6" w14:textId="77777777" w:rsidR="00E27DE1" w:rsidRPr="00961BB1" w:rsidRDefault="00E27DE1" w:rsidP="0048285C">
            <w:pPr>
              <w:jc w:val="right"/>
              <w:rPr>
                <w:rFonts w:ascii="Times" w:hAnsi="Times"/>
                <w:b/>
                <w:bCs/>
                <w:color w:val="000000"/>
                <w:sz w:val="20"/>
                <w:szCs w:val="20"/>
                <w:lang w:val="en-US"/>
              </w:rPr>
            </w:pPr>
            <w:r w:rsidRPr="00961BB1">
              <w:rPr>
                <w:rFonts w:ascii="Times" w:hAnsi="Times"/>
                <w:b/>
                <w:bCs/>
                <w:color w:val="000000"/>
                <w:sz w:val="20"/>
                <w:szCs w:val="20"/>
                <w:lang w:val="en-US"/>
              </w:rPr>
              <w:t>100.0%</w:t>
            </w:r>
          </w:p>
        </w:tc>
      </w:tr>
    </w:tbl>
    <w:p w14:paraId="46C7EA9E" w14:textId="30E11314" w:rsidR="00E27DE1" w:rsidRPr="009A7F2D" w:rsidRDefault="00E27DE1" w:rsidP="00E27DE1">
      <w:pPr>
        <w:rPr>
          <w:rFonts w:ascii="Times" w:hAnsi="Times"/>
          <w:i/>
          <w:sz w:val="20"/>
          <w:szCs w:val="20"/>
        </w:rPr>
      </w:pPr>
      <w:r w:rsidRPr="009A7F2D">
        <w:rPr>
          <w:rFonts w:ascii="Times" w:hAnsi="Times"/>
          <w:i/>
          <w:sz w:val="20"/>
          <w:szCs w:val="20"/>
        </w:rPr>
        <w:t xml:space="preserve">Source: </w:t>
      </w:r>
      <w:r>
        <w:rPr>
          <w:rFonts w:ascii="Times" w:hAnsi="Times"/>
          <w:i/>
          <w:sz w:val="20"/>
          <w:szCs w:val="20"/>
        </w:rPr>
        <w:t xml:space="preserve">Commission calculations based on 2020 </w:t>
      </w:r>
      <w:r w:rsidRPr="009A7F2D">
        <w:rPr>
          <w:rFonts w:ascii="Times" w:hAnsi="Times"/>
          <w:i/>
          <w:sz w:val="20"/>
          <w:szCs w:val="20"/>
        </w:rPr>
        <w:t>ENE</w:t>
      </w:r>
      <w:r w:rsidRPr="000D6350">
        <w:t xml:space="preserve"> </w:t>
      </w:r>
      <w:r w:rsidR="0048285C">
        <w:rPr>
          <w:rFonts w:ascii="Times" w:hAnsi="Times"/>
          <w:i/>
          <w:sz w:val="20"/>
          <w:szCs w:val="20"/>
        </w:rPr>
        <w:t>i</w:t>
      </w:r>
      <w:r w:rsidRPr="000D6350">
        <w:rPr>
          <w:rFonts w:ascii="Times" w:hAnsi="Times"/>
          <w:i/>
          <w:sz w:val="20"/>
          <w:szCs w:val="20"/>
        </w:rPr>
        <w:t xml:space="preserve">ndividual </w:t>
      </w:r>
      <w:r w:rsidR="0048285C">
        <w:rPr>
          <w:rFonts w:ascii="Times" w:hAnsi="Times"/>
          <w:i/>
          <w:sz w:val="20"/>
          <w:szCs w:val="20"/>
        </w:rPr>
        <w:t>v</w:t>
      </w:r>
      <w:r w:rsidRPr="000D6350">
        <w:rPr>
          <w:rFonts w:ascii="Times" w:hAnsi="Times"/>
          <w:i/>
          <w:sz w:val="20"/>
          <w:szCs w:val="20"/>
        </w:rPr>
        <w:t>otes</w:t>
      </w:r>
      <w:r>
        <w:rPr>
          <w:rFonts w:ascii="Times" w:hAnsi="Times"/>
          <w:i/>
          <w:sz w:val="20"/>
          <w:szCs w:val="20"/>
        </w:rPr>
        <w:t>.</w:t>
      </w:r>
    </w:p>
    <w:p w14:paraId="7E808F9A" w14:textId="77777777" w:rsidR="00797D4D" w:rsidRDefault="00797D4D" w:rsidP="00556D9C">
      <w:pPr>
        <w:rPr>
          <w:i/>
        </w:rPr>
      </w:pPr>
    </w:p>
    <w:p w14:paraId="25120FD7" w14:textId="16CF1B07" w:rsidR="003D5A8F" w:rsidRDefault="00B75110" w:rsidP="003D5A8F">
      <w:r w:rsidRPr="000D33E4">
        <w:rPr>
          <w:i/>
        </w:rPr>
        <w:t xml:space="preserve">Catering: </w:t>
      </w:r>
      <w:r w:rsidRPr="000D33E4">
        <w:t>With respect to catering, national departments plan to spend R1 billion over the next three years (R295 million 2020/21</w:t>
      </w:r>
      <w:r w:rsidR="00961BB1">
        <w:t>;</w:t>
      </w:r>
      <w:r w:rsidRPr="000D33E4">
        <w:t xml:space="preserve"> R424 million in 2021/22</w:t>
      </w:r>
      <w:r w:rsidR="00961BB1">
        <w:t>;</w:t>
      </w:r>
      <w:r w:rsidRPr="000D33E4">
        <w:t xml:space="preserve"> R329 million in 2022/23). This </w:t>
      </w:r>
      <w:r w:rsidR="009F22A3">
        <w:t xml:space="preserve">is </w:t>
      </w:r>
      <w:r w:rsidRPr="000D33E4">
        <w:t xml:space="preserve">a non-essential item of spending that should be reprioritised. </w:t>
      </w:r>
      <w:r w:rsidR="00961BB1" w:rsidRPr="00961BB1">
        <w:rPr>
          <w:rFonts w:ascii="Times" w:hAnsi="Times"/>
          <w:color w:val="000000" w:themeColor="text1"/>
        </w:rPr>
        <w:fldChar w:fldCharType="begin"/>
      </w:r>
      <w:r w:rsidR="00961BB1" w:rsidRPr="00961BB1">
        <w:rPr>
          <w:rFonts w:ascii="Times" w:hAnsi="Times"/>
          <w:color w:val="000000" w:themeColor="text1"/>
        </w:rPr>
        <w:instrText xml:space="preserve"> REF _Ref41141049 \h </w:instrText>
      </w:r>
      <w:r w:rsidR="00961BB1">
        <w:rPr>
          <w:rFonts w:ascii="Times" w:hAnsi="Times"/>
          <w:color w:val="000000" w:themeColor="text1"/>
        </w:rPr>
        <w:instrText xml:space="preserve"> \* MERGEFORMAT </w:instrText>
      </w:r>
      <w:r w:rsidR="00961BB1" w:rsidRPr="00961BB1">
        <w:rPr>
          <w:rFonts w:ascii="Times" w:hAnsi="Times"/>
          <w:color w:val="000000" w:themeColor="text1"/>
        </w:rPr>
      </w:r>
      <w:r w:rsidR="00961BB1" w:rsidRPr="00961BB1">
        <w:rPr>
          <w:rFonts w:ascii="Times" w:hAnsi="Times"/>
          <w:color w:val="000000" w:themeColor="text1"/>
        </w:rPr>
        <w:fldChar w:fldCharType="separate"/>
      </w:r>
      <w:r w:rsidR="00127EB6" w:rsidRPr="00127EB6">
        <w:rPr>
          <w:rFonts w:ascii="Times" w:hAnsi="Times"/>
          <w:color w:val="000000" w:themeColor="text1"/>
          <w:szCs w:val="24"/>
        </w:rPr>
        <w:t xml:space="preserve">Table </w:t>
      </w:r>
      <w:r w:rsidR="00127EB6" w:rsidRPr="00127EB6">
        <w:rPr>
          <w:rFonts w:ascii="Times" w:hAnsi="Times"/>
          <w:noProof/>
          <w:color w:val="000000" w:themeColor="text1"/>
          <w:szCs w:val="24"/>
        </w:rPr>
        <w:t>18</w:t>
      </w:r>
      <w:r w:rsidR="00961BB1" w:rsidRPr="00961BB1">
        <w:rPr>
          <w:rFonts w:ascii="Times" w:hAnsi="Times"/>
          <w:color w:val="000000" w:themeColor="text1"/>
        </w:rPr>
        <w:fldChar w:fldCharType="end"/>
      </w:r>
      <w:r w:rsidR="00556D9C">
        <w:t xml:space="preserve"> </w:t>
      </w:r>
      <w:r w:rsidRPr="000D33E4">
        <w:t>illustrates the spread of catering spending across the 41 national departments. The figure is categorised by function. Again the driver of this item of spending are departments in the peace and security function, specifically the department of Police. Also within the economic development cluster, the department of agriculture, land reform and rural development is the main driver of catering spending. This is an area where reprioriti</w:t>
      </w:r>
      <w:r w:rsidR="00FB6890">
        <w:t>s</w:t>
      </w:r>
      <w:r w:rsidRPr="000D33E4">
        <w:t>ation must be effected.</w:t>
      </w:r>
    </w:p>
    <w:p w14:paraId="40F67F8D" w14:textId="77777777" w:rsidR="00E27DE1" w:rsidRPr="000D33E4" w:rsidRDefault="00E27DE1" w:rsidP="00E27DE1">
      <w:pPr>
        <w:rPr>
          <w:rFonts w:ascii="Times" w:hAnsi="Times"/>
        </w:rPr>
      </w:pPr>
    </w:p>
    <w:p w14:paraId="4B8812E6" w14:textId="44F7A710" w:rsidR="00E27DE1" w:rsidRPr="00961BB1" w:rsidRDefault="00961BB1" w:rsidP="00961BB1">
      <w:pPr>
        <w:pStyle w:val="Caption"/>
        <w:spacing w:after="60"/>
        <w:rPr>
          <w:rFonts w:ascii="Times" w:hAnsi="Times"/>
          <w:b w:val="0"/>
          <w:color w:val="004C45" w:themeColor="text2"/>
          <w:sz w:val="24"/>
          <w:szCs w:val="24"/>
        </w:rPr>
      </w:pPr>
      <w:bookmarkStart w:id="104" w:name="_Ref41141049"/>
      <w:bookmarkStart w:id="105" w:name="_Toc42212147"/>
      <w:r w:rsidRPr="00961BB1">
        <w:rPr>
          <w:color w:val="004C45" w:themeColor="text2"/>
          <w:sz w:val="24"/>
          <w:szCs w:val="24"/>
        </w:rPr>
        <w:t xml:space="preserve">Table </w:t>
      </w:r>
      <w:r w:rsidRPr="00961BB1">
        <w:rPr>
          <w:color w:val="004C45" w:themeColor="text2"/>
          <w:sz w:val="24"/>
          <w:szCs w:val="24"/>
        </w:rPr>
        <w:fldChar w:fldCharType="begin"/>
      </w:r>
      <w:r w:rsidRPr="00961BB1">
        <w:rPr>
          <w:color w:val="004C45" w:themeColor="text2"/>
          <w:sz w:val="24"/>
          <w:szCs w:val="24"/>
        </w:rPr>
        <w:instrText xml:space="preserve"> SEQ Table \* ARABIC </w:instrText>
      </w:r>
      <w:r w:rsidRPr="00961BB1">
        <w:rPr>
          <w:color w:val="004C45" w:themeColor="text2"/>
          <w:sz w:val="24"/>
          <w:szCs w:val="24"/>
        </w:rPr>
        <w:fldChar w:fldCharType="separate"/>
      </w:r>
      <w:r w:rsidR="00492893">
        <w:rPr>
          <w:noProof/>
          <w:color w:val="004C45" w:themeColor="text2"/>
          <w:sz w:val="24"/>
          <w:szCs w:val="24"/>
        </w:rPr>
        <w:t>18</w:t>
      </w:r>
      <w:r w:rsidRPr="00961BB1">
        <w:rPr>
          <w:color w:val="004C45" w:themeColor="text2"/>
          <w:sz w:val="24"/>
          <w:szCs w:val="24"/>
        </w:rPr>
        <w:fldChar w:fldCharType="end"/>
      </w:r>
      <w:bookmarkEnd w:id="104"/>
      <w:r>
        <w:rPr>
          <w:color w:val="004C45" w:themeColor="text2"/>
          <w:sz w:val="24"/>
          <w:szCs w:val="24"/>
        </w:rPr>
        <w:t>:</w:t>
      </w:r>
      <w:r w:rsidRPr="00961BB1">
        <w:rPr>
          <w:color w:val="004C45" w:themeColor="text2"/>
          <w:sz w:val="24"/>
          <w:szCs w:val="24"/>
        </w:rPr>
        <w:t xml:space="preserve"> National departments’ spending on catering over the 2020 MTEF period, categorised by function (R million)</w:t>
      </w:r>
      <w:bookmarkEnd w:id="105"/>
    </w:p>
    <w:tbl>
      <w:tblPr>
        <w:tblStyle w:val="GridTable1Light-Accent31"/>
        <w:tblW w:w="9600" w:type="dxa"/>
        <w:tblLook w:val="04A0" w:firstRow="1" w:lastRow="0" w:firstColumn="1" w:lastColumn="0" w:noHBand="0" w:noVBand="1"/>
      </w:tblPr>
      <w:tblGrid>
        <w:gridCol w:w="3716"/>
        <w:gridCol w:w="1241"/>
        <w:gridCol w:w="1159"/>
        <w:gridCol w:w="1109"/>
        <w:gridCol w:w="1275"/>
        <w:gridCol w:w="1100"/>
      </w:tblGrid>
      <w:tr w:rsidR="00E27DE1" w:rsidRPr="00961BB1" w14:paraId="1BCE98C3" w14:textId="77777777" w:rsidTr="006142F1">
        <w:trPr>
          <w:cnfStyle w:val="100000000000" w:firstRow="1" w:lastRow="0" w:firstColumn="0" w:lastColumn="0" w:oddVBand="0" w:evenVBand="0" w:oddHBand="0"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3716" w:type="dxa"/>
            <w:vMerge w:val="restart"/>
            <w:hideMark/>
          </w:tcPr>
          <w:p w14:paraId="3E49D0C1" w14:textId="1274589E" w:rsidR="00E27DE1" w:rsidRPr="00961BB1" w:rsidRDefault="001D006A" w:rsidP="00961BB1">
            <w:pPr>
              <w:jc w:val="left"/>
              <w:rPr>
                <w:rFonts w:ascii="Times" w:hAnsi="Times"/>
                <w:bCs w:val="0"/>
                <w:sz w:val="20"/>
                <w:szCs w:val="20"/>
                <w:lang w:val="en-US"/>
              </w:rPr>
            </w:pPr>
            <w:r w:rsidRPr="00961BB1">
              <w:rPr>
                <w:rFonts w:ascii="Times" w:hAnsi="Times"/>
                <w:bCs w:val="0"/>
                <w:sz w:val="20"/>
                <w:szCs w:val="20"/>
                <w:lang w:val="en-US"/>
              </w:rPr>
              <w:t>Category</w:t>
            </w:r>
            <w:r w:rsidR="00E27DE1" w:rsidRPr="00961BB1">
              <w:rPr>
                <w:rFonts w:ascii="Times" w:hAnsi="Times"/>
                <w:bCs w:val="0"/>
                <w:sz w:val="20"/>
                <w:szCs w:val="20"/>
                <w:lang w:val="en-US"/>
              </w:rPr>
              <w:t xml:space="preserve"> (R</w:t>
            </w:r>
            <w:r w:rsidR="00961BB1">
              <w:rPr>
                <w:rFonts w:ascii="Times" w:hAnsi="Times"/>
                <w:bCs w:val="0"/>
                <w:sz w:val="20"/>
                <w:szCs w:val="20"/>
                <w:lang w:val="en-US"/>
              </w:rPr>
              <w:t xml:space="preserve"> </w:t>
            </w:r>
            <w:r w:rsidR="00E27DE1" w:rsidRPr="00961BB1">
              <w:rPr>
                <w:rFonts w:ascii="Times" w:hAnsi="Times"/>
                <w:bCs w:val="0"/>
                <w:sz w:val="20"/>
                <w:szCs w:val="20"/>
                <w:lang w:val="en-US"/>
              </w:rPr>
              <w:t>mil</w:t>
            </w:r>
            <w:r w:rsidR="00961BB1">
              <w:rPr>
                <w:rFonts w:ascii="Times" w:hAnsi="Times"/>
                <w:bCs w:val="0"/>
                <w:sz w:val="20"/>
                <w:szCs w:val="20"/>
                <w:lang w:val="en-US"/>
              </w:rPr>
              <w:t>lion</w:t>
            </w:r>
            <w:r w:rsidR="00E27DE1" w:rsidRPr="00961BB1">
              <w:rPr>
                <w:rFonts w:ascii="Times" w:hAnsi="Times"/>
                <w:bCs w:val="0"/>
                <w:sz w:val="20"/>
                <w:szCs w:val="20"/>
                <w:lang w:val="en-US"/>
              </w:rPr>
              <w:t>)</w:t>
            </w:r>
          </w:p>
        </w:tc>
        <w:tc>
          <w:tcPr>
            <w:tcW w:w="3509" w:type="dxa"/>
            <w:gridSpan w:val="3"/>
            <w:vMerge w:val="restart"/>
            <w:hideMark/>
          </w:tcPr>
          <w:p w14:paraId="30DA55BB" w14:textId="77777777" w:rsidR="00E27DE1" w:rsidRPr="00961BB1" w:rsidRDefault="00E27DE1" w:rsidP="00961BB1">
            <w:pPr>
              <w:jc w:val="center"/>
              <w:cnfStyle w:val="100000000000" w:firstRow="1" w:lastRow="0" w:firstColumn="0" w:lastColumn="0" w:oddVBand="0" w:evenVBand="0" w:oddHBand="0" w:evenHBand="0" w:firstRowFirstColumn="0" w:firstRowLastColumn="0" w:lastRowFirstColumn="0" w:lastRowLastColumn="0"/>
              <w:rPr>
                <w:rFonts w:ascii="Times" w:hAnsi="Times"/>
                <w:color w:val="000000"/>
                <w:sz w:val="20"/>
                <w:szCs w:val="20"/>
                <w:lang w:val="en-US"/>
              </w:rPr>
            </w:pPr>
            <w:r w:rsidRPr="00961BB1">
              <w:rPr>
                <w:rFonts w:ascii="Times" w:hAnsi="Times"/>
                <w:color w:val="000000"/>
                <w:sz w:val="20"/>
                <w:szCs w:val="20"/>
                <w:lang w:val="en-US"/>
              </w:rPr>
              <w:t>Medium-term expenditure estimates</w:t>
            </w:r>
          </w:p>
        </w:tc>
        <w:tc>
          <w:tcPr>
            <w:tcW w:w="1275" w:type="dxa"/>
            <w:vMerge w:val="restart"/>
            <w:hideMark/>
          </w:tcPr>
          <w:p w14:paraId="4317A3B3" w14:textId="77777777" w:rsidR="00E27DE1" w:rsidRPr="00961BB1" w:rsidRDefault="00E27DE1" w:rsidP="00961BB1">
            <w:pPr>
              <w:jc w:val="center"/>
              <w:cnfStyle w:val="100000000000" w:firstRow="1" w:lastRow="0" w:firstColumn="0" w:lastColumn="0" w:oddVBand="0" w:evenVBand="0" w:oddHBand="0" w:evenHBand="0" w:firstRowFirstColumn="0" w:firstRowLastColumn="0" w:lastRowFirstColumn="0" w:lastRowLastColumn="0"/>
              <w:rPr>
                <w:rFonts w:ascii="Times" w:hAnsi="Times"/>
                <w:sz w:val="20"/>
                <w:szCs w:val="20"/>
                <w:lang w:val="en-US"/>
              </w:rPr>
            </w:pPr>
            <w:r w:rsidRPr="00961BB1">
              <w:rPr>
                <w:rFonts w:ascii="Times" w:hAnsi="Times"/>
                <w:sz w:val="20"/>
                <w:szCs w:val="20"/>
                <w:lang w:val="en-US"/>
              </w:rPr>
              <w:t>Total Over 2020 MTEF</w:t>
            </w:r>
          </w:p>
        </w:tc>
        <w:tc>
          <w:tcPr>
            <w:tcW w:w="1100" w:type="dxa"/>
            <w:vMerge w:val="restart"/>
            <w:hideMark/>
          </w:tcPr>
          <w:p w14:paraId="7CEFEFC7" w14:textId="77777777" w:rsidR="00E27DE1" w:rsidRPr="00961BB1" w:rsidRDefault="00E27DE1" w:rsidP="00961BB1">
            <w:pPr>
              <w:jc w:val="center"/>
              <w:cnfStyle w:val="100000000000" w:firstRow="1" w:lastRow="0" w:firstColumn="0" w:lastColumn="0" w:oddVBand="0" w:evenVBand="0" w:oddHBand="0" w:evenHBand="0" w:firstRowFirstColumn="0" w:firstRowLastColumn="0" w:lastRowFirstColumn="0" w:lastRowLastColumn="0"/>
              <w:rPr>
                <w:rFonts w:ascii="Times" w:hAnsi="Times"/>
                <w:color w:val="000000"/>
                <w:sz w:val="20"/>
                <w:szCs w:val="20"/>
                <w:lang w:val="en-US"/>
              </w:rPr>
            </w:pPr>
            <w:r w:rsidRPr="00961BB1">
              <w:rPr>
                <w:rFonts w:ascii="Times" w:hAnsi="Times"/>
                <w:color w:val="000000"/>
                <w:sz w:val="20"/>
                <w:szCs w:val="20"/>
                <w:lang w:val="en-US"/>
              </w:rPr>
              <w:t>% of MTEF Total</w:t>
            </w:r>
          </w:p>
        </w:tc>
      </w:tr>
      <w:tr w:rsidR="00E27DE1" w:rsidRPr="00961BB1" w14:paraId="0B41B8CD" w14:textId="77777777" w:rsidTr="006142F1">
        <w:trPr>
          <w:trHeight w:val="277"/>
        </w:trPr>
        <w:tc>
          <w:tcPr>
            <w:cnfStyle w:val="001000000000" w:firstRow="0" w:lastRow="0" w:firstColumn="1" w:lastColumn="0" w:oddVBand="0" w:evenVBand="0" w:oddHBand="0" w:evenHBand="0" w:firstRowFirstColumn="0" w:firstRowLastColumn="0" w:lastRowFirstColumn="0" w:lastRowLastColumn="0"/>
            <w:tcW w:w="3716" w:type="dxa"/>
            <w:vMerge/>
            <w:hideMark/>
          </w:tcPr>
          <w:p w14:paraId="5FC720DE" w14:textId="77777777" w:rsidR="00E27DE1" w:rsidRPr="00961BB1" w:rsidRDefault="00E27DE1" w:rsidP="00961BB1">
            <w:pPr>
              <w:jc w:val="left"/>
              <w:rPr>
                <w:rFonts w:ascii="Times" w:hAnsi="Times"/>
                <w:b w:val="0"/>
                <w:sz w:val="20"/>
                <w:szCs w:val="20"/>
                <w:lang w:val="en-US"/>
              </w:rPr>
            </w:pPr>
          </w:p>
        </w:tc>
        <w:tc>
          <w:tcPr>
            <w:tcW w:w="3509" w:type="dxa"/>
            <w:gridSpan w:val="3"/>
            <w:vMerge/>
            <w:hideMark/>
          </w:tcPr>
          <w:p w14:paraId="7544CF0B" w14:textId="77777777" w:rsidR="00E27DE1" w:rsidRPr="00961BB1" w:rsidRDefault="00E27DE1" w:rsidP="00961BB1">
            <w:pPr>
              <w:jc w:val="center"/>
              <w:cnfStyle w:val="000000000000" w:firstRow="0" w:lastRow="0" w:firstColumn="0" w:lastColumn="0" w:oddVBand="0" w:evenVBand="0" w:oddHBand="0" w:evenHBand="0" w:firstRowFirstColumn="0" w:firstRowLastColumn="0" w:lastRowFirstColumn="0" w:lastRowLastColumn="0"/>
              <w:rPr>
                <w:rFonts w:ascii="Times" w:hAnsi="Times"/>
                <w:b/>
                <w:bCs/>
                <w:color w:val="000000"/>
                <w:sz w:val="20"/>
                <w:szCs w:val="20"/>
                <w:lang w:val="en-US"/>
              </w:rPr>
            </w:pPr>
          </w:p>
        </w:tc>
        <w:tc>
          <w:tcPr>
            <w:tcW w:w="1275" w:type="dxa"/>
            <w:vMerge/>
            <w:hideMark/>
          </w:tcPr>
          <w:p w14:paraId="6BC7D680" w14:textId="77777777" w:rsidR="00E27DE1" w:rsidRPr="00961BB1" w:rsidRDefault="00E27DE1" w:rsidP="00961BB1">
            <w:pPr>
              <w:jc w:val="center"/>
              <w:cnfStyle w:val="000000000000" w:firstRow="0" w:lastRow="0" w:firstColumn="0" w:lastColumn="0" w:oddVBand="0" w:evenVBand="0" w:oddHBand="0" w:evenHBand="0" w:firstRowFirstColumn="0" w:firstRowLastColumn="0" w:lastRowFirstColumn="0" w:lastRowLastColumn="0"/>
              <w:rPr>
                <w:rFonts w:ascii="Times" w:hAnsi="Times"/>
                <w:b/>
                <w:bCs/>
                <w:sz w:val="20"/>
                <w:szCs w:val="20"/>
                <w:lang w:val="en-US"/>
              </w:rPr>
            </w:pPr>
          </w:p>
        </w:tc>
        <w:tc>
          <w:tcPr>
            <w:tcW w:w="1100" w:type="dxa"/>
            <w:vMerge/>
            <w:hideMark/>
          </w:tcPr>
          <w:p w14:paraId="6C7CCFED" w14:textId="77777777" w:rsidR="00E27DE1" w:rsidRPr="00961BB1" w:rsidRDefault="00E27DE1" w:rsidP="00961BB1">
            <w:pPr>
              <w:jc w:val="center"/>
              <w:cnfStyle w:val="000000000000" w:firstRow="0" w:lastRow="0" w:firstColumn="0" w:lastColumn="0" w:oddVBand="0" w:evenVBand="0" w:oddHBand="0" w:evenHBand="0" w:firstRowFirstColumn="0" w:firstRowLastColumn="0" w:lastRowFirstColumn="0" w:lastRowLastColumn="0"/>
              <w:rPr>
                <w:rFonts w:ascii="Times" w:hAnsi="Times"/>
                <w:b/>
                <w:bCs/>
                <w:color w:val="000000"/>
                <w:sz w:val="20"/>
                <w:szCs w:val="20"/>
                <w:lang w:val="en-US"/>
              </w:rPr>
            </w:pPr>
          </w:p>
        </w:tc>
      </w:tr>
      <w:tr w:rsidR="00E27DE1" w:rsidRPr="00961BB1" w14:paraId="6EF4EB13" w14:textId="77777777" w:rsidTr="006142F1">
        <w:trPr>
          <w:trHeight w:val="204"/>
        </w:trPr>
        <w:tc>
          <w:tcPr>
            <w:cnfStyle w:val="001000000000" w:firstRow="0" w:lastRow="0" w:firstColumn="1" w:lastColumn="0" w:oddVBand="0" w:evenVBand="0" w:oddHBand="0" w:evenHBand="0" w:firstRowFirstColumn="0" w:firstRowLastColumn="0" w:lastRowFirstColumn="0" w:lastRowLastColumn="0"/>
            <w:tcW w:w="3716" w:type="dxa"/>
            <w:vMerge/>
            <w:hideMark/>
          </w:tcPr>
          <w:p w14:paraId="735B5421" w14:textId="77777777" w:rsidR="00E27DE1" w:rsidRPr="00961BB1" w:rsidRDefault="00E27DE1" w:rsidP="00961BB1">
            <w:pPr>
              <w:jc w:val="left"/>
              <w:rPr>
                <w:rFonts w:ascii="Times" w:hAnsi="Times"/>
                <w:b w:val="0"/>
                <w:sz w:val="20"/>
                <w:szCs w:val="20"/>
                <w:lang w:val="en-US"/>
              </w:rPr>
            </w:pPr>
          </w:p>
        </w:tc>
        <w:tc>
          <w:tcPr>
            <w:tcW w:w="1241" w:type="dxa"/>
            <w:noWrap/>
            <w:hideMark/>
          </w:tcPr>
          <w:p w14:paraId="11B77705" w14:textId="77777777" w:rsidR="00E27DE1" w:rsidRPr="00961BB1" w:rsidRDefault="00E27DE1" w:rsidP="00961BB1">
            <w:pPr>
              <w:jc w:val="center"/>
              <w:cnfStyle w:val="000000000000" w:firstRow="0" w:lastRow="0" w:firstColumn="0" w:lastColumn="0" w:oddVBand="0" w:evenVBand="0" w:oddHBand="0" w:evenHBand="0" w:firstRowFirstColumn="0" w:firstRowLastColumn="0" w:lastRowFirstColumn="0" w:lastRowLastColumn="0"/>
              <w:rPr>
                <w:rFonts w:ascii="Times" w:hAnsi="Times"/>
                <w:b/>
                <w:bCs/>
                <w:color w:val="000000"/>
                <w:sz w:val="20"/>
                <w:szCs w:val="20"/>
                <w:lang w:val="en-US"/>
              </w:rPr>
            </w:pPr>
            <w:r w:rsidRPr="00961BB1">
              <w:rPr>
                <w:rFonts w:ascii="Times" w:hAnsi="Times"/>
                <w:b/>
                <w:bCs/>
                <w:color w:val="000000"/>
                <w:sz w:val="20"/>
                <w:szCs w:val="20"/>
                <w:lang w:val="en-US"/>
              </w:rPr>
              <w:t>2020/21</w:t>
            </w:r>
          </w:p>
        </w:tc>
        <w:tc>
          <w:tcPr>
            <w:tcW w:w="1159" w:type="dxa"/>
            <w:noWrap/>
            <w:hideMark/>
          </w:tcPr>
          <w:p w14:paraId="465DA633" w14:textId="77777777" w:rsidR="00E27DE1" w:rsidRPr="00961BB1" w:rsidRDefault="00E27DE1" w:rsidP="00961BB1">
            <w:pPr>
              <w:jc w:val="center"/>
              <w:cnfStyle w:val="000000000000" w:firstRow="0" w:lastRow="0" w:firstColumn="0" w:lastColumn="0" w:oddVBand="0" w:evenVBand="0" w:oddHBand="0" w:evenHBand="0" w:firstRowFirstColumn="0" w:firstRowLastColumn="0" w:lastRowFirstColumn="0" w:lastRowLastColumn="0"/>
              <w:rPr>
                <w:rFonts w:ascii="Times" w:hAnsi="Times"/>
                <w:b/>
                <w:bCs/>
                <w:color w:val="000000"/>
                <w:sz w:val="20"/>
                <w:szCs w:val="20"/>
                <w:lang w:val="en-US"/>
              </w:rPr>
            </w:pPr>
            <w:r w:rsidRPr="00961BB1">
              <w:rPr>
                <w:rFonts w:ascii="Times" w:hAnsi="Times"/>
                <w:b/>
                <w:bCs/>
                <w:color w:val="000000"/>
                <w:sz w:val="20"/>
                <w:szCs w:val="20"/>
                <w:lang w:val="en-US"/>
              </w:rPr>
              <w:t>2021/22</w:t>
            </w:r>
          </w:p>
        </w:tc>
        <w:tc>
          <w:tcPr>
            <w:tcW w:w="1109" w:type="dxa"/>
            <w:noWrap/>
            <w:hideMark/>
          </w:tcPr>
          <w:p w14:paraId="11BDD2E3" w14:textId="77777777" w:rsidR="00E27DE1" w:rsidRPr="00961BB1" w:rsidRDefault="00E27DE1" w:rsidP="00961BB1">
            <w:pPr>
              <w:jc w:val="center"/>
              <w:cnfStyle w:val="000000000000" w:firstRow="0" w:lastRow="0" w:firstColumn="0" w:lastColumn="0" w:oddVBand="0" w:evenVBand="0" w:oddHBand="0" w:evenHBand="0" w:firstRowFirstColumn="0" w:firstRowLastColumn="0" w:lastRowFirstColumn="0" w:lastRowLastColumn="0"/>
              <w:rPr>
                <w:rFonts w:ascii="Times" w:hAnsi="Times"/>
                <w:b/>
                <w:bCs/>
                <w:color w:val="000000"/>
                <w:sz w:val="20"/>
                <w:szCs w:val="20"/>
                <w:lang w:val="en-US"/>
              </w:rPr>
            </w:pPr>
            <w:r w:rsidRPr="00961BB1">
              <w:rPr>
                <w:rFonts w:ascii="Times" w:hAnsi="Times"/>
                <w:b/>
                <w:bCs/>
                <w:color w:val="000000"/>
                <w:sz w:val="20"/>
                <w:szCs w:val="20"/>
                <w:lang w:val="en-US"/>
              </w:rPr>
              <w:t>2022/23</w:t>
            </w:r>
          </w:p>
        </w:tc>
        <w:tc>
          <w:tcPr>
            <w:tcW w:w="1275" w:type="dxa"/>
            <w:noWrap/>
            <w:hideMark/>
          </w:tcPr>
          <w:p w14:paraId="3A501892" w14:textId="77777777" w:rsidR="00E27DE1" w:rsidRPr="00961BB1" w:rsidRDefault="00E27DE1" w:rsidP="00961BB1">
            <w:pPr>
              <w:jc w:val="center"/>
              <w:cnfStyle w:val="000000000000" w:firstRow="0" w:lastRow="0" w:firstColumn="0" w:lastColumn="0" w:oddVBand="0" w:evenVBand="0" w:oddHBand="0" w:evenHBand="0" w:firstRowFirstColumn="0" w:firstRowLastColumn="0" w:lastRowFirstColumn="0" w:lastRowLastColumn="0"/>
              <w:rPr>
                <w:rFonts w:ascii="Times" w:hAnsi="Times"/>
                <w:b/>
                <w:bCs/>
                <w:sz w:val="20"/>
                <w:szCs w:val="20"/>
                <w:lang w:val="en-US"/>
              </w:rPr>
            </w:pPr>
            <w:r w:rsidRPr="00961BB1">
              <w:rPr>
                <w:rFonts w:ascii="Times" w:hAnsi="Times"/>
                <w:b/>
                <w:bCs/>
                <w:sz w:val="20"/>
                <w:szCs w:val="20"/>
                <w:lang w:val="en-US"/>
              </w:rPr>
              <w:t>2021/22-2022/23</w:t>
            </w:r>
          </w:p>
        </w:tc>
        <w:tc>
          <w:tcPr>
            <w:tcW w:w="1100" w:type="dxa"/>
            <w:vMerge/>
            <w:hideMark/>
          </w:tcPr>
          <w:p w14:paraId="2DCB652B" w14:textId="77777777" w:rsidR="00E27DE1" w:rsidRPr="00961BB1" w:rsidRDefault="00E27DE1" w:rsidP="00961BB1">
            <w:pPr>
              <w:jc w:val="center"/>
              <w:cnfStyle w:val="000000000000" w:firstRow="0" w:lastRow="0" w:firstColumn="0" w:lastColumn="0" w:oddVBand="0" w:evenVBand="0" w:oddHBand="0" w:evenHBand="0" w:firstRowFirstColumn="0" w:firstRowLastColumn="0" w:lastRowFirstColumn="0" w:lastRowLastColumn="0"/>
              <w:rPr>
                <w:rFonts w:ascii="Times" w:hAnsi="Times"/>
                <w:b/>
                <w:bCs/>
                <w:color w:val="000000"/>
                <w:sz w:val="20"/>
                <w:szCs w:val="20"/>
                <w:lang w:val="en-US"/>
              </w:rPr>
            </w:pPr>
          </w:p>
        </w:tc>
      </w:tr>
      <w:tr w:rsidR="00E27DE1" w:rsidRPr="00961BB1" w14:paraId="39891CD0" w14:textId="77777777" w:rsidTr="006142F1">
        <w:trPr>
          <w:trHeight w:val="204"/>
        </w:trPr>
        <w:tc>
          <w:tcPr>
            <w:cnfStyle w:val="001000000000" w:firstRow="0" w:lastRow="0" w:firstColumn="1" w:lastColumn="0" w:oddVBand="0" w:evenVBand="0" w:oddHBand="0" w:evenHBand="0" w:firstRowFirstColumn="0" w:firstRowLastColumn="0" w:lastRowFirstColumn="0" w:lastRowLastColumn="0"/>
            <w:tcW w:w="3716" w:type="dxa"/>
            <w:noWrap/>
            <w:hideMark/>
          </w:tcPr>
          <w:p w14:paraId="44EB2A8B" w14:textId="77777777" w:rsidR="00E27DE1" w:rsidRPr="00961BB1" w:rsidRDefault="00E27DE1" w:rsidP="00961BB1">
            <w:pPr>
              <w:jc w:val="left"/>
              <w:rPr>
                <w:rFonts w:ascii="Times" w:hAnsi="Times"/>
                <w:b w:val="0"/>
                <w:sz w:val="20"/>
                <w:szCs w:val="20"/>
                <w:lang w:val="en-US"/>
              </w:rPr>
            </w:pPr>
            <w:r w:rsidRPr="00961BB1">
              <w:rPr>
                <w:rFonts w:ascii="Times" w:hAnsi="Times"/>
                <w:b w:val="0"/>
                <w:sz w:val="20"/>
                <w:szCs w:val="20"/>
                <w:lang w:val="en-US"/>
              </w:rPr>
              <w:t>Learning and culture</w:t>
            </w:r>
          </w:p>
        </w:tc>
        <w:tc>
          <w:tcPr>
            <w:tcW w:w="1241" w:type="dxa"/>
            <w:noWrap/>
            <w:hideMark/>
          </w:tcPr>
          <w:p w14:paraId="0CCBED0B" w14:textId="77777777" w:rsidR="00E27DE1" w:rsidRPr="00961BB1" w:rsidRDefault="00E27DE1" w:rsidP="006142F1">
            <w:pPr>
              <w:jc w:val="right"/>
              <w:cnfStyle w:val="000000000000" w:firstRow="0" w:lastRow="0" w:firstColumn="0" w:lastColumn="0" w:oddVBand="0" w:evenVBand="0" w:oddHBand="0" w:evenHBand="0" w:firstRowFirstColumn="0" w:firstRowLastColumn="0" w:lastRowFirstColumn="0" w:lastRowLastColumn="0"/>
              <w:rPr>
                <w:rFonts w:ascii="Times" w:hAnsi="Times"/>
                <w:color w:val="000000"/>
                <w:sz w:val="20"/>
                <w:szCs w:val="20"/>
                <w:lang w:val="en-US"/>
              </w:rPr>
            </w:pPr>
            <w:r w:rsidRPr="00961BB1">
              <w:rPr>
                <w:rFonts w:ascii="Times" w:hAnsi="Times"/>
                <w:color w:val="000000"/>
                <w:sz w:val="20"/>
                <w:szCs w:val="20"/>
                <w:lang w:val="en-US"/>
              </w:rPr>
              <w:t>40.16</w:t>
            </w:r>
          </w:p>
        </w:tc>
        <w:tc>
          <w:tcPr>
            <w:tcW w:w="1159" w:type="dxa"/>
            <w:noWrap/>
            <w:hideMark/>
          </w:tcPr>
          <w:p w14:paraId="06516A9C" w14:textId="77777777" w:rsidR="00E27DE1" w:rsidRPr="00961BB1" w:rsidRDefault="00E27DE1" w:rsidP="006142F1">
            <w:pPr>
              <w:jc w:val="right"/>
              <w:cnfStyle w:val="000000000000" w:firstRow="0" w:lastRow="0" w:firstColumn="0" w:lastColumn="0" w:oddVBand="0" w:evenVBand="0" w:oddHBand="0" w:evenHBand="0" w:firstRowFirstColumn="0" w:firstRowLastColumn="0" w:lastRowFirstColumn="0" w:lastRowLastColumn="0"/>
              <w:rPr>
                <w:rFonts w:ascii="Times" w:hAnsi="Times"/>
                <w:color w:val="000000"/>
                <w:sz w:val="20"/>
                <w:szCs w:val="20"/>
                <w:lang w:val="en-US"/>
              </w:rPr>
            </w:pPr>
            <w:r w:rsidRPr="00961BB1">
              <w:rPr>
                <w:rFonts w:ascii="Times" w:hAnsi="Times"/>
                <w:color w:val="000000"/>
                <w:sz w:val="20"/>
                <w:szCs w:val="20"/>
                <w:lang w:val="en-US"/>
              </w:rPr>
              <w:t>43.24</w:t>
            </w:r>
          </w:p>
        </w:tc>
        <w:tc>
          <w:tcPr>
            <w:tcW w:w="1109" w:type="dxa"/>
            <w:noWrap/>
            <w:hideMark/>
          </w:tcPr>
          <w:p w14:paraId="7C738B34" w14:textId="77777777" w:rsidR="00E27DE1" w:rsidRPr="00961BB1" w:rsidRDefault="00E27DE1" w:rsidP="006142F1">
            <w:pPr>
              <w:jc w:val="right"/>
              <w:cnfStyle w:val="000000000000" w:firstRow="0" w:lastRow="0" w:firstColumn="0" w:lastColumn="0" w:oddVBand="0" w:evenVBand="0" w:oddHBand="0" w:evenHBand="0" w:firstRowFirstColumn="0" w:firstRowLastColumn="0" w:lastRowFirstColumn="0" w:lastRowLastColumn="0"/>
              <w:rPr>
                <w:rFonts w:ascii="Times" w:hAnsi="Times"/>
                <w:color w:val="000000"/>
                <w:sz w:val="20"/>
                <w:szCs w:val="20"/>
                <w:lang w:val="en-US"/>
              </w:rPr>
            </w:pPr>
            <w:r w:rsidRPr="00961BB1">
              <w:rPr>
                <w:rFonts w:ascii="Times" w:hAnsi="Times"/>
                <w:color w:val="000000"/>
                <w:sz w:val="20"/>
                <w:szCs w:val="20"/>
                <w:lang w:val="en-US"/>
              </w:rPr>
              <w:t>44.58</w:t>
            </w:r>
          </w:p>
        </w:tc>
        <w:tc>
          <w:tcPr>
            <w:tcW w:w="1275" w:type="dxa"/>
            <w:noWrap/>
            <w:hideMark/>
          </w:tcPr>
          <w:p w14:paraId="77B0545B" w14:textId="77777777" w:rsidR="00E27DE1" w:rsidRPr="00961BB1" w:rsidRDefault="00E27DE1" w:rsidP="006142F1">
            <w:pPr>
              <w:jc w:val="right"/>
              <w:cnfStyle w:val="000000000000" w:firstRow="0" w:lastRow="0" w:firstColumn="0" w:lastColumn="0" w:oddVBand="0" w:evenVBand="0" w:oddHBand="0" w:evenHBand="0" w:firstRowFirstColumn="0" w:firstRowLastColumn="0" w:lastRowFirstColumn="0" w:lastRowLastColumn="0"/>
              <w:rPr>
                <w:rFonts w:ascii="Times" w:hAnsi="Times"/>
                <w:sz w:val="20"/>
                <w:szCs w:val="20"/>
                <w:lang w:val="en-US"/>
              </w:rPr>
            </w:pPr>
            <w:r w:rsidRPr="00961BB1">
              <w:rPr>
                <w:rFonts w:ascii="Times" w:hAnsi="Times"/>
                <w:sz w:val="20"/>
                <w:szCs w:val="20"/>
                <w:lang w:val="en-US"/>
              </w:rPr>
              <w:t>127.97</w:t>
            </w:r>
          </w:p>
        </w:tc>
        <w:tc>
          <w:tcPr>
            <w:tcW w:w="1100" w:type="dxa"/>
            <w:noWrap/>
            <w:hideMark/>
          </w:tcPr>
          <w:p w14:paraId="42A11AAC" w14:textId="77777777" w:rsidR="00E27DE1" w:rsidRPr="00961BB1" w:rsidRDefault="00E27DE1" w:rsidP="006142F1">
            <w:pPr>
              <w:jc w:val="right"/>
              <w:cnfStyle w:val="000000000000" w:firstRow="0" w:lastRow="0" w:firstColumn="0" w:lastColumn="0" w:oddVBand="0" w:evenVBand="0" w:oddHBand="0" w:evenHBand="0" w:firstRowFirstColumn="0" w:firstRowLastColumn="0" w:lastRowFirstColumn="0" w:lastRowLastColumn="0"/>
              <w:rPr>
                <w:rFonts w:ascii="Times" w:hAnsi="Times"/>
                <w:color w:val="000000"/>
                <w:sz w:val="20"/>
                <w:szCs w:val="20"/>
                <w:lang w:val="en-US"/>
              </w:rPr>
            </w:pPr>
            <w:r w:rsidRPr="00961BB1">
              <w:rPr>
                <w:rFonts w:ascii="Times" w:hAnsi="Times"/>
                <w:color w:val="000000"/>
                <w:sz w:val="20"/>
                <w:szCs w:val="20"/>
                <w:lang w:val="en-US"/>
              </w:rPr>
              <w:t>12%</w:t>
            </w:r>
          </w:p>
        </w:tc>
      </w:tr>
      <w:tr w:rsidR="00E27DE1" w:rsidRPr="00961BB1" w14:paraId="5FE8DC73" w14:textId="77777777" w:rsidTr="006142F1">
        <w:trPr>
          <w:trHeight w:val="204"/>
        </w:trPr>
        <w:tc>
          <w:tcPr>
            <w:cnfStyle w:val="001000000000" w:firstRow="0" w:lastRow="0" w:firstColumn="1" w:lastColumn="0" w:oddVBand="0" w:evenVBand="0" w:oddHBand="0" w:evenHBand="0" w:firstRowFirstColumn="0" w:firstRowLastColumn="0" w:lastRowFirstColumn="0" w:lastRowLastColumn="0"/>
            <w:tcW w:w="3716" w:type="dxa"/>
            <w:noWrap/>
            <w:hideMark/>
          </w:tcPr>
          <w:p w14:paraId="5C2339B8" w14:textId="77777777" w:rsidR="00E27DE1" w:rsidRPr="00961BB1" w:rsidRDefault="00E27DE1" w:rsidP="00961BB1">
            <w:pPr>
              <w:jc w:val="left"/>
              <w:rPr>
                <w:rFonts w:ascii="Times" w:hAnsi="Times"/>
                <w:b w:val="0"/>
                <w:sz w:val="20"/>
                <w:szCs w:val="20"/>
                <w:lang w:val="en-US"/>
              </w:rPr>
            </w:pPr>
            <w:r w:rsidRPr="00961BB1">
              <w:rPr>
                <w:rFonts w:ascii="Times" w:hAnsi="Times"/>
                <w:b w:val="0"/>
                <w:sz w:val="20"/>
                <w:szCs w:val="20"/>
                <w:lang w:val="en-US"/>
              </w:rPr>
              <w:t>Health</w:t>
            </w:r>
          </w:p>
        </w:tc>
        <w:tc>
          <w:tcPr>
            <w:tcW w:w="1241" w:type="dxa"/>
            <w:noWrap/>
            <w:hideMark/>
          </w:tcPr>
          <w:p w14:paraId="4E6A1FBC" w14:textId="77777777" w:rsidR="00E27DE1" w:rsidRPr="00961BB1" w:rsidRDefault="00E27DE1" w:rsidP="006142F1">
            <w:pPr>
              <w:jc w:val="right"/>
              <w:cnfStyle w:val="000000000000" w:firstRow="0" w:lastRow="0" w:firstColumn="0" w:lastColumn="0" w:oddVBand="0" w:evenVBand="0" w:oddHBand="0" w:evenHBand="0" w:firstRowFirstColumn="0" w:firstRowLastColumn="0" w:lastRowFirstColumn="0" w:lastRowLastColumn="0"/>
              <w:rPr>
                <w:rFonts w:ascii="Times" w:hAnsi="Times"/>
                <w:color w:val="000000"/>
                <w:sz w:val="20"/>
                <w:szCs w:val="20"/>
                <w:lang w:val="en-US"/>
              </w:rPr>
            </w:pPr>
            <w:r w:rsidRPr="00961BB1">
              <w:rPr>
                <w:rFonts w:ascii="Times" w:hAnsi="Times"/>
                <w:color w:val="000000"/>
                <w:sz w:val="20"/>
                <w:szCs w:val="20"/>
                <w:lang w:val="en-US"/>
              </w:rPr>
              <w:t>4.0</w:t>
            </w:r>
          </w:p>
        </w:tc>
        <w:tc>
          <w:tcPr>
            <w:tcW w:w="1159" w:type="dxa"/>
            <w:noWrap/>
            <w:hideMark/>
          </w:tcPr>
          <w:p w14:paraId="58504B9B" w14:textId="77777777" w:rsidR="00E27DE1" w:rsidRPr="00961BB1" w:rsidRDefault="00E27DE1" w:rsidP="006142F1">
            <w:pPr>
              <w:jc w:val="right"/>
              <w:cnfStyle w:val="000000000000" w:firstRow="0" w:lastRow="0" w:firstColumn="0" w:lastColumn="0" w:oddVBand="0" w:evenVBand="0" w:oddHBand="0" w:evenHBand="0" w:firstRowFirstColumn="0" w:firstRowLastColumn="0" w:lastRowFirstColumn="0" w:lastRowLastColumn="0"/>
              <w:rPr>
                <w:rFonts w:ascii="Times" w:hAnsi="Times"/>
                <w:color w:val="000000"/>
                <w:sz w:val="20"/>
                <w:szCs w:val="20"/>
                <w:lang w:val="en-US"/>
              </w:rPr>
            </w:pPr>
            <w:r w:rsidRPr="00961BB1">
              <w:rPr>
                <w:rFonts w:ascii="Times" w:hAnsi="Times"/>
                <w:color w:val="000000"/>
                <w:sz w:val="20"/>
                <w:szCs w:val="20"/>
                <w:lang w:val="en-US"/>
              </w:rPr>
              <w:t>4.7</w:t>
            </w:r>
          </w:p>
        </w:tc>
        <w:tc>
          <w:tcPr>
            <w:tcW w:w="1109" w:type="dxa"/>
            <w:noWrap/>
            <w:hideMark/>
          </w:tcPr>
          <w:p w14:paraId="1B71711F" w14:textId="77777777" w:rsidR="00E27DE1" w:rsidRPr="00961BB1" w:rsidRDefault="00E27DE1" w:rsidP="006142F1">
            <w:pPr>
              <w:jc w:val="right"/>
              <w:cnfStyle w:val="000000000000" w:firstRow="0" w:lastRow="0" w:firstColumn="0" w:lastColumn="0" w:oddVBand="0" w:evenVBand="0" w:oddHBand="0" w:evenHBand="0" w:firstRowFirstColumn="0" w:firstRowLastColumn="0" w:lastRowFirstColumn="0" w:lastRowLastColumn="0"/>
              <w:rPr>
                <w:rFonts w:ascii="Times" w:hAnsi="Times"/>
                <w:color w:val="000000"/>
                <w:sz w:val="20"/>
                <w:szCs w:val="20"/>
                <w:lang w:val="en-US"/>
              </w:rPr>
            </w:pPr>
            <w:r w:rsidRPr="00961BB1">
              <w:rPr>
                <w:rFonts w:ascii="Times" w:hAnsi="Times"/>
                <w:color w:val="000000"/>
                <w:sz w:val="20"/>
                <w:szCs w:val="20"/>
                <w:lang w:val="en-US"/>
              </w:rPr>
              <w:t>4.8</w:t>
            </w:r>
          </w:p>
        </w:tc>
        <w:tc>
          <w:tcPr>
            <w:tcW w:w="1275" w:type="dxa"/>
            <w:noWrap/>
            <w:hideMark/>
          </w:tcPr>
          <w:p w14:paraId="6A0D76BE" w14:textId="77777777" w:rsidR="00E27DE1" w:rsidRPr="00961BB1" w:rsidRDefault="00E27DE1" w:rsidP="006142F1">
            <w:pPr>
              <w:jc w:val="right"/>
              <w:cnfStyle w:val="000000000000" w:firstRow="0" w:lastRow="0" w:firstColumn="0" w:lastColumn="0" w:oddVBand="0" w:evenVBand="0" w:oddHBand="0" w:evenHBand="0" w:firstRowFirstColumn="0" w:firstRowLastColumn="0" w:lastRowFirstColumn="0" w:lastRowLastColumn="0"/>
              <w:rPr>
                <w:rFonts w:ascii="Times" w:hAnsi="Times"/>
                <w:sz w:val="20"/>
                <w:szCs w:val="20"/>
                <w:lang w:val="en-US"/>
              </w:rPr>
            </w:pPr>
            <w:r w:rsidRPr="00961BB1">
              <w:rPr>
                <w:rFonts w:ascii="Times" w:hAnsi="Times"/>
                <w:sz w:val="20"/>
                <w:szCs w:val="20"/>
                <w:lang w:val="en-US"/>
              </w:rPr>
              <w:t>13.51</w:t>
            </w:r>
          </w:p>
        </w:tc>
        <w:tc>
          <w:tcPr>
            <w:tcW w:w="1100" w:type="dxa"/>
            <w:noWrap/>
            <w:hideMark/>
          </w:tcPr>
          <w:p w14:paraId="219157FA" w14:textId="77777777" w:rsidR="00E27DE1" w:rsidRPr="00961BB1" w:rsidRDefault="00E27DE1" w:rsidP="006142F1">
            <w:pPr>
              <w:jc w:val="right"/>
              <w:cnfStyle w:val="000000000000" w:firstRow="0" w:lastRow="0" w:firstColumn="0" w:lastColumn="0" w:oddVBand="0" w:evenVBand="0" w:oddHBand="0" w:evenHBand="0" w:firstRowFirstColumn="0" w:firstRowLastColumn="0" w:lastRowFirstColumn="0" w:lastRowLastColumn="0"/>
              <w:rPr>
                <w:rFonts w:ascii="Times" w:hAnsi="Times"/>
                <w:color w:val="000000"/>
                <w:sz w:val="20"/>
                <w:szCs w:val="20"/>
                <w:lang w:val="en-US"/>
              </w:rPr>
            </w:pPr>
            <w:r w:rsidRPr="00961BB1">
              <w:rPr>
                <w:rFonts w:ascii="Times" w:hAnsi="Times"/>
                <w:color w:val="000000"/>
                <w:sz w:val="20"/>
                <w:szCs w:val="20"/>
                <w:lang w:val="en-US"/>
              </w:rPr>
              <w:t>1%</w:t>
            </w:r>
          </w:p>
        </w:tc>
      </w:tr>
      <w:tr w:rsidR="00E27DE1" w:rsidRPr="00961BB1" w14:paraId="78D689E0" w14:textId="77777777" w:rsidTr="006142F1">
        <w:trPr>
          <w:trHeight w:val="204"/>
        </w:trPr>
        <w:tc>
          <w:tcPr>
            <w:cnfStyle w:val="001000000000" w:firstRow="0" w:lastRow="0" w:firstColumn="1" w:lastColumn="0" w:oddVBand="0" w:evenVBand="0" w:oddHBand="0" w:evenHBand="0" w:firstRowFirstColumn="0" w:firstRowLastColumn="0" w:lastRowFirstColumn="0" w:lastRowLastColumn="0"/>
            <w:tcW w:w="3716" w:type="dxa"/>
            <w:noWrap/>
            <w:hideMark/>
          </w:tcPr>
          <w:p w14:paraId="035DFE53" w14:textId="77777777" w:rsidR="00E27DE1" w:rsidRPr="00961BB1" w:rsidRDefault="00E27DE1" w:rsidP="00961BB1">
            <w:pPr>
              <w:jc w:val="left"/>
              <w:rPr>
                <w:rFonts w:ascii="Times" w:hAnsi="Times"/>
                <w:b w:val="0"/>
                <w:sz w:val="20"/>
                <w:szCs w:val="20"/>
                <w:lang w:val="en-US"/>
              </w:rPr>
            </w:pPr>
            <w:r w:rsidRPr="00961BB1">
              <w:rPr>
                <w:rFonts w:ascii="Times" w:hAnsi="Times"/>
                <w:b w:val="0"/>
                <w:sz w:val="20"/>
                <w:szCs w:val="20"/>
                <w:lang w:val="en-US"/>
              </w:rPr>
              <w:t>Social development</w:t>
            </w:r>
          </w:p>
        </w:tc>
        <w:tc>
          <w:tcPr>
            <w:tcW w:w="1241" w:type="dxa"/>
            <w:noWrap/>
            <w:hideMark/>
          </w:tcPr>
          <w:p w14:paraId="47F261C3" w14:textId="77777777" w:rsidR="00E27DE1" w:rsidRPr="00961BB1" w:rsidRDefault="00E27DE1" w:rsidP="006142F1">
            <w:pPr>
              <w:jc w:val="right"/>
              <w:cnfStyle w:val="000000000000" w:firstRow="0" w:lastRow="0" w:firstColumn="0" w:lastColumn="0" w:oddVBand="0" w:evenVBand="0" w:oddHBand="0" w:evenHBand="0" w:firstRowFirstColumn="0" w:firstRowLastColumn="0" w:lastRowFirstColumn="0" w:lastRowLastColumn="0"/>
              <w:rPr>
                <w:rFonts w:ascii="Times" w:hAnsi="Times"/>
                <w:color w:val="000000"/>
                <w:sz w:val="20"/>
                <w:szCs w:val="20"/>
                <w:lang w:val="en-US"/>
              </w:rPr>
            </w:pPr>
            <w:r w:rsidRPr="00961BB1">
              <w:rPr>
                <w:rFonts w:ascii="Times" w:hAnsi="Times"/>
                <w:color w:val="000000"/>
                <w:sz w:val="20"/>
                <w:szCs w:val="20"/>
                <w:lang w:val="en-US"/>
              </w:rPr>
              <w:t>10.51</w:t>
            </w:r>
          </w:p>
        </w:tc>
        <w:tc>
          <w:tcPr>
            <w:tcW w:w="1159" w:type="dxa"/>
            <w:noWrap/>
            <w:hideMark/>
          </w:tcPr>
          <w:p w14:paraId="389D44BD" w14:textId="77777777" w:rsidR="00E27DE1" w:rsidRPr="00961BB1" w:rsidRDefault="00E27DE1" w:rsidP="006142F1">
            <w:pPr>
              <w:jc w:val="right"/>
              <w:cnfStyle w:val="000000000000" w:firstRow="0" w:lastRow="0" w:firstColumn="0" w:lastColumn="0" w:oddVBand="0" w:evenVBand="0" w:oddHBand="0" w:evenHBand="0" w:firstRowFirstColumn="0" w:firstRowLastColumn="0" w:lastRowFirstColumn="0" w:lastRowLastColumn="0"/>
              <w:rPr>
                <w:rFonts w:ascii="Times" w:hAnsi="Times"/>
                <w:color w:val="000000"/>
                <w:sz w:val="20"/>
                <w:szCs w:val="20"/>
                <w:lang w:val="en-US"/>
              </w:rPr>
            </w:pPr>
            <w:r w:rsidRPr="00961BB1">
              <w:rPr>
                <w:rFonts w:ascii="Times" w:hAnsi="Times"/>
                <w:color w:val="000000"/>
                <w:sz w:val="20"/>
                <w:szCs w:val="20"/>
                <w:lang w:val="en-US"/>
              </w:rPr>
              <w:t>11.16</w:t>
            </w:r>
          </w:p>
        </w:tc>
        <w:tc>
          <w:tcPr>
            <w:tcW w:w="1109" w:type="dxa"/>
            <w:noWrap/>
            <w:hideMark/>
          </w:tcPr>
          <w:p w14:paraId="0462EAC5" w14:textId="77777777" w:rsidR="00E27DE1" w:rsidRPr="00961BB1" w:rsidRDefault="00E27DE1" w:rsidP="006142F1">
            <w:pPr>
              <w:jc w:val="right"/>
              <w:cnfStyle w:val="000000000000" w:firstRow="0" w:lastRow="0" w:firstColumn="0" w:lastColumn="0" w:oddVBand="0" w:evenVBand="0" w:oddHBand="0" w:evenHBand="0" w:firstRowFirstColumn="0" w:firstRowLastColumn="0" w:lastRowFirstColumn="0" w:lastRowLastColumn="0"/>
              <w:rPr>
                <w:rFonts w:ascii="Times" w:hAnsi="Times"/>
                <w:color w:val="000000"/>
                <w:sz w:val="20"/>
                <w:szCs w:val="20"/>
                <w:lang w:val="en-US"/>
              </w:rPr>
            </w:pPr>
            <w:r w:rsidRPr="00961BB1">
              <w:rPr>
                <w:rFonts w:ascii="Times" w:hAnsi="Times"/>
                <w:color w:val="000000"/>
                <w:sz w:val="20"/>
                <w:szCs w:val="20"/>
                <w:lang w:val="en-US"/>
              </w:rPr>
              <w:t>11.66</w:t>
            </w:r>
          </w:p>
        </w:tc>
        <w:tc>
          <w:tcPr>
            <w:tcW w:w="1275" w:type="dxa"/>
            <w:noWrap/>
            <w:hideMark/>
          </w:tcPr>
          <w:p w14:paraId="61D52E74" w14:textId="77777777" w:rsidR="00E27DE1" w:rsidRPr="00961BB1" w:rsidRDefault="00E27DE1" w:rsidP="006142F1">
            <w:pPr>
              <w:jc w:val="right"/>
              <w:cnfStyle w:val="000000000000" w:firstRow="0" w:lastRow="0" w:firstColumn="0" w:lastColumn="0" w:oddVBand="0" w:evenVBand="0" w:oddHBand="0" w:evenHBand="0" w:firstRowFirstColumn="0" w:firstRowLastColumn="0" w:lastRowFirstColumn="0" w:lastRowLastColumn="0"/>
              <w:rPr>
                <w:rFonts w:ascii="Times" w:hAnsi="Times"/>
                <w:sz w:val="20"/>
                <w:szCs w:val="20"/>
                <w:lang w:val="en-US"/>
              </w:rPr>
            </w:pPr>
            <w:r w:rsidRPr="00961BB1">
              <w:rPr>
                <w:rFonts w:ascii="Times" w:hAnsi="Times"/>
                <w:sz w:val="20"/>
                <w:szCs w:val="20"/>
                <w:lang w:val="en-US"/>
              </w:rPr>
              <w:t>33.33</w:t>
            </w:r>
          </w:p>
        </w:tc>
        <w:tc>
          <w:tcPr>
            <w:tcW w:w="1100" w:type="dxa"/>
            <w:noWrap/>
            <w:hideMark/>
          </w:tcPr>
          <w:p w14:paraId="4A63FC65" w14:textId="77777777" w:rsidR="00E27DE1" w:rsidRPr="00961BB1" w:rsidRDefault="00E27DE1" w:rsidP="006142F1">
            <w:pPr>
              <w:jc w:val="right"/>
              <w:cnfStyle w:val="000000000000" w:firstRow="0" w:lastRow="0" w:firstColumn="0" w:lastColumn="0" w:oddVBand="0" w:evenVBand="0" w:oddHBand="0" w:evenHBand="0" w:firstRowFirstColumn="0" w:firstRowLastColumn="0" w:lastRowFirstColumn="0" w:lastRowLastColumn="0"/>
              <w:rPr>
                <w:rFonts w:ascii="Times" w:hAnsi="Times"/>
                <w:color w:val="000000"/>
                <w:sz w:val="20"/>
                <w:szCs w:val="20"/>
                <w:lang w:val="en-US"/>
              </w:rPr>
            </w:pPr>
            <w:r w:rsidRPr="00961BB1">
              <w:rPr>
                <w:rFonts w:ascii="Times" w:hAnsi="Times"/>
                <w:color w:val="000000"/>
                <w:sz w:val="20"/>
                <w:szCs w:val="20"/>
                <w:lang w:val="en-US"/>
              </w:rPr>
              <w:t>3%</w:t>
            </w:r>
          </w:p>
        </w:tc>
      </w:tr>
      <w:tr w:rsidR="00E27DE1" w:rsidRPr="00961BB1" w14:paraId="390BEB12" w14:textId="77777777" w:rsidTr="006142F1">
        <w:trPr>
          <w:trHeight w:val="204"/>
        </w:trPr>
        <w:tc>
          <w:tcPr>
            <w:cnfStyle w:val="001000000000" w:firstRow="0" w:lastRow="0" w:firstColumn="1" w:lastColumn="0" w:oddVBand="0" w:evenVBand="0" w:oddHBand="0" w:evenHBand="0" w:firstRowFirstColumn="0" w:firstRowLastColumn="0" w:lastRowFirstColumn="0" w:lastRowLastColumn="0"/>
            <w:tcW w:w="3716" w:type="dxa"/>
            <w:noWrap/>
            <w:hideMark/>
          </w:tcPr>
          <w:p w14:paraId="597458C0" w14:textId="77777777" w:rsidR="00E27DE1" w:rsidRPr="00961BB1" w:rsidRDefault="00E27DE1" w:rsidP="00961BB1">
            <w:pPr>
              <w:jc w:val="left"/>
              <w:rPr>
                <w:rFonts w:ascii="Times" w:hAnsi="Times"/>
                <w:b w:val="0"/>
                <w:sz w:val="20"/>
                <w:szCs w:val="20"/>
                <w:lang w:val="en-US"/>
              </w:rPr>
            </w:pPr>
            <w:r w:rsidRPr="00961BB1">
              <w:rPr>
                <w:rFonts w:ascii="Times" w:hAnsi="Times"/>
                <w:b w:val="0"/>
                <w:sz w:val="20"/>
                <w:szCs w:val="20"/>
                <w:lang w:val="en-US"/>
              </w:rPr>
              <w:t>Community development</w:t>
            </w:r>
          </w:p>
        </w:tc>
        <w:tc>
          <w:tcPr>
            <w:tcW w:w="1241" w:type="dxa"/>
            <w:noWrap/>
            <w:hideMark/>
          </w:tcPr>
          <w:p w14:paraId="5F7D99AF" w14:textId="77777777" w:rsidR="00E27DE1" w:rsidRPr="00961BB1" w:rsidRDefault="00E27DE1" w:rsidP="006142F1">
            <w:pPr>
              <w:jc w:val="right"/>
              <w:cnfStyle w:val="000000000000" w:firstRow="0" w:lastRow="0" w:firstColumn="0" w:lastColumn="0" w:oddVBand="0" w:evenVBand="0" w:oddHBand="0" w:evenHBand="0" w:firstRowFirstColumn="0" w:firstRowLastColumn="0" w:lastRowFirstColumn="0" w:lastRowLastColumn="0"/>
              <w:rPr>
                <w:rFonts w:ascii="Times" w:hAnsi="Times"/>
                <w:color w:val="000000"/>
                <w:sz w:val="20"/>
                <w:szCs w:val="20"/>
                <w:lang w:val="en-US"/>
              </w:rPr>
            </w:pPr>
            <w:r w:rsidRPr="00961BB1">
              <w:rPr>
                <w:rFonts w:ascii="Times" w:hAnsi="Times"/>
                <w:color w:val="000000"/>
                <w:sz w:val="20"/>
                <w:szCs w:val="20"/>
                <w:lang w:val="en-US"/>
              </w:rPr>
              <w:t>24.54</w:t>
            </w:r>
          </w:p>
        </w:tc>
        <w:tc>
          <w:tcPr>
            <w:tcW w:w="1159" w:type="dxa"/>
            <w:noWrap/>
            <w:hideMark/>
          </w:tcPr>
          <w:p w14:paraId="707DC9E7" w14:textId="77777777" w:rsidR="00E27DE1" w:rsidRPr="00961BB1" w:rsidRDefault="00E27DE1" w:rsidP="006142F1">
            <w:pPr>
              <w:jc w:val="right"/>
              <w:cnfStyle w:val="000000000000" w:firstRow="0" w:lastRow="0" w:firstColumn="0" w:lastColumn="0" w:oddVBand="0" w:evenVBand="0" w:oddHBand="0" w:evenHBand="0" w:firstRowFirstColumn="0" w:firstRowLastColumn="0" w:lastRowFirstColumn="0" w:lastRowLastColumn="0"/>
              <w:rPr>
                <w:rFonts w:ascii="Times" w:hAnsi="Times"/>
                <w:color w:val="000000"/>
                <w:sz w:val="20"/>
                <w:szCs w:val="20"/>
                <w:lang w:val="en-US"/>
              </w:rPr>
            </w:pPr>
            <w:r w:rsidRPr="00961BB1">
              <w:rPr>
                <w:rFonts w:ascii="Times" w:hAnsi="Times"/>
                <w:color w:val="000000"/>
                <w:sz w:val="20"/>
                <w:szCs w:val="20"/>
                <w:lang w:val="en-US"/>
              </w:rPr>
              <w:t>25.92</w:t>
            </w:r>
          </w:p>
        </w:tc>
        <w:tc>
          <w:tcPr>
            <w:tcW w:w="1109" w:type="dxa"/>
            <w:noWrap/>
            <w:hideMark/>
          </w:tcPr>
          <w:p w14:paraId="24B7A25F" w14:textId="77777777" w:rsidR="00E27DE1" w:rsidRPr="00961BB1" w:rsidRDefault="00E27DE1" w:rsidP="006142F1">
            <w:pPr>
              <w:jc w:val="right"/>
              <w:cnfStyle w:val="000000000000" w:firstRow="0" w:lastRow="0" w:firstColumn="0" w:lastColumn="0" w:oddVBand="0" w:evenVBand="0" w:oddHBand="0" w:evenHBand="0" w:firstRowFirstColumn="0" w:firstRowLastColumn="0" w:lastRowFirstColumn="0" w:lastRowLastColumn="0"/>
              <w:rPr>
                <w:rFonts w:ascii="Times" w:hAnsi="Times"/>
                <w:color w:val="000000"/>
                <w:sz w:val="20"/>
                <w:szCs w:val="20"/>
                <w:lang w:val="en-US"/>
              </w:rPr>
            </w:pPr>
            <w:r w:rsidRPr="00961BB1">
              <w:rPr>
                <w:rFonts w:ascii="Times" w:hAnsi="Times"/>
                <w:color w:val="000000"/>
                <w:sz w:val="20"/>
                <w:szCs w:val="20"/>
                <w:lang w:val="en-US"/>
              </w:rPr>
              <w:t>27.21</w:t>
            </w:r>
          </w:p>
        </w:tc>
        <w:tc>
          <w:tcPr>
            <w:tcW w:w="1275" w:type="dxa"/>
            <w:noWrap/>
            <w:hideMark/>
          </w:tcPr>
          <w:p w14:paraId="33DCEF4E" w14:textId="77777777" w:rsidR="00E27DE1" w:rsidRPr="00961BB1" w:rsidRDefault="00E27DE1" w:rsidP="006142F1">
            <w:pPr>
              <w:jc w:val="right"/>
              <w:cnfStyle w:val="000000000000" w:firstRow="0" w:lastRow="0" w:firstColumn="0" w:lastColumn="0" w:oddVBand="0" w:evenVBand="0" w:oddHBand="0" w:evenHBand="0" w:firstRowFirstColumn="0" w:firstRowLastColumn="0" w:lastRowFirstColumn="0" w:lastRowLastColumn="0"/>
              <w:rPr>
                <w:rFonts w:ascii="Times" w:hAnsi="Times"/>
                <w:sz w:val="20"/>
                <w:szCs w:val="20"/>
                <w:lang w:val="en-US"/>
              </w:rPr>
            </w:pPr>
            <w:r w:rsidRPr="00961BB1">
              <w:rPr>
                <w:rFonts w:ascii="Times" w:hAnsi="Times"/>
                <w:sz w:val="20"/>
                <w:szCs w:val="20"/>
                <w:lang w:val="en-US"/>
              </w:rPr>
              <w:t>77.67</w:t>
            </w:r>
          </w:p>
        </w:tc>
        <w:tc>
          <w:tcPr>
            <w:tcW w:w="1100" w:type="dxa"/>
            <w:noWrap/>
            <w:hideMark/>
          </w:tcPr>
          <w:p w14:paraId="3DD5402E" w14:textId="77777777" w:rsidR="00E27DE1" w:rsidRPr="00961BB1" w:rsidRDefault="00E27DE1" w:rsidP="006142F1">
            <w:pPr>
              <w:jc w:val="right"/>
              <w:cnfStyle w:val="000000000000" w:firstRow="0" w:lastRow="0" w:firstColumn="0" w:lastColumn="0" w:oddVBand="0" w:evenVBand="0" w:oddHBand="0" w:evenHBand="0" w:firstRowFirstColumn="0" w:firstRowLastColumn="0" w:lastRowFirstColumn="0" w:lastRowLastColumn="0"/>
              <w:rPr>
                <w:rFonts w:ascii="Times" w:hAnsi="Times"/>
                <w:color w:val="000000"/>
                <w:sz w:val="20"/>
                <w:szCs w:val="20"/>
                <w:lang w:val="en-US"/>
              </w:rPr>
            </w:pPr>
            <w:r w:rsidRPr="00961BB1">
              <w:rPr>
                <w:rFonts w:ascii="Times" w:hAnsi="Times"/>
                <w:color w:val="000000"/>
                <w:sz w:val="20"/>
                <w:szCs w:val="20"/>
                <w:lang w:val="en-US"/>
              </w:rPr>
              <w:t>7%</w:t>
            </w:r>
          </w:p>
        </w:tc>
      </w:tr>
      <w:tr w:rsidR="00E27DE1" w:rsidRPr="00961BB1" w14:paraId="5B0DF1F7" w14:textId="77777777" w:rsidTr="006142F1">
        <w:trPr>
          <w:trHeight w:val="204"/>
        </w:trPr>
        <w:tc>
          <w:tcPr>
            <w:cnfStyle w:val="001000000000" w:firstRow="0" w:lastRow="0" w:firstColumn="1" w:lastColumn="0" w:oddVBand="0" w:evenVBand="0" w:oddHBand="0" w:evenHBand="0" w:firstRowFirstColumn="0" w:firstRowLastColumn="0" w:lastRowFirstColumn="0" w:lastRowLastColumn="0"/>
            <w:tcW w:w="3716" w:type="dxa"/>
            <w:noWrap/>
            <w:hideMark/>
          </w:tcPr>
          <w:p w14:paraId="1945DA86" w14:textId="77777777" w:rsidR="00E27DE1" w:rsidRPr="00961BB1" w:rsidRDefault="00E27DE1" w:rsidP="00961BB1">
            <w:pPr>
              <w:jc w:val="left"/>
              <w:rPr>
                <w:rFonts w:ascii="Times" w:hAnsi="Times"/>
                <w:b w:val="0"/>
                <w:sz w:val="20"/>
                <w:szCs w:val="20"/>
                <w:lang w:val="en-US"/>
              </w:rPr>
            </w:pPr>
            <w:r w:rsidRPr="00961BB1">
              <w:rPr>
                <w:rFonts w:ascii="Times" w:hAnsi="Times"/>
                <w:b w:val="0"/>
                <w:sz w:val="20"/>
                <w:szCs w:val="20"/>
                <w:lang w:val="en-US"/>
              </w:rPr>
              <w:t>Economic development</w:t>
            </w:r>
          </w:p>
        </w:tc>
        <w:tc>
          <w:tcPr>
            <w:tcW w:w="1241" w:type="dxa"/>
            <w:noWrap/>
            <w:hideMark/>
          </w:tcPr>
          <w:p w14:paraId="27DCF703" w14:textId="77777777" w:rsidR="00E27DE1" w:rsidRPr="00961BB1" w:rsidRDefault="00E27DE1" w:rsidP="006142F1">
            <w:pPr>
              <w:jc w:val="right"/>
              <w:cnfStyle w:val="000000000000" w:firstRow="0" w:lastRow="0" w:firstColumn="0" w:lastColumn="0" w:oddVBand="0" w:evenVBand="0" w:oddHBand="0" w:evenHBand="0" w:firstRowFirstColumn="0" w:firstRowLastColumn="0" w:lastRowFirstColumn="0" w:lastRowLastColumn="0"/>
              <w:rPr>
                <w:rFonts w:ascii="Times" w:hAnsi="Times"/>
                <w:color w:val="000000"/>
                <w:sz w:val="20"/>
                <w:szCs w:val="20"/>
                <w:lang w:val="en-US"/>
              </w:rPr>
            </w:pPr>
            <w:r w:rsidRPr="00961BB1">
              <w:rPr>
                <w:rFonts w:ascii="Times" w:hAnsi="Times"/>
                <w:color w:val="000000"/>
                <w:sz w:val="20"/>
                <w:szCs w:val="20"/>
                <w:lang w:val="en-US"/>
              </w:rPr>
              <w:t>60.61</w:t>
            </w:r>
          </w:p>
        </w:tc>
        <w:tc>
          <w:tcPr>
            <w:tcW w:w="1159" w:type="dxa"/>
            <w:noWrap/>
            <w:hideMark/>
          </w:tcPr>
          <w:p w14:paraId="62FCE7A2" w14:textId="77777777" w:rsidR="00E27DE1" w:rsidRPr="00961BB1" w:rsidRDefault="00E27DE1" w:rsidP="006142F1">
            <w:pPr>
              <w:jc w:val="right"/>
              <w:cnfStyle w:val="000000000000" w:firstRow="0" w:lastRow="0" w:firstColumn="0" w:lastColumn="0" w:oddVBand="0" w:evenVBand="0" w:oddHBand="0" w:evenHBand="0" w:firstRowFirstColumn="0" w:firstRowLastColumn="0" w:lastRowFirstColumn="0" w:lastRowLastColumn="0"/>
              <w:rPr>
                <w:rFonts w:ascii="Times" w:hAnsi="Times"/>
                <w:color w:val="000000"/>
                <w:sz w:val="20"/>
                <w:szCs w:val="20"/>
                <w:lang w:val="en-US"/>
              </w:rPr>
            </w:pPr>
            <w:r w:rsidRPr="00961BB1">
              <w:rPr>
                <w:rFonts w:ascii="Times" w:hAnsi="Times"/>
                <w:color w:val="000000"/>
                <w:sz w:val="20"/>
                <w:szCs w:val="20"/>
                <w:lang w:val="en-US"/>
              </w:rPr>
              <w:t>63.98</w:t>
            </w:r>
          </w:p>
        </w:tc>
        <w:tc>
          <w:tcPr>
            <w:tcW w:w="1109" w:type="dxa"/>
            <w:noWrap/>
            <w:hideMark/>
          </w:tcPr>
          <w:p w14:paraId="1B4F1EE0" w14:textId="77777777" w:rsidR="00E27DE1" w:rsidRPr="00961BB1" w:rsidRDefault="00E27DE1" w:rsidP="006142F1">
            <w:pPr>
              <w:jc w:val="right"/>
              <w:cnfStyle w:val="000000000000" w:firstRow="0" w:lastRow="0" w:firstColumn="0" w:lastColumn="0" w:oddVBand="0" w:evenVBand="0" w:oddHBand="0" w:evenHBand="0" w:firstRowFirstColumn="0" w:firstRowLastColumn="0" w:lastRowFirstColumn="0" w:lastRowLastColumn="0"/>
              <w:rPr>
                <w:rFonts w:ascii="Times" w:hAnsi="Times"/>
                <w:color w:val="000000"/>
                <w:sz w:val="20"/>
                <w:szCs w:val="20"/>
                <w:lang w:val="en-US"/>
              </w:rPr>
            </w:pPr>
            <w:r w:rsidRPr="00961BB1">
              <w:rPr>
                <w:rFonts w:ascii="Times" w:hAnsi="Times"/>
                <w:color w:val="000000"/>
                <w:sz w:val="20"/>
                <w:szCs w:val="20"/>
                <w:lang w:val="en-US"/>
              </w:rPr>
              <w:t>66.14</w:t>
            </w:r>
          </w:p>
        </w:tc>
        <w:tc>
          <w:tcPr>
            <w:tcW w:w="1275" w:type="dxa"/>
            <w:noWrap/>
            <w:hideMark/>
          </w:tcPr>
          <w:p w14:paraId="456035DD" w14:textId="77777777" w:rsidR="00E27DE1" w:rsidRPr="00961BB1" w:rsidRDefault="00E27DE1" w:rsidP="006142F1">
            <w:pPr>
              <w:jc w:val="right"/>
              <w:cnfStyle w:val="000000000000" w:firstRow="0" w:lastRow="0" w:firstColumn="0" w:lastColumn="0" w:oddVBand="0" w:evenVBand="0" w:oddHBand="0" w:evenHBand="0" w:firstRowFirstColumn="0" w:firstRowLastColumn="0" w:lastRowFirstColumn="0" w:lastRowLastColumn="0"/>
              <w:rPr>
                <w:rFonts w:ascii="Times" w:hAnsi="Times"/>
                <w:sz w:val="20"/>
                <w:szCs w:val="20"/>
                <w:lang w:val="en-US"/>
              </w:rPr>
            </w:pPr>
            <w:r w:rsidRPr="00961BB1">
              <w:rPr>
                <w:rFonts w:ascii="Times" w:hAnsi="Times"/>
                <w:sz w:val="20"/>
                <w:szCs w:val="20"/>
                <w:lang w:val="en-US"/>
              </w:rPr>
              <w:t>190.72</w:t>
            </w:r>
          </w:p>
        </w:tc>
        <w:tc>
          <w:tcPr>
            <w:tcW w:w="1100" w:type="dxa"/>
            <w:noWrap/>
            <w:hideMark/>
          </w:tcPr>
          <w:p w14:paraId="16FF4BDC" w14:textId="77777777" w:rsidR="00E27DE1" w:rsidRPr="00961BB1" w:rsidRDefault="00E27DE1" w:rsidP="006142F1">
            <w:pPr>
              <w:jc w:val="right"/>
              <w:cnfStyle w:val="000000000000" w:firstRow="0" w:lastRow="0" w:firstColumn="0" w:lastColumn="0" w:oddVBand="0" w:evenVBand="0" w:oddHBand="0" w:evenHBand="0" w:firstRowFirstColumn="0" w:firstRowLastColumn="0" w:lastRowFirstColumn="0" w:lastRowLastColumn="0"/>
              <w:rPr>
                <w:rFonts w:ascii="Times" w:hAnsi="Times"/>
                <w:color w:val="000000"/>
                <w:sz w:val="20"/>
                <w:szCs w:val="20"/>
                <w:lang w:val="en-US"/>
              </w:rPr>
            </w:pPr>
            <w:r w:rsidRPr="00961BB1">
              <w:rPr>
                <w:rFonts w:ascii="Times" w:hAnsi="Times"/>
                <w:color w:val="000000"/>
                <w:sz w:val="20"/>
                <w:szCs w:val="20"/>
                <w:lang w:val="en-US"/>
              </w:rPr>
              <w:t>18%</w:t>
            </w:r>
          </w:p>
        </w:tc>
      </w:tr>
      <w:tr w:rsidR="00E27DE1" w:rsidRPr="00961BB1" w14:paraId="46E56B36" w14:textId="77777777" w:rsidTr="006142F1">
        <w:trPr>
          <w:trHeight w:val="204"/>
        </w:trPr>
        <w:tc>
          <w:tcPr>
            <w:cnfStyle w:val="001000000000" w:firstRow="0" w:lastRow="0" w:firstColumn="1" w:lastColumn="0" w:oddVBand="0" w:evenVBand="0" w:oddHBand="0" w:evenHBand="0" w:firstRowFirstColumn="0" w:firstRowLastColumn="0" w:lastRowFirstColumn="0" w:lastRowLastColumn="0"/>
            <w:tcW w:w="3716" w:type="dxa"/>
            <w:noWrap/>
            <w:hideMark/>
          </w:tcPr>
          <w:p w14:paraId="41086FAA" w14:textId="77777777" w:rsidR="00E27DE1" w:rsidRPr="00961BB1" w:rsidRDefault="00E27DE1" w:rsidP="00961BB1">
            <w:pPr>
              <w:jc w:val="left"/>
              <w:rPr>
                <w:rFonts w:ascii="Times" w:hAnsi="Times"/>
                <w:b w:val="0"/>
                <w:sz w:val="20"/>
                <w:szCs w:val="20"/>
                <w:lang w:val="en-US"/>
              </w:rPr>
            </w:pPr>
            <w:r w:rsidRPr="00961BB1">
              <w:rPr>
                <w:rFonts w:ascii="Times" w:hAnsi="Times"/>
                <w:b w:val="0"/>
                <w:sz w:val="20"/>
                <w:szCs w:val="20"/>
                <w:lang w:val="en-US"/>
              </w:rPr>
              <w:t>Peace and security</w:t>
            </w:r>
          </w:p>
        </w:tc>
        <w:tc>
          <w:tcPr>
            <w:tcW w:w="1241" w:type="dxa"/>
            <w:noWrap/>
            <w:hideMark/>
          </w:tcPr>
          <w:p w14:paraId="7BB0ABEA" w14:textId="77777777" w:rsidR="00E27DE1" w:rsidRPr="00961BB1" w:rsidRDefault="00E27DE1" w:rsidP="006142F1">
            <w:pPr>
              <w:jc w:val="right"/>
              <w:cnfStyle w:val="000000000000" w:firstRow="0" w:lastRow="0" w:firstColumn="0" w:lastColumn="0" w:oddVBand="0" w:evenVBand="0" w:oddHBand="0" w:evenHBand="0" w:firstRowFirstColumn="0" w:firstRowLastColumn="0" w:lastRowFirstColumn="0" w:lastRowLastColumn="0"/>
              <w:rPr>
                <w:rFonts w:ascii="Times" w:hAnsi="Times"/>
                <w:color w:val="000000"/>
                <w:sz w:val="20"/>
                <w:szCs w:val="20"/>
                <w:lang w:val="en-US"/>
              </w:rPr>
            </w:pPr>
            <w:r w:rsidRPr="00961BB1">
              <w:rPr>
                <w:rFonts w:ascii="Times" w:hAnsi="Times"/>
                <w:color w:val="000000"/>
                <w:sz w:val="20"/>
                <w:szCs w:val="20"/>
                <w:lang w:val="en-US"/>
              </w:rPr>
              <w:t>105.56</w:t>
            </w:r>
          </w:p>
        </w:tc>
        <w:tc>
          <w:tcPr>
            <w:tcW w:w="1159" w:type="dxa"/>
            <w:noWrap/>
            <w:hideMark/>
          </w:tcPr>
          <w:p w14:paraId="43C02412" w14:textId="77777777" w:rsidR="00E27DE1" w:rsidRPr="00961BB1" w:rsidRDefault="00E27DE1" w:rsidP="006142F1">
            <w:pPr>
              <w:jc w:val="right"/>
              <w:cnfStyle w:val="000000000000" w:firstRow="0" w:lastRow="0" w:firstColumn="0" w:lastColumn="0" w:oddVBand="0" w:evenVBand="0" w:oddHBand="0" w:evenHBand="0" w:firstRowFirstColumn="0" w:firstRowLastColumn="0" w:lastRowFirstColumn="0" w:lastRowLastColumn="0"/>
              <w:rPr>
                <w:rFonts w:ascii="Times" w:hAnsi="Times"/>
                <w:color w:val="000000"/>
                <w:sz w:val="20"/>
                <w:szCs w:val="20"/>
                <w:lang w:val="en-US"/>
              </w:rPr>
            </w:pPr>
            <w:r w:rsidRPr="00961BB1">
              <w:rPr>
                <w:rFonts w:ascii="Times" w:hAnsi="Times"/>
                <w:color w:val="000000"/>
                <w:sz w:val="20"/>
                <w:szCs w:val="20"/>
                <w:lang w:val="en-US"/>
              </w:rPr>
              <w:t>111.93</w:t>
            </w:r>
          </w:p>
        </w:tc>
        <w:tc>
          <w:tcPr>
            <w:tcW w:w="1109" w:type="dxa"/>
            <w:noWrap/>
            <w:hideMark/>
          </w:tcPr>
          <w:p w14:paraId="3D34AE51" w14:textId="77777777" w:rsidR="00E27DE1" w:rsidRPr="00961BB1" w:rsidRDefault="00E27DE1" w:rsidP="006142F1">
            <w:pPr>
              <w:jc w:val="right"/>
              <w:cnfStyle w:val="000000000000" w:firstRow="0" w:lastRow="0" w:firstColumn="0" w:lastColumn="0" w:oddVBand="0" w:evenVBand="0" w:oddHBand="0" w:evenHBand="0" w:firstRowFirstColumn="0" w:firstRowLastColumn="0" w:lastRowFirstColumn="0" w:lastRowLastColumn="0"/>
              <w:rPr>
                <w:rFonts w:ascii="Times" w:hAnsi="Times"/>
                <w:color w:val="000000"/>
                <w:sz w:val="20"/>
                <w:szCs w:val="20"/>
                <w:lang w:val="en-US"/>
              </w:rPr>
            </w:pPr>
            <w:r w:rsidRPr="00961BB1">
              <w:rPr>
                <w:rFonts w:ascii="Times" w:hAnsi="Times"/>
                <w:color w:val="000000"/>
                <w:sz w:val="20"/>
                <w:szCs w:val="20"/>
                <w:lang w:val="en-US"/>
              </w:rPr>
              <w:t>114.69</w:t>
            </w:r>
          </w:p>
        </w:tc>
        <w:tc>
          <w:tcPr>
            <w:tcW w:w="1275" w:type="dxa"/>
            <w:noWrap/>
            <w:hideMark/>
          </w:tcPr>
          <w:p w14:paraId="291022DB" w14:textId="77777777" w:rsidR="00E27DE1" w:rsidRPr="00961BB1" w:rsidRDefault="00E27DE1" w:rsidP="006142F1">
            <w:pPr>
              <w:jc w:val="right"/>
              <w:cnfStyle w:val="000000000000" w:firstRow="0" w:lastRow="0" w:firstColumn="0" w:lastColumn="0" w:oddVBand="0" w:evenVBand="0" w:oddHBand="0" w:evenHBand="0" w:firstRowFirstColumn="0" w:firstRowLastColumn="0" w:lastRowFirstColumn="0" w:lastRowLastColumn="0"/>
              <w:rPr>
                <w:rFonts w:ascii="Times" w:hAnsi="Times"/>
                <w:sz w:val="20"/>
                <w:szCs w:val="20"/>
                <w:lang w:val="en-US"/>
              </w:rPr>
            </w:pPr>
            <w:r w:rsidRPr="00961BB1">
              <w:rPr>
                <w:rFonts w:ascii="Times" w:hAnsi="Times"/>
                <w:sz w:val="20"/>
                <w:szCs w:val="20"/>
                <w:lang w:val="en-US"/>
              </w:rPr>
              <w:t>332.18</w:t>
            </w:r>
          </w:p>
        </w:tc>
        <w:tc>
          <w:tcPr>
            <w:tcW w:w="1100" w:type="dxa"/>
            <w:noWrap/>
            <w:hideMark/>
          </w:tcPr>
          <w:p w14:paraId="6B1605B2" w14:textId="77777777" w:rsidR="00E27DE1" w:rsidRPr="00961BB1" w:rsidRDefault="00E27DE1" w:rsidP="006142F1">
            <w:pPr>
              <w:jc w:val="right"/>
              <w:cnfStyle w:val="000000000000" w:firstRow="0" w:lastRow="0" w:firstColumn="0" w:lastColumn="0" w:oddVBand="0" w:evenVBand="0" w:oddHBand="0" w:evenHBand="0" w:firstRowFirstColumn="0" w:firstRowLastColumn="0" w:lastRowFirstColumn="0" w:lastRowLastColumn="0"/>
              <w:rPr>
                <w:rFonts w:ascii="Times" w:hAnsi="Times"/>
                <w:color w:val="000000"/>
                <w:sz w:val="20"/>
                <w:szCs w:val="20"/>
                <w:lang w:val="en-US"/>
              </w:rPr>
            </w:pPr>
            <w:r w:rsidRPr="00961BB1">
              <w:rPr>
                <w:rFonts w:ascii="Times" w:hAnsi="Times"/>
                <w:color w:val="000000"/>
                <w:sz w:val="20"/>
                <w:szCs w:val="20"/>
                <w:lang w:val="en-US"/>
              </w:rPr>
              <w:t>32%</w:t>
            </w:r>
          </w:p>
        </w:tc>
      </w:tr>
      <w:tr w:rsidR="00E27DE1" w:rsidRPr="00961BB1" w14:paraId="6D855112" w14:textId="77777777" w:rsidTr="006142F1">
        <w:trPr>
          <w:trHeight w:val="204"/>
        </w:trPr>
        <w:tc>
          <w:tcPr>
            <w:cnfStyle w:val="001000000000" w:firstRow="0" w:lastRow="0" w:firstColumn="1" w:lastColumn="0" w:oddVBand="0" w:evenVBand="0" w:oddHBand="0" w:evenHBand="0" w:firstRowFirstColumn="0" w:firstRowLastColumn="0" w:lastRowFirstColumn="0" w:lastRowLastColumn="0"/>
            <w:tcW w:w="3716" w:type="dxa"/>
            <w:noWrap/>
            <w:hideMark/>
          </w:tcPr>
          <w:p w14:paraId="6A4EBFAC" w14:textId="77777777" w:rsidR="00E27DE1" w:rsidRPr="00961BB1" w:rsidRDefault="00E27DE1" w:rsidP="00961BB1">
            <w:pPr>
              <w:jc w:val="left"/>
              <w:rPr>
                <w:rFonts w:ascii="Times" w:hAnsi="Times"/>
                <w:b w:val="0"/>
                <w:sz w:val="20"/>
                <w:szCs w:val="20"/>
                <w:lang w:val="en-US"/>
              </w:rPr>
            </w:pPr>
            <w:r w:rsidRPr="00961BB1">
              <w:rPr>
                <w:rFonts w:ascii="Times" w:hAnsi="Times"/>
                <w:b w:val="0"/>
                <w:sz w:val="20"/>
                <w:szCs w:val="20"/>
                <w:lang w:val="en-US"/>
              </w:rPr>
              <w:t>General public services</w:t>
            </w:r>
          </w:p>
        </w:tc>
        <w:tc>
          <w:tcPr>
            <w:tcW w:w="1241" w:type="dxa"/>
            <w:noWrap/>
            <w:hideMark/>
          </w:tcPr>
          <w:p w14:paraId="6A1C0724" w14:textId="77777777" w:rsidR="00E27DE1" w:rsidRPr="00961BB1" w:rsidRDefault="00E27DE1" w:rsidP="006142F1">
            <w:pPr>
              <w:jc w:val="right"/>
              <w:cnfStyle w:val="000000000000" w:firstRow="0" w:lastRow="0" w:firstColumn="0" w:lastColumn="0" w:oddVBand="0" w:evenVBand="0" w:oddHBand="0" w:evenHBand="0" w:firstRowFirstColumn="0" w:firstRowLastColumn="0" w:lastRowFirstColumn="0" w:lastRowLastColumn="0"/>
              <w:rPr>
                <w:rFonts w:ascii="Times" w:hAnsi="Times"/>
                <w:color w:val="000000"/>
                <w:sz w:val="20"/>
                <w:szCs w:val="20"/>
                <w:lang w:val="en-US"/>
              </w:rPr>
            </w:pPr>
            <w:r w:rsidRPr="00961BB1">
              <w:rPr>
                <w:rFonts w:ascii="Times" w:hAnsi="Times"/>
                <w:color w:val="000000"/>
                <w:sz w:val="20"/>
                <w:szCs w:val="20"/>
                <w:lang w:val="en-US"/>
              </w:rPr>
              <w:t>49.89</w:t>
            </w:r>
          </w:p>
        </w:tc>
        <w:tc>
          <w:tcPr>
            <w:tcW w:w="1159" w:type="dxa"/>
            <w:noWrap/>
            <w:hideMark/>
          </w:tcPr>
          <w:p w14:paraId="504AF23A" w14:textId="77777777" w:rsidR="00E27DE1" w:rsidRPr="00961BB1" w:rsidRDefault="00E27DE1" w:rsidP="006142F1">
            <w:pPr>
              <w:jc w:val="right"/>
              <w:cnfStyle w:val="000000000000" w:firstRow="0" w:lastRow="0" w:firstColumn="0" w:lastColumn="0" w:oddVBand="0" w:evenVBand="0" w:oddHBand="0" w:evenHBand="0" w:firstRowFirstColumn="0" w:firstRowLastColumn="0" w:lastRowFirstColumn="0" w:lastRowLastColumn="0"/>
              <w:rPr>
                <w:rFonts w:ascii="Times" w:hAnsi="Times"/>
                <w:color w:val="000000"/>
                <w:sz w:val="20"/>
                <w:szCs w:val="20"/>
                <w:lang w:val="en-US"/>
              </w:rPr>
            </w:pPr>
            <w:r w:rsidRPr="00961BB1">
              <w:rPr>
                <w:rFonts w:ascii="Times" w:hAnsi="Times"/>
                <w:color w:val="000000"/>
                <w:sz w:val="20"/>
                <w:szCs w:val="20"/>
                <w:lang w:val="en-US"/>
              </w:rPr>
              <w:t>162.99</w:t>
            </w:r>
          </w:p>
        </w:tc>
        <w:tc>
          <w:tcPr>
            <w:tcW w:w="1109" w:type="dxa"/>
            <w:noWrap/>
            <w:hideMark/>
          </w:tcPr>
          <w:p w14:paraId="663B8877" w14:textId="77777777" w:rsidR="00E27DE1" w:rsidRPr="00961BB1" w:rsidRDefault="00E27DE1" w:rsidP="006142F1">
            <w:pPr>
              <w:jc w:val="right"/>
              <w:cnfStyle w:val="000000000000" w:firstRow="0" w:lastRow="0" w:firstColumn="0" w:lastColumn="0" w:oddVBand="0" w:evenVBand="0" w:oddHBand="0" w:evenHBand="0" w:firstRowFirstColumn="0" w:firstRowLastColumn="0" w:lastRowFirstColumn="0" w:lastRowLastColumn="0"/>
              <w:rPr>
                <w:rFonts w:ascii="Times" w:hAnsi="Times"/>
                <w:color w:val="000000"/>
                <w:sz w:val="20"/>
                <w:szCs w:val="20"/>
                <w:lang w:val="en-US"/>
              </w:rPr>
            </w:pPr>
            <w:r w:rsidRPr="00961BB1">
              <w:rPr>
                <w:rFonts w:ascii="Times" w:hAnsi="Times"/>
                <w:color w:val="000000"/>
                <w:sz w:val="20"/>
                <w:szCs w:val="20"/>
                <w:lang w:val="en-US"/>
              </w:rPr>
              <w:t>59.76</w:t>
            </w:r>
          </w:p>
        </w:tc>
        <w:tc>
          <w:tcPr>
            <w:tcW w:w="1275" w:type="dxa"/>
            <w:noWrap/>
            <w:hideMark/>
          </w:tcPr>
          <w:p w14:paraId="14EF1E91" w14:textId="77777777" w:rsidR="00E27DE1" w:rsidRPr="00961BB1" w:rsidRDefault="00E27DE1" w:rsidP="006142F1">
            <w:pPr>
              <w:jc w:val="right"/>
              <w:cnfStyle w:val="000000000000" w:firstRow="0" w:lastRow="0" w:firstColumn="0" w:lastColumn="0" w:oddVBand="0" w:evenVBand="0" w:oddHBand="0" w:evenHBand="0" w:firstRowFirstColumn="0" w:firstRowLastColumn="0" w:lastRowFirstColumn="0" w:lastRowLastColumn="0"/>
              <w:rPr>
                <w:rFonts w:ascii="Times" w:hAnsi="Times"/>
                <w:sz w:val="20"/>
                <w:szCs w:val="20"/>
                <w:lang w:val="en-US"/>
              </w:rPr>
            </w:pPr>
            <w:r w:rsidRPr="00961BB1">
              <w:rPr>
                <w:rFonts w:ascii="Times" w:hAnsi="Times"/>
                <w:sz w:val="20"/>
                <w:szCs w:val="20"/>
                <w:lang w:val="en-US"/>
              </w:rPr>
              <w:t>272.63</w:t>
            </w:r>
          </w:p>
        </w:tc>
        <w:tc>
          <w:tcPr>
            <w:tcW w:w="1100" w:type="dxa"/>
            <w:noWrap/>
            <w:hideMark/>
          </w:tcPr>
          <w:p w14:paraId="34745248" w14:textId="77777777" w:rsidR="00E27DE1" w:rsidRPr="00961BB1" w:rsidRDefault="00E27DE1" w:rsidP="006142F1">
            <w:pPr>
              <w:jc w:val="right"/>
              <w:cnfStyle w:val="000000000000" w:firstRow="0" w:lastRow="0" w:firstColumn="0" w:lastColumn="0" w:oddVBand="0" w:evenVBand="0" w:oddHBand="0" w:evenHBand="0" w:firstRowFirstColumn="0" w:firstRowLastColumn="0" w:lastRowFirstColumn="0" w:lastRowLastColumn="0"/>
              <w:rPr>
                <w:rFonts w:ascii="Times" w:hAnsi="Times"/>
                <w:color w:val="000000"/>
                <w:sz w:val="20"/>
                <w:szCs w:val="20"/>
                <w:lang w:val="en-US"/>
              </w:rPr>
            </w:pPr>
            <w:r w:rsidRPr="00961BB1">
              <w:rPr>
                <w:rFonts w:ascii="Times" w:hAnsi="Times"/>
                <w:color w:val="000000"/>
                <w:sz w:val="20"/>
                <w:szCs w:val="20"/>
                <w:lang w:val="en-US"/>
              </w:rPr>
              <w:t>26%</w:t>
            </w:r>
          </w:p>
        </w:tc>
      </w:tr>
      <w:tr w:rsidR="00E27DE1" w:rsidRPr="00961BB1" w14:paraId="2BB12802" w14:textId="77777777" w:rsidTr="006142F1">
        <w:trPr>
          <w:trHeight w:val="204"/>
        </w:trPr>
        <w:tc>
          <w:tcPr>
            <w:cnfStyle w:val="001000000000" w:firstRow="0" w:lastRow="0" w:firstColumn="1" w:lastColumn="0" w:oddVBand="0" w:evenVBand="0" w:oddHBand="0" w:evenHBand="0" w:firstRowFirstColumn="0" w:firstRowLastColumn="0" w:lastRowFirstColumn="0" w:lastRowLastColumn="0"/>
            <w:tcW w:w="3716" w:type="dxa"/>
            <w:noWrap/>
            <w:hideMark/>
          </w:tcPr>
          <w:p w14:paraId="2E84133B" w14:textId="77777777" w:rsidR="00E27DE1" w:rsidRPr="00961BB1" w:rsidRDefault="00E27DE1" w:rsidP="00961BB1">
            <w:pPr>
              <w:jc w:val="left"/>
              <w:rPr>
                <w:rFonts w:ascii="Times" w:hAnsi="Times"/>
                <w:b w:val="0"/>
                <w:sz w:val="20"/>
                <w:szCs w:val="20"/>
                <w:lang w:val="en-US"/>
              </w:rPr>
            </w:pPr>
            <w:r w:rsidRPr="00961BB1">
              <w:rPr>
                <w:rFonts w:ascii="Times" w:hAnsi="Times"/>
                <w:b w:val="0"/>
                <w:sz w:val="20"/>
                <w:szCs w:val="20"/>
                <w:lang w:val="en-US"/>
              </w:rPr>
              <w:t>Total</w:t>
            </w:r>
          </w:p>
        </w:tc>
        <w:tc>
          <w:tcPr>
            <w:tcW w:w="1241" w:type="dxa"/>
            <w:noWrap/>
            <w:hideMark/>
          </w:tcPr>
          <w:p w14:paraId="1BE2834C" w14:textId="77777777" w:rsidR="00E27DE1" w:rsidRPr="00961BB1" w:rsidRDefault="00E27DE1" w:rsidP="006142F1">
            <w:pPr>
              <w:jc w:val="right"/>
              <w:cnfStyle w:val="000000000000" w:firstRow="0" w:lastRow="0" w:firstColumn="0" w:lastColumn="0" w:oddVBand="0" w:evenVBand="0" w:oddHBand="0" w:evenHBand="0" w:firstRowFirstColumn="0" w:firstRowLastColumn="0" w:lastRowFirstColumn="0" w:lastRowLastColumn="0"/>
              <w:rPr>
                <w:rFonts w:ascii="Times" w:hAnsi="Times"/>
                <w:b/>
                <w:bCs/>
                <w:color w:val="000000"/>
                <w:sz w:val="20"/>
                <w:szCs w:val="20"/>
                <w:lang w:val="en-US"/>
              </w:rPr>
            </w:pPr>
            <w:r w:rsidRPr="00961BB1">
              <w:rPr>
                <w:rFonts w:ascii="Times" w:hAnsi="Times"/>
                <w:b/>
                <w:bCs/>
                <w:color w:val="000000"/>
                <w:sz w:val="20"/>
                <w:szCs w:val="20"/>
                <w:lang w:val="en-US"/>
              </w:rPr>
              <w:t>295.3</w:t>
            </w:r>
          </w:p>
        </w:tc>
        <w:tc>
          <w:tcPr>
            <w:tcW w:w="1159" w:type="dxa"/>
            <w:noWrap/>
            <w:hideMark/>
          </w:tcPr>
          <w:p w14:paraId="5BD3AB50" w14:textId="77777777" w:rsidR="00E27DE1" w:rsidRPr="00961BB1" w:rsidRDefault="00E27DE1" w:rsidP="006142F1">
            <w:pPr>
              <w:jc w:val="right"/>
              <w:cnfStyle w:val="000000000000" w:firstRow="0" w:lastRow="0" w:firstColumn="0" w:lastColumn="0" w:oddVBand="0" w:evenVBand="0" w:oddHBand="0" w:evenHBand="0" w:firstRowFirstColumn="0" w:firstRowLastColumn="0" w:lastRowFirstColumn="0" w:lastRowLastColumn="0"/>
              <w:rPr>
                <w:rFonts w:ascii="Times" w:hAnsi="Times"/>
                <w:b/>
                <w:bCs/>
                <w:color w:val="000000"/>
                <w:sz w:val="20"/>
                <w:szCs w:val="20"/>
                <w:lang w:val="en-US"/>
              </w:rPr>
            </w:pPr>
            <w:r w:rsidRPr="00961BB1">
              <w:rPr>
                <w:rFonts w:ascii="Times" w:hAnsi="Times"/>
                <w:b/>
                <w:bCs/>
                <w:color w:val="000000"/>
                <w:sz w:val="20"/>
                <w:szCs w:val="20"/>
                <w:lang w:val="en-US"/>
              </w:rPr>
              <w:t>423.9</w:t>
            </w:r>
          </w:p>
        </w:tc>
        <w:tc>
          <w:tcPr>
            <w:tcW w:w="1109" w:type="dxa"/>
            <w:noWrap/>
            <w:hideMark/>
          </w:tcPr>
          <w:p w14:paraId="625FF873" w14:textId="77777777" w:rsidR="00E27DE1" w:rsidRPr="00961BB1" w:rsidRDefault="00E27DE1" w:rsidP="006142F1">
            <w:pPr>
              <w:jc w:val="right"/>
              <w:cnfStyle w:val="000000000000" w:firstRow="0" w:lastRow="0" w:firstColumn="0" w:lastColumn="0" w:oddVBand="0" w:evenVBand="0" w:oddHBand="0" w:evenHBand="0" w:firstRowFirstColumn="0" w:firstRowLastColumn="0" w:lastRowFirstColumn="0" w:lastRowLastColumn="0"/>
              <w:rPr>
                <w:rFonts w:ascii="Times" w:hAnsi="Times"/>
                <w:b/>
                <w:bCs/>
                <w:color w:val="000000"/>
                <w:sz w:val="20"/>
                <w:szCs w:val="20"/>
                <w:lang w:val="en-US"/>
              </w:rPr>
            </w:pPr>
            <w:r w:rsidRPr="00961BB1">
              <w:rPr>
                <w:rFonts w:ascii="Times" w:hAnsi="Times"/>
                <w:b/>
                <w:bCs/>
                <w:color w:val="000000"/>
                <w:sz w:val="20"/>
                <w:szCs w:val="20"/>
                <w:lang w:val="en-US"/>
              </w:rPr>
              <w:t>328.9</w:t>
            </w:r>
          </w:p>
        </w:tc>
        <w:tc>
          <w:tcPr>
            <w:tcW w:w="1275" w:type="dxa"/>
            <w:noWrap/>
            <w:hideMark/>
          </w:tcPr>
          <w:p w14:paraId="16CB2C32" w14:textId="79CB465C" w:rsidR="00E27DE1" w:rsidRPr="00961BB1" w:rsidRDefault="00E27DE1" w:rsidP="006142F1">
            <w:pPr>
              <w:jc w:val="right"/>
              <w:cnfStyle w:val="000000000000" w:firstRow="0" w:lastRow="0" w:firstColumn="0" w:lastColumn="0" w:oddVBand="0" w:evenVBand="0" w:oddHBand="0" w:evenHBand="0" w:firstRowFirstColumn="0" w:firstRowLastColumn="0" w:lastRowFirstColumn="0" w:lastRowLastColumn="0"/>
              <w:rPr>
                <w:rFonts w:ascii="Times" w:hAnsi="Times"/>
                <w:b/>
                <w:bCs/>
                <w:sz w:val="20"/>
                <w:szCs w:val="20"/>
                <w:lang w:val="en-US"/>
              </w:rPr>
            </w:pPr>
            <w:r w:rsidRPr="00961BB1">
              <w:rPr>
                <w:rFonts w:ascii="Times" w:hAnsi="Times"/>
                <w:b/>
                <w:bCs/>
                <w:sz w:val="20"/>
                <w:szCs w:val="20"/>
                <w:lang w:val="en-US"/>
              </w:rPr>
              <w:t>1</w:t>
            </w:r>
            <w:r w:rsidR="00961BB1">
              <w:rPr>
                <w:rFonts w:ascii="Times" w:hAnsi="Times"/>
                <w:b/>
                <w:bCs/>
                <w:sz w:val="20"/>
                <w:szCs w:val="20"/>
                <w:lang w:val="en-US"/>
              </w:rPr>
              <w:t xml:space="preserve"> </w:t>
            </w:r>
            <w:r w:rsidRPr="00961BB1">
              <w:rPr>
                <w:rFonts w:ascii="Times" w:hAnsi="Times"/>
                <w:b/>
                <w:bCs/>
                <w:sz w:val="20"/>
                <w:szCs w:val="20"/>
                <w:lang w:val="en-US"/>
              </w:rPr>
              <w:t>048.02</w:t>
            </w:r>
          </w:p>
        </w:tc>
        <w:tc>
          <w:tcPr>
            <w:tcW w:w="1100" w:type="dxa"/>
            <w:noWrap/>
            <w:hideMark/>
          </w:tcPr>
          <w:p w14:paraId="0B6B3A88" w14:textId="77777777" w:rsidR="00E27DE1" w:rsidRPr="00961BB1" w:rsidRDefault="00E27DE1" w:rsidP="006142F1">
            <w:pPr>
              <w:jc w:val="right"/>
              <w:cnfStyle w:val="000000000000" w:firstRow="0" w:lastRow="0" w:firstColumn="0" w:lastColumn="0" w:oddVBand="0" w:evenVBand="0" w:oddHBand="0" w:evenHBand="0" w:firstRowFirstColumn="0" w:firstRowLastColumn="0" w:lastRowFirstColumn="0" w:lastRowLastColumn="0"/>
              <w:rPr>
                <w:rFonts w:ascii="Times" w:hAnsi="Times"/>
                <w:b/>
                <w:bCs/>
                <w:color w:val="000000"/>
                <w:sz w:val="20"/>
                <w:szCs w:val="20"/>
                <w:lang w:val="en-US"/>
              </w:rPr>
            </w:pPr>
            <w:r w:rsidRPr="00961BB1">
              <w:rPr>
                <w:rFonts w:ascii="Times" w:hAnsi="Times"/>
                <w:b/>
                <w:bCs/>
                <w:color w:val="000000"/>
                <w:sz w:val="20"/>
                <w:szCs w:val="20"/>
                <w:lang w:val="en-US"/>
              </w:rPr>
              <w:t>100%</w:t>
            </w:r>
          </w:p>
        </w:tc>
      </w:tr>
    </w:tbl>
    <w:p w14:paraId="46589BD5" w14:textId="2C4E7A97" w:rsidR="00E27DE1" w:rsidRPr="009A7F2D" w:rsidRDefault="00E27DE1" w:rsidP="00E27DE1">
      <w:pPr>
        <w:rPr>
          <w:rFonts w:ascii="Times" w:hAnsi="Times"/>
          <w:i/>
          <w:sz w:val="20"/>
          <w:szCs w:val="20"/>
        </w:rPr>
      </w:pPr>
      <w:r w:rsidRPr="009A7F2D">
        <w:rPr>
          <w:rFonts w:ascii="Times" w:hAnsi="Times"/>
          <w:i/>
          <w:sz w:val="20"/>
          <w:szCs w:val="20"/>
        </w:rPr>
        <w:t xml:space="preserve">Source: </w:t>
      </w:r>
      <w:r>
        <w:rPr>
          <w:rFonts w:ascii="Times" w:hAnsi="Times"/>
          <w:i/>
          <w:sz w:val="20"/>
          <w:szCs w:val="20"/>
        </w:rPr>
        <w:t xml:space="preserve">Commission calculations based on 2020 </w:t>
      </w:r>
      <w:r w:rsidRPr="009A7F2D">
        <w:rPr>
          <w:rFonts w:ascii="Times" w:hAnsi="Times"/>
          <w:i/>
          <w:sz w:val="20"/>
          <w:szCs w:val="20"/>
        </w:rPr>
        <w:t>ENE</w:t>
      </w:r>
      <w:r w:rsidRPr="000D6350">
        <w:t xml:space="preserve"> </w:t>
      </w:r>
      <w:r w:rsidR="00961BB1" w:rsidRPr="000D6350">
        <w:rPr>
          <w:rFonts w:ascii="Times" w:hAnsi="Times"/>
          <w:i/>
          <w:sz w:val="20"/>
          <w:szCs w:val="20"/>
        </w:rPr>
        <w:t>individual votes</w:t>
      </w:r>
      <w:r>
        <w:rPr>
          <w:rFonts w:ascii="Times" w:hAnsi="Times"/>
          <w:i/>
          <w:sz w:val="20"/>
          <w:szCs w:val="20"/>
        </w:rPr>
        <w:t>.</w:t>
      </w:r>
    </w:p>
    <w:p w14:paraId="505F22AE" w14:textId="77777777" w:rsidR="00E27DE1" w:rsidRPr="0083024E" w:rsidRDefault="00E27DE1" w:rsidP="00E27DE1">
      <w:pPr>
        <w:rPr>
          <w:b/>
        </w:rPr>
      </w:pPr>
    </w:p>
    <w:p w14:paraId="6CC2410E" w14:textId="77777777" w:rsidR="00B75110" w:rsidRPr="000D33E4" w:rsidRDefault="00B75110" w:rsidP="00FB6890">
      <w:pPr>
        <w:pStyle w:val="Heading3"/>
      </w:pPr>
      <w:bookmarkStart w:id="106" w:name="_Toc42211923"/>
      <w:r w:rsidRPr="00730DD5">
        <w:t>Infrastructure</w:t>
      </w:r>
      <w:bookmarkEnd w:id="106"/>
    </w:p>
    <w:p w14:paraId="734699BD" w14:textId="6B33FDF6" w:rsidR="00B75110" w:rsidRPr="000D33E4" w:rsidRDefault="00B75110" w:rsidP="009A7F2D">
      <w:pPr>
        <w:keepNext/>
      </w:pPr>
      <w:r w:rsidRPr="000D33E4">
        <w:t>Infrastructure spending has traditionally been utilised as a lever for promoting growth. Unf</w:t>
      </w:r>
      <w:r w:rsidR="009376F0" w:rsidRPr="000D33E4">
        <w:t>ortunately, South Africa’s built</w:t>
      </w:r>
      <w:r w:rsidRPr="000D33E4">
        <w:t xml:space="preserve"> programme has largely been characterised by corruption, poor workmanship and implementation delays. Given the current situation there are two scenarios in </w:t>
      </w:r>
      <w:r w:rsidR="00FC603B">
        <w:t xml:space="preserve">which </w:t>
      </w:r>
      <w:r w:rsidRPr="000D33E4">
        <w:t>infrastructure spending can be reduced. The first relates to the suspension of new projects, especially where such i</w:t>
      </w:r>
      <w:r w:rsidR="009376F0" w:rsidRPr="000D33E4">
        <w:t>nfrastructure is</w:t>
      </w:r>
      <w:r w:rsidR="00730DD5">
        <w:t xml:space="preserve"> not essential in the</w:t>
      </w:r>
      <w:r w:rsidRPr="000D33E4">
        <w:t xml:space="preserve"> fight</w:t>
      </w:r>
      <w:r w:rsidR="00730DD5">
        <w:t xml:space="preserve"> against</w:t>
      </w:r>
      <w:r w:rsidRPr="000D33E4">
        <w:t xml:space="preserve"> Covid</w:t>
      </w:r>
      <w:r w:rsidR="00FC603B">
        <w:t>-19</w:t>
      </w:r>
      <w:r w:rsidR="00730DD5">
        <w:t>,</w:t>
      </w:r>
      <w:r w:rsidRPr="000D33E4">
        <w:t xml:space="preserve"> and </w:t>
      </w:r>
      <w:r w:rsidR="00730DD5">
        <w:t xml:space="preserve">in </w:t>
      </w:r>
      <w:r w:rsidRPr="000D33E4">
        <w:t>the delivery of essential basic services like water and sanitation. The second scenario is with respect to existing infrastructure where consideration could be given to delaying sp</w:t>
      </w:r>
      <w:r w:rsidR="006D3CBD">
        <w:t xml:space="preserve">ending on non-essential </w:t>
      </w:r>
      <w:r w:rsidRPr="000D33E4">
        <w:t xml:space="preserve">maintenance, upgrading or rehabilitation. </w:t>
      </w:r>
    </w:p>
    <w:p w14:paraId="7684D7FA" w14:textId="77777777" w:rsidR="00B75110" w:rsidRPr="000D33E4" w:rsidRDefault="00B75110" w:rsidP="007B1E55">
      <w:pPr>
        <w:rPr>
          <w:rFonts w:ascii="Times" w:hAnsi="Times"/>
        </w:rPr>
      </w:pPr>
    </w:p>
    <w:p w14:paraId="615E7673" w14:textId="1285F989" w:rsidR="00B75110" w:rsidRDefault="00B75110" w:rsidP="00556D9C">
      <w:r w:rsidRPr="000D33E4">
        <w:t xml:space="preserve">The 2020 MTEF public infrastructure expenditure </w:t>
      </w:r>
      <w:r w:rsidR="00FC603B">
        <w:t>is</w:t>
      </w:r>
      <w:r w:rsidRPr="000D33E4">
        <w:t xml:space="preserve"> R815 billion. National departments are planning to spend R433 billion of this amount (R136.1 billion in 2020/21</w:t>
      </w:r>
      <w:r w:rsidR="00961BB1">
        <w:t>;</w:t>
      </w:r>
      <w:r w:rsidRPr="000D33E4">
        <w:t xml:space="preserve"> R145.1 billion in 2021/22</w:t>
      </w:r>
      <w:r w:rsidR="00961BB1">
        <w:t>;</w:t>
      </w:r>
      <w:r w:rsidRPr="000D33E4">
        <w:t xml:space="preserve"> and 152.2 billion in 2022/23). </w:t>
      </w:r>
      <w:r w:rsidR="00555804" w:rsidRPr="00555804">
        <w:rPr>
          <w:color w:val="000000" w:themeColor="text1"/>
        </w:rPr>
        <w:fldChar w:fldCharType="begin"/>
      </w:r>
      <w:r w:rsidR="00555804" w:rsidRPr="00555804">
        <w:rPr>
          <w:color w:val="000000" w:themeColor="text1"/>
        </w:rPr>
        <w:instrText xml:space="preserve"> REF _Ref41141205 \h </w:instrText>
      </w:r>
      <w:r w:rsidR="00555804" w:rsidRPr="00555804">
        <w:rPr>
          <w:color w:val="000000" w:themeColor="text1"/>
        </w:rPr>
      </w:r>
      <w:r w:rsidR="00555804" w:rsidRPr="00555804">
        <w:rPr>
          <w:color w:val="000000" w:themeColor="text1"/>
        </w:rPr>
        <w:fldChar w:fldCharType="separate"/>
      </w:r>
      <w:r w:rsidR="00555804" w:rsidRPr="00555804">
        <w:rPr>
          <w:color w:val="000000" w:themeColor="text1"/>
          <w:szCs w:val="24"/>
        </w:rPr>
        <w:t xml:space="preserve">Figure </w:t>
      </w:r>
      <w:r w:rsidR="00555804" w:rsidRPr="00555804">
        <w:rPr>
          <w:noProof/>
          <w:color w:val="000000" w:themeColor="text1"/>
          <w:szCs w:val="24"/>
        </w:rPr>
        <w:t>13</w:t>
      </w:r>
      <w:r w:rsidR="00555804" w:rsidRPr="00555804">
        <w:rPr>
          <w:color w:val="000000" w:themeColor="text1"/>
        </w:rPr>
        <w:fldChar w:fldCharType="end"/>
      </w:r>
      <w:r w:rsidR="00555804">
        <w:rPr>
          <w:color w:val="000000" w:themeColor="text1"/>
        </w:rPr>
        <w:t xml:space="preserve"> </w:t>
      </w:r>
      <w:r w:rsidRPr="000D33E4">
        <w:t>provides a</w:t>
      </w:r>
      <w:r w:rsidR="0083024E">
        <w:t>n</w:t>
      </w:r>
      <w:r w:rsidRPr="000D33E4">
        <w:t xml:space="preserve"> </w:t>
      </w:r>
      <w:r w:rsidR="00260783">
        <w:t>indication</w:t>
      </w:r>
      <w:r w:rsidR="00260783" w:rsidRPr="000D33E4">
        <w:t xml:space="preserve"> </w:t>
      </w:r>
      <w:r w:rsidRPr="000D33E4">
        <w:t>of which functional categories are planning to spend on infrastructure. Over the next three years</w:t>
      </w:r>
      <w:r w:rsidR="00260783">
        <w:t>,</w:t>
      </w:r>
      <w:r w:rsidRPr="000D33E4">
        <w:t xml:space="preserve"> departments in </w:t>
      </w:r>
      <w:r w:rsidR="00260783" w:rsidRPr="000D33E4">
        <w:t>the community development and economic dev</w:t>
      </w:r>
      <w:r w:rsidRPr="000D33E4">
        <w:t xml:space="preserve">elopment categories are the drivers of infrastructure spending. The key drivers in the community development cluster are the </w:t>
      </w:r>
      <w:r w:rsidR="00260783">
        <w:t>D</w:t>
      </w:r>
      <w:r w:rsidRPr="000D33E4">
        <w:t xml:space="preserve">epartments of </w:t>
      </w:r>
      <w:r w:rsidR="00260783">
        <w:t>H</w:t>
      </w:r>
      <w:r w:rsidRPr="000D33E4">
        <w:t xml:space="preserve">uman </w:t>
      </w:r>
      <w:r w:rsidR="00260783">
        <w:t>S</w:t>
      </w:r>
      <w:r w:rsidRPr="000D33E4">
        <w:t xml:space="preserve">ettlements and </w:t>
      </w:r>
      <w:r w:rsidR="00260783">
        <w:t xml:space="preserve">Cooperative Governance and Traditional Affairs, </w:t>
      </w:r>
      <w:r w:rsidRPr="000D33E4">
        <w:t xml:space="preserve">particularly on water and sanitation. In the </w:t>
      </w:r>
      <w:r w:rsidR="00260783" w:rsidRPr="000D33E4">
        <w:t xml:space="preserve">economic development </w:t>
      </w:r>
      <w:r w:rsidRPr="000D33E4">
        <w:t xml:space="preserve">category, the </w:t>
      </w:r>
      <w:r w:rsidR="00260783">
        <w:t>D</w:t>
      </w:r>
      <w:r w:rsidRPr="000D33E4">
        <w:t>epartments of Transport and Mineral</w:t>
      </w:r>
      <w:r w:rsidR="00260783">
        <w:t xml:space="preserve"> Resources</w:t>
      </w:r>
      <w:r w:rsidRPr="000D33E4">
        <w:t xml:space="preserve"> and Energy account for the largest spending on infrastructure and there is potential for reprioriti</w:t>
      </w:r>
      <w:r w:rsidR="00260783">
        <w:t>s</w:t>
      </w:r>
      <w:r w:rsidRPr="000D33E4">
        <w:t>ation</w:t>
      </w:r>
      <w:r w:rsidR="00D85F0F">
        <w:t xml:space="preserve"> within the latter cluster</w:t>
      </w:r>
      <w:r w:rsidRPr="000D33E4">
        <w:t xml:space="preserve">. With respect to </w:t>
      </w:r>
      <w:r w:rsidR="00260783">
        <w:t>t</w:t>
      </w:r>
      <w:r w:rsidRPr="000D33E4">
        <w:t xml:space="preserve">ransport, allocations are intended to improve the transport network and the mobility of people and service provision, to reduce transport costs and facilitate regional trade. The funding is also geared at improving and constructing non-toll roads, to construct the N2 Wild Coast highway, upgrade the Moloto Road, to maintain the provincial road network, modernise the rail network and to fund the integrated public transport networks in </w:t>
      </w:r>
      <w:r w:rsidR="00260783">
        <w:t>ten</w:t>
      </w:r>
      <w:r w:rsidRPr="000D33E4">
        <w:t xml:space="preserve"> cities across the country. In the case of </w:t>
      </w:r>
      <w:r w:rsidR="00260783">
        <w:t xml:space="preserve">the Department of </w:t>
      </w:r>
      <w:r w:rsidRPr="000D33E4">
        <w:t>Mineral</w:t>
      </w:r>
      <w:r w:rsidR="00260783">
        <w:t xml:space="preserve"> Resources</w:t>
      </w:r>
      <w:r w:rsidRPr="000D33E4">
        <w:t xml:space="preserve"> and Energy</w:t>
      </w:r>
      <w:r w:rsidR="00260783">
        <w:t>,</w:t>
      </w:r>
      <w:r w:rsidRPr="000D33E4">
        <w:t xml:space="preserve"> spending is in respect of the </w:t>
      </w:r>
      <w:r w:rsidR="00260783" w:rsidRPr="000D33E4">
        <w:t>integrated national electrification progra</w:t>
      </w:r>
      <w:r w:rsidRPr="000D33E4">
        <w:t>mme to assist households with electricity connections as well as supporting initiatives on renewable energy programmes</w:t>
      </w:r>
      <w:r w:rsidRPr="00944F5F">
        <w:t xml:space="preserve">. </w:t>
      </w:r>
      <w:r w:rsidR="00260783" w:rsidRPr="00944F5F">
        <w:t>F</w:t>
      </w:r>
      <w:r w:rsidRPr="00944F5F">
        <w:t>unds will</w:t>
      </w:r>
      <w:r w:rsidRPr="000D33E4">
        <w:t xml:space="preserve"> </w:t>
      </w:r>
      <w:r w:rsidR="00260783">
        <w:t xml:space="preserve">also </w:t>
      </w:r>
      <w:r w:rsidRPr="000D33E4">
        <w:t xml:space="preserve">be spent </w:t>
      </w:r>
      <w:r w:rsidR="00260783">
        <w:t xml:space="preserve">on </w:t>
      </w:r>
      <w:r w:rsidRPr="000D33E4">
        <w:t>upgrading municipal infrastructure with energy efficient technologies.</w:t>
      </w:r>
    </w:p>
    <w:p w14:paraId="7FF2F184" w14:textId="77777777" w:rsidR="000E64EE" w:rsidRPr="0083024E" w:rsidRDefault="000E64EE" w:rsidP="00556D9C">
      <w:pPr>
        <w:pStyle w:val="Caption"/>
        <w:keepNext/>
        <w:spacing w:after="60"/>
        <w:rPr>
          <w:rFonts w:ascii="Times" w:hAnsi="Times"/>
          <w:bCs w:val="0"/>
          <w:color w:val="004C45" w:themeColor="text2"/>
          <w:sz w:val="24"/>
          <w:szCs w:val="24"/>
        </w:rPr>
      </w:pPr>
    </w:p>
    <w:p w14:paraId="262849B1" w14:textId="6A1D89E3" w:rsidR="00D57DFA" w:rsidRPr="00835259" w:rsidRDefault="00835259" w:rsidP="00835259">
      <w:pPr>
        <w:pStyle w:val="Caption"/>
        <w:rPr>
          <w:color w:val="004C45" w:themeColor="text2"/>
          <w:sz w:val="24"/>
          <w:szCs w:val="24"/>
        </w:rPr>
      </w:pPr>
      <w:bookmarkStart w:id="107" w:name="_Ref41141205"/>
      <w:bookmarkStart w:id="108" w:name="_Toc42211445"/>
      <w:r w:rsidRPr="00835259">
        <w:rPr>
          <w:color w:val="004C45" w:themeColor="text2"/>
          <w:sz w:val="24"/>
          <w:szCs w:val="24"/>
        </w:rPr>
        <w:t xml:space="preserve">Figure </w:t>
      </w:r>
      <w:r w:rsidRPr="00835259">
        <w:rPr>
          <w:color w:val="004C45" w:themeColor="text2"/>
          <w:sz w:val="24"/>
          <w:szCs w:val="24"/>
        </w:rPr>
        <w:fldChar w:fldCharType="begin"/>
      </w:r>
      <w:r w:rsidRPr="00835259">
        <w:rPr>
          <w:color w:val="004C45" w:themeColor="text2"/>
          <w:sz w:val="24"/>
          <w:szCs w:val="24"/>
        </w:rPr>
        <w:instrText xml:space="preserve"> SEQ Figure \* ARABIC </w:instrText>
      </w:r>
      <w:r w:rsidRPr="00835259">
        <w:rPr>
          <w:color w:val="004C45" w:themeColor="text2"/>
          <w:sz w:val="24"/>
          <w:szCs w:val="24"/>
        </w:rPr>
        <w:fldChar w:fldCharType="separate"/>
      </w:r>
      <w:r w:rsidRPr="00835259">
        <w:rPr>
          <w:noProof/>
          <w:color w:val="004C45" w:themeColor="text2"/>
          <w:sz w:val="24"/>
          <w:szCs w:val="24"/>
        </w:rPr>
        <w:t>13</w:t>
      </w:r>
      <w:r w:rsidRPr="00835259">
        <w:rPr>
          <w:color w:val="004C45" w:themeColor="text2"/>
          <w:sz w:val="24"/>
          <w:szCs w:val="24"/>
        </w:rPr>
        <w:fldChar w:fldCharType="end"/>
      </w:r>
      <w:bookmarkEnd w:id="107"/>
      <w:r>
        <w:rPr>
          <w:color w:val="004C45" w:themeColor="text2"/>
          <w:sz w:val="24"/>
          <w:szCs w:val="24"/>
        </w:rPr>
        <w:t>:</w:t>
      </w:r>
      <w:r w:rsidRPr="00835259">
        <w:rPr>
          <w:color w:val="004C45" w:themeColor="text2"/>
          <w:sz w:val="24"/>
          <w:szCs w:val="24"/>
        </w:rPr>
        <w:t xml:space="preserve"> Infrastructure spending by national departments over the 2020 MTEF period (by function in R million)</w:t>
      </w:r>
      <w:bookmarkEnd w:id="108"/>
    </w:p>
    <w:p w14:paraId="729FE523" w14:textId="77777777" w:rsidR="00B75110" w:rsidRPr="000D33E4" w:rsidRDefault="00B75110" w:rsidP="009A7F2D">
      <w:pPr>
        <w:keepNext/>
        <w:jc w:val="right"/>
        <w:rPr>
          <w:rFonts w:ascii="Times" w:hAnsi="Times"/>
        </w:rPr>
      </w:pPr>
      <w:r w:rsidRPr="000D33E4">
        <w:rPr>
          <w:rFonts w:ascii="Times" w:hAnsi="Times"/>
          <w:noProof/>
          <w:lang w:eastAsia="en-ZA"/>
        </w:rPr>
        <w:drawing>
          <wp:inline distT="0" distB="0" distL="0" distR="0" wp14:anchorId="5F278C81" wp14:editId="0B461259">
            <wp:extent cx="6115050" cy="1919335"/>
            <wp:effectExtent l="0" t="0" r="6350" b="11430"/>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7B2667BF" w14:textId="39ED4121" w:rsidR="00B75110" w:rsidRPr="009A7F2D" w:rsidRDefault="00B75110" w:rsidP="009A7F2D">
      <w:pPr>
        <w:keepNext/>
        <w:rPr>
          <w:rFonts w:ascii="Times" w:hAnsi="Times"/>
          <w:i/>
          <w:sz w:val="20"/>
          <w:szCs w:val="20"/>
        </w:rPr>
      </w:pPr>
      <w:r w:rsidRPr="009A7F2D">
        <w:rPr>
          <w:rFonts w:ascii="Times" w:hAnsi="Times"/>
          <w:i/>
          <w:sz w:val="20"/>
          <w:szCs w:val="20"/>
        </w:rPr>
        <w:t>Source</w:t>
      </w:r>
      <w:r w:rsidR="00260783">
        <w:rPr>
          <w:rFonts w:ascii="Times" w:hAnsi="Times"/>
          <w:i/>
          <w:sz w:val="20"/>
          <w:szCs w:val="20"/>
        </w:rPr>
        <w:t>:</w:t>
      </w:r>
      <w:r w:rsidRPr="009A7F2D">
        <w:rPr>
          <w:rFonts w:ascii="Times" w:hAnsi="Times"/>
          <w:i/>
          <w:sz w:val="20"/>
          <w:szCs w:val="20"/>
        </w:rPr>
        <w:t xml:space="preserve"> </w:t>
      </w:r>
      <w:r w:rsidR="00456D9F">
        <w:rPr>
          <w:rFonts w:ascii="Times" w:hAnsi="Times"/>
          <w:i/>
          <w:sz w:val="20"/>
          <w:szCs w:val="20"/>
        </w:rPr>
        <w:t xml:space="preserve">2020 </w:t>
      </w:r>
      <w:r w:rsidR="00555804">
        <w:rPr>
          <w:rFonts w:ascii="Times" w:hAnsi="Times"/>
          <w:i/>
          <w:sz w:val="20"/>
          <w:szCs w:val="20"/>
        </w:rPr>
        <w:t>ENE</w:t>
      </w:r>
      <w:r w:rsidRPr="009A7F2D">
        <w:rPr>
          <w:rFonts w:ascii="Times" w:hAnsi="Times"/>
          <w:i/>
          <w:sz w:val="20"/>
          <w:szCs w:val="20"/>
        </w:rPr>
        <w:t xml:space="preserve"> 2020</w:t>
      </w:r>
      <w:r w:rsidR="00456D9F">
        <w:rPr>
          <w:rFonts w:ascii="Times" w:hAnsi="Times"/>
          <w:i/>
          <w:sz w:val="20"/>
          <w:szCs w:val="20"/>
        </w:rPr>
        <w:t xml:space="preserve">, </w:t>
      </w:r>
      <w:r w:rsidR="00555804">
        <w:rPr>
          <w:rFonts w:ascii="Times" w:hAnsi="Times"/>
          <w:i/>
          <w:sz w:val="20"/>
          <w:szCs w:val="20"/>
        </w:rPr>
        <w:t>s</w:t>
      </w:r>
      <w:r w:rsidR="00456D9F">
        <w:rPr>
          <w:rFonts w:ascii="Times" w:hAnsi="Times"/>
          <w:i/>
          <w:sz w:val="20"/>
          <w:szCs w:val="20"/>
        </w:rPr>
        <w:t xml:space="preserve">ummary </w:t>
      </w:r>
      <w:r w:rsidR="00555804">
        <w:rPr>
          <w:rFonts w:ascii="Times" w:hAnsi="Times"/>
          <w:i/>
          <w:sz w:val="20"/>
          <w:szCs w:val="20"/>
        </w:rPr>
        <w:t>t</w:t>
      </w:r>
      <w:r w:rsidR="00456D9F">
        <w:rPr>
          <w:rFonts w:ascii="Times" w:hAnsi="Times"/>
          <w:i/>
          <w:sz w:val="20"/>
          <w:szCs w:val="20"/>
        </w:rPr>
        <w:t>able 7a and 7b</w:t>
      </w:r>
    </w:p>
    <w:p w14:paraId="0B670A4B" w14:textId="77777777" w:rsidR="00B75110" w:rsidRPr="000D33E4" w:rsidRDefault="00B75110" w:rsidP="007B1E55">
      <w:pPr>
        <w:rPr>
          <w:rFonts w:ascii="Times" w:hAnsi="Times"/>
        </w:rPr>
      </w:pPr>
    </w:p>
    <w:p w14:paraId="0B029520" w14:textId="260805CC" w:rsidR="00B75110" w:rsidRPr="000D33E4" w:rsidRDefault="00B75110" w:rsidP="009A7F2D">
      <w:r w:rsidRPr="000D33E4">
        <w:t>As mentioned above</w:t>
      </w:r>
      <w:r w:rsidR="00260783">
        <w:t>,</w:t>
      </w:r>
      <w:r w:rsidRPr="000D33E4">
        <w:t xml:space="preserve"> the current situation facing South Africa warrants the suspension of</w:t>
      </w:r>
      <w:r w:rsidR="00260783">
        <w:t>,</w:t>
      </w:r>
      <w:r w:rsidRPr="000D33E4">
        <w:t xml:space="preserve"> at the very least, new infrastructure projects, so as to redirect resources towards fighting Covid-19. The suspension of infrastructure projects should exclude infrastructure that is critical to the fight against </w:t>
      </w:r>
      <w:r w:rsidR="008B0F56">
        <w:t>Covid</w:t>
      </w:r>
      <w:r w:rsidRPr="000D33E4">
        <w:t>-19</w:t>
      </w:r>
      <w:r w:rsidR="006D3CBD">
        <w:t xml:space="preserve">. Health equipment </w:t>
      </w:r>
      <w:r w:rsidRPr="000D33E4">
        <w:t xml:space="preserve">such as ventilators, hospital beds and other equipment, and upgrading and reconfiguration of buildings and institutions to serve as health care facilities as well as </w:t>
      </w:r>
      <w:r w:rsidR="00260783">
        <w:t xml:space="preserve">on </w:t>
      </w:r>
      <w:r w:rsidRPr="000D33E4">
        <w:t xml:space="preserve">water and sanitation (essential basic services). According to 2020 </w:t>
      </w:r>
      <w:r w:rsidR="00260783">
        <w:t>ENE</w:t>
      </w:r>
      <w:r w:rsidRPr="000D33E4">
        <w:t xml:space="preserve"> data, of the R433 billion, an estimated R18 billion is for new infrastructure projects over the next three years </w:t>
      </w:r>
      <w:r w:rsidRPr="005F1355">
        <w:rPr>
          <w:color w:val="000000" w:themeColor="text1"/>
        </w:rPr>
        <w:t>(</w:t>
      </w:r>
      <w:r w:rsidR="005200FC" w:rsidRPr="00F52DE2">
        <w:rPr>
          <w:color w:val="000000" w:themeColor="text1"/>
        </w:rPr>
        <w:fldChar w:fldCharType="begin"/>
      </w:r>
      <w:r w:rsidR="005200FC" w:rsidRPr="00F52DE2">
        <w:rPr>
          <w:color w:val="000000" w:themeColor="text1"/>
        </w:rPr>
        <w:instrText xml:space="preserve"> REF _Ref41141340 \h </w:instrText>
      </w:r>
      <w:r w:rsidR="005200FC" w:rsidRPr="00F52DE2">
        <w:rPr>
          <w:color w:val="000000" w:themeColor="text1"/>
        </w:rPr>
      </w:r>
      <w:r w:rsidR="005200FC" w:rsidRPr="00F52DE2">
        <w:rPr>
          <w:color w:val="000000" w:themeColor="text1"/>
        </w:rPr>
        <w:fldChar w:fldCharType="separate"/>
      </w:r>
      <w:r w:rsidR="005200FC" w:rsidRPr="00F52DE2">
        <w:rPr>
          <w:color w:val="000000" w:themeColor="text1"/>
          <w:szCs w:val="24"/>
        </w:rPr>
        <w:t xml:space="preserve">Table </w:t>
      </w:r>
      <w:r w:rsidR="005200FC" w:rsidRPr="00F52DE2">
        <w:rPr>
          <w:noProof/>
          <w:color w:val="000000" w:themeColor="text1"/>
          <w:szCs w:val="24"/>
        </w:rPr>
        <w:t>18</w:t>
      </w:r>
      <w:r w:rsidR="005200FC" w:rsidRPr="00F52DE2">
        <w:rPr>
          <w:color w:val="000000" w:themeColor="text1"/>
        </w:rPr>
        <w:fldChar w:fldCharType="end"/>
      </w:r>
      <w:r w:rsidR="003E7913" w:rsidRPr="005F1355">
        <w:rPr>
          <w:color w:val="000000" w:themeColor="text1"/>
        </w:rPr>
        <w:fldChar w:fldCharType="begin"/>
      </w:r>
      <w:r w:rsidR="003E7913" w:rsidRPr="005F1355">
        <w:rPr>
          <w:color w:val="000000" w:themeColor="text1"/>
        </w:rPr>
        <w:instrText xml:space="preserve"> REF _Ref40886516 \h </w:instrText>
      </w:r>
      <w:r w:rsidR="003E7913" w:rsidRPr="005F1355">
        <w:rPr>
          <w:color w:val="000000" w:themeColor="text1"/>
        </w:rPr>
      </w:r>
      <w:r w:rsidR="003E7913" w:rsidRPr="005F1355">
        <w:rPr>
          <w:color w:val="000000" w:themeColor="text1"/>
        </w:rPr>
        <w:fldChar w:fldCharType="end"/>
      </w:r>
      <w:r w:rsidRPr="000D33E4">
        <w:t>). These allocations provide space for reprioritisation</w:t>
      </w:r>
      <w:r w:rsidR="003E7913">
        <w:t>. A</w:t>
      </w:r>
      <w:r w:rsidR="00727B77">
        <w:t xml:space="preserve">n assessment of </w:t>
      </w:r>
      <w:r w:rsidRPr="000D33E4">
        <w:t>which of the new infrastructure projects can be deemed non-essential</w:t>
      </w:r>
      <w:r w:rsidR="003E7913">
        <w:t>,</w:t>
      </w:r>
      <w:r w:rsidRPr="000D33E4">
        <w:t xml:space="preserve"> and therefore deferred and funding reprioritised</w:t>
      </w:r>
      <w:r w:rsidR="003E7913">
        <w:t>, is required</w:t>
      </w:r>
      <w:r w:rsidRPr="000D33E4">
        <w:t xml:space="preserve">. For example, under water and sanitation services, almost all new projects are at a pre-feasibility stage and could be postponed as they focus more on improving efficiency in the delivery of water and sanitation services. In respect of human settlements, </w:t>
      </w:r>
      <w:r w:rsidR="003E7913">
        <w:t>phase 2</w:t>
      </w:r>
      <w:r w:rsidR="003E7913" w:rsidRPr="000D33E4">
        <w:t xml:space="preserve"> </w:t>
      </w:r>
      <w:r w:rsidRPr="000D33E4">
        <w:t xml:space="preserve">funding for social housing programme could be considered for reprioritisation, and/or the project itself could be redefined to respond to </w:t>
      </w:r>
      <w:r w:rsidR="009376F0" w:rsidRPr="000D33E4">
        <w:t>Covid</w:t>
      </w:r>
      <w:r w:rsidR="003E7913">
        <w:t>-</w:t>
      </w:r>
      <w:r w:rsidR="009376F0" w:rsidRPr="000D33E4">
        <w:t>19</w:t>
      </w:r>
      <w:r w:rsidRPr="000D33E4">
        <w:t xml:space="preserve"> challenges.</w:t>
      </w:r>
    </w:p>
    <w:p w14:paraId="7D1F90BD" w14:textId="77777777" w:rsidR="00B75110" w:rsidRPr="000D33E4" w:rsidRDefault="00B75110" w:rsidP="007B1E55">
      <w:pPr>
        <w:rPr>
          <w:rFonts w:ascii="Times" w:hAnsi="Times"/>
        </w:rPr>
      </w:pPr>
    </w:p>
    <w:p w14:paraId="3F0091A1" w14:textId="2D78432A" w:rsidR="00B75110" w:rsidRPr="000D33E4" w:rsidRDefault="00B75110" w:rsidP="009A7F2D">
      <w:r w:rsidRPr="000D33E4">
        <w:t xml:space="preserve">There are also significant infrastructure projects located </w:t>
      </w:r>
      <w:r w:rsidR="00627CF5" w:rsidRPr="000D33E4">
        <w:t xml:space="preserve">or </w:t>
      </w:r>
      <w:r w:rsidRPr="000D33E4">
        <w:t>shared between departments and departmental entities. For example</w:t>
      </w:r>
      <w:r w:rsidR="003E7913">
        <w:t>,</w:t>
      </w:r>
      <w:r w:rsidRPr="000D33E4">
        <w:t xml:space="preserve"> </w:t>
      </w:r>
      <w:r w:rsidR="003E7913">
        <w:t>g</w:t>
      </w:r>
      <w:r w:rsidRPr="000D33E4">
        <w:t xml:space="preserve">overnment committed R100 billion, including R10 billion over the next three years, to the </w:t>
      </w:r>
      <w:r w:rsidR="003E7913">
        <w:t>i</w:t>
      </w:r>
      <w:r w:rsidRPr="000D33E4">
        <w:t xml:space="preserve">nfrastructure </w:t>
      </w:r>
      <w:r w:rsidR="003E7913">
        <w:rPr>
          <w:bCs/>
        </w:rPr>
        <w:t>f</w:t>
      </w:r>
      <w:r w:rsidRPr="000D33E4">
        <w:rPr>
          <w:bCs/>
        </w:rPr>
        <w:t>und</w:t>
      </w:r>
      <w:r w:rsidR="003E7913">
        <w:rPr>
          <w:bCs/>
        </w:rPr>
        <w:t xml:space="preserve"> in Budget 2020</w:t>
      </w:r>
      <w:r w:rsidRPr="000D33E4">
        <w:t>. This includes new funding, new guarantees and repackaging of existing projects. The fund focuses on blended-finance projects and aims to increase private</w:t>
      </w:r>
      <w:r w:rsidR="003E7913">
        <w:t xml:space="preserve"> </w:t>
      </w:r>
      <w:r w:rsidRPr="000D33E4">
        <w:t xml:space="preserve">sector investment in </w:t>
      </w:r>
      <w:r w:rsidRPr="00DF2F49">
        <w:rPr>
          <w:color w:val="000000" w:themeColor="text1"/>
        </w:rPr>
        <w:t xml:space="preserve">public infrastructure and contribute to higher economic growth, productivity and employment creation. </w:t>
      </w:r>
      <w:r w:rsidR="00610D2A" w:rsidRPr="00DF2F49">
        <w:rPr>
          <w:color w:val="000000" w:themeColor="text1"/>
        </w:rPr>
        <w:t xml:space="preserve">These projects include both government and nongovernment contributions and these projects are at various stages either at feasibility, design, procurement or construction phase. These include areas like student accommodation, social housing, rail freight branch lines, embedded electricity generation, municipal bulk infrastructure, construction of hospitals, school infrastructure, provincial road infrastructure and upgrades of national roads and broadband rollout etc. </w:t>
      </w:r>
      <w:r w:rsidRPr="00DF2F49">
        <w:rPr>
          <w:color w:val="000000" w:themeColor="text1"/>
        </w:rPr>
        <w:t xml:space="preserve">The fund’s implementation unit will </w:t>
      </w:r>
      <w:r w:rsidRPr="000D33E4">
        <w:t xml:space="preserve">be housed in the Development Bank of Southern Africa (DBSA). According to the 2020 Budget Review, over the next three years, the DBSA will identify, plan and package at least five blended-finance mega projects (valued at over R200 billion), using the funds committed by government to close funding gaps and reduce risks for the private sector. </w:t>
      </w:r>
      <w:r w:rsidR="00CD65F3">
        <w:t>These projects include both government and nongovernment contributions. These include areas like student accommodation, social housing, independent water production, rail freight branch lines, embedded electricity generation, municipal bulk infrastructure and broadband rollout etc. I</w:t>
      </w:r>
      <w:r w:rsidR="00727B77">
        <w:t>n the budget review 2020, R</w:t>
      </w:r>
      <w:r w:rsidR="00CD65F3">
        <w:t xml:space="preserve">100 million is under provisional allocations not assigned to votes. </w:t>
      </w:r>
      <w:r w:rsidRPr="000D33E4">
        <w:t xml:space="preserve">Government </w:t>
      </w:r>
      <w:r w:rsidR="006D3CBD">
        <w:t>will</w:t>
      </w:r>
      <w:r w:rsidRPr="000D33E4">
        <w:t xml:space="preserve"> need to rethink the quantum of funding committed to this </w:t>
      </w:r>
      <w:r w:rsidR="003E7913">
        <w:t>f</w:t>
      </w:r>
      <w:r w:rsidRPr="000D33E4">
        <w:t>und and moderate it and redirect funds towards fighting Covid</w:t>
      </w:r>
      <w:r w:rsidR="003E7913">
        <w:t>-</w:t>
      </w:r>
      <w:r w:rsidRPr="000D33E4">
        <w:t>19.</w:t>
      </w:r>
    </w:p>
    <w:p w14:paraId="13DFA7C8" w14:textId="77777777" w:rsidR="00456D9F" w:rsidRPr="000D33E4" w:rsidRDefault="00456D9F" w:rsidP="00456D9F"/>
    <w:p w14:paraId="0634526A" w14:textId="33359511" w:rsidR="00456D9F" w:rsidRPr="001B0661" w:rsidRDefault="001B0661" w:rsidP="001B0661">
      <w:pPr>
        <w:pStyle w:val="Caption"/>
        <w:rPr>
          <w:rFonts w:ascii="Times" w:hAnsi="Times"/>
          <w:b w:val="0"/>
          <w:color w:val="004C45" w:themeColor="text2"/>
          <w:sz w:val="24"/>
          <w:szCs w:val="24"/>
        </w:rPr>
      </w:pPr>
      <w:bookmarkStart w:id="109" w:name="_Ref41141340"/>
      <w:bookmarkStart w:id="110" w:name="_Toc42212148"/>
      <w:r w:rsidRPr="001B0661">
        <w:rPr>
          <w:color w:val="004C45" w:themeColor="text2"/>
          <w:sz w:val="24"/>
          <w:szCs w:val="24"/>
        </w:rPr>
        <w:t xml:space="preserve">Table </w:t>
      </w:r>
      <w:r w:rsidRPr="001B0661">
        <w:rPr>
          <w:color w:val="004C45" w:themeColor="text2"/>
          <w:sz w:val="24"/>
          <w:szCs w:val="24"/>
        </w:rPr>
        <w:fldChar w:fldCharType="begin"/>
      </w:r>
      <w:r w:rsidRPr="001B0661">
        <w:rPr>
          <w:color w:val="004C45" w:themeColor="text2"/>
          <w:sz w:val="24"/>
          <w:szCs w:val="24"/>
        </w:rPr>
        <w:instrText xml:space="preserve"> SEQ Table \* ARABIC </w:instrText>
      </w:r>
      <w:r w:rsidRPr="001B0661">
        <w:rPr>
          <w:color w:val="004C45" w:themeColor="text2"/>
          <w:sz w:val="24"/>
          <w:szCs w:val="24"/>
        </w:rPr>
        <w:fldChar w:fldCharType="separate"/>
      </w:r>
      <w:r w:rsidR="00492893">
        <w:rPr>
          <w:noProof/>
          <w:color w:val="004C45" w:themeColor="text2"/>
          <w:sz w:val="24"/>
          <w:szCs w:val="24"/>
        </w:rPr>
        <w:t>19</w:t>
      </w:r>
      <w:r w:rsidRPr="001B0661">
        <w:rPr>
          <w:color w:val="004C45" w:themeColor="text2"/>
          <w:sz w:val="24"/>
          <w:szCs w:val="24"/>
        </w:rPr>
        <w:fldChar w:fldCharType="end"/>
      </w:r>
      <w:bookmarkEnd w:id="109"/>
      <w:r w:rsidRPr="001B0661">
        <w:rPr>
          <w:color w:val="004C45" w:themeColor="text2"/>
          <w:sz w:val="24"/>
          <w:szCs w:val="24"/>
        </w:rPr>
        <w:t xml:space="preserve">: National </w:t>
      </w:r>
      <w:r>
        <w:rPr>
          <w:color w:val="004C45" w:themeColor="text2"/>
          <w:sz w:val="24"/>
          <w:szCs w:val="24"/>
        </w:rPr>
        <w:t>d</w:t>
      </w:r>
      <w:r w:rsidRPr="001B0661">
        <w:rPr>
          <w:color w:val="004C45" w:themeColor="text2"/>
          <w:sz w:val="24"/>
          <w:szCs w:val="24"/>
        </w:rPr>
        <w:t>epartments’ planned spending on new and existing infrastructure over the 2020 MTEF period</w:t>
      </w:r>
      <w:bookmarkEnd w:id="110"/>
    </w:p>
    <w:tbl>
      <w:tblPr>
        <w:tblW w:w="5000" w:type="pct"/>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Look w:val="04A0" w:firstRow="1" w:lastRow="0" w:firstColumn="1" w:lastColumn="0" w:noHBand="0" w:noVBand="1"/>
      </w:tblPr>
      <w:tblGrid>
        <w:gridCol w:w="3894"/>
        <w:gridCol w:w="1115"/>
        <w:gridCol w:w="1365"/>
        <w:gridCol w:w="1419"/>
        <w:gridCol w:w="1835"/>
      </w:tblGrid>
      <w:tr w:rsidR="00456D9F" w:rsidRPr="00F52DE2" w14:paraId="43C91F36" w14:textId="77777777" w:rsidTr="00317B48">
        <w:trPr>
          <w:trHeight w:val="210"/>
        </w:trPr>
        <w:tc>
          <w:tcPr>
            <w:tcW w:w="2022" w:type="pct"/>
            <w:vMerge w:val="restart"/>
            <w:shd w:val="clear" w:color="auto" w:fill="auto"/>
            <w:vAlign w:val="bottom"/>
            <w:hideMark/>
          </w:tcPr>
          <w:p w14:paraId="204A6D2C" w14:textId="263F2D4F" w:rsidR="00456D9F" w:rsidRPr="00F52DE2" w:rsidRDefault="00456D9F" w:rsidP="00F52DE2">
            <w:pPr>
              <w:jc w:val="left"/>
              <w:rPr>
                <w:sz w:val="20"/>
                <w:szCs w:val="20"/>
                <w:lang w:val="en-US"/>
              </w:rPr>
            </w:pPr>
            <w:r w:rsidRPr="00F52DE2">
              <w:rPr>
                <w:sz w:val="20"/>
                <w:szCs w:val="20"/>
                <w:lang w:val="en-US"/>
              </w:rPr>
              <w:t>R</w:t>
            </w:r>
            <w:r w:rsidR="00317B48">
              <w:rPr>
                <w:sz w:val="20"/>
                <w:szCs w:val="20"/>
                <w:lang w:val="en-US"/>
              </w:rPr>
              <w:t> </w:t>
            </w:r>
            <w:r w:rsidRPr="00F52DE2">
              <w:rPr>
                <w:sz w:val="20"/>
                <w:szCs w:val="20"/>
                <w:lang w:val="en-US"/>
              </w:rPr>
              <w:t>million</w:t>
            </w:r>
          </w:p>
        </w:tc>
        <w:tc>
          <w:tcPr>
            <w:tcW w:w="2025" w:type="pct"/>
            <w:gridSpan w:val="3"/>
            <w:shd w:val="clear" w:color="auto" w:fill="auto"/>
            <w:vAlign w:val="bottom"/>
            <w:hideMark/>
          </w:tcPr>
          <w:p w14:paraId="624B0175" w14:textId="7BF6966F" w:rsidR="00456D9F" w:rsidRPr="00317B48" w:rsidRDefault="00456D9F" w:rsidP="00F52DE2">
            <w:pPr>
              <w:jc w:val="center"/>
              <w:rPr>
                <w:b/>
                <w:bCs/>
                <w:sz w:val="20"/>
                <w:szCs w:val="20"/>
                <w:lang w:val="en-US"/>
              </w:rPr>
            </w:pPr>
            <w:r w:rsidRPr="00317B48">
              <w:rPr>
                <w:b/>
                <w:bCs/>
                <w:sz w:val="20"/>
                <w:szCs w:val="20"/>
                <w:lang w:val="en-US"/>
              </w:rPr>
              <w:t xml:space="preserve">MTEF </w:t>
            </w:r>
            <w:r w:rsidR="00317B48">
              <w:rPr>
                <w:b/>
                <w:bCs/>
                <w:sz w:val="20"/>
                <w:szCs w:val="20"/>
                <w:lang w:val="en-US"/>
              </w:rPr>
              <w:t>e</w:t>
            </w:r>
            <w:r w:rsidRPr="00317B48">
              <w:rPr>
                <w:b/>
                <w:bCs/>
                <w:sz w:val="20"/>
                <w:szCs w:val="20"/>
                <w:lang w:val="en-US"/>
              </w:rPr>
              <w:t>stimates</w:t>
            </w:r>
          </w:p>
        </w:tc>
        <w:tc>
          <w:tcPr>
            <w:tcW w:w="953" w:type="pct"/>
            <w:vMerge w:val="restart"/>
            <w:shd w:val="clear" w:color="auto" w:fill="auto"/>
            <w:vAlign w:val="bottom"/>
            <w:hideMark/>
          </w:tcPr>
          <w:p w14:paraId="7283C27D" w14:textId="77777777" w:rsidR="00456D9F" w:rsidRPr="00F52DE2" w:rsidRDefault="00456D9F" w:rsidP="00F52DE2">
            <w:pPr>
              <w:jc w:val="center"/>
              <w:rPr>
                <w:b/>
                <w:sz w:val="20"/>
                <w:szCs w:val="20"/>
                <w:lang w:val="en-US"/>
              </w:rPr>
            </w:pPr>
            <w:r w:rsidRPr="00F52DE2">
              <w:rPr>
                <w:b/>
                <w:sz w:val="20"/>
                <w:szCs w:val="20"/>
                <w:lang w:val="en-US"/>
              </w:rPr>
              <w:t>Total over MTEF</w:t>
            </w:r>
          </w:p>
        </w:tc>
      </w:tr>
      <w:tr w:rsidR="00317B48" w:rsidRPr="00F52DE2" w14:paraId="7B5D6664" w14:textId="77777777" w:rsidTr="00317B48">
        <w:trPr>
          <w:trHeight w:val="210"/>
        </w:trPr>
        <w:tc>
          <w:tcPr>
            <w:tcW w:w="2022" w:type="pct"/>
            <w:vMerge/>
            <w:vAlign w:val="center"/>
            <w:hideMark/>
          </w:tcPr>
          <w:p w14:paraId="15BF2061" w14:textId="77777777" w:rsidR="00456D9F" w:rsidRPr="00F52DE2" w:rsidRDefault="00456D9F" w:rsidP="00F52DE2">
            <w:pPr>
              <w:jc w:val="left"/>
              <w:rPr>
                <w:sz w:val="20"/>
                <w:szCs w:val="20"/>
                <w:lang w:val="en-US"/>
              </w:rPr>
            </w:pPr>
          </w:p>
        </w:tc>
        <w:tc>
          <w:tcPr>
            <w:tcW w:w="579" w:type="pct"/>
            <w:shd w:val="clear" w:color="auto" w:fill="auto"/>
            <w:noWrap/>
            <w:vAlign w:val="bottom"/>
            <w:hideMark/>
          </w:tcPr>
          <w:p w14:paraId="6049E0D5" w14:textId="77777777" w:rsidR="00456D9F" w:rsidRPr="00F52DE2" w:rsidRDefault="00456D9F" w:rsidP="00F52DE2">
            <w:pPr>
              <w:jc w:val="center"/>
              <w:rPr>
                <w:b/>
                <w:bCs/>
                <w:sz w:val="20"/>
                <w:szCs w:val="20"/>
                <w:lang w:val="en-US"/>
              </w:rPr>
            </w:pPr>
            <w:r w:rsidRPr="00F52DE2">
              <w:rPr>
                <w:b/>
                <w:bCs/>
                <w:sz w:val="20"/>
                <w:szCs w:val="20"/>
                <w:lang w:val="en-US"/>
              </w:rPr>
              <w:t>2020/21</w:t>
            </w:r>
          </w:p>
        </w:tc>
        <w:tc>
          <w:tcPr>
            <w:tcW w:w="709" w:type="pct"/>
            <w:shd w:val="clear" w:color="auto" w:fill="auto"/>
            <w:noWrap/>
            <w:vAlign w:val="bottom"/>
            <w:hideMark/>
          </w:tcPr>
          <w:p w14:paraId="0D43430B" w14:textId="77777777" w:rsidR="00456D9F" w:rsidRPr="00F52DE2" w:rsidRDefault="00456D9F" w:rsidP="00F52DE2">
            <w:pPr>
              <w:jc w:val="center"/>
              <w:rPr>
                <w:b/>
                <w:bCs/>
                <w:sz w:val="20"/>
                <w:szCs w:val="20"/>
                <w:lang w:val="en-US"/>
              </w:rPr>
            </w:pPr>
            <w:r w:rsidRPr="00F52DE2">
              <w:rPr>
                <w:b/>
                <w:bCs/>
                <w:sz w:val="20"/>
                <w:szCs w:val="20"/>
                <w:lang w:val="en-US"/>
              </w:rPr>
              <w:t>2021/22</w:t>
            </w:r>
          </w:p>
        </w:tc>
        <w:tc>
          <w:tcPr>
            <w:tcW w:w="737" w:type="pct"/>
            <w:shd w:val="clear" w:color="auto" w:fill="auto"/>
            <w:noWrap/>
            <w:vAlign w:val="bottom"/>
            <w:hideMark/>
          </w:tcPr>
          <w:p w14:paraId="686FB38B" w14:textId="77777777" w:rsidR="00456D9F" w:rsidRPr="00F52DE2" w:rsidRDefault="00456D9F" w:rsidP="00F52DE2">
            <w:pPr>
              <w:jc w:val="center"/>
              <w:rPr>
                <w:b/>
                <w:bCs/>
                <w:sz w:val="20"/>
                <w:szCs w:val="20"/>
                <w:lang w:val="en-US"/>
              </w:rPr>
            </w:pPr>
            <w:r w:rsidRPr="00F52DE2">
              <w:rPr>
                <w:b/>
                <w:bCs/>
                <w:sz w:val="20"/>
                <w:szCs w:val="20"/>
                <w:lang w:val="en-US"/>
              </w:rPr>
              <w:t>2022/23</w:t>
            </w:r>
          </w:p>
        </w:tc>
        <w:tc>
          <w:tcPr>
            <w:tcW w:w="953" w:type="pct"/>
            <w:vMerge/>
            <w:vAlign w:val="center"/>
            <w:hideMark/>
          </w:tcPr>
          <w:p w14:paraId="2047BE54" w14:textId="77777777" w:rsidR="00456D9F" w:rsidRPr="00F52DE2" w:rsidRDefault="00456D9F" w:rsidP="00F52DE2">
            <w:pPr>
              <w:jc w:val="center"/>
              <w:rPr>
                <w:b/>
                <w:sz w:val="20"/>
                <w:szCs w:val="20"/>
                <w:lang w:val="en-US"/>
              </w:rPr>
            </w:pPr>
          </w:p>
        </w:tc>
      </w:tr>
      <w:tr w:rsidR="00317B48" w:rsidRPr="00F52DE2" w14:paraId="47C17D9A" w14:textId="77777777" w:rsidTr="00317B48">
        <w:trPr>
          <w:trHeight w:val="210"/>
        </w:trPr>
        <w:tc>
          <w:tcPr>
            <w:tcW w:w="2022" w:type="pct"/>
            <w:shd w:val="clear" w:color="auto" w:fill="auto"/>
            <w:noWrap/>
            <w:vAlign w:val="bottom"/>
            <w:hideMark/>
          </w:tcPr>
          <w:p w14:paraId="492E0E47" w14:textId="77777777" w:rsidR="00456D9F" w:rsidRPr="00F52DE2" w:rsidRDefault="00456D9F" w:rsidP="00F52DE2">
            <w:pPr>
              <w:jc w:val="left"/>
              <w:rPr>
                <w:b/>
                <w:bCs/>
                <w:sz w:val="20"/>
                <w:szCs w:val="20"/>
                <w:lang w:val="en-US"/>
              </w:rPr>
            </w:pPr>
            <w:r w:rsidRPr="00F52DE2">
              <w:rPr>
                <w:b/>
                <w:bCs/>
                <w:sz w:val="20"/>
                <w:szCs w:val="20"/>
                <w:lang w:val="en-US"/>
              </w:rPr>
              <w:t>New infrastructure assets</w:t>
            </w:r>
          </w:p>
        </w:tc>
        <w:tc>
          <w:tcPr>
            <w:tcW w:w="579" w:type="pct"/>
            <w:shd w:val="clear" w:color="auto" w:fill="auto"/>
            <w:noWrap/>
            <w:vAlign w:val="bottom"/>
            <w:hideMark/>
          </w:tcPr>
          <w:p w14:paraId="06E68EB1" w14:textId="3615E27A" w:rsidR="00456D9F" w:rsidRPr="00F52DE2" w:rsidRDefault="00456D9F" w:rsidP="00317B48">
            <w:pPr>
              <w:jc w:val="right"/>
              <w:rPr>
                <w:sz w:val="20"/>
                <w:szCs w:val="20"/>
                <w:lang w:val="en-US"/>
              </w:rPr>
            </w:pPr>
            <w:r w:rsidRPr="00F52DE2">
              <w:rPr>
                <w:sz w:val="20"/>
                <w:szCs w:val="20"/>
                <w:lang w:val="en-US"/>
              </w:rPr>
              <w:t>4</w:t>
            </w:r>
            <w:r w:rsidR="00317B48">
              <w:rPr>
                <w:sz w:val="20"/>
                <w:szCs w:val="20"/>
                <w:lang w:val="en-US"/>
              </w:rPr>
              <w:t xml:space="preserve"> </w:t>
            </w:r>
            <w:r w:rsidRPr="00F52DE2">
              <w:rPr>
                <w:sz w:val="20"/>
                <w:szCs w:val="20"/>
                <w:lang w:val="en-US"/>
              </w:rPr>
              <w:t>930.1</w:t>
            </w:r>
          </w:p>
        </w:tc>
        <w:tc>
          <w:tcPr>
            <w:tcW w:w="709" w:type="pct"/>
            <w:shd w:val="clear" w:color="auto" w:fill="auto"/>
            <w:noWrap/>
            <w:vAlign w:val="bottom"/>
            <w:hideMark/>
          </w:tcPr>
          <w:p w14:paraId="55FCC80F" w14:textId="3333E201" w:rsidR="00456D9F" w:rsidRPr="00F52DE2" w:rsidRDefault="00456D9F" w:rsidP="00317B48">
            <w:pPr>
              <w:jc w:val="right"/>
              <w:rPr>
                <w:sz w:val="20"/>
                <w:szCs w:val="20"/>
                <w:lang w:val="en-US"/>
              </w:rPr>
            </w:pPr>
            <w:r w:rsidRPr="00F52DE2">
              <w:rPr>
                <w:sz w:val="20"/>
                <w:szCs w:val="20"/>
                <w:lang w:val="en-US"/>
              </w:rPr>
              <w:t>6196.6</w:t>
            </w:r>
          </w:p>
        </w:tc>
        <w:tc>
          <w:tcPr>
            <w:tcW w:w="737" w:type="pct"/>
            <w:shd w:val="clear" w:color="auto" w:fill="auto"/>
            <w:noWrap/>
            <w:vAlign w:val="bottom"/>
            <w:hideMark/>
          </w:tcPr>
          <w:p w14:paraId="5D93C449" w14:textId="581D37E6" w:rsidR="00456D9F" w:rsidRPr="00F52DE2" w:rsidRDefault="00456D9F" w:rsidP="00317B48">
            <w:pPr>
              <w:jc w:val="right"/>
              <w:rPr>
                <w:sz w:val="20"/>
                <w:szCs w:val="20"/>
                <w:lang w:val="en-US"/>
              </w:rPr>
            </w:pPr>
            <w:r w:rsidRPr="00F52DE2">
              <w:rPr>
                <w:sz w:val="20"/>
                <w:szCs w:val="20"/>
                <w:lang w:val="en-US"/>
              </w:rPr>
              <w:t>6</w:t>
            </w:r>
            <w:r w:rsidR="00317B48">
              <w:rPr>
                <w:sz w:val="20"/>
                <w:szCs w:val="20"/>
                <w:lang w:val="en-US"/>
              </w:rPr>
              <w:t xml:space="preserve"> </w:t>
            </w:r>
            <w:r w:rsidRPr="00F52DE2">
              <w:rPr>
                <w:sz w:val="20"/>
                <w:szCs w:val="20"/>
                <w:lang w:val="en-US"/>
              </w:rPr>
              <w:t>828.9</w:t>
            </w:r>
          </w:p>
        </w:tc>
        <w:tc>
          <w:tcPr>
            <w:tcW w:w="953" w:type="pct"/>
            <w:shd w:val="clear" w:color="auto" w:fill="auto"/>
            <w:noWrap/>
            <w:vAlign w:val="bottom"/>
            <w:hideMark/>
          </w:tcPr>
          <w:p w14:paraId="08DE0063" w14:textId="4C8F9CD6" w:rsidR="00456D9F" w:rsidRPr="00F52DE2" w:rsidRDefault="00456D9F" w:rsidP="00317B48">
            <w:pPr>
              <w:jc w:val="right"/>
              <w:rPr>
                <w:b/>
                <w:sz w:val="20"/>
                <w:szCs w:val="20"/>
                <w:lang w:val="en-US"/>
              </w:rPr>
            </w:pPr>
            <w:r w:rsidRPr="00F52DE2">
              <w:rPr>
                <w:b/>
                <w:sz w:val="20"/>
                <w:szCs w:val="20"/>
                <w:lang w:val="en-US"/>
              </w:rPr>
              <w:t>17</w:t>
            </w:r>
            <w:r w:rsidR="00317B48">
              <w:rPr>
                <w:b/>
                <w:sz w:val="20"/>
                <w:szCs w:val="20"/>
                <w:lang w:val="en-US"/>
              </w:rPr>
              <w:t xml:space="preserve"> </w:t>
            </w:r>
            <w:r w:rsidRPr="00F52DE2">
              <w:rPr>
                <w:b/>
                <w:sz w:val="20"/>
                <w:szCs w:val="20"/>
                <w:lang w:val="en-US"/>
              </w:rPr>
              <w:t>955.6</w:t>
            </w:r>
          </w:p>
        </w:tc>
      </w:tr>
      <w:tr w:rsidR="00317B48" w:rsidRPr="00F52DE2" w14:paraId="6A4E8BD2" w14:textId="77777777" w:rsidTr="00317B48">
        <w:trPr>
          <w:trHeight w:val="210"/>
        </w:trPr>
        <w:tc>
          <w:tcPr>
            <w:tcW w:w="2022" w:type="pct"/>
            <w:shd w:val="clear" w:color="auto" w:fill="auto"/>
            <w:noWrap/>
            <w:vAlign w:val="bottom"/>
            <w:hideMark/>
          </w:tcPr>
          <w:p w14:paraId="64FC5A27" w14:textId="77777777" w:rsidR="00456D9F" w:rsidRPr="00F52DE2" w:rsidRDefault="00456D9F" w:rsidP="00F52DE2">
            <w:pPr>
              <w:jc w:val="left"/>
              <w:rPr>
                <w:b/>
                <w:bCs/>
                <w:sz w:val="20"/>
                <w:szCs w:val="20"/>
                <w:lang w:val="en-US"/>
              </w:rPr>
            </w:pPr>
            <w:r w:rsidRPr="00F52DE2">
              <w:rPr>
                <w:b/>
                <w:bCs/>
                <w:sz w:val="20"/>
                <w:szCs w:val="20"/>
                <w:lang w:val="en-US"/>
              </w:rPr>
              <w:t>Existing infrastructure assets</w:t>
            </w:r>
          </w:p>
        </w:tc>
        <w:tc>
          <w:tcPr>
            <w:tcW w:w="579" w:type="pct"/>
            <w:shd w:val="clear" w:color="auto" w:fill="auto"/>
            <w:noWrap/>
            <w:vAlign w:val="bottom"/>
            <w:hideMark/>
          </w:tcPr>
          <w:p w14:paraId="401B88DF" w14:textId="2AF0D010" w:rsidR="00456D9F" w:rsidRPr="00F52DE2" w:rsidRDefault="00456D9F" w:rsidP="00317B48">
            <w:pPr>
              <w:jc w:val="right"/>
              <w:rPr>
                <w:sz w:val="20"/>
                <w:szCs w:val="20"/>
                <w:lang w:val="en-US"/>
              </w:rPr>
            </w:pPr>
            <w:r w:rsidRPr="00F52DE2">
              <w:rPr>
                <w:sz w:val="20"/>
                <w:szCs w:val="20"/>
                <w:lang w:val="en-US"/>
              </w:rPr>
              <w:t>6</w:t>
            </w:r>
            <w:r w:rsidR="00317B48">
              <w:rPr>
                <w:sz w:val="20"/>
                <w:szCs w:val="20"/>
                <w:lang w:val="en-US"/>
              </w:rPr>
              <w:t xml:space="preserve"> </w:t>
            </w:r>
            <w:r w:rsidRPr="00F52DE2">
              <w:rPr>
                <w:sz w:val="20"/>
                <w:szCs w:val="20"/>
                <w:lang w:val="en-US"/>
              </w:rPr>
              <w:t>356.9</w:t>
            </w:r>
          </w:p>
        </w:tc>
        <w:tc>
          <w:tcPr>
            <w:tcW w:w="709" w:type="pct"/>
            <w:shd w:val="clear" w:color="auto" w:fill="auto"/>
            <w:noWrap/>
            <w:vAlign w:val="bottom"/>
            <w:hideMark/>
          </w:tcPr>
          <w:p w14:paraId="7B5EB2C4" w14:textId="61BEA195" w:rsidR="00456D9F" w:rsidRPr="00F52DE2" w:rsidRDefault="00456D9F" w:rsidP="00317B48">
            <w:pPr>
              <w:jc w:val="right"/>
              <w:rPr>
                <w:sz w:val="20"/>
                <w:szCs w:val="20"/>
                <w:lang w:val="en-US"/>
              </w:rPr>
            </w:pPr>
            <w:r w:rsidRPr="00F52DE2">
              <w:rPr>
                <w:sz w:val="20"/>
                <w:szCs w:val="20"/>
                <w:lang w:val="en-US"/>
              </w:rPr>
              <w:t>5</w:t>
            </w:r>
            <w:r w:rsidR="00317B48">
              <w:rPr>
                <w:sz w:val="20"/>
                <w:szCs w:val="20"/>
                <w:lang w:val="en-US"/>
              </w:rPr>
              <w:t xml:space="preserve"> </w:t>
            </w:r>
            <w:r w:rsidRPr="00F52DE2">
              <w:rPr>
                <w:sz w:val="20"/>
                <w:szCs w:val="20"/>
                <w:lang w:val="en-US"/>
              </w:rPr>
              <w:t>670.8</w:t>
            </w:r>
          </w:p>
        </w:tc>
        <w:tc>
          <w:tcPr>
            <w:tcW w:w="737" w:type="pct"/>
            <w:shd w:val="clear" w:color="auto" w:fill="auto"/>
            <w:noWrap/>
            <w:vAlign w:val="bottom"/>
            <w:hideMark/>
          </w:tcPr>
          <w:p w14:paraId="7AFD0EA6" w14:textId="4CE29EBA" w:rsidR="00456D9F" w:rsidRPr="00F52DE2" w:rsidRDefault="00456D9F" w:rsidP="00317B48">
            <w:pPr>
              <w:jc w:val="right"/>
              <w:rPr>
                <w:sz w:val="20"/>
                <w:szCs w:val="20"/>
                <w:lang w:val="en-US"/>
              </w:rPr>
            </w:pPr>
            <w:r w:rsidRPr="00F52DE2">
              <w:rPr>
                <w:sz w:val="20"/>
                <w:szCs w:val="20"/>
                <w:lang w:val="en-US"/>
              </w:rPr>
              <w:t>5</w:t>
            </w:r>
            <w:r w:rsidR="00317B48">
              <w:rPr>
                <w:sz w:val="20"/>
                <w:szCs w:val="20"/>
                <w:lang w:val="en-US"/>
              </w:rPr>
              <w:t xml:space="preserve"> </w:t>
            </w:r>
            <w:r w:rsidRPr="00F52DE2">
              <w:rPr>
                <w:sz w:val="20"/>
                <w:szCs w:val="20"/>
                <w:lang w:val="en-US"/>
              </w:rPr>
              <w:t>185.0</w:t>
            </w:r>
          </w:p>
        </w:tc>
        <w:tc>
          <w:tcPr>
            <w:tcW w:w="953" w:type="pct"/>
            <w:shd w:val="clear" w:color="auto" w:fill="auto"/>
            <w:noWrap/>
            <w:vAlign w:val="bottom"/>
            <w:hideMark/>
          </w:tcPr>
          <w:p w14:paraId="5927E379" w14:textId="1422831C" w:rsidR="00456D9F" w:rsidRPr="00F52DE2" w:rsidRDefault="00456D9F" w:rsidP="00317B48">
            <w:pPr>
              <w:jc w:val="right"/>
              <w:rPr>
                <w:b/>
                <w:sz w:val="20"/>
                <w:szCs w:val="20"/>
                <w:lang w:val="en-US"/>
              </w:rPr>
            </w:pPr>
            <w:r w:rsidRPr="00F52DE2">
              <w:rPr>
                <w:b/>
                <w:sz w:val="20"/>
                <w:szCs w:val="20"/>
                <w:lang w:val="en-US"/>
              </w:rPr>
              <w:t>17</w:t>
            </w:r>
            <w:r w:rsidR="00317B48">
              <w:rPr>
                <w:b/>
                <w:sz w:val="20"/>
                <w:szCs w:val="20"/>
                <w:lang w:val="en-US"/>
              </w:rPr>
              <w:t xml:space="preserve"> </w:t>
            </w:r>
            <w:r w:rsidRPr="00F52DE2">
              <w:rPr>
                <w:b/>
                <w:sz w:val="20"/>
                <w:szCs w:val="20"/>
                <w:lang w:val="en-US"/>
              </w:rPr>
              <w:t>212.7</w:t>
            </w:r>
          </w:p>
        </w:tc>
      </w:tr>
      <w:tr w:rsidR="00317B48" w:rsidRPr="00F52DE2" w14:paraId="13D0B1C2" w14:textId="77777777" w:rsidTr="00317B48">
        <w:trPr>
          <w:trHeight w:val="210"/>
        </w:trPr>
        <w:tc>
          <w:tcPr>
            <w:tcW w:w="2022" w:type="pct"/>
            <w:shd w:val="clear" w:color="auto" w:fill="auto"/>
            <w:noWrap/>
            <w:vAlign w:val="bottom"/>
            <w:hideMark/>
          </w:tcPr>
          <w:p w14:paraId="6256E296" w14:textId="77777777" w:rsidR="00456D9F" w:rsidRPr="00317B48" w:rsidRDefault="00456D9F" w:rsidP="00F52DE2">
            <w:pPr>
              <w:jc w:val="left"/>
              <w:rPr>
                <w:i/>
                <w:iCs/>
                <w:sz w:val="20"/>
                <w:szCs w:val="20"/>
                <w:lang w:val="en-US"/>
              </w:rPr>
            </w:pPr>
            <w:r w:rsidRPr="00317B48">
              <w:rPr>
                <w:i/>
                <w:iCs/>
                <w:sz w:val="20"/>
                <w:szCs w:val="20"/>
                <w:lang w:val="en-US"/>
              </w:rPr>
              <w:t>of which</w:t>
            </w:r>
          </w:p>
        </w:tc>
        <w:tc>
          <w:tcPr>
            <w:tcW w:w="579" w:type="pct"/>
            <w:shd w:val="clear" w:color="auto" w:fill="auto"/>
            <w:noWrap/>
            <w:vAlign w:val="bottom"/>
            <w:hideMark/>
          </w:tcPr>
          <w:p w14:paraId="3A3F7287" w14:textId="77777777" w:rsidR="00456D9F" w:rsidRPr="00F52DE2" w:rsidRDefault="00456D9F" w:rsidP="00317B48">
            <w:pPr>
              <w:jc w:val="right"/>
              <w:rPr>
                <w:b/>
                <w:bCs/>
                <w:sz w:val="20"/>
                <w:szCs w:val="20"/>
                <w:lang w:val="en-US"/>
              </w:rPr>
            </w:pPr>
          </w:p>
        </w:tc>
        <w:tc>
          <w:tcPr>
            <w:tcW w:w="709" w:type="pct"/>
            <w:shd w:val="clear" w:color="auto" w:fill="auto"/>
            <w:noWrap/>
            <w:vAlign w:val="bottom"/>
            <w:hideMark/>
          </w:tcPr>
          <w:p w14:paraId="2F197D4F" w14:textId="77777777" w:rsidR="00456D9F" w:rsidRPr="00F52DE2" w:rsidRDefault="00456D9F" w:rsidP="00317B48">
            <w:pPr>
              <w:jc w:val="right"/>
              <w:rPr>
                <w:sz w:val="20"/>
                <w:szCs w:val="20"/>
                <w:lang w:val="en-US"/>
              </w:rPr>
            </w:pPr>
          </w:p>
        </w:tc>
        <w:tc>
          <w:tcPr>
            <w:tcW w:w="737" w:type="pct"/>
            <w:shd w:val="clear" w:color="auto" w:fill="auto"/>
            <w:noWrap/>
            <w:vAlign w:val="bottom"/>
            <w:hideMark/>
          </w:tcPr>
          <w:p w14:paraId="7FE9187C" w14:textId="77777777" w:rsidR="00456D9F" w:rsidRPr="00F52DE2" w:rsidRDefault="00456D9F" w:rsidP="00317B48">
            <w:pPr>
              <w:jc w:val="right"/>
              <w:rPr>
                <w:sz w:val="20"/>
                <w:szCs w:val="20"/>
                <w:lang w:val="en-US"/>
              </w:rPr>
            </w:pPr>
          </w:p>
        </w:tc>
        <w:tc>
          <w:tcPr>
            <w:tcW w:w="953" w:type="pct"/>
            <w:shd w:val="clear" w:color="auto" w:fill="auto"/>
            <w:noWrap/>
            <w:vAlign w:val="bottom"/>
            <w:hideMark/>
          </w:tcPr>
          <w:p w14:paraId="2C5D569E" w14:textId="77777777" w:rsidR="00456D9F" w:rsidRPr="00F52DE2" w:rsidRDefault="00456D9F" w:rsidP="00317B48">
            <w:pPr>
              <w:jc w:val="right"/>
              <w:rPr>
                <w:b/>
                <w:sz w:val="20"/>
                <w:szCs w:val="20"/>
                <w:lang w:val="en-US"/>
              </w:rPr>
            </w:pPr>
          </w:p>
        </w:tc>
      </w:tr>
      <w:tr w:rsidR="00317B48" w:rsidRPr="00F52DE2" w14:paraId="4F15B30B" w14:textId="77777777" w:rsidTr="00317B48">
        <w:trPr>
          <w:trHeight w:val="210"/>
        </w:trPr>
        <w:tc>
          <w:tcPr>
            <w:tcW w:w="2022" w:type="pct"/>
            <w:shd w:val="clear" w:color="auto" w:fill="auto"/>
            <w:noWrap/>
            <w:vAlign w:val="bottom"/>
            <w:hideMark/>
          </w:tcPr>
          <w:p w14:paraId="48402875" w14:textId="77777777" w:rsidR="00456D9F" w:rsidRPr="00F52DE2" w:rsidRDefault="00456D9F" w:rsidP="00F52DE2">
            <w:pPr>
              <w:jc w:val="left"/>
              <w:rPr>
                <w:iCs/>
                <w:sz w:val="20"/>
                <w:szCs w:val="20"/>
                <w:lang w:val="en-US"/>
              </w:rPr>
            </w:pPr>
            <w:r w:rsidRPr="00F52DE2">
              <w:rPr>
                <w:iCs/>
                <w:sz w:val="20"/>
                <w:szCs w:val="20"/>
                <w:lang w:val="en-US"/>
              </w:rPr>
              <w:t>Upgrading and additions</w:t>
            </w:r>
          </w:p>
        </w:tc>
        <w:tc>
          <w:tcPr>
            <w:tcW w:w="579" w:type="pct"/>
            <w:shd w:val="clear" w:color="auto" w:fill="auto"/>
            <w:noWrap/>
            <w:vAlign w:val="bottom"/>
            <w:hideMark/>
          </w:tcPr>
          <w:p w14:paraId="605CE732" w14:textId="7C8C1624" w:rsidR="00456D9F" w:rsidRPr="00F52DE2" w:rsidRDefault="00456D9F" w:rsidP="00317B48">
            <w:pPr>
              <w:jc w:val="right"/>
              <w:rPr>
                <w:sz w:val="20"/>
                <w:szCs w:val="20"/>
                <w:lang w:val="en-US"/>
              </w:rPr>
            </w:pPr>
            <w:r w:rsidRPr="00F52DE2">
              <w:rPr>
                <w:sz w:val="20"/>
                <w:szCs w:val="20"/>
                <w:lang w:val="en-US"/>
              </w:rPr>
              <w:t>4</w:t>
            </w:r>
            <w:r w:rsidR="00317B48">
              <w:rPr>
                <w:sz w:val="20"/>
                <w:szCs w:val="20"/>
                <w:lang w:val="en-US"/>
              </w:rPr>
              <w:t xml:space="preserve"> </w:t>
            </w:r>
            <w:r w:rsidRPr="00F52DE2">
              <w:rPr>
                <w:sz w:val="20"/>
                <w:szCs w:val="20"/>
                <w:lang w:val="en-US"/>
              </w:rPr>
              <w:t>164.5</w:t>
            </w:r>
          </w:p>
        </w:tc>
        <w:tc>
          <w:tcPr>
            <w:tcW w:w="709" w:type="pct"/>
            <w:shd w:val="clear" w:color="auto" w:fill="auto"/>
            <w:noWrap/>
            <w:vAlign w:val="bottom"/>
            <w:hideMark/>
          </w:tcPr>
          <w:p w14:paraId="671E4912" w14:textId="4B6FD95E" w:rsidR="00456D9F" w:rsidRPr="00F52DE2" w:rsidRDefault="00456D9F" w:rsidP="00317B48">
            <w:pPr>
              <w:jc w:val="right"/>
              <w:rPr>
                <w:sz w:val="20"/>
                <w:szCs w:val="20"/>
                <w:lang w:val="en-US"/>
              </w:rPr>
            </w:pPr>
            <w:r w:rsidRPr="00F52DE2">
              <w:rPr>
                <w:sz w:val="20"/>
                <w:szCs w:val="20"/>
                <w:lang w:val="en-US"/>
              </w:rPr>
              <w:t>4</w:t>
            </w:r>
            <w:r w:rsidR="00317B48">
              <w:rPr>
                <w:sz w:val="20"/>
                <w:szCs w:val="20"/>
                <w:lang w:val="en-US"/>
              </w:rPr>
              <w:t xml:space="preserve"> </w:t>
            </w:r>
            <w:r w:rsidRPr="00F52DE2">
              <w:rPr>
                <w:sz w:val="20"/>
                <w:szCs w:val="20"/>
                <w:lang w:val="en-US"/>
              </w:rPr>
              <w:t>309.6</w:t>
            </w:r>
          </w:p>
        </w:tc>
        <w:tc>
          <w:tcPr>
            <w:tcW w:w="737" w:type="pct"/>
            <w:shd w:val="clear" w:color="auto" w:fill="auto"/>
            <w:noWrap/>
            <w:vAlign w:val="bottom"/>
            <w:hideMark/>
          </w:tcPr>
          <w:p w14:paraId="0FE62490" w14:textId="2B982BC3" w:rsidR="00456D9F" w:rsidRPr="00F52DE2" w:rsidRDefault="00456D9F" w:rsidP="00317B48">
            <w:pPr>
              <w:jc w:val="right"/>
              <w:rPr>
                <w:sz w:val="20"/>
                <w:szCs w:val="20"/>
                <w:lang w:val="en-US"/>
              </w:rPr>
            </w:pPr>
            <w:r w:rsidRPr="00F52DE2">
              <w:rPr>
                <w:sz w:val="20"/>
                <w:szCs w:val="20"/>
                <w:lang w:val="en-US"/>
              </w:rPr>
              <w:t>4</w:t>
            </w:r>
            <w:r w:rsidR="00317B48">
              <w:rPr>
                <w:sz w:val="20"/>
                <w:szCs w:val="20"/>
                <w:lang w:val="en-US"/>
              </w:rPr>
              <w:t xml:space="preserve"> </w:t>
            </w:r>
            <w:r w:rsidRPr="00F52DE2">
              <w:rPr>
                <w:sz w:val="20"/>
                <w:szCs w:val="20"/>
                <w:lang w:val="en-US"/>
              </w:rPr>
              <w:t>050.8</w:t>
            </w:r>
          </w:p>
        </w:tc>
        <w:tc>
          <w:tcPr>
            <w:tcW w:w="953" w:type="pct"/>
            <w:shd w:val="clear" w:color="auto" w:fill="auto"/>
            <w:noWrap/>
            <w:vAlign w:val="bottom"/>
            <w:hideMark/>
          </w:tcPr>
          <w:p w14:paraId="0B1566CE" w14:textId="5AEA84B5" w:rsidR="00456D9F" w:rsidRPr="00F52DE2" w:rsidRDefault="00456D9F" w:rsidP="00317B48">
            <w:pPr>
              <w:jc w:val="right"/>
              <w:rPr>
                <w:b/>
                <w:sz w:val="20"/>
                <w:szCs w:val="20"/>
                <w:lang w:val="en-US"/>
              </w:rPr>
            </w:pPr>
            <w:r w:rsidRPr="00F52DE2">
              <w:rPr>
                <w:b/>
                <w:sz w:val="20"/>
                <w:szCs w:val="20"/>
                <w:lang w:val="en-US"/>
              </w:rPr>
              <w:t>12</w:t>
            </w:r>
            <w:r w:rsidR="00317B48">
              <w:rPr>
                <w:b/>
                <w:sz w:val="20"/>
                <w:szCs w:val="20"/>
                <w:lang w:val="en-US"/>
              </w:rPr>
              <w:t xml:space="preserve"> </w:t>
            </w:r>
            <w:r w:rsidRPr="00F52DE2">
              <w:rPr>
                <w:b/>
                <w:sz w:val="20"/>
                <w:szCs w:val="20"/>
                <w:lang w:val="en-US"/>
              </w:rPr>
              <w:t>524.9</w:t>
            </w:r>
          </w:p>
        </w:tc>
      </w:tr>
      <w:tr w:rsidR="00317B48" w:rsidRPr="00F52DE2" w14:paraId="330456AC" w14:textId="77777777" w:rsidTr="00317B48">
        <w:trPr>
          <w:trHeight w:val="210"/>
        </w:trPr>
        <w:tc>
          <w:tcPr>
            <w:tcW w:w="2022" w:type="pct"/>
            <w:shd w:val="clear" w:color="auto" w:fill="auto"/>
            <w:noWrap/>
            <w:vAlign w:val="bottom"/>
            <w:hideMark/>
          </w:tcPr>
          <w:p w14:paraId="0E828E68" w14:textId="2AB7DC1D" w:rsidR="00456D9F" w:rsidRPr="00F52DE2" w:rsidRDefault="00456D9F" w:rsidP="00317B48">
            <w:pPr>
              <w:rPr>
                <w:iCs/>
                <w:sz w:val="20"/>
                <w:szCs w:val="20"/>
                <w:lang w:val="en-US"/>
              </w:rPr>
            </w:pPr>
            <w:r w:rsidRPr="00F52DE2">
              <w:rPr>
                <w:iCs/>
                <w:sz w:val="20"/>
                <w:szCs w:val="20"/>
                <w:lang w:val="en-US"/>
              </w:rPr>
              <w:t>Rehabilitation</w:t>
            </w:r>
            <w:r w:rsidR="00317B48">
              <w:rPr>
                <w:iCs/>
                <w:sz w:val="20"/>
                <w:szCs w:val="20"/>
                <w:lang w:val="en-US"/>
              </w:rPr>
              <w:t xml:space="preserve"> </w:t>
            </w:r>
            <w:r w:rsidRPr="00F52DE2">
              <w:rPr>
                <w:iCs/>
                <w:sz w:val="20"/>
                <w:szCs w:val="20"/>
                <w:lang w:val="en-US"/>
              </w:rPr>
              <w:t xml:space="preserve"> renovations and</w:t>
            </w:r>
            <w:r w:rsidR="002D39CB" w:rsidRPr="00F52DE2">
              <w:rPr>
                <w:iCs/>
                <w:sz w:val="20"/>
                <w:szCs w:val="20"/>
                <w:lang w:val="en-US"/>
              </w:rPr>
              <w:t xml:space="preserve"> </w:t>
            </w:r>
            <w:r w:rsidRPr="00F52DE2">
              <w:rPr>
                <w:iCs/>
                <w:sz w:val="20"/>
                <w:szCs w:val="20"/>
                <w:lang w:val="en-US"/>
              </w:rPr>
              <w:t>refurbishment</w:t>
            </w:r>
          </w:p>
        </w:tc>
        <w:tc>
          <w:tcPr>
            <w:tcW w:w="579" w:type="pct"/>
            <w:shd w:val="clear" w:color="auto" w:fill="auto"/>
            <w:noWrap/>
            <w:vAlign w:val="bottom"/>
            <w:hideMark/>
          </w:tcPr>
          <w:p w14:paraId="419DE45A" w14:textId="601D64BA" w:rsidR="00456D9F" w:rsidRPr="00F52DE2" w:rsidRDefault="00456D9F" w:rsidP="00317B48">
            <w:pPr>
              <w:jc w:val="right"/>
              <w:rPr>
                <w:sz w:val="20"/>
                <w:szCs w:val="20"/>
                <w:lang w:val="en-US"/>
              </w:rPr>
            </w:pPr>
            <w:r w:rsidRPr="00F52DE2">
              <w:rPr>
                <w:sz w:val="20"/>
                <w:szCs w:val="20"/>
                <w:lang w:val="en-US"/>
              </w:rPr>
              <w:t>1</w:t>
            </w:r>
            <w:r w:rsidR="00317B48">
              <w:rPr>
                <w:sz w:val="20"/>
                <w:szCs w:val="20"/>
                <w:lang w:val="en-US"/>
              </w:rPr>
              <w:t xml:space="preserve"> </w:t>
            </w:r>
            <w:r w:rsidRPr="00F52DE2">
              <w:rPr>
                <w:sz w:val="20"/>
                <w:szCs w:val="20"/>
                <w:lang w:val="en-US"/>
              </w:rPr>
              <w:t>519.6</w:t>
            </w:r>
          </w:p>
        </w:tc>
        <w:tc>
          <w:tcPr>
            <w:tcW w:w="709" w:type="pct"/>
            <w:shd w:val="clear" w:color="auto" w:fill="auto"/>
            <w:noWrap/>
            <w:vAlign w:val="bottom"/>
            <w:hideMark/>
          </w:tcPr>
          <w:p w14:paraId="614E2FDA" w14:textId="77777777" w:rsidR="00456D9F" w:rsidRPr="00F52DE2" w:rsidRDefault="00456D9F" w:rsidP="00317B48">
            <w:pPr>
              <w:jc w:val="right"/>
              <w:rPr>
                <w:sz w:val="20"/>
                <w:szCs w:val="20"/>
                <w:lang w:val="en-US"/>
              </w:rPr>
            </w:pPr>
            <w:r w:rsidRPr="00F52DE2">
              <w:rPr>
                <w:sz w:val="20"/>
                <w:szCs w:val="20"/>
                <w:lang w:val="en-US"/>
              </w:rPr>
              <w:t>737.2</w:t>
            </w:r>
          </w:p>
        </w:tc>
        <w:tc>
          <w:tcPr>
            <w:tcW w:w="737" w:type="pct"/>
            <w:shd w:val="clear" w:color="auto" w:fill="auto"/>
            <w:noWrap/>
            <w:vAlign w:val="bottom"/>
            <w:hideMark/>
          </w:tcPr>
          <w:p w14:paraId="0F8EB243" w14:textId="77777777" w:rsidR="00456D9F" w:rsidRPr="00F52DE2" w:rsidRDefault="00456D9F" w:rsidP="00317B48">
            <w:pPr>
              <w:jc w:val="right"/>
              <w:rPr>
                <w:sz w:val="20"/>
                <w:szCs w:val="20"/>
                <w:lang w:val="en-US"/>
              </w:rPr>
            </w:pPr>
            <w:r w:rsidRPr="00F52DE2">
              <w:rPr>
                <w:sz w:val="20"/>
                <w:szCs w:val="20"/>
                <w:lang w:val="en-US"/>
              </w:rPr>
              <w:t>864.2</w:t>
            </w:r>
          </w:p>
        </w:tc>
        <w:tc>
          <w:tcPr>
            <w:tcW w:w="953" w:type="pct"/>
            <w:shd w:val="clear" w:color="auto" w:fill="auto"/>
            <w:noWrap/>
            <w:vAlign w:val="bottom"/>
            <w:hideMark/>
          </w:tcPr>
          <w:p w14:paraId="705975AD" w14:textId="4F5E4C1A" w:rsidR="00456D9F" w:rsidRPr="00F52DE2" w:rsidRDefault="00456D9F" w:rsidP="00317B48">
            <w:pPr>
              <w:jc w:val="right"/>
              <w:rPr>
                <w:b/>
                <w:sz w:val="20"/>
                <w:szCs w:val="20"/>
                <w:lang w:val="en-US"/>
              </w:rPr>
            </w:pPr>
            <w:r w:rsidRPr="00F52DE2">
              <w:rPr>
                <w:b/>
                <w:sz w:val="20"/>
                <w:szCs w:val="20"/>
                <w:lang w:val="en-US"/>
              </w:rPr>
              <w:t>3</w:t>
            </w:r>
            <w:r w:rsidR="00317B48">
              <w:rPr>
                <w:b/>
                <w:sz w:val="20"/>
                <w:szCs w:val="20"/>
                <w:lang w:val="en-US"/>
              </w:rPr>
              <w:t xml:space="preserve"> </w:t>
            </w:r>
            <w:r w:rsidRPr="00F52DE2">
              <w:rPr>
                <w:b/>
                <w:sz w:val="20"/>
                <w:szCs w:val="20"/>
                <w:lang w:val="en-US"/>
              </w:rPr>
              <w:t>121.0</w:t>
            </w:r>
          </w:p>
        </w:tc>
      </w:tr>
      <w:tr w:rsidR="00317B48" w:rsidRPr="00F52DE2" w14:paraId="10896A4F" w14:textId="77777777" w:rsidTr="00317B48">
        <w:trPr>
          <w:trHeight w:val="210"/>
        </w:trPr>
        <w:tc>
          <w:tcPr>
            <w:tcW w:w="2022" w:type="pct"/>
            <w:shd w:val="clear" w:color="auto" w:fill="auto"/>
            <w:noWrap/>
            <w:vAlign w:val="bottom"/>
            <w:hideMark/>
          </w:tcPr>
          <w:p w14:paraId="487DE2D2" w14:textId="77777777" w:rsidR="00456D9F" w:rsidRPr="00F52DE2" w:rsidRDefault="00456D9F" w:rsidP="00F52DE2">
            <w:pPr>
              <w:jc w:val="left"/>
              <w:rPr>
                <w:iCs/>
                <w:sz w:val="20"/>
                <w:szCs w:val="20"/>
                <w:lang w:val="en-US"/>
              </w:rPr>
            </w:pPr>
            <w:r w:rsidRPr="00F52DE2">
              <w:rPr>
                <w:iCs/>
                <w:sz w:val="20"/>
                <w:szCs w:val="20"/>
                <w:lang w:val="en-US"/>
              </w:rPr>
              <w:t>Maintenance and repair</w:t>
            </w:r>
          </w:p>
        </w:tc>
        <w:tc>
          <w:tcPr>
            <w:tcW w:w="579" w:type="pct"/>
            <w:shd w:val="clear" w:color="auto" w:fill="auto"/>
            <w:noWrap/>
            <w:vAlign w:val="bottom"/>
            <w:hideMark/>
          </w:tcPr>
          <w:p w14:paraId="20736011" w14:textId="77777777" w:rsidR="00456D9F" w:rsidRPr="00F52DE2" w:rsidRDefault="00456D9F" w:rsidP="00317B48">
            <w:pPr>
              <w:jc w:val="right"/>
              <w:rPr>
                <w:sz w:val="20"/>
                <w:szCs w:val="20"/>
                <w:lang w:val="en-US"/>
              </w:rPr>
            </w:pPr>
            <w:r w:rsidRPr="00F52DE2">
              <w:rPr>
                <w:sz w:val="20"/>
                <w:szCs w:val="20"/>
                <w:lang w:val="en-US"/>
              </w:rPr>
              <w:t>672.8</w:t>
            </w:r>
          </w:p>
        </w:tc>
        <w:tc>
          <w:tcPr>
            <w:tcW w:w="709" w:type="pct"/>
            <w:shd w:val="clear" w:color="auto" w:fill="auto"/>
            <w:noWrap/>
            <w:vAlign w:val="bottom"/>
            <w:hideMark/>
          </w:tcPr>
          <w:p w14:paraId="0539347C" w14:textId="77777777" w:rsidR="00456D9F" w:rsidRPr="00F52DE2" w:rsidRDefault="00456D9F" w:rsidP="00317B48">
            <w:pPr>
              <w:jc w:val="right"/>
              <w:rPr>
                <w:sz w:val="20"/>
                <w:szCs w:val="20"/>
                <w:lang w:val="en-US"/>
              </w:rPr>
            </w:pPr>
            <w:r w:rsidRPr="00F52DE2">
              <w:rPr>
                <w:sz w:val="20"/>
                <w:szCs w:val="20"/>
                <w:lang w:val="en-US"/>
              </w:rPr>
              <w:t>624.0</w:t>
            </w:r>
          </w:p>
        </w:tc>
        <w:tc>
          <w:tcPr>
            <w:tcW w:w="737" w:type="pct"/>
            <w:shd w:val="clear" w:color="auto" w:fill="auto"/>
            <w:noWrap/>
            <w:vAlign w:val="bottom"/>
            <w:hideMark/>
          </w:tcPr>
          <w:p w14:paraId="7E9F3762" w14:textId="77777777" w:rsidR="00456D9F" w:rsidRPr="00F52DE2" w:rsidRDefault="00456D9F" w:rsidP="00317B48">
            <w:pPr>
              <w:jc w:val="right"/>
              <w:rPr>
                <w:sz w:val="20"/>
                <w:szCs w:val="20"/>
                <w:lang w:val="en-US"/>
              </w:rPr>
            </w:pPr>
            <w:r w:rsidRPr="00F52DE2">
              <w:rPr>
                <w:sz w:val="20"/>
                <w:szCs w:val="20"/>
                <w:lang w:val="en-US"/>
              </w:rPr>
              <w:t>269.9</w:t>
            </w:r>
          </w:p>
        </w:tc>
        <w:tc>
          <w:tcPr>
            <w:tcW w:w="953" w:type="pct"/>
            <w:shd w:val="clear" w:color="auto" w:fill="auto"/>
            <w:noWrap/>
            <w:vAlign w:val="bottom"/>
            <w:hideMark/>
          </w:tcPr>
          <w:p w14:paraId="3D1CAF9A" w14:textId="10EEC2B6" w:rsidR="00456D9F" w:rsidRPr="00F52DE2" w:rsidRDefault="00456D9F" w:rsidP="00317B48">
            <w:pPr>
              <w:jc w:val="right"/>
              <w:rPr>
                <w:b/>
                <w:sz w:val="20"/>
                <w:szCs w:val="20"/>
                <w:lang w:val="en-US"/>
              </w:rPr>
            </w:pPr>
            <w:r w:rsidRPr="00F52DE2">
              <w:rPr>
                <w:b/>
                <w:sz w:val="20"/>
                <w:szCs w:val="20"/>
                <w:lang w:val="en-US"/>
              </w:rPr>
              <w:t>1</w:t>
            </w:r>
            <w:r w:rsidR="00317B48">
              <w:rPr>
                <w:b/>
                <w:sz w:val="20"/>
                <w:szCs w:val="20"/>
                <w:lang w:val="en-US"/>
              </w:rPr>
              <w:t xml:space="preserve"> </w:t>
            </w:r>
            <w:r w:rsidRPr="00F52DE2">
              <w:rPr>
                <w:b/>
                <w:sz w:val="20"/>
                <w:szCs w:val="20"/>
                <w:lang w:val="en-US"/>
              </w:rPr>
              <w:t>566.7</w:t>
            </w:r>
          </w:p>
        </w:tc>
      </w:tr>
    </w:tbl>
    <w:p w14:paraId="02C0177E" w14:textId="14808DF2" w:rsidR="00456D9F" w:rsidRPr="009A7F2D" w:rsidRDefault="00456D9F" w:rsidP="00456D9F">
      <w:pPr>
        <w:keepNext/>
        <w:rPr>
          <w:rFonts w:ascii="Times" w:hAnsi="Times"/>
          <w:i/>
          <w:sz w:val="20"/>
          <w:szCs w:val="20"/>
        </w:rPr>
      </w:pPr>
      <w:r w:rsidRPr="009A7F2D">
        <w:rPr>
          <w:rFonts w:ascii="Times" w:hAnsi="Times"/>
          <w:i/>
          <w:sz w:val="20"/>
          <w:szCs w:val="20"/>
        </w:rPr>
        <w:t>Source</w:t>
      </w:r>
      <w:r>
        <w:rPr>
          <w:rFonts w:ascii="Times" w:hAnsi="Times"/>
          <w:i/>
          <w:sz w:val="20"/>
          <w:szCs w:val="20"/>
        </w:rPr>
        <w:t>:</w:t>
      </w:r>
      <w:r w:rsidRPr="009A7F2D">
        <w:rPr>
          <w:rFonts w:ascii="Times" w:hAnsi="Times"/>
          <w:i/>
          <w:sz w:val="20"/>
          <w:szCs w:val="20"/>
        </w:rPr>
        <w:t xml:space="preserve"> </w:t>
      </w:r>
      <w:r>
        <w:rPr>
          <w:rFonts w:ascii="Times" w:hAnsi="Times"/>
          <w:i/>
          <w:sz w:val="20"/>
          <w:szCs w:val="20"/>
        </w:rPr>
        <w:t xml:space="preserve">2020 </w:t>
      </w:r>
      <w:r w:rsidR="00317B48">
        <w:rPr>
          <w:rFonts w:ascii="Times" w:hAnsi="Times"/>
          <w:i/>
          <w:sz w:val="20"/>
          <w:szCs w:val="20"/>
        </w:rPr>
        <w:t>ENE</w:t>
      </w:r>
      <w:r w:rsidRPr="009A7F2D">
        <w:rPr>
          <w:rFonts w:ascii="Times" w:hAnsi="Times"/>
          <w:i/>
          <w:sz w:val="20"/>
          <w:szCs w:val="20"/>
        </w:rPr>
        <w:t xml:space="preserve">, </w:t>
      </w:r>
      <w:r w:rsidR="00317B48">
        <w:rPr>
          <w:rFonts w:ascii="Times" w:hAnsi="Times"/>
          <w:i/>
          <w:sz w:val="20"/>
          <w:szCs w:val="20"/>
        </w:rPr>
        <w:t xml:space="preserve">summary table </w:t>
      </w:r>
      <w:r>
        <w:rPr>
          <w:rFonts w:ascii="Times" w:hAnsi="Times"/>
          <w:i/>
          <w:sz w:val="20"/>
          <w:szCs w:val="20"/>
        </w:rPr>
        <w:t>7a and 7b.</w:t>
      </w:r>
    </w:p>
    <w:p w14:paraId="1E51F87E" w14:textId="77777777" w:rsidR="00B75110" w:rsidRPr="000D33E4" w:rsidRDefault="00B75110" w:rsidP="007B1E55">
      <w:pPr>
        <w:rPr>
          <w:rFonts w:ascii="Times" w:hAnsi="Times"/>
        </w:rPr>
      </w:pPr>
    </w:p>
    <w:p w14:paraId="49B6CAB3" w14:textId="1008D895" w:rsidR="00B75110" w:rsidRPr="000D33E4" w:rsidRDefault="00B75110" w:rsidP="00E827B9">
      <w:r w:rsidRPr="000D33E4">
        <w:t xml:space="preserve">As mentioned above, consideration could be given to reprioritising </w:t>
      </w:r>
      <w:r w:rsidR="006D3CBD">
        <w:t xml:space="preserve">different types </w:t>
      </w:r>
      <w:r w:rsidRPr="000D33E4">
        <w:t>of spending on existing infrastructure. Over the next three years, national departments plan to spend R17.2 billion on existing infrastructure projects (</w:t>
      </w:r>
      <w:r w:rsidR="0086277E" w:rsidRPr="0086277E">
        <w:rPr>
          <w:color w:val="000000" w:themeColor="text1"/>
        </w:rPr>
        <w:fldChar w:fldCharType="begin"/>
      </w:r>
      <w:r w:rsidR="0086277E" w:rsidRPr="0086277E">
        <w:rPr>
          <w:color w:val="000000" w:themeColor="text1"/>
        </w:rPr>
        <w:instrText xml:space="preserve"> REF _Ref41141340 \h </w:instrText>
      </w:r>
      <w:r w:rsidR="0086277E" w:rsidRPr="0086277E">
        <w:rPr>
          <w:color w:val="000000" w:themeColor="text1"/>
        </w:rPr>
      </w:r>
      <w:r w:rsidR="0086277E" w:rsidRPr="0086277E">
        <w:rPr>
          <w:color w:val="000000" w:themeColor="text1"/>
        </w:rPr>
        <w:fldChar w:fldCharType="separate"/>
      </w:r>
      <w:r w:rsidR="00127EB6" w:rsidRPr="001B0661">
        <w:rPr>
          <w:color w:val="004C45" w:themeColor="text2"/>
          <w:szCs w:val="24"/>
        </w:rPr>
        <w:t xml:space="preserve">Table </w:t>
      </w:r>
      <w:r w:rsidR="00127EB6">
        <w:rPr>
          <w:noProof/>
          <w:color w:val="004C45" w:themeColor="text2"/>
          <w:szCs w:val="24"/>
        </w:rPr>
        <w:t>19</w:t>
      </w:r>
      <w:r w:rsidR="0086277E" w:rsidRPr="0086277E">
        <w:rPr>
          <w:color w:val="000000" w:themeColor="text1"/>
        </w:rPr>
        <w:fldChar w:fldCharType="end"/>
      </w:r>
      <w:r w:rsidR="001D006A">
        <w:t>)</w:t>
      </w:r>
      <w:r w:rsidRPr="000D33E4">
        <w:t>. On the economic development cluster, for example, infrastructure spending on the South African National Roads Agency: Non</w:t>
      </w:r>
      <w:r w:rsidRPr="000D33E4">
        <w:rPr>
          <w:rFonts w:ascii="Cambria Math" w:hAnsi="Cambria Math" w:cs="Cambria Math"/>
        </w:rPr>
        <w:t>‐</w:t>
      </w:r>
      <w:r w:rsidR="006D3CBD">
        <w:t xml:space="preserve">toll network </w:t>
      </w:r>
      <w:r w:rsidRPr="000D33E4">
        <w:t xml:space="preserve">can be cut for reallocation. The South African National Roads Agency </w:t>
      </w:r>
      <w:r w:rsidR="003E7913">
        <w:t xml:space="preserve">(SANRAL) </w:t>
      </w:r>
      <w:r w:rsidRPr="000D33E4">
        <w:t>plays a crucial role in the upgrading, maintenance and strengthening</w:t>
      </w:r>
      <w:r w:rsidR="00627CF5" w:rsidRPr="000D33E4">
        <w:t xml:space="preserve"> of roads</w:t>
      </w:r>
      <w:r w:rsidRPr="000D33E4">
        <w:t xml:space="preserve">. The component of spending allocated to </w:t>
      </w:r>
      <w:r w:rsidR="003E7913">
        <w:t>SANRAL</w:t>
      </w:r>
      <w:r w:rsidRPr="000D33E4">
        <w:t xml:space="preserve"> for upgrading of road infrastructure can be delayed and allocated to Covid-19 interventions.</w:t>
      </w:r>
      <w:r w:rsidR="002D39CB">
        <w:t xml:space="preserve">    </w:t>
      </w:r>
    </w:p>
    <w:p w14:paraId="048B061B" w14:textId="77777777" w:rsidR="00B75110" w:rsidRPr="000D33E4" w:rsidRDefault="00B75110" w:rsidP="007B1E55">
      <w:pPr>
        <w:autoSpaceDE w:val="0"/>
        <w:autoSpaceDN w:val="0"/>
        <w:adjustRightInd w:val="0"/>
        <w:rPr>
          <w:rFonts w:ascii="Times" w:hAnsi="Times"/>
        </w:rPr>
      </w:pPr>
    </w:p>
    <w:p w14:paraId="6475DB73" w14:textId="6C5870DB" w:rsidR="00B75110" w:rsidRPr="000D33E4" w:rsidRDefault="00B75110" w:rsidP="009A7F2D">
      <w:r w:rsidRPr="000D33E4">
        <w:t>Whil</w:t>
      </w:r>
      <w:r w:rsidR="003E7913">
        <w:t>e</w:t>
      </w:r>
      <w:r w:rsidRPr="000D33E4">
        <w:t xml:space="preserve"> reprioritisation of spending on existing infrastructure projects may be an option, the Commission advises that caution be exercised with respect to possible reductions to funding for maintenance and rehabilitation of existing infrastructure as this could imply </w:t>
      </w:r>
      <w:r w:rsidR="003E7913">
        <w:t xml:space="preserve">its </w:t>
      </w:r>
      <w:r w:rsidRPr="000D33E4">
        <w:t>further deterioration</w:t>
      </w:r>
      <w:r w:rsidR="006D3CBD">
        <w:t>, and the costs could be increased substantially by the delay, depending on the type and urgency of maintenance and rehabilitation</w:t>
      </w:r>
      <w:r w:rsidR="006D3CBD" w:rsidRPr="000D33E4">
        <w:t>.</w:t>
      </w:r>
      <w:r w:rsidRPr="000D33E4">
        <w:t xml:space="preserve"> If government pursues this option</w:t>
      </w:r>
      <w:r w:rsidR="003E7913">
        <w:t>,</w:t>
      </w:r>
      <w:r w:rsidRPr="000D33E4">
        <w:t xml:space="preserve"> decisions </w:t>
      </w:r>
      <w:r w:rsidR="003E7913">
        <w:t xml:space="preserve">should </w:t>
      </w:r>
      <w:r w:rsidRPr="000D33E4">
        <w:t xml:space="preserve">be based on facility condition assessments or asset lifecycle data so as to determine whether maintenance can be </w:t>
      </w:r>
      <w:r w:rsidR="006D3CBD">
        <w:t xml:space="preserve">feasibly </w:t>
      </w:r>
      <w:r w:rsidRPr="000D33E4">
        <w:t xml:space="preserve">delayed or not. </w:t>
      </w:r>
    </w:p>
    <w:p w14:paraId="1870B9F9" w14:textId="77777777" w:rsidR="00B75110" w:rsidRPr="000D33E4" w:rsidRDefault="00B75110" w:rsidP="007B1E55">
      <w:pPr>
        <w:rPr>
          <w:rFonts w:ascii="Times" w:hAnsi="Times"/>
        </w:rPr>
      </w:pPr>
    </w:p>
    <w:p w14:paraId="379B4E37" w14:textId="59D519FF" w:rsidR="00B75110" w:rsidRDefault="00B75110" w:rsidP="009A7F2D">
      <w:r w:rsidRPr="000D33E4">
        <w:t xml:space="preserve">Consideration could also be given to options around reprioritising infrastructure funds within a sector. For example funds allocated for infrastructure </w:t>
      </w:r>
      <w:r w:rsidR="003E7913">
        <w:t xml:space="preserve">related to </w:t>
      </w:r>
      <w:r w:rsidR="0086277E">
        <w:t xml:space="preserve">the </w:t>
      </w:r>
      <w:r w:rsidR="003E7913">
        <w:t>Na</w:t>
      </w:r>
      <w:r w:rsidR="005F1355">
        <w:t>ti</w:t>
      </w:r>
      <w:r w:rsidR="003E7913">
        <w:t xml:space="preserve">onal Health Insurance (NHI) </w:t>
      </w:r>
      <w:r w:rsidRPr="000D33E4">
        <w:t>could be used</w:t>
      </w:r>
      <w:r w:rsidR="003E7913">
        <w:t xml:space="preserve"> </w:t>
      </w:r>
      <w:r w:rsidRPr="000D33E4">
        <w:t xml:space="preserve">in the health sector for </w:t>
      </w:r>
      <w:r w:rsidR="003E7913" w:rsidRPr="000D33E4">
        <w:t>personnel protection equipment</w:t>
      </w:r>
      <w:r w:rsidR="003E7913">
        <w:t xml:space="preserve"> (PPE)</w:t>
      </w:r>
      <w:r w:rsidRPr="000D33E4">
        <w:t xml:space="preserve">. However, it should be noted that shifting of funds </w:t>
      </w:r>
      <w:r w:rsidR="003E7913">
        <w:t>that</w:t>
      </w:r>
      <w:r w:rsidR="003E7913" w:rsidRPr="000D33E4">
        <w:t xml:space="preserve"> </w:t>
      </w:r>
      <w:r w:rsidRPr="000D33E4">
        <w:t>have been allocated for new infrastructure delivery to assist in government’s responses to Covid</w:t>
      </w:r>
      <w:r w:rsidR="003E7913">
        <w:t>-</w:t>
      </w:r>
      <w:r w:rsidRPr="000D33E4">
        <w:t xml:space="preserve">19 will have </w:t>
      </w:r>
      <w:r w:rsidR="006D3CBD">
        <w:t>their</w:t>
      </w:r>
      <w:r w:rsidRPr="000D33E4">
        <w:t xml:space="preserve"> own fiscal implications</w:t>
      </w:r>
      <w:r w:rsidR="003E7913">
        <w:t>,</w:t>
      </w:r>
      <w:r w:rsidRPr="000D33E4">
        <w:t xml:space="preserve"> </w:t>
      </w:r>
      <w:r w:rsidR="003E7913">
        <w:t>since</w:t>
      </w:r>
      <w:r w:rsidRPr="000D33E4">
        <w:t xml:space="preserve"> planned infrastructure delivery will have to be postponed for future years. This has implications on infrastructure backlogs, future costs of capital acquisition and long</w:t>
      </w:r>
      <w:r w:rsidR="003E7913">
        <w:t>-</w:t>
      </w:r>
      <w:r w:rsidRPr="000D33E4">
        <w:t>term economic recovery.</w:t>
      </w:r>
      <w:r w:rsidR="002D39CB">
        <w:t xml:space="preserve">    </w:t>
      </w:r>
    </w:p>
    <w:p w14:paraId="5C1455C4" w14:textId="77777777" w:rsidR="007807C0" w:rsidRPr="000D33E4" w:rsidRDefault="007807C0" w:rsidP="009A7F2D"/>
    <w:p w14:paraId="132B2C7A" w14:textId="3434B36E" w:rsidR="00B75110" w:rsidRPr="000D33E4" w:rsidRDefault="007807C0" w:rsidP="00FB6890">
      <w:pPr>
        <w:pStyle w:val="Heading2"/>
      </w:pPr>
      <w:bookmarkStart w:id="111" w:name="_Toc42211924"/>
      <w:r>
        <w:t xml:space="preserve">Reprioritisation from </w:t>
      </w:r>
      <w:r w:rsidR="0086277E">
        <w:t>c</w:t>
      </w:r>
      <w:r w:rsidR="00B75110" w:rsidRPr="000D33E4">
        <w:t xml:space="preserve">onditional </w:t>
      </w:r>
      <w:r w:rsidR="003E7913">
        <w:t>g</w:t>
      </w:r>
      <w:r w:rsidR="00B75110" w:rsidRPr="000D33E4">
        <w:t>rants</w:t>
      </w:r>
      <w:bookmarkEnd w:id="111"/>
    </w:p>
    <w:p w14:paraId="7A5609DA" w14:textId="77777777" w:rsidR="00574B46" w:rsidRPr="000D33E4" w:rsidRDefault="00574B46" w:rsidP="00A80B0A">
      <w:pPr>
        <w:keepNext/>
      </w:pPr>
    </w:p>
    <w:p w14:paraId="51C4DF9D" w14:textId="60EE1E68" w:rsidR="00B75110" w:rsidRPr="000D33E4" w:rsidRDefault="00B75110" w:rsidP="00A80B0A">
      <w:pPr>
        <w:keepNext/>
      </w:pPr>
      <w:r w:rsidRPr="000D33E4">
        <w:t>Conditional grants are critical intergovernmental transfers that provide necessary resources to sub</w:t>
      </w:r>
      <w:r w:rsidR="002C71C9">
        <w:t xml:space="preserve"> </w:t>
      </w:r>
      <w:r w:rsidRPr="000D33E4">
        <w:t xml:space="preserve">national governments to assist in rolling out national priorities. Conditional grants are generally infrastructure related but </w:t>
      </w:r>
      <w:r w:rsidR="002C71C9">
        <w:t xml:space="preserve">there are also </w:t>
      </w:r>
      <w:r w:rsidRPr="000D33E4">
        <w:t xml:space="preserve">capacity-related conditional grants. An assessment of conditional grants and conditionalities underpinning </w:t>
      </w:r>
      <w:r w:rsidR="00627CF5" w:rsidRPr="000D33E4">
        <w:t xml:space="preserve">grants </w:t>
      </w:r>
      <w:r w:rsidRPr="000D33E4">
        <w:t xml:space="preserve">could provide space for reprioritisation. Provincial and municipal conditional grants are administered by national departments and </w:t>
      </w:r>
      <w:r w:rsidR="002C71C9" w:rsidRPr="0086277E">
        <w:rPr>
          <w:color w:val="000000" w:themeColor="text1"/>
        </w:rPr>
        <w:fldChar w:fldCharType="begin"/>
      </w:r>
      <w:r w:rsidR="002C71C9" w:rsidRPr="0086277E">
        <w:rPr>
          <w:color w:val="000000" w:themeColor="text1"/>
        </w:rPr>
        <w:instrText xml:space="preserve"> REF _Ref40887438 \h </w:instrText>
      </w:r>
      <w:r w:rsidR="002C71C9" w:rsidRPr="0086277E">
        <w:rPr>
          <w:color w:val="000000" w:themeColor="text1"/>
        </w:rPr>
      </w:r>
      <w:r w:rsidR="002C71C9" w:rsidRPr="0086277E">
        <w:rPr>
          <w:color w:val="000000" w:themeColor="text1"/>
        </w:rPr>
        <w:fldChar w:fldCharType="separate"/>
      </w:r>
      <w:r w:rsidR="00127EB6" w:rsidRPr="009A7F2D">
        <w:rPr>
          <w:rFonts w:ascii="Times" w:hAnsi="Times"/>
          <w:color w:val="004C45" w:themeColor="text2"/>
          <w:szCs w:val="24"/>
        </w:rPr>
        <w:t xml:space="preserve">Table </w:t>
      </w:r>
      <w:r w:rsidR="00127EB6">
        <w:rPr>
          <w:rFonts w:ascii="Times" w:hAnsi="Times"/>
          <w:noProof/>
          <w:color w:val="004C45" w:themeColor="text2"/>
          <w:szCs w:val="24"/>
        </w:rPr>
        <w:t>20</w:t>
      </w:r>
      <w:r w:rsidR="002C71C9" w:rsidRPr="0086277E">
        <w:rPr>
          <w:color w:val="000000" w:themeColor="text1"/>
        </w:rPr>
        <w:fldChar w:fldCharType="end"/>
      </w:r>
      <w:r w:rsidR="002C71C9" w:rsidRPr="0086277E">
        <w:rPr>
          <w:color w:val="000000" w:themeColor="text1"/>
        </w:rPr>
        <w:t xml:space="preserve"> and </w:t>
      </w:r>
      <w:r w:rsidR="002C71C9" w:rsidRPr="0086277E">
        <w:rPr>
          <w:color w:val="000000" w:themeColor="text1"/>
        </w:rPr>
        <w:fldChar w:fldCharType="begin"/>
      </w:r>
      <w:r w:rsidR="002C71C9" w:rsidRPr="0086277E">
        <w:rPr>
          <w:color w:val="000000" w:themeColor="text1"/>
        </w:rPr>
        <w:instrText xml:space="preserve"> REF _Ref40887441 \h </w:instrText>
      </w:r>
      <w:r w:rsidR="002C71C9" w:rsidRPr="0086277E">
        <w:rPr>
          <w:color w:val="000000" w:themeColor="text1"/>
        </w:rPr>
      </w:r>
      <w:r w:rsidR="002C71C9" w:rsidRPr="0086277E">
        <w:rPr>
          <w:color w:val="000000" w:themeColor="text1"/>
        </w:rPr>
        <w:fldChar w:fldCharType="separate"/>
      </w:r>
      <w:r w:rsidR="00127EB6" w:rsidRPr="009A7F2D">
        <w:rPr>
          <w:rFonts w:ascii="Times" w:hAnsi="Times"/>
          <w:color w:val="004C45" w:themeColor="text2"/>
          <w:szCs w:val="24"/>
        </w:rPr>
        <w:t xml:space="preserve">Table </w:t>
      </w:r>
      <w:r w:rsidR="00127EB6">
        <w:rPr>
          <w:rFonts w:ascii="Times" w:hAnsi="Times"/>
          <w:noProof/>
          <w:color w:val="004C45" w:themeColor="text2"/>
          <w:szCs w:val="24"/>
        </w:rPr>
        <w:t>21</w:t>
      </w:r>
      <w:r w:rsidR="002C71C9" w:rsidRPr="0086277E">
        <w:rPr>
          <w:color w:val="000000" w:themeColor="text1"/>
        </w:rPr>
        <w:fldChar w:fldCharType="end"/>
      </w:r>
      <w:r w:rsidR="002C71C9" w:rsidRPr="0086277E">
        <w:rPr>
          <w:color w:val="000000" w:themeColor="text1"/>
        </w:rPr>
        <w:t xml:space="preserve"> </w:t>
      </w:r>
      <w:r w:rsidR="002C71C9">
        <w:t>list</w:t>
      </w:r>
      <w:r w:rsidRPr="000D33E4">
        <w:t xml:space="preserve"> </w:t>
      </w:r>
      <w:r w:rsidR="002C71C9">
        <w:t>the</w:t>
      </w:r>
      <w:r w:rsidRPr="000D33E4">
        <w:t xml:space="preserve"> national departments involved</w:t>
      </w:r>
      <w:r w:rsidR="002C71C9">
        <w:t xml:space="preserve"> in such grants</w:t>
      </w:r>
      <w:r w:rsidR="00127EB6">
        <w:t xml:space="preserve"> respectively</w:t>
      </w:r>
      <w:r w:rsidRPr="000D33E4">
        <w:t xml:space="preserve">. Over the next </w:t>
      </w:r>
      <w:r w:rsidR="002C71C9">
        <w:t>three</w:t>
      </w:r>
      <w:r w:rsidRPr="000D33E4">
        <w:t xml:space="preserve"> years</w:t>
      </w:r>
      <w:r w:rsidR="002C71C9">
        <w:t>,</w:t>
      </w:r>
      <w:r w:rsidRPr="000D33E4">
        <w:t xml:space="preserve"> R490 billion in conditional grants will be </w:t>
      </w:r>
      <w:r w:rsidR="004948B2" w:rsidRPr="000D33E4">
        <w:t>channelled</w:t>
      </w:r>
      <w:r w:rsidRPr="000D33E4">
        <w:t xml:space="preserve"> to provinces and municipalities. </w:t>
      </w:r>
    </w:p>
    <w:p w14:paraId="08C367C6" w14:textId="77777777" w:rsidR="00B75110" w:rsidRPr="000D33E4" w:rsidRDefault="00B75110" w:rsidP="007B1E55">
      <w:pPr>
        <w:rPr>
          <w:rFonts w:ascii="Times" w:hAnsi="Times"/>
          <w:b/>
        </w:rPr>
      </w:pPr>
    </w:p>
    <w:p w14:paraId="4B70D352" w14:textId="2EEED7C0" w:rsidR="00B826E6" w:rsidRPr="009A7F2D" w:rsidRDefault="00B826E6" w:rsidP="009A7F2D">
      <w:pPr>
        <w:pStyle w:val="Caption"/>
        <w:keepNext/>
        <w:spacing w:after="60" w:line="240" w:lineRule="auto"/>
        <w:rPr>
          <w:rFonts w:ascii="Times" w:hAnsi="Times"/>
          <w:color w:val="004C45" w:themeColor="text2"/>
          <w:sz w:val="24"/>
          <w:szCs w:val="24"/>
        </w:rPr>
      </w:pPr>
      <w:bookmarkStart w:id="112" w:name="_Ref40887438"/>
      <w:bookmarkStart w:id="113" w:name="_Toc42212149"/>
      <w:r w:rsidRPr="009A7F2D">
        <w:rPr>
          <w:rFonts w:ascii="Times" w:hAnsi="Times"/>
          <w:color w:val="004C45" w:themeColor="text2"/>
          <w:sz w:val="24"/>
          <w:szCs w:val="24"/>
        </w:rPr>
        <w:t xml:space="preserve">Table </w:t>
      </w:r>
      <w:r w:rsidRPr="009A7F2D">
        <w:rPr>
          <w:rFonts w:ascii="Times" w:hAnsi="Times"/>
          <w:color w:val="004C45" w:themeColor="text2"/>
          <w:sz w:val="24"/>
          <w:szCs w:val="24"/>
        </w:rPr>
        <w:fldChar w:fldCharType="begin"/>
      </w:r>
      <w:r w:rsidRPr="009A7F2D">
        <w:rPr>
          <w:rFonts w:ascii="Times" w:hAnsi="Times"/>
          <w:color w:val="004C45" w:themeColor="text2"/>
          <w:sz w:val="24"/>
          <w:szCs w:val="24"/>
        </w:rPr>
        <w:instrText xml:space="preserve"> SEQ Table \* ARABIC </w:instrText>
      </w:r>
      <w:r w:rsidRPr="009A7F2D">
        <w:rPr>
          <w:rFonts w:ascii="Times" w:hAnsi="Times"/>
          <w:color w:val="004C45" w:themeColor="text2"/>
          <w:sz w:val="24"/>
          <w:szCs w:val="24"/>
        </w:rPr>
        <w:fldChar w:fldCharType="separate"/>
      </w:r>
      <w:r w:rsidR="00492893">
        <w:rPr>
          <w:rFonts w:ascii="Times" w:hAnsi="Times"/>
          <w:noProof/>
          <w:color w:val="004C45" w:themeColor="text2"/>
          <w:sz w:val="24"/>
          <w:szCs w:val="24"/>
        </w:rPr>
        <w:t>20</w:t>
      </w:r>
      <w:r w:rsidRPr="009A7F2D">
        <w:rPr>
          <w:rFonts w:ascii="Times" w:hAnsi="Times"/>
          <w:color w:val="004C45" w:themeColor="text2"/>
          <w:sz w:val="24"/>
          <w:szCs w:val="24"/>
        </w:rPr>
        <w:fldChar w:fldCharType="end"/>
      </w:r>
      <w:bookmarkEnd w:id="112"/>
      <w:r w:rsidR="002C71C9" w:rsidRPr="009A7F2D">
        <w:rPr>
          <w:rFonts w:ascii="Times" w:hAnsi="Times"/>
          <w:color w:val="004C45" w:themeColor="text2"/>
          <w:sz w:val="24"/>
          <w:szCs w:val="24"/>
        </w:rPr>
        <w:t>:</w:t>
      </w:r>
      <w:r w:rsidRPr="009A7F2D">
        <w:rPr>
          <w:rFonts w:ascii="Times" w:hAnsi="Times"/>
          <w:color w:val="004C45" w:themeColor="text2"/>
          <w:sz w:val="24"/>
          <w:szCs w:val="24"/>
        </w:rPr>
        <w:t xml:space="preserve"> Total </w:t>
      </w:r>
      <w:r w:rsidR="002C71C9" w:rsidRPr="009A7F2D">
        <w:rPr>
          <w:rFonts w:ascii="Times" w:hAnsi="Times"/>
          <w:color w:val="004C45" w:themeColor="text2"/>
          <w:sz w:val="24"/>
          <w:szCs w:val="24"/>
        </w:rPr>
        <w:t>p</w:t>
      </w:r>
      <w:r w:rsidRPr="009A7F2D">
        <w:rPr>
          <w:rFonts w:ascii="Times" w:hAnsi="Times"/>
          <w:color w:val="004C45" w:themeColor="text2"/>
          <w:sz w:val="24"/>
          <w:szCs w:val="24"/>
        </w:rPr>
        <w:t xml:space="preserve">rovincial </w:t>
      </w:r>
      <w:r w:rsidR="002C71C9" w:rsidRPr="009A7F2D">
        <w:rPr>
          <w:rFonts w:ascii="Times" w:hAnsi="Times"/>
          <w:color w:val="004C45" w:themeColor="text2"/>
          <w:sz w:val="24"/>
          <w:szCs w:val="24"/>
        </w:rPr>
        <w:t>c</w:t>
      </w:r>
      <w:r w:rsidRPr="009A7F2D">
        <w:rPr>
          <w:rFonts w:ascii="Times" w:hAnsi="Times"/>
          <w:color w:val="004C45" w:themeColor="text2"/>
          <w:sz w:val="24"/>
          <w:szCs w:val="24"/>
        </w:rPr>
        <w:t xml:space="preserve">onditional </w:t>
      </w:r>
      <w:r w:rsidR="002C71C9" w:rsidRPr="009A7F2D">
        <w:rPr>
          <w:rFonts w:ascii="Times" w:hAnsi="Times"/>
          <w:color w:val="004C45" w:themeColor="text2"/>
          <w:sz w:val="24"/>
          <w:szCs w:val="24"/>
        </w:rPr>
        <w:t>g</w:t>
      </w:r>
      <w:r w:rsidRPr="009A7F2D">
        <w:rPr>
          <w:rFonts w:ascii="Times" w:hAnsi="Times"/>
          <w:color w:val="004C45" w:themeColor="text2"/>
          <w:sz w:val="24"/>
          <w:szCs w:val="24"/>
        </w:rPr>
        <w:t xml:space="preserve">rants </w:t>
      </w:r>
      <w:r w:rsidR="002C71C9" w:rsidRPr="009A7F2D">
        <w:rPr>
          <w:rFonts w:ascii="Times" w:hAnsi="Times"/>
          <w:color w:val="004C45" w:themeColor="text2"/>
          <w:sz w:val="24"/>
          <w:szCs w:val="24"/>
        </w:rPr>
        <w:t>f</w:t>
      </w:r>
      <w:r w:rsidRPr="009A7F2D">
        <w:rPr>
          <w:rFonts w:ascii="Times" w:hAnsi="Times"/>
          <w:color w:val="004C45" w:themeColor="text2"/>
          <w:sz w:val="24"/>
          <w:szCs w:val="24"/>
        </w:rPr>
        <w:t xml:space="preserve">unding by </w:t>
      </w:r>
      <w:r w:rsidR="002C71C9" w:rsidRPr="009A7F2D">
        <w:rPr>
          <w:rFonts w:ascii="Times" w:hAnsi="Times"/>
          <w:color w:val="004C45" w:themeColor="text2"/>
          <w:sz w:val="24"/>
          <w:szCs w:val="24"/>
        </w:rPr>
        <w:t>n</w:t>
      </w:r>
      <w:r w:rsidRPr="009A7F2D">
        <w:rPr>
          <w:rFonts w:ascii="Times" w:hAnsi="Times"/>
          <w:color w:val="004C45" w:themeColor="text2"/>
          <w:sz w:val="24"/>
          <w:szCs w:val="24"/>
        </w:rPr>
        <w:t xml:space="preserve">ational </w:t>
      </w:r>
      <w:r w:rsidR="002C71C9" w:rsidRPr="009A7F2D">
        <w:rPr>
          <w:rFonts w:ascii="Times" w:hAnsi="Times"/>
          <w:color w:val="004C45" w:themeColor="text2"/>
          <w:sz w:val="24"/>
          <w:szCs w:val="24"/>
        </w:rPr>
        <w:t>d</w:t>
      </w:r>
      <w:r w:rsidRPr="009A7F2D">
        <w:rPr>
          <w:rFonts w:ascii="Times" w:hAnsi="Times"/>
          <w:color w:val="004C45" w:themeColor="text2"/>
          <w:sz w:val="24"/>
          <w:szCs w:val="24"/>
        </w:rPr>
        <w:t>epartment</w:t>
      </w:r>
      <w:r w:rsidR="002C71C9" w:rsidRPr="009A7F2D">
        <w:rPr>
          <w:rFonts w:ascii="Times" w:hAnsi="Times"/>
          <w:color w:val="004C45" w:themeColor="text2"/>
          <w:sz w:val="24"/>
          <w:szCs w:val="24"/>
        </w:rPr>
        <w:t>s</w:t>
      </w:r>
      <w:bookmarkEnd w:id="113"/>
    </w:p>
    <w:tbl>
      <w:tblPr>
        <w:tblStyle w:val="GridTable1Light-Accent6"/>
        <w:tblW w:w="9634" w:type="dxa"/>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Layout w:type="fixed"/>
        <w:tblLook w:val="04A0" w:firstRow="1" w:lastRow="0" w:firstColumn="1" w:lastColumn="0" w:noHBand="0" w:noVBand="1"/>
      </w:tblPr>
      <w:tblGrid>
        <w:gridCol w:w="3681"/>
        <w:gridCol w:w="1417"/>
        <w:gridCol w:w="1418"/>
        <w:gridCol w:w="1417"/>
        <w:gridCol w:w="1701"/>
      </w:tblGrid>
      <w:tr w:rsidR="00B75110" w:rsidRPr="000D33E4" w14:paraId="6E9D8283" w14:textId="77777777" w:rsidTr="00D553A1">
        <w:trPr>
          <w:cnfStyle w:val="100000000000" w:firstRow="1" w:lastRow="0" w:firstColumn="0" w:lastColumn="0" w:oddVBand="0" w:evenVBand="0" w:oddHBand="0" w:evenHBand="0" w:firstRowFirstColumn="0" w:firstRowLastColumn="0" w:lastRowFirstColumn="0" w:lastRowLastColumn="0"/>
          <w:trHeight w:val="496"/>
        </w:trPr>
        <w:tc>
          <w:tcPr>
            <w:cnfStyle w:val="001000000000" w:firstRow="0" w:lastRow="0" w:firstColumn="1" w:lastColumn="0" w:oddVBand="0" w:evenVBand="0" w:oddHBand="0" w:evenHBand="0" w:firstRowFirstColumn="0" w:firstRowLastColumn="0" w:lastRowFirstColumn="0" w:lastRowLastColumn="0"/>
            <w:tcW w:w="3681" w:type="dxa"/>
            <w:tcBorders>
              <w:bottom w:val="none" w:sz="0" w:space="0" w:color="auto"/>
            </w:tcBorders>
            <w:noWrap/>
            <w:hideMark/>
          </w:tcPr>
          <w:p w14:paraId="4267DA10" w14:textId="77777777" w:rsidR="00B75110" w:rsidRPr="0086277E" w:rsidRDefault="00B75110" w:rsidP="001D006A">
            <w:pPr>
              <w:keepNext/>
              <w:jc w:val="left"/>
              <w:rPr>
                <w:rFonts w:ascii="Times" w:eastAsia="Times New Roman" w:hAnsi="Times" w:cs="Times New Roman"/>
                <w:sz w:val="20"/>
                <w:szCs w:val="20"/>
              </w:rPr>
            </w:pPr>
            <w:r w:rsidRPr="0086277E">
              <w:rPr>
                <w:rFonts w:ascii="Times" w:hAnsi="Times"/>
                <w:sz w:val="20"/>
                <w:szCs w:val="20"/>
              </w:rPr>
              <w:t>R</w:t>
            </w:r>
            <w:r w:rsidR="002C71C9" w:rsidRPr="0086277E">
              <w:rPr>
                <w:rFonts w:ascii="Times" w:hAnsi="Times"/>
                <w:sz w:val="20"/>
                <w:szCs w:val="20"/>
              </w:rPr>
              <w:t xml:space="preserve"> </w:t>
            </w:r>
            <w:r w:rsidRPr="0086277E">
              <w:rPr>
                <w:rFonts w:ascii="Times" w:hAnsi="Times"/>
                <w:sz w:val="20"/>
                <w:szCs w:val="20"/>
              </w:rPr>
              <w:t>million</w:t>
            </w:r>
          </w:p>
        </w:tc>
        <w:tc>
          <w:tcPr>
            <w:tcW w:w="4252" w:type="dxa"/>
            <w:gridSpan w:val="3"/>
            <w:tcBorders>
              <w:bottom w:val="none" w:sz="0" w:space="0" w:color="auto"/>
            </w:tcBorders>
            <w:shd w:val="clear" w:color="auto" w:fill="auto"/>
            <w:hideMark/>
          </w:tcPr>
          <w:p w14:paraId="25257985" w14:textId="77777777" w:rsidR="00B75110" w:rsidRPr="0086277E" w:rsidRDefault="00B75110" w:rsidP="001D006A">
            <w:pPr>
              <w:keepNext/>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New Roman"/>
                <w:sz w:val="20"/>
                <w:szCs w:val="20"/>
              </w:rPr>
            </w:pPr>
            <w:r w:rsidRPr="0086277E">
              <w:rPr>
                <w:rFonts w:ascii="Times" w:hAnsi="Times"/>
                <w:sz w:val="20"/>
                <w:szCs w:val="20"/>
              </w:rPr>
              <w:t>Medium-term expenditure estimates</w:t>
            </w:r>
          </w:p>
        </w:tc>
        <w:tc>
          <w:tcPr>
            <w:tcW w:w="1701" w:type="dxa"/>
            <w:vMerge w:val="restart"/>
            <w:tcBorders>
              <w:bottom w:val="none" w:sz="0" w:space="0" w:color="auto"/>
            </w:tcBorders>
            <w:shd w:val="clear" w:color="auto" w:fill="auto"/>
            <w:hideMark/>
          </w:tcPr>
          <w:p w14:paraId="29B3B7C3" w14:textId="77777777" w:rsidR="00B75110" w:rsidRPr="0086277E" w:rsidRDefault="00B75110" w:rsidP="001D006A">
            <w:pPr>
              <w:keepNext/>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New Roman"/>
                <w:sz w:val="20"/>
                <w:szCs w:val="20"/>
              </w:rPr>
            </w:pPr>
            <w:r w:rsidRPr="0086277E">
              <w:rPr>
                <w:rFonts w:ascii="Times" w:hAnsi="Times"/>
                <w:sz w:val="20"/>
                <w:szCs w:val="20"/>
              </w:rPr>
              <w:t>Total over MTEF 2020/21-2022/23</w:t>
            </w:r>
          </w:p>
        </w:tc>
      </w:tr>
      <w:tr w:rsidR="00B75110" w:rsidRPr="000D33E4" w14:paraId="23463E98" w14:textId="77777777" w:rsidTr="00D553A1">
        <w:trPr>
          <w:trHeight w:val="210"/>
        </w:trPr>
        <w:tc>
          <w:tcPr>
            <w:cnfStyle w:val="001000000000" w:firstRow="0" w:lastRow="0" w:firstColumn="1" w:lastColumn="0" w:oddVBand="0" w:evenVBand="0" w:oddHBand="0" w:evenHBand="0" w:firstRowFirstColumn="0" w:firstRowLastColumn="0" w:lastRowFirstColumn="0" w:lastRowLastColumn="0"/>
            <w:tcW w:w="3681" w:type="dxa"/>
            <w:noWrap/>
            <w:hideMark/>
          </w:tcPr>
          <w:p w14:paraId="2BA4D127" w14:textId="77777777" w:rsidR="00B75110" w:rsidRPr="0086277E" w:rsidRDefault="00B75110" w:rsidP="001D006A">
            <w:pPr>
              <w:keepNext/>
              <w:jc w:val="left"/>
              <w:rPr>
                <w:rFonts w:ascii="Times" w:eastAsia="Times New Roman" w:hAnsi="Times" w:cs="Times New Roman"/>
                <w:sz w:val="20"/>
                <w:szCs w:val="20"/>
              </w:rPr>
            </w:pPr>
            <w:r w:rsidRPr="0086277E">
              <w:rPr>
                <w:rFonts w:ascii="Times" w:hAnsi="Times" w:cs="Times New Roman"/>
                <w:sz w:val="20"/>
                <w:szCs w:val="20"/>
              </w:rPr>
              <w:t>Department</w:t>
            </w:r>
          </w:p>
        </w:tc>
        <w:tc>
          <w:tcPr>
            <w:tcW w:w="1417" w:type="dxa"/>
            <w:noWrap/>
            <w:hideMark/>
          </w:tcPr>
          <w:p w14:paraId="6CF89EDB" w14:textId="77777777" w:rsidR="00B75110" w:rsidRPr="0086277E" w:rsidRDefault="00B75110" w:rsidP="001D006A">
            <w:pPr>
              <w:keepNext/>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b/>
                <w:bCs/>
                <w:sz w:val="20"/>
                <w:szCs w:val="20"/>
              </w:rPr>
            </w:pPr>
            <w:r w:rsidRPr="0086277E">
              <w:rPr>
                <w:rFonts w:ascii="Times" w:hAnsi="Times" w:cs="Times New Roman"/>
                <w:b/>
                <w:bCs/>
                <w:sz w:val="20"/>
                <w:szCs w:val="20"/>
              </w:rPr>
              <w:t>2020/21</w:t>
            </w:r>
          </w:p>
        </w:tc>
        <w:tc>
          <w:tcPr>
            <w:tcW w:w="1418" w:type="dxa"/>
            <w:shd w:val="clear" w:color="auto" w:fill="auto"/>
            <w:noWrap/>
            <w:hideMark/>
          </w:tcPr>
          <w:p w14:paraId="18F321A9" w14:textId="77777777" w:rsidR="00B75110" w:rsidRPr="0086277E" w:rsidRDefault="00B75110" w:rsidP="001D006A">
            <w:pPr>
              <w:keepNext/>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b/>
                <w:bCs/>
                <w:sz w:val="20"/>
                <w:szCs w:val="20"/>
              </w:rPr>
            </w:pPr>
            <w:r w:rsidRPr="0086277E">
              <w:rPr>
                <w:rFonts w:ascii="Times" w:hAnsi="Times" w:cs="Times New Roman"/>
                <w:b/>
                <w:bCs/>
                <w:sz w:val="20"/>
                <w:szCs w:val="20"/>
              </w:rPr>
              <w:t>2021/22</w:t>
            </w:r>
          </w:p>
        </w:tc>
        <w:tc>
          <w:tcPr>
            <w:tcW w:w="1417" w:type="dxa"/>
            <w:shd w:val="clear" w:color="auto" w:fill="auto"/>
            <w:noWrap/>
            <w:hideMark/>
          </w:tcPr>
          <w:p w14:paraId="425F0BAA" w14:textId="77777777" w:rsidR="00B75110" w:rsidRPr="0086277E" w:rsidRDefault="00B75110" w:rsidP="001D006A">
            <w:pPr>
              <w:keepNext/>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b/>
                <w:bCs/>
                <w:sz w:val="20"/>
                <w:szCs w:val="20"/>
              </w:rPr>
            </w:pPr>
            <w:r w:rsidRPr="0086277E">
              <w:rPr>
                <w:rFonts w:ascii="Times" w:hAnsi="Times" w:cs="Times New Roman"/>
                <w:b/>
                <w:bCs/>
                <w:sz w:val="20"/>
                <w:szCs w:val="20"/>
              </w:rPr>
              <w:t>2022/23</w:t>
            </w:r>
          </w:p>
        </w:tc>
        <w:tc>
          <w:tcPr>
            <w:tcW w:w="1701" w:type="dxa"/>
            <w:vMerge/>
            <w:shd w:val="clear" w:color="auto" w:fill="auto"/>
            <w:hideMark/>
          </w:tcPr>
          <w:p w14:paraId="534F463C" w14:textId="77777777" w:rsidR="00B75110" w:rsidRPr="0086277E" w:rsidRDefault="00B75110" w:rsidP="001D006A">
            <w:pPr>
              <w:keepNext/>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sz w:val="20"/>
                <w:szCs w:val="20"/>
              </w:rPr>
            </w:pPr>
          </w:p>
        </w:tc>
      </w:tr>
      <w:tr w:rsidR="00B75110" w:rsidRPr="000D33E4" w14:paraId="1654B6A6" w14:textId="77777777" w:rsidTr="00D553A1">
        <w:trPr>
          <w:trHeight w:val="210"/>
        </w:trPr>
        <w:tc>
          <w:tcPr>
            <w:cnfStyle w:val="001000000000" w:firstRow="0" w:lastRow="0" w:firstColumn="1" w:lastColumn="0" w:oddVBand="0" w:evenVBand="0" w:oddHBand="0" w:evenHBand="0" w:firstRowFirstColumn="0" w:firstRowLastColumn="0" w:lastRowFirstColumn="0" w:lastRowLastColumn="0"/>
            <w:tcW w:w="3681" w:type="dxa"/>
            <w:noWrap/>
            <w:hideMark/>
          </w:tcPr>
          <w:p w14:paraId="58DC1C0B" w14:textId="77777777" w:rsidR="00B75110" w:rsidRPr="0086277E" w:rsidRDefault="00B75110" w:rsidP="001D006A">
            <w:pPr>
              <w:keepNext/>
              <w:jc w:val="left"/>
              <w:rPr>
                <w:rFonts w:ascii="Times" w:eastAsia="Times New Roman" w:hAnsi="Times" w:cs="Times New Roman"/>
                <w:b w:val="0"/>
                <w:sz w:val="20"/>
                <w:szCs w:val="20"/>
              </w:rPr>
            </w:pPr>
            <w:r w:rsidRPr="0086277E">
              <w:rPr>
                <w:rFonts w:ascii="Times" w:hAnsi="Times" w:cs="Times New Roman"/>
                <w:b w:val="0"/>
                <w:sz w:val="20"/>
                <w:szCs w:val="20"/>
              </w:rPr>
              <w:t>Cooperative Governance</w:t>
            </w:r>
          </w:p>
        </w:tc>
        <w:tc>
          <w:tcPr>
            <w:tcW w:w="1417" w:type="dxa"/>
            <w:noWrap/>
            <w:hideMark/>
          </w:tcPr>
          <w:p w14:paraId="0F2CAF23" w14:textId="77777777" w:rsidR="00B75110" w:rsidRPr="0086277E" w:rsidRDefault="00B75110" w:rsidP="0086277E">
            <w:pPr>
              <w:keepNext/>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sz w:val="20"/>
                <w:szCs w:val="20"/>
              </w:rPr>
            </w:pPr>
            <w:r w:rsidRPr="0086277E">
              <w:rPr>
                <w:rFonts w:ascii="Times" w:hAnsi="Times" w:cs="Times New Roman"/>
                <w:sz w:val="20"/>
                <w:szCs w:val="20"/>
              </w:rPr>
              <w:t>138.5</w:t>
            </w:r>
          </w:p>
        </w:tc>
        <w:tc>
          <w:tcPr>
            <w:tcW w:w="1418" w:type="dxa"/>
            <w:shd w:val="clear" w:color="auto" w:fill="auto"/>
            <w:noWrap/>
            <w:hideMark/>
          </w:tcPr>
          <w:p w14:paraId="40477CB9" w14:textId="77777777" w:rsidR="00B75110" w:rsidRPr="0086277E" w:rsidRDefault="00B75110" w:rsidP="0086277E">
            <w:pPr>
              <w:keepNext/>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sz w:val="20"/>
                <w:szCs w:val="20"/>
              </w:rPr>
            </w:pPr>
            <w:r w:rsidRPr="0086277E">
              <w:rPr>
                <w:rFonts w:ascii="Times" w:hAnsi="Times" w:cs="Times New Roman"/>
                <w:sz w:val="20"/>
                <w:szCs w:val="20"/>
              </w:rPr>
              <w:t>146.1</w:t>
            </w:r>
          </w:p>
        </w:tc>
        <w:tc>
          <w:tcPr>
            <w:tcW w:w="1417" w:type="dxa"/>
            <w:shd w:val="clear" w:color="auto" w:fill="auto"/>
            <w:noWrap/>
            <w:hideMark/>
          </w:tcPr>
          <w:p w14:paraId="1188A917" w14:textId="77777777" w:rsidR="00B75110" w:rsidRPr="0086277E" w:rsidRDefault="00B75110" w:rsidP="0086277E">
            <w:pPr>
              <w:keepNext/>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sz w:val="20"/>
                <w:szCs w:val="20"/>
              </w:rPr>
            </w:pPr>
            <w:r w:rsidRPr="0086277E">
              <w:rPr>
                <w:rFonts w:ascii="Times" w:hAnsi="Times" w:cs="Times New Roman"/>
                <w:sz w:val="20"/>
                <w:szCs w:val="20"/>
              </w:rPr>
              <w:t>153.0</w:t>
            </w:r>
          </w:p>
        </w:tc>
        <w:tc>
          <w:tcPr>
            <w:tcW w:w="1701" w:type="dxa"/>
            <w:shd w:val="clear" w:color="auto" w:fill="auto"/>
            <w:noWrap/>
            <w:hideMark/>
          </w:tcPr>
          <w:p w14:paraId="42CB8FB4" w14:textId="77777777" w:rsidR="00B75110" w:rsidRPr="0086277E" w:rsidRDefault="00B75110" w:rsidP="0086277E">
            <w:pPr>
              <w:keepNext/>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sz w:val="20"/>
                <w:szCs w:val="20"/>
              </w:rPr>
            </w:pPr>
            <w:r w:rsidRPr="0086277E">
              <w:rPr>
                <w:rFonts w:ascii="Times" w:hAnsi="Times" w:cs="Times New Roman"/>
                <w:sz w:val="20"/>
                <w:szCs w:val="20"/>
              </w:rPr>
              <w:t>437.6</w:t>
            </w:r>
          </w:p>
        </w:tc>
      </w:tr>
      <w:tr w:rsidR="00B75110" w:rsidRPr="000D33E4" w14:paraId="3AF813C1" w14:textId="77777777" w:rsidTr="00D553A1">
        <w:trPr>
          <w:trHeight w:val="210"/>
        </w:trPr>
        <w:tc>
          <w:tcPr>
            <w:cnfStyle w:val="001000000000" w:firstRow="0" w:lastRow="0" w:firstColumn="1" w:lastColumn="0" w:oddVBand="0" w:evenVBand="0" w:oddHBand="0" w:evenHBand="0" w:firstRowFirstColumn="0" w:firstRowLastColumn="0" w:lastRowFirstColumn="0" w:lastRowLastColumn="0"/>
            <w:tcW w:w="3681" w:type="dxa"/>
            <w:noWrap/>
            <w:hideMark/>
          </w:tcPr>
          <w:p w14:paraId="4AEFB201" w14:textId="77777777" w:rsidR="00B75110" w:rsidRPr="0086277E" w:rsidRDefault="00B75110" w:rsidP="001D006A">
            <w:pPr>
              <w:keepNext/>
              <w:jc w:val="left"/>
              <w:rPr>
                <w:rFonts w:ascii="Times" w:eastAsia="Times New Roman" w:hAnsi="Times" w:cs="Times New Roman"/>
                <w:b w:val="0"/>
                <w:sz w:val="20"/>
                <w:szCs w:val="20"/>
              </w:rPr>
            </w:pPr>
            <w:r w:rsidRPr="0086277E">
              <w:rPr>
                <w:rFonts w:ascii="Times" w:hAnsi="Times" w:cs="Times New Roman"/>
                <w:b w:val="0"/>
                <w:sz w:val="20"/>
                <w:szCs w:val="20"/>
              </w:rPr>
              <w:t>Public Works and Infrastructure</w:t>
            </w:r>
          </w:p>
        </w:tc>
        <w:tc>
          <w:tcPr>
            <w:tcW w:w="1417" w:type="dxa"/>
            <w:noWrap/>
            <w:hideMark/>
          </w:tcPr>
          <w:p w14:paraId="688CB6F0" w14:textId="77777777" w:rsidR="00B75110" w:rsidRPr="0086277E" w:rsidRDefault="00B75110" w:rsidP="0086277E">
            <w:pPr>
              <w:keepNext/>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sz w:val="20"/>
                <w:szCs w:val="20"/>
              </w:rPr>
            </w:pPr>
            <w:r w:rsidRPr="0086277E">
              <w:rPr>
                <w:rFonts w:ascii="Times" w:hAnsi="Times" w:cs="Times New Roman"/>
                <w:sz w:val="20"/>
                <w:szCs w:val="20"/>
              </w:rPr>
              <w:t>834.3</w:t>
            </w:r>
          </w:p>
        </w:tc>
        <w:tc>
          <w:tcPr>
            <w:tcW w:w="1418" w:type="dxa"/>
            <w:shd w:val="clear" w:color="auto" w:fill="auto"/>
            <w:noWrap/>
            <w:hideMark/>
          </w:tcPr>
          <w:p w14:paraId="79530893" w14:textId="77777777" w:rsidR="00B75110" w:rsidRPr="0086277E" w:rsidRDefault="00B75110" w:rsidP="0086277E">
            <w:pPr>
              <w:keepNext/>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sz w:val="20"/>
                <w:szCs w:val="20"/>
              </w:rPr>
            </w:pPr>
            <w:r w:rsidRPr="0086277E">
              <w:rPr>
                <w:rFonts w:ascii="Times" w:hAnsi="Times" w:cs="Times New Roman"/>
                <w:sz w:val="20"/>
                <w:szCs w:val="20"/>
              </w:rPr>
              <w:t>871.4</w:t>
            </w:r>
          </w:p>
        </w:tc>
        <w:tc>
          <w:tcPr>
            <w:tcW w:w="1417" w:type="dxa"/>
            <w:shd w:val="clear" w:color="auto" w:fill="auto"/>
            <w:noWrap/>
            <w:hideMark/>
          </w:tcPr>
          <w:p w14:paraId="017CE51E" w14:textId="77777777" w:rsidR="00B75110" w:rsidRPr="0086277E" w:rsidRDefault="00B75110" w:rsidP="0086277E">
            <w:pPr>
              <w:keepNext/>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sz w:val="20"/>
                <w:szCs w:val="20"/>
              </w:rPr>
            </w:pPr>
            <w:r w:rsidRPr="0086277E">
              <w:rPr>
                <w:rFonts w:ascii="Times" w:hAnsi="Times" w:cs="Times New Roman"/>
                <w:sz w:val="20"/>
                <w:szCs w:val="20"/>
              </w:rPr>
              <w:t>902.8</w:t>
            </w:r>
          </w:p>
        </w:tc>
        <w:tc>
          <w:tcPr>
            <w:tcW w:w="1701" w:type="dxa"/>
            <w:shd w:val="clear" w:color="auto" w:fill="auto"/>
            <w:noWrap/>
            <w:hideMark/>
          </w:tcPr>
          <w:p w14:paraId="2F6E712A" w14:textId="77777777" w:rsidR="00B75110" w:rsidRPr="0086277E" w:rsidRDefault="00B75110" w:rsidP="0086277E">
            <w:pPr>
              <w:keepNext/>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sz w:val="20"/>
                <w:szCs w:val="20"/>
              </w:rPr>
            </w:pPr>
            <w:r w:rsidRPr="0086277E">
              <w:rPr>
                <w:rFonts w:ascii="Times" w:hAnsi="Times" w:cs="Times New Roman"/>
                <w:sz w:val="20"/>
                <w:szCs w:val="20"/>
              </w:rPr>
              <w:t>2</w:t>
            </w:r>
            <w:r w:rsidR="002C71C9" w:rsidRPr="0086277E">
              <w:rPr>
                <w:rFonts w:ascii="Times" w:eastAsia="Times New Roman" w:hAnsi="Times" w:cs="Times New Roman"/>
                <w:sz w:val="20"/>
                <w:szCs w:val="20"/>
              </w:rPr>
              <w:t xml:space="preserve"> </w:t>
            </w:r>
            <w:r w:rsidRPr="0086277E">
              <w:rPr>
                <w:rFonts w:ascii="Times" w:hAnsi="Times" w:cs="Times New Roman"/>
                <w:sz w:val="20"/>
                <w:szCs w:val="20"/>
              </w:rPr>
              <w:t>608.6</w:t>
            </w:r>
          </w:p>
        </w:tc>
      </w:tr>
      <w:tr w:rsidR="00B75110" w:rsidRPr="000D33E4" w14:paraId="3E8EC7F5" w14:textId="77777777" w:rsidTr="00D553A1">
        <w:trPr>
          <w:trHeight w:val="210"/>
        </w:trPr>
        <w:tc>
          <w:tcPr>
            <w:cnfStyle w:val="001000000000" w:firstRow="0" w:lastRow="0" w:firstColumn="1" w:lastColumn="0" w:oddVBand="0" w:evenVBand="0" w:oddHBand="0" w:evenHBand="0" w:firstRowFirstColumn="0" w:firstRowLastColumn="0" w:lastRowFirstColumn="0" w:lastRowLastColumn="0"/>
            <w:tcW w:w="3681" w:type="dxa"/>
            <w:noWrap/>
            <w:hideMark/>
          </w:tcPr>
          <w:p w14:paraId="5A1A9AA2" w14:textId="77777777" w:rsidR="00B75110" w:rsidRPr="0086277E" w:rsidRDefault="00B75110" w:rsidP="001D006A">
            <w:pPr>
              <w:keepNext/>
              <w:jc w:val="left"/>
              <w:rPr>
                <w:rFonts w:ascii="Times" w:eastAsia="Times New Roman" w:hAnsi="Times" w:cs="Times New Roman"/>
                <w:b w:val="0"/>
                <w:sz w:val="20"/>
                <w:szCs w:val="20"/>
              </w:rPr>
            </w:pPr>
            <w:r w:rsidRPr="0086277E">
              <w:rPr>
                <w:rFonts w:ascii="Times" w:hAnsi="Times" w:cs="Times New Roman"/>
                <w:b w:val="0"/>
                <w:sz w:val="20"/>
                <w:szCs w:val="20"/>
              </w:rPr>
              <w:t>Basic Education</w:t>
            </w:r>
          </w:p>
        </w:tc>
        <w:tc>
          <w:tcPr>
            <w:tcW w:w="1417" w:type="dxa"/>
            <w:noWrap/>
            <w:hideMark/>
          </w:tcPr>
          <w:p w14:paraId="49AB0DF8" w14:textId="77777777" w:rsidR="00B75110" w:rsidRPr="0086277E" w:rsidRDefault="00B75110" w:rsidP="0086277E">
            <w:pPr>
              <w:keepNext/>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sz w:val="20"/>
                <w:szCs w:val="20"/>
              </w:rPr>
            </w:pPr>
            <w:r w:rsidRPr="0086277E">
              <w:rPr>
                <w:rFonts w:ascii="Times" w:hAnsi="Times" w:cs="Times New Roman"/>
                <w:sz w:val="20"/>
                <w:szCs w:val="20"/>
              </w:rPr>
              <w:t>19</w:t>
            </w:r>
            <w:r w:rsidR="002C71C9" w:rsidRPr="0086277E">
              <w:rPr>
                <w:rFonts w:ascii="Times" w:eastAsia="Times New Roman" w:hAnsi="Times" w:cs="Times New Roman"/>
                <w:sz w:val="20"/>
                <w:szCs w:val="20"/>
              </w:rPr>
              <w:t xml:space="preserve"> </w:t>
            </w:r>
            <w:r w:rsidRPr="0086277E">
              <w:rPr>
                <w:rFonts w:ascii="Times" w:hAnsi="Times" w:cs="Times New Roman"/>
                <w:sz w:val="20"/>
                <w:szCs w:val="20"/>
              </w:rPr>
              <w:t>564.3</w:t>
            </w:r>
          </w:p>
        </w:tc>
        <w:tc>
          <w:tcPr>
            <w:tcW w:w="1418" w:type="dxa"/>
            <w:shd w:val="clear" w:color="auto" w:fill="auto"/>
            <w:noWrap/>
            <w:hideMark/>
          </w:tcPr>
          <w:p w14:paraId="4243CA1F" w14:textId="77777777" w:rsidR="00B75110" w:rsidRPr="0086277E" w:rsidRDefault="00B75110" w:rsidP="0086277E">
            <w:pPr>
              <w:keepNext/>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sz w:val="20"/>
                <w:szCs w:val="20"/>
              </w:rPr>
            </w:pPr>
            <w:r w:rsidRPr="0086277E">
              <w:rPr>
                <w:rFonts w:ascii="Times" w:hAnsi="Times" w:cs="Times New Roman"/>
                <w:sz w:val="20"/>
                <w:szCs w:val="20"/>
              </w:rPr>
              <w:t>20</w:t>
            </w:r>
            <w:r w:rsidR="002C71C9" w:rsidRPr="0086277E">
              <w:rPr>
                <w:rFonts w:ascii="Times" w:eastAsia="Times New Roman" w:hAnsi="Times" w:cs="Times New Roman"/>
                <w:sz w:val="20"/>
                <w:szCs w:val="20"/>
              </w:rPr>
              <w:t xml:space="preserve"> </w:t>
            </w:r>
            <w:r w:rsidRPr="0086277E">
              <w:rPr>
                <w:rFonts w:ascii="Times" w:hAnsi="Times" w:cs="Times New Roman"/>
                <w:sz w:val="20"/>
                <w:szCs w:val="20"/>
              </w:rPr>
              <w:t>773.3</w:t>
            </w:r>
          </w:p>
        </w:tc>
        <w:tc>
          <w:tcPr>
            <w:tcW w:w="1417" w:type="dxa"/>
            <w:shd w:val="clear" w:color="auto" w:fill="auto"/>
            <w:noWrap/>
            <w:hideMark/>
          </w:tcPr>
          <w:p w14:paraId="3DADD7BC" w14:textId="77777777" w:rsidR="00B75110" w:rsidRPr="0086277E" w:rsidRDefault="00B75110" w:rsidP="0086277E">
            <w:pPr>
              <w:keepNext/>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sz w:val="20"/>
                <w:szCs w:val="20"/>
              </w:rPr>
            </w:pPr>
            <w:r w:rsidRPr="0086277E">
              <w:rPr>
                <w:rFonts w:ascii="Times" w:hAnsi="Times" w:cs="Times New Roman"/>
                <w:sz w:val="20"/>
                <w:szCs w:val="20"/>
              </w:rPr>
              <w:t>21</w:t>
            </w:r>
            <w:r w:rsidR="002C71C9" w:rsidRPr="0086277E">
              <w:rPr>
                <w:rFonts w:ascii="Times" w:eastAsia="Times New Roman" w:hAnsi="Times" w:cs="Times New Roman"/>
                <w:sz w:val="20"/>
                <w:szCs w:val="20"/>
              </w:rPr>
              <w:t xml:space="preserve"> </w:t>
            </w:r>
            <w:r w:rsidRPr="0086277E">
              <w:rPr>
                <w:rFonts w:ascii="Times" w:hAnsi="Times" w:cs="Times New Roman"/>
                <w:sz w:val="20"/>
                <w:szCs w:val="20"/>
              </w:rPr>
              <w:t>737.9</w:t>
            </w:r>
          </w:p>
        </w:tc>
        <w:tc>
          <w:tcPr>
            <w:tcW w:w="1701" w:type="dxa"/>
            <w:shd w:val="clear" w:color="auto" w:fill="auto"/>
            <w:noWrap/>
            <w:hideMark/>
          </w:tcPr>
          <w:p w14:paraId="513A2448" w14:textId="77777777" w:rsidR="00B75110" w:rsidRPr="0086277E" w:rsidRDefault="00B75110" w:rsidP="0086277E">
            <w:pPr>
              <w:keepNext/>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sz w:val="20"/>
                <w:szCs w:val="20"/>
              </w:rPr>
            </w:pPr>
            <w:r w:rsidRPr="0086277E">
              <w:rPr>
                <w:rFonts w:ascii="Times" w:hAnsi="Times" w:cs="Times New Roman"/>
                <w:sz w:val="20"/>
                <w:szCs w:val="20"/>
              </w:rPr>
              <w:t>62</w:t>
            </w:r>
            <w:r w:rsidR="002C71C9" w:rsidRPr="0086277E">
              <w:rPr>
                <w:rFonts w:ascii="Times" w:eastAsia="Times New Roman" w:hAnsi="Times" w:cs="Times New Roman"/>
                <w:sz w:val="20"/>
                <w:szCs w:val="20"/>
              </w:rPr>
              <w:t xml:space="preserve"> </w:t>
            </w:r>
            <w:r w:rsidRPr="0086277E">
              <w:rPr>
                <w:rFonts w:ascii="Times" w:hAnsi="Times" w:cs="Times New Roman"/>
                <w:sz w:val="20"/>
                <w:szCs w:val="20"/>
              </w:rPr>
              <w:t>075.5</w:t>
            </w:r>
          </w:p>
        </w:tc>
      </w:tr>
      <w:tr w:rsidR="00B75110" w:rsidRPr="000D33E4" w14:paraId="7101110B" w14:textId="77777777" w:rsidTr="00D553A1">
        <w:trPr>
          <w:trHeight w:val="210"/>
        </w:trPr>
        <w:tc>
          <w:tcPr>
            <w:cnfStyle w:val="001000000000" w:firstRow="0" w:lastRow="0" w:firstColumn="1" w:lastColumn="0" w:oddVBand="0" w:evenVBand="0" w:oddHBand="0" w:evenHBand="0" w:firstRowFirstColumn="0" w:firstRowLastColumn="0" w:lastRowFirstColumn="0" w:lastRowLastColumn="0"/>
            <w:tcW w:w="3681" w:type="dxa"/>
            <w:noWrap/>
            <w:hideMark/>
          </w:tcPr>
          <w:p w14:paraId="0699C7C4" w14:textId="77777777" w:rsidR="00B75110" w:rsidRPr="0086277E" w:rsidRDefault="00B75110" w:rsidP="001D006A">
            <w:pPr>
              <w:keepNext/>
              <w:jc w:val="left"/>
              <w:rPr>
                <w:rFonts w:ascii="Times" w:eastAsia="Times New Roman" w:hAnsi="Times" w:cs="Times New Roman"/>
                <w:b w:val="0"/>
                <w:sz w:val="20"/>
                <w:szCs w:val="20"/>
              </w:rPr>
            </w:pPr>
            <w:r w:rsidRPr="0086277E">
              <w:rPr>
                <w:rFonts w:ascii="Times" w:hAnsi="Times" w:cs="Times New Roman"/>
                <w:b w:val="0"/>
                <w:sz w:val="20"/>
                <w:szCs w:val="20"/>
              </w:rPr>
              <w:t>Health</w:t>
            </w:r>
          </w:p>
        </w:tc>
        <w:tc>
          <w:tcPr>
            <w:tcW w:w="1417" w:type="dxa"/>
            <w:noWrap/>
            <w:hideMark/>
          </w:tcPr>
          <w:p w14:paraId="549161CD" w14:textId="77777777" w:rsidR="00B75110" w:rsidRPr="0086277E" w:rsidRDefault="00B75110" w:rsidP="0086277E">
            <w:pPr>
              <w:keepNext/>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sz w:val="20"/>
                <w:szCs w:val="20"/>
              </w:rPr>
            </w:pPr>
            <w:r w:rsidRPr="0086277E">
              <w:rPr>
                <w:rFonts w:ascii="Times" w:hAnsi="Times" w:cs="Times New Roman"/>
                <w:sz w:val="20"/>
                <w:szCs w:val="20"/>
              </w:rPr>
              <w:t>49</w:t>
            </w:r>
            <w:r w:rsidR="002C71C9" w:rsidRPr="0086277E">
              <w:rPr>
                <w:rFonts w:ascii="Times" w:eastAsia="Times New Roman" w:hAnsi="Times" w:cs="Times New Roman"/>
                <w:sz w:val="20"/>
                <w:szCs w:val="20"/>
              </w:rPr>
              <w:t xml:space="preserve"> </w:t>
            </w:r>
            <w:r w:rsidRPr="0086277E">
              <w:rPr>
                <w:rFonts w:ascii="Times" w:hAnsi="Times" w:cs="Times New Roman"/>
                <w:sz w:val="20"/>
                <w:szCs w:val="20"/>
              </w:rPr>
              <w:t>267.2</w:t>
            </w:r>
          </w:p>
        </w:tc>
        <w:tc>
          <w:tcPr>
            <w:tcW w:w="1418" w:type="dxa"/>
            <w:shd w:val="clear" w:color="auto" w:fill="auto"/>
            <w:noWrap/>
            <w:hideMark/>
          </w:tcPr>
          <w:p w14:paraId="6861C6C5" w14:textId="77777777" w:rsidR="00B75110" w:rsidRPr="0086277E" w:rsidRDefault="00B75110" w:rsidP="0086277E">
            <w:pPr>
              <w:keepNext/>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sz w:val="20"/>
                <w:szCs w:val="20"/>
              </w:rPr>
            </w:pPr>
            <w:r w:rsidRPr="0086277E">
              <w:rPr>
                <w:rFonts w:ascii="Times" w:hAnsi="Times" w:cs="Times New Roman"/>
                <w:sz w:val="20"/>
                <w:szCs w:val="20"/>
              </w:rPr>
              <w:t>53</w:t>
            </w:r>
            <w:r w:rsidR="002C71C9" w:rsidRPr="0086277E">
              <w:rPr>
                <w:rFonts w:ascii="Times" w:eastAsia="Times New Roman" w:hAnsi="Times" w:cs="Times New Roman"/>
                <w:sz w:val="20"/>
                <w:szCs w:val="20"/>
              </w:rPr>
              <w:t xml:space="preserve"> </w:t>
            </w:r>
            <w:r w:rsidRPr="0086277E">
              <w:rPr>
                <w:rFonts w:ascii="Times" w:hAnsi="Times" w:cs="Times New Roman"/>
                <w:sz w:val="20"/>
                <w:szCs w:val="20"/>
              </w:rPr>
              <w:t>916.6</w:t>
            </w:r>
          </w:p>
        </w:tc>
        <w:tc>
          <w:tcPr>
            <w:tcW w:w="1417" w:type="dxa"/>
            <w:shd w:val="clear" w:color="auto" w:fill="auto"/>
            <w:noWrap/>
            <w:hideMark/>
          </w:tcPr>
          <w:p w14:paraId="0A13507B" w14:textId="77777777" w:rsidR="00B75110" w:rsidRPr="0086277E" w:rsidRDefault="00B75110" w:rsidP="0086277E">
            <w:pPr>
              <w:keepNext/>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sz w:val="20"/>
                <w:szCs w:val="20"/>
              </w:rPr>
            </w:pPr>
            <w:r w:rsidRPr="0086277E">
              <w:rPr>
                <w:rFonts w:ascii="Times" w:hAnsi="Times" w:cs="Times New Roman"/>
                <w:sz w:val="20"/>
                <w:szCs w:val="20"/>
              </w:rPr>
              <w:t>56</w:t>
            </w:r>
            <w:r w:rsidR="002C71C9" w:rsidRPr="0086277E">
              <w:rPr>
                <w:rFonts w:ascii="Times" w:eastAsia="Times New Roman" w:hAnsi="Times" w:cs="Times New Roman"/>
                <w:sz w:val="20"/>
                <w:szCs w:val="20"/>
              </w:rPr>
              <w:t xml:space="preserve"> </w:t>
            </w:r>
            <w:r w:rsidRPr="0086277E">
              <w:rPr>
                <w:rFonts w:ascii="Times" w:hAnsi="Times" w:cs="Times New Roman"/>
                <w:sz w:val="20"/>
                <w:szCs w:val="20"/>
              </w:rPr>
              <w:t>537.0</w:t>
            </w:r>
          </w:p>
        </w:tc>
        <w:tc>
          <w:tcPr>
            <w:tcW w:w="1701" w:type="dxa"/>
            <w:shd w:val="clear" w:color="auto" w:fill="auto"/>
            <w:noWrap/>
            <w:hideMark/>
          </w:tcPr>
          <w:p w14:paraId="22033B27" w14:textId="77777777" w:rsidR="00B75110" w:rsidRPr="0086277E" w:rsidRDefault="00B75110" w:rsidP="0086277E">
            <w:pPr>
              <w:keepNext/>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sz w:val="20"/>
                <w:szCs w:val="20"/>
              </w:rPr>
            </w:pPr>
            <w:r w:rsidRPr="0086277E">
              <w:rPr>
                <w:rFonts w:ascii="Times" w:hAnsi="Times" w:cs="Times New Roman"/>
                <w:sz w:val="20"/>
                <w:szCs w:val="20"/>
              </w:rPr>
              <w:t>159</w:t>
            </w:r>
            <w:r w:rsidR="002C71C9" w:rsidRPr="0086277E">
              <w:rPr>
                <w:rFonts w:ascii="Times" w:eastAsia="Times New Roman" w:hAnsi="Times" w:cs="Times New Roman"/>
                <w:sz w:val="20"/>
                <w:szCs w:val="20"/>
              </w:rPr>
              <w:t xml:space="preserve"> </w:t>
            </w:r>
            <w:r w:rsidRPr="0086277E">
              <w:rPr>
                <w:rFonts w:ascii="Times" w:hAnsi="Times" w:cs="Times New Roman"/>
                <w:sz w:val="20"/>
                <w:szCs w:val="20"/>
              </w:rPr>
              <w:t>720.8</w:t>
            </w:r>
          </w:p>
        </w:tc>
      </w:tr>
      <w:tr w:rsidR="00B75110" w:rsidRPr="000D33E4" w14:paraId="7C2AB7C7" w14:textId="77777777" w:rsidTr="00D553A1">
        <w:trPr>
          <w:trHeight w:val="210"/>
        </w:trPr>
        <w:tc>
          <w:tcPr>
            <w:cnfStyle w:val="001000000000" w:firstRow="0" w:lastRow="0" w:firstColumn="1" w:lastColumn="0" w:oddVBand="0" w:evenVBand="0" w:oddHBand="0" w:evenHBand="0" w:firstRowFirstColumn="0" w:firstRowLastColumn="0" w:lastRowFirstColumn="0" w:lastRowLastColumn="0"/>
            <w:tcW w:w="3681" w:type="dxa"/>
            <w:noWrap/>
            <w:hideMark/>
          </w:tcPr>
          <w:p w14:paraId="50F7D6F2" w14:textId="77777777" w:rsidR="00B75110" w:rsidRPr="0086277E" w:rsidRDefault="00B75110" w:rsidP="001D006A">
            <w:pPr>
              <w:keepNext/>
              <w:jc w:val="left"/>
              <w:rPr>
                <w:rFonts w:ascii="Times" w:eastAsia="Times New Roman" w:hAnsi="Times" w:cs="Times New Roman"/>
                <w:b w:val="0"/>
                <w:sz w:val="20"/>
                <w:szCs w:val="20"/>
              </w:rPr>
            </w:pPr>
            <w:r w:rsidRPr="0086277E">
              <w:rPr>
                <w:rFonts w:ascii="Times" w:hAnsi="Times" w:cs="Times New Roman"/>
                <w:b w:val="0"/>
                <w:sz w:val="20"/>
                <w:szCs w:val="20"/>
              </w:rPr>
              <w:t>Social Development</w:t>
            </w:r>
          </w:p>
        </w:tc>
        <w:tc>
          <w:tcPr>
            <w:tcW w:w="1417" w:type="dxa"/>
            <w:noWrap/>
            <w:hideMark/>
          </w:tcPr>
          <w:p w14:paraId="4EFDD6CF" w14:textId="77777777" w:rsidR="00B75110" w:rsidRPr="0086277E" w:rsidRDefault="00B75110" w:rsidP="0086277E">
            <w:pPr>
              <w:keepNext/>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sz w:val="20"/>
                <w:szCs w:val="20"/>
              </w:rPr>
            </w:pPr>
            <w:r w:rsidRPr="0086277E">
              <w:rPr>
                <w:rFonts w:ascii="Times" w:hAnsi="Times" w:cs="Times New Roman"/>
                <w:sz w:val="20"/>
                <w:szCs w:val="20"/>
              </w:rPr>
              <w:t>915.1</w:t>
            </w:r>
          </w:p>
        </w:tc>
        <w:tc>
          <w:tcPr>
            <w:tcW w:w="1418" w:type="dxa"/>
            <w:shd w:val="clear" w:color="auto" w:fill="auto"/>
            <w:noWrap/>
            <w:hideMark/>
          </w:tcPr>
          <w:p w14:paraId="7B269551" w14:textId="77777777" w:rsidR="00B75110" w:rsidRPr="0086277E" w:rsidRDefault="00B75110" w:rsidP="0086277E">
            <w:pPr>
              <w:keepNext/>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sz w:val="20"/>
                <w:szCs w:val="20"/>
              </w:rPr>
            </w:pPr>
            <w:r w:rsidRPr="0086277E">
              <w:rPr>
                <w:rFonts w:ascii="Times" w:hAnsi="Times" w:cs="Times New Roman"/>
                <w:sz w:val="20"/>
                <w:szCs w:val="20"/>
              </w:rPr>
              <w:t>1</w:t>
            </w:r>
            <w:r w:rsidR="002C71C9" w:rsidRPr="0086277E">
              <w:rPr>
                <w:rFonts w:ascii="Times" w:eastAsia="Times New Roman" w:hAnsi="Times" w:cs="Times New Roman"/>
                <w:sz w:val="20"/>
                <w:szCs w:val="20"/>
              </w:rPr>
              <w:t xml:space="preserve"> </w:t>
            </w:r>
            <w:r w:rsidRPr="0086277E">
              <w:rPr>
                <w:rFonts w:ascii="Times" w:hAnsi="Times" w:cs="Times New Roman"/>
                <w:sz w:val="20"/>
                <w:szCs w:val="20"/>
              </w:rPr>
              <w:t>056.7</w:t>
            </w:r>
          </w:p>
        </w:tc>
        <w:tc>
          <w:tcPr>
            <w:tcW w:w="1417" w:type="dxa"/>
            <w:shd w:val="clear" w:color="auto" w:fill="auto"/>
            <w:noWrap/>
            <w:hideMark/>
          </w:tcPr>
          <w:p w14:paraId="123B47A1" w14:textId="77777777" w:rsidR="00B75110" w:rsidRPr="0086277E" w:rsidRDefault="00B75110" w:rsidP="0086277E">
            <w:pPr>
              <w:keepNext/>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sz w:val="20"/>
                <w:szCs w:val="20"/>
              </w:rPr>
            </w:pPr>
            <w:r w:rsidRPr="0086277E">
              <w:rPr>
                <w:rFonts w:ascii="Times" w:hAnsi="Times" w:cs="Times New Roman"/>
                <w:sz w:val="20"/>
                <w:szCs w:val="20"/>
              </w:rPr>
              <w:t>1</w:t>
            </w:r>
            <w:r w:rsidR="002C71C9" w:rsidRPr="0086277E">
              <w:rPr>
                <w:rFonts w:ascii="Times" w:eastAsia="Times New Roman" w:hAnsi="Times" w:cs="Times New Roman"/>
                <w:sz w:val="20"/>
                <w:szCs w:val="20"/>
              </w:rPr>
              <w:t xml:space="preserve"> </w:t>
            </w:r>
            <w:r w:rsidRPr="0086277E">
              <w:rPr>
                <w:rFonts w:ascii="Times" w:hAnsi="Times" w:cs="Times New Roman"/>
                <w:sz w:val="20"/>
                <w:szCs w:val="20"/>
              </w:rPr>
              <w:t>191.9</w:t>
            </w:r>
          </w:p>
        </w:tc>
        <w:tc>
          <w:tcPr>
            <w:tcW w:w="1701" w:type="dxa"/>
            <w:shd w:val="clear" w:color="auto" w:fill="auto"/>
            <w:noWrap/>
            <w:hideMark/>
          </w:tcPr>
          <w:p w14:paraId="0737A111" w14:textId="77777777" w:rsidR="00B75110" w:rsidRPr="0086277E" w:rsidRDefault="00B75110" w:rsidP="0086277E">
            <w:pPr>
              <w:keepNext/>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sz w:val="20"/>
                <w:szCs w:val="20"/>
              </w:rPr>
            </w:pPr>
            <w:r w:rsidRPr="0086277E">
              <w:rPr>
                <w:rFonts w:ascii="Times" w:hAnsi="Times" w:cs="Times New Roman"/>
                <w:sz w:val="20"/>
                <w:szCs w:val="20"/>
              </w:rPr>
              <w:t>3</w:t>
            </w:r>
            <w:r w:rsidR="002C71C9" w:rsidRPr="0086277E">
              <w:rPr>
                <w:rFonts w:ascii="Times" w:eastAsia="Times New Roman" w:hAnsi="Times" w:cs="Times New Roman"/>
                <w:sz w:val="20"/>
                <w:szCs w:val="20"/>
              </w:rPr>
              <w:t xml:space="preserve"> </w:t>
            </w:r>
            <w:r w:rsidRPr="0086277E">
              <w:rPr>
                <w:rFonts w:ascii="Times" w:hAnsi="Times" w:cs="Times New Roman"/>
                <w:sz w:val="20"/>
                <w:szCs w:val="20"/>
              </w:rPr>
              <w:t>163.7</w:t>
            </w:r>
          </w:p>
        </w:tc>
      </w:tr>
      <w:tr w:rsidR="00B75110" w:rsidRPr="000D33E4" w14:paraId="626631E2" w14:textId="77777777" w:rsidTr="00D553A1">
        <w:trPr>
          <w:trHeight w:val="210"/>
        </w:trPr>
        <w:tc>
          <w:tcPr>
            <w:cnfStyle w:val="001000000000" w:firstRow="0" w:lastRow="0" w:firstColumn="1" w:lastColumn="0" w:oddVBand="0" w:evenVBand="0" w:oddHBand="0" w:evenHBand="0" w:firstRowFirstColumn="0" w:firstRowLastColumn="0" w:lastRowFirstColumn="0" w:lastRowLastColumn="0"/>
            <w:tcW w:w="3681" w:type="dxa"/>
            <w:noWrap/>
            <w:hideMark/>
          </w:tcPr>
          <w:p w14:paraId="0DD94CC0" w14:textId="77777777" w:rsidR="00B75110" w:rsidRPr="0086277E" w:rsidRDefault="00B75110" w:rsidP="001D006A">
            <w:pPr>
              <w:keepNext/>
              <w:jc w:val="left"/>
              <w:rPr>
                <w:rFonts w:ascii="Times" w:eastAsia="Times New Roman" w:hAnsi="Times" w:cs="Times New Roman"/>
                <w:b w:val="0"/>
                <w:sz w:val="20"/>
                <w:szCs w:val="20"/>
              </w:rPr>
            </w:pPr>
            <w:r w:rsidRPr="0086277E">
              <w:rPr>
                <w:rFonts w:ascii="Times" w:hAnsi="Times" w:cs="Times New Roman"/>
                <w:b w:val="0"/>
                <w:sz w:val="20"/>
                <w:szCs w:val="20"/>
              </w:rPr>
              <w:t>Agriculture, Land Reform and Rural Development</w:t>
            </w:r>
          </w:p>
        </w:tc>
        <w:tc>
          <w:tcPr>
            <w:tcW w:w="1417" w:type="dxa"/>
            <w:noWrap/>
            <w:hideMark/>
          </w:tcPr>
          <w:p w14:paraId="6462142D" w14:textId="77777777" w:rsidR="00B75110" w:rsidRPr="0086277E" w:rsidRDefault="00B75110" w:rsidP="0086277E">
            <w:pPr>
              <w:keepNext/>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sz w:val="20"/>
                <w:szCs w:val="20"/>
              </w:rPr>
            </w:pPr>
            <w:r w:rsidRPr="0086277E">
              <w:rPr>
                <w:rFonts w:ascii="Times" w:hAnsi="Times" w:cs="Times New Roman"/>
                <w:sz w:val="20"/>
                <w:szCs w:val="20"/>
              </w:rPr>
              <w:t>2</w:t>
            </w:r>
            <w:r w:rsidR="002C71C9" w:rsidRPr="0086277E">
              <w:rPr>
                <w:rFonts w:ascii="Times" w:eastAsia="Times New Roman" w:hAnsi="Times" w:cs="Times New Roman"/>
                <w:sz w:val="20"/>
                <w:szCs w:val="20"/>
              </w:rPr>
              <w:t xml:space="preserve"> </w:t>
            </w:r>
            <w:r w:rsidRPr="0086277E">
              <w:rPr>
                <w:rFonts w:ascii="Times" w:hAnsi="Times" w:cs="Times New Roman"/>
                <w:sz w:val="20"/>
                <w:szCs w:val="20"/>
              </w:rPr>
              <w:t>153.4</w:t>
            </w:r>
          </w:p>
        </w:tc>
        <w:tc>
          <w:tcPr>
            <w:tcW w:w="1418" w:type="dxa"/>
            <w:shd w:val="clear" w:color="auto" w:fill="auto"/>
            <w:noWrap/>
            <w:hideMark/>
          </w:tcPr>
          <w:p w14:paraId="21ACE58E" w14:textId="77777777" w:rsidR="00B75110" w:rsidRPr="0086277E" w:rsidRDefault="00B75110" w:rsidP="0086277E">
            <w:pPr>
              <w:keepNext/>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sz w:val="20"/>
                <w:szCs w:val="20"/>
              </w:rPr>
            </w:pPr>
            <w:r w:rsidRPr="0086277E">
              <w:rPr>
                <w:rFonts w:ascii="Times" w:hAnsi="Times" w:cs="Times New Roman"/>
                <w:sz w:val="20"/>
                <w:szCs w:val="20"/>
              </w:rPr>
              <w:t>2</w:t>
            </w:r>
            <w:r w:rsidR="002C71C9" w:rsidRPr="0086277E">
              <w:rPr>
                <w:rFonts w:ascii="Times" w:eastAsia="Times New Roman" w:hAnsi="Times" w:cs="Times New Roman"/>
                <w:sz w:val="20"/>
                <w:szCs w:val="20"/>
              </w:rPr>
              <w:t xml:space="preserve"> </w:t>
            </w:r>
            <w:r w:rsidRPr="0086277E">
              <w:rPr>
                <w:rFonts w:ascii="Times" w:hAnsi="Times" w:cs="Times New Roman"/>
                <w:sz w:val="20"/>
                <w:szCs w:val="20"/>
              </w:rPr>
              <w:t>319.7</w:t>
            </w:r>
          </w:p>
        </w:tc>
        <w:tc>
          <w:tcPr>
            <w:tcW w:w="1417" w:type="dxa"/>
            <w:shd w:val="clear" w:color="auto" w:fill="auto"/>
            <w:noWrap/>
            <w:hideMark/>
          </w:tcPr>
          <w:p w14:paraId="00EF3EF3" w14:textId="77777777" w:rsidR="00B75110" w:rsidRPr="0086277E" w:rsidRDefault="00B75110" w:rsidP="0086277E">
            <w:pPr>
              <w:keepNext/>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sz w:val="20"/>
                <w:szCs w:val="20"/>
              </w:rPr>
            </w:pPr>
            <w:r w:rsidRPr="0086277E">
              <w:rPr>
                <w:rFonts w:ascii="Times" w:hAnsi="Times" w:cs="Times New Roman"/>
                <w:sz w:val="20"/>
                <w:szCs w:val="20"/>
              </w:rPr>
              <w:t>2</w:t>
            </w:r>
            <w:r w:rsidR="002C71C9" w:rsidRPr="0086277E">
              <w:rPr>
                <w:rFonts w:ascii="Times" w:eastAsia="Times New Roman" w:hAnsi="Times" w:cs="Times New Roman"/>
                <w:sz w:val="20"/>
                <w:szCs w:val="20"/>
              </w:rPr>
              <w:t xml:space="preserve"> </w:t>
            </w:r>
            <w:r w:rsidRPr="0086277E">
              <w:rPr>
                <w:rFonts w:ascii="Times" w:hAnsi="Times" w:cs="Times New Roman"/>
                <w:sz w:val="20"/>
                <w:szCs w:val="20"/>
              </w:rPr>
              <w:t>392.0</w:t>
            </w:r>
          </w:p>
        </w:tc>
        <w:tc>
          <w:tcPr>
            <w:tcW w:w="1701" w:type="dxa"/>
            <w:shd w:val="clear" w:color="auto" w:fill="auto"/>
            <w:noWrap/>
            <w:hideMark/>
          </w:tcPr>
          <w:p w14:paraId="754E92E4" w14:textId="77777777" w:rsidR="00B75110" w:rsidRPr="0086277E" w:rsidRDefault="00B75110" w:rsidP="0086277E">
            <w:pPr>
              <w:keepNext/>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sz w:val="20"/>
                <w:szCs w:val="20"/>
              </w:rPr>
            </w:pPr>
            <w:r w:rsidRPr="0086277E">
              <w:rPr>
                <w:rFonts w:ascii="Times" w:hAnsi="Times" w:cs="Times New Roman"/>
                <w:sz w:val="20"/>
                <w:szCs w:val="20"/>
              </w:rPr>
              <w:t>6</w:t>
            </w:r>
            <w:r w:rsidR="002C71C9" w:rsidRPr="0086277E">
              <w:rPr>
                <w:rFonts w:ascii="Times" w:eastAsia="Times New Roman" w:hAnsi="Times" w:cs="Times New Roman"/>
                <w:sz w:val="20"/>
                <w:szCs w:val="20"/>
              </w:rPr>
              <w:t xml:space="preserve"> </w:t>
            </w:r>
            <w:r w:rsidRPr="0086277E">
              <w:rPr>
                <w:rFonts w:ascii="Times" w:hAnsi="Times" w:cs="Times New Roman"/>
                <w:sz w:val="20"/>
                <w:szCs w:val="20"/>
              </w:rPr>
              <w:t>865.1</w:t>
            </w:r>
          </w:p>
        </w:tc>
      </w:tr>
      <w:tr w:rsidR="00B75110" w:rsidRPr="000D33E4" w14:paraId="648FB209" w14:textId="77777777" w:rsidTr="00D553A1">
        <w:trPr>
          <w:trHeight w:val="210"/>
        </w:trPr>
        <w:tc>
          <w:tcPr>
            <w:cnfStyle w:val="001000000000" w:firstRow="0" w:lastRow="0" w:firstColumn="1" w:lastColumn="0" w:oddVBand="0" w:evenVBand="0" w:oddHBand="0" w:evenHBand="0" w:firstRowFirstColumn="0" w:firstRowLastColumn="0" w:lastRowFirstColumn="0" w:lastRowLastColumn="0"/>
            <w:tcW w:w="3681" w:type="dxa"/>
            <w:noWrap/>
            <w:hideMark/>
          </w:tcPr>
          <w:p w14:paraId="059496A1" w14:textId="77777777" w:rsidR="00B75110" w:rsidRPr="0086277E" w:rsidRDefault="00B75110" w:rsidP="001D006A">
            <w:pPr>
              <w:keepNext/>
              <w:jc w:val="left"/>
              <w:rPr>
                <w:rFonts w:ascii="Times" w:eastAsia="Times New Roman" w:hAnsi="Times" w:cs="Times New Roman"/>
                <w:b w:val="0"/>
                <w:sz w:val="20"/>
                <w:szCs w:val="20"/>
              </w:rPr>
            </w:pPr>
            <w:r w:rsidRPr="0086277E">
              <w:rPr>
                <w:rFonts w:ascii="Times" w:hAnsi="Times" w:cs="Times New Roman"/>
                <w:b w:val="0"/>
                <w:sz w:val="20"/>
                <w:szCs w:val="20"/>
              </w:rPr>
              <w:t>Human Settlements</w:t>
            </w:r>
          </w:p>
        </w:tc>
        <w:tc>
          <w:tcPr>
            <w:tcW w:w="1417" w:type="dxa"/>
            <w:noWrap/>
            <w:hideMark/>
          </w:tcPr>
          <w:p w14:paraId="306344B4" w14:textId="77777777" w:rsidR="00B75110" w:rsidRPr="0086277E" w:rsidRDefault="00B75110" w:rsidP="0086277E">
            <w:pPr>
              <w:keepNext/>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b/>
                <w:bCs/>
                <w:sz w:val="20"/>
                <w:szCs w:val="20"/>
              </w:rPr>
            </w:pPr>
            <w:r w:rsidRPr="0086277E">
              <w:rPr>
                <w:rFonts w:ascii="Times" w:hAnsi="Times" w:cs="Times New Roman"/>
                <w:b/>
                <w:bCs/>
                <w:sz w:val="20"/>
                <w:szCs w:val="20"/>
              </w:rPr>
              <w:t>17</w:t>
            </w:r>
            <w:r w:rsidR="002C71C9" w:rsidRPr="0086277E">
              <w:rPr>
                <w:rFonts w:ascii="Times" w:eastAsia="Times New Roman" w:hAnsi="Times" w:cs="Times New Roman"/>
                <w:b/>
                <w:bCs/>
                <w:sz w:val="20"/>
                <w:szCs w:val="20"/>
              </w:rPr>
              <w:t xml:space="preserve"> </w:t>
            </w:r>
            <w:r w:rsidRPr="0086277E">
              <w:rPr>
                <w:rFonts w:ascii="Times" w:hAnsi="Times" w:cs="Times New Roman"/>
                <w:b/>
                <w:bCs/>
                <w:sz w:val="20"/>
                <w:szCs w:val="20"/>
              </w:rPr>
              <w:t>493.5</w:t>
            </w:r>
          </w:p>
        </w:tc>
        <w:tc>
          <w:tcPr>
            <w:tcW w:w="1418" w:type="dxa"/>
            <w:shd w:val="clear" w:color="auto" w:fill="auto"/>
            <w:noWrap/>
            <w:hideMark/>
          </w:tcPr>
          <w:p w14:paraId="6B4F794A" w14:textId="77777777" w:rsidR="00B75110" w:rsidRPr="0086277E" w:rsidRDefault="00B75110" w:rsidP="0086277E">
            <w:pPr>
              <w:keepNext/>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b/>
                <w:bCs/>
                <w:sz w:val="20"/>
                <w:szCs w:val="20"/>
              </w:rPr>
            </w:pPr>
            <w:r w:rsidRPr="0086277E">
              <w:rPr>
                <w:rFonts w:ascii="Times" w:hAnsi="Times" w:cs="Times New Roman"/>
                <w:b/>
                <w:bCs/>
                <w:sz w:val="20"/>
                <w:szCs w:val="20"/>
              </w:rPr>
              <w:t>17</w:t>
            </w:r>
            <w:r w:rsidR="002C71C9" w:rsidRPr="0086277E">
              <w:rPr>
                <w:rFonts w:ascii="Times" w:eastAsia="Times New Roman" w:hAnsi="Times" w:cs="Times New Roman"/>
                <w:b/>
                <w:bCs/>
                <w:sz w:val="20"/>
                <w:szCs w:val="20"/>
              </w:rPr>
              <w:t xml:space="preserve"> </w:t>
            </w:r>
            <w:r w:rsidRPr="0086277E">
              <w:rPr>
                <w:rFonts w:ascii="Times" w:hAnsi="Times" w:cs="Times New Roman"/>
                <w:b/>
                <w:bCs/>
                <w:sz w:val="20"/>
                <w:szCs w:val="20"/>
              </w:rPr>
              <w:t>614.4</w:t>
            </w:r>
          </w:p>
        </w:tc>
        <w:tc>
          <w:tcPr>
            <w:tcW w:w="1417" w:type="dxa"/>
            <w:shd w:val="clear" w:color="auto" w:fill="auto"/>
            <w:noWrap/>
            <w:hideMark/>
          </w:tcPr>
          <w:p w14:paraId="62ED0C29" w14:textId="77777777" w:rsidR="00B75110" w:rsidRPr="0086277E" w:rsidRDefault="00B75110" w:rsidP="0086277E">
            <w:pPr>
              <w:keepNext/>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b/>
                <w:bCs/>
                <w:sz w:val="20"/>
                <w:szCs w:val="20"/>
              </w:rPr>
            </w:pPr>
            <w:r w:rsidRPr="0086277E">
              <w:rPr>
                <w:rFonts w:ascii="Times" w:hAnsi="Times" w:cs="Times New Roman"/>
                <w:b/>
                <w:bCs/>
                <w:sz w:val="20"/>
                <w:szCs w:val="20"/>
              </w:rPr>
              <w:t>18</w:t>
            </w:r>
            <w:r w:rsidR="002C71C9" w:rsidRPr="0086277E">
              <w:rPr>
                <w:rFonts w:ascii="Times" w:eastAsia="Times New Roman" w:hAnsi="Times" w:cs="Times New Roman"/>
                <w:b/>
                <w:bCs/>
                <w:sz w:val="20"/>
                <w:szCs w:val="20"/>
              </w:rPr>
              <w:t xml:space="preserve"> </w:t>
            </w:r>
            <w:r w:rsidRPr="0086277E">
              <w:rPr>
                <w:rFonts w:ascii="Times" w:hAnsi="Times" w:cs="Times New Roman"/>
                <w:b/>
                <w:bCs/>
                <w:sz w:val="20"/>
                <w:szCs w:val="20"/>
              </w:rPr>
              <w:t>317.4</w:t>
            </w:r>
          </w:p>
        </w:tc>
        <w:tc>
          <w:tcPr>
            <w:tcW w:w="1701" w:type="dxa"/>
            <w:shd w:val="clear" w:color="auto" w:fill="auto"/>
            <w:noWrap/>
            <w:hideMark/>
          </w:tcPr>
          <w:p w14:paraId="3AF85989" w14:textId="77777777" w:rsidR="00B75110" w:rsidRPr="0086277E" w:rsidRDefault="00B75110" w:rsidP="0086277E">
            <w:pPr>
              <w:keepNext/>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b/>
                <w:bCs/>
                <w:sz w:val="20"/>
                <w:szCs w:val="20"/>
              </w:rPr>
            </w:pPr>
            <w:r w:rsidRPr="0086277E">
              <w:rPr>
                <w:rFonts w:ascii="Times" w:hAnsi="Times" w:cs="Times New Roman"/>
                <w:b/>
                <w:bCs/>
                <w:sz w:val="20"/>
                <w:szCs w:val="20"/>
              </w:rPr>
              <w:t>53</w:t>
            </w:r>
            <w:r w:rsidR="002C71C9" w:rsidRPr="0086277E">
              <w:rPr>
                <w:rFonts w:ascii="Times" w:eastAsia="Times New Roman" w:hAnsi="Times" w:cs="Times New Roman"/>
                <w:b/>
                <w:bCs/>
                <w:sz w:val="20"/>
                <w:szCs w:val="20"/>
              </w:rPr>
              <w:t xml:space="preserve"> </w:t>
            </w:r>
            <w:r w:rsidRPr="0086277E">
              <w:rPr>
                <w:rFonts w:ascii="Times" w:hAnsi="Times" w:cs="Times New Roman"/>
                <w:b/>
                <w:bCs/>
                <w:sz w:val="20"/>
                <w:szCs w:val="20"/>
              </w:rPr>
              <w:t>425.3</w:t>
            </w:r>
          </w:p>
        </w:tc>
      </w:tr>
      <w:tr w:rsidR="00B75110" w:rsidRPr="000D33E4" w14:paraId="1D54D40F" w14:textId="77777777" w:rsidTr="00D553A1">
        <w:trPr>
          <w:trHeight w:val="210"/>
        </w:trPr>
        <w:tc>
          <w:tcPr>
            <w:cnfStyle w:val="001000000000" w:firstRow="0" w:lastRow="0" w:firstColumn="1" w:lastColumn="0" w:oddVBand="0" w:evenVBand="0" w:oddHBand="0" w:evenHBand="0" w:firstRowFirstColumn="0" w:firstRowLastColumn="0" w:lastRowFirstColumn="0" w:lastRowLastColumn="0"/>
            <w:tcW w:w="3681" w:type="dxa"/>
            <w:noWrap/>
            <w:hideMark/>
          </w:tcPr>
          <w:p w14:paraId="77ADF83B" w14:textId="77777777" w:rsidR="00B75110" w:rsidRPr="0086277E" w:rsidRDefault="00B75110" w:rsidP="001D006A">
            <w:pPr>
              <w:keepNext/>
              <w:jc w:val="left"/>
              <w:rPr>
                <w:rFonts w:ascii="Times" w:eastAsia="Times New Roman" w:hAnsi="Times" w:cs="Times New Roman"/>
                <w:b w:val="0"/>
                <w:sz w:val="20"/>
                <w:szCs w:val="20"/>
              </w:rPr>
            </w:pPr>
            <w:r w:rsidRPr="0086277E">
              <w:rPr>
                <w:rFonts w:ascii="Times" w:hAnsi="Times" w:cs="Times New Roman"/>
                <w:b w:val="0"/>
                <w:sz w:val="20"/>
                <w:szCs w:val="20"/>
              </w:rPr>
              <w:t>Sports, Arts and Culture</w:t>
            </w:r>
          </w:p>
        </w:tc>
        <w:tc>
          <w:tcPr>
            <w:tcW w:w="1417" w:type="dxa"/>
            <w:noWrap/>
            <w:hideMark/>
          </w:tcPr>
          <w:p w14:paraId="6818DE07" w14:textId="77777777" w:rsidR="00B75110" w:rsidRPr="0086277E" w:rsidRDefault="00B75110" w:rsidP="0086277E">
            <w:pPr>
              <w:keepNext/>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sz w:val="20"/>
                <w:szCs w:val="20"/>
              </w:rPr>
            </w:pPr>
            <w:r w:rsidRPr="0086277E">
              <w:rPr>
                <w:rFonts w:ascii="Times" w:hAnsi="Times" w:cs="Times New Roman"/>
                <w:sz w:val="20"/>
                <w:szCs w:val="20"/>
              </w:rPr>
              <w:t>2</w:t>
            </w:r>
            <w:r w:rsidR="002C71C9" w:rsidRPr="0086277E">
              <w:rPr>
                <w:rFonts w:ascii="Times" w:eastAsia="Times New Roman" w:hAnsi="Times" w:cs="Times New Roman"/>
                <w:sz w:val="20"/>
                <w:szCs w:val="20"/>
              </w:rPr>
              <w:t xml:space="preserve"> </w:t>
            </w:r>
            <w:r w:rsidRPr="0086277E">
              <w:rPr>
                <w:rFonts w:ascii="Times" w:hAnsi="Times" w:cs="Times New Roman"/>
                <w:sz w:val="20"/>
                <w:szCs w:val="20"/>
              </w:rPr>
              <w:t>075.7</w:t>
            </w:r>
          </w:p>
        </w:tc>
        <w:tc>
          <w:tcPr>
            <w:tcW w:w="1418" w:type="dxa"/>
            <w:shd w:val="clear" w:color="auto" w:fill="auto"/>
            <w:noWrap/>
            <w:hideMark/>
          </w:tcPr>
          <w:p w14:paraId="1D0A9048" w14:textId="77777777" w:rsidR="00B75110" w:rsidRPr="0086277E" w:rsidRDefault="00B75110" w:rsidP="0086277E">
            <w:pPr>
              <w:keepNext/>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sz w:val="20"/>
                <w:szCs w:val="20"/>
              </w:rPr>
            </w:pPr>
            <w:r w:rsidRPr="0086277E">
              <w:rPr>
                <w:rFonts w:ascii="Times" w:hAnsi="Times" w:cs="Times New Roman"/>
                <w:sz w:val="20"/>
                <w:szCs w:val="20"/>
              </w:rPr>
              <w:t>2</w:t>
            </w:r>
            <w:r w:rsidR="002C71C9" w:rsidRPr="0086277E">
              <w:rPr>
                <w:rFonts w:ascii="Times" w:eastAsia="Times New Roman" w:hAnsi="Times" w:cs="Times New Roman"/>
                <w:sz w:val="20"/>
                <w:szCs w:val="20"/>
              </w:rPr>
              <w:t xml:space="preserve"> </w:t>
            </w:r>
            <w:r w:rsidRPr="0086277E">
              <w:rPr>
                <w:rFonts w:ascii="Times" w:hAnsi="Times" w:cs="Times New Roman"/>
                <w:sz w:val="20"/>
                <w:szCs w:val="20"/>
              </w:rPr>
              <w:t>204.9</w:t>
            </w:r>
          </w:p>
        </w:tc>
        <w:tc>
          <w:tcPr>
            <w:tcW w:w="1417" w:type="dxa"/>
            <w:shd w:val="clear" w:color="auto" w:fill="auto"/>
            <w:noWrap/>
            <w:hideMark/>
          </w:tcPr>
          <w:p w14:paraId="394DD68D" w14:textId="77777777" w:rsidR="00B75110" w:rsidRPr="0086277E" w:rsidRDefault="00B75110" w:rsidP="0086277E">
            <w:pPr>
              <w:keepNext/>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sz w:val="20"/>
                <w:szCs w:val="20"/>
              </w:rPr>
            </w:pPr>
            <w:r w:rsidRPr="0086277E">
              <w:rPr>
                <w:rFonts w:ascii="Times" w:hAnsi="Times" w:cs="Times New Roman"/>
                <w:sz w:val="20"/>
                <w:szCs w:val="20"/>
              </w:rPr>
              <w:t>2</w:t>
            </w:r>
            <w:r w:rsidR="002C71C9" w:rsidRPr="0086277E">
              <w:rPr>
                <w:rFonts w:ascii="Times" w:eastAsia="Times New Roman" w:hAnsi="Times" w:cs="Times New Roman"/>
                <w:sz w:val="20"/>
                <w:szCs w:val="20"/>
              </w:rPr>
              <w:t xml:space="preserve"> </w:t>
            </w:r>
            <w:r w:rsidRPr="0086277E">
              <w:rPr>
                <w:rFonts w:ascii="Times" w:hAnsi="Times" w:cs="Times New Roman"/>
                <w:sz w:val="20"/>
                <w:szCs w:val="20"/>
              </w:rPr>
              <w:t>307.5</w:t>
            </w:r>
          </w:p>
        </w:tc>
        <w:tc>
          <w:tcPr>
            <w:tcW w:w="1701" w:type="dxa"/>
            <w:shd w:val="clear" w:color="auto" w:fill="auto"/>
            <w:noWrap/>
            <w:hideMark/>
          </w:tcPr>
          <w:p w14:paraId="7A2CA221" w14:textId="77777777" w:rsidR="00B75110" w:rsidRPr="0086277E" w:rsidRDefault="00B75110" w:rsidP="0086277E">
            <w:pPr>
              <w:keepNext/>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sz w:val="20"/>
                <w:szCs w:val="20"/>
              </w:rPr>
            </w:pPr>
            <w:r w:rsidRPr="0086277E">
              <w:rPr>
                <w:rFonts w:ascii="Times" w:hAnsi="Times" w:cs="Times New Roman"/>
                <w:sz w:val="20"/>
                <w:szCs w:val="20"/>
              </w:rPr>
              <w:t>6</w:t>
            </w:r>
            <w:r w:rsidR="002C71C9" w:rsidRPr="0086277E">
              <w:rPr>
                <w:rFonts w:ascii="Times" w:eastAsia="Times New Roman" w:hAnsi="Times" w:cs="Times New Roman"/>
                <w:sz w:val="20"/>
                <w:szCs w:val="20"/>
              </w:rPr>
              <w:t xml:space="preserve"> </w:t>
            </w:r>
            <w:r w:rsidRPr="0086277E">
              <w:rPr>
                <w:rFonts w:ascii="Times" w:hAnsi="Times" w:cs="Times New Roman"/>
                <w:sz w:val="20"/>
                <w:szCs w:val="20"/>
              </w:rPr>
              <w:t>588.1</w:t>
            </w:r>
          </w:p>
        </w:tc>
      </w:tr>
      <w:tr w:rsidR="00B75110" w:rsidRPr="000D33E4" w14:paraId="0DB3D567" w14:textId="77777777" w:rsidTr="00D553A1">
        <w:trPr>
          <w:trHeight w:val="210"/>
        </w:trPr>
        <w:tc>
          <w:tcPr>
            <w:cnfStyle w:val="001000000000" w:firstRow="0" w:lastRow="0" w:firstColumn="1" w:lastColumn="0" w:oddVBand="0" w:evenVBand="0" w:oddHBand="0" w:evenHBand="0" w:firstRowFirstColumn="0" w:firstRowLastColumn="0" w:lastRowFirstColumn="0" w:lastRowLastColumn="0"/>
            <w:tcW w:w="3681" w:type="dxa"/>
            <w:noWrap/>
            <w:hideMark/>
          </w:tcPr>
          <w:p w14:paraId="5A5817E4" w14:textId="77777777" w:rsidR="00B75110" w:rsidRPr="0086277E" w:rsidRDefault="00B75110" w:rsidP="001D006A">
            <w:pPr>
              <w:keepNext/>
              <w:jc w:val="left"/>
              <w:rPr>
                <w:rFonts w:ascii="Times" w:eastAsia="Times New Roman" w:hAnsi="Times" w:cs="Times New Roman"/>
                <w:b w:val="0"/>
                <w:sz w:val="20"/>
                <w:szCs w:val="20"/>
              </w:rPr>
            </w:pPr>
            <w:r w:rsidRPr="0086277E">
              <w:rPr>
                <w:rFonts w:ascii="Times" w:hAnsi="Times" w:cs="Times New Roman"/>
                <w:b w:val="0"/>
                <w:sz w:val="20"/>
                <w:szCs w:val="20"/>
              </w:rPr>
              <w:t>Transport</w:t>
            </w:r>
          </w:p>
        </w:tc>
        <w:tc>
          <w:tcPr>
            <w:tcW w:w="1417" w:type="dxa"/>
            <w:noWrap/>
            <w:hideMark/>
          </w:tcPr>
          <w:p w14:paraId="00997ADF" w14:textId="77777777" w:rsidR="00B75110" w:rsidRPr="0086277E" w:rsidRDefault="00B75110" w:rsidP="0086277E">
            <w:pPr>
              <w:keepNext/>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sz w:val="20"/>
                <w:szCs w:val="20"/>
              </w:rPr>
            </w:pPr>
            <w:r w:rsidRPr="0086277E">
              <w:rPr>
                <w:rFonts w:ascii="Times" w:hAnsi="Times" w:cs="Times New Roman"/>
                <w:sz w:val="20"/>
                <w:szCs w:val="20"/>
              </w:rPr>
              <w:t>18</w:t>
            </w:r>
            <w:r w:rsidR="002C71C9" w:rsidRPr="0086277E">
              <w:rPr>
                <w:rFonts w:ascii="Times" w:eastAsia="Times New Roman" w:hAnsi="Times" w:cs="Times New Roman"/>
                <w:sz w:val="20"/>
                <w:szCs w:val="20"/>
              </w:rPr>
              <w:t xml:space="preserve"> </w:t>
            </w:r>
            <w:r w:rsidRPr="0086277E">
              <w:rPr>
                <w:rFonts w:ascii="Times" w:hAnsi="Times" w:cs="Times New Roman"/>
                <w:sz w:val="20"/>
                <w:szCs w:val="20"/>
              </w:rPr>
              <w:t>342.8</w:t>
            </w:r>
          </w:p>
        </w:tc>
        <w:tc>
          <w:tcPr>
            <w:tcW w:w="1418" w:type="dxa"/>
            <w:shd w:val="clear" w:color="auto" w:fill="auto"/>
            <w:noWrap/>
            <w:hideMark/>
          </w:tcPr>
          <w:p w14:paraId="1B0B65DA" w14:textId="77777777" w:rsidR="00B75110" w:rsidRPr="0086277E" w:rsidRDefault="00B75110" w:rsidP="0086277E">
            <w:pPr>
              <w:keepNext/>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sz w:val="20"/>
                <w:szCs w:val="20"/>
              </w:rPr>
            </w:pPr>
            <w:r w:rsidRPr="0086277E">
              <w:rPr>
                <w:rFonts w:ascii="Times" w:hAnsi="Times" w:cs="Times New Roman"/>
                <w:sz w:val="20"/>
                <w:szCs w:val="20"/>
              </w:rPr>
              <w:t>19</w:t>
            </w:r>
            <w:r w:rsidR="002C71C9" w:rsidRPr="0086277E">
              <w:rPr>
                <w:rFonts w:ascii="Times" w:eastAsia="Times New Roman" w:hAnsi="Times" w:cs="Times New Roman"/>
                <w:sz w:val="20"/>
                <w:szCs w:val="20"/>
              </w:rPr>
              <w:t xml:space="preserve"> </w:t>
            </w:r>
            <w:r w:rsidRPr="0086277E">
              <w:rPr>
                <w:rFonts w:ascii="Times" w:hAnsi="Times" w:cs="Times New Roman"/>
                <w:sz w:val="20"/>
                <w:szCs w:val="20"/>
              </w:rPr>
              <w:t>058.3</w:t>
            </w:r>
          </w:p>
        </w:tc>
        <w:tc>
          <w:tcPr>
            <w:tcW w:w="1417" w:type="dxa"/>
            <w:shd w:val="clear" w:color="auto" w:fill="auto"/>
            <w:noWrap/>
            <w:hideMark/>
          </w:tcPr>
          <w:p w14:paraId="1F4F0F73" w14:textId="77777777" w:rsidR="00B75110" w:rsidRPr="0086277E" w:rsidRDefault="00B75110" w:rsidP="0086277E">
            <w:pPr>
              <w:keepNext/>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sz w:val="20"/>
                <w:szCs w:val="20"/>
              </w:rPr>
            </w:pPr>
            <w:r w:rsidRPr="0086277E">
              <w:rPr>
                <w:rFonts w:ascii="Times" w:hAnsi="Times" w:cs="Times New Roman"/>
                <w:sz w:val="20"/>
                <w:szCs w:val="20"/>
              </w:rPr>
              <w:t>19</w:t>
            </w:r>
            <w:r w:rsidR="002C71C9" w:rsidRPr="0086277E">
              <w:rPr>
                <w:rFonts w:ascii="Times" w:eastAsia="Times New Roman" w:hAnsi="Times" w:cs="Times New Roman"/>
                <w:sz w:val="20"/>
                <w:szCs w:val="20"/>
              </w:rPr>
              <w:t xml:space="preserve"> </w:t>
            </w:r>
            <w:r w:rsidRPr="0086277E">
              <w:rPr>
                <w:rFonts w:ascii="Times" w:hAnsi="Times" w:cs="Times New Roman"/>
                <w:sz w:val="20"/>
                <w:szCs w:val="20"/>
              </w:rPr>
              <w:t>597.2</w:t>
            </w:r>
          </w:p>
        </w:tc>
        <w:tc>
          <w:tcPr>
            <w:tcW w:w="1701" w:type="dxa"/>
            <w:shd w:val="clear" w:color="auto" w:fill="auto"/>
            <w:noWrap/>
            <w:hideMark/>
          </w:tcPr>
          <w:p w14:paraId="3710770C" w14:textId="77777777" w:rsidR="00B75110" w:rsidRPr="0086277E" w:rsidRDefault="00B75110" w:rsidP="0086277E">
            <w:pPr>
              <w:keepNext/>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sz w:val="20"/>
                <w:szCs w:val="20"/>
              </w:rPr>
            </w:pPr>
            <w:r w:rsidRPr="0086277E">
              <w:rPr>
                <w:rFonts w:ascii="Times" w:hAnsi="Times" w:cs="Times New Roman"/>
                <w:sz w:val="20"/>
                <w:szCs w:val="20"/>
              </w:rPr>
              <w:t>56</w:t>
            </w:r>
            <w:r w:rsidR="002C71C9" w:rsidRPr="0086277E">
              <w:rPr>
                <w:rFonts w:ascii="Times" w:eastAsia="Times New Roman" w:hAnsi="Times" w:cs="Times New Roman"/>
                <w:sz w:val="20"/>
                <w:szCs w:val="20"/>
              </w:rPr>
              <w:t xml:space="preserve"> </w:t>
            </w:r>
            <w:r w:rsidRPr="0086277E">
              <w:rPr>
                <w:rFonts w:ascii="Times" w:hAnsi="Times" w:cs="Times New Roman"/>
                <w:sz w:val="20"/>
                <w:szCs w:val="20"/>
              </w:rPr>
              <w:t>998.3</w:t>
            </w:r>
          </w:p>
        </w:tc>
      </w:tr>
      <w:tr w:rsidR="00B75110" w:rsidRPr="000D33E4" w14:paraId="6F651C71" w14:textId="77777777" w:rsidTr="00D553A1">
        <w:trPr>
          <w:trHeight w:val="210"/>
        </w:trPr>
        <w:tc>
          <w:tcPr>
            <w:cnfStyle w:val="001000000000" w:firstRow="0" w:lastRow="0" w:firstColumn="1" w:lastColumn="0" w:oddVBand="0" w:evenVBand="0" w:oddHBand="0" w:evenHBand="0" w:firstRowFirstColumn="0" w:firstRowLastColumn="0" w:lastRowFirstColumn="0" w:lastRowLastColumn="0"/>
            <w:tcW w:w="3681" w:type="dxa"/>
            <w:hideMark/>
          </w:tcPr>
          <w:p w14:paraId="470E7788" w14:textId="77777777" w:rsidR="00B75110" w:rsidRPr="0086277E" w:rsidRDefault="002C71C9" w:rsidP="001D006A">
            <w:pPr>
              <w:keepNext/>
              <w:jc w:val="left"/>
              <w:rPr>
                <w:rFonts w:ascii="Times" w:eastAsia="Times New Roman" w:hAnsi="Times" w:cs="Times New Roman"/>
                <w:sz w:val="20"/>
                <w:szCs w:val="20"/>
              </w:rPr>
            </w:pPr>
            <w:r w:rsidRPr="0086277E">
              <w:rPr>
                <w:rFonts w:ascii="Times" w:eastAsia="Times New Roman" w:hAnsi="Times" w:cs="Times New Roman"/>
                <w:sz w:val="20"/>
                <w:szCs w:val="20"/>
              </w:rPr>
              <w:t>Total</w:t>
            </w:r>
          </w:p>
        </w:tc>
        <w:tc>
          <w:tcPr>
            <w:tcW w:w="1417" w:type="dxa"/>
            <w:noWrap/>
            <w:hideMark/>
          </w:tcPr>
          <w:p w14:paraId="110C6F35" w14:textId="77777777" w:rsidR="00B75110" w:rsidRPr="0086277E" w:rsidRDefault="00B75110" w:rsidP="0086277E">
            <w:pPr>
              <w:keepNext/>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b/>
                <w:bCs/>
                <w:sz w:val="20"/>
                <w:szCs w:val="20"/>
              </w:rPr>
            </w:pPr>
            <w:r w:rsidRPr="0086277E">
              <w:rPr>
                <w:rFonts w:ascii="Times" w:hAnsi="Times" w:cs="Times New Roman"/>
                <w:b/>
                <w:bCs/>
                <w:sz w:val="20"/>
                <w:szCs w:val="20"/>
              </w:rPr>
              <w:t>110</w:t>
            </w:r>
            <w:r w:rsidR="002C71C9" w:rsidRPr="0086277E">
              <w:rPr>
                <w:rFonts w:ascii="Times" w:eastAsia="Times New Roman" w:hAnsi="Times" w:cs="Times New Roman"/>
                <w:b/>
                <w:bCs/>
                <w:sz w:val="20"/>
                <w:szCs w:val="20"/>
              </w:rPr>
              <w:t xml:space="preserve"> </w:t>
            </w:r>
            <w:r w:rsidRPr="0086277E">
              <w:rPr>
                <w:rFonts w:ascii="Times" w:hAnsi="Times" w:cs="Times New Roman"/>
                <w:b/>
                <w:bCs/>
                <w:sz w:val="20"/>
                <w:szCs w:val="20"/>
              </w:rPr>
              <w:t>784.8</w:t>
            </w:r>
          </w:p>
        </w:tc>
        <w:tc>
          <w:tcPr>
            <w:tcW w:w="1418" w:type="dxa"/>
            <w:shd w:val="clear" w:color="auto" w:fill="auto"/>
            <w:noWrap/>
            <w:hideMark/>
          </w:tcPr>
          <w:p w14:paraId="2512ECB8" w14:textId="77777777" w:rsidR="00B75110" w:rsidRPr="0086277E" w:rsidRDefault="00B75110" w:rsidP="0086277E">
            <w:pPr>
              <w:keepNext/>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b/>
                <w:bCs/>
                <w:sz w:val="20"/>
                <w:szCs w:val="20"/>
              </w:rPr>
            </w:pPr>
            <w:r w:rsidRPr="0086277E">
              <w:rPr>
                <w:rFonts w:ascii="Times" w:hAnsi="Times" w:cs="Times New Roman"/>
                <w:b/>
                <w:bCs/>
                <w:sz w:val="20"/>
                <w:szCs w:val="20"/>
              </w:rPr>
              <w:t>117</w:t>
            </w:r>
            <w:r w:rsidR="002C71C9" w:rsidRPr="0086277E">
              <w:rPr>
                <w:rFonts w:ascii="Times" w:eastAsia="Times New Roman" w:hAnsi="Times" w:cs="Times New Roman"/>
                <w:b/>
                <w:bCs/>
                <w:sz w:val="20"/>
                <w:szCs w:val="20"/>
              </w:rPr>
              <w:t xml:space="preserve"> </w:t>
            </w:r>
            <w:r w:rsidRPr="0086277E">
              <w:rPr>
                <w:rFonts w:ascii="Times" w:hAnsi="Times" w:cs="Times New Roman"/>
                <w:b/>
                <w:bCs/>
                <w:sz w:val="20"/>
                <w:szCs w:val="20"/>
              </w:rPr>
              <w:t>961.5</w:t>
            </w:r>
          </w:p>
        </w:tc>
        <w:tc>
          <w:tcPr>
            <w:tcW w:w="1417" w:type="dxa"/>
            <w:shd w:val="clear" w:color="auto" w:fill="auto"/>
            <w:noWrap/>
            <w:hideMark/>
          </w:tcPr>
          <w:p w14:paraId="6210059D" w14:textId="77777777" w:rsidR="00B75110" w:rsidRPr="0086277E" w:rsidRDefault="00B75110" w:rsidP="0086277E">
            <w:pPr>
              <w:keepNext/>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b/>
                <w:bCs/>
                <w:sz w:val="20"/>
                <w:szCs w:val="20"/>
              </w:rPr>
            </w:pPr>
            <w:r w:rsidRPr="0086277E">
              <w:rPr>
                <w:rFonts w:ascii="Times" w:hAnsi="Times" w:cs="Times New Roman"/>
                <w:b/>
                <w:bCs/>
                <w:sz w:val="20"/>
                <w:szCs w:val="20"/>
              </w:rPr>
              <w:t>123</w:t>
            </w:r>
            <w:r w:rsidR="002C71C9" w:rsidRPr="0086277E">
              <w:rPr>
                <w:rFonts w:ascii="Times" w:eastAsia="Times New Roman" w:hAnsi="Times" w:cs="Times New Roman"/>
                <w:b/>
                <w:bCs/>
                <w:sz w:val="20"/>
                <w:szCs w:val="20"/>
              </w:rPr>
              <w:t xml:space="preserve"> </w:t>
            </w:r>
            <w:r w:rsidRPr="0086277E">
              <w:rPr>
                <w:rFonts w:ascii="Times" w:hAnsi="Times" w:cs="Times New Roman"/>
                <w:b/>
                <w:bCs/>
                <w:sz w:val="20"/>
                <w:szCs w:val="20"/>
              </w:rPr>
              <w:t>136.7</w:t>
            </w:r>
          </w:p>
        </w:tc>
        <w:tc>
          <w:tcPr>
            <w:tcW w:w="1701" w:type="dxa"/>
            <w:shd w:val="clear" w:color="auto" w:fill="auto"/>
            <w:noWrap/>
            <w:hideMark/>
          </w:tcPr>
          <w:p w14:paraId="1BB44FC6" w14:textId="77777777" w:rsidR="00B75110" w:rsidRPr="0086277E" w:rsidRDefault="00B75110" w:rsidP="0086277E">
            <w:pPr>
              <w:keepNext/>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b/>
                <w:bCs/>
                <w:sz w:val="20"/>
                <w:szCs w:val="20"/>
              </w:rPr>
            </w:pPr>
            <w:r w:rsidRPr="0086277E">
              <w:rPr>
                <w:rFonts w:ascii="Times" w:hAnsi="Times" w:cs="Times New Roman"/>
                <w:b/>
                <w:bCs/>
                <w:sz w:val="20"/>
                <w:szCs w:val="20"/>
              </w:rPr>
              <w:t>351</w:t>
            </w:r>
            <w:r w:rsidR="002C71C9" w:rsidRPr="0086277E">
              <w:rPr>
                <w:rFonts w:ascii="Times" w:eastAsia="Times New Roman" w:hAnsi="Times" w:cs="Times New Roman"/>
                <w:b/>
                <w:bCs/>
                <w:sz w:val="20"/>
                <w:szCs w:val="20"/>
              </w:rPr>
              <w:t xml:space="preserve"> </w:t>
            </w:r>
            <w:r w:rsidRPr="0086277E">
              <w:rPr>
                <w:rFonts w:ascii="Times" w:hAnsi="Times" w:cs="Times New Roman"/>
                <w:b/>
                <w:bCs/>
                <w:sz w:val="20"/>
                <w:szCs w:val="20"/>
              </w:rPr>
              <w:t>883.0</w:t>
            </w:r>
          </w:p>
        </w:tc>
      </w:tr>
    </w:tbl>
    <w:p w14:paraId="15012020" w14:textId="77777777" w:rsidR="00B75110" w:rsidRPr="009A7F2D" w:rsidRDefault="00B75110" w:rsidP="009A7F2D">
      <w:pPr>
        <w:keepNext/>
        <w:spacing w:line="240" w:lineRule="auto"/>
        <w:rPr>
          <w:rFonts w:ascii="Times" w:hAnsi="Times"/>
          <w:i/>
          <w:sz w:val="20"/>
          <w:szCs w:val="20"/>
        </w:rPr>
      </w:pPr>
      <w:r w:rsidRPr="009A7F2D">
        <w:rPr>
          <w:rFonts w:ascii="Times" w:hAnsi="Times"/>
          <w:i/>
          <w:sz w:val="20"/>
          <w:szCs w:val="20"/>
        </w:rPr>
        <w:t>Source: ENE 2020</w:t>
      </w:r>
    </w:p>
    <w:p w14:paraId="673A35E0" w14:textId="77777777" w:rsidR="00B75110" w:rsidRPr="000D33E4" w:rsidRDefault="00B75110" w:rsidP="009A7F2D">
      <w:pPr>
        <w:keepNext/>
        <w:spacing w:line="240" w:lineRule="auto"/>
        <w:rPr>
          <w:rFonts w:ascii="Times" w:hAnsi="Times"/>
          <w:b/>
        </w:rPr>
      </w:pPr>
    </w:p>
    <w:p w14:paraId="3F31D2CD" w14:textId="77777777" w:rsidR="00B75110" w:rsidRPr="000D33E4" w:rsidRDefault="00B75110" w:rsidP="007B1E55">
      <w:pPr>
        <w:rPr>
          <w:rFonts w:ascii="Times" w:hAnsi="Times"/>
          <w:b/>
        </w:rPr>
      </w:pPr>
    </w:p>
    <w:p w14:paraId="7570E90C" w14:textId="6457CB7F" w:rsidR="00B826E6" w:rsidRPr="009A7F2D" w:rsidRDefault="00B826E6" w:rsidP="009A7F2D">
      <w:pPr>
        <w:pStyle w:val="Caption"/>
        <w:keepNext/>
        <w:spacing w:after="60" w:line="240" w:lineRule="auto"/>
        <w:rPr>
          <w:rFonts w:ascii="Times" w:hAnsi="Times"/>
          <w:color w:val="004C45" w:themeColor="text2"/>
          <w:sz w:val="24"/>
          <w:szCs w:val="24"/>
        </w:rPr>
      </w:pPr>
      <w:bookmarkStart w:id="114" w:name="_Ref40887441"/>
      <w:bookmarkStart w:id="115" w:name="_Toc42212150"/>
      <w:r w:rsidRPr="009A7F2D">
        <w:rPr>
          <w:rFonts w:ascii="Times" w:hAnsi="Times"/>
          <w:color w:val="004C45" w:themeColor="text2"/>
          <w:sz w:val="24"/>
          <w:szCs w:val="24"/>
        </w:rPr>
        <w:t xml:space="preserve">Table </w:t>
      </w:r>
      <w:r w:rsidRPr="009A7F2D">
        <w:rPr>
          <w:rFonts w:ascii="Times" w:hAnsi="Times"/>
          <w:color w:val="004C45" w:themeColor="text2"/>
          <w:sz w:val="24"/>
          <w:szCs w:val="24"/>
        </w:rPr>
        <w:fldChar w:fldCharType="begin"/>
      </w:r>
      <w:r w:rsidRPr="009A7F2D">
        <w:rPr>
          <w:rFonts w:ascii="Times" w:hAnsi="Times"/>
          <w:color w:val="004C45" w:themeColor="text2"/>
          <w:sz w:val="24"/>
          <w:szCs w:val="24"/>
        </w:rPr>
        <w:instrText xml:space="preserve"> SEQ Table \* ARABIC </w:instrText>
      </w:r>
      <w:r w:rsidRPr="009A7F2D">
        <w:rPr>
          <w:rFonts w:ascii="Times" w:hAnsi="Times"/>
          <w:color w:val="004C45" w:themeColor="text2"/>
          <w:sz w:val="24"/>
          <w:szCs w:val="24"/>
        </w:rPr>
        <w:fldChar w:fldCharType="separate"/>
      </w:r>
      <w:r w:rsidR="00492893">
        <w:rPr>
          <w:rFonts w:ascii="Times" w:hAnsi="Times"/>
          <w:noProof/>
          <w:color w:val="004C45" w:themeColor="text2"/>
          <w:sz w:val="24"/>
          <w:szCs w:val="24"/>
        </w:rPr>
        <w:t>21</w:t>
      </w:r>
      <w:r w:rsidRPr="009A7F2D">
        <w:rPr>
          <w:rFonts w:ascii="Times" w:hAnsi="Times"/>
          <w:color w:val="004C45" w:themeColor="text2"/>
          <w:sz w:val="24"/>
          <w:szCs w:val="24"/>
        </w:rPr>
        <w:fldChar w:fldCharType="end"/>
      </w:r>
      <w:bookmarkEnd w:id="114"/>
      <w:r w:rsidR="002C71C9" w:rsidRPr="009A7F2D">
        <w:rPr>
          <w:rFonts w:ascii="Times" w:hAnsi="Times"/>
          <w:color w:val="004C45" w:themeColor="text2"/>
          <w:sz w:val="24"/>
          <w:szCs w:val="24"/>
        </w:rPr>
        <w:t>:</w:t>
      </w:r>
      <w:r w:rsidRPr="009A7F2D">
        <w:rPr>
          <w:rFonts w:ascii="Times" w:hAnsi="Times"/>
          <w:color w:val="004C45" w:themeColor="text2"/>
          <w:sz w:val="24"/>
          <w:szCs w:val="24"/>
        </w:rPr>
        <w:t xml:space="preserve"> Total </w:t>
      </w:r>
      <w:r w:rsidR="002C71C9" w:rsidRPr="009A7F2D">
        <w:rPr>
          <w:rFonts w:ascii="Times" w:hAnsi="Times"/>
          <w:color w:val="004C45" w:themeColor="text2"/>
          <w:sz w:val="24"/>
          <w:szCs w:val="24"/>
        </w:rPr>
        <w:t>m</w:t>
      </w:r>
      <w:r w:rsidRPr="009A7F2D">
        <w:rPr>
          <w:rFonts w:ascii="Times" w:hAnsi="Times"/>
          <w:color w:val="004C45" w:themeColor="text2"/>
          <w:sz w:val="24"/>
          <w:szCs w:val="24"/>
        </w:rPr>
        <w:t xml:space="preserve">unicipal </w:t>
      </w:r>
      <w:r w:rsidR="002C71C9" w:rsidRPr="009A7F2D">
        <w:rPr>
          <w:rFonts w:ascii="Times" w:hAnsi="Times"/>
          <w:color w:val="004C45" w:themeColor="text2"/>
          <w:sz w:val="24"/>
          <w:szCs w:val="24"/>
        </w:rPr>
        <w:t>c</w:t>
      </w:r>
      <w:r w:rsidRPr="009A7F2D">
        <w:rPr>
          <w:rFonts w:ascii="Times" w:hAnsi="Times"/>
          <w:color w:val="004C45" w:themeColor="text2"/>
          <w:sz w:val="24"/>
          <w:szCs w:val="24"/>
        </w:rPr>
        <w:t xml:space="preserve">onditional </w:t>
      </w:r>
      <w:r w:rsidR="002C71C9" w:rsidRPr="009A7F2D">
        <w:rPr>
          <w:rFonts w:ascii="Times" w:hAnsi="Times"/>
          <w:color w:val="004C45" w:themeColor="text2"/>
          <w:sz w:val="24"/>
          <w:szCs w:val="24"/>
        </w:rPr>
        <w:t>g</w:t>
      </w:r>
      <w:r w:rsidRPr="009A7F2D">
        <w:rPr>
          <w:rFonts w:ascii="Times" w:hAnsi="Times"/>
          <w:color w:val="004C45" w:themeColor="text2"/>
          <w:sz w:val="24"/>
          <w:szCs w:val="24"/>
        </w:rPr>
        <w:t xml:space="preserve">rants </w:t>
      </w:r>
      <w:r w:rsidR="002C71C9" w:rsidRPr="009A7F2D">
        <w:rPr>
          <w:rFonts w:ascii="Times" w:hAnsi="Times"/>
          <w:color w:val="004C45" w:themeColor="text2"/>
          <w:sz w:val="24"/>
          <w:szCs w:val="24"/>
        </w:rPr>
        <w:t>f</w:t>
      </w:r>
      <w:r w:rsidRPr="009A7F2D">
        <w:rPr>
          <w:rFonts w:ascii="Times" w:hAnsi="Times"/>
          <w:color w:val="004C45" w:themeColor="text2"/>
          <w:sz w:val="24"/>
          <w:szCs w:val="24"/>
        </w:rPr>
        <w:t xml:space="preserve">unding by </w:t>
      </w:r>
      <w:r w:rsidR="002C71C9" w:rsidRPr="009A7F2D">
        <w:rPr>
          <w:rFonts w:ascii="Times" w:hAnsi="Times"/>
          <w:color w:val="004C45" w:themeColor="text2"/>
          <w:sz w:val="24"/>
          <w:szCs w:val="24"/>
        </w:rPr>
        <w:t>n</w:t>
      </w:r>
      <w:r w:rsidRPr="009A7F2D">
        <w:rPr>
          <w:rFonts w:ascii="Times" w:hAnsi="Times"/>
          <w:color w:val="004C45" w:themeColor="text2"/>
          <w:sz w:val="24"/>
          <w:szCs w:val="24"/>
        </w:rPr>
        <w:t xml:space="preserve">ational </w:t>
      </w:r>
      <w:r w:rsidR="002C71C9" w:rsidRPr="009A7F2D">
        <w:rPr>
          <w:rFonts w:ascii="Times" w:hAnsi="Times"/>
          <w:color w:val="004C45" w:themeColor="text2"/>
          <w:sz w:val="24"/>
          <w:szCs w:val="24"/>
        </w:rPr>
        <w:t>d</w:t>
      </w:r>
      <w:r w:rsidRPr="009A7F2D">
        <w:rPr>
          <w:rFonts w:ascii="Times" w:hAnsi="Times"/>
          <w:color w:val="004C45" w:themeColor="text2"/>
          <w:sz w:val="24"/>
          <w:szCs w:val="24"/>
        </w:rPr>
        <w:t>epartment</w:t>
      </w:r>
      <w:r w:rsidR="002C71C9" w:rsidRPr="009A7F2D">
        <w:rPr>
          <w:rFonts w:ascii="Times" w:hAnsi="Times"/>
          <w:color w:val="004C45" w:themeColor="text2"/>
          <w:sz w:val="24"/>
          <w:szCs w:val="24"/>
        </w:rPr>
        <w:t>s</w:t>
      </w:r>
      <w:bookmarkEnd w:id="115"/>
    </w:p>
    <w:tbl>
      <w:tblPr>
        <w:tblStyle w:val="GridTable1Light-Accent6"/>
        <w:tblW w:w="9634" w:type="dxa"/>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Look w:val="04A0" w:firstRow="1" w:lastRow="0" w:firstColumn="1" w:lastColumn="0" w:noHBand="0" w:noVBand="1"/>
      </w:tblPr>
      <w:tblGrid>
        <w:gridCol w:w="3253"/>
        <w:gridCol w:w="1420"/>
        <w:gridCol w:w="1418"/>
        <w:gridCol w:w="1703"/>
        <w:gridCol w:w="1840"/>
      </w:tblGrid>
      <w:tr w:rsidR="00B75110" w:rsidRPr="000D33E4" w14:paraId="02EB60BE" w14:textId="77777777" w:rsidTr="0086277E">
        <w:trPr>
          <w:cnfStyle w:val="100000000000" w:firstRow="1" w:lastRow="0" w:firstColumn="0" w:lastColumn="0" w:oddVBand="0" w:evenVBand="0" w:oddHBand="0"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3253" w:type="dxa"/>
            <w:vMerge w:val="restart"/>
            <w:tcBorders>
              <w:bottom w:val="none" w:sz="0" w:space="0" w:color="auto"/>
            </w:tcBorders>
            <w:noWrap/>
            <w:vAlign w:val="center"/>
            <w:hideMark/>
          </w:tcPr>
          <w:p w14:paraId="07A964C1" w14:textId="77777777" w:rsidR="00B75110" w:rsidRPr="00A80B0A" w:rsidRDefault="00B75110" w:rsidP="0086277E">
            <w:pPr>
              <w:keepNext/>
              <w:jc w:val="left"/>
              <w:rPr>
                <w:rFonts w:ascii="Times" w:eastAsia="Times New Roman" w:hAnsi="Times" w:cs="Times New Roman"/>
                <w:sz w:val="20"/>
                <w:szCs w:val="20"/>
              </w:rPr>
            </w:pPr>
            <w:r w:rsidRPr="00A80B0A">
              <w:rPr>
                <w:rFonts w:ascii="Times" w:eastAsia="Times New Roman" w:hAnsi="Times" w:cs="Times New Roman"/>
                <w:sz w:val="20"/>
                <w:szCs w:val="20"/>
              </w:rPr>
              <w:t>R</w:t>
            </w:r>
            <w:r w:rsidR="002C71C9" w:rsidRPr="00A80B0A">
              <w:rPr>
                <w:rFonts w:ascii="Times" w:eastAsia="Times New Roman" w:hAnsi="Times" w:cs="Times New Roman"/>
                <w:sz w:val="20"/>
                <w:szCs w:val="20"/>
              </w:rPr>
              <w:t xml:space="preserve"> </w:t>
            </w:r>
            <w:r w:rsidRPr="00A80B0A">
              <w:rPr>
                <w:rFonts w:ascii="Times" w:eastAsia="Times New Roman" w:hAnsi="Times" w:cs="Times New Roman"/>
                <w:sz w:val="20"/>
                <w:szCs w:val="20"/>
              </w:rPr>
              <w:t>million</w:t>
            </w:r>
          </w:p>
        </w:tc>
        <w:tc>
          <w:tcPr>
            <w:tcW w:w="4541" w:type="dxa"/>
            <w:gridSpan w:val="3"/>
            <w:tcBorders>
              <w:bottom w:val="none" w:sz="0" w:space="0" w:color="auto"/>
            </w:tcBorders>
            <w:shd w:val="clear" w:color="auto" w:fill="auto"/>
            <w:noWrap/>
            <w:vAlign w:val="center"/>
            <w:hideMark/>
          </w:tcPr>
          <w:p w14:paraId="088AE91A" w14:textId="7261801A" w:rsidR="00B75110" w:rsidRPr="0086277E" w:rsidRDefault="00B75110" w:rsidP="0086277E">
            <w:pPr>
              <w:keepNext/>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New Roman"/>
                <w:sz w:val="20"/>
                <w:szCs w:val="20"/>
              </w:rPr>
            </w:pPr>
            <w:r w:rsidRPr="0086277E">
              <w:rPr>
                <w:rFonts w:ascii="Times" w:eastAsia="Times New Roman" w:hAnsi="Times" w:cs="Times New Roman"/>
                <w:sz w:val="20"/>
                <w:szCs w:val="20"/>
              </w:rPr>
              <w:t>Medium-term expenditure estimates</w:t>
            </w:r>
          </w:p>
        </w:tc>
        <w:tc>
          <w:tcPr>
            <w:tcW w:w="1840" w:type="dxa"/>
            <w:vMerge w:val="restart"/>
            <w:tcBorders>
              <w:bottom w:val="none" w:sz="0" w:space="0" w:color="auto"/>
            </w:tcBorders>
            <w:shd w:val="clear" w:color="auto" w:fill="auto"/>
            <w:vAlign w:val="center"/>
            <w:hideMark/>
          </w:tcPr>
          <w:p w14:paraId="541D4BA2" w14:textId="3BDE886E" w:rsidR="00B75110" w:rsidRPr="0086277E" w:rsidRDefault="00B75110" w:rsidP="0086277E">
            <w:pPr>
              <w:keepNext/>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New Roman"/>
                <w:sz w:val="20"/>
                <w:szCs w:val="20"/>
              </w:rPr>
            </w:pPr>
            <w:r w:rsidRPr="0086277E">
              <w:rPr>
                <w:rFonts w:ascii="Times" w:eastAsia="Times New Roman" w:hAnsi="Times" w:cs="Times New Roman"/>
                <w:sz w:val="20"/>
                <w:szCs w:val="20"/>
              </w:rPr>
              <w:t>Total over MTEF 2020/21-2022/23</w:t>
            </w:r>
          </w:p>
        </w:tc>
      </w:tr>
      <w:tr w:rsidR="009A7F2D" w:rsidRPr="000D33E4" w14:paraId="252AE105" w14:textId="77777777" w:rsidTr="00A80B0A">
        <w:trPr>
          <w:trHeight w:val="210"/>
        </w:trPr>
        <w:tc>
          <w:tcPr>
            <w:cnfStyle w:val="001000000000" w:firstRow="0" w:lastRow="0" w:firstColumn="1" w:lastColumn="0" w:oddVBand="0" w:evenVBand="0" w:oddHBand="0" w:evenHBand="0" w:firstRowFirstColumn="0" w:firstRowLastColumn="0" w:lastRowFirstColumn="0" w:lastRowLastColumn="0"/>
            <w:tcW w:w="3253" w:type="dxa"/>
            <w:vMerge/>
            <w:noWrap/>
            <w:hideMark/>
          </w:tcPr>
          <w:p w14:paraId="1AEB192A" w14:textId="77777777" w:rsidR="00B75110" w:rsidRPr="0086277E" w:rsidRDefault="00B75110" w:rsidP="00D449D8">
            <w:pPr>
              <w:keepNext/>
              <w:rPr>
                <w:rFonts w:ascii="Times" w:eastAsia="Times New Roman" w:hAnsi="Times" w:cs="Times New Roman"/>
                <w:i/>
                <w:iCs/>
                <w:sz w:val="20"/>
                <w:szCs w:val="20"/>
              </w:rPr>
            </w:pPr>
          </w:p>
        </w:tc>
        <w:tc>
          <w:tcPr>
            <w:tcW w:w="1420" w:type="dxa"/>
            <w:shd w:val="clear" w:color="auto" w:fill="auto"/>
            <w:noWrap/>
            <w:hideMark/>
          </w:tcPr>
          <w:p w14:paraId="48312651" w14:textId="77777777" w:rsidR="00B75110" w:rsidRPr="0086277E" w:rsidRDefault="00B75110" w:rsidP="00643E3C">
            <w:pPr>
              <w:keepNext/>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b/>
                <w:bCs/>
                <w:sz w:val="20"/>
                <w:szCs w:val="20"/>
              </w:rPr>
            </w:pPr>
            <w:r w:rsidRPr="0086277E">
              <w:rPr>
                <w:rFonts w:ascii="Times" w:eastAsia="Times New Roman" w:hAnsi="Times" w:cs="Times New Roman"/>
                <w:b/>
                <w:bCs/>
                <w:sz w:val="20"/>
                <w:szCs w:val="20"/>
              </w:rPr>
              <w:t>2020/21</w:t>
            </w:r>
          </w:p>
        </w:tc>
        <w:tc>
          <w:tcPr>
            <w:tcW w:w="1418" w:type="dxa"/>
            <w:shd w:val="clear" w:color="auto" w:fill="auto"/>
            <w:noWrap/>
            <w:hideMark/>
          </w:tcPr>
          <w:p w14:paraId="2097DBE7" w14:textId="77777777" w:rsidR="00B75110" w:rsidRPr="0086277E" w:rsidRDefault="00B75110" w:rsidP="00A87760">
            <w:pPr>
              <w:keepNext/>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b/>
                <w:bCs/>
                <w:sz w:val="20"/>
                <w:szCs w:val="20"/>
              </w:rPr>
            </w:pPr>
            <w:r w:rsidRPr="0086277E">
              <w:rPr>
                <w:rFonts w:ascii="Times" w:eastAsia="Times New Roman" w:hAnsi="Times" w:cs="Times New Roman"/>
                <w:b/>
                <w:bCs/>
                <w:sz w:val="20"/>
                <w:szCs w:val="20"/>
              </w:rPr>
              <w:t>2021/22</w:t>
            </w:r>
          </w:p>
        </w:tc>
        <w:tc>
          <w:tcPr>
            <w:tcW w:w="1703" w:type="dxa"/>
            <w:shd w:val="clear" w:color="auto" w:fill="auto"/>
            <w:noWrap/>
            <w:hideMark/>
          </w:tcPr>
          <w:p w14:paraId="7CDBE4A9" w14:textId="77777777" w:rsidR="00B75110" w:rsidRPr="0086277E" w:rsidRDefault="00B75110" w:rsidP="00A87760">
            <w:pPr>
              <w:keepNext/>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b/>
                <w:bCs/>
                <w:sz w:val="20"/>
                <w:szCs w:val="20"/>
              </w:rPr>
            </w:pPr>
            <w:r w:rsidRPr="0086277E">
              <w:rPr>
                <w:rFonts w:ascii="Times" w:eastAsia="Times New Roman" w:hAnsi="Times" w:cs="Times New Roman"/>
                <w:b/>
                <w:bCs/>
                <w:sz w:val="20"/>
                <w:szCs w:val="20"/>
              </w:rPr>
              <w:t>2022/23</w:t>
            </w:r>
          </w:p>
        </w:tc>
        <w:tc>
          <w:tcPr>
            <w:tcW w:w="1840" w:type="dxa"/>
            <w:vMerge/>
            <w:shd w:val="clear" w:color="auto" w:fill="auto"/>
            <w:hideMark/>
          </w:tcPr>
          <w:p w14:paraId="1AE02CFF" w14:textId="77777777" w:rsidR="00B75110" w:rsidRPr="0086277E" w:rsidRDefault="00B75110" w:rsidP="00A87760">
            <w:pPr>
              <w:keepNext/>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b/>
                <w:bCs/>
                <w:sz w:val="20"/>
                <w:szCs w:val="20"/>
              </w:rPr>
            </w:pPr>
          </w:p>
        </w:tc>
      </w:tr>
      <w:tr w:rsidR="009A7F2D" w:rsidRPr="000D33E4" w14:paraId="22D556C8" w14:textId="77777777" w:rsidTr="00A80B0A">
        <w:trPr>
          <w:trHeight w:val="221"/>
        </w:trPr>
        <w:tc>
          <w:tcPr>
            <w:cnfStyle w:val="001000000000" w:firstRow="0" w:lastRow="0" w:firstColumn="1" w:lastColumn="0" w:oddVBand="0" w:evenVBand="0" w:oddHBand="0" w:evenHBand="0" w:firstRowFirstColumn="0" w:firstRowLastColumn="0" w:lastRowFirstColumn="0" w:lastRowLastColumn="0"/>
            <w:tcW w:w="3253" w:type="dxa"/>
            <w:noWrap/>
            <w:hideMark/>
          </w:tcPr>
          <w:p w14:paraId="790740FF" w14:textId="77777777" w:rsidR="00B75110" w:rsidRPr="0086277E" w:rsidRDefault="00B75110" w:rsidP="00D449D8">
            <w:pPr>
              <w:keepNext/>
              <w:rPr>
                <w:rFonts w:ascii="Times" w:eastAsia="Times New Roman" w:hAnsi="Times" w:cs="Times New Roman"/>
                <w:b w:val="0"/>
                <w:sz w:val="20"/>
                <w:szCs w:val="20"/>
              </w:rPr>
            </w:pPr>
            <w:r w:rsidRPr="0086277E">
              <w:rPr>
                <w:rFonts w:ascii="Times" w:eastAsia="Times New Roman" w:hAnsi="Times" w:cs="Times New Roman"/>
                <w:b w:val="0"/>
                <w:sz w:val="20"/>
                <w:szCs w:val="20"/>
              </w:rPr>
              <w:t>Cooperative Governance</w:t>
            </w:r>
          </w:p>
        </w:tc>
        <w:tc>
          <w:tcPr>
            <w:tcW w:w="1420" w:type="dxa"/>
            <w:shd w:val="clear" w:color="auto" w:fill="auto"/>
            <w:noWrap/>
            <w:hideMark/>
          </w:tcPr>
          <w:p w14:paraId="26558215" w14:textId="77777777" w:rsidR="00B75110" w:rsidRPr="0086277E" w:rsidRDefault="00B75110" w:rsidP="0086277E">
            <w:pPr>
              <w:keepNext/>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sz w:val="20"/>
                <w:szCs w:val="20"/>
              </w:rPr>
            </w:pPr>
            <w:r w:rsidRPr="0086277E">
              <w:rPr>
                <w:rFonts w:ascii="Times" w:eastAsia="Times New Roman" w:hAnsi="Times" w:cs="Times New Roman"/>
                <w:sz w:val="20"/>
                <w:szCs w:val="20"/>
              </w:rPr>
              <w:t>15</w:t>
            </w:r>
            <w:r w:rsidR="002C71C9" w:rsidRPr="0086277E">
              <w:rPr>
                <w:rFonts w:ascii="Times" w:eastAsia="Times New Roman" w:hAnsi="Times" w:cs="Times New Roman"/>
                <w:sz w:val="20"/>
                <w:szCs w:val="20"/>
              </w:rPr>
              <w:t xml:space="preserve"> </w:t>
            </w:r>
            <w:r w:rsidRPr="0086277E">
              <w:rPr>
                <w:rFonts w:ascii="Times" w:eastAsia="Times New Roman" w:hAnsi="Times" w:cs="Times New Roman"/>
                <w:sz w:val="20"/>
                <w:szCs w:val="20"/>
              </w:rPr>
              <w:t>973.1</w:t>
            </w:r>
          </w:p>
        </w:tc>
        <w:tc>
          <w:tcPr>
            <w:tcW w:w="1418" w:type="dxa"/>
            <w:shd w:val="clear" w:color="auto" w:fill="auto"/>
            <w:noWrap/>
            <w:hideMark/>
          </w:tcPr>
          <w:p w14:paraId="396C1474" w14:textId="77777777" w:rsidR="00B75110" w:rsidRPr="0086277E" w:rsidRDefault="00B75110" w:rsidP="0086277E">
            <w:pPr>
              <w:keepNext/>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sz w:val="20"/>
                <w:szCs w:val="20"/>
              </w:rPr>
            </w:pPr>
            <w:r w:rsidRPr="0086277E">
              <w:rPr>
                <w:rFonts w:ascii="Times" w:eastAsia="Times New Roman" w:hAnsi="Times" w:cs="Times New Roman"/>
                <w:sz w:val="20"/>
                <w:szCs w:val="20"/>
              </w:rPr>
              <w:t>17</w:t>
            </w:r>
            <w:r w:rsidR="002C71C9" w:rsidRPr="0086277E">
              <w:rPr>
                <w:rFonts w:ascii="Times" w:eastAsia="Times New Roman" w:hAnsi="Times" w:cs="Times New Roman"/>
                <w:sz w:val="20"/>
                <w:szCs w:val="20"/>
              </w:rPr>
              <w:t xml:space="preserve"> </w:t>
            </w:r>
            <w:r w:rsidRPr="0086277E">
              <w:rPr>
                <w:rFonts w:ascii="Times" w:eastAsia="Times New Roman" w:hAnsi="Times" w:cs="Times New Roman"/>
                <w:sz w:val="20"/>
                <w:szCs w:val="20"/>
              </w:rPr>
              <w:t>325.2</w:t>
            </w:r>
          </w:p>
        </w:tc>
        <w:tc>
          <w:tcPr>
            <w:tcW w:w="1703" w:type="dxa"/>
            <w:shd w:val="clear" w:color="auto" w:fill="auto"/>
            <w:noWrap/>
            <w:hideMark/>
          </w:tcPr>
          <w:p w14:paraId="02598228" w14:textId="77777777" w:rsidR="00B75110" w:rsidRPr="0086277E" w:rsidRDefault="00B75110" w:rsidP="0086277E">
            <w:pPr>
              <w:keepNext/>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sz w:val="20"/>
                <w:szCs w:val="20"/>
              </w:rPr>
            </w:pPr>
            <w:r w:rsidRPr="0086277E">
              <w:rPr>
                <w:rFonts w:ascii="Times" w:eastAsia="Times New Roman" w:hAnsi="Times" w:cs="Times New Roman"/>
                <w:sz w:val="20"/>
                <w:szCs w:val="20"/>
              </w:rPr>
              <w:t>18</w:t>
            </w:r>
            <w:r w:rsidR="002C71C9" w:rsidRPr="0086277E">
              <w:rPr>
                <w:rFonts w:ascii="Times" w:eastAsia="Times New Roman" w:hAnsi="Times" w:cs="Times New Roman"/>
                <w:sz w:val="20"/>
                <w:szCs w:val="20"/>
              </w:rPr>
              <w:t xml:space="preserve"> </w:t>
            </w:r>
            <w:r w:rsidRPr="0086277E">
              <w:rPr>
                <w:rFonts w:ascii="Times" w:eastAsia="Times New Roman" w:hAnsi="Times" w:cs="Times New Roman"/>
                <w:sz w:val="20"/>
                <w:szCs w:val="20"/>
              </w:rPr>
              <w:t>318.4</w:t>
            </w:r>
          </w:p>
        </w:tc>
        <w:tc>
          <w:tcPr>
            <w:tcW w:w="1840" w:type="dxa"/>
            <w:shd w:val="clear" w:color="auto" w:fill="auto"/>
            <w:noWrap/>
            <w:hideMark/>
          </w:tcPr>
          <w:p w14:paraId="3EE2EE1B" w14:textId="77777777" w:rsidR="00B75110" w:rsidRPr="0086277E" w:rsidRDefault="00B75110" w:rsidP="0086277E">
            <w:pPr>
              <w:keepNext/>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sz w:val="20"/>
                <w:szCs w:val="20"/>
              </w:rPr>
            </w:pPr>
            <w:r w:rsidRPr="0086277E">
              <w:rPr>
                <w:rFonts w:ascii="Times" w:eastAsia="Times New Roman" w:hAnsi="Times" w:cs="Times New Roman"/>
                <w:sz w:val="20"/>
                <w:szCs w:val="20"/>
              </w:rPr>
              <w:t>51</w:t>
            </w:r>
            <w:r w:rsidR="002C71C9" w:rsidRPr="0086277E">
              <w:rPr>
                <w:rFonts w:ascii="Times" w:eastAsia="Times New Roman" w:hAnsi="Times" w:cs="Times New Roman"/>
                <w:sz w:val="20"/>
                <w:szCs w:val="20"/>
              </w:rPr>
              <w:t xml:space="preserve"> </w:t>
            </w:r>
            <w:r w:rsidRPr="0086277E">
              <w:rPr>
                <w:rFonts w:ascii="Times" w:eastAsia="Times New Roman" w:hAnsi="Times" w:cs="Times New Roman"/>
                <w:sz w:val="20"/>
                <w:szCs w:val="20"/>
              </w:rPr>
              <w:t>616.6</w:t>
            </w:r>
          </w:p>
        </w:tc>
      </w:tr>
      <w:tr w:rsidR="009A7F2D" w:rsidRPr="000D33E4" w14:paraId="680D5DA3" w14:textId="77777777" w:rsidTr="00A80B0A">
        <w:trPr>
          <w:trHeight w:val="183"/>
        </w:trPr>
        <w:tc>
          <w:tcPr>
            <w:cnfStyle w:val="001000000000" w:firstRow="0" w:lastRow="0" w:firstColumn="1" w:lastColumn="0" w:oddVBand="0" w:evenVBand="0" w:oddHBand="0" w:evenHBand="0" w:firstRowFirstColumn="0" w:firstRowLastColumn="0" w:lastRowFirstColumn="0" w:lastRowLastColumn="0"/>
            <w:tcW w:w="3253" w:type="dxa"/>
            <w:noWrap/>
            <w:hideMark/>
          </w:tcPr>
          <w:p w14:paraId="6D6F0062" w14:textId="77777777" w:rsidR="00B75110" w:rsidRPr="0086277E" w:rsidRDefault="00B75110" w:rsidP="00D449D8">
            <w:pPr>
              <w:keepNext/>
              <w:rPr>
                <w:rFonts w:ascii="Times" w:eastAsia="Times New Roman" w:hAnsi="Times" w:cs="Times New Roman"/>
                <w:b w:val="0"/>
                <w:sz w:val="20"/>
                <w:szCs w:val="20"/>
              </w:rPr>
            </w:pPr>
            <w:r w:rsidRPr="0086277E">
              <w:rPr>
                <w:rFonts w:ascii="Times" w:eastAsia="Times New Roman" w:hAnsi="Times" w:cs="Times New Roman"/>
                <w:b w:val="0"/>
                <w:sz w:val="20"/>
                <w:szCs w:val="20"/>
              </w:rPr>
              <w:t>National Treasury</w:t>
            </w:r>
          </w:p>
        </w:tc>
        <w:tc>
          <w:tcPr>
            <w:tcW w:w="1420" w:type="dxa"/>
            <w:shd w:val="clear" w:color="auto" w:fill="auto"/>
            <w:noWrap/>
            <w:hideMark/>
          </w:tcPr>
          <w:p w14:paraId="566EA59D" w14:textId="77777777" w:rsidR="00B75110" w:rsidRPr="0086277E" w:rsidRDefault="00B75110" w:rsidP="0086277E">
            <w:pPr>
              <w:keepNext/>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sz w:val="20"/>
                <w:szCs w:val="20"/>
              </w:rPr>
            </w:pPr>
            <w:r w:rsidRPr="0086277E">
              <w:rPr>
                <w:rFonts w:ascii="Times" w:eastAsia="Times New Roman" w:hAnsi="Times" w:cs="Times New Roman"/>
                <w:sz w:val="20"/>
                <w:szCs w:val="20"/>
              </w:rPr>
              <w:t>1</w:t>
            </w:r>
            <w:r w:rsidR="002C71C9" w:rsidRPr="0086277E">
              <w:rPr>
                <w:rFonts w:ascii="Times" w:eastAsia="Times New Roman" w:hAnsi="Times" w:cs="Times New Roman"/>
                <w:sz w:val="20"/>
                <w:szCs w:val="20"/>
              </w:rPr>
              <w:t xml:space="preserve"> </w:t>
            </w:r>
            <w:r w:rsidRPr="0086277E">
              <w:rPr>
                <w:rFonts w:ascii="Times" w:eastAsia="Times New Roman" w:hAnsi="Times" w:cs="Times New Roman"/>
                <w:sz w:val="20"/>
                <w:szCs w:val="20"/>
              </w:rPr>
              <w:t>575.0</w:t>
            </w:r>
          </w:p>
        </w:tc>
        <w:tc>
          <w:tcPr>
            <w:tcW w:w="1418" w:type="dxa"/>
            <w:shd w:val="clear" w:color="auto" w:fill="auto"/>
            <w:noWrap/>
            <w:hideMark/>
          </w:tcPr>
          <w:p w14:paraId="6DD4552B" w14:textId="77777777" w:rsidR="00B75110" w:rsidRPr="0086277E" w:rsidRDefault="00B75110" w:rsidP="0086277E">
            <w:pPr>
              <w:keepNext/>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sz w:val="20"/>
                <w:szCs w:val="20"/>
              </w:rPr>
            </w:pPr>
            <w:r w:rsidRPr="0086277E">
              <w:rPr>
                <w:rFonts w:ascii="Times" w:eastAsia="Times New Roman" w:hAnsi="Times" w:cs="Times New Roman"/>
                <w:sz w:val="20"/>
                <w:szCs w:val="20"/>
              </w:rPr>
              <w:t>1</w:t>
            </w:r>
            <w:r w:rsidR="002C71C9" w:rsidRPr="0086277E">
              <w:rPr>
                <w:rFonts w:ascii="Times" w:eastAsia="Times New Roman" w:hAnsi="Times" w:cs="Times New Roman"/>
                <w:sz w:val="20"/>
                <w:szCs w:val="20"/>
              </w:rPr>
              <w:t xml:space="preserve"> </w:t>
            </w:r>
            <w:r w:rsidRPr="0086277E">
              <w:rPr>
                <w:rFonts w:ascii="Times" w:eastAsia="Times New Roman" w:hAnsi="Times" w:cs="Times New Roman"/>
                <w:sz w:val="20"/>
                <w:szCs w:val="20"/>
              </w:rPr>
              <w:t>644.4</w:t>
            </w:r>
          </w:p>
        </w:tc>
        <w:tc>
          <w:tcPr>
            <w:tcW w:w="1703" w:type="dxa"/>
            <w:shd w:val="clear" w:color="auto" w:fill="auto"/>
            <w:noWrap/>
            <w:hideMark/>
          </w:tcPr>
          <w:p w14:paraId="05D44A5C" w14:textId="77777777" w:rsidR="00B75110" w:rsidRPr="0086277E" w:rsidRDefault="00B75110" w:rsidP="0086277E">
            <w:pPr>
              <w:keepNext/>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sz w:val="20"/>
                <w:szCs w:val="20"/>
              </w:rPr>
            </w:pPr>
            <w:r w:rsidRPr="0086277E">
              <w:rPr>
                <w:rFonts w:ascii="Times" w:eastAsia="Times New Roman" w:hAnsi="Times" w:cs="Times New Roman"/>
                <w:sz w:val="20"/>
                <w:szCs w:val="20"/>
              </w:rPr>
              <w:t>1</w:t>
            </w:r>
            <w:r w:rsidR="002C71C9" w:rsidRPr="0086277E">
              <w:rPr>
                <w:rFonts w:ascii="Times" w:eastAsia="Times New Roman" w:hAnsi="Times" w:cs="Times New Roman"/>
                <w:sz w:val="20"/>
                <w:szCs w:val="20"/>
              </w:rPr>
              <w:t xml:space="preserve"> </w:t>
            </w:r>
            <w:r w:rsidRPr="0086277E">
              <w:rPr>
                <w:rFonts w:ascii="Times" w:eastAsia="Times New Roman" w:hAnsi="Times" w:cs="Times New Roman"/>
                <w:sz w:val="20"/>
                <w:szCs w:val="20"/>
              </w:rPr>
              <w:t>717.5</w:t>
            </w:r>
          </w:p>
        </w:tc>
        <w:tc>
          <w:tcPr>
            <w:tcW w:w="1840" w:type="dxa"/>
            <w:shd w:val="clear" w:color="auto" w:fill="auto"/>
            <w:noWrap/>
            <w:hideMark/>
          </w:tcPr>
          <w:p w14:paraId="3C356917" w14:textId="77777777" w:rsidR="00B75110" w:rsidRPr="0086277E" w:rsidRDefault="00B75110" w:rsidP="0086277E">
            <w:pPr>
              <w:keepNext/>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sz w:val="20"/>
                <w:szCs w:val="20"/>
              </w:rPr>
            </w:pPr>
            <w:r w:rsidRPr="0086277E">
              <w:rPr>
                <w:rFonts w:ascii="Times" w:eastAsia="Times New Roman" w:hAnsi="Times" w:cs="Times New Roman"/>
                <w:sz w:val="20"/>
                <w:szCs w:val="20"/>
              </w:rPr>
              <w:t>4</w:t>
            </w:r>
            <w:r w:rsidR="002C71C9" w:rsidRPr="0086277E">
              <w:rPr>
                <w:rFonts w:ascii="Times" w:eastAsia="Times New Roman" w:hAnsi="Times" w:cs="Times New Roman"/>
                <w:sz w:val="20"/>
                <w:szCs w:val="20"/>
              </w:rPr>
              <w:t xml:space="preserve"> </w:t>
            </w:r>
            <w:r w:rsidRPr="0086277E">
              <w:rPr>
                <w:rFonts w:ascii="Times" w:eastAsia="Times New Roman" w:hAnsi="Times" w:cs="Times New Roman"/>
                <w:sz w:val="20"/>
                <w:szCs w:val="20"/>
              </w:rPr>
              <w:t>936.9</w:t>
            </w:r>
          </w:p>
        </w:tc>
      </w:tr>
      <w:tr w:rsidR="009A7F2D" w:rsidRPr="000D33E4" w14:paraId="5A3437B4" w14:textId="77777777" w:rsidTr="00A80B0A">
        <w:trPr>
          <w:trHeight w:val="269"/>
        </w:trPr>
        <w:tc>
          <w:tcPr>
            <w:cnfStyle w:val="001000000000" w:firstRow="0" w:lastRow="0" w:firstColumn="1" w:lastColumn="0" w:oddVBand="0" w:evenVBand="0" w:oddHBand="0" w:evenHBand="0" w:firstRowFirstColumn="0" w:firstRowLastColumn="0" w:lastRowFirstColumn="0" w:lastRowLastColumn="0"/>
            <w:tcW w:w="3253" w:type="dxa"/>
            <w:noWrap/>
            <w:hideMark/>
          </w:tcPr>
          <w:p w14:paraId="63CE1E97" w14:textId="77777777" w:rsidR="00B75110" w:rsidRPr="0086277E" w:rsidRDefault="00B75110" w:rsidP="00D449D8">
            <w:pPr>
              <w:keepNext/>
              <w:rPr>
                <w:rFonts w:ascii="Times" w:eastAsia="Times New Roman" w:hAnsi="Times" w:cs="Times New Roman"/>
                <w:b w:val="0"/>
                <w:sz w:val="20"/>
                <w:szCs w:val="20"/>
              </w:rPr>
            </w:pPr>
            <w:r w:rsidRPr="0086277E">
              <w:rPr>
                <w:rFonts w:ascii="Times" w:eastAsia="Times New Roman" w:hAnsi="Times" w:cs="Times New Roman"/>
                <w:b w:val="0"/>
                <w:sz w:val="20"/>
                <w:szCs w:val="20"/>
              </w:rPr>
              <w:t>Public Works and Infrastructure</w:t>
            </w:r>
          </w:p>
        </w:tc>
        <w:tc>
          <w:tcPr>
            <w:tcW w:w="1420" w:type="dxa"/>
            <w:shd w:val="clear" w:color="auto" w:fill="auto"/>
            <w:noWrap/>
            <w:hideMark/>
          </w:tcPr>
          <w:p w14:paraId="757861AA" w14:textId="77777777" w:rsidR="00B75110" w:rsidRPr="0086277E" w:rsidRDefault="00B75110" w:rsidP="0086277E">
            <w:pPr>
              <w:keepNext/>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sz w:val="20"/>
                <w:szCs w:val="20"/>
              </w:rPr>
            </w:pPr>
            <w:r w:rsidRPr="0086277E">
              <w:rPr>
                <w:rFonts w:ascii="Times" w:eastAsia="Times New Roman" w:hAnsi="Times" w:cs="Times New Roman"/>
                <w:sz w:val="20"/>
                <w:szCs w:val="20"/>
              </w:rPr>
              <w:t>748.0</w:t>
            </w:r>
          </w:p>
        </w:tc>
        <w:tc>
          <w:tcPr>
            <w:tcW w:w="1418" w:type="dxa"/>
            <w:shd w:val="clear" w:color="auto" w:fill="auto"/>
            <w:noWrap/>
            <w:hideMark/>
          </w:tcPr>
          <w:p w14:paraId="2647BCA8" w14:textId="77777777" w:rsidR="00B75110" w:rsidRPr="0086277E" w:rsidRDefault="00B75110" w:rsidP="0086277E">
            <w:pPr>
              <w:keepNext/>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sz w:val="20"/>
                <w:szCs w:val="20"/>
              </w:rPr>
            </w:pPr>
            <w:r w:rsidRPr="0086277E">
              <w:rPr>
                <w:rFonts w:ascii="Times" w:eastAsia="Times New Roman" w:hAnsi="Times" w:cs="Times New Roman"/>
                <w:sz w:val="20"/>
                <w:szCs w:val="20"/>
              </w:rPr>
              <w:t>790.0</w:t>
            </w:r>
          </w:p>
        </w:tc>
        <w:tc>
          <w:tcPr>
            <w:tcW w:w="1703" w:type="dxa"/>
            <w:shd w:val="clear" w:color="auto" w:fill="auto"/>
            <w:noWrap/>
            <w:hideMark/>
          </w:tcPr>
          <w:p w14:paraId="291D4349" w14:textId="77777777" w:rsidR="00B75110" w:rsidRPr="0086277E" w:rsidRDefault="00B75110" w:rsidP="0086277E">
            <w:pPr>
              <w:keepNext/>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sz w:val="20"/>
                <w:szCs w:val="20"/>
              </w:rPr>
            </w:pPr>
            <w:r w:rsidRPr="0086277E">
              <w:rPr>
                <w:rFonts w:ascii="Times" w:eastAsia="Times New Roman" w:hAnsi="Times" w:cs="Times New Roman"/>
                <w:sz w:val="20"/>
                <w:szCs w:val="20"/>
              </w:rPr>
              <w:t>819.1</w:t>
            </w:r>
          </w:p>
        </w:tc>
        <w:tc>
          <w:tcPr>
            <w:tcW w:w="1840" w:type="dxa"/>
            <w:shd w:val="clear" w:color="auto" w:fill="auto"/>
            <w:noWrap/>
            <w:hideMark/>
          </w:tcPr>
          <w:p w14:paraId="62AB2195" w14:textId="77777777" w:rsidR="00B75110" w:rsidRPr="0086277E" w:rsidRDefault="00B75110" w:rsidP="0086277E">
            <w:pPr>
              <w:keepNext/>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sz w:val="20"/>
                <w:szCs w:val="20"/>
              </w:rPr>
            </w:pPr>
            <w:r w:rsidRPr="0086277E">
              <w:rPr>
                <w:rFonts w:ascii="Times" w:eastAsia="Times New Roman" w:hAnsi="Times" w:cs="Times New Roman"/>
                <w:sz w:val="20"/>
                <w:szCs w:val="20"/>
              </w:rPr>
              <w:t>2</w:t>
            </w:r>
            <w:r w:rsidR="002C71C9" w:rsidRPr="0086277E">
              <w:rPr>
                <w:rFonts w:ascii="Times" w:eastAsia="Times New Roman" w:hAnsi="Times" w:cs="Times New Roman"/>
                <w:sz w:val="20"/>
                <w:szCs w:val="20"/>
              </w:rPr>
              <w:t xml:space="preserve"> </w:t>
            </w:r>
            <w:r w:rsidRPr="0086277E">
              <w:rPr>
                <w:rFonts w:ascii="Times" w:eastAsia="Times New Roman" w:hAnsi="Times" w:cs="Times New Roman"/>
                <w:sz w:val="20"/>
                <w:szCs w:val="20"/>
              </w:rPr>
              <w:t>357.1</w:t>
            </w:r>
          </w:p>
        </w:tc>
      </w:tr>
      <w:tr w:rsidR="009A7F2D" w:rsidRPr="000D33E4" w14:paraId="0C7454BA" w14:textId="77777777" w:rsidTr="00A80B0A">
        <w:trPr>
          <w:trHeight w:val="210"/>
        </w:trPr>
        <w:tc>
          <w:tcPr>
            <w:cnfStyle w:val="001000000000" w:firstRow="0" w:lastRow="0" w:firstColumn="1" w:lastColumn="0" w:oddVBand="0" w:evenVBand="0" w:oddHBand="0" w:evenHBand="0" w:firstRowFirstColumn="0" w:firstRowLastColumn="0" w:lastRowFirstColumn="0" w:lastRowLastColumn="0"/>
            <w:tcW w:w="3253" w:type="dxa"/>
            <w:noWrap/>
            <w:hideMark/>
          </w:tcPr>
          <w:p w14:paraId="2049E7C8" w14:textId="77777777" w:rsidR="00B75110" w:rsidRPr="0086277E" w:rsidRDefault="00B75110" w:rsidP="00D449D8">
            <w:pPr>
              <w:keepNext/>
              <w:rPr>
                <w:rFonts w:ascii="Times" w:eastAsia="Times New Roman" w:hAnsi="Times" w:cs="Times New Roman"/>
                <w:b w:val="0"/>
                <w:sz w:val="20"/>
                <w:szCs w:val="20"/>
              </w:rPr>
            </w:pPr>
            <w:r w:rsidRPr="0086277E">
              <w:rPr>
                <w:rFonts w:ascii="Times" w:eastAsia="Times New Roman" w:hAnsi="Times" w:cs="Times New Roman"/>
                <w:b w:val="0"/>
                <w:sz w:val="20"/>
                <w:szCs w:val="20"/>
              </w:rPr>
              <w:t>Human Settlements</w:t>
            </w:r>
          </w:p>
        </w:tc>
        <w:tc>
          <w:tcPr>
            <w:tcW w:w="1420" w:type="dxa"/>
            <w:shd w:val="clear" w:color="auto" w:fill="auto"/>
            <w:noWrap/>
            <w:hideMark/>
          </w:tcPr>
          <w:p w14:paraId="4E4DB301" w14:textId="77777777" w:rsidR="00B75110" w:rsidRPr="0086277E" w:rsidRDefault="00B75110" w:rsidP="0086277E">
            <w:pPr>
              <w:keepNext/>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sz w:val="20"/>
                <w:szCs w:val="20"/>
              </w:rPr>
            </w:pPr>
            <w:r w:rsidRPr="0086277E">
              <w:rPr>
                <w:rFonts w:ascii="Times" w:eastAsia="Times New Roman" w:hAnsi="Times" w:cs="Times New Roman"/>
                <w:sz w:val="20"/>
                <w:szCs w:val="20"/>
              </w:rPr>
              <w:t>11</w:t>
            </w:r>
            <w:r w:rsidR="002C71C9" w:rsidRPr="0086277E">
              <w:rPr>
                <w:rFonts w:ascii="Times" w:eastAsia="Times New Roman" w:hAnsi="Times" w:cs="Times New Roman"/>
                <w:sz w:val="20"/>
                <w:szCs w:val="20"/>
              </w:rPr>
              <w:t xml:space="preserve"> </w:t>
            </w:r>
            <w:r w:rsidRPr="0086277E">
              <w:rPr>
                <w:rFonts w:ascii="Times" w:eastAsia="Times New Roman" w:hAnsi="Times" w:cs="Times New Roman"/>
                <w:sz w:val="20"/>
                <w:szCs w:val="20"/>
              </w:rPr>
              <w:t>440.7</w:t>
            </w:r>
          </w:p>
        </w:tc>
        <w:tc>
          <w:tcPr>
            <w:tcW w:w="1418" w:type="dxa"/>
            <w:shd w:val="clear" w:color="auto" w:fill="auto"/>
            <w:noWrap/>
            <w:hideMark/>
          </w:tcPr>
          <w:p w14:paraId="15D914EB" w14:textId="77777777" w:rsidR="00B75110" w:rsidRPr="0086277E" w:rsidRDefault="00B75110" w:rsidP="0086277E">
            <w:pPr>
              <w:keepNext/>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sz w:val="20"/>
                <w:szCs w:val="20"/>
              </w:rPr>
            </w:pPr>
            <w:r w:rsidRPr="0086277E">
              <w:rPr>
                <w:rFonts w:ascii="Times" w:eastAsia="Times New Roman" w:hAnsi="Times" w:cs="Times New Roman"/>
                <w:sz w:val="20"/>
                <w:szCs w:val="20"/>
              </w:rPr>
              <w:t>11</w:t>
            </w:r>
            <w:r w:rsidR="002C71C9" w:rsidRPr="0086277E">
              <w:rPr>
                <w:rFonts w:ascii="Times" w:eastAsia="Times New Roman" w:hAnsi="Times" w:cs="Times New Roman"/>
                <w:sz w:val="20"/>
                <w:szCs w:val="20"/>
              </w:rPr>
              <w:t xml:space="preserve"> </w:t>
            </w:r>
            <w:r w:rsidRPr="0086277E">
              <w:rPr>
                <w:rFonts w:ascii="Times" w:eastAsia="Times New Roman" w:hAnsi="Times" w:cs="Times New Roman"/>
                <w:sz w:val="20"/>
                <w:szCs w:val="20"/>
              </w:rPr>
              <w:t>517.7</w:t>
            </w:r>
          </w:p>
        </w:tc>
        <w:tc>
          <w:tcPr>
            <w:tcW w:w="1703" w:type="dxa"/>
            <w:shd w:val="clear" w:color="auto" w:fill="auto"/>
            <w:noWrap/>
            <w:hideMark/>
          </w:tcPr>
          <w:p w14:paraId="44042FE5" w14:textId="77777777" w:rsidR="00B75110" w:rsidRPr="0086277E" w:rsidRDefault="00B75110" w:rsidP="0086277E">
            <w:pPr>
              <w:keepNext/>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sz w:val="20"/>
                <w:szCs w:val="20"/>
              </w:rPr>
            </w:pPr>
            <w:r w:rsidRPr="0086277E">
              <w:rPr>
                <w:rFonts w:ascii="Times" w:eastAsia="Times New Roman" w:hAnsi="Times" w:cs="Times New Roman"/>
                <w:sz w:val="20"/>
                <w:szCs w:val="20"/>
              </w:rPr>
              <w:t>11</w:t>
            </w:r>
            <w:r w:rsidR="002C71C9" w:rsidRPr="0086277E">
              <w:rPr>
                <w:rFonts w:ascii="Times" w:eastAsia="Times New Roman" w:hAnsi="Times" w:cs="Times New Roman"/>
                <w:sz w:val="20"/>
                <w:szCs w:val="20"/>
              </w:rPr>
              <w:t xml:space="preserve"> </w:t>
            </w:r>
            <w:r w:rsidRPr="0086277E">
              <w:rPr>
                <w:rFonts w:ascii="Times" w:eastAsia="Times New Roman" w:hAnsi="Times" w:cs="Times New Roman"/>
                <w:sz w:val="20"/>
                <w:szCs w:val="20"/>
              </w:rPr>
              <w:t>708.2</w:t>
            </w:r>
          </w:p>
        </w:tc>
        <w:tc>
          <w:tcPr>
            <w:tcW w:w="1840" w:type="dxa"/>
            <w:shd w:val="clear" w:color="auto" w:fill="auto"/>
            <w:noWrap/>
            <w:hideMark/>
          </w:tcPr>
          <w:p w14:paraId="6FAE4AB1" w14:textId="77777777" w:rsidR="00B75110" w:rsidRPr="0086277E" w:rsidRDefault="00B75110" w:rsidP="0086277E">
            <w:pPr>
              <w:keepNext/>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sz w:val="20"/>
                <w:szCs w:val="20"/>
              </w:rPr>
            </w:pPr>
            <w:r w:rsidRPr="0086277E">
              <w:rPr>
                <w:rFonts w:ascii="Times" w:eastAsia="Times New Roman" w:hAnsi="Times" w:cs="Times New Roman"/>
                <w:sz w:val="20"/>
                <w:szCs w:val="20"/>
              </w:rPr>
              <w:t>34</w:t>
            </w:r>
            <w:r w:rsidR="002C71C9" w:rsidRPr="0086277E">
              <w:rPr>
                <w:rFonts w:ascii="Times" w:eastAsia="Times New Roman" w:hAnsi="Times" w:cs="Times New Roman"/>
                <w:sz w:val="20"/>
                <w:szCs w:val="20"/>
              </w:rPr>
              <w:t xml:space="preserve"> </w:t>
            </w:r>
            <w:r w:rsidRPr="0086277E">
              <w:rPr>
                <w:rFonts w:ascii="Times" w:eastAsia="Times New Roman" w:hAnsi="Times" w:cs="Times New Roman"/>
                <w:sz w:val="20"/>
                <w:szCs w:val="20"/>
              </w:rPr>
              <w:t>666.6</w:t>
            </w:r>
          </w:p>
        </w:tc>
      </w:tr>
      <w:tr w:rsidR="009A7F2D" w:rsidRPr="000D33E4" w14:paraId="6A1F26F9" w14:textId="77777777" w:rsidTr="00A80B0A">
        <w:trPr>
          <w:trHeight w:val="210"/>
        </w:trPr>
        <w:tc>
          <w:tcPr>
            <w:cnfStyle w:val="001000000000" w:firstRow="0" w:lastRow="0" w:firstColumn="1" w:lastColumn="0" w:oddVBand="0" w:evenVBand="0" w:oddHBand="0" w:evenHBand="0" w:firstRowFirstColumn="0" w:firstRowLastColumn="0" w:lastRowFirstColumn="0" w:lastRowLastColumn="0"/>
            <w:tcW w:w="3253" w:type="dxa"/>
            <w:noWrap/>
            <w:hideMark/>
          </w:tcPr>
          <w:p w14:paraId="65E310C0" w14:textId="77777777" w:rsidR="00B75110" w:rsidRPr="0086277E" w:rsidRDefault="00B75110" w:rsidP="00D449D8">
            <w:pPr>
              <w:keepNext/>
              <w:rPr>
                <w:rFonts w:ascii="Times" w:eastAsia="Times New Roman" w:hAnsi="Times" w:cs="Times New Roman"/>
                <w:b w:val="0"/>
                <w:sz w:val="20"/>
                <w:szCs w:val="20"/>
              </w:rPr>
            </w:pPr>
            <w:r w:rsidRPr="0086277E">
              <w:rPr>
                <w:rFonts w:ascii="Times" w:eastAsia="Times New Roman" w:hAnsi="Times" w:cs="Times New Roman"/>
                <w:b w:val="0"/>
                <w:sz w:val="20"/>
                <w:szCs w:val="20"/>
              </w:rPr>
              <w:t>Mineral Resources and Energy</w:t>
            </w:r>
          </w:p>
        </w:tc>
        <w:tc>
          <w:tcPr>
            <w:tcW w:w="1420" w:type="dxa"/>
            <w:shd w:val="clear" w:color="auto" w:fill="auto"/>
            <w:noWrap/>
            <w:hideMark/>
          </w:tcPr>
          <w:p w14:paraId="530683E5" w14:textId="77777777" w:rsidR="00B75110" w:rsidRPr="0086277E" w:rsidRDefault="00B75110" w:rsidP="0086277E">
            <w:pPr>
              <w:keepNext/>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sz w:val="20"/>
                <w:szCs w:val="20"/>
              </w:rPr>
            </w:pPr>
            <w:r w:rsidRPr="0086277E">
              <w:rPr>
                <w:rFonts w:ascii="Times" w:eastAsia="Times New Roman" w:hAnsi="Times" w:cs="Times New Roman"/>
                <w:sz w:val="20"/>
                <w:szCs w:val="20"/>
              </w:rPr>
              <w:t>2</w:t>
            </w:r>
            <w:r w:rsidR="002C71C9" w:rsidRPr="0086277E">
              <w:rPr>
                <w:rFonts w:ascii="Times" w:eastAsia="Times New Roman" w:hAnsi="Times" w:cs="Times New Roman"/>
                <w:sz w:val="20"/>
                <w:szCs w:val="20"/>
              </w:rPr>
              <w:t xml:space="preserve"> </w:t>
            </w:r>
            <w:r w:rsidRPr="0086277E">
              <w:rPr>
                <w:rFonts w:ascii="Times" w:eastAsia="Times New Roman" w:hAnsi="Times" w:cs="Times New Roman"/>
                <w:sz w:val="20"/>
                <w:szCs w:val="20"/>
              </w:rPr>
              <w:t>076.7</w:t>
            </w:r>
          </w:p>
        </w:tc>
        <w:tc>
          <w:tcPr>
            <w:tcW w:w="1418" w:type="dxa"/>
            <w:shd w:val="clear" w:color="auto" w:fill="auto"/>
            <w:noWrap/>
            <w:hideMark/>
          </w:tcPr>
          <w:p w14:paraId="3BFEC27B" w14:textId="77777777" w:rsidR="00B75110" w:rsidRPr="0086277E" w:rsidRDefault="00B75110" w:rsidP="0086277E">
            <w:pPr>
              <w:keepNext/>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sz w:val="20"/>
                <w:szCs w:val="20"/>
              </w:rPr>
            </w:pPr>
            <w:r w:rsidRPr="0086277E">
              <w:rPr>
                <w:rFonts w:ascii="Times" w:eastAsia="Times New Roman" w:hAnsi="Times" w:cs="Times New Roman"/>
                <w:sz w:val="20"/>
                <w:szCs w:val="20"/>
              </w:rPr>
              <w:t>2</w:t>
            </w:r>
            <w:r w:rsidR="002C71C9" w:rsidRPr="0086277E">
              <w:rPr>
                <w:rFonts w:ascii="Times" w:eastAsia="Times New Roman" w:hAnsi="Times" w:cs="Times New Roman"/>
                <w:sz w:val="20"/>
                <w:szCs w:val="20"/>
              </w:rPr>
              <w:t xml:space="preserve"> </w:t>
            </w:r>
            <w:r w:rsidRPr="0086277E">
              <w:rPr>
                <w:rFonts w:ascii="Times" w:eastAsia="Times New Roman" w:hAnsi="Times" w:cs="Times New Roman"/>
                <w:sz w:val="20"/>
                <w:szCs w:val="20"/>
              </w:rPr>
              <w:t>233.1</w:t>
            </w:r>
          </w:p>
        </w:tc>
        <w:tc>
          <w:tcPr>
            <w:tcW w:w="1703" w:type="dxa"/>
            <w:shd w:val="clear" w:color="auto" w:fill="auto"/>
            <w:noWrap/>
            <w:hideMark/>
          </w:tcPr>
          <w:p w14:paraId="3777BDCE" w14:textId="77777777" w:rsidR="00B75110" w:rsidRPr="0086277E" w:rsidRDefault="00B75110" w:rsidP="0086277E">
            <w:pPr>
              <w:keepNext/>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sz w:val="20"/>
                <w:szCs w:val="20"/>
              </w:rPr>
            </w:pPr>
            <w:r w:rsidRPr="0086277E">
              <w:rPr>
                <w:rFonts w:ascii="Times" w:eastAsia="Times New Roman" w:hAnsi="Times" w:cs="Times New Roman"/>
                <w:sz w:val="20"/>
                <w:szCs w:val="20"/>
              </w:rPr>
              <w:t>2</w:t>
            </w:r>
            <w:r w:rsidR="002C71C9" w:rsidRPr="0086277E">
              <w:rPr>
                <w:rFonts w:ascii="Times" w:eastAsia="Times New Roman" w:hAnsi="Times" w:cs="Times New Roman"/>
                <w:sz w:val="20"/>
                <w:szCs w:val="20"/>
              </w:rPr>
              <w:t xml:space="preserve"> </w:t>
            </w:r>
            <w:r w:rsidRPr="0086277E">
              <w:rPr>
                <w:rFonts w:ascii="Times" w:eastAsia="Times New Roman" w:hAnsi="Times" w:cs="Times New Roman"/>
                <w:sz w:val="20"/>
                <w:szCs w:val="20"/>
              </w:rPr>
              <w:t>362.0</w:t>
            </w:r>
          </w:p>
        </w:tc>
        <w:tc>
          <w:tcPr>
            <w:tcW w:w="1840" w:type="dxa"/>
            <w:shd w:val="clear" w:color="auto" w:fill="auto"/>
            <w:noWrap/>
            <w:hideMark/>
          </w:tcPr>
          <w:p w14:paraId="07B94881" w14:textId="77777777" w:rsidR="00B75110" w:rsidRPr="0086277E" w:rsidRDefault="00B75110" w:rsidP="0086277E">
            <w:pPr>
              <w:keepNext/>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sz w:val="20"/>
                <w:szCs w:val="20"/>
              </w:rPr>
            </w:pPr>
            <w:r w:rsidRPr="0086277E">
              <w:rPr>
                <w:rFonts w:ascii="Times" w:eastAsia="Times New Roman" w:hAnsi="Times" w:cs="Times New Roman"/>
                <w:sz w:val="20"/>
                <w:szCs w:val="20"/>
              </w:rPr>
              <w:t>6</w:t>
            </w:r>
            <w:r w:rsidR="002C71C9" w:rsidRPr="0086277E">
              <w:rPr>
                <w:rFonts w:ascii="Times" w:eastAsia="Times New Roman" w:hAnsi="Times" w:cs="Times New Roman"/>
                <w:sz w:val="20"/>
                <w:szCs w:val="20"/>
              </w:rPr>
              <w:t xml:space="preserve"> </w:t>
            </w:r>
            <w:r w:rsidRPr="0086277E">
              <w:rPr>
                <w:rFonts w:ascii="Times" w:eastAsia="Times New Roman" w:hAnsi="Times" w:cs="Times New Roman"/>
                <w:sz w:val="20"/>
                <w:szCs w:val="20"/>
              </w:rPr>
              <w:t>671.8</w:t>
            </w:r>
          </w:p>
        </w:tc>
      </w:tr>
      <w:tr w:rsidR="009A7F2D" w:rsidRPr="000D33E4" w14:paraId="38369D83" w14:textId="77777777" w:rsidTr="00A80B0A">
        <w:trPr>
          <w:trHeight w:val="210"/>
        </w:trPr>
        <w:tc>
          <w:tcPr>
            <w:cnfStyle w:val="001000000000" w:firstRow="0" w:lastRow="0" w:firstColumn="1" w:lastColumn="0" w:oddVBand="0" w:evenVBand="0" w:oddHBand="0" w:evenHBand="0" w:firstRowFirstColumn="0" w:firstRowLastColumn="0" w:lastRowFirstColumn="0" w:lastRowLastColumn="0"/>
            <w:tcW w:w="3253" w:type="dxa"/>
            <w:noWrap/>
            <w:hideMark/>
          </w:tcPr>
          <w:p w14:paraId="4826FB71" w14:textId="77777777" w:rsidR="00B75110" w:rsidRPr="0086277E" w:rsidRDefault="00B75110" w:rsidP="00D449D8">
            <w:pPr>
              <w:keepNext/>
              <w:rPr>
                <w:rFonts w:ascii="Times" w:eastAsia="Times New Roman" w:hAnsi="Times" w:cs="Times New Roman"/>
                <w:b w:val="0"/>
                <w:sz w:val="20"/>
                <w:szCs w:val="20"/>
              </w:rPr>
            </w:pPr>
            <w:r w:rsidRPr="0086277E">
              <w:rPr>
                <w:rFonts w:ascii="Times" w:eastAsia="Times New Roman" w:hAnsi="Times" w:cs="Times New Roman"/>
                <w:b w:val="0"/>
                <w:sz w:val="20"/>
                <w:szCs w:val="20"/>
              </w:rPr>
              <w:t>Transport</w:t>
            </w:r>
          </w:p>
        </w:tc>
        <w:tc>
          <w:tcPr>
            <w:tcW w:w="1420" w:type="dxa"/>
            <w:shd w:val="clear" w:color="auto" w:fill="auto"/>
            <w:noWrap/>
            <w:hideMark/>
          </w:tcPr>
          <w:p w14:paraId="1A8907DA" w14:textId="77777777" w:rsidR="00B75110" w:rsidRPr="0086277E" w:rsidRDefault="00B75110" w:rsidP="0086277E">
            <w:pPr>
              <w:keepNext/>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sz w:val="20"/>
                <w:szCs w:val="20"/>
              </w:rPr>
            </w:pPr>
            <w:r w:rsidRPr="0086277E">
              <w:rPr>
                <w:rFonts w:ascii="Times" w:eastAsia="Times New Roman" w:hAnsi="Times" w:cs="Times New Roman"/>
                <w:sz w:val="20"/>
                <w:szCs w:val="20"/>
              </w:rPr>
              <w:t>6</w:t>
            </w:r>
            <w:r w:rsidR="002C71C9" w:rsidRPr="0086277E">
              <w:rPr>
                <w:rFonts w:ascii="Times" w:eastAsia="Times New Roman" w:hAnsi="Times" w:cs="Times New Roman"/>
                <w:sz w:val="20"/>
                <w:szCs w:val="20"/>
              </w:rPr>
              <w:t xml:space="preserve"> </w:t>
            </w:r>
            <w:r w:rsidRPr="0086277E">
              <w:rPr>
                <w:rFonts w:ascii="Times" w:eastAsia="Times New Roman" w:hAnsi="Times" w:cs="Times New Roman"/>
                <w:sz w:val="20"/>
                <w:szCs w:val="20"/>
              </w:rPr>
              <w:t>554.3</w:t>
            </w:r>
          </w:p>
        </w:tc>
        <w:tc>
          <w:tcPr>
            <w:tcW w:w="1418" w:type="dxa"/>
            <w:shd w:val="clear" w:color="auto" w:fill="auto"/>
            <w:noWrap/>
            <w:hideMark/>
          </w:tcPr>
          <w:p w14:paraId="15FEFBF5" w14:textId="77777777" w:rsidR="00B75110" w:rsidRPr="0086277E" w:rsidRDefault="00B75110" w:rsidP="0086277E">
            <w:pPr>
              <w:keepNext/>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sz w:val="20"/>
                <w:szCs w:val="20"/>
              </w:rPr>
            </w:pPr>
            <w:r w:rsidRPr="0086277E">
              <w:rPr>
                <w:rFonts w:ascii="Times" w:eastAsia="Times New Roman" w:hAnsi="Times" w:cs="Times New Roman"/>
                <w:sz w:val="20"/>
                <w:szCs w:val="20"/>
              </w:rPr>
              <w:t>6</w:t>
            </w:r>
            <w:r w:rsidR="002C71C9" w:rsidRPr="0086277E">
              <w:rPr>
                <w:rFonts w:ascii="Times" w:eastAsia="Times New Roman" w:hAnsi="Times" w:cs="Times New Roman"/>
                <w:sz w:val="20"/>
                <w:szCs w:val="20"/>
              </w:rPr>
              <w:t xml:space="preserve"> </w:t>
            </w:r>
            <w:r w:rsidRPr="0086277E">
              <w:rPr>
                <w:rFonts w:ascii="Times" w:eastAsia="Times New Roman" w:hAnsi="Times" w:cs="Times New Roman"/>
                <w:sz w:val="20"/>
                <w:szCs w:val="20"/>
              </w:rPr>
              <w:t>911.0</w:t>
            </w:r>
          </w:p>
        </w:tc>
        <w:tc>
          <w:tcPr>
            <w:tcW w:w="1703" w:type="dxa"/>
            <w:shd w:val="clear" w:color="auto" w:fill="auto"/>
            <w:noWrap/>
            <w:hideMark/>
          </w:tcPr>
          <w:p w14:paraId="72149D99" w14:textId="77777777" w:rsidR="00B75110" w:rsidRPr="0086277E" w:rsidRDefault="00B75110" w:rsidP="0086277E">
            <w:pPr>
              <w:keepNext/>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sz w:val="20"/>
                <w:szCs w:val="20"/>
              </w:rPr>
            </w:pPr>
            <w:r w:rsidRPr="0086277E">
              <w:rPr>
                <w:rFonts w:ascii="Times" w:eastAsia="Times New Roman" w:hAnsi="Times" w:cs="Times New Roman"/>
                <w:sz w:val="20"/>
                <w:szCs w:val="20"/>
              </w:rPr>
              <w:t>7</w:t>
            </w:r>
            <w:r w:rsidR="002C71C9" w:rsidRPr="0086277E">
              <w:rPr>
                <w:rFonts w:ascii="Times" w:eastAsia="Times New Roman" w:hAnsi="Times" w:cs="Times New Roman"/>
                <w:sz w:val="20"/>
                <w:szCs w:val="20"/>
              </w:rPr>
              <w:t xml:space="preserve"> </w:t>
            </w:r>
            <w:r w:rsidRPr="0086277E">
              <w:rPr>
                <w:rFonts w:ascii="Times" w:eastAsia="Times New Roman" w:hAnsi="Times" w:cs="Times New Roman"/>
                <w:sz w:val="20"/>
                <w:szCs w:val="20"/>
              </w:rPr>
              <w:t>240.2</w:t>
            </w:r>
          </w:p>
        </w:tc>
        <w:tc>
          <w:tcPr>
            <w:tcW w:w="1840" w:type="dxa"/>
            <w:shd w:val="clear" w:color="auto" w:fill="auto"/>
            <w:noWrap/>
            <w:hideMark/>
          </w:tcPr>
          <w:p w14:paraId="1BEEEE3F" w14:textId="77777777" w:rsidR="00B75110" w:rsidRPr="0086277E" w:rsidRDefault="00B75110" w:rsidP="0086277E">
            <w:pPr>
              <w:keepNext/>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sz w:val="20"/>
                <w:szCs w:val="20"/>
              </w:rPr>
            </w:pPr>
            <w:r w:rsidRPr="0086277E">
              <w:rPr>
                <w:rFonts w:ascii="Times" w:eastAsia="Times New Roman" w:hAnsi="Times" w:cs="Times New Roman"/>
                <w:sz w:val="20"/>
                <w:szCs w:val="20"/>
              </w:rPr>
              <w:t>20</w:t>
            </w:r>
            <w:r w:rsidR="002C71C9" w:rsidRPr="0086277E">
              <w:rPr>
                <w:rFonts w:ascii="Times" w:eastAsia="Times New Roman" w:hAnsi="Times" w:cs="Times New Roman"/>
                <w:sz w:val="20"/>
                <w:szCs w:val="20"/>
              </w:rPr>
              <w:t xml:space="preserve"> </w:t>
            </w:r>
            <w:r w:rsidRPr="0086277E">
              <w:rPr>
                <w:rFonts w:ascii="Times" w:eastAsia="Times New Roman" w:hAnsi="Times" w:cs="Times New Roman"/>
                <w:sz w:val="20"/>
                <w:szCs w:val="20"/>
              </w:rPr>
              <w:t>705.4</w:t>
            </w:r>
          </w:p>
        </w:tc>
      </w:tr>
      <w:tr w:rsidR="009A7F2D" w:rsidRPr="000D33E4" w14:paraId="064C31D2" w14:textId="77777777" w:rsidTr="00A80B0A">
        <w:trPr>
          <w:trHeight w:val="210"/>
        </w:trPr>
        <w:tc>
          <w:tcPr>
            <w:cnfStyle w:val="001000000000" w:firstRow="0" w:lastRow="0" w:firstColumn="1" w:lastColumn="0" w:oddVBand="0" w:evenVBand="0" w:oddHBand="0" w:evenHBand="0" w:firstRowFirstColumn="0" w:firstRowLastColumn="0" w:lastRowFirstColumn="0" w:lastRowLastColumn="0"/>
            <w:tcW w:w="3253" w:type="dxa"/>
            <w:noWrap/>
            <w:hideMark/>
          </w:tcPr>
          <w:p w14:paraId="22456E07" w14:textId="77777777" w:rsidR="00B75110" w:rsidRPr="0086277E" w:rsidRDefault="00B75110" w:rsidP="00D449D8">
            <w:pPr>
              <w:keepNext/>
              <w:rPr>
                <w:rFonts w:ascii="Times" w:eastAsia="Times New Roman" w:hAnsi="Times" w:cs="Times New Roman"/>
                <w:b w:val="0"/>
                <w:sz w:val="20"/>
                <w:szCs w:val="20"/>
              </w:rPr>
            </w:pPr>
            <w:r w:rsidRPr="0086277E">
              <w:rPr>
                <w:rFonts w:ascii="Times" w:eastAsia="Times New Roman" w:hAnsi="Times" w:cs="Times New Roman"/>
                <w:b w:val="0"/>
                <w:sz w:val="20"/>
                <w:szCs w:val="20"/>
              </w:rPr>
              <w:t>Water and Sanitation</w:t>
            </w:r>
          </w:p>
        </w:tc>
        <w:tc>
          <w:tcPr>
            <w:tcW w:w="1420" w:type="dxa"/>
            <w:shd w:val="clear" w:color="auto" w:fill="auto"/>
            <w:noWrap/>
            <w:hideMark/>
          </w:tcPr>
          <w:p w14:paraId="5C9AC84D" w14:textId="77777777" w:rsidR="00B75110" w:rsidRPr="0086277E" w:rsidRDefault="00B75110" w:rsidP="0086277E">
            <w:pPr>
              <w:keepNext/>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sz w:val="20"/>
                <w:szCs w:val="20"/>
              </w:rPr>
            </w:pPr>
            <w:r w:rsidRPr="0086277E">
              <w:rPr>
                <w:rFonts w:ascii="Times" w:eastAsia="Times New Roman" w:hAnsi="Times" w:cs="Times New Roman"/>
                <w:sz w:val="20"/>
                <w:szCs w:val="20"/>
              </w:rPr>
              <w:t>5</w:t>
            </w:r>
            <w:r w:rsidR="002C71C9" w:rsidRPr="0086277E">
              <w:rPr>
                <w:rFonts w:ascii="Times" w:eastAsia="Times New Roman" w:hAnsi="Times" w:cs="Times New Roman"/>
                <w:sz w:val="20"/>
                <w:szCs w:val="20"/>
              </w:rPr>
              <w:t xml:space="preserve"> </w:t>
            </w:r>
            <w:r w:rsidRPr="0086277E">
              <w:rPr>
                <w:rFonts w:ascii="Times" w:eastAsia="Times New Roman" w:hAnsi="Times" w:cs="Times New Roman"/>
                <w:sz w:val="20"/>
                <w:szCs w:val="20"/>
              </w:rPr>
              <w:t>450.8</w:t>
            </w:r>
          </w:p>
        </w:tc>
        <w:tc>
          <w:tcPr>
            <w:tcW w:w="1418" w:type="dxa"/>
            <w:shd w:val="clear" w:color="auto" w:fill="auto"/>
            <w:noWrap/>
            <w:hideMark/>
          </w:tcPr>
          <w:p w14:paraId="39030FEF" w14:textId="77777777" w:rsidR="00B75110" w:rsidRPr="0086277E" w:rsidRDefault="00B75110" w:rsidP="0086277E">
            <w:pPr>
              <w:keepNext/>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sz w:val="20"/>
                <w:szCs w:val="20"/>
              </w:rPr>
            </w:pPr>
            <w:r w:rsidRPr="0086277E">
              <w:rPr>
                <w:rFonts w:ascii="Times" w:eastAsia="Times New Roman" w:hAnsi="Times" w:cs="Times New Roman"/>
                <w:sz w:val="20"/>
                <w:szCs w:val="20"/>
              </w:rPr>
              <w:t>5</w:t>
            </w:r>
            <w:r w:rsidR="002C71C9" w:rsidRPr="0086277E">
              <w:rPr>
                <w:rFonts w:ascii="Times" w:eastAsia="Times New Roman" w:hAnsi="Times" w:cs="Times New Roman"/>
                <w:sz w:val="20"/>
                <w:szCs w:val="20"/>
              </w:rPr>
              <w:t xml:space="preserve"> </w:t>
            </w:r>
            <w:r w:rsidRPr="0086277E">
              <w:rPr>
                <w:rFonts w:ascii="Times" w:eastAsia="Times New Roman" w:hAnsi="Times" w:cs="Times New Roman"/>
                <w:sz w:val="20"/>
                <w:szCs w:val="20"/>
              </w:rPr>
              <w:t>776.4</w:t>
            </w:r>
          </w:p>
        </w:tc>
        <w:tc>
          <w:tcPr>
            <w:tcW w:w="1703" w:type="dxa"/>
            <w:shd w:val="clear" w:color="auto" w:fill="auto"/>
            <w:noWrap/>
            <w:hideMark/>
          </w:tcPr>
          <w:p w14:paraId="4587151F" w14:textId="77777777" w:rsidR="00B75110" w:rsidRPr="0086277E" w:rsidRDefault="00B75110" w:rsidP="0086277E">
            <w:pPr>
              <w:keepNext/>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sz w:val="20"/>
                <w:szCs w:val="20"/>
              </w:rPr>
            </w:pPr>
            <w:r w:rsidRPr="0086277E">
              <w:rPr>
                <w:rFonts w:ascii="Times" w:eastAsia="Times New Roman" w:hAnsi="Times" w:cs="Times New Roman"/>
                <w:sz w:val="20"/>
                <w:szCs w:val="20"/>
              </w:rPr>
              <w:t>5</w:t>
            </w:r>
            <w:r w:rsidR="002C71C9" w:rsidRPr="0086277E">
              <w:rPr>
                <w:rFonts w:ascii="Times" w:eastAsia="Times New Roman" w:hAnsi="Times" w:cs="Times New Roman"/>
                <w:sz w:val="20"/>
                <w:szCs w:val="20"/>
              </w:rPr>
              <w:t xml:space="preserve"> </w:t>
            </w:r>
            <w:r w:rsidRPr="0086277E">
              <w:rPr>
                <w:rFonts w:ascii="Times" w:eastAsia="Times New Roman" w:hAnsi="Times" w:cs="Times New Roman"/>
                <w:sz w:val="20"/>
                <w:szCs w:val="20"/>
              </w:rPr>
              <w:t>981.8</w:t>
            </w:r>
          </w:p>
        </w:tc>
        <w:tc>
          <w:tcPr>
            <w:tcW w:w="1840" w:type="dxa"/>
            <w:shd w:val="clear" w:color="auto" w:fill="auto"/>
            <w:noWrap/>
            <w:hideMark/>
          </w:tcPr>
          <w:p w14:paraId="6A42232C" w14:textId="77777777" w:rsidR="00B75110" w:rsidRPr="0086277E" w:rsidRDefault="00B75110" w:rsidP="0086277E">
            <w:pPr>
              <w:keepNext/>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sz w:val="20"/>
                <w:szCs w:val="20"/>
              </w:rPr>
            </w:pPr>
            <w:r w:rsidRPr="0086277E">
              <w:rPr>
                <w:rFonts w:ascii="Times" w:eastAsia="Times New Roman" w:hAnsi="Times" w:cs="Times New Roman"/>
                <w:sz w:val="20"/>
                <w:szCs w:val="20"/>
              </w:rPr>
              <w:t>17</w:t>
            </w:r>
            <w:r w:rsidR="002C71C9" w:rsidRPr="0086277E">
              <w:rPr>
                <w:rFonts w:ascii="Times" w:eastAsia="Times New Roman" w:hAnsi="Times" w:cs="Times New Roman"/>
                <w:sz w:val="20"/>
                <w:szCs w:val="20"/>
              </w:rPr>
              <w:t xml:space="preserve"> </w:t>
            </w:r>
            <w:r w:rsidRPr="0086277E">
              <w:rPr>
                <w:rFonts w:ascii="Times" w:eastAsia="Times New Roman" w:hAnsi="Times" w:cs="Times New Roman"/>
                <w:sz w:val="20"/>
                <w:szCs w:val="20"/>
              </w:rPr>
              <w:t>208.9</w:t>
            </w:r>
          </w:p>
        </w:tc>
      </w:tr>
      <w:tr w:rsidR="009A7F2D" w:rsidRPr="000D33E4" w14:paraId="35C78763" w14:textId="77777777" w:rsidTr="00A80B0A">
        <w:trPr>
          <w:trHeight w:val="210"/>
        </w:trPr>
        <w:tc>
          <w:tcPr>
            <w:cnfStyle w:val="001000000000" w:firstRow="0" w:lastRow="0" w:firstColumn="1" w:lastColumn="0" w:oddVBand="0" w:evenVBand="0" w:oddHBand="0" w:evenHBand="0" w:firstRowFirstColumn="0" w:firstRowLastColumn="0" w:lastRowFirstColumn="0" w:lastRowLastColumn="0"/>
            <w:tcW w:w="3253" w:type="dxa"/>
            <w:hideMark/>
          </w:tcPr>
          <w:p w14:paraId="341FE8CE" w14:textId="77777777" w:rsidR="00B75110" w:rsidRPr="0086277E" w:rsidRDefault="002C71C9" w:rsidP="00D449D8">
            <w:pPr>
              <w:keepNext/>
              <w:rPr>
                <w:rFonts w:ascii="Times" w:eastAsia="Times New Roman" w:hAnsi="Times" w:cs="Times New Roman"/>
                <w:sz w:val="20"/>
                <w:szCs w:val="20"/>
              </w:rPr>
            </w:pPr>
            <w:r w:rsidRPr="0086277E">
              <w:rPr>
                <w:rFonts w:ascii="Times" w:eastAsia="Times New Roman" w:hAnsi="Times" w:cs="Times New Roman"/>
                <w:sz w:val="20"/>
                <w:szCs w:val="20"/>
              </w:rPr>
              <w:t>Total</w:t>
            </w:r>
          </w:p>
        </w:tc>
        <w:tc>
          <w:tcPr>
            <w:tcW w:w="1420" w:type="dxa"/>
            <w:shd w:val="clear" w:color="auto" w:fill="auto"/>
            <w:noWrap/>
            <w:hideMark/>
          </w:tcPr>
          <w:p w14:paraId="4733046C" w14:textId="77777777" w:rsidR="00B75110" w:rsidRPr="0086277E" w:rsidRDefault="00B75110" w:rsidP="0086277E">
            <w:pPr>
              <w:keepNext/>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b/>
                <w:sz w:val="20"/>
                <w:szCs w:val="20"/>
              </w:rPr>
            </w:pPr>
            <w:r w:rsidRPr="0086277E">
              <w:rPr>
                <w:rFonts w:ascii="Times" w:eastAsia="Times New Roman" w:hAnsi="Times" w:cs="Times New Roman"/>
                <w:b/>
                <w:sz w:val="20"/>
                <w:szCs w:val="20"/>
              </w:rPr>
              <w:t>43</w:t>
            </w:r>
            <w:r w:rsidR="002C71C9" w:rsidRPr="0086277E">
              <w:rPr>
                <w:rFonts w:ascii="Times" w:eastAsia="Times New Roman" w:hAnsi="Times" w:cs="Times New Roman"/>
                <w:b/>
                <w:sz w:val="20"/>
                <w:szCs w:val="20"/>
              </w:rPr>
              <w:t xml:space="preserve"> </w:t>
            </w:r>
            <w:r w:rsidRPr="0086277E">
              <w:rPr>
                <w:rFonts w:ascii="Times" w:eastAsia="Times New Roman" w:hAnsi="Times" w:cs="Times New Roman"/>
                <w:b/>
                <w:sz w:val="20"/>
                <w:szCs w:val="20"/>
              </w:rPr>
              <w:t>818.6</w:t>
            </w:r>
          </w:p>
        </w:tc>
        <w:tc>
          <w:tcPr>
            <w:tcW w:w="1418" w:type="dxa"/>
            <w:shd w:val="clear" w:color="auto" w:fill="auto"/>
            <w:noWrap/>
            <w:hideMark/>
          </w:tcPr>
          <w:p w14:paraId="0B3D780F" w14:textId="77777777" w:rsidR="00B75110" w:rsidRPr="0086277E" w:rsidRDefault="00B75110" w:rsidP="0086277E">
            <w:pPr>
              <w:keepNext/>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b/>
                <w:sz w:val="20"/>
                <w:szCs w:val="20"/>
              </w:rPr>
            </w:pPr>
            <w:r w:rsidRPr="0086277E">
              <w:rPr>
                <w:rFonts w:ascii="Times" w:eastAsia="Times New Roman" w:hAnsi="Times" w:cs="Times New Roman"/>
                <w:b/>
                <w:sz w:val="20"/>
                <w:szCs w:val="20"/>
              </w:rPr>
              <w:t>46</w:t>
            </w:r>
            <w:r w:rsidR="002C71C9" w:rsidRPr="0086277E">
              <w:rPr>
                <w:rFonts w:ascii="Times" w:eastAsia="Times New Roman" w:hAnsi="Times" w:cs="Times New Roman"/>
                <w:b/>
                <w:sz w:val="20"/>
                <w:szCs w:val="20"/>
              </w:rPr>
              <w:t xml:space="preserve"> </w:t>
            </w:r>
            <w:r w:rsidRPr="0086277E">
              <w:rPr>
                <w:rFonts w:ascii="Times" w:eastAsia="Times New Roman" w:hAnsi="Times" w:cs="Times New Roman"/>
                <w:b/>
                <w:sz w:val="20"/>
                <w:szCs w:val="20"/>
              </w:rPr>
              <w:t>197.7</w:t>
            </w:r>
          </w:p>
        </w:tc>
        <w:tc>
          <w:tcPr>
            <w:tcW w:w="1703" w:type="dxa"/>
            <w:shd w:val="clear" w:color="auto" w:fill="auto"/>
            <w:noWrap/>
            <w:hideMark/>
          </w:tcPr>
          <w:p w14:paraId="50337C3D" w14:textId="77777777" w:rsidR="00B75110" w:rsidRPr="0086277E" w:rsidRDefault="00B75110" w:rsidP="0086277E">
            <w:pPr>
              <w:keepNext/>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b/>
                <w:sz w:val="20"/>
                <w:szCs w:val="20"/>
              </w:rPr>
            </w:pPr>
            <w:r w:rsidRPr="0086277E">
              <w:rPr>
                <w:rFonts w:ascii="Times" w:eastAsia="Times New Roman" w:hAnsi="Times" w:cs="Times New Roman"/>
                <w:b/>
                <w:sz w:val="20"/>
                <w:szCs w:val="20"/>
              </w:rPr>
              <w:t>48</w:t>
            </w:r>
            <w:r w:rsidR="002C71C9" w:rsidRPr="0086277E">
              <w:rPr>
                <w:rFonts w:ascii="Times" w:eastAsia="Times New Roman" w:hAnsi="Times" w:cs="Times New Roman"/>
                <w:b/>
                <w:sz w:val="20"/>
                <w:szCs w:val="20"/>
              </w:rPr>
              <w:t xml:space="preserve"> </w:t>
            </w:r>
            <w:r w:rsidRPr="0086277E">
              <w:rPr>
                <w:rFonts w:ascii="Times" w:eastAsia="Times New Roman" w:hAnsi="Times" w:cs="Times New Roman"/>
                <w:b/>
                <w:sz w:val="20"/>
                <w:szCs w:val="20"/>
              </w:rPr>
              <w:t>147.1</w:t>
            </w:r>
          </w:p>
        </w:tc>
        <w:tc>
          <w:tcPr>
            <w:tcW w:w="1840" w:type="dxa"/>
            <w:shd w:val="clear" w:color="auto" w:fill="auto"/>
            <w:noWrap/>
            <w:hideMark/>
          </w:tcPr>
          <w:p w14:paraId="6232111E" w14:textId="77777777" w:rsidR="00B75110" w:rsidRPr="0086277E" w:rsidRDefault="00B75110" w:rsidP="0086277E">
            <w:pPr>
              <w:keepNext/>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b/>
                <w:sz w:val="20"/>
                <w:szCs w:val="20"/>
              </w:rPr>
            </w:pPr>
            <w:r w:rsidRPr="0086277E">
              <w:rPr>
                <w:rFonts w:ascii="Times" w:eastAsia="Times New Roman" w:hAnsi="Times" w:cs="Times New Roman"/>
                <w:b/>
                <w:sz w:val="20"/>
                <w:szCs w:val="20"/>
              </w:rPr>
              <w:t>138</w:t>
            </w:r>
            <w:r w:rsidR="002C71C9" w:rsidRPr="0086277E">
              <w:rPr>
                <w:rFonts w:ascii="Times" w:eastAsia="Times New Roman" w:hAnsi="Times" w:cs="Times New Roman"/>
                <w:b/>
                <w:sz w:val="20"/>
                <w:szCs w:val="20"/>
              </w:rPr>
              <w:t xml:space="preserve"> </w:t>
            </w:r>
            <w:r w:rsidRPr="0086277E">
              <w:rPr>
                <w:rFonts w:ascii="Times" w:eastAsia="Times New Roman" w:hAnsi="Times" w:cs="Times New Roman"/>
                <w:b/>
                <w:sz w:val="20"/>
                <w:szCs w:val="20"/>
              </w:rPr>
              <w:t>163.4</w:t>
            </w:r>
          </w:p>
        </w:tc>
      </w:tr>
    </w:tbl>
    <w:p w14:paraId="42A1B27D" w14:textId="77777777" w:rsidR="00B75110" w:rsidRPr="009A7F2D" w:rsidRDefault="00B75110" w:rsidP="009A7F2D">
      <w:pPr>
        <w:keepNext/>
        <w:rPr>
          <w:rFonts w:ascii="Times" w:hAnsi="Times"/>
          <w:i/>
          <w:sz w:val="20"/>
          <w:szCs w:val="20"/>
        </w:rPr>
      </w:pPr>
      <w:r w:rsidRPr="009A7F2D">
        <w:rPr>
          <w:rFonts w:ascii="Times" w:hAnsi="Times"/>
          <w:b/>
          <w:sz w:val="20"/>
          <w:szCs w:val="20"/>
        </w:rPr>
        <w:t xml:space="preserve"> </w:t>
      </w:r>
      <w:r w:rsidRPr="009A7F2D">
        <w:rPr>
          <w:rFonts w:ascii="Times" w:hAnsi="Times"/>
          <w:i/>
          <w:sz w:val="20"/>
          <w:szCs w:val="20"/>
        </w:rPr>
        <w:t>Source: ENE 2020</w:t>
      </w:r>
    </w:p>
    <w:p w14:paraId="504930DD" w14:textId="77777777" w:rsidR="00B75110" w:rsidRPr="000D33E4" w:rsidRDefault="00B75110" w:rsidP="007B1E55">
      <w:pPr>
        <w:rPr>
          <w:rFonts w:ascii="Times" w:hAnsi="Times"/>
          <w:b/>
        </w:rPr>
      </w:pPr>
    </w:p>
    <w:p w14:paraId="22E464C1" w14:textId="262C37B5" w:rsidR="00456D9F" w:rsidRDefault="00D449D8" w:rsidP="00456D9F">
      <w:r>
        <w:t>A</w:t>
      </w:r>
      <w:r w:rsidR="00B75110" w:rsidRPr="000D33E4">
        <w:t xml:space="preserve"> summary of which conditional grants present opportunities for reprioritisation</w:t>
      </w:r>
      <w:r>
        <w:t xml:space="preserve"> follows</w:t>
      </w:r>
      <w:r w:rsidR="00B75110" w:rsidRPr="000D33E4">
        <w:t xml:space="preserve">. The inputs are arranged by functional category so as to provide a context as to which sectors will be affected by reprioritisation. </w:t>
      </w:r>
      <w:r w:rsidR="00456D9F">
        <w:t xml:space="preserve">Again, in determining the essential from the non-essential, </w:t>
      </w:r>
      <w:r w:rsidR="00727B77">
        <w:t xml:space="preserve">and in addition to the criteria presented above, </w:t>
      </w:r>
      <w:r w:rsidR="00456D9F">
        <w:t>the Commission focussed on which grants are key to responding to the health challenge presented by Covid</w:t>
      </w:r>
      <w:r w:rsidR="0086277E">
        <w:t>-</w:t>
      </w:r>
      <w:r w:rsidR="00456D9F">
        <w:t xml:space="preserve">19, those that relate to the provision of social </w:t>
      </w:r>
      <w:r w:rsidR="00456D9F" w:rsidRPr="0086277E">
        <w:t>relief</w:t>
      </w:r>
      <w:r w:rsidR="00456D9F">
        <w:t xml:space="preserve"> to the poor and </w:t>
      </w:r>
      <w:r w:rsidR="00A1705E">
        <w:t>then those that are critical to economic growth</w:t>
      </w:r>
      <w:r w:rsidR="00456D9F">
        <w:t xml:space="preserve">. The lower priority conditional grant are suggested for more aggressive cuts. The Commission also considered that within priority grants there may be </w:t>
      </w:r>
      <w:r w:rsidR="008B46CA">
        <w:t xml:space="preserve">components </w:t>
      </w:r>
      <w:r w:rsidR="00456D9F">
        <w:t>of funding that are not essential at this particular time – in those instances, reprioritisation is recommended.</w:t>
      </w:r>
    </w:p>
    <w:p w14:paraId="2EFA0B1E" w14:textId="77777777" w:rsidR="00456D9F" w:rsidRDefault="00456D9F" w:rsidP="00456D9F"/>
    <w:p w14:paraId="498950EB" w14:textId="162829FC" w:rsidR="00456D9F" w:rsidRPr="00E76669" w:rsidRDefault="00456D9F" w:rsidP="00456D9F">
      <w:pPr>
        <w:rPr>
          <w:color w:val="000000" w:themeColor="text1"/>
        </w:rPr>
      </w:pPr>
      <w:r>
        <w:t xml:space="preserve">The conditional grants the Commission recommends </w:t>
      </w:r>
      <w:r w:rsidR="008B46CA">
        <w:t xml:space="preserve">as candidates </w:t>
      </w:r>
      <w:r>
        <w:t xml:space="preserve">for reprioritisation/refocussing are listed in </w:t>
      </w:r>
      <w:r w:rsidR="00E76669" w:rsidRPr="00E76669">
        <w:rPr>
          <w:color w:val="000000" w:themeColor="text1"/>
        </w:rPr>
        <w:fldChar w:fldCharType="begin"/>
      </w:r>
      <w:r w:rsidR="00E76669" w:rsidRPr="00E76669">
        <w:rPr>
          <w:color w:val="000000" w:themeColor="text1"/>
        </w:rPr>
        <w:instrText xml:space="preserve"> REF _Ref41141691 \h </w:instrText>
      </w:r>
      <w:r w:rsidR="00E76669" w:rsidRPr="00E76669">
        <w:rPr>
          <w:color w:val="000000" w:themeColor="text1"/>
        </w:rPr>
      </w:r>
      <w:r w:rsidR="00E76669" w:rsidRPr="00E76669">
        <w:rPr>
          <w:color w:val="000000" w:themeColor="text1"/>
        </w:rPr>
        <w:fldChar w:fldCharType="separate"/>
      </w:r>
      <w:r w:rsidR="0035298A" w:rsidRPr="00E76669">
        <w:rPr>
          <w:color w:val="004C45" w:themeColor="text2"/>
          <w:szCs w:val="24"/>
        </w:rPr>
        <w:t xml:space="preserve">Table </w:t>
      </w:r>
      <w:r w:rsidR="0035298A">
        <w:rPr>
          <w:noProof/>
          <w:color w:val="004C45" w:themeColor="text2"/>
          <w:szCs w:val="24"/>
        </w:rPr>
        <w:t>22</w:t>
      </w:r>
      <w:r w:rsidR="00E76669" w:rsidRPr="00E76669">
        <w:rPr>
          <w:color w:val="000000" w:themeColor="text1"/>
        </w:rPr>
        <w:fldChar w:fldCharType="end"/>
      </w:r>
      <w:r w:rsidRPr="00E76669">
        <w:rPr>
          <w:color w:val="000000" w:themeColor="text1"/>
        </w:rPr>
        <w:t>.</w:t>
      </w:r>
    </w:p>
    <w:p w14:paraId="33F22B1A" w14:textId="77777777" w:rsidR="00456D9F" w:rsidRDefault="00456D9F" w:rsidP="00456D9F"/>
    <w:p w14:paraId="6C6C5537" w14:textId="44726603" w:rsidR="00456D9F" w:rsidRPr="00E76669" w:rsidRDefault="00E76669" w:rsidP="00E76669">
      <w:pPr>
        <w:pStyle w:val="Caption"/>
        <w:spacing w:after="60"/>
        <w:rPr>
          <w:b w:val="0"/>
          <w:color w:val="004C45" w:themeColor="text2"/>
          <w:sz w:val="24"/>
          <w:szCs w:val="24"/>
        </w:rPr>
      </w:pPr>
      <w:bookmarkStart w:id="116" w:name="_Ref41141691"/>
      <w:bookmarkStart w:id="117" w:name="_Toc42212151"/>
      <w:r w:rsidRPr="00E76669">
        <w:rPr>
          <w:color w:val="004C45" w:themeColor="text2"/>
          <w:sz w:val="24"/>
          <w:szCs w:val="24"/>
        </w:rPr>
        <w:t xml:space="preserve">Table </w:t>
      </w:r>
      <w:r w:rsidRPr="00E76669">
        <w:rPr>
          <w:color w:val="004C45" w:themeColor="text2"/>
          <w:sz w:val="24"/>
          <w:szCs w:val="24"/>
        </w:rPr>
        <w:fldChar w:fldCharType="begin"/>
      </w:r>
      <w:r w:rsidRPr="00E76669">
        <w:rPr>
          <w:color w:val="004C45" w:themeColor="text2"/>
          <w:sz w:val="24"/>
          <w:szCs w:val="24"/>
        </w:rPr>
        <w:instrText xml:space="preserve"> SEQ Table \* ARABIC </w:instrText>
      </w:r>
      <w:r w:rsidRPr="00E76669">
        <w:rPr>
          <w:color w:val="004C45" w:themeColor="text2"/>
          <w:sz w:val="24"/>
          <w:szCs w:val="24"/>
        </w:rPr>
        <w:fldChar w:fldCharType="separate"/>
      </w:r>
      <w:r w:rsidR="00492893">
        <w:rPr>
          <w:noProof/>
          <w:color w:val="004C45" w:themeColor="text2"/>
          <w:sz w:val="24"/>
          <w:szCs w:val="24"/>
        </w:rPr>
        <w:t>22</w:t>
      </w:r>
      <w:r w:rsidRPr="00E76669">
        <w:rPr>
          <w:color w:val="004C45" w:themeColor="text2"/>
          <w:sz w:val="24"/>
          <w:szCs w:val="24"/>
        </w:rPr>
        <w:fldChar w:fldCharType="end"/>
      </w:r>
      <w:bookmarkEnd w:id="116"/>
      <w:r>
        <w:rPr>
          <w:color w:val="004C45" w:themeColor="text2"/>
          <w:sz w:val="24"/>
          <w:szCs w:val="24"/>
        </w:rPr>
        <w:t>:</w:t>
      </w:r>
      <w:r w:rsidRPr="00E76669">
        <w:rPr>
          <w:color w:val="004C45" w:themeColor="text2"/>
          <w:sz w:val="24"/>
          <w:szCs w:val="24"/>
        </w:rPr>
        <w:t xml:space="preserve"> Conditional grants recommended for </w:t>
      </w:r>
      <w:r w:rsidR="008B46CA">
        <w:rPr>
          <w:color w:val="004C45" w:themeColor="text2"/>
          <w:sz w:val="24"/>
          <w:szCs w:val="24"/>
        </w:rPr>
        <w:t xml:space="preserve">potential </w:t>
      </w:r>
      <w:r w:rsidRPr="00E76669">
        <w:rPr>
          <w:color w:val="004C45" w:themeColor="text2"/>
          <w:sz w:val="24"/>
          <w:szCs w:val="24"/>
        </w:rPr>
        <w:t>reprioritisation or refocussing</w:t>
      </w:r>
      <w:bookmarkEnd w:id="117"/>
    </w:p>
    <w:tbl>
      <w:tblPr>
        <w:tblStyle w:val="GridTable1Light-Accent31"/>
        <w:tblW w:w="5450" w:type="pct"/>
        <w:tblLook w:val="04A0" w:firstRow="1" w:lastRow="0" w:firstColumn="1" w:lastColumn="0" w:noHBand="0" w:noVBand="1"/>
      </w:tblPr>
      <w:tblGrid>
        <w:gridCol w:w="1114"/>
        <w:gridCol w:w="2167"/>
        <w:gridCol w:w="3470"/>
        <w:gridCol w:w="936"/>
        <w:gridCol w:w="936"/>
        <w:gridCol w:w="936"/>
        <w:gridCol w:w="936"/>
      </w:tblGrid>
      <w:tr w:rsidR="00456D9F" w:rsidRPr="00E76669" w14:paraId="50C2920E" w14:textId="77777777" w:rsidTr="00297210">
        <w:trPr>
          <w:cnfStyle w:val="100000000000" w:firstRow="1" w:lastRow="0" w:firstColumn="0" w:lastColumn="0" w:oddVBand="0" w:evenVBand="0" w:oddHBand="0" w:evenHBand="0" w:firstRowFirstColumn="0" w:firstRowLastColumn="0" w:lastRowFirstColumn="0" w:lastRowLastColumn="0"/>
          <w:trHeight w:val="204"/>
        </w:trPr>
        <w:tc>
          <w:tcPr>
            <w:cnfStyle w:val="001000000000" w:firstRow="0" w:lastRow="0" w:firstColumn="1" w:lastColumn="0" w:oddVBand="0" w:evenVBand="0" w:oddHBand="0" w:evenHBand="0" w:firstRowFirstColumn="0" w:firstRowLastColumn="0" w:lastRowFirstColumn="0" w:lastRowLastColumn="0"/>
            <w:tcW w:w="531" w:type="pct"/>
            <w:tcBorders>
              <w:bottom w:val="none" w:sz="0" w:space="0" w:color="auto"/>
            </w:tcBorders>
            <w:noWrap/>
            <w:vAlign w:val="center"/>
            <w:hideMark/>
          </w:tcPr>
          <w:p w14:paraId="130E17D8" w14:textId="4E5BC52C" w:rsidR="00456D9F" w:rsidRPr="00E76669" w:rsidRDefault="00456D9F" w:rsidP="00E76669">
            <w:pPr>
              <w:jc w:val="left"/>
              <w:rPr>
                <w:rFonts w:ascii="Times" w:hAnsi="Times"/>
                <w:color w:val="000000"/>
                <w:sz w:val="16"/>
                <w:szCs w:val="16"/>
                <w:lang w:val="en-US"/>
              </w:rPr>
            </w:pPr>
            <w:r w:rsidRPr="00E76669">
              <w:rPr>
                <w:rFonts w:ascii="Times" w:hAnsi="Times"/>
                <w:color w:val="000000"/>
                <w:sz w:val="16"/>
                <w:szCs w:val="16"/>
                <w:lang w:val="en-US"/>
              </w:rPr>
              <w:t>R</w:t>
            </w:r>
            <w:r w:rsidR="00E76669" w:rsidRPr="00E76669">
              <w:rPr>
                <w:rFonts w:ascii="Times" w:hAnsi="Times"/>
                <w:color w:val="000000"/>
                <w:sz w:val="16"/>
                <w:szCs w:val="16"/>
                <w:lang w:val="en-US"/>
              </w:rPr>
              <w:t xml:space="preserve"> </w:t>
            </w:r>
            <w:r w:rsidRPr="00E76669">
              <w:rPr>
                <w:rFonts w:ascii="Times" w:hAnsi="Times"/>
                <w:color w:val="000000"/>
                <w:sz w:val="16"/>
                <w:szCs w:val="16"/>
                <w:lang w:val="en-US"/>
              </w:rPr>
              <w:t>000</w:t>
            </w:r>
          </w:p>
        </w:tc>
        <w:tc>
          <w:tcPr>
            <w:tcW w:w="1032" w:type="pct"/>
            <w:vMerge w:val="restart"/>
            <w:tcBorders>
              <w:bottom w:val="none" w:sz="0" w:space="0" w:color="auto"/>
            </w:tcBorders>
            <w:noWrap/>
            <w:vAlign w:val="center"/>
            <w:hideMark/>
          </w:tcPr>
          <w:p w14:paraId="1EB56C7F" w14:textId="77777777" w:rsidR="00456D9F" w:rsidRPr="00E76669" w:rsidRDefault="00456D9F" w:rsidP="00E76669">
            <w:pPr>
              <w:jc w:val="center"/>
              <w:cnfStyle w:val="100000000000" w:firstRow="1" w:lastRow="0" w:firstColumn="0" w:lastColumn="0" w:oddVBand="0" w:evenVBand="0" w:oddHBand="0" w:evenHBand="0" w:firstRowFirstColumn="0" w:firstRowLastColumn="0" w:lastRowFirstColumn="0" w:lastRowLastColumn="0"/>
              <w:rPr>
                <w:rFonts w:ascii="Times" w:hAnsi="Times"/>
                <w:color w:val="000000"/>
                <w:sz w:val="16"/>
                <w:szCs w:val="16"/>
                <w:lang w:val="en-US"/>
              </w:rPr>
            </w:pPr>
            <w:r w:rsidRPr="00E76669">
              <w:rPr>
                <w:rFonts w:ascii="Times" w:hAnsi="Times"/>
                <w:color w:val="000000"/>
                <w:sz w:val="16"/>
                <w:szCs w:val="16"/>
                <w:lang w:val="en-US"/>
              </w:rPr>
              <w:t>Department</w:t>
            </w:r>
          </w:p>
        </w:tc>
        <w:tc>
          <w:tcPr>
            <w:tcW w:w="1653" w:type="pct"/>
            <w:vMerge w:val="restart"/>
            <w:tcBorders>
              <w:bottom w:val="none" w:sz="0" w:space="0" w:color="auto"/>
            </w:tcBorders>
            <w:noWrap/>
            <w:vAlign w:val="center"/>
            <w:hideMark/>
          </w:tcPr>
          <w:p w14:paraId="3110125D" w14:textId="77777777" w:rsidR="00456D9F" w:rsidRPr="00E76669" w:rsidRDefault="00456D9F" w:rsidP="00E76669">
            <w:pPr>
              <w:jc w:val="center"/>
              <w:cnfStyle w:val="100000000000" w:firstRow="1" w:lastRow="0" w:firstColumn="0" w:lastColumn="0" w:oddVBand="0" w:evenVBand="0" w:oddHBand="0" w:evenHBand="0" w:firstRowFirstColumn="0" w:firstRowLastColumn="0" w:lastRowFirstColumn="0" w:lastRowLastColumn="0"/>
              <w:rPr>
                <w:rFonts w:ascii="Times" w:hAnsi="Times"/>
                <w:color w:val="000000"/>
                <w:sz w:val="16"/>
                <w:szCs w:val="16"/>
                <w:lang w:val="en-US"/>
              </w:rPr>
            </w:pPr>
            <w:r w:rsidRPr="00E76669">
              <w:rPr>
                <w:rFonts w:ascii="Times" w:hAnsi="Times"/>
                <w:color w:val="000000"/>
                <w:sz w:val="16"/>
                <w:szCs w:val="16"/>
                <w:lang w:val="en-US"/>
              </w:rPr>
              <w:t>Grant</w:t>
            </w:r>
          </w:p>
        </w:tc>
        <w:tc>
          <w:tcPr>
            <w:tcW w:w="1338" w:type="pct"/>
            <w:gridSpan w:val="3"/>
            <w:tcBorders>
              <w:bottom w:val="none" w:sz="0" w:space="0" w:color="auto"/>
            </w:tcBorders>
            <w:vAlign w:val="center"/>
            <w:hideMark/>
          </w:tcPr>
          <w:p w14:paraId="509D4589" w14:textId="6F78469C" w:rsidR="00456D9F" w:rsidRPr="00E76669" w:rsidRDefault="00456D9F" w:rsidP="00E76669">
            <w:pPr>
              <w:jc w:val="center"/>
              <w:cnfStyle w:val="100000000000" w:firstRow="1" w:lastRow="0" w:firstColumn="0" w:lastColumn="0" w:oddVBand="0" w:evenVBand="0" w:oddHBand="0" w:evenHBand="0" w:firstRowFirstColumn="0" w:firstRowLastColumn="0" w:lastRowFirstColumn="0" w:lastRowLastColumn="0"/>
              <w:rPr>
                <w:rFonts w:ascii="Times" w:hAnsi="Times"/>
                <w:color w:val="000000"/>
                <w:sz w:val="16"/>
                <w:szCs w:val="16"/>
                <w:lang w:val="en-US"/>
              </w:rPr>
            </w:pPr>
            <w:r w:rsidRPr="00E76669">
              <w:rPr>
                <w:rFonts w:ascii="Times" w:hAnsi="Times"/>
                <w:color w:val="000000"/>
                <w:sz w:val="16"/>
                <w:szCs w:val="16"/>
                <w:lang w:val="en-US"/>
              </w:rPr>
              <w:t>MTEF Allocations (R</w:t>
            </w:r>
            <w:r w:rsidR="00FC64FC">
              <w:rPr>
                <w:rFonts w:ascii="Times" w:hAnsi="Times"/>
                <w:color w:val="000000"/>
                <w:sz w:val="16"/>
                <w:szCs w:val="16"/>
                <w:lang w:val="en-US"/>
              </w:rPr>
              <w:t xml:space="preserve"> </w:t>
            </w:r>
            <w:r w:rsidRPr="00E76669">
              <w:rPr>
                <w:rFonts w:ascii="Times" w:hAnsi="Times"/>
                <w:color w:val="000000"/>
                <w:sz w:val="16"/>
                <w:szCs w:val="16"/>
                <w:lang w:val="en-US"/>
              </w:rPr>
              <w:t>000)</w:t>
            </w:r>
          </w:p>
        </w:tc>
        <w:tc>
          <w:tcPr>
            <w:tcW w:w="446" w:type="pct"/>
            <w:vMerge w:val="restart"/>
            <w:tcBorders>
              <w:bottom w:val="none" w:sz="0" w:space="0" w:color="auto"/>
            </w:tcBorders>
            <w:vAlign w:val="center"/>
            <w:hideMark/>
          </w:tcPr>
          <w:p w14:paraId="3C818B1C" w14:textId="31A80213" w:rsidR="00456D9F" w:rsidRPr="00E76669" w:rsidRDefault="00456D9F" w:rsidP="00E76669">
            <w:pPr>
              <w:jc w:val="center"/>
              <w:cnfStyle w:val="100000000000" w:firstRow="1" w:lastRow="0" w:firstColumn="0" w:lastColumn="0" w:oddVBand="0" w:evenVBand="0" w:oddHBand="0" w:evenHBand="0" w:firstRowFirstColumn="0" w:firstRowLastColumn="0" w:lastRowFirstColumn="0" w:lastRowLastColumn="0"/>
              <w:rPr>
                <w:rFonts w:ascii="Times" w:hAnsi="Times"/>
                <w:color w:val="000000"/>
                <w:sz w:val="16"/>
                <w:szCs w:val="16"/>
                <w:lang w:val="en-US"/>
              </w:rPr>
            </w:pPr>
            <w:r w:rsidRPr="00E76669">
              <w:rPr>
                <w:rFonts w:ascii="Times" w:hAnsi="Times"/>
                <w:color w:val="000000"/>
                <w:sz w:val="16"/>
                <w:szCs w:val="16"/>
                <w:lang w:val="en-US"/>
              </w:rPr>
              <w:t>Proposed Allocation over 2020 MTEF</w:t>
            </w:r>
          </w:p>
        </w:tc>
      </w:tr>
      <w:tr w:rsidR="00456D9F" w:rsidRPr="00E76669" w14:paraId="00D61A76" w14:textId="77777777" w:rsidTr="00297210">
        <w:trPr>
          <w:trHeight w:val="420"/>
        </w:trPr>
        <w:tc>
          <w:tcPr>
            <w:cnfStyle w:val="001000000000" w:firstRow="0" w:lastRow="0" w:firstColumn="1" w:lastColumn="0" w:oddVBand="0" w:evenVBand="0" w:oddHBand="0" w:evenHBand="0" w:firstRowFirstColumn="0" w:firstRowLastColumn="0" w:lastRowFirstColumn="0" w:lastRowLastColumn="0"/>
            <w:tcW w:w="531" w:type="pct"/>
            <w:noWrap/>
            <w:vAlign w:val="center"/>
            <w:hideMark/>
          </w:tcPr>
          <w:p w14:paraId="5369F79B" w14:textId="77777777" w:rsidR="00456D9F" w:rsidRPr="00E76669" w:rsidRDefault="00456D9F" w:rsidP="00E76669">
            <w:pPr>
              <w:jc w:val="left"/>
              <w:rPr>
                <w:rFonts w:ascii="Times" w:hAnsi="Times"/>
                <w:color w:val="000000"/>
                <w:sz w:val="16"/>
                <w:szCs w:val="16"/>
                <w:lang w:val="en-US"/>
              </w:rPr>
            </w:pPr>
            <w:r w:rsidRPr="00E76669">
              <w:rPr>
                <w:rFonts w:ascii="Times" w:hAnsi="Times"/>
                <w:color w:val="000000"/>
                <w:sz w:val="16"/>
                <w:szCs w:val="16"/>
                <w:lang w:val="en-US"/>
              </w:rPr>
              <w:t>Function</w:t>
            </w:r>
          </w:p>
        </w:tc>
        <w:tc>
          <w:tcPr>
            <w:tcW w:w="1032" w:type="pct"/>
            <w:vMerge/>
            <w:hideMark/>
          </w:tcPr>
          <w:p w14:paraId="234CCAF4" w14:textId="77777777" w:rsidR="00456D9F" w:rsidRPr="00E76669" w:rsidRDefault="00456D9F" w:rsidP="00E76669">
            <w:pPr>
              <w:jc w:val="left"/>
              <w:cnfStyle w:val="000000000000" w:firstRow="0" w:lastRow="0" w:firstColumn="0" w:lastColumn="0" w:oddVBand="0" w:evenVBand="0" w:oddHBand="0" w:evenHBand="0" w:firstRowFirstColumn="0" w:firstRowLastColumn="0" w:lastRowFirstColumn="0" w:lastRowLastColumn="0"/>
              <w:rPr>
                <w:rFonts w:ascii="Times" w:hAnsi="Times"/>
                <w:b/>
                <w:bCs/>
                <w:color w:val="000000"/>
                <w:sz w:val="16"/>
                <w:szCs w:val="16"/>
                <w:lang w:val="en-US"/>
              </w:rPr>
            </w:pPr>
          </w:p>
        </w:tc>
        <w:tc>
          <w:tcPr>
            <w:tcW w:w="1653" w:type="pct"/>
            <w:vMerge/>
            <w:hideMark/>
          </w:tcPr>
          <w:p w14:paraId="5412BDB8" w14:textId="77777777" w:rsidR="00456D9F" w:rsidRPr="00E76669" w:rsidRDefault="00456D9F" w:rsidP="00E76669">
            <w:pPr>
              <w:jc w:val="left"/>
              <w:cnfStyle w:val="000000000000" w:firstRow="0" w:lastRow="0" w:firstColumn="0" w:lastColumn="0" w:oddVBand="0" w:evenVBand="0" w:oddHBand="0" w:evenHBand="0" w:firstRowFirstColumn="0" w:firstRowLastColumn="0" w:lastRowFirstColumn="0" w:lastRowLastColumn="0"/>
              <w:rPr>
                <w:rFonts w:ascii="Times" w:hAnsi="Times"/>
                <w:b/>
                <w:bCs/>
                <w:color w:val="000000"/>
                <w:sz w:val="16"/>
                <w:szCs w:val="16"/>
                <w:lang w:val="en-US"/>
              </w:rPr>
            </w:pPr>
          </w:p>
        </w:tc>
        <w:tc>
          <w:tcPr>
            <w:tcW w:w="446" w:type="pct"/>
            <w:noWrap/>
            <w:vAlign w:val="center"/>
            <w:hideMark/>
          </w:tcPr>
          <w:p w14:paraId="6E0515D5" w14:textId="77777777" w:rsidR="00456D9F" w:rsidRPr="00E76669" w:rsidRDefault="00456D9F" w:rsidP="00FC64FC">
            <w:pPr>
              <w:jc w:val="center"/>
              <w:cnfStyle w:val="000000000000" w:firstRow="0" w:lastRow="0" w:firstColumn="0" w:lastColumn="0" w:oddVBand="0" w:evenVBand="0" w:oddHBand="0" w:evenHBand="0" w:firstRowFirstColumn="0" w:firstRowLastColumn="0" w:lastRowFirstColumn="0" w:lastRowLastColumn="0"/>
              <w:rPr>
                <w:rFonts w:ascii="Times" w:hAnsi="Times"/>
                <w:b/>
                <w:bCs/>
                <w:color w:val="000000"/>
                <w:sz w:val="16"/>
                <w:szCs w:val="16"/>
                <w:lang w:val="en-US"/>
              </w:rPr>
            </w:pPr>
            <w:r w:rsidRPr="00E76669">
              <w:rPr>
                <w:rFonts w:ascii="Times" w:hAnsi="Times"/>
                <w:b/>
                <w:bCs/>
                <w:color w:val="000000"/>
                <w:sz w:val="16"/>
                <w:szCs w:val="16"/>
                <w:lang w:val="en-US"/>
              </w:rPr>
              <w:t>2020/21</w:t>
            </w:r>
          </w:p>
        </w:tc>
        <w:tc>
          <w:tcPr>
            <w:tcW w:w="446" w:type="pct"/>
            <w:noWrap/>
            <w:vAlign w:val="center"/>
            <w:hideMark/>
          </w:tcPr>
          <w:p w14:paraId="54236BFD" w14:textId="77777777" w:rsidR="00456D9F" w:rsidRPr="00E76669" w:rsidRDefault="00456D9F" w:rsidP="00FC64FC">
            <w:pPr>
              <w:jc w:val="center"/>
              <w:cnfStyle w:val="000000000000" w:firstRow="0" w:lastRow="0" w:firstColumn="0" w:lastColumn="0" w:oddVBand="0" w:evenVBand="0" w:oddHBand="0" w:evenHBand="0" w:firstRowFirstColumn="0" w:firstRowLastColumn="0" w:lastRowFirstColumn="0" w:lastRowLastColumn="0"/>
              <w:rPr>
                <w:rFonts w:ascii="Times" w:hAnsi="Times"/>
                <w:b/>
                <w:bCs/>
                <w:color w:val="000000"/>
                <w:sz w:val="16"/>
                <w:szCs w:val="16"/>
                <w:lang w:val="en-US"/>
              </w:rPr>
            </w:pPr>
            <w:r w:rsidRPr="00E76669">
              <w:rPr>
                <w:rFonts w:ascii="Times" w:hAnsi="Times"/>
                <w:b/>
                <w:bCs/>
                <w:color w:val="000000"/>
                <w:sz w:val="16"/>
                <w:szCs w:val="16"/>
                <w:lang w:val="en-US"/>
              </w:rPr>
              <w:t>2021/22</w:t>
            </w:r>
          </w:p>
        </w:tc>
        <w:tc>
          <w:tcPr>
            <w:tcW w:w="446" w:type="pct"/>
            <w:noWrap/>
            <w:vAlign w:val="center"/>
            <w:hideMark/>
          </w:tcPr>
          <w:p w14:paraId="6DF29A0E" w14:textId="77777777" w:rsidR="00456D9F" w:rsidRPr="00E76669" w:rsidRDefault="00456D9F" w:rsidP="00FC64FC">
            <w:pPr>
              <w:jc w:val="center"/>
              <w:cnfStyle w:val="000000000000" w:firstRow="0" w:lastRow="0" w:firstColumn="0" w:lastColumn="0" w:oddVBand="0" w:evenVBand="0" w:oddHBand="0" w:evenHBand="0" w:firstRowFirstColumn="0" w:firstRowLastColumn="0" w:lastRowFirstColumn="0" w:lastRowLastColumn="0"/>
              <w:rPr>
                <w:rFonts w:ascii="Times" w:hAnsi="Times"/>
                <w:b/>
                <w:bCs/>
                <w:color w:val="000000"/>
                <w:sz w:val="16"/>
                <w:szCs w:val="16"/>
                <w:lang w:val="en-US"/>
              </w:rPr>
            </w:pPr>
            <w:r w:rsidRPr="00E76669">
              <w:rPr>
                <w:rFonts w:ascii="Times" w:hAnsi="Times"/>
                <w:b/>
                <w:bCs/>
                <w:color w:val="000000"/>
                <w:sz w:val="16"/>
                <w:szCs w:val="16"/>
                <w:lang w:val="en-US"/>
              </w:rPr>
              <w:t>2022/23</w:t>
            </w:r>
          </w:p>
        </w:tc>
        <w:tc>
          <w:tcPr>
            <w:tcW w:w="446" w:type="pct"/>
            <w:vMerge/>
            <w:hideMark/>
          </w:tcPr>
          <w:p w14:paraId="0F0D006D" w14:textId="77777777" w:rsidR="00456D9F" w:rsidRPr="00E76669" w:rsidRDefault="00456D9F" w:rsidP="00E76669">
            <w:pPr>
              <w:jc w:val="left"/>
              <w:cnfStyle w:val="000000000000" w:firstRow="0" w:lastRow="0" w:firstColumn="0" w:lastColumn="0" w:oddVBand="0" w:evenVBand="0" w:oddHBand="0" w:evenHBand="0" w:firstRowFirstColumn="0" w:firstRowLastColumn="0" w:lastRowFirstColumn="0" w:lastRowLastColumn="0"/>
              <w:rPr>
                <w:rFonts w:ascii="Times" w:hAnsi="Times"/>
                <w:b/>
                <w:bCs/>
                <w:color w:val="000000"/>
                <w:sz w:val="16"/>
                <w:szCs w:val="16"/>
                <w:lang w:val="en-US"/>
              </w:rPr>
            </w:pPr>
          </w:p>
        </w:tc>
      </w:tr>
      <w:tr w:rsidR="00456D9F" w:rsidRPr="00E76669" w14:paraId="435D58EA" w14:textId="77777777" w:rsidTr="00297210">
        <w:trPr>
          <w:trHeight w:val="204"/>
        </w:trPr>
        <w:tc>
          <w:tcPr>
            <w:cnfStyle w:val="001000000000" w:firstRow="0" w:lastRow="0" w:firstColumn="1" w:lastColumn="0" w:oddVBand="0" w:evenVBand="0" w:oddHBand="0" w:evenHBand="0" w:firstRowFirstColumn="0" w:firstRowLastColumn="0" w:lastRowFirstColumn="0" w:lastRowLastColumn="0"/>
            <w:tcW w:w="531" w:type="pct"/>
            <w:vMerge w:val="restart"/>
            <w:vAlign w:val="center"/>
            <w:hideMark/>
          </w:tcPr>
          <w:p w14:paraId="30C1D192" w14:textId="77777777" w:rsidR="00456D9F" w:rsidRPr="00E76669" w:rsidRDefault="00456D9F" w:rsidP="00E76669">
            <w:pPr>
              <w:jc w:val="left"/>
              <w:rPr>
                <w:rFonts w:ascii="Times" w:hAnsi="Times"/>
                <w:color w:val="000000"/>
                <w:sz w:val="16"/>
                <w:szCs w:val="16"/>
                <w:lang w:val="en-US"/>
              </w:rPr>
            </w:pPr>
            <w:r w:rsidRPr="00E76669">
              <w:rPr>
                <w:rFonts w:ascii="Times" w:hAnsi="Times"/>
                <w:color w:val="000000"/>
                <w:sz w:val="16"/>
                <w:szCs w:val="16"/>
                <w:lang w:val="en-US"/>
              </w:rPr>
              <w:t>Learning and Culture</w:t>
            </w:r>
          </w:p>
        </w:tc>
        <w:tc>
          <w:tcPr>
            <w:tcW w:w="1032" w:type="pct"/>
            <w:vMerge w:val="restart"/>
            <w:vAlign w:val="center"/>
            <w:hideMark/>
          </w:tcPr>
          <w:p w14:paraId="1691AA6E" w14:textId="488168A3" w:rsidR="00456D9F" w:rsidRPr="00E76669" w:rsidRDefault="00456D9F" w:rsidP="00E76669">
            <w:pPr>
              <w:jc w:val="left"/>
              <w:cnfStyle w:val="000000000000" w:firstRow="0" w:lastRow="0" w:firstColumn="0" w:lastColumn="0" w:oddVBand="0" w:evenVBand="0" w:oddHBand="0" w:evenHBand="0" w:firstRowFirstColumn="0" w:firstRowLastColumn="0" w:lastRowFirstColumn="0" w:lastRowLastColumn="0"/>
              <w:rPr>
                <w:rFonts w:ascii="Times" w:hAnsi="Times"/>
                <w:color w:val="000000"/>
                <w:sz w:val="16"/>
                <w:szCs w:val="16"/>
                <w:lang w:val="en-US"/>
              </w:rPr>
            </w:pPr>
            <w:r w:rsidRPr="00E76669">
              <w:rPr>
                <w:rFonts w:ascii="Times" w:hAnsi="Times"/>
                <w:color w:val="000000"/>
                <w:sz w:val="16"/>
                <w:szCs w:val="16"/>
                <w:lang w:val="en-US"/>
              </w:rPr>
              <w:t>Sports</w:t>
            </w:r>
            <w:r w:rsidR="00E76669">
              <w:rPr>
                <w:rFonts w:ascii="Times" w:hAnsi="Times"/>
                <w:color w:val="000000"/>
                <w:sz w:val="16"/>
                <w:szCs w:val="16"/>
                <w:lang w:val="en-US"/>
              </w:rPr>
              <w:t xml:space="preserve"> </w:t>
            </w:r>
            <w:r w:rsidRPr="00E76669">
              <w:rPr>
                <w:rFonts w:ascii="Times" w:hAnsi="Times"/>
                <w:color w:val="000000"/>
                <w:sz w:val="16"/>
                <w:szCs w:val="16"/>
                <w:lang w:val="en-US"/>
              </w:rPr>
              <w:t xml:space="preserve"> Art and Culture</w:t>
            </w:r>
          </w:p>
        </w:tc>
        <w:tc>
          <w:tcPr>
            <w:tcW w:w="1653" w:type="pct"/>
            <w:hideMark/>
          </w:tcPr>
          <w:p w14:paraId="6D43FB83" w14:textId="77777777" w:rsidR="00456D9F" w:rsidRPr="00E76669" w:rsidRDefault="00456D9F" w:rsidP="00E76669">
            <w:pPr>
              <w:jc w:val="left"/>
              <w:cnfStyle w:val="000000000000" w:firstRow="0" w:lastRow="0" w:firstColumn="0" w:lastColumn="0" w:oddVBand="0" w:evenVBand="0" w:oddHBand="0" w:evenHBand="0" w:firstRowFirstColumn="0" w:firstRowLastColumn="0" w:lastRowFirstColumn="0" w:lastRowLastColumn="0"/>
              <w:rPr>
                <w:rFonts w:ascii="Times" w:hAnsi="Times"/>
                <w:color w:val="000000"/>
                <w:sz w:val="16"/>
                <w:szCs w:val="16"/>
                <w:lang w:val="en-US"/>
              </w:rPr>
            </w:pPr>
            <w:r w:rsidRPr="00E76669">
              <w:rPr>
                <w:rFonts w:ascii="Times" w:hAnsi="Times"/>
                <w:color w:val="000000"/>
                <w:sz w:val="16"/>
                <w:szCs w:val="16"/>
                <w:lang w:val="en-US"/>
              </w:rPr>
              <w:t xml:space="preserve">Community Library Services Grant </w:t>
            </w:r>
          </w:p>
        </w:tc>
        <w:tc>
          <w:tcPr>
            <w:tcW w:w="446" w:type="pct"/>
            <w:noWrap/>
            <w:hideMark/>
          </w:tcPr>
          <w:p w14:paraId="6414C5F7" w14:textId="54563D4E" w:rsidR="00456D9F" w:rsidRPr="00E76669" w:rsidRDefault="00456D9F" w:rsidP="00E76669">
            <w:pPr>
              <w:jc w:val="center"/>
              <w:cnfStyle w:val="000000000000" w:firstRow="0" w:lastRow="0" w:firstColumn="0" w:lastColumn="0" w:oddVBand="0" w:evenVBand="0" w:oddHBand="0" w:evenHBand="0" w:firstRowFirstColumn="0" w:firstRowLastColumn="0" w:lastRowFirstColumn="0" w:lastRowLastColumn="0"/>
              <w:rPr>
                <w:rFonts w:ascii="Times" w:hAnsi="Times"/>
                <w:color w:val="000000"/>
                <w:sz w:val="16"/>
                <w:szCs w:val="16"/>
                <w:lang w:val="en-US"/>
              </w:rPr>
            </w:pPr>
            <w:r w:rsidRPr="00E76669">
              <w:rPr>
                <w:rFonts w:ascii="Times" w:hAnsi="Times"/>
                <w:color w:val="000000"/>
                <w:sz w:val="16"/>
                <w:szCs w:val="16"/>
                <w:lang w:val="en-US"/>
              </w:rPr>
              <w:t>1</w:t>
            </w:r>
            <w:r w:rsidR="00E76669">
              <w:rPr>
                <w:rFonts w:ascii="Times" w:hAnsi="Times"/>
                <w:color w:val="000000"/>
                <w:sz w:val="16"/>
                <w:szCs w:val="16"/>
                <w:lang w:val="en-US"/>
              </w:rPr>
              <w:t xml:space="preserve"> </w:t>
            </w:r>
            <w:r w:rsidRPr="00E76669">
              <w:rPr>
                <w:rFonts w:ascii="Times" w:hAnsi="Times"/>
                <w:color w:val="000000"/>
                <w:sz w:val="16"/>
                <w:szCs w:val="16"/>
                <w:lang w:val="en-US"/>
              </w:rPr>
              <w:t>479</w:t>
            </w:r>
            <w:r w:rsidR="00E76669">
              <w:rPr>
                <w:rFonts w:ascii="Times" w:hAnsi="Times"/>
                <w:color w:val="000000"/>
                <w:sz w:val="16"/>
                <w:szCs w:val="16"/>
                <w:lang w:val="en-US"/>
              </w:rPr>
              <w:t xml:space="preserve"> </w:t>
            </w:r>
            <w:r w:rsidRPr="00E76669">
              <w:rPr>
                <w:rFonts w:ascii="Times" w:hAnsi="Times"/>
                <w:color w:val="000000"/>
                <w:sz w:val="16"/>
                <w:szCs w:val="16"/>
                <w:lang w:val="en-US"/>
              </w:rPr>
              <w:t>093</w:t>
            </w:r>
          </w:p>
        </w:tc>
        <w:tc>
          <w:tcPr>
            <w:tcW w:w="446" w:type="pct"/>
            <w:noWrap/>
            <w:hideMark/>
          </w:tcPr>
          <w:p w14:paraId="0BFB7039" w14:textId="2F814252" w:rsidR="00456D9F" w:rsidRPr="00E76669" w:rsidRDefault="00456D9F" w:rsidP="00E76669">
            <w:pPr>
              <w:jc w:val="center"/>
              <w:cnfStyle w:val="000000000000" w:firstRow="0" w:lastRow="0" w:firstColumn="0" w:lastColumn="0" w:oddVBand="0" w:evenVBand="0" w:oddHBand="0" w:evenHBand="0" w:firstRowFirstColumn="0" w:firstRowLastColumn="0" w:lastRowFirstColumn="0" w:lastRowLastColumn="0"/>
              <w:rPr>
                <w:rFonts w:ascii="Times" w:hAnsi="Times"/>
                <w:color w:val="000000"/>
                <w:sz w:val="16"/>
                <w:szCs w:val="16"/>
                <w:lang w:val="en-US"/>
              </w:rPr>
            </w:pPr>
            <w:r w:rsidRPr="00E76669">
              <w:rPr>
                <w:rFonts w:ascii="Times" w:hAnsi="Times"/>
                <w:color w:val="000000"/>
                <w:sz w:val="16"/>
                <w:szCs w:val="16"/>
                <w:lang w:val="en-US"/>
              </w:rPr>
              <w:t>1</w:t>
            </w:r>
            <w:r w:rsidR="00E76669">
              <w:rPr>
                <w:rFonts w:ascii="Times" w:hAnsi="Times"/>
                <w:color w:val="000000"/>
                <w:sz w:val="16"/>
                <w:szCs w:val="16"/>
                <w:lang w:val="en-US"/>
              </w:rPr>
              <w:t xml:space="preserve"> </w:t>
            </w:r>
            <w:r w:rsidRPr="00E76669">
              <w:rPr>
                <w:rFonts w:ascii="Times" w:hAnsi="Times"/>
                <w:color w:val="000000"/>
                <w:sz w:val="16"/>
                <w:szCs w:val="16"/>
                <w:lang w:val="en-US"/>
              </w:rPr>
              <w:t>584</w:t>
            </w:r>
            <w:r w:rsidR="00E76669">
              <w:rPr>
                <w:rFonts w:ascii="Times" w:hAnsi="Times"/>
                <w:color w:val="000000"/>
                <w:sz w:val="16"/>
                <w:szCs w:val="16"/>
                <w:lang w:val="en-US"/>
              </w:rPr>
              <w:t xml:space="preserve"> </w:t>
            </w:r>
            <w:r w:rsidRPr="00E76669">
              <w:rPr>
                <w:rFonts w:ascii="Times" w:hAnsi="Times"/>
                <w:color w:val="000000"/>
                <w:sz w:val="16"/>
                <w:szCs w:val="16"/>
                <w:lang w:val="en-US"/>
              </w:rPr>
              <w:t>073</w:t>
            </w:r>
          </w:p>
        </w:tc>
        <w:tc>
          <w:tcPr>
            <w:tcW w:w="446" w:type="pct"/>
            <w:noWrap/>
            <w:hideMark/>
          </w:tcPr>
          <w:p w14:paraId="480CE5DE" w14:textId="4E294A8D" w:rsidR="00456D9F" w:rsidRPr="00E76669" w:rsidRDefault="00456D9F" w:rsidP="00E76669">
            <w:pPr>
              <w:jc w:val="center"/>
              <w:cnfStyle w:val="000000000000" w:firstRow="0" w:lastRow="0" w:firstColumn="0" w:lastColumn="0" w:oddVBand="0" w:evenVBand="0" w:oddHBand="0" w:evenHBand="0" w:firstRowFirstColumn="0" w:firstRowLastColumn="0" w:lastRowFirstColumn="0" w:lastRowLastColumn="0"/>
              <w:rPr>
                <w:rFonts w:ascii="Times" w:hAnsi="Times"/>
                <w:color w:val="000000"/>
                <w:sz w:val="16"/>
                <w:szCs w:val="16"/>
                <w:lang w:val="en-US"/>
              </w:rPr>
            </w:pPr>
            <w:r w:rsidRPr="00E76669">
              <w:rPr>
                <w:rFonts w:ascii="Times" w:hAnsi="Times"/>
                <w:color w:val="000000"/>
                <w:sz w:val="16"/>
                <w:szCs w:val="16"/>
                <w:lang w:val="en-US"/>
              </w:rPr>
              <w:t>1</w:t>
            </w:r>
            <w:r w:rsidR="00E76669">
              <w:rPr>
                <w:rFonts w:ascii="Times" w:hAnsi="Times"/>
                <w:color w:val="000000"/>
                <w:sz w:val="16"/>
                <w:szCs w:val="16"/>
                <w:lang w:val="en-US"/>
              </w:rPr>
              <w:t xml:space="preserve"> </w:t>
            </w:r>
            <w:r w:rsidRPr="00E76669">
              <w:rPr>
                <w:rFonts w:ascii="Times" w:hAnsi="Times"/>
                <w:color w:val="000000"/>
                <w:sz w:val="16"/>
                <w:szCs w:val="16"/>
                <w:lang w:val="en-US"/>
              </w:rPr>
              <w:t>667</w:t>
            </w:r>
            <w:r w:rsidR="00E76669">
              <w:rPr>
                <w:rFonts w:ascii="Times" w:hAnsi="Times"/>
                <w:color w:val="000000"/>
                <w:sz w:val="16"/>
                <w:szCs w:val="16"/>
                <w:lang w:val="en-US"/>
              </w:rPr>
              <w:t xml:space="preserve"> </w:t>
            </w:r>
            <w:r w:rsidRPr="00E76669">
              <w:rPr>
                <w:rFonts w:ascii="Times" w:hAnsi="Times"/>
                <w:color w:val="000000"/>
                <w:sz w:val="16"/>
                <w:szCs w:val="16"/>
                <w:lang w:val="en-US"/>
              </w:rPr>
              <w:t>002</w:t>
            </w:r>
          </w:p>
        </w:tc>
        <w:tc>
          <w:tcPr>
            <w:tcW w:w="446" w:type="pct"/>
            <w:noWrap/>
            <w:hideMark/>
          </w:tcPr>
          <w:p w14:paraId="31DB411A" w14:textId="3225CDEA" w:rsidR="00456D9F" w:rsidRPr="00E76669" w:rsidRDefault="00456D9F" w:rsidP="00E76669">
            <w:pPr>
              <w:jc w:val="center"/>
              <w:cnfStyle w:val="000000000000" w:firstRow="0" w:lastRow="0" w:firstColumn="0" w:lastColumn="0" w:oddVBand="0" w:evenVBand="0" w:oddHBand="0" w:evenHBand="0" w:firstRowFirstColumn="0" w:firstRowLastColumn="0" w:lastRowFirstColumn="0" w:lastRowLastColumn="0"/>
              <w:rPr>
                <w:rFonts w:ascii="Times" w:hAnsi="Times"/>
                <w:color w:val="000000"/>
                <w:sz w:val="16"/>
                <w:szCs w:val="16"/>
                <w:lang w:val="en-US"/>
              </w:rPr>
            </w:pPr>
            <w:r w:rsidRPr="00E76669">
              <w:rPr>
                <w:rFonts w:ascii="Times" w:hAnsi="Times"/>
                <w:color w:val="000000"/>
                <w:sz w:val="16"/>
                <w:szCs w:val="16"/>
                <w:lang w:val="en-US"/>
              </w:rPr>
              <w:t>4</w:t>
            </w:r>
            <w:r w:rsidR="00E76669">
              <w:rPr>
                <w:rFonts w:ascii="Times" w:hAnsi="Times"/>
                <w:color w:val="000000"/>
                <w:sz w:val="16"/>
                <w:szCs w:val="16"/>
                <w:lang w:val="en-US"/>
              </w:rPr>
              <w:t xml:space="preserve"> </w:t>
            </w:r>
            <w:r w:rsidRPr="00E76669">
              <w:rPr>
                <w:rFonts w:ascii="Times" w:hAnsi="Times"/>
                <w:color w:val="000000"/>
                <w:sz w:val="16"/>
                <w:szCs w:val="16"/>
                <w:lang w:val="en-US"/>
              </w:rPr>
              <w:t>730</w:t>
            </w:r>
            <w:r w:rsidR="00E76669">
              <w:rPr>
                <w:rFonts w:ascii="Times" w:hAnsi="Times"/>
                <w:color w:val="000000"/>
                <w:sz w:val="16"/>
                <w:szCs w:val="16"/>
                <w:lang w:val="en-US"/>
              </w:rPr>
              <w:t xml:space="preserve"> </w:t>
            </w:r>
            <w:r w:rsidRPr="00E76669">
              <w:rPr>
                <w:rFonts w:ascii="Times" w:hAnsi="Times"/>
                <w:color w:val="000000"/>
                <w:sz w:val="16"/>
                <w:szCs w:val="16"/>
                <w:lang w:val="en-US"/>
              </w:rPr>
              <w:t>168</w:t>
            </w:r>
          </w:p>
        </w:tc>
      </w:tr>
      <w:tr w:rsidR="00456D9F" w:rsidRPr="00E76669" w14:paraId="3C44A1D7" w14:textId="77777777" w:rsidTr="00297210">
        <w:trPr>
          <w:trHeight w:val="204"/>
        </w:trPr>
        <w:tc>
          <w:tcPr>
            <w:cnfStyle w:val="001000000000" w:firstRow="0" w:lastRow="0" w:firstColumn="1" w:lastColumn="0" w:oddVBand="0" w:evenVBand="0" w:oddHBand="0" w:evenHBand="0" w:firstRowFirstColumn="0" w:firstRowLastColumn="0" w:lastRowFirstColumn="0" w:lastRowLastColumn="0"/>
            <w:tcW w:w="531" w:type="pct"/>
            <w:vMerge/>
            <w:vAlign w:val="center"/>
            <w:hideMark/>
          </w:tcPr>
          <w:p w14:paraId="6F28D402" w14:textId="77777777" w:rsidR="00456D9F" w:rsidRPr="00E76669" w:rsidRDefault="00456D9F" w:rsidP="00E76669">
            <w:pPr>
              <w:jc w:val="left"/>
              <w:rPr>
                <w:rFonts w:ascii="Times" w:hAnsi="Times"/>
                <w:color w:val="000000"/>
                <w:sz w:val="16"/>
                <w:szCs w:val="16"/>
                <w:lang w:val="en-US"/>
              </w:rPr>
            </w:pPr>
          </w:p>
        </w:tc>
        <w:tc>
          <w:tcPr>
            <w:tcW w:w="1032" w:type="pct"/>
            <w:vMerge/>
            <w:vAlign w:val="center"/>
            <w:hideMark/>
          </w:tcPr>
          <w:p w14:paraId="0C5A4A1D" w14:textId="77777777" w:rsidR="00456D9F" w:rsidRPr="00E76669" w:rsidRDefault="00456D9F" w:rsidP="00E76669">
            <w:pPr>
              <w:jc w:val="left"/>
              <w:cnfStyle w:val="000000000000" w:firstRow="0" w:lastRow="0" w:firstColumn="0" w:lastColumn="0" w:oddVBand="0" w:evenVBand="0" w:oddHBand="0" w:evenHBand="0" w:firstRowFirstColumn="0" w:firstRowLastColumn="0" w:lastRowFirstColumn="0" w:lastRowLastColumn="0"/>
              <w:rPr>
                <w:rFonts w:ascii="Times" w:hAnsi="Times"/>
                <w:color w:val="000000"/>
                <w:sz w:val="16"/>
                <w:szCs w:val="16"/>
                <w:lang w:val="en-US"/>
              </w:rPr>
            </w:pPr>
          </w:p>
        </w:tc>
        <w:tc>
          <w:tcPr>
            <w:tcW w:w="1653" w:type="pct"/>
            <w:noWrap/>
            <w:hideMark/>
          </w:tcPr>
          <w:p w14:paraId="7ED9F7E6" w14:textId="77777777" w:rsidR="00456D9F" w:rsidRPr="00E76669" w:rsidRDefault="00456D9F" w:rsidP="00E76669">
            <w:pPr>
              <w:jc w:val="left"/>
              <w:cnfStyle w:val="000000000000" w:firstRow="0" w:lastRow="0" w:firstColumn="0" w:lastColumn="0" w:oddVBand="0" w:evenVBand="0" w:oddHBand="0" w:evenHBand="0" w:firstRowFirstColumn="0" w:firstRowLastColumn="0" w:lastRowFirstColumn="0" w:lastRowLastColumn="0"/>
              <w:rPr>
                <w:rFonts w:ascii="Times" w:hAnsi="Times"/>
                <w:color w:val="000000"/>
                <w:sz w:val="16"/>
                <w:szCs w:val="16"/>
                <w:lang w:val="en-US"/>
              </w:rPr>
            </w:pPr>
            <w:r w:rsidRPr="00E76669">
              <w:rPr>
                <w:rFonts w:ascii="Times" w:hAnsi="Times"/>
                <w:color w:val="000000"/>
                <w:sz w:val="16"/>
                <w:szCs w:val="16"/>
                <w:lang w:val="en-US"/>
              </w:rPr>
              <w:t>Mass Participation and Sport Development Grant</w:t>
            </w:r>
          </w:p>
        </w:tc>
        <w:tc>
          <w:tcPr>
            <w:tcW w:w="446" w:type="pct"/>
            <w:noWrap/>
            <w:hideMark/>
          </w:tcPr>
          <w:p w14:paraId="0B0829B2" w14:textId="5455421F" w:rsidR="00456D9F" w:rsidRPr="00E76669" w:rsidRDefault="00456D9F" w:rsidP="00E76669">
            <w:pPr>
              <w:jc w:val="center"/>
              <w:cnfStyle w:val="000000000000" w:firstRow="0" w:lastRow="0" w:firstColumn="0" w:lastColumn="0" w:oddVBand="0" w:evenVBand="0" w:oddHBand="0" w:evenHBand="0" w:firstRowFirstColumn="0" w:firstRowLastColumn="0" w:lastRowFirstColumn="0" w:lastRowLastColumn="0"/>
              <w:rPr>
                <w:rFonts w:ascii="Times" w:hAnsi="Times"/>
                <w:color w:val="000000"/>
                <w:sz w:val="16"/>
                <w:szCs w:val="16"/>
                <w:lang w:val="en-US"/>
              </w:rPr>
            </w:pPr>
            <w:r w:rsidRPr="00E76669">
              <w:rPr>
                <w:rFonts w:ascii="Times" w:hAnsi="Times"/>
                <w:color w:val="000000"/>
                <w:sz w:val="16"/>
                <w:szCs w:val="16"/>
                <w:lang w:val="en-US"/>
              </w:rPr>
              <w:t>596</w:t>
            </w:r>
            <w:r w:rsidR="00E76669">
              <w:rPr>
                <w:rFonts w:ascii="Times" w:hAnsi="Times"/>
                <w:color w:val="000000"/>
                <w:sz w:val="16"/>
                <w:szCs w:val="16"/>
                <w:lang w:val="en-US"/>
              </w:rPr>
              <w:t xml:space="preserve"> </w:t>
            </w:r>
            <w:r w:rsidRPr="00E76669">
              <w:rPr>
                <w:rFonts w:ascii="Times" w:hAnsi="Times"/>
                <w:color w:val="000000"/>
                <w:sz w:val="16"/>
                <w:szCs w:val="16"/>
                <w:lang w:val="en-US"/>
              </w:rPr>
              <w:t>617</w:t>
            </w:r>
          </w:p>
        </w:tc>
        <w:tc>
          <w:tcPr>
            <w:tcW w:w="446" w:type="pct"/>
            <w:noWrap/>
            <w:hideMark/>
          </w:tcPr>
          <w:p w14:paraId="53343DF2" w14:textId="730A086C" w:rsidR="00456D9F" w:rsidRPr="00E76669" w:rsidRDefault="00456D9F" w:rsidP="00E76669">
            <w:pPr>
              <w:jc w:val="center"/>
              <w:cnfStyle w:val="000000000000" w:firstRow="0" w:lastRow="0" w:firstColumn="0" w:lastColumn="0" w:oddVBand="0" w:evenVBand="0" w:oddHBand="0" w:evenHBand="0" w:firstRowFirstColumn="0" w:firstRowLastColumn="0" w:lastRowFirstColumn="0" w:lastRowLastColumn="0"/>
              <w:rPr>
                <w:rFonts w:ascii="Times" w:hAnsi="Times"/>
                <w:color w:val="000000"/>
                <w:sz w:val="16"/>
                <w:szCs w:val="16"/>
                <w:lang w:val="en-US"/>
              </w:rPr>
            </w:pPr>
            <w:r w:rsidRPr="00E76669">
              <w:rPr>
                <w:rFonts w:ascii="Times" w:hAnsi="Times"/>
                <w:color w:val="000000"/>
                <w:sz w:val="16"/>
                <w:szCs w:val="16"/>
                <w:lang w:val="en-US"/>
              </w:rPr>
              <w:t>620</w:t>
            </w:r>
            <w:r w:rsidR="00E76669">
              <w:rPr>
                <w:rFonts w:ascii="Times" w:hAnsi="Times"/>
                <w:color w:val="000000"/>
                <w:sz w:val="16"/>
                <w:szCs w:val="16"/>
                <w:lang w:val="en-US"/>
              </w:rPr>
              <w:t xml:space="preserve"> </w:t>
            </w:r>
            <w:r w:rsidRPr="00E76669">
              <w:rPr>
                <w:rFonts w:ascii="Times" w:hAnsi="Times"/>
                <w:color w:val="000000"/>
                <w:sz w:val="16"/>
                <w:szCs w:val="16"/>
                <w:lang w:val="en-US"/>
              </w:rPr>
              <w:t>807</w:t>
            </w:r>
          </w:p>
        </w:tc>
        <w:tc>
          <w:tcPr>
            <w:tcW w:w="446" w:type="pct"/>
            <w:noWrap/>
            <w:hideMark/>
          </w:tcPr>
          <w:p w14:paraId="1639542B" w14:textId="78AE6125" w:rsidR="00456D9F" w:rsidRPr="00E76669" w:rsidRDefault="00456D9F" w:rsidP="00E76669">
            <w:pPr>
              <w:jc w:val="center"/>
              <w:cnfStyle w:val="000000000000" w:firstRow="0" w:lastRow="0" w:firstColumn="0" w:lastColumn="0" w:oddVBand="0" w:evenVBand="0" w:oddHBand="0" w:evenHBand="0" w:firstRowFirstColumn="0" w:firstRowLastColumn="0" w:lastRowFirstColumn="0" w:lastRowLastColumn="0"/>
              <w:rPr>
                <w:rFonts w:ascii="Times" w:hAnsi="Times"/>
                <w:color w:val="000000"/>
                <w:sz w:val="16"/>
                <w:szCs w:val="16"/>
                <w:lang w:val="en-US"/>
              </w:rPr>
            </w:pPr>
            <w:r w:rsidRPr="00E76669">
              <w:rPr>
                <w:rFonts w:ascii="Times" w:hAnsi="Times"/>
                <w:color w:val="000000"/>
                <w:sz w:val="16"/>
                <w:szCs w:val="16"/>
                <w:lang w:val="en-US"/>
              </w:rPr>
              <w:t>640</w:t>
            </w:r>
            <w:r w:rsidR="00E76669">
              <w:rPr>
                <w:rFonts w:ascii="Times" w:hAnsi="Times"/>
                <w:color w:val="000000"/>
                <w:sz w:val="16"/>
                <w:szCs w:val="16"/>
                <w:lang w:val="en-US"/>
              </w:rPr>
              <w:t xml:space="preserve"> </w:t>
            </w:r>
            <w:r w:rsidRPr="00E76669">
              <w:rPr>
                <w:rFonts w:ascii="Times" w:hAnsi="Times"/>
                <w:color w:val="000000"/>
                <w:sz w:val="16"/>
                <w:szCs w:val="16"/>
                <w:lang w:val="en-US"/>
              </w:rPr>
              <w:t>472</w:t>
            </w:r>
          </w:p>
        </w:tc>
        <w:tc>
          <w:tcPr>
            <w:tcW w:w="446" w:type="pct"/>
            <w:noWrap/>
            <w:hideMark/>
          </w:tcPr>
          <w:p w14:paraId="305EB4A3" w14:textId="0E6E68B0" w:rsidR="00456D9F" w:rsidRPr="00E76669" w:rsidRDefault="00456D9F" w:rsidP="00E76669">
            <w:pPr>
              <w:jc w:val="center"/>
              <w:cnfStyle w:val="000000000000" w:firstRow="0" w:lastRow="0" w:firstColumn="0" w:lastColumn="0" w:oddVBand="0" w:evenVBand="0" w:oddHBand="0" w:evenHBand="0" w:firstRowFirstColumn="0" w:firstRowLastColumn="0" w:lastRowFirstColumn="0" w:lastRowLastColumn="0"/>
              <w:rPr>
                <w:rFonts w:ascii="Times" w:hAnsi="Times"/>
                <w:color w:val="000000"/>
                <w:sz w:val="16"/>
                <w:szCs w:val="16"/>
                <w:lang w:val="en-US"/>
              </w:rPr>
            </w:pPr>
            <w:r w:rsidRPr="00E76669">
              <w:rPr>
                <w:rFonts w:ascii="Times" w:hAnsi="Times"/>
                <w:color w:val="000000"/>
                <w:sz w:val="16"/>
                <w:szCs w:val="16"/>
                <w:lang w:val="en-US"/>
              </w:rPr>
              <w:t>1</w:t>
            </w:r>
            <w:r w:rsidR="00E76669">
              <w:rPr>
                <w:rFonts w:ascii="Times" w:hAnsi="Times"/>
                <w:color w:val="000000"/>
                <w:sz w:val="16"/>
                <w:szCs w:val="16"/>
                <w:lang w:val="en-US"/>
              </w:rPr>
              <w:t xml:space="preserve"> </w:t>
            </w:r>
            <w:r w:rsidRPr="00E76669">
              <w:rPr>
                <w:rFonts w:ascii="Times" w:hAnsi="Times"/>
                <w:color w:val="000000"/>
                <w:sz w:val="16"/>
                <w:szCs w:val="16"/>
                <w:lang w:val="en-US"/>
              </w:rPr>
              <w:t>857</w:t>
            </w:r>
            <w:r w:rsidR="00E76669">
              <w:rPr>
                <w:rFonts w:ascii="Times" w:hAnsi="Times"/>
                <w:color w:val="000000"/>
                <w:sz w:val="16"/>
                <w:szCs w:val="16"/>
                <w:lang w:val="en-US"/>
              </w:rPr>
              <w:t xml:space="preserve"> </w:t>
            </w:r>
            <w:r w:rsidRPr="00E76669">
              <w:rPr>
                <w:rFonts w:ascii="Times" w:hAnsi="Times"/>
                <w:color w:val="000000"/>
                <w:sz w:val="16"/>
                <w:szCs w:val="16"/>
                <w:lang w:val="en-US"/>
              </w:rPr>
              <w:t>896</w:t>
            </w:r>
          </w:p>
        </w:tc>
      </w:tr>
      <w:tr w:rsidR="00456D9F" w:rsidRPr="00E76669" w14:paraId="291028FD" w14:textId="77777777" w:rsidTr="00297210">
        <w:trPr>
          <w:trHeight w:val="204"/>
        </w:trPr>
        <w:tc>
          <w:tcPr>
            <w:cnfStyle w:val="001000000000" w:firstRow="0" w:lastRow="0" w:firstColumn="1" w:lastColumn="0" w:oddVBand="0" w:evenVBand="0" w:oddHBand="0" w:evenHBand="0" w:firstRowFirstColumn="0" w:firstRowLastColumn="0" w:lastRowFirstColumn="0" w:lastRowLastColumn="0"/>
            <w:tcW w:w="531" w:type="pct"/>
            <w:vMerge/>
            <w:vAlign w:val="center"/>
            <w:hideMark/>
          </w:tcPr>
          <w:p w14:paraId="300179AB" w14:textId="77777777" w:rsidR="00456D9F" w:rsidRPr="00E76669" w:rsidRDefault="00456D9F" w:rsidP="00E76669">
            <w:pPr>
              <w:jc w:val="left"/>
              <w:rPr>
                <w:rFonts w:ascii="Times" w:hAnsi="Times"/>
                <w:color w:val="000000"/>
                <w:sz w:val="16"/>
                <w:szCs w:val="16"/>
                <w:lang w:val="en-US"/>
              </w:rPr>
            </w:pPr>
          </w:p>
        </w:tc>
        <w:tc>
          <w:tcPr>
            <w:tcW w:w="1032" w:type="pct"/>
            <w:vMerge w:val="restart"/>
            <w:vAlign w:val="center"/>
            <w:hideMark/>
          </w:tcPr>
          <w:p w14:paraId="43A55051" w14:textId="77777777" w:rsidR="00456D9F" w:rsidRPr="00E76669" w:rsidRDefault="00456D9F" w:rsidP="00E76669">
            <w:pPr>
              <w:jc w:val="left"/>
              <w:cnfStyle w:val="000000000000" w:firstRow="0" w:lastRow="0" w:firstColumn="0" w:lastColumn="0" w:oddVBand="0" w:evenVBand="0" w:oddHBand="0" w:evenHBand="0" w:firstRowFirstColumn="0" w:firstRowLastColumn="0" w:lastRowFirstColumn="0" w:lastRowLastColumn="0"/>
              <w:rPr>
                <w:rFonts w:ascii="Times" w:hAnsi="Times"/>
                <w:color w:val="000000"/>
                <w:sz w:val="16"/>
                <w:szCs w:val="16"/>
                <w:lang w:val="en-US"/>
              </w:rPr>
            </w:pPr>
            <w:r w:rsidRPr="00E76669">
              <w:rPr>
                <w:rFonts w:ascii="Times" w:hAnsi="Times"/>
                <w:color w:val="000000"/>
                <w:sz w:val="16"/>
                <w:szCs w:val="16"/>
                <w:lang w:val="en-US"/>
              </w:rPr>
              <w:t>Basic Education</w:t>
            </w:r>
          </w:p>
        </w:tc>
        <w:tc>
          <w:tcPr>
            <w:tcW w:w="1653" w:type="pct"/>
            <w:noWrap/>
            <w:hideMark/>
          </w:tcPr>
          <w:p w14:paraId="3806F9EF" w14:textId="77777777" w:rsidR="00456D9F" w:rsidRPr="00E76669" w:rsidRDefault="00456D9F" w:rsidP="00E76669">
            <w:pPr>
              <w:jc w:val="left"/>
              <w:cnfStyle w:val="000000000000" w:firstRow="0" w:lastRow="0" w:firstColumn="0" w:lastColumn="0" w:oddVBand="0" w:evenVBand="0" w:oddHBand="0" w:evenHBand="0" w:firstRowFirstColumn="0" w:firstRowLastColumn="0" w:lastRowFirstColumn="0" w:lastRowLastColumn="0"/>
              <w:rPr>
                <w:rFonts w:ascii="Times" w:hAnsi="Times"/>
                <w:color w:val="000000"/>
                <w:sz w:val="16"/>
                <w:szCs w:val="16"/>
                <w:lang w:val="en-US"/>
              </w:rPr>
            </w:pPr>
            <w:r w:rsidRPr="00E76669">
              <w:rPr>
                <w:rFonts w:ascii="Times" w:hAnsi="Times"/>
                <w:color w:val="000000"/>
                <w:sz w:val="16"/>
                <w:szCs w:val="16"/>
                <w:lang w:val="en-US"/>
              </w:rPr>
              <w:t>National School Nutrition Programme</w:t>
            </w:r>
          </w:p>
        </w:tc>
        <w:tc>
          <w:tcPr>
            <w:tcW w:w="446" w:type="pct"/>
            <w:noWrap/>
            <w:hideMark/>
          </w:tcPr>
          <w:p w14:paraId="7EAF1CBD" w14:textId="0237337A" w:rsidR="00456D9F" w:rsidRPr="00E76669" w:rsidRDefault="00456D9F" w:rsidP="00E76669">
            <w:pPr>
              <w:jc w:val="center"/>
              <w:cnfStyle w:val="000000000000" w:firstRow="0" w:lastRow="0" w:firstColumn="0" w:lastColumn="0" w:oddVBand="0" w:evenVBand="0" w:oddHBand="0" w:evenHBand="0" w:firstRowFirstColumn="0" w:firstRowLastColumn="0" w:lastRowFirstColumn="0" w:lastRowLastColumn="0"/>
              <w:rPr>
                <w:rFonts w:ascii="Times" w:hAnsi="Times"/>
                <w:color w:val="000000"/>
                <w:sz w:val="16"/>
                <w:szCs w:val="16"/>
                <w:lang w:val="en-US"/>
              </w:rPr>
            </w:pPr>
            <w:r w:rsidRPr="00E76669">
              <w:rPr>
                <w:rFonts w:ascii="Times" w:hAnsi="Times"/>
                <w:color w:val="000000"/>
                <w:sz w:val="16"/>
                <w:szCs w:val="16"/>
                <w:lang w:val="en-US"/>
              </w:rPr>
              <w:t>7</w:t>
            </w:r>
            <w:r w:rsidR="00E76669">
              <w:rPr>
                <w:rFonts w:ascii="Times" w:hAnsi="Times"/>
                <w:color w:val="000000"/>
                <w:sz w:val="16"/>
                <w:szCs w:val="16"/>
                <w:lang w:val="en-US"/>
              </w:rPr>
              <w:t xml:space="preserve"> </w:t>
            </w:r>
            <w:r w:rsidRPr="00E76669">
              <w:rPr>
                <w:rFonts w:ascii="Times" w:hAnsi="Times"/>
                <w:color w:val="000000"/>
                <w:sz w:val="16"/>
                <w:szCs w:val="16"/>
                <w:lang w:val="en-US"/>
              </w:rPr>
              <w:t>665</w:t>
            </w:r>
            <w:r w:rsidR="00E76669">
              <w:rPr>
                <w:rFonts w:ascii="Times" w:hAnsi="Times"/>
                <w:color w:val="000000"/>
                <w:sz w:val="16"/>
                <w:szCs w:val="16"/>
                <w:lang w:val="en-US"/>
              </w:rPr>
              <w:t xml:space="preserve"> </w:t>
            </w:r>
            <w:r w:rsidRPr="00E76669">
              <w:rPr>
                <w:rFonts w:ascii="Times" w:hAnsi="Times"/>
                <w:color w:val="000000"/>
                <w:sz w:val="16"/>
                <w:szCs w:val="16"/>
                <w:lang w:val="en-US"/>
              </w:rPr>
              <w:t>887</w:t>
            </w:r>
          </w:p>
        </w:tc>
        <w:tc>
          <w:tcPr>
            <w:tcW w:w="446" w:type="pct"/>
            <w:noWrap/>
            <w:hideMark/>
          </w:tcPr>
          <w:p w14:paraId="1EEE737A" w14:textId="203CAAC9" w:rsidR="00456D9F" w:rsidRPr="00E76669" w:rsidRDefault="00456D9F" w:rsidP="00E76669">
            <w:pPr>
              <w:jc w:val="center"/>
              <w:cnfStyle w:val="000000000000" w:firstRow="0" w:lastRow="0" w:firstColumn="0" w:lastColumn="0" w:oddVBand="0" w:evenVBand="0" w:oddHBand="0" w:evenHBand="0" w:firstRowFirstColumn="0" w:firstRowLastColumn="0" w:lastRowFirstColumn="0" w:lastRowLastColumn="0"/>
              <w:rPr>
                <w:rFonts w:ascii="Times" w:hAnsi="Times"/>
                <w:color w:val="000000"/>
                <w:sz w:val="16"/>
                <w:szCs w:val="16"/>
                <w:lang w:val="en-US"/>
              </w:rPr>
            </w:pPr>
            <w:r w:rsidRPr="00E76669">
              <w:rPr>
                <w:rFonts w:ascii="Times" w:hAnsi="Times"/>
                <w:color w:val="000000"/>
                <w:sz w:val="16"/>
                <w:szCs w:val="16"/>
                <w:lang w:val="en-US"/>
              </w:rPr>
              <w:t>8</w:t>
            </w:r>
            <w:r w:rsidR="00E76669">
              <w:rPr>
                <w:rFonts w:ascii="Times" w:hAnsi="Times"/>
                <w:color w:val="000000"/>
                <w:sz w:val="16"/>
                <w:szCs w:val="16"/>
                <w:lang w:val="en-US"/>
              </w:rPr>
              <w:t xml:space="preserve"> </w:t>
            </w:r>
            <w:r w:rsidRPr="00E76669">
              <w:rPr>
                <w:rFonts w:ascii="Times" w:hAnsi="Times"/>
                <w:color w:val="000000"/>
                <w:sz w:val="16"/>
                <w:szCs w:val="16"/>
                <w:lang w:val="en-US"/>
              </w:rPr>
              <w:t>125</w:t>
            </w:r>
            <w:r w:rsidR="00E76669">
              <w:rPr>
                <w:rFonts w:ascii="Times" w:hAnsi="Times"/>
                <w:color w:val="000000"/>
                <w:sz w:val="16"/>
                <w:szCs w:val="16"/>
                <w:lang w:val="en-US"/>
              </w:rPr>
              <w:t xml:space="preserve"> </w:t>
            </w:r>
            <w:r w:rsidRPr="00E76669">
              <w:rPr>
                <w:rFonts w:ascii="Times" w:hAnsi="Times"/>
                <w:color w:val="000000"/>
                <w:sz w:val="16"/>
                <w:szCs w:val="16"/>
                <w:lang w:val="en-US"/>
              </w:rPr>
              <w:t>341</w:t>
            </w:r>
          </w:p>
        </w:tc>
        <w:tc>
          <w:tcPr>
            <w:tcW w:w="446" w:type="pct"/>
            <w:noWrap/>
            <w:hideMark/>
          </w:tcPr>
          <w:p w14:paraId="3CD0C9B1" w14:textId="776B741B" w:rsidR="00456D9F" w:rsidRPr="00E76669" w:rsidRDefault="00456D9F" w:rsidP="00E76669">
            <w:pPr>
              <w:jc w:val="center"/>
              <w:cnfStyle w:val="000000000000" w:firstRow="0" w:lastRow="0" w:firstColumn="0" w:lastColumn="0" w:oddVBand="0" w:evenVBand="0" w:oddHBand="0" w:evenHBand="0" w:firstRowFirstColumn="0" w:firstRowLastColumn="0" w:lastRowFirstColumn="0" w:lastRowLastColumn="0"/>
              <w:rPr>
                <w:rFonts w:ascii="Times" w:hAnsi="Times"/>
                <w:color w:val="000000"/>
                <w:sz w:val="16"/>
                <w:szCs w:val="16"/>
                <w:lang w:val="en-US"/>
              </w:rPr>
            </w:pPr>
            <w:r w:rsidRPr="00E76669">
              <w:rPr>
                <w:rFonts w:ascii="Times" w:hAnsi="Times"/>
                <w:color w:val="000000"/>
                <w:sz w:val="16"/>
                <w:szCs w:val="16"/>
                <w:lang w:val="en-US"/>
              </w:rPr>
              <w:t>8</w:t>
            </w:r>
            <w:r w:rsidR="00E76669">
              <w:rPr>
                <w:rFonts w:ascii="Times" w:hAnsi="Times"/>
                <w:color w:val="000000"/>
                <w:sz w:val="16"/>
                <w:szCs w:val="16"/>
                <w:lang w:val="en-US"/>
              </w:rPr>
              <w:t xml:space="preserve"> </w:t>
            </w:r>
            <w:r w:rsidRPr="00E76669">
              <w:rPr>
                <w:rFonts w:ascii="Times" w:hAnsi="Times"/>
                <w:color w:val="000000"/>
                <w:sz w:val="16"/>
                <w:szCs w:val="16"/>
                <w:lang w:val="en-US"/>
              </w:rPr>
              <w:t>516</w:t>
            </w:r>
            <w:r w:rsidR="00E76669">
              <w:rPr>
                <w:rFonts w:ascii="Times" w:hAnsi="Times"/>
                <w:color w:val="000000"/>
                <w:sz w:val="16"/>
                <w:szCs w:val="16"/>
                <w:lang w:val="en-US"/>
              </w:rPr>
              <w:t xml:space="preserve"> </w:t>
            </w:r>
            <w:r w:rsidRPr="00E76669">
              <w:rPr>
                <w:rFonts w:ascii="Times" w:hAnsi="Times"/>
                <w:color w:val="000000"/>
                <w:sz w:val="16"/>
                <w:szCs w:val="16"/>
                <w:lang w:val="en-US"/>
              </w:rPr>
              <w:t>464</w:t>
            </w:r>
          </w:p>
        </w:tc>
        <w:tc>
          <w:tcPr>
            <w:tcW w:w="446" w:type="pct"/>
            <w:noWrap/>
            <w:hideMark/>
          </w:tcPr>
          <w:p w14:paraId="30D651E2" w14:textId="0EF8C072" w:rsidR="00456D9F" w:rsidRPr="00E76669" w:rsidRDefault="00456D9F" w:rsidP="00E76669">
            <w:pPr>
              <w:jc w:val="center"/>
              <w:cnfStyle w:val="000000000000" w:firstRow="0" w:lastRow="0" w:firstColumn="0" w:lastColumn="0" w:oddVBand="0" w:evenVBand="0" w:oddHBand="0" w:evenHBand="0" w:firstRowFirstColumn="0" w:firstRowLastColumn="0" w:lastRowFirstColumn="0" w:lastRowLastColumn="0"/>
              <w:rPr>
                <w:rFonts w:ascii="Times" w:hAnsi="Times"/>
                <w:color w:val="000000"/>
                <w:sz w:val="16"/>
                <w:szCs w:val="16"/>
                <w:lang w:val="en-US"/>
              </w:rPr>
            </w:pPr>
            <w:r w:rsidRPr="00E76669">
              <w:rPr>
                <w:rFonts w:ascii="Times" w:hAnsi="Times"/>
                <w:color w:val="000000"/>
                <w:sz w:val="16"/>
                <w:szCs w:val="16"/>
                <w:lang w:val="en-US"/>
              </w:rPr>
              <w:t>24</w:t>
            </w:r>
            <w:r w:rsidR="00E76669">
              <w:rPr>
                <w:rFonts w:ascii="Times" w:hAnsi="Times"/>
                <w:color w:val="000000"/>
                <w:sz w:val="16"/>
                <w:szCs w:val="16"/>
                <w:lang w:val="en-US"/>
              </w:rPr>
              <w:t xml:space="preserve"> </w:t>
            </w:r>
            <w:r w:rsidRPr="00E76669">
              <w:rPr>
                <w:rFonts w:ascii="Times" w:hAnsi="Times"/>
                <w:color w:val="000000"/>
                <w:sz w:val="16"/>
                <w:szCs w:val="16"/>
                <w:lang w:val="en-US"/>
              </w:rPr>
              <w:t>307</w:t>
            </w:r>
            <w:r w:rsidR="00E76669">
              <w:rPr>
                <w:rFonts w:ascii="Times" w:hAnsi="Times"/>
                <w:color w:val="000000"/>
                <w:sz w:val="16"/>
                <w:szCs w:val="16"/>
                <w:lang w:val="en-US"/>
              </w:rPr>
              <w:t xml:space="preserve"> </w:t>
            </w:r>
            <w:r w:rsidRPr="00E76669">
              <w:rPr>
                <w:rFonts w:ascii="Times" w:hAnsi="Times"/>
                <w:color w:val="000000"/>
                <w:sz w:val="16"/>
                <w:szCs w:val="16"/>
                <w:lang w:val="en-US"/>
              </w:rPr>
              <w:t>692</w:t>
            </w:r>
          </w:p>
        </w:tc>
      </w:tr>
      <w:tr w:rsidR="00456D9F" w:rsidRPr="00E76669" w14:paraId="532513FB" w14:textId="77777777" w:rsidTr="00297210">
        <w:trPr>
          <w:trHeight w:val="204"/>
        </w:trPr>
        <w:tc>
          <w:tcPr>
            <w:cnfStyle w:val="001000000000" w:firstRow="0" w:lastRow="0" w:firstColumn="1" w:lastColumn="0" w:oddVBand="0" w:evenVBand="0" w:oddHBand="0" w:evenHBand="0" w:firstRowFirstColumn="0" w:firstRowLastColumn="0" w:lastRowFirstColumn="0" w:lastRowLastColumn="0"/>
            <w:tcW w:w="531" w:type="pct"/>
            <w:vMerge/>
            <w:vAlign w:val="center"/>
            <w:hideMark/>
          </w:tcPr>
          <w:p w14:paraId="6C013C3D" w14:textId="77777777" w:rsidR="00456D9F" w:rsidRPr="00E76669" w:rsidRDefault="00456D9F" w:rsidP="00E76669">
            <w:pPr>
              <w:jc w:val="left"/>
              <w:rPr>
                <w:rFonts w:ascii="Times" w:hAnsi="Times"/>
                <w:color w:val="000000"/>
                <w:sz w:val="16"/>
                <w:szCs w:val="16"/>
                <w:lang w:val="en-US"/>
              </w:rPr>
            </w:pPr>
          </w:p>
        </w:tc>
        <w:tc>
          <w:tcPr>
            <w:tcW w:w="1032" w:type="pct"/>
            <w:vMerge/>
            <w:vAlign w:val="center"/>
            <w:hideMark/>
          </w:tcPr>
          <w:p w14:paraId="0670D132" w14:textId="77777777" w:rsidR="00456D9F" w:rsidRPr="00E76669" w:rsidRDefault="00456D9F" w:rsidP="00E76669">
            <w:pPr>
              <w:jc w:val="left"/>
              <w:cnfStyle w:val="000000000000" w:firstRow="0" w:lastRow="0" w:firstColumn="0" w:lastColumn="0" w:oddVBand="0" w:evenVBand="0" w:oddHBand="0" w:evenHBand="0" w:firstRowFirstColumn="0" w:firstRowLastColumn="0" w:lastRowFirstColumn="0" w:lastRowLastColumn="0"/>
              <w:rPr>
                <w:rFonts w:ascii="Times" w:hAnsi="Times"/>
                <w:color w:val="000000"/>
                <w:sz w:val="16"/>
                <w:szCs w:val="16"/>
                <w:lang w:val="en-US"/>
              </w:rPr>
            </w:pPr>
          </w:p>
        </w:tc>
        <w:tc>
          <w:tcPr>
            <w:tcW w:w="1653" w:type="pct"/>
            <w:noWrap/>
            <w:hideMark/>
          </w:tcPr>
          <w:p w14:paraId="31162755" w14:textId="77777777" w:rsidR="00456D9F" w:rsidRPr="00E76669" w:rsidRDefault="00456D9F" w:rsidP="00E76669">
            <w:pPr>
              <w:jc w:val="left"/>
              <w:cnfStyle w:val="000000000000" w:firstRow="0" w:lastRow="0" w:firstColumn="0" w:lastColumn="0" w:oddVBand="0" w:evenVBand="0" w:oddHBand="0" w:evenHBand="0" w:firstRowFirstColumn="0" w:firstRowLastColumn="0" w:lastRowFirstColumn="0" w:lastRowLastColumn="0"/>
              <w:rPr>
                <w:rFonts w:ascii="Times" w:hAnsi="Times"/>
                <w:color w:val="000000"/>
                <w:sz w:val="16"/>
                <w:szCs w:val="16"/>
                <w:lang w:val="en-US"/>
              </w:rPr>
            </w:pPr>
            <w:r w:rsidRPr="00E76669">
              <w:rPr>
                <w:rFonts w:ascii="Times" w:hAnsi="Times"/>
                <w:color w:val="000000"/>
                <w:sz w:val="16"/>
                <w:szCs w:val="16"/>
                <w:lang w:val="en-US"/>
              </w:rPr>
              <w:t>HIV/AIDS</w:t>
            </w:r>
          </w:p>
        </w:tc>
        <w:tc>
          <w:tcPr>
            <w:tcW w:w="446" w:type="pct"/>
            <w:noWrap/>
            <w:hideMark/>
          </w:tcPr>
          <w:p w14:paraId="39EFBC40" w14:textId="0A1B0958" w:rsidR="00456D9F" w:rsidRPr="00E76669" w:rsidRDefault="00456D9F" w:rsidP="00E76669">
            <w:pPr>
              <w:jc w:val="center"/>
              <w:cnfStyle w:val="000000000000" w:firstRow="0" w:lastRow="0" w:firstColumn="0" w:lastColumn="0" w:oddVBand="0" w:evenVBand="0" w:oddHBand="0" w:evenHBand="0" w:firstRowFirstColumn="0" w:firstRowLastColumn="0" w:lastRowFirstColumn="0" w:lastRowLastColumn="0"/>
              <w:rPr>
                <w:rFonts w:ascii="Times" w:hAnsi="Times"/>
                <w:color w:val="000000"/>
                <w:sz w:val="16"/>
                <w:szCs w:val="16"/>
                <w:lang w:val="en-US"/>
              </w:rPr>
            </w:pPr>
            <w:r w:rsidRPr="00E76669">
              <w:rPr>
                <w:rFonts w:ascii="Times" w:hAnsi="Times"/>
                <w:color w:val="000000"/>
                <w:sz w:val="16"/>
                <w:szCs w:val="16"/>
                <w:lang w:val="en-US"/>
              </w:rPr>
              <w:t>246</w:t>
            </w:r>
            <w:r w:rsidR="00E76669">
              <w:rPr>
                <w:rFonts w:ascii="Times" w:hAnsi="Times"/>
                <w:color w:val="000000"/>
                <w:sz w:val="16"/>
                <w:szCs w:val="16"/>
                <w:lang w:val="en-US"/>
              </w:rPr>
              <w:t xml:space="preserve"> </w:t>
            </w:r>
            <w:r w:rsidRPr="00E76669">
              <w:rPr>
                <w:rFonts w:ascii="Times" w:hAnsi="Times"/>
                <w:color w:val="000000"/>
                <w:sz w:val="16"/>
                <w:szCs w:val="16"/>
                <w:lang w:val="en-US"/>
              </w:rPr>
              <w:t>699</w:t>
            </w:r>
          </w:p>
        </w:tc>
        <w:tc>
          <w:tcPr>
            <w:tcW w:w="446" w:type="pct"/>
            <w:noWrap/>
            <w:hideMark/>
          </w:tcPr>
          <w:p w14:paraId="3D15AAF5" w14:textId="698ED2A2" w:rsidR="00456D9F" w:rsidRPr="00E76669" w:rsidRDefault="00456D9F" w:rsidP="00E76669">
            <w:pPr>
              <w:jc w:val="center"/>
              <w:cnfStyle w:val="000000000000" w:firstRow="0" w:lastRow="0" w:firstColumn="0" w:lastColumn="0" w:oddVBand="0" w:evenVBand="0" w:oddHBand="0" w:evenHBand="0" w:firstRowFirstColumn="0" w:firstRowLastColumn="0" w:lastRowFirstColumn="0" w:lastRowLastColumn="0"/>
              <w:rPr>
                <w:rFonts w:ascii="Times" w:hAnsi="Times"/>
                <w:color w:val="000000"/>
                <w:sz w:val="16"/>
                <w:szCs w:val="16"/>
                <w:lang w:val="en-US"/>
              </w:rPr>
            </w:pPr>
            <w:r w:rsidRPr="00E76669">
              <w:rPr>
                <w:rFonts w:ascii="Times" w:hAnsi="Times"/>
                <w:color w:val="000000"/>
                <w:sz w:val="16"/>
                <w:szCs w:val="16"/>
                <w:lang w:val="en-US"/>
              </w:rPr>
              <w:t>258</w:t>
            </w:r>
            <w:r w:rsidR="00E76669">
              <w:rPr>
                <w:rFonts w:ascii="Times" w:hAnsi="Times"/>
                <w:color w:val="000000"/>
                <w:sz w:val="16"/>
                <w:szCs w:val="16"/>
                <w:lang w:val="en-US"/>
              </w:rPr>
              <w:t xml:space="preserve"> </w:t>
            </w:r>
            <w:r w:rsidRPr="00E76669">
              <w:rPr>
                <w:rFonts w:ascii="Times" w:hAnsi="Times"/>
                <w:color w:val="000000"/>
                <w:sz w:val="16"/>
                <w:szCs w:val="16"/>
                <w:lang w:val="en-US"/>
              </w:rPr>
              <w:t>542</w:t>
            </w:r>
          </w:p>
        </w:tc>
        <w:tc>
          <w:tcPr>
            <w:tcW w:w="446" w:type="pct"/>
            <w:noWrap/>
            <w:hideMark/>
          </w:tcPr>
          <w:p w14:paraId="034C4C54" w14:textId="7C9C026F" w:rsidR="00456D9F" w:rsidRPr="00E76669" w:rsidRDefault="00456D9F" w:rsidP="00E76669">
            <w:pPr>
              <w:jc w:val="center"/>
              <w:cnfStyle w:val="000000000000" w:firstRow="0" w:lastRow="0" w:firstColumn="0" w:lastColumn="0" w:oddVBand="0" w:evenVBand="0" w:oddHBand="0" w:evenHBand="0" w:firstRowFirstColumn="0" w:firstRowLastColumn="0" w:lastRowFirstColumn="0" w:lastRowLastColumn="0"/>
              <w:rPr>
                <w:rFonts w:ascii="Times" w:hAnsi="Times"/>
                <w:color w:val="000000"/>
                <w:sz w:val="16"/>
                <w:szCs w:val="16"/>
                <w:lang w:val="en-US"/>
              </w:rPr>
            </w:pPr>
            <w:r w:rsidRPr="00E76669">
              <w:rPr>
                <w:rFonts w:ascii="Times" w:hAnsi="Times"/>
                <w:color w:val="000000"/>
                <w:sz w:val="16"/>
                <w:szCs w:val="16"/>
                <w:lang w:val="en-US"/>
              </w:rPr>
              <w:t>262</w:t>
            </w:r>
            <w:r w:rsidR="00E76669">
              <w:rPr>
                <w:rFonts w:ascii="Times" w:hAnsi="Times"/>
                <w:color w:val="000000"/>
                <w:sz w:val="16"/>
                <w:szCs w:val="16"/>
                <w:lang w:val="en-US"/>
              </w:rPr>
              <w:t xml:space="preserve"> </w:t>
            </w:r>
            <w:r w:rsidRPr="00E76669">
              <w:rPr>
                <w:rFonts w:ascii="Times" w:hAnsi="Times"/>
                <w:color w:val="000000"/>
                <w:sz w:val="16"/>
                <w:szCs w:val="16"/>
                <w:lang w:val="en-US"/>
              </w:rPr>
              <w:t>204</w:t>
            </w:r>
          </w:p>
        </w:tc>
        <w:tc>
          <w:tcPr>
            <w:tcW w:w="446" w:type="pct"/>
            <w:noWrap/>
            <w:hideMark/>
          </w:tcPr>
          <w:p w14:paraId="2118E565" w14:textId="59AC9E09" w:rsidR="00456D9F" w:rsidRPr="00E76669" w:rsidRDefault="00456D9F" w:rsidP="00E76669">
            <w:pPr>
              <w:jc w:val="center"/>
              <w:cnfStyle w:val="000000000000" w:firstRow="0" w:lastRow="0" w:firstColumn="0" w:lastColumn="0" w:oddVBand="0" w:evenVBand="0" w:oddHBand="0" w:evenHBand="0" w:firstRowFirstColumn="0" w:firstRowLastColumn="0" w:lastRowFirstColumn="0" w:lastRowLastColumn="0"/>
              <w:rPr>
                <w:rFonts w:ascii="Times" w:hAnsi="Times"/>
                <w:color w:val="000000"/>
                <w:sz w:val="16"/>
                <w:szCs w:val="16"/>
                <w:lang w:val="en-US"/>
              </w:rPr>
            </w:pPr>
            <w:r w:rsidRPr="00E76669">
              <w:rPr>
                <w:rFonts w:ascii="Times" w:hAnsi="Times"/>
                <w:color w:val="000000"/>
                <w:sz w:val="16"/>
                <w:szCs w:val="16"/>
                <w:lang w:val="en-US"/>
              </w:rPr>
              <w:t>767</w:t>
            </w:r>
            <w:r w:rsidR="00E76669">
              <w:rPr>
                <w:rFonts w:ascii="Times" w:hAnsi="Times"/>
                <w:color w:val="000000"/>
                <w:sz w:val="16"/>
                <w:szCs w:val="16"/>
                <w:lang w:val="en-US"/>
              </w:rPr>
              <w:t xml:space="preserve"> </w:t>
            </w:r>
            <w:r w:rsidRPr="00E76669">
              <w:rPr>
                <w:rFonts w:ascii="Times" w:hAnsi="Times"/>
                <w:color w:val="000000"/>
                <w:sz w:val="16"/>
                <w:szCs w:val="16"/>
                <w:lang w:val="en-US"/>
              </w:rPr>
              <w:t>445</w:t>
            </w:r>
          </w:p>
        </w:tc>
      </w:tr>
      <w:tr w:rsidR="00456D9F" w:rsidRPr="00E76669" w14:paraId="732D6D49" w14:textId="77777777" w:rsidTr="00297210">
        <w:trPr>
          <w:trHeight w:val="204"/>
        </w:trPr>
        <w:tc>
          <w:tcPr>
            <w:cnfStyle w:val="001000000000" w:firstRow="0" w:lastRow="0" w:firstColumn="1" w:lastColumn="0" w:oddVBand="0" w:evenVBand="0" w:oddHBand="0" w:evenHBand="0" w:firstRowFirstColumn="0" w:firstRowLastColumn="0" w:lastRowFirstColumn="0" w:lastRowLastColumn="0"/>
            <w:tcW w:w="531" w:type="pct"/>
            <w:vMerge/>
            <w:vAlign w:val="center"/>
            <w:hideMark/>
          </w:tcPr>
          <w:p w14:paraId="507C6F2E" w14:textId="77777777" w:rsidR="00456D9F" w:rsidRPr="00E76669" w:rsidRDefault="00456D9F" w:rsidP="00E76669">
            <w:pPr>
              <w:jc w:val="left"/>
              <w:rPr>
                <w:rFonts w:ascii="Times" w:hAnsi="Times"/>
                <w:color w:val="000000"/>
                <w:sz w:val="16"/>
                <w:szCs w:val="16"/>
                <w:lang w:val="en-US"/>
              </w:rPr>
            </w:pPr>
          </w:p>
        </w:tc>
        <w:tc>
          <w:tcPr>
            <w:tcW w:w="1032" w:type="pct"/>
            <w:vMerge/>
            <w:vAlign w:val="center"/>
            <w:hideMark/>
          </w:tcPr>
          <w:p w14:paraId="50C2203C" w14:textId="77777777" w:rsidR="00456D9F" w:rsidRPr="00E76669" w:rsidRDefault="00456D9F" w:rsidP="00E76669">
            <w:pPr>
              <w:jc w:val="left"/>
              <w:cnfStyle w:val="000000000000" w:firstRow="0" w:lastRow="0" w:firstColumn="0" w:lastColumn="0" w:oddVBand="0" w:evenVBand="0" w:oddHBand="0" w:evenHBand="0" w:firstRowFirstColumn="0" w:firstRowLastColumn="0" w:lastRowFirstColumn="0" w:lastRowLastColumn="0"/>
              <w:rPr>
                <w:rFonts w:ascii="Times" w:hAnsi="Times"/>
                <w:color w:val="000000"/>
                <w:sz w:val="16"/>
                <w:szCs w:val="16"/>
                <w:lang w:val="en-US"/>
              </w:rPr>
            </w:pPr>
          </w:p>
        </w:tc>
        <w:tc>
          <w:tcPr>
            <w:tcW w:w="1653" w:type="pct"/>
            <w:noWrap/>
            <w:hideMark/>
          </w:tcPr>
          <w:p w14:paraId="425B868C" w14:textId="77777777" w:rsidR="00456D9F" w:rsidRPr="00E76669" w:rsidRDefault="00D553A1" w:rsidP="00E76669">
            <w:pPr>
              <w:jc w:val="left"/>
              <w:cnfStyle w:val="000000000000" w:firstRow="0" w:lastRow="0" w:firstColumn="0" w:lastColumn="0" w:oddVBand="0" w:evenVBand="0" w:oddHBand="0" w:evenHBand="0" w:firstRowFirstColumn="0" w:firstRowLastColumn="0" w:lastRowFirstColumn="0" w:lastRowLastColumn="0"/>
              <w:rPr>
                <w:rFonts w:ascii="Times" w:hAnsi="Times"/>
                <w:color w:val="000000"/>
                <w:sz w:val="16"/>
                <w:szCs w:val="16"/>
                <w:lang w:val="en-US"/>
              </w:rPr>
            </w:pPr>
            <w:r w:rsidRPr="00E76669">
              <w:rPr>
                <w:rFonts w:ascii="Times" w:hAnsi="Times"/>
                <w:color w:val="000000"/>
                <w:sz w:val="16"/>
                <w:szCs w:val="16"/>
                <w:lang w:val="en-US"/>
              </w:rPr>
              <w:t>Mathematics</w:t>
            </w:r>
            <w:r w:rsidR="00456D9F" w:rsidRPr="00E76669">
              <w:rPr>
                <w:rFonts w:ascii="Times" w:hAnsi="Times"/>
                <w:color w:val="000000"/>
                <w:sz w:val="16"/>
                <w:szCs w:val="16"/>
                <w:lang w:val="en-US"/>
              </w:rPr>
              <w:t xml:space="preserve"> Science and Technology</w:t>
            </w:r>
          </w:p>
        </w:tc>
        <w:tc>
          <w:tcPr>
            <w:tcW w:w="446" w:type="pct"/>
            <w:noWrap/>
            <w:hideMark/>
          </w:tcPr>
          <w:p w14:paraId="4C458027" w14:textId="4697B1BB" w:rsidR="00456D9F" w:rsidRPr="00E76669" w:rsidRDefault="00456D9F" w:rsidP="00E76669">
            <w:pPr>
              <w:jc w:val="center"/>
              <w:cnfStyle w:val="000000000000" w:firstRow="0" w:lastRow="0" w:firstColumn="0" w:lastColumn="0" w:oddVBand="0" w:evenVBand="0" w:oddHBand="0" w:evenHBand="0" w:firstRowFirstColumn="0" w:firstRowLastColumn="0" w:lastRowFirstColumn="0" w:lastRowLastColumn="0"/>
              <w:rPr>
                <w:rFonts w:ascii="Times" w:hAnsi="Times"/>
                <w:color w:val="000000"/>
                <w:sz w:val="16"/>
                <w:szCs w:val="16"/>
                <w:lang w:val="en-US"/>
              </w:rPr>
            </w:pPr>
            <w:r w:rsidRPr="00E76669">
              <w:rPr>
                <w:rFonts w:ascii="Times" w:hAnsi="Times"/>
                <w:color w:val="000000"/>
                <w:sz w:val="16"/>
                <w:szCs w:val="16"/>
                <w:lang w:val="en-US"/>
              </w:rPr>
              <w:t>400</w:t>
            </w:r>
            <w:r w:rsidR="00E76669">
              <w:rPr>
                <w:rFonts w:ascii="Times" w:hAnsi="Times"/>
                <w:color w:val="000000"/>
                <w:sz w:val="16"/>
                <w:szCs w:val="16"/>
                <w:lang w:val="en-US"/>
              </w:rPr>
              <w:t xml:space="preserve"> </w:t>
            </w:r>
            <w:r w:rsidRPr="00E76669">
              <w:rPr>
                <w:rFonts w:ascii="Times" w:hAnsi="Times"/>
                <w:color w:val="000000"/>
                <w:sz w:val="16"/>
                <w:szCs w:val="16"/>
                <w:lang w:val="en-US"/>
              </w:rPr>
              <w:t>862</w:t>
            </w:r>
          </w:p>
        </w:tc>
        <w:tc>
          <w:tcPr>
            <w:tcW w:w="446" w:type="pct"/>
            <w:noWrap/>
            <w:hideMark/>
          </w:tcPr>
          <w:p w14:paraId="21522319" w14:textId="045A544E" w:rsidR="00456D9F" w:rsidRPr="00E76669" w:rsidRDefault="00456D9F" w:rsidP="00E76669">
            <w:pPr>
              <w:jc w:val="center"/>
              <w:cnfStyle w:val="000000000000" w:firstRow="0" w:lastRow="0" w:firstColumn="0" w:lastColumn="0" w:oddVBand="0" w:evenVBand="0" w:oddHBand="0" w:evenHBand="0" w:firstRowFirstColumn="0" w:firstRowLastColumn="0" w:lastRowFirstColumn="0" w:lastRowLastColumn="0"/>
              <w:rPr>
                <w:rFonts w:ascii="Times" w:hAnsi="Times"/>
                <w:color w:val="000000"/>
                <w:sz w:val="16"/>
                <w:szCs w:val="16"/>
                <w:lang w:val="en-US"/>
              </w:rPr>
            </w:pPr>
            <w:r w:rsidRPr="00E76669">
              <w:rPr>
                <w:rFonts w:ascii="Times" w:hAnsi="Times"/>
                <w:color w:val="000000"/>
                <w:sz w:val="16"/>
                <w:szCs w:val="16"/>
                <w:lang w:val="en-US"/>
              </w:rPr>
              <w:t>422</w:t>
            </w:r>
            <w:r w:rsidR="00E76669">
              <w:rPr>
                <w:rFonts w:ascii="Times" w:hAnsi="Times"/>
                <w:color w:val="000000"/>
                <w:sz w:val="16"/>
                <w:szCs w:val="16"/>
                <w:lang w:val="en-US"/>
              </w:rPr>
              <w:t xml:space="preserve"> </w:t>
            </w:r>
            <w:r w:rsidRPr="00E76669">
              <w:rPr>
                <w:rFonts w:ascii="Times" w:hAnsi="Times"/>
                <w:color w:val="000000"/>
                <w:sz w:val="16"/>
                <w:szCs w:val="16"/>
                <w:lang w:val="en-US"/>
              </w:rPr>
              <w:t>909</w:t>
            </w:r>
          </w:p>
        </w:tc>
        <w:tc>
          <w:tcPr>
            <w:tcW w:w="446" w:type="pct"/>
            <w:noWrap/>
            <w:hideMark/>
          </w:tcPr>
          <w:p w14:paraId="67194222" w14:textId="5645A3C8" w:rsidR="00456D9F" w:rsidRPr="00E76669" w:rsidRDefault="00456D9F" w:rsidP="00E76669">
            <w:pPr>
              <w:jc w:val="center"/>
              <w:cnfStyle w:val="000000000000" w:firstRow="0" w:lastRow="0" w:firstColumn="0" w:lastColumn="0" w:oddVBand="0" w:evenVBand="0" w:oddHBand="0" w:evenHBand="0" w:firstRowFirstColumn="0" w:firstRowLastColumn="0" w:lastRowFirstColumn="0" w:lastRowLastColumn="0"/>
              <w:rPr>
                <w:rFonts w:ascii="Times" w:hAnsi="Times"/>
                <w:color w:val="000000"/>
                <w:sz w:val="16"/>
                <w:szCs w:val="16"/>
                <w:lang w:val="en-US"/>
              </w:rPr>
            </w:pPr>
            <w:r w:rsidRPr="00E76669">
              <w:rPr>
                <w:rFonts w:ascii="Times" w:hAnsi="Times"/>
                <w:color w:val="000000"/>
                <w:sz w:val="16"/>
                <w:szCs w:val="16"/>
                <w:lang w:val="en-US"/>
              </w:rPr>
              <w:t>438</w:t>
            </w:r>
            <w:r w:rsidR="00E76669">
              <w:rPr>
                <w:rFonts w:ascii="Times" w:hAnsi="Times"/>
                <w:color w:val="000000"/>
                <w:sz w:val="16"/>
                <w:szCs w:val="16"/>
                <w:lang w:val="en-US"/>
              </w:rPr>
              <w:t xml:space="preserve"> </w:t>
            </w:r>
            <w:r w:rsidRPr="00E76669">
              <w:rPr>
                <w:rFonts w:ascii="Times" w:hAnsi="Times"/>
                <w:color w:val="000000"/>
                <w:sz w:val="16"/>
                <w:szCs w:val="16"/>
                <w:lang w:val="en-US"/>
              </w:rPr>
              <w:t>488</w:t>
            </w:r>
          </w:p>
        </w:tc>
        <w:tc>
          <w:tcPr>
            <w:tcW w:w="446" w:type="pct"/>
            <w:noWrap/>
            <w:hideMark/>
          </w:tcPr>
          <w:p w14:paraId="4F0AFA34" w14:textId="3B99A57F" w:rsidR="00456D9F" w:rsidRPr="00E76669" w:rsidRDefault="00456D9F" w:rsidP="00E76669">
            <w:pPr>
              <w:jc w:val="center"/>
              <w:cnfStyle w:val="000000000000" w:firstRow="0" w:lastRow="0" w:firstColumn="0" w:lastColumn="0" w:oddVBand="0" w:evenVBand="0" w:oddHBand="0" w:evenHBand="0" w:firstRowFirstColumn="0" w:firstRowLastColumn="0" w:lastRowFirstColumn="0" w:lastRowLastColumn="0"/>
              <w:rPr>
                <w:rFonts w:ascii="Times" w:hAnsi="Times"/>
                <w:color w:val="000000"/>
                <w:sz w:val="16"/>
                <w:szCs w:val="16"/>
                <w:lang w:val="en-US"/>
              </w:rPr>
            </w:pPr>
            <w:r w:rsidRPr="00E76669">
              <w:rPr>
                <w:rFonts w:ascii="Times" w:hAnsi="Times"/>
                <w:color w:val="000000"/>
                <w:sz w:val="16"/>
                <w:szCs w:val="16"/>
                <w:lang w:val="en-US"/>
              </w:rPr>
              <w:t>1</w:t>
            </w:r>
            <w:r w:rsidR="00E76669">
              <w:rPr>
                <w:rFonts w:ascii="Times" w:hAnsi="Times"/>
                <w:color w:val="000000"/>
                <w:sz w:val="16"/>
                <w:szCs w:val="16"/>
                <w:lang w:val="en-US"/>
              </w:rPr>
              <w:t xml:space="preserve"> </w:t>
            </w:r>
            <w:r w:rsidRPr="00E76669">
              <w:rPr>
                <w:rFonts w:ascii="Times" w:hAnsi="Times"/>
                <w:color w:val="000000"/>
                <w:sz w:val="16"/>
                <w:szCs w:val="16"/>
                <w:lang w:val="en-US"/>
              </w:rPr>
              <w:t>262</w:t>
            </w:r>
            <w:r w:rsidR="00E76669">
              <w:rPr>
                <w:rFonts w:ascii="Times" w:hAnsi="Times"/>
                <w:color w:val="000000"/>
                <w:sz w:val="16"/>
                <w:szCs w:val="16"/>
                <w:lang w:val="en-US"/>
              </w:rPr>
              <w:t xml:space="preserve"> </w:t>
            </w:r>
            <w:r w:rsidRPr="00E76669">
              <w:rPr>
                <w:rFonts w:ascii="Times" w:hAnsi="Times"/>
                <w:color w:val="000000"/>
                <w:sz w:val="16"/>
                <w:szCs w:val="16"/>
                <w:lang w:val="en-US"/>
              </w:rPr>
              <w:t>259</w:t>
            </w:r>
          </w:p>
        </w:tc>
      </w:tr>
      <w:tr w:rsidR="00456D9F" w:rsidRPr="00E76669" w14:paraId="281CFD73" w14:textId="77777777" w:rsidTr="00297210">
        <w:trPr>
          <w:trHeight w:val="204"/>
        </w:trPr>
        <w:tc>
          <w:tcPr>
            <w:cnfStyle w:val="001000000000" w:firstRow="0" w:lastRow="0" w:firstColumn="1" w:lastColumn="0" w:oddVBand="0" w:evenVBand="0" w:oddHBand="0" w:evenHBand="0" w:firstRowFirstColumn="0" w:firstRowLastColumn="0" w:lastRowFirstColumn="0" w:lastRowLastColumn="0"/>
            <w:tcW w:w="531" w:type="pct"/>
            <w:vMerge/>
            <w:vAlign w:val="center"/>
            <w:hideMark/>
          </w:tcPr>
          <w:p w14:paraId="30C685E7" w14:textId="77777777" w:rsidR="00456D9F" w:rsidRPr="00E76669" w:rsidRDefault="00456D9F" w:rsidP="00E76669">
            <w:pPr>
              <w:jc w:val="left"/>
              <w:rPr>
                <w:rFonts w:ascii="Times" w:hAnsi="Times"/>
                <w:color w:val="000000"/>
                <w:sz w:val="16"/>
                <w:szCs w:val="16"/>
                <w:lang w:val="en-US"/>
              </w:rPr>
            </w:pPr>
          </w:p>
        </w:tc>
        <w:tc>
          <w:tcPr>
            <w:tcW w:w="1032" w:type="pct"/>
            <w:vMerge/>
            <w:vAlign w:val="center"/>
            <w:hideMark/>
          </w:tcPr>
          <w:p w14:paraId="4B0BB679" w14:textId="77777777" w:rsidR="00456D9F" w:rsidRPr="00E76669" w:rsidRDefault="00456D9F" w:rsidP="00E76669">
            <w:pPr>
              <w:jc w:val="left"/>
              <w:cnfStyle w:val="000000000000" w:firstRow="0" w:lastRow="0" w:firstColumn="0" w:lastColumn="0" w:oddVBand="0" w:evenVBand="0" w:oddHBand="0" w:evenHBand="0" w:firstRowFirstColumn="0" w:firstRowLastColumn="0" w:lastRowFirstColumn="0" w:lastRowLastColumn="0"/>
              <w:rPr>
                <w:rFonts w:ascii="Times" w:hAnsi="Times"/>
                <w:color w:val="000000"/>
                <w:sz w:val="16"/>
                <w:szCs w:val="16"/>
                <w:lang w:val="en-US"/>
              </w:rPr>
            </w:pPr>
          </w:p>
        </w:tc>
        <w:tc>
          <w:tcPr>
            <w:tcW w:w="1653" w:type="pct"/>
            <w:noWrap/>
            <w:hideMark/>
          </w:tcPr>
          <w:p w14:paraId="1B642BB5" w14:textId="77777777" w:rsidR="00456D9F" w:rsidRPr="00E76669" w:rsidRDefault="00456D9F" w:rsidP="00E76669">
            <w:pPr>
              <w:jc w:val="left"/>
              <w:cnfStyle w:val="000000000000" w:firstRow="0" w:lastRow="0" w:firstColumn="0" w:lastColumn="0" w:oddVBand="0" w:evenVBand="0" w:oddHBand="0" w:evenHBand="0" w:firstRowFirstColumn="0" w:firstRowLastColumn="0" w:lastRowFirstColumn="0" w:lastRowLastColumn="0"/>
              <w:rPr>
                <w:rFonts w:ascii="Times" w:hAnsi="Times"/>
                <w:color w:val="000000"/>
                <w:sz w:val="16"/>
                <w:szCs w:val="16"/>
                <w:lang w:val="en-US"/>
              </w:rPr>
            </w:pPr>
            <w:r w:rsidRPr="00E76669">
              <w:rPr>
                <w:rFonts w:ascii="Times" w:hAnsi="Times"/>
                <w:color w:val="000000"/>
                <w:sz w:val="16"/>
                <w:szCs w:val="16"/>
                <w:lang w:val="en-US"/>
              </w:rPr>
              <w:t>Education Infrastructure Grant</w:t>
            </w:r>
          </w:p>
        </w:tc>
        <w:tc>
          <w:tcPr>
            <w:tcW w:w="446" w:type="pct"/>
            <w:noWrap/>
            <w:hideMark/>
          </w:tcPr>
          <w:p w14:paraId="6CED79DF" w14:textId="6B21E3F9" w:rsidR="00456D9F" w:rsidRPr="00E76669" w:rsidRDefault="00456D9F" w:rsidP="00E76669">
            <w:pPr>
              <w:jc w:val="center"/>
              <w:cnfStyle w:val="000000000000" w:firstRow="0" w:lastRow="0" w:firstColumn="0" w:lastColumn="0" w:oddVBand="0" w:evenVBand="0" w:oddHBand="0" w:evenHBand="0" w:firstRowFirstColumn="0" w:firstRowLastColumn="0" w:lastRowFirstColumn="0" w:lastRowLastColumn="0"/>
              <w:rPr>
                <w:rFonts w:ascii="Times" w:hAnsi="Times"/>
                <w:color w:val="000000"/>
                <w:sz w:val="16"/>
                <w:szCs w:val="16"/>
                <w:lang w:val="en-US"/>
              </w:rPr>
            </w:pPr>
            <w:r w:rsidRPr="00E76669">
              <w:rPr>
                <w:rFonts w:ascii="Times" w:hAnsi="Times"/>
                <w:color w:val="000000"/>
                <w:sz w:val="16"/>
                <w:szCs w:val="16"/>
                <w:lang w:val="en-US"/>
              </w:rPr>
              <w:t>11</w:t>
            </w:r>
            <w:r w:rsidR="00E76669">
              <w:rPr>
                <w:rFonts w:ascii="Times" w:hAnsi="Times"/>
                <w:color w:val="000000"/>
                <w:sz w:val="16"/>
                <w:szCs w:val="16"/>
                <w:lang w:val="en-US"/>
              </w:rPr>
              <w:t xml:space="preserve"> </w:t>
            </w:r>
            <w:r w:rsidRPr="00E76669">
              <w:rPr>
                <w:rFonts w:ascii="Times" w:hAnsi="Times"/>
                <w:color w:val="000000"/>
                <w:sz w:val="16"/>
                <w:szCs w:val="16"/>
                <w:lang w:val="en-US"/>
              </w:rPr>
              <w:t>007</w:t>
            </w:r>
            <w:r w:rsidR="00E76669">
              <w:rPr>
                <w:rFonts w:ascii="Times" w:hAnsi="Times"/>
                <w:color w:val="000000"/>
                <w:sz w:val="16"/>
                <w:szCs w:val="16"/>
                <w:lang w:val="en-US"/>
              </w:rPr>
              <w:t xml:space="preserve"> </w:t>
            </w:r>
            <w:r w:rsidRPr="00E76669">
              <w:rPr>
                <w:rFonts w:ascii="Times" w:hAnsi="Times"/>
                <w:color w:val="000000"/>
                <w:sz w:val="16"/>
                <w:szCs w:val="16"/>
                <w:lang w:val="en-US"/>
              </w:rPr>
              <w:t>967</w:t>
            </w:r>
          </w:p>
        </w:tc>
        <w:tc>
          <w:tcPr>
            <w:tcW w:w="446" w:type="pct"/>
            <w:noWrap/>
            <w:hideMark/>
          </w:tcPr>
          <w:p w14:paraId="6D6945E9" w14:textId="6156A799" w:rsidR="00456D9F" w:rsidRPr="00E76669" w:rsidRDefault="00456D9F" w:rsidP="00E76669">
            <w:pPr>
              <w:jc w:val="center"/>
              <w:cnfStyle w:val="000000000000" w:firstRow="0" w:lastRow="0" w:firstColumn="0" w:lastColumn="0" w:oddVBand="0" w:evenVBand="0" w:oddHBand="0" w:evenHBand="0" w:firstRowFirstColumn="0" w:firstRowLastColumn="0" w:lastRowFirstColumn="0" w:lastRowLastColumn="0"/>
              <w:rPr>
                <w:rFonts w:ascii="Times" w:hAnsi="Times"/>
                <w:color w:val="000000"/>
                <w:sz w:val="16"/>
                <w:szCs w:val="16"/>
                <w:lang w:val="en-US"/>
              </w:rPr>
            </w:pPr>
            <w:r w:rsidRPr="00E76669">
              <w:rPr>
                <w:rFonts w:ascii="Times" w:hAnsi="Times"/>
                <w:color w:val="000000"/>
                <w:sz w:val="16"/>
                <w:szCs w:val="16"/>
                <w:lang w:val="en-US"/>
              </w:rPr>
              <w:t>11</w:t>
            </w:r>
            <w:r w:rsidR="00E76669">
              <w:rPr>
                <w:rFonts w:ascii="Times" w:hAnsi="Times"/>
                <w:color w:val="000000"/>
                <w:sz w:val="16"/>
                <w:szCs w:val="16"/>
                <w:lang w:val="en-US"/>
              </w:rPr>
              <w:t xml:space="preserve"> </w:t>
            </w:r>
            <w:r w:rsidRPr="00E76669">
              <w:rPr>
                <w:rFonts w:ascii="Times" w:hAnsi="Times"/>
                <w:color w:val="000000"/>
                <w:sz w:val="16"/>
                <w:szCs w:val="16"/>
                <w:lang w:val="en-US"/>
              </w:rPr>
              <w:t>710</w:t>
            </w:r>
            <w:r w:rsidR="00E76669">
              <w:rPr>
                <w:rFonts w:ascii="Times" w:hAnsi="Times"/>
                <w:color w:val="000000"/>
                <w:sz w:val="16"/>
                <w:szCs w:val="16"/>
                <w:lang w:val="en-US"/>
              </w:rPr>
              <w:t xml:space="preserve"> </w:t>
            </w:r>
            <w:r w:rsidRPr="00E76669">
              <w:rPr>
                <w:rFonts w:ascii="Times" w:hAnsi="Times"/>
                <w:color w:val="000000"/>
                <w:sz w:val="16"/>
                <w:szCs w:val="16"/>
                <w:lang w:val="en-US"/>
              </w:rPr>
              <w:t>298</w:t>
            </w:r>
          </w:p>
        </w:tc>
        <w:tc>
          <w:tcPr>
            <w:tcW w:w="446" w:type="pct"/>
            <w:noWrap/>
            <w:hideMark/>
          </w:tcPr>
          <w:p w14:paraId="7AABFD0B" w14:textId="42FBEC01" w:rsidR="00456D9F" w:rsidRPr="00E76669" w:rsidRDefault="00456D9F" w:rsidP="00E76669">
            <w:pPr>
              <w:jc w:val="center"/>
              <w:cnfStyle w:val="000000000000" w:firstRow="0" w:lastRow="0" w:firstColumn="0" w:lastColumn="0" w:oddVBand="0" w:evenVBand="0" w:oddHBand="0" w:evenHBand="0" w:firstRowFirstColumn="0" w:firstRowLastColumn="0" w:lastRowFirstColumn="0" w:lastRowLastColumn="0"/>
              <w:rPr>
                <w:rFonts w:ascii="Times" w:hAnsi="Times"/>
                <w:color w:val="000000"/>
                <w:sz w:val="16"/>
                <w:szCs w:val="16"/>
                <w:lang w:val="en-US"/>
              </w:rPr>
            </w:pPr>
            <w:r w:rsidRPr="00E76669">
              <w:rPr>
                <w:rFonts w:ascii="Times" w:hAnsi="Times"/>
                <w:color w:val="000000"/>
                <w:sz w:val="16"/>
                <w:szCs w:val="16"/>
                <w:lang w:val="en-US"/>
              </w:rPr>
              <w:t>12</w:t>
            </w:r>
            <w:r w:rsidR="00E76669">
              <w:rPr>
                <w:rFonts w:ascii="Times" w:hAnsi="Times"/>
                <w:color w:val="000000"/>
                <w:sz w:val="16"/>
                <w:szCs w:val="16"/>
                <w:lang w:val="en-US"/>
              </w:rPr>
              <w:t xml:space="preserve"> </w:t>
            </w:r>
            <w:r w:rsidRPr="00E76669">
              <w:rPr>
                <w:rFonts w:ascii="Times" w:hAnsi="Times"/>
                <w:color w:val="000000"/>
                <w:sz w:val="16"/>
                <w:szCs w:val="16"/>
                <w:lang w:val="en-US"/>
              </w:rPr>
              <w:t>255</w:t>
            </w:r>
            <w:r w:rsidR="00E76669">
              <w:rPr>
                <w:rFonts w:ascii="Times" w:hAnsi="Times"/>
                <w:color w:val="000000"/>
                <w:sz w:val="16"/>
                <w:szCs w:val="16"/>
                <w:lang w:val="en-US"/>
              </w:rPr>
              <w:t xml:space="preserve"> </w:t>
            </w:r>
            <w:r w:rsidRPr="00E76669">
              <w:rPr>
                <w:rFonts w:ascii="Times" w:hAnsi="Times"/>
                <w:color w:val="000000"/>
                <w:sz w:val="16"/>
                <w:szCs w:val="16"/>
                <w:lang w:val="en-US"/>
              </w:rPr>
              <w:t>026</w:t>
            </w:r>
          </w:p>
        </w:tc>
        <w:tc>
          <w:tcPr>
            <w:tcW w:w="446" w:type="pct"/>
            <w:noWrap/>
            <w:hideMark/>
          </w:tcPr>
          <w:p w14:paraId="33178383" w14:textId="7FC6CD7F" w:rsidR="00456D9F" w:rsidRPr="00E76669" w:rsidRDefault="00456D9F" w:rsidP="00E76669">
            <w:pPr>
              <w:jc w:val="center"/>
              <w:cnfStyle w:val="000000000000" w:firstRow="0" w:lastRow="0" w:firstColumn="0" w:lastColumn="0" w:oddVBand="0" w:evenVBand="0" w:oddHBand="0" w:evenHBand="0" w:firstRowFirstColumn="0" w:firstRowLastColumn="0" w:lastRowFirstColumn="0" w:lastRowLastColumn="0"/>
              <w:rPr>
                <w:rFonts w:ascii="Times" w:hAnsi="Times"/>
                <w:color w:val="000000"/>
                <w:sz w:val="16"/>
                <w:szCs w:val="16"/>
                <w:lang w:val="en-US"/>
              </w:rPr>
            </w:pPr>
            <w:r w:rsidRPr="00E76669">
              <w:rPr>
                <w:rFonts w:ascii="Times" w:hAnsi="Times"/>
                <w:color w:val="000000"/>
                <w:sz w:val="16"/>
                <w:szCs w:val="16"/>
                <w:lang w:val="en-US"/>
              </w:rPr>
              <w:t>34</w:t>
            </w:r>
            <w:r w:rsidR="00E76669">
              <w:rPr>
                <w:rFonts w:ascii="Times" w:hAnsi="Times"/>
                <w:color w:val="000000"/>
                <w:sz w:val="16"/>
                <w:szCs w:val="16"/>
                <w:lang w:val="en-US"/>
              </w:rPr>
              <w:t xml:space="preserve"> </w:t>
            </w:r>
            <w:r w:rsidRPr="00E76669">
              <w:rPr>
                <w:rFonts w:ascii="Times" w:hAnsi="Times"/>
                <w:color w:val="000000"/>
                <w:sz w:val="16"/>
                <w:szCs w:val="16"/>
                <w:lang w:val="en-US"/>
              </w:rPr>
              <w:t>973</w:t>
            </w:r>
            <w:r w:rsidR="00E76669">
              <w:rPr>
                <w:rFonts w:ascii="Times" w:hAnsi="Times"/>
                <w:color w:val="000000"/>
                <w:sz w:val="16"/>
                <w:szCs w:val="16"/>
                <w:lang w:val="en-US"/>
              </w:rPr>
              <w:t xml:space="preserve"> </w:t>
            </w:r>
            <w:r w:rsidRPr="00E76669">
              <w:rPr>
                <w:rFonts w:ascii="Times" w:hAnsi="Times"/>
                <w:color w:val="000000"/>
                <w:sz w:val="16"/>
                <w:szCs w:val="16"/>
                <w:lang w:val="en-US"/>
              </w:rPr>
              <w:t>291</w:t>
            </w:r>
          </w:p>
        </w:tc>
      </w:tr>
      <w:tr w:rsidR="00456D9F" w:rsidRPr="00E76669" w14:paraId="0CE9171F" w14:textId="77777777" w:rsidTr="00297210">
        <w:trPr>
          <w:trHeight w:val="204"/>
        </w:trPr>
        <w:tc>
          <w:tcPr>
            <w:cnfStyle w:val="001000000000" w:firstRow="0" w:lastRow="0" w:firstColumn="1" w:lastColumn="0" w:oddVBand="0" w:evenVBand="0" w:oddHBand="0" w:evenHBand="0" w:firstRowFirstColumn="0" w:firstRowLastColumn="0" w:lastRowFirstColumn="0" w:lastRowLastColumn="0"/>
            <w:tcW w:w="531" w:type="pct"/>
            <w:vMerge/>
            <w:vAlign w:val="center"/>
            <w:hideMark/>
          </w:tcPr>
          <w:p w14:paraId="7B33FBD7" w14:textId="77777777" w:rsidR="00456D9F" w:rsidRPr="00E76669" w:rsidRDefault="00456D9F" w:rsidP="00E76669">
            <w:pPr>
              <w:jc w:val="left"/>
              <w:rPr>
                <w:rFonts w:ascii="Times" w:hAnsi="Times"/>
                <w:color w:val="000000"/>
                <w:sz w:val="16"/>
                <w:szCs w:val="16"/>
                <w:lang w:val="en-US"/>
              </w:rPr>
            </w:pPr>
          </w:p>
        </w:tc>
        <w:tc>
          <w:tcPr>
            <w:tcW w:w="1032" w:type="pct"/>
            <w:vMerge/>
            <w:vAlign w:val="center"/>
            <w:hideMark/>
          </w:tcPr>
          <w:p w14:paraId="145169DC" w14:textId="77777777" w:rsidR="00456D9F" w:rsidRPr="00E76669" w:rsidRDefault="00456D9F" w:rsidP="00E76669">
            <w:pPr>
              <w:jc w:val="left"/>
              <w:cnfStyle w:val="000000000000" w:firstRow="0" w:lastRow="0" w:firstColumn="0" w:lastColumn="0" w:oddVBand="0" w:evenVBand="0" w:oddHBand="0" w:evenHBand="0" w:firstRowFirstColumn="0" w:firstRowLastColumn="0" w:lastRowFirstColumn="0" w:lastRowLastColumn="0"/>
              <w:rPr>
                <w:rFonts w:ascii="Times" w:hAnsi="Times"/>
                <w:color w:val="000000"/>
                <w:sz w:val="16"/>
                <w:szCs w:val="16"/>
                <w:lang w:val="en-US"/>
              </w:rPr>
            </w:pPr>
          </w:p>
        </w:tc>
        <w:tc>
          <w:tcPr>
            <w:tcW w:w="1653" w:type="pct"/>
            <w:noWrap/>
            <w:hideMark/>
          </w:tcPr>
          <w:p w14:paraId="1256CF0D" w14:textId="77777777" w:rsidR="00456D9F" w:rsidRPr="00E76669" w:rsidRDefault="00456D9F" w:rsidP="00E76669">
            <w:pPr>
              <w:jc w:val="left"/>
              <w:cnfStyle w:val="000000000000" w:firstRow="0" w:lastRow="0" w:firstColumn="0" w:lastColumn="0" w:oddVBand="0" w:evenVBand="0" w:oddHBand="0" w:evenHBand="0" w:firstRowFirstColumn="0" w:firstRowLastColumn="0" w:lastRowFirstColumn="0" w:lastRowLastColumn="0"/>
              <w:rPr>
                <w:rFonts w:ascii="Times" w:hAnsi="Times"/>
                <w:color w:val="000000"/>
                <w:sz w:val="16"/>
                <w:szCs w:val="16"/>
                <w:lang w:val="en-US"/>
              </w:rPr>
            </w:pPr>
            <w:r w:rsidRPr="00E76669">
              <w:rPr>
                <w:rFonts w:ascii="Times" w:hAnsi="Times"/>
                <w:color w:val="000000"/>
                <w:sz w:val="16"/>
                <w:szCs w:val="16"/>
                <w:lang w:val="en-US"/>
              </w:rPr>
              <w:t>School Infrastructure Backlogs Grant</w:t>
            </w:r>
          </w:p>
        </w:tc>
        <w:tc>
          <w:tcPr>
            <w:tcW w:w="446" w:type="pct"/>
            <w:noWrap/>
            <w:hideMark/>
          </w:tcPr>
          <w:p w14:paraId="2751ED0E" w14:textId="4E7C1088" w:rsidR="00456D9F" w:rsidRPr="00E76669" w:rsidRDefault="00456D9F" w:rsidP="00E76669">
            <w:pPr>
              <w:jc w:val="center"/>
              <w:cnfStyle w:val="000000000000" w:firstRow="0" w:lastRow="0" w:firstColumn="0" w:lastColumn="0" w:oddVBand="0" w:evenVBand="0" w:oddHBand="0" w:evenHBand="0" w:firstRowFirstColumn="0" w:firstRowLastColumn="0" w:lastRowFirstColumn="0" w:lastRowLastColumn="0"/>
              <w:rPr>
                <w:rFonts w:ascii="Times" w:hAnsi="Times"/>
                <w:color w:val="000000"/>
                <w:sz w:val="16"/>
                <w:szCs w:val="16"/>
                <w:lang w:val="en-US"/>
              </w:rPr>
            </w:pPr>
            <w:r w:rsidRPr="00E76669">
              <w:rPr>
                <w:rFonts w:ascii="Times" w:hAnsi="Times"/>
                <w:color w:val="000000"/>
                <w:sz w:val="16"/>
                <w:szCs w:val="16"/>
                <w:lang w:val="en-US"/>
              </w:rPr>
              <w:t>1</w:t>
            </w:r>
            <w:r w:rsidR="00E76669">
              <w:rPr>
                <w:rFonts w:ascii="Times" w:hAnsi="Times"/>
                <w:color w:val="000000"/>
                <w:sz w:val="16"/>
                <w:szCs w:val="16"/>
                <w:lang w:val="en-US"/>
              </w:rPr>
              <w:t xml:space="preserve"> </w:t>
            </w:r>
            <w:r w:rsidRPr="00E76669">
              <w:rPr>
                <w:rFonts w:ascii="Times" w:hAnsi="Times"/>
                <w:color w:val="000000"/>
                <w:sz w:val="16"/>
                <w:szCs w:val="16"/>
                <w:lang w:val="en-US"/>
              </w:rPr>
              <w:t>736</w:t>
            </w:r>
            <w:r w:rsidR="00E76669">
              <w:rPr>
                <w:rFonts w:ascii="Times" w:hAnsi="Times"/>
                <w:color w:val="000000"/>
                <w:sz w:val="16"/>
                <w:szCs w:val="16"/>
                <w:lang w:val="en-US"/>
              </w:rPr>
              <w:t xml:space="preserve"> </w:t>
            </w:r>
            <w:r w:rsidRPr="00E76669">
              <w:rPr>
                <w:rFonts w:ascii="Times" w:hAnsi="Times"/>
                <w:color w:val="000000"/>
                <w:sz w:val="16"/>
                <w:szCs w:val="16"/>
                <w:lang w:val="en-US"/>
              </w:rPr>
              <w:t>413</w:t>
            </w:r>
          </w:p>
        </w:tc>
        <w:tc>
          <w:tcPr>
            <w:tcW w:w="446" w:type="pct"/>
            <w:noWrap/>
            <w:hideMark/>
          </w:tcPr>
          <w:p w14:paraId="0D0008EE" w14:textId="135E9ADB" w:rsidR="00456D9F" w:rsidRPr="00E76669" w:rsidRDefault="00456D9F" w:rsidP="00E76669">
            <w:pPr>
              <w:jc w:val="center"/>
              <w:cnfStyle w:val="000000000000" w:firstRow="0" w:lastRow="0" w:firstColumn="0" w:lastColumn="0" w:oddVBand="0" w:evenVBand="0" w:oddHBand="0" w:evenHBand="0" w:firstRowFirstColumn="0" w:firstRowLastColumn="0" w:lastRowFirstColumn="0" w:lastRowLastColumn="0"/>
              <w:rPr>
                <w:rFonts w:ascii="Times" w:hAnsi="Times"/>
                <w:color w:val="000000"/>
                <w:sz w:val="16"/>
                <w:szCs w:val="16"/>
                <w:lang w:val="en-US"/>
              </w:rPr>
            </w:pPr>
            <w:r w:rsidRPr="00E76669">
              <w:rPr>
                <w:rFonts w:ascii="Times" w:hAnsi="Times"/>
                <w:color w:val="000000"/>
                <w:sz w:val="16"/>
                <w:szCs w:val="16"/>
                <w:lang w:val="en-US"/>
              </w:rPr>
              <w:t>2</w:t>
            </w:r>
            <w:r w:rsidR="00E76669">
              <w:rPr>
                <w:rFonts w:ascii="Times" w:hAnsi="Times"/>
                <w:color w:val="000000"/>
                <w:sz w:val="16"/>
                <w:szCs w:val="16"/>
                <w:lang w:val="en-US"/>
              </w:rPr>
              <w:t xml:space="preserve"> </w:t>
            </w:r>
            <w:r w:rsidRPr="00E76669">
              <w:rPr>
                <w:rFonts w:ascii="Times" w:hAnsi="Times"/>
                <w:color w:val="000000"/>
                <w:sz w:val="16"/>
                <w:szCs w:val="16"/>
                <w:lang w:val="en-US"/>
              </w:rPr>
              <w:t>295</w:t>
            </w:r>
            <w:r w:rsidR="00E76669">
              <w:rPr>
                <w:rFonts w:ascii="Times" w:hAnsi="Times"/>
                <w:color w:val="000000"/>
                <w:sz w:val="16"/>
                <w:szCs w:val="16"/>
                <w:lang w:val="en-US"/>
              </w:rPr>
              <w:t xml:space="preserve"> </w:t>
            </w:r>
            <w:r w:rsidRPr="00E76669">
              <w:rPr>
                <w:rFonts w:ascii="Times" w:hAnsi="Times"/>
                <w:color w:val="000000"/>
                <w:sz w:val="16"/>
                <w:szCs w:val="16"/>
                <w:lang w:val="en-US"/>
              </w:rPr>
              <w:t>101</w:t>
            </w:r>
          </w:p>
        </w:tc>
        <w:tc>
          <w:tcPr>
            <w:tcW w:w="446" w:type="pct"/>
            <w:noWrap/>
            <w:hideMark/>
          </w:tcPr>
          <w:p w14:paraId="556359F1" w14:textId="0156E3D0" w:rsidR="00456D9F" w:rsidRPr="00E76669" w:rsidRDefault="00456D9F" w:rsidP="00E76669">
            <w:pPr>
              <w:jc w:val="center"/>
              <w:cnfStyle w:val="000000000000" w:firstRow="0" w:lastRow="0" w:firstColumn="0" w:lastColumn="0" w:oddVBand="0" w:evenVBand="0" w:oddHBand="0" w:evenHBand="0" w:firstRowFirstColumn="0" w:firstRowLastColumn="0" w:lastRowFirstColumn="0" w:lastRowLastColumn="0"/>
              <w:rPr>
                <w:rFonts w:ascii="Times" w:hAnsi="Times"/>
                <w:color w:val="000000"/>
                <w:sz w:val="16"/>
                <w:szCs w:val="16"/>
                <w:lang w:val="en-US"/>
              </w:rPr>
            </w:pPr>
            <w:r w:rsidRPr="00E76669">
              <w:rPr>
                <w:rFonts w:ascii="Times" w:hAnsi="Times"/>
                <w:color w:val="000000"/>
                <w:sz w:val="16"/>
                <w:szCs w:val="16"/>
                <w:lang w:val="en-US"/>
              </w:rPr>
              <w:t>2</w:t>
            </w:r>
            <w:r w:rsidR="00E76669">
              <w:rPr>
                <w:rFonts w:ascii="Times" w:hAnsi="Times"/>
                <w:color w:val="000000"/>
                <w:sz w:val="16"/>
                <w:szCs w:val="16"/>
                <w:lang w:val="en-US"/>
              </w:rPr>
              <w:t xml:space="preserve"> </w:t>
            </w:r>
            <w:r w:rsidRPr="00E76669">
              <w:rPr>
                <w:rFonts w:ascii="Times" w:hAnsi="Times"/>
                <w:color w:val="000000"/>
                <w:sz w:val="16"/>
                <w:szCs w:val="16"/>
                <w:lang w:val="en-US"/>
              </w:rPr>
              <w:t>424</w:t>
            </w:r>
            <w:r w:rsidR="00E76669">
              <w:rPr>
                <w:rFonts w:ascii="Times" w:hAnsi="Times"/>
                <w:color w:val="000000"/>
                <w:sz w:val="16"/>
                <w:szCs w:val="16"/>
                <w:lang w:val="en-US"/>
              </w:rPr>
              <w:t xml:space="preserve"> </w:t>
            </w:r>
            <w:r w:rsidRPr="00E76669">
              <w:rPr>
                <w:rFonts w:ascii="Times" w:hAnsi="Times"/>
                <w:color w:val="000000"/>
                <w:sz w:val="16"/>
                <w:szCs w:val="16"/>
                <w:lang w:val="en-US"/>
              </w:rPr>
              <w:t>189</w:t>
            </w:r>
          </w:p>
        </w:tc>
        <w:tc>
          <w:tcPr>
            <w:tcW w:w="446" w:type="pct"/>
            <w:noWrap/>
            <w:hideMark/>
          </w:tcPr>
          <w:p w14:paraId="5F7E5754" w14:textId="63D495F3" w:rsidR="00456D9F" w:rsidRPr="00E76669" w:rsidRDefault="00456D9F" w:rsidP="00E76669">
            <w:pPr>
              <w:jc w:val="center"/>
              <w:cnfStyle w:val="000000000000" w:firstRow="0" w:lastRow="0" w:firstColumn="0" w:lastColumn="0" w:oddVBand="0" w:evenVBand="0" w:oddHBand="0" w:evenHBand="0" w:firstRowFirstColumn="0" w:firstRowLastColumn="0" w:lastRowFirstColumn="0" w:lastRowLastColumn="0"/>
              <w:rPr>
                <w:rFonts w:ascii="Times" w:hAnsi="Times"/>
                <w:color w:val="000000"/>
                <w:sz w:val="16"/>
                <w:szCs w:val="16"/>
                <w:lang w:val="en-US"/>
              </w:rPr>
            </w:pPr>
            <w:r w:rsidRPr="00E76669">
              <w:rPr>
                <w:rFonts w:ascii="Times" w:hAnsi="Times"/>
                <w:color w:val="000000"/>
                <w:sz w:val="16"/>
                <w:szCs w:val="16"/>
                <w:lang w:val="en-US"/>
              </w:rPr>
              <w:t>6</w:t>
            </w:r>
            <w:r w:rsidR="00E76669">
              <w:rPr>
                <w:rFonts w:ascii="Times" w:hAnsi="Times"/>
                <w:color w:val="000000"/>
                <w:sz w:val="16"/>
                <w:szCs w:val="16"/>
                <w:lang w:val="en-US"/>
              </w:rPr>
              <w:t xml:space="preserve"> </w:t>
            </w:r>
            <w:r w:rsidRPr="00E76669">
              <w:rPr>
                <w:rFonts w:ascii="Times" w:hAnsi="Times"/>
                <w:color w:val="000000"/>
                <w:sz w:val="16"/>
                <w:szCs w:val="16"/>
                <w:lang w:val="en-US"/>
              </w:rPr>
              <w:t>455</w:t>
            </w:r>
            <w:r w:rsidR="00E76669">
              <w:rPr>
                <w:rFonts w:ascii="Times" w:hAnsi="Times"/>
                <w:color w:val="000000"/>
                <w:sz w:val="16"/>
                <w:szCs w:val="16"/>
                <w:lang w:val="en-US"/>
              </w:rPr>
              <w:t xml:space="preserve"> </w:t>
            </w:r>
            <w:r w:rsidRPr="00E76669">
              <w:rPr>
                <w:rFonts w:ascii="Times" w:hAnsi="Times"/>
                <w:color w:val="000000"/>
                <w:sz w:val="16"/>
                <w:szCs w:val="16"/>
                <w:lang w:val="en-US"/>
              </w:rPr>
              <w:t>703</w:t>
            </w:r>
          </w:p>
        </w:tc>
      </w:tr>
      <w:tr w:rsidR="00456D9F" w:rsidRPr="00E76669" w14:paraId="16CB9EEB" w14:textId="77777777" w:rsidTr="00297210">
        <w:trPr>
          <w:trHeight w:val="204"/>
        </w:trPr>
        <w:tc>
          <w:tcPr>
            <w:cnfStyle w:val="001000000000" w:firstRow="0" w:lastRow="0" w:firstColumn="1" w:lastColumn="0" w:oddVBand="0" w:evenVBand="0" w:oddHBand="0" w:evenHBand="0" w:firstRowFirstColumn="0" w:firstRowLastColumn="0" w:lastRowFirstColumn="0" w:lastRowLastColumn="0"/>
            <w:tcW w:w="531" w:type="pct"/>
            <w:vMerge w:val="restart"/>
            <w:vAlign w:val="center"/>
            <w:hideMark/>
          </w:tcPr>
          <w:p w14:paraId="6528BF6D" w14:textId="77777777" w:rsidR="00456D9F" w:rsidRPr="00E76669" w:rsidRDefault="00456D9F" w:rsidP="00E76669">
            <w:pPr>
              <w:jc w:val="left"/>
              <w:rPr>
                <w:rFonts w:ascii="Times" w:hAnsi="Times"/>
                <w:color w:val="000000"/>
                <w:sz w:val="16"/>
                <w:szCs w:val="16"/>
                <w:lang w:val="en-US"/>
              </w:rPr>
            </w:pPr>
            <w:r w:rsidRPr="00E76669">
              <w:rPr>
                <w:rFonts w:ascii="Times" w:hAnsi="Times"/>
                <w:color w:val="000000"/>
                <w:sz w:val="16"/>
                <w:szCs w:val="16"/>
                <w:lang w:val="en-US"/>
              </w:rPr>
              <w:t>Community Development</w:t>
            </w:r>
          </w:p>
        </w:tc>
        <w:tc>
          <w:tcPr>
            <w:tcW w:w="1032" w:type="pct"/>
            <w:vMerge w:val="restart"/>
            <w:vAlign w:val="center"/>
            <w:hideMark/>
          </w:tcPr>
          <w:p w14:paraId="67449728" w14:textId="77777777" w:rsidR="00456D9F" w:rsidRPr="00E76669" w:rsidRDefault="00456D9F" w:rsidP="00E76669">
            <w:pPr>
              <w:jc w:val="left"/>
              <w:cnfStyle w:val="000000000000" w:firstRow="0" w:lastRow="0" w:firstColumn="0" w:lastColumn="0" w:oddVBand="0" w:evenVBand="0" w:oddHBand="0" w:evenHBand="0" w:firstRowFirstColumn="0" w:firstRowLastColumn="0" w:lastRowFirstColumn="0" w:lastRowLastColumn="0"/>
              <w:rPr>
                <w:rFonts w:ascii="Times" w:hAnsi="Times"/>
                <w:color w:val="000000"/>
                <w:sz w:val="16"/>
                <w:szCs w:val="16"/>
                <w:lang w:val="en-US"/>
              </w:rPr>
            </w:pPr>
            <w:r w:rsidRPr="00E76669">
              <w:rPr>
                <w:rFonts w:ascii="Times" w:hAnsi="Times"/>
                <w:color w:val="000000"/>
                <w:sz w:val="16"/>
                <w:szCs w:val="16"/>
                <w:lang w:val="en-US"/>
              </w:rPr>
              <w:t>Human Settlements</w:t>
            </w:r>
          </w:p>
        </w:tc>
        <w:tc>
          <w:tcPr>
            <w:tcW w:w="1653" w:type="pct"/>
            <w:noWrap/>
            <w:hideMark/>
          </w:tcPr>
          <w:p w14:paraId="4D67BC36" w14:textId="77777777" w:rsidR="00456D9F" w:rsidRPr="00E76669" w:rsidRDefault="00456D9F" w:rsidP="00E76669">
            <w:pPr>
              <w:cnfStyle w:val="000000000000" w:firstRow="0" w:lastRow="0" w:firstColumn="0" w:lastColumn="0" w:oddVBand="0" w:evenVBand="0" w:oddHBand="0" w:evenHBand="0" w:firstRowFirstColumn="0" w:firstRowLastColumn="0" w:lastRowFirstColumn="0" w:lastRowLastColumn="0"/>
              <w:rPr>
                <w:rFonts w:ascii="Times" w:hAnsi="Times"/>
                <w:color w:val="000000"/>
                <w:sz w:val="16"/>
                <w:szCs w:val="16"/>
                <w:lang w:val="en-US"/>
              </w:rPr>
            </w:pPr>
            <w:r w:rsidRPr="00E76669">
              <w:rPr>
                <w:rFonts w:ascii="Times" w:hAnsi="Times"/>
                <w:color w:val="000000"/>
                <w:sz w:val="16"/>
                <w:szCs w:val="16"/>
                <w:lang w:val="en-US"/>
              </w:rPr>
              <w:t>Urban Settlements Development Grant</w:t>
            </w:r>
          </w:p>
        </w:tc>
        <w:tc>
          <w:tcPr>
            <w:tcW w:w="446" w:type="pct"/>
            <w:noWrap/>
            <w:hideMark/>
          </w:tcPr>
          <w:p w14:paraId="1FAC45ED" w14:textId="708A4163" w:rsidR="00456D9F" w:rsidRPr="00E76669" w:rsidRDefault="00456D9F" w:rsidP="00E76669">
            <w:pPr>
              <w:jc w:val="center"/>
              <w:cnfStyle w:val="000000000000" w:firstRow="0" w:lastRow="0" w:firstColumn="0" w:lastColumn="0" w:oddVBand="0" w:evenVBand="0" w:oddHBand="0" w:evenHBand="0" w:firstRowFirstColumn="0" w:firstRowLastColumn="0" w:lastRowFirstColumn="0" w:lastRowLastColumn="0"/>
              <w:rPr>
                <w:rFonts w:ascii="Times" w:hAnsi="Times"/>
                <w:color w:val="000000"/>
                <w:sz w:val="16"/>
                <w:szCs w:val="16"/>
                <w:lang w:val="en-US"/>
              </w:rPr>
            </w:pPr>
            <w:r w:rsidRPr="00E76669">
              <w:rPr>
                <w:rFonts w:ascii="Times" w:hAnsi="Times"/>
                <w:color w:val="000000"/>
                <w:sz w:val="16"/>
                <w:szCs w:val="16"/>
                <w:lang w:val="en-US"/>
              </w:rPr>
              <w:t>11</w:t>
            </w:r>
            <w:r w:rsidR="00E76669">
              <w:rPr>
                <w:rFonts w:ascii="Times" w:hAnsi="Times"/>
                <w:color w:val="000000"/>
                <w:sz w:val="16"/>
                <w:szCs w:val="16"/>
                <w:lang w:val="en-US"/>
              </w:rPr>
              <w:t xml:space="preserve"> </w:t>
            </w:r>
            <w:r w:rsidRPr="00E76669">
              <w:rPr>
                <w:rFonts w:ascii="Times" w:hAnsi="Times"/>
                <w:color w:val="000000"/>
                <w:sz w:val="16"/>
                <w:szCs w:val="16"/>
                <w:lang w:val="en-US"/>
              </w:rPr>
              <w:t>281</w:t>
            </w:r>
            <w:r w:rsidR="00E76669">
              <w:rPr>
                <w:rFonts w:ascii="Times" w:hAnsi="Times"/>
                <w:color w:val="000000"/>
                <w:sz w:val="16"/>
                <w:szCs w:val="16"/>
                <w:lang w:val="en-US"/>
              </w:rPr>
              <w:t xml:space="preserve"> </w:t>
            </w:r>
            <w:r w:rsidRPr="00E76669">
              <w:rPr>
                <w:rFonts w:ascii="Times" w:hAnsi="Times"/>
                <w:color w:val="000000"/>
                <w:sz w:val="16"/>
                <w:szCs w:val="16"/>
                <w:lang w:val="en-US"/>
              </w:rPr>
              <w:t>871</w:t>
            </w:r>
          </w:p>
        </w:tc>
        <w:tc>
          <w:tcPr>
            <w:tcW w:w="446" w:type="pct"/>
            <w:noWrap/>
            <w:hideMark/>
          </w:tcPr>
          <w:p w14:paraId="2F035490" w14:textId="4C68C681" w:rsidR="00456D9F" w:rsidRPr="00E76669" w:rsidRDefault="00456D9F" w:rsidP="00E76669">
            <w:pPr>
              <w:jc w:val="center"/>
              <w:cnfStyle w:val="000000000000" w:firstRow="0" w:lastRow="0" w:firstColumn="0" w:lastColumn="0" w:oddVBand="0" w:evenVBand="0" w:oddHBand="0" w:evenHBand="0" w:firstRowFirstColumn="0" w:firstRowLastColumn="0" w:lastRowFirstColumn="0" w:lastRowLastColumn="0"/>
              <w:rPr>
                <w:rFonts w:ascii="Times" w:hAnsi="Times"/>
                <w:color w:val="000000"/>
                <w:sz w:val="16"/>
                <w:szCs w:val="16"/>
                <w:lang w:val="en-US"/>
              </w:rPr>
            </w:pPr>
            <w:r w:rsidRPr="00E76669">
              <w:rPr>
                <w:rFonts w:ascii="Times" w:hAnsi="Times"/>
                <w:color w:val="000000"/>
                <w:sz w:val="16"/>
                <w:szCs w:val="16"/>
                <w:lang w:val="en-US"/>
              </w:rPr>
              <w:t>7</w:t>
            </w:r>
            <w:r w:rsidR="00E76669">
              <w:rPr>
                <w:rFonts w:ascii="Times" w:hAnsi="Times"/>
                <w:color w:val="000000"/>
                <w:sz w:val="16"/>
                <w:szCs w:val="16"/>
                <w:lang w:val="en-US"/>
              </w:rPr>
              <w:t xml:space="preserve"> </w:t>
            </w:r>
            <w:r w:rsidRPr="00E76669">
              <w:rPr>
                <w:rFonts w:ascii="Times" w:hAnsi="Times"/>
                <w:color w:val="000000"/>
                <w:sz w:val="16"/>
                <w:szCs w:val="16"/>
                <w:lang w:val="en-US"/>
              </w:rPr>
              <w:t>404</w:t>
            </w:r>
            <w:r w:rsidR="00E76669">
              <w:rPr>
                <w:rFonts w:ascii="Times" w:hAnsi="Times"/>
                <w:color w:val="000000"/>
                <w:sz w:val="16"/>
                <w:szCs w:val="16"/>
                <w:lang w:val="en-US"/>
              </w:rPr>
              <w:t xml:space="preserve"> </w:t>
            </w:r>
            <w:r w:rsidRPr="00E76669">
              <w:rPr>
                <w:rFonts w:ascii="Times" w:hAnsi="Times"/>
                <w:color w:val="000000"/>
                <w:sz w:val="16"/>
                <w:szCs w:val="16"/>
                <w:lang w:val="en-US"/>
              </w:rPr>
              <w:t>711</w:t>
            </w:r>
          </w:p>
        </w:tc>
        <w:tc>
          <w:tcPr>
            <w:tcW w:w="446" w:type="pct"/>
            <w:noWrap/>
            <w:hideMark/>
          </w:tcPr>
          <w:p w14:paraId="2DCFEC62" w14:textId="7216F739" w:rsidR="00456D9F" w:rsidRPr="00E76669" w:rsidRDefault="00456D9F" w:rsidP="00E76669">
            <w:pPr>
              <w:jc w:val="center"/>
              <w:cnfStyle w:val="000000000000" w:firstRow="0" w:lastRow="0" w:firstColumn="0" w:lastColumn="0" w:oddVBand="0" w:evenVBand="0" w:oddHBand="0" w:evenHBand="0" w:firstRowFirstColumn="0" w:firstRowLastColumn="0" w:lastRowFirstColumn="0" w:lastRowLastColumn="0"/>
              <w:rPr>
                <w:rFonts w:ascii="Times" w:hAnsi="Times"/>
                <w:color w:val="000000"/>
                <w:sz w:val="16"/>
                <w:szCs w:val="16"/>
                <w:lang w:val="en-US"/>
              </w:rPr>
            </w:pPr>
            <w:r w:rsidRPr="00E76669">
              <w:rPr>
                <w:rFonts w:ascii="Times" w:hAnsi="Times"/>
                <w:color w:val="000000"/>
                <w:sz w:val="16"/>
                <w:szCs w:val="16"/>
                <w:lang w:val="en-US"/>
              </w:rPr>
              <w:t>7</w:t>
            </w:r>
            <w:r w:rsidR="00E76669">
              <w:rPr>
                <w:rFonts w:ascii="Times" w:hAnsi="Times"/>
                <w:color w:val="000000"/>
                <w:sz w:val="16"/>
                <w:szCs w:val="16"/>
                <w:lang w:val="en-US"/>
              </w:rPr>
              <w:t xml:space="preserve"> </w:t>
            </w:r>
            <w:r w:rsidRPr="00E76669">
              <w:rPr>
                <w:rFonts w:ascii="Times" w:hAnsi="Times"/>
                <w:color w:val="000000"/>
                <w:sz w:val="16"/>
                <w:szCs w:val="16"/>
                <w:lang w:val="en-US"/>
              </w:rPr>
              <w:t>352</w:t>
            </w:r>
            <w:r w:rsidR="00E76669">
              <w:rPr>
                <w:rFonts w:ascii="Times" w:hAnsi="Times"/>
                <w:color w:val="000000"/>
                <w:sz w:val="16"/>
                <w:szCs w:val="16"/>
                <w:lang w:val="en-US"/>
              </w:rPr>
              <w:t xml:space="preserve"> </w:t>
            </w:r>
            <w:r w:rsidRPr="00E76669">
              <w:rPr>
                <w:rFonts w:ascii="Times" w:hAnsi="Times"/>
                <w:color w:val="000000"/>
                <w:sz w:val="16"/>
                <w:szCs w:val="16"/>
                <w:lang w:val="en-US"/>
              </w:rPr>
              <w:t>723</w:t>
            </w:r>
          </w:p>
        </w:tc>
        <w:tc>
          <w:tcPr>
            <w:tcW w:w="446" w:type="pct"/>
            <w:noWrap/>
            <w:hideMark/>
          </w:tcPr>
          <w:p w14:paraId="1CAC3DCD" w14:textId="71AB3882" w:rsidR="00456D9F" w:rsidRPr="00E76669" w:rsidRDefault="00456D9F" w:rsidP="00E76669">
            <w:pPr>
              <w:jc w:val="center"/>
              <w:cnfStyle w:val="000000000000" w:firstRow="0" w:lastRow="0" w:firstColumn="0" w:lastColumn="0" w:oddVBand="0" w:evenVBand="0" w:oddHBand="0" w:evenHBand="0" w:firstRowFirstColumn="0" w:firstRowLastColumn="0" w:lastRowFirstColumn="0" w:lastRowLastColumn="0"/>
              <w:rPr>
                <w:rFonts w:ascii="Times" w:hAnsi="Times"/>
                <w:color w:val="000000"/>
                <w:sz w:val="16"/>
                <w:szCs w:val="16"/>
                <w:lang w:val="en-US"/>
              </w:rPr>
            </w:pPr>
            <w:r w:rsidRPr="00E76669">
              <w:rPr>
                <w:rFonts w:ascii="Times" w:hAnsi="Times"/>
                <w:color w:val="000000"/>
                <w:sz w:val="16"/>
                <w:szCs w:val="16"/>
                <w:lang w:val="en-US"/>
              </w:rPr>
              <w:t>26</w:t>
            </w:r>
            <w:r w:rsidR="00E76669">
              <w:rPr>
                <w:rFonts w:ascii="Times" w:hAnsi="Times"/>
                <w:color w:val="000000"/>
                <w:sz w:val="16"/>
                <w:szCs w:val="16"/>
                <w:lang w:val="en-US"/>
              </w:rPr>
              <w:t xml:space="preserve"> </w:t>
            </w:r>
            <w:r w:rsidRPr="00E76669">
              <w:rPr>
                <w:rFonts w:ascii="Times" w:hAnsi="Times"/>
                <w:color w:val="000000"/>
                <w:sz w:val="16"/>
                <w:szCs w:val="16"/>
                <w:lang w:val="en-US"/>
              </w:rPr>
              <w:t>039</w:t>
            </w:r>
            <w:r w:rsidR="00E76669">
              <w:rPr>
                <w:rFonts w:ascii="Times" w:hAnsi="Times"/>
                <w:color w:val="000000"/>
                <w:sz w:val="16"/>
                <w:szCs w:val="16"/>
                <w:lang w:val="en-US"/>
              </w:rPr>
              <w:t xml:space="preserve"> </w:t>
            </w:r>
            <w:r w:rsidRPr="00E76669">
              <w:rPr>
                <w:rFonts w:ascii="Times" w:hAnsi="Times"/>
                <w:color w:val="000000"/>
                <w:sz w:val="16"/>
                <w:szCs w:val="16"/>
                <w:lang w:val="en-US"/>
              </w:rPr>
              <w:t>305</w:t>
            </w:r>
          </w:p>
        </w:tc>
      </w:tr>
      <w:tr w:rsidR="00456D9F" w:rsidRPr="00E76669" w14:paraId="55C54640" w14:textId="77777777" w:rsidTr="00297210">
        <w:trPr>
          <w:trHeight w:val="204"/>
        </w:trPr>
        <w:tc>
          <w:tcPr>
            <w:cnfStyle w:val="001000000000" w:firstRow="0" w:lastRow="0" w:firstColumn="1" w:lastColumn="0" w:oddVBand="0" w:evenVBand="0" w:oddHBand="0" w:evenHBand="0" w:firstRowFirstColumn="0" w:firstRowLastColumn="0" w:lastRowFirstColumn="0" w:lastRowLastColumn="0"/>
            <w:tcW w:w="531" w:type="pct"/>
            <w:vMerge/>
            <w:vAlign w:val="center"/>
            <w:hideMark/>
          </w:tcPr>
          <w:p w14:paraId="1C9C4EC0" w14:textId="77777777" w:rsidR="00456D9F" w:rsidRPr="00E76669" w:rsidRDefault="00456D9F" w:rsidP="00E76669">
            <w:pPr>
              <w:jc w:val="left"/>
              <w:rPr>
                <w:rFonts w:ascii="Times" w:hAnsi="Times"/>
                <w:color w:val="000000"/>
                <w:sz w:val="16"/>
                <w:szCs w:val="16"/>
                <w:lang w:val="en-US"/>
              </w:rPr>
            </w:pPr>
          </w:p>
        </w:tc>
        <w:tc>
          <w:tcPr>
            <w:tcW w:w="1032" w:type="pct"/>
            <w:vMerge/>
            <w:vAlign w:val="center"/>
            <w:hideMark/>
          </w:tcPr>
          <w:p w14:paraId="3385EA20" w14:textId="77777777" w:rsidR="00456D9F" w:rsidRPr="00E76669" w:rsidRDefault="00456D9F" w:rsidP="00E76669">
            <w:pPr>
              <w:jc w:val="left"/>
              <w:cnfStyle w:val="000000000000" w:firstRow="0" w:lastRow="0" w:firstColumn="0" w:lastColumn="0" w:oddVBand="0" w:evenVBand="0" w:oddHBand="0" w:evenHBand="0" w:firstRowFirstColumn="0" w:firstRowLastColumn="0" w:lastRowFirstColumn="0" w:lastRowLastColumn="0"/>
              <w:rPr>
                <w:rFonts w:ascii="Times" w:hAnsi="Times"/>
                <w:color w:val="000000"/>
                <w:sz w:val="16"/>
                <w:szCs w:val="16"/>
                <w:lang w:val="en-US"/>
              </w:rPr>
            </w:pPr>
          </w:p>
        </w:tc>
        <w:tc>
          <w:tcPr>
            <w:tcW w:w="1653" w:type="pct"/>
            <w:noWrap/>
            <w:hideMark/>
          </w:tcPr>
          <w:p w14:paraId="3373A751" w14:textId="77777777" w:rsidR="00456D9F" w:rsidRPr="00E76669" w:rsidRDefault="00456D9F" w:rsidP="00E76669">
            <w:pPr>
              <w:cnfStyle w:val="000000000000" w:firstRow="0" w:lastRow="0" w:firstColumn="0" w:lastColumn="0" w:oddVBand="0" w:evenVBand="0" w:oddHBand="0" w:evenHBand="0" w:firstRowFirstColumn="0" w:firstRowLastColumn="0" w:lastRowFirstColumn="0" w:lastRowLastColumn="0"/>
              <w:rPr>
                <w:rFonts w:ascii="Times" w:hAnsi="Times"/>
                <w:color w:val="000000"/>
                <w:sz w:val="16"/>
                <w:szCs w:val="16"/>
                <w:lang w:val="en-US"/>
              </w:rPr>
            </w:pPr>
            <w:r w:rsidRPr="00E76669">
              <w:rPr>
                <w:rFonts w:ascii="Times" w:hAnsi="Times"/>
                <w:color w:val="000000"/>
                <w:sz w:val="16"/>
                <w:szCs w:val="16"/>
                <w:lang w:val="en-US"/>
              </w:rPr>
              <w:t>Human Settlements Development Grant</w:t>
            </w:r>
          </w:p>
        </w:tc>
        <w:tc>
          <w:tcPr>
            <w:tcW w:w="446" w:type="pct"/>
            <w:noWrap/>
            <w:hideMark/>
          </w:tcPr>
          <w:p w14:paraId="76E69228" w14:textId="3CED0A93" w:rsidR="00456D9F" w:rsidRPr="00E76669" w:rsidRDefault="00456D9F" w:rsidP="00E76669">
            <w:pPr>
              <w:jc w:val="center"/>
              <w:cnfStyle w:val="000000000000" w:firstRow="0" w:lastRow="0" w:firstColumn="0" w:lastColumn="0" w:oddVBand="0" w:evenVBand="0" w:oddHBand="0" w:evenHBand="0" w:firstRowFirstColumn="0" w:firstRowLastColumn="0" w:lastRowFirstColumn="0" w:lastRowLastColumn="0"/>
              <w:rPr>
                <w:rFonts w:ascii="Times" w:hAnsi="Times"/>
                <w:color w:val="000000"/>
                <w:sz w:val="16"/>
                <w:szCs w:val="16"/>
                <w:lang w:val="en-US"/>
              </w:rPr>
            </w:pPr>
            <w:r w:rsidRPr="00E76669">
              <w:rPr>
                <w:rFonts w:ascii="Times" w:hAnsi="Times"/>
                <w:color w:val="000000"/>
                <w:sz w:val="16"/>
                <w:szCs w:val="16"/>
                <w:lang w:val="en-US"/>
              </w:rPr>
              <w:t>16</w:t>
            </w:r>
            <w:r w:rsidR="00E76669">
              <w:rPr>
                <w:rFonts w:ascii="Times" w:hAnsi="Times"/>
                <w:color w:val="000000"/>
                <w:sz w:val="16"/>
                <w:szCs w:val="16"/>
                <w:lang w:val="en-US"/>
              </w:rPr>
              <w:t xml:space="preserve"> </w:t>
            </w:r>
            <w:r w:rsidRPr="00E76669">
              <w:rPr>
                <w:rFonts w:ascii="Times" w:hAnsi="Times"/>
                <w:color w:val="000000"/>
                <w:sz w:val="16"/>
                <w:szCs w:val="16"/>
                <w:lang w:val="en-US"/>
              </w:rPr>
              <w:t>620</w:t>
            </w:r>
            <w:r w:rsidR="00E76669">
              <w:rPr>
                <w:rFonts w:ascii="Times" w:hAnsi="Times"/>
                <w:color w:val="000000"/>
                <w:sz w:val="16"/>
                <w:szCs w:val="16"/>
                <w:lang w:val="en-US"/>
              </w:rPr>
              <w:t xml:space="preserve"> </w:t>
            </w:r>
            <w:r w:rsidRPr="00E76669">
              <w:rPr>
                <w:rFonts w:ascii="Times" w:hAnsi="Times"/>
                <w:color w:val="000000"/>
                <w:sz w:val="16"/>
                <w:szCs w:val="16"/>
                <w:lang w:val="en-US"/>
              </w:rPr>
              <w:t>732</w:t>
            </w:r>
          </w:p>
        </w:tc>
        <w:tc>
          <w:tcPr>
            <w:tcW w:w="446" w:type="pct"/>
            <w:noWrap/>
            <w:hideMark/>
          </w:tcPr>
          <w:p w14:paraId="06821088" w14:textId="28ABCD37" w:rsidR="00456D9F" w:rsidRPr="00E76669" w:rsidRDefault="00456D9F" w:rsidP="00E76669">
            <w:pPr>
              <w:jc w:val="center"/>
              <w:cnfStyle w:val="000000000000" w:firstRow="0" w:lastRow="0" w:firstColumn="0" w:lastColumn="0" w:oddVBand="0" w:evenVBand="0" w:oddHBand="0" w:evenHBand="0" w:firstRowFirstColumn="0" w:firstRowLastColumn="0" w:lastRowFirstColumn="0" w:lastRowLastColumn="0"/>
              <w:rPr>
                <w:rFonts w:ascii="Times" w:hAnsi="Times"/>
                <w:color w:val="000000"/>
                <w:sz w:val="16"/>
                <w:szCs w:val="16"/>
                <w:lang w:val="en-US"/>
              </w:rPr>
            </w:pPr>
            <w:r w:rsidRPr="00E76669">
              <w:rPr>
                <w:rFonts w:ascii="Times" w:hAnsi="Times"/>
                <w:color w:val="000000"/>
                <w:sz w:val="16"/>
                <w:szCs w:val="16"/>
                <w:lang w:val="en-US"/>
              </w:rPr>
              <w:t>13</w:t>
            </w:r>
            <w:r w:rsidR="00E76669">
              <w:rPr>
                <w:rFonts w:ascii="Times" w:hAnsi="Times"/>
                <w:color w:val="000000"/>
                <w:sz w:val="16"/>
                <w:szCs w:val="16"/>
                <w:lang w:val="en-US"/>
              </w:rPr>
              <w:t xml:space="preserve"> </w:t>
            </w:r>
            <w:r w:rsidRPr="00E76669">
              <w:rPr>
                <w:rFonts w:ascii="Times" w:hAnsi="Times"/>
                <w:color w:val="000000"/>
                <w:sz w:val="16"/>
                <w:szCs w:val="16"/>
                <w:lang w:val="en-US"/>
              </w:rPr>
              <w:t>413</w:t>
            </w:r>
            <w:r w:rsidR="00E76669">
              <w:rPr>
                <w:rFonts w:ascii="Times" w:hAnsi="Times"/>
                <w:color w:val="000000"/>
                <w:sz w:val="16"/>
                <w:szCs w:val="16"/>
                <w:lang w:val="en-US"/>
              </w:rPr>
              <w:t xml:space="preserve"> </w:t>
            </w:r>
            <w:r w:rsidRPr="00E76669">
              <w:rPr>
                <w:rFonts w:ascii="Times" w:hAnsi="Times"/>
                <w:color w:val="000000"/>
                <w:sz w:val="16"/>
                <w:szCs w:val="16"/>
                <w:lang w:val="en-US"/>
              </w:rPr>
              <w:t>593</w:t>
            </w:r>
          </w:p>
        </w:tc>
        <w:tc>
          <w:tcPr>
            <w:tcW w:w="446" w:type="pct"/>
            <w:noWrap/>
            <w:hideMark/>
          </w:tcPr>
          <w:p w14:paraId="46C0D898" w14:textId="5FF3A214" w:rsidR="00456D9F" w:rsidRPr="00E76669" w:rsidRDefault="00456D9F" w:rsidP="00E76669">
            <w:pPr>
              <w:jc w:val="center"/>
              <w:cnfStyle w:val="000000000000" w:firstRow="0" w:lastRow="0" w:firstColumn="0" w:lastColumn="0" w:oddVBand="0" w:evenVBand="0" w:oddHBand="0" w:evenHBand="0" w:firstRowFirstColumn="0" w:firstRowLastColumn="0" w:lastRowFirstColumn="0" w:lastRowLastColumn="0"/>
              <w:rPr>
                <w:rFonts w:ascii="Times" w:hAnsi="Times"/>
                <w:color w:val="000000"/>
                <w:sz w:val="16"/>
                <w:szCs w:val="16"/>
                <w:lang w:val="en-US"/>
              </w:rPr>
            </w:pPr>
            <w:r w:rsidRPr="00E76669">
              <w:rPr>
                <w:rFonts w:ascii="Times" w:hAnsi="Times"/>
                <w:color w:val="000000"/>
                <w:sz w:val="16"/>
                <w:szCs w:val="16"/>
                <w:lang w:val="en-US"/>
              </w:rPr>
              <w:t>13</w:t>
            </w:r>
            <w:r w:rsidR="00E76669">
              <w:rPr>
                <w:rFonts w:ascii="Times" w:hAnsi="Times"/>
                <w:color w:val="000000"/>
                <w:sz w:val="16"/>
                <w:szCs w:val="16"/>
                <w:lang w:val="en-US"/>
              </w:rPr>
              <w:t xml:space="preserve"> </w:t>
            </w:r>
            <w:r w:rsidRPr="00E76669">
              <w:rPr>
                <w:rFonts w:ascii="Times" w:hAnsi="Times"/>
                <w:color w:val="000000"/>
                <w:sz w:val="16"/>
                <w:szCs w:val="16"/>
                <w:lang w:val="en-US"/>
              </w:rPr>
              <w:t>870</w:t>
            </w:r>
            <w:r w:rsidR="00E76669">
              <w:rPr>
                <w:rFonts w:ascii="Times" w:hAnsi="Times"/>
                <w:color w:val="000000"/>
                <w:sz w:val="16"/>
                <w:szCs w:val="16"/>
                <w:lang w:val="en-US"/>
              </w:rPr>
              <w:t xml:space="preserve"> </w:t>
            </w:r>
            <w:r w:rsidRPr="00E76669">
              <w:rPr>
                <w:rFonts w:ascii="Times" w:hAnsi="Times"/>
                <w:color w:val="000000"/>
                <w:sz w:val="16"/>
                <w:szCs w:val="16"/>
                <w:lang w:val="en-US"/>
              </w:rPr>
              <w:t>574</w:t>
            </w:r>
          </w:p>
        </w:tc>
        <w:tc>
          <w:tcPr>
            <w:tcW w:w="446" w:type="pct"/>
            <w:noWrap/>
            <w:hideMark/>
          </w:tcPr>
          <w:p w14:paraId="6F4218FB" w14:textId="7541E0EE" w:rsidR="00456D9F" w:rsidRPr="00E76669" w:rsidRDefault="00456D9F" w:rsidP="00E76669">
            <w:pPr>
              <w:jc w:val="center"/>
              <w:cnfStyle w:val="000000000000" w:firstRow="0" w:lastRow="0" w:firstColumn="0" w:lastColumn="0" w:oddVBand="0" w:evenVBand="0" w:oddHBand="0" w:evenHBand="0" w:firstRowFirstColumn="0" w:firstRowLastColumn="0" w:lastRowFirstColumn="0" w:lastRowLastColumn="0"/>
              <w:rPr>
                <w:rFonts w:ascii="Times" w:hAnsi="Times"/>
                <w:color w:val="000000"/>
                <w:sz w:val="16"/>
                <w:szCs w:val="16"/>
                <w:lang w:val="en-US"/>
              </w:rPr>
            </w:pPr>
            <w:r w:rsidRPr="00E76669">
              <w:rPr>
                <w:rFonts w:ascii="Times" w:hAnsi="Times"/>
                <w:color w:val="000000"/>
                <w:sz w:val="16"/>
                <w:szCs w:val="16"/>
                <w:lang w:val="en-US"/>
              </w:rPr>
              <w:t>43</w:t>
            </w:r>
            <w:r w:rsidR="00E76669">
              <w:rPr>
                <w:rFonts w:ascii="Times" w:hAnsi="Times"/>
                <w:color w:val="000000"/>
                <w:sz w:val="16"/>
                <w:szCs w:val="16"/>
                <w:lang w:val="en-US"/>
              </w:rPr>
              <w:t xml:space="preserve"> </w:t>
            </w:r>
            <w:r w:rsidRPr="00E76669">
              <w:rPr>
                <w:rFonts w:ascii="Times" w:hAnsi="Times"/>
                <w:color w:val="000000"/>
                <w:sz w:val="16"/>
                <w:szCs w:val="16"/>
                <w:lang w:val="en-US"/>
              </w:rPr>
              <w:t>904</w:t>
            </w:r>
            <w:r w:rsidR="00E76669">
              <w:rPr>
                <w:rFonts w:ascii="Times" w:hAnsi="Times"/>
                <w:color w:val="000000"/>
                <w:sz w:val="16"/>
                <w:szCs w:val="16"/>
                <w:lang w:val="en-US"/>
              </w:rPr>
              <w:t xml:space="preserve"> </w:t>
            </w:r>
            <w:r w:rsidRPr="00E76669">
              <w:rPr>
                <w:rFonts w:ascii="Times" w:hAnsi="Times"/>
                <w:color w:val="000000"/>
                <w:sz w:val="16"/>
                <w:szCs w:val="16"/>
                <w:lang w:val="en-US"/>
              </w:rPr>
              <w:t>899</w:t>
            </w:r>
          </w:p>
        </w:tc>
      </w:tr>
      <w:tr w:rsidR="00456D9F" w:rsidRPr="00E76669" w14:paraId="08CFC0BE" w14:textId="77777777" w:rsidTr="00297210">
        <w:trPr>
          <w:trHeight w:val="204"/>
        </w:trPr>
        <w:tc>
          <w:tcPr>
            <w:cnfStyle w:val="001000000000" w:firstRow="0" w:lastRow="0" w:firstColumn="1" w:lastColumn="0" w:oddVBand="0" w:evenVBand="0" w:oddHBand="0" w:evenHBand="0" w:firstRowFirstColumn="0" w:firstRowLastColumn="0" w:lastRowFirstColumn="0" w:lastRowLastColumn="0"/>
            <w:tcW w:w="531" w:type="pct"/>
            <w:vMerge/>
            <w:vAlign w:val="center"/>
            <w:hideMark/>
          </w:tcPr>
          <w:p w14:paraId="16993F18" w14:textId="77777777" w:rsidR="00456D9F" w:rsidRPr="00E76669" w:rsidRDefault="00456D9F" w:rsidP="00E76669">
            <w:pPr>
              <w:jc w:val="left"/>
              <w:rPr>
                <w:rFonts w:ascii="Times" w:hAnsi="Times"/>
                <w:color w:val="000000"/>
                <w:sz w:val="16"/>
                <w:szCs w:val="16"/>
                <w:lang w:val="en-US"/>
              </w:rPr>
            </w:pPr>
          </w:p>
        </w:tc>
        <w:tc>
          <w:tcPr>
            <w:tcW w:w="1032" w:type="pct"/>
            <w:noWrap/>
            <w:vAlign w:val="center"/>
            <w:hideMark/>
          </w:tcPr>
          <w:p w14:paraId="10164993" w14:textId="77777777" w:rsidR="00456D9F" w:rsidRPr="00E76669" w:rsidRDefault="00456D9F" w:rsidP="00E76669">
            <w:pPr>
              <w:jc w:val="left"/>
              <w:cnfStyle w:val="000000000000" w:firstRow="0" w:lastRow="0" w:firstColumn="0" w:lastColumn="0" w:oddVBand="0" w:evenVBand="0" w:oddHBand="0" w:evenHBand="0" w:firstRowFirstColumn="0" w:firstRowLastColumn="0" w:lastRowFirstColumn="0" w:lastRowLastColumn="0"/>
              <w:rPr>
                <w:rFonts w:ascii="Times" w:hAnsi="Times"/>
                <w:color w:val="000000"/>
                <w:sz w:val="16"/>
                <w:szCs w:val="16"/>
                <w:lang w:val="en-US"/>
              </w:rPr>
            </w:pPr>
            <w:r w:rsidRPr="00E76669">
              <w:rPr>
                <w:rFonts w:ascii="Times" w:hAnsi="Times"/>
                <w:color w:val="000000"/>
                <w:sz w:val="16"/>
                <w:szCs w:val="16"/>
                <w:lang w:val="en-US"/>
              </w:rPr>
              <w:t>Cooperative Governance</w:t>
            </w:r>
          </w:p>
        </w:tc>
        <w:tc>
          <w:tcPr>
            <w:tcW w:w="1653" w:type="pct"/>
            <w:noWrap/>
            <w:hideMark/>
          </w:tcPr>
          <w:p w14:paraId="421140D1" w14:textId="2A156220" w:rsidR="00456D9F" w:rsidRPr="00E76669" w:rsidRDefault="00456D9F" w:rsidP="00E76669">
            <w:pPr>
              <w:jc w:val="left"/>
              <w:cnfStyle w:val="000000000000" w:firstRow="0" w:lastRow="0" w:firstColumn="0" w:lastColumn="0" w:oddVBand="0" w:evenVBand="0" w:oddHBand="0" w:evenHBand="0" w:firstRowFirstColumn="0" w:firstRowLastColumn="0" w:lastRowFirstColumn="0" w:lastRowLastColumn="0"/>
              <w:rPr>
                <w:rFonts w:ascii="Times" w:hAnsi="Times"/>
                <w:sz w:val="16"/>
                <w:szCs w:val="16"/>
                <w:lang w:val="en-US"/>
              </w:rPr>
            </w:pPr>
            <w:r w:rsidRPr="00E76669">
              <w:rPr>
                <w:rFonts w:ascii="Times" w:hAnsi="Times"/>
                <w:sz w:val="16"/>
                <w:szCs w:val="16"/>
                <w:lang w:val="en-US"/>
              </w:rPr>
              <w:t xml:space="preserve">Municipal </w:t>
            </w:r>
            <w:r w:rsidR="00FC64FC">
              <w:rPr>
                <w:rFonts w:ascii="Times" w:hAnsi="Times"/>
                <w:sz w:val="16"/>
                <w:szCs w:val="16"/>
                <w:lang w:val="en-US"/>
              </w:rPr>
              <w:t>I</w:t>
            </w:r>
            <w:r w:rsidRPr="00E76669">
              <w:rPr>
                <w:rFonts w:ascii="Times" w:hAnsi="Times"/>
                <w:sz w:val="16"/>
                <w:szCs w:val="16"/>
                <w:lang w:val="en-US"/>
              </w:rPr>
              <w:t xml:space="preserve">nfrastructure </w:t>
            </w:r>
            <w:r w:rsidR="00FC64FC">
              <w:rPr>
                <w:rFonts w:ascii="Times" w:hAnsi="Times"/>
                <w:sz w:val="16"/>
                <w:szCs w:val="16"/>
                <w:lang w:val="en-US"/>
              </w:rPr>
              <w:t>g</w:t>
            </w:r>
            <w:r w:rsidRPr="00E76669">
              <w:rPr>
                <w:rFonts w:ascii="Times" w:hAnsi="Times"/>
                <w:sz w:val="16"/>
                <w:szCs w:val="16"/>
                <w:lang w:val="en-US"/>
              </w:rPr>
              <w:t>rant</w:t>
            </w:r>
          </w:p>
        </w:tc>
        <w:tc>
          <w:tcPr>
            <w:tcW w:w="446" w:type="pct"/>
            <w:noWrap/>
            <w:hideMark/>
          </w:tcPr>
          <w:p w14:paraId="2AF05ACC" w14:textId="6BEF3C2E" w:rsidR="00456D9F" w:rsidRPr="00E76669" w:rsidRDefault="00456D9F" w:rsidP="00E76669">
            <w:pPr>
              <w:jc w:val="center"/>
              <w:cnfStyle w:val="000000000000" w:firstRow="0" w:lastRow="0" w:firstColumn="0" w:lastColumn="0" w:oddVBand="0" w:evenVBand="0" w:oddHBand="0" w:evenHBand="0" w:firstRowFirstColumn="0" w:firstRowLastColumn="0" w:lastRowFirstColumn="0" w:lastRowLastColumn="0"/>
              <w:rPr>
                <w:rFonts w:ascii="Times" w:hAnsi="Times"/>
                <w:color w:val="000000"/>
                <w:sz w:val="16"/>
                <w:szCs w:val="16"/>
                <w:lang w:val="en-US"/>
              </w:rPr>
            </w:pPr>
            <w:r w:rsidRPr="00E76669">
              <w:rPr>
                <w:rFonts w:ascii="Times" w:hAnsi="Times"/>
                <w:color w:val="000000"/>
                <w:sz w:val="16"/>
                <w:szCs w:val="16"/>
                <w:lang w:val="en-US"/>
              </w:rPr>
              <w:t>14</w:t>
            </w:r>
            <w:r w:rsidR="00E76669">
              <w:rPr>
                <w:rFonts w:ascii="Times" w:hAnsi="Times"/>
                <w:color w:val="000000"/>
                <w:sz w:val="16"/>
                <w:szCs w:val="16"/>
                <w:lang w:val="en-US"/>
              </w:rPr>
              <w:t xml:space="preserve"> </w:t>
            </w:r>
            <w:r w:rsidRPr="00E76669">
              <w:rPr>
                <w:rFonts w:ascii="Times" w:hAnsi="Times"/>
                <w:color w:val="000000"/>
                <w:sz w:val="16"/>
                <w:szCs w:val="16"/>
                <w:lang w:val="en-US"/>
              </w:rPr>
              <w:t>671</w:t>
            </w:r>
            <w:r w:rsidR="00E76669">
              <w:rPr>
                <w:rFonts w:ascii="Times" w:hAnsi="Times"/>
                <w:color w:val="000000"/>
                <w:sz w:val="16"/>
                <w:szCs w:val="16"/>
                <w:lang w:val="en-US"/>
              </w:rPr>
              <w:t xml:space="preserve"> </w:t>
            </w:r>
            <w:r w:rsidRPr="00E76669">
              <w:rPr>
                <w:rFonts w:ascii="Times" w:hAnsi="Times"/>
                <w:color w:val="000000"/>
                <w:sz w:val="16"/>
                <w:szCs w:val="16"/>
                <w:lang w:val="en-US"/>
              </w:rPr>
              <w:t>101</w:t>
            </w:r>
          </w:p>
        </w:tc>
        <w:tc>
          <w:tcPr>
            <w:tcW w:w="446" w:type="pct"/>
            <w:noWrap/>
            <w:hideMark/>
          </w:tcPr>
          <w:p w14:paraId="61D7FD34" w14:textId="2E6ED316" w:rsidR="00456D9F" w:rsidRPr="00E76669" w:rsidRDefault="00456D9F" w:rsidP="00E76669">
            <w:pPr>
              <w:jc w:val="center"/>
              <w:cnfStyle w:val="000000000000" w:firstRow="0" w:lastRow="0" w:firstColumn="0" w:lastColumn="0" w:oddVBand="0" w:evenVBand="0" w:oddHBand="0" w:evenHBand="0" w:firstRowFirstColumn="0" w:firstRowLastColumn="0" w:lastRowFirstColumn="0" w:lastRowLastColumn="0"/>
              <w:rPr>
                <w:rFonts w:ascii="Times" w:hAnsi="Times"/>
                <w:color w:val="000000"/>
                <w:sz w:val="16"/>
                <w:szCs w:val="16"/>
                <w:lang w:val="en-US"/>
              </w:rPr>
            </w:pPr>
            <w:r w:rsidRPr="00E76669">
              <w:rPr>
                <w:rFonts w:ascii="Times" w:hAnsi="Times"/>
                <w:color w:val="000000"/>
                <w:sz w:val="16"/>
                <w:szCs w:val="16"/>
                <w:lang w:val="en-US"/>
              </w:rPr>
              <w:t>15</w:t>
            </w:r>
            <w:r w:rsidR="00E76669">
              <w:rPr>
                <w:rFonts w:ascii="Times" w:hAnsi="Times"/>
                <w:color w:val="000000"/>
                <w:sz w:val="16"/>
                <w:szCs w:val="16"/>
                <w:lang w:val="en-US"/>
              </w:rPr>
              <w:t xml:space="preserve"> </w:t>
            </w:r>
            <w:r w:rsidRPr="00E76669">
              <w:rPr>
                <w:rFonts w:ascii="Times" w:hAnsi="Times"/>
                <w:color w:val="000000"/>
                <w:sz w:val="16"/>
                <w:szCs w:val="16"/>
                <w:lang w:val="en-US"/>
              </w:rPr>
              <w:t>936</w:t>
            </w:r>
            <w:r w:rsidR="00E76669">
              <w:rPr>
                <w:rFonts w:ascii="Times" w:hAnsi="Times"/>
                <w:color w:val="000000"/>
                <w:sz w:val="16"/>
                <w:szCs w:val="16"/>
                <w:lang w:val="en-US"/>
              </w:rPr>
              <w:t xml:space="preserve"> </w:t>
            </w:r>
            <w:r w:rsidRPr="00E76669">
              <w:rPr>
                <w:rFonts w:ascii="Times" w:hAnsi="Times"/>
                <w:color w:val="000000"/>
                <w:sz w:val="16"/>
                <w:szCs w:val="16"/>
                <w:lang w:val="en-US"/>
              </w:rPr>
              <w:t>791</w:t>
            </w:r>
          </w:p>
        </w:tc>
        <w:tc>
          <w:tcPr>
            <w:tcW w:w="446" w:type="pct"/>
            <w:noWrap/>
            <w:hideMark/>
          </w:tcPr>
          <w:p w14:paraId="36199D77" w14:textId="09B57C51" w:rsidR="00456D9F" w:rsidRPr="00E76669" w:rsidRDefault="00456D9F" w:rsidP="00E76669">
            <w:pPr>
              <w:jc w:val="center"/>
              <w:cnfStyle w:val="000000000000" w:firstRow="0" w:lastRow="0" w:firstColumn="0" w:lastColumn="0" w:oddVBand="0" w:evenVBand="0" w:oddHBand="0" w:evenHBand="0" w:firstRowFirstColumn="0" w:firstRowLastColumn="0" w:lastRowFirstColumn="0" w:lastRowLastColumn="0"/>
              <w:rPr>
                <w:rFonts w:ascii="Times" w:hAnsi="Times"/>
                <w:color w:val="000000"/>
                <w:sz w:val="16"/>
                <w:szCs w:val="16"/>
                <w:lang w:val="en-US"/>
              </w:rPr>
            </w:pPr>
            <w:r w:rsidRPr="00E76669">
              <w:rPr>
                <w:rFonts w:ascii="Times" w:hAnsi="Times"/>
                <w:color w:val="000000"/>
                <w:sz w:val="16"/>
                <w:szCs w:val="16"/>
                <w:lang w:val="en-US"/>
              </w:rPr>
              <w:t>16</w:t>
            </w:r>
            <w:r w:rsidR="00E76669">
              <w:rPr>
                <w:rFonts w:ascii="Times" w:hAnsi="Times"/>
                <w:color w:val="000000"/>
                <w:sz w:val="16"/>
                <w:szCs w:val="16"/>
                <w:lang w:val="en-US"/>
              </w:rPr>
              <w:t xml:space="preserve"> </w:t>
            </w:r>
            <w:r w:rsidRPr="00E76669">
              <w:rPr>
                <w:rFonts w:ascii="Times" w:hAnsi="Times"/>
                <w:color w:val="000000"/>
                <w:sz w:val="16"/>
                <w:szCs w:val="16"/>
                <w:lang w:val="en-US"/>
              </w:rPr>
              <w:t>852</w:t>
            </w:r>
            <w:r w:rsidR="00E76669">
              <w:rPr>
                <w:rFonts w:ascii="Times" w:hAnsi="Times"/>
                <w:color w:val="000000"/>
                <w:sz w:val="16"/>
                <w:szCs w:val="16"/>
                <w:lang w:val="en-US"/>
              </w:rPr>
              <w:t xml:space="preserve"> </w:t>
            </w:r>
            <w:r w:rsidRPr="00E76669">
              <w:rPr>
                <w:rFonts w:ascii="Times" w:hAnsi="Times"/>
                <w:color w:val="000000"/>
                <w:sz w:val="16"/>
                <w:szCs w:val="16"/>
                <w:lang w:val="en-US"/>
              </w:rPr>
              <w:t>001</w:t>
            </w:r>
          </w:p>
        </w:tc>
        <w:tc>
          <w:tcPr>
            <w:tcW w:w="446" w:type="pct"/>
            <w:noWrap/>
            <w:hideMark/>
          </w:tcPr>
          <w:p w14:paraId="0FBAB573" w14:textId="36864AA1" w:rsidR="00456D9F" w:rsidRPr="00E76669" w:rsidRDefault="00456D9F" w:rsidP="00E76669">
            <w:pPr>
              <w:jc w:val="center"/>
              <w:cnfStyle w:val="000000000000" w:firstRow="0" w:lastRow="0" w:firstColumn="0" w:lastColumn="0" w:oddVBand="0" w:evenVBand="0" w:oddHBand="0" w:evenHBand="0" w:firstRowFirstColumn="0" w:firstRowLastColumn="0" w:lastRowFirstColumn="0" w:lastRowLastColumn="0"/>
              <w:rPr>
                <w:rFonts w:ascii="Times" w:hAnsi="Times"/>
                <w:color w:val="000000"/>
                <w:sz w:val="16"/>
                <w:szCs w:val="16"/>
                <w:lang w:val="en-US"/>
              </w:rPr>
            </w:pPr>
            <w:r w:rsidRPr="00E76669">
              <w:rPr>
                <w:rFonts w:ascii="Times" w:hAnsi="Times"/>
                <w:color w:val="000000"/>
                <w:sz w:val="16"/>
                <w:szCs w:val="16"/>
                <w:lang w:val="en-US"/>
              </w:rPr>
              <w:t>47</w:t>
            </w:r>
            <w:r w:rsidR="00E76669">
              <w:rPr>
                <w:rFonts w:ascii="Times" w:hAnsi="Times"/>
                <w:color w:val="000000"/>
                <w:sz w:val="16"/>
                <w:szCs w:val="16"/>
                <w:lang w:val="en-US"/>
              </w:rPr>
              <w:t xml:space="preserve"> </w:t>
            </w:r>
            <w:r w:rsidRPr="00E76669">
              <w:rPr>
                <w:rFonts w:ascii="Times" w:hAnsi="Times"/>
                <w:color w:val="000000"/>
                <w:sz w:val="16"/>
                <w:szCs w:val="16"/>
                <w:lang w:val="en-US"/>
              </w:rPr>
              <w:t>459</w:t>
            </w:r>
            <w:r w:rsidR="00E76669">
              <w:rPr>
                <w:rFonts w:ascii="Times" w:hAnsi="Times"/>
                <w:color w:val="000000"/>
                <w:sz w:val="16"/>
                <w:szCs w:val="16"/>
                <w:lang w:val="en-US"/>
              </w:rPr>
              <w:t xml:space="preserve"> </w:t>
            </w:r>
            <w:r w:rsidRPr="00E76669">
              <w:rPr>
                <w:rFonts w:ascii="Times" w:hAnsi="Times"/>
                <w:color w:val="000000"/>
                <w:sz w:val="16"/>
                <w:szCs w:val="16"/>
                <w:lang w:val="en-US"/>
              </w:rPr>
              <w:t>893</w:t>
            </w:r>
          </w:p>
        </w:tc>
      </w:tr>
      <w:tr w:rsidR="00456D9F" w:rsidRPr="00E76669" w14:paraId="4E1A411A" w14:textId="77777777" w:rsidTr="00297210">
        <w:trPr>
          <w:trHeight w:val="204"/>
        </w:trPr>
        <w:tc>
          <w:tcPr>
            <w:cnfStyle w:val="001000000000" w:firstRow="0" w:lastRow="0" w:firstColumn="1" w:lastColumn="0" w:oddVBand="0" w:evenVBand="0" w:oddHBand="0" w:evenHBand="0" w:firstRowFirstColumn="0" w:firstRowLastColumn="0" w:lastRowFirstColumn="0" w:lastRowLastColumn="0"/>
            <w:tcW w:w="531" w:type="pct"/>
            <w:vMerge/>
            <w:vAlign w:val="center"/>
            <w:hideMark/>
          </w:tcPr>
          <w:p w14:paraId="2521E2D6" w14:textId="77777777" w:rsidR="00456D9F" w:rsidRPr="00E76669" w:rsidRDefault="00456D9F" w:rsidP="00E76669">
            <w:pPr>
              <w:jc w:val="left"/>
              <w:rPr>
                <w:rFonts w:ascii="Times" w:hAnsi="Times"/>
                <w:color w:val="000000"/>
                <w:sz w:val="16"/>
                <w:szCs w:val="16"/>
                <w:lang w:val="en-US"/>
              </w:rPr>
            </w:pPr>
          </w:p>
        </w:tc>
        <w:tc>
          <w:tcPr>
            <w:tcW w:w="1032" w:type="pct"/>
            <w:vMerge w:val="restart"/>
            <w:vAlign w:val="center"/>
            <w:hideMark/>
          </w:tcPr>
          <w:p w14:paraId="2007ECDB" w14:textId="77777777" w:rsidR="00456D9F" w:rsidRPr="00E76669" w:rsidRDefault="00456D9F" w:rsidP="00E76669">
            <w:pPr>
              <w:jc w:val="left"/>
              <w:cnfStyle w:val="000000000000" w:firstRow="0" w:lastRow="0" w:firstColumn="0" w:lastColumn="0" w:oddVBand="0" w:evenVBand="0" w:oddHBand="0" w:evenHBand="0" w:firstRowFirstColumn="0" w:firstRowLastColumn="0" w:lastRowFirstColumn="0" w:lastRowLastColumn="0"/>
              <w:rPr>
                <w:rFonts w:ascii="Times" w:hAnsi="Times"/>
                <w:color w:val="000000"/>
                <w:sz w:val="16"/>
                <w:szCs w:val="16"/>
                <w:lang w:val="en-US"/>
              </w:rPr>
            </w:pPr>
            <w:r w:rsidRPr="00E76669">
              <w:rPr>
                <w:rFonts w:ascii="Times" w:hAnsi="Times"/>
                <w:color w:val="000000"/>
                <w:sz w:val="16"/>
                <w:szCs w:val="16"/>
                <w:lang w:val="en-US"/>
              </w:rPr>
              <w:t>Water and Sanitation</w:t>
            </w:r>
          </w:p>
        </w:tc>
        <w:tc>
          <w:tcPr>
            <w:tcW w:w="1653" w:type="pct"/>
            <w:noWrap/>
            <w:hideMark/>
          </w:tcPr>
          <w:p w14:paraId="6B16617A" w14:textId="7B8A0F57" w:rsidR="00456D9F" w:rsidRPr="00E76669" w:rsidRDefault="00456D9F" w:rsidP="00E76669">
            <w:pPr>
              <w:cnfStyle w:val="000000000000" w:firstRow="0" w:lastRow="0" w:firstColumn="0" w:lastColumn="0" w:oddVBand="0" w:evenVBand="0" w:oddHBand="0" w:evenHBand="0" w:firstRowFirstColumn="0" w:firstRowLastColumn="0" w:lastRowFirstColumn="0" w:lastRowLastColumn="0"/>
              <w:rPr>
                <w:rFonts w:ascii="Times" w:hAnsi="Times"/>
                <w:color w:val="000000"/>
                <w:sz w:val="16"/>
                <w:szCs w:val="16"/>
                <w:lang w:val="en-US"/>
              </w:rPr>
            </w:pPr>
            <w:r w:rsidRPr="00E76669">
              <w:rPr>
                <w:rFonts w:ascii="Times" w:hAnsi="Times"/>
                <w:color w:val="000000"/>
                <w:sz w:val="16"/>
                <w:szCs w:val="16"/>
                <w:lang w:val="en-US"/>
              </w:rPr>
              <w:t xml:space="preserve">Regional </w:t>
            </w:r>
            <w:r w:rsidR="00FC64FC">
              <w:rPr>
                <w:rFonts w:ascii="Times" w:hAnsi="Times"/>
                <w:color w:val="000000"/>
                <w:sz w:val="16"/>
                <w:szCs w:val="16"/>
                <w:lang w:val="en-US"/>
              </w:rPr>
              <w:t>B</w:t>
            </w:r>
            <w:r w:rsidRPr="00E76669">
              <w:rPr>
                <w:rFonts w:ascii="Times" w:hAnsi="Times"/>
                <w:color w:val="000000"/>
                <w:sz w:val="16"/>
                <w:szCs w:val="16"/>
                <w:lang w:val="en-US"/>
              </w:rPr>
              <w:t xml:space="preserve">ulk </w:t>
            </w:r>
            <w:r w:rsidR="00FC64FC">
              <w:rPr>
                <w:rFonts w:ascii="Times" w:hAnsi="Times"/>
                <w:color w:val="000000"/>
                <w:sz w:val="16"/>
                <w:szCs w:val="16"/>
                <w:lang w:val="en-US"/>
              </w:rPr>
              <w:t>I</w:t>
            </w:r>
            <w:r w:rsidRPr="00E76669">
              <w:rPr>
                <w:rFonts w:ascii="Times" w:hAnsi="Times"/>
                <w:color w:val="000000"/>
                <w:sz w:val="16"/>
                <w:szCs w:val="16"/>
                <w:lang w:val="en-US"/>
              </w:rPr>
              <w:t xml:space="preserve">nfrastructure </w:t>
            </w:r>
            <w:r w:rsidR="00FC64FC">
              <w:rPr>
                <w:rFonts w:ascii="Times" w:hAnsi="Times"/>
                <w:color w:val="000000"/>
                <w:sz w:val="16"/>
                <w:szCs w:val="16"/>
                <w:lang w:val="en-US"/>
              </w:rPr>
              <w:t>G</w:t>
            </w:r>
            <w:r w:rsidRPr="00E76669">
              <w:rPr>
                <w:rFonts w:ascii="Times" w:hAnsi="Times"/>
                <w:color w:val="000000"/>
                <w:sz w:val="16"/>
                <w:szCs w:val="16"/>
                <w:lang w:val="en-US"/>
              </w:rPr>
              <w:t>rant</w:t>
            </w:r>
          </w:p>
        </w:tc>
        <w:tc>
          <w:tcPr>
            <w:tcW w:w="446" w:type="pct"/>
            <w:noWrap/>
            <w:hideMark/>
          </w:tcPr>
          <w:p w14:paraId="54A66FF1" w14:textId="58207220" w:rsidR="00456D9F" w:rsidRPr="00E76669" w:rsidRDefault="00456D9F" w:rsidP="00E76669">
            <w:pPr>
              <w:jc w:val="center"/>
              <w:cnfStyle w:val="000000000000" w:firstRow="0" w:lastRow="0" w:firstColumn="0" w:lastColumn="0" w:oddVBand="0" w:evenVBand="0" w:oddHBand="0" w:evenHBand="0" w:firstRowFirstColumn="0" w:firstRowLastColumn="0" w:lastRowFirstColumn="0" w:lastRowLastColumn="0"/>
              <w:rPr>
                <w:rFonts w:ascii="Times" w:hAnsi="Times"/>
                <w:color w:val="000000"/>
                <w:sz w:val="16"/>
                <w:szCs w:val="16"/>
                <w:lang w:val="en-US"/>
              </w:rPr>
            </w:pPr>
            <w:r w:rsidRPr="00E76669">
              <w:rPr>
                <w:rFonts w:ascii="Times" w:hAnsi="Times"/>
                <w:color w:val="000000"/>
                <w:sz w:val="16"/>
                <w:szCs w:val="16"/>
                <w:lang w:val="en-US"/>
              </w:rPr>
              <w:t>2</w:t>
            </w:r>
            <w:r w:rsidR="00E76669">
              <w:rPr>
                <w:rFonts w:ascii="Times" w:hAnsi="Times"/>
                <w:color w:val="000000"/>
                <w:sz w:val="16"/>
                <w:szCs w:val="16"/>
                <w:lang w:val="en-US"/>
              </w:rPr>
              <w:t xml:space="preserve"> </w:t>
            </w:r>
            <w:r w:rsidRPr="00E76669">
              <w:rPr>
                <w:rFonts w:ascii="Times" w:hAnsi="Times"/>
                <w:color w:val="000000"/>
                <w:sz w:val="16"/>
                <w:szCs w:val="16"/>
                <w:lang w:val="en-US"/>
              </w:rPr>
              <w:t>005</w:t>
            </w:r>
            <w:r w:rsidR="00E76669">
              <w:rPr>
                <w:rFonts w:ascii="Times" w:hAnsi="Times"/>
                <w:color w:val="000000"/>
                <w:sz w:val="16"/>
                <w:szCs w:val="16"/>
                <w:lang w:val="en-US"/>
              </w:rPr>
              <w:t xml:space="preserve"> </w:t>
            </w:r>
            <w:r w:rsidRPr="00E76669">
              <w:rPr>
                <w:rFonts w:ascii="Times" w:hAnsi="Times"/>
                <w:color w:val="000000"/>
                <w:sz w:val="16"/>
                <w:szCs w:val="16"/>
                <w:lang w:val="en-US"/>
              </w:rPr>
              <w:t>605</w:t>
            </w:r>
          </w:p>
        </w:tc>
        <w:tc>
          <w:tcPr>
            <w:tcW w:w="446" w:type="pct"/>
            <w:noWrap/>
            <w:hideMark/>
          </w:tcPr>
          <w:p w14:paraId="10215CAD" w14:textId="01222B11" w:rsidR="00456D9F" w:rsidRPr="00E76669" w:rsidRDefault="00456D9F" w:rsidP="00E76669">
            <w:pPr>
              <w:jc w:val="center"/>
              <w:cnfStyle w:val="000000000000" w:firstRow="0" w:lastRow="0" w:firstColumn="0" w:lastColumn="0" w:oddVBand="0" w:evenVBand="0" w:oddHBand="0" w:evenHBand="0" w:firstRowFirstColumn="0" w:firstRowLastColumn="0" w:lastRowFirstColumn="0" w:lastRowLastColumn="0"/>
              <w:rPr>
                <w:rFonts w:ascii="Times" w:hAnsi="Times"/>
                <w:color w:val="000000"/>
                <w:sz w:val="16"/>
                <w:szCs w:val="16"/>
                <w:lang w:val="en-US"/>
              </w:rPr>
            </w:pPr>
            <w:r w:rsidRPr="00E76669">
              <w:rPr>
                <w:rFonts w:ascii="Times" w:hAnsi="Times"/>
                <w:color w:val="000000"/>
                <w:sz w:val="16"/>
                <w:szCs w:val="16"/>
                <w:lang w:val="en-US"/>
              </w:rPr>
              <w:t>2</w:t>
            </w:r>
            <w:r w:rsidR="00E76669">
              <w:rPr>
                <w:rFonts w:ascii="Times" w:hAnsi="Times"/>
                <w:color w:val="000000"/>
                <w:sz w:val="16"/>
                <w:szCs w:val="16"/>
                <w:lang w:val="en-US"/>
              </w:rPr>
              <w:t xml:space="preserve"> </w:t>
            </w:r>
            <w:r w:rsidRPr="00E76669">
              <w:rPr>
                <w:rFonts w:ascii="Times" w:hAnsi="Times"/>
                <w:color w:val="000000"/>
                <w:sz w:val="16"/>
                <w:szCs w:val="16"/>
                <w:lang w:val="en-US"/>
              </w:rPr>
              <w:t>156</w:t>
            </w:r>
            <w:r w:rsidR="00E76669">
              <w:rPr>
                <w:rFonts w:ascii="Times" w:hAnsi="Times"/>
                <w:color w:val="000000"/>
                <w:sz w:val="16"/>
                <w:szCs w:val="16"/>
                <w:lang w:val="en-US"/>
              </w:rPr>
              <w:t xml:space="preserve"> </w:t>
            </w:r>
            <w:r w:rsidRPr="00E76669">
              <w:rPr>
                <w:rFonts w:ascii="Times" w:hAnsi="Times"/>
                <w:color w:val="000000"/>
                <w:sz w:val="16"/>
                <w:szCs w:val="16"/>
                <w:lang w:val="en-US"/>
              </w:rPr>
              <w:t>025</w:t>
            </w:r>
          </w:p>
        </w:tc>
        <w:tc>
          <w:tcPr>
            <w:tcW w:w="446" w:type="pct"/>
            <w:noWrap/>
            <w:hideMark/>
          </w:tcPr>
          <w:p w14:paraId="6AED1071" w14:textId="6EEBCDE9" w:rsidR="00456D9F" w:rsidRPr="00E76669" w:rsidRDefault="00456D9F" w:rsidP="00E76669">
            <w:pPr>
              <w:jc w:val="center"/>
              <w:cnfStyle w:val="000000000000" w:firstRow="0" w:lastRow="0" w:firstColumn="0" w:lastColumn="0" w:oddVBand="0" w:evenVBand="0" w:oddHBand="0" w:evenHBand="0" w:firstRowFirstColumn="0" w:firstRowLastColumn="0" w:lastRowFirstColumn="0" w:lastRowLastColumn="0"/>
              <w:rPr>
                <w:rFonts w:ascii="Times" w:hAnsi="Times"/>
                <w:color w:val="000000"/>
                <w:sz w:val="16"/>
                <w:szCs w:val="16"/>
                <w:lang w:val="en-US"/>
              </w:rPr>
            </w:pPr>
            <w:r w:rsidRPr="00E76669">
              <w:rPr>
                <w:rFonts w:ascii="Times" w:hAnsi="Times"/>
                <w:color w:val="000000"/>
                <w:sz w:val="16"/>
                <w:szCs w:val="16"/>
                <w:lang w:val="en-US"/>
              </w:rPr>
              <w:t>2</w:t>
            </w:r>
            <w:r w:rsidR="00E76669">
              <w:rPr>
                <w:rFonts w:ascii="Times" w:hAnsi="Times"/>
                <w:color w:val="000000"/>
                <w:sz w:val="16"/>
                <w:szCs w:val="16"/>
                <w:lang w:val="en-US"/>
              </w:rPr>
              <w:t xml:space="preserve"> </w:t>
            </w:r>
            <w:r w:rsidRPr="00E76669">
              <w:rPr>
                <w:rFonts w:ascii="Times" w:hAnsi="Times"/>
                <w:color w:val="000000"/>
                <w:sz w:val="16"/>
                <w:szCs w:val="16"/>
                <w:lang w:val="en-US"/>
              </w:rPr>
              <w:t>280</w:t>
            </w:r>
            <w:r w:rsidR="00E76669">
              <w:rPr>
                <w:rFonts w:ascii="Times" w:hAnsi="Times"/>
                <w:color w:val="000000"/>
                <w:sz w:val="16"/>
                <w:szCs w:val="16"/>
                <w:lang w:val="en-US"/>
              </w:rPr>
              <w:t xml:space="preserve"> </w:t>
            </w:r>
            <w:r w:rsidRPr="00E76669">
              <w:rPr>
                <w:rFonts w:ascii="Times" w:hAnsi="Times"/>
                <w:color w:val="000000"/>
                <w:sz w:val="16"/>
                <w:szCs w:val="16"/>
                <w:lang w:val="en-US"/>
              </w:rPr>
              <w:t>772</w:t>
            </w:r>
          </w:p>
        </w:tc>
        <w:tc>
          <w:tcPr>
            <w:tcW w:w="446" w:type="pct"/>
            <w:noWrap/>
            <w:hideMark/>
          </w:tcPr>
          <w:p w14:paraId="239CB6B7" w14:textId="3B7A23F9" w:rsidR="00456D9F" w:rsidRPr="00E76669" w:rsidRDefault="00456D9F" w:rsidP="00E76669">
            <w:pPr>
              <w:jc w:val="center"/>
              <w:cnfStyle w:val="000000000000" w:firstRow="0" w:lastRow="0" w:firstColumn="0" w:lastColumn="0" w:oddVBand="0" w:evenVBand="0" w:oddHBand="0" w:evenHBand="0" w:firstRowFirstColumn="0" w:firstRowLastColumn="0" w:lastRowFirstColumn="0" w:lastRowLastColumn="0"/>
              <w:rPr>
                <w:rFonts w:ascii="Times" w:hAnsi="Times"/>
                <w:color w:val="000000"/>
                <w:sz w:val="16"/>
                <w:szCs w:val="16"/>
                <w:lang w:val="en-US"/>
              </w:rPr>
            </w:pPr>
            <w:r w:rsidRPr="00E76669">
              <w:rPr>
                <w:rFonts w:ascii="Times" w:hAnsi="Times"/>
                <w:color w:val="000000"/>
                <w:sz w:val="16"/>
                <w:szCs w:val="16"/>
                <w:lang w:val="en-US"/>
              </w:rPr>
              <w:t>6</w:t>
            </w:r>
            <w:r w:rsidR="00E76669">
              <w:rPr>
                <w:rFonts w:ascii="Times" w:hAnsi="Times"/>
                <w:color w:val="000000"/>
                <w:sz w:val="16"/>
                <w:szCs w:val="16"/>
                <w:lang w:val="en-US"/>
              </w:rPr>
              <w:t xml:space="preserve"> </w:t>
            </w:r>
            <w:r w:rsidRPr="00E76669">
              <w:rPr>
                <w:rFonts w:ascii="Times" w:hAnsi="Times"/>
                <w:color w:val="000000"/>
                <w:sz w:val="16"/>
                <w:szCs w:val="16"/>
                <w:lang w:val="en-US"/>
              </w:rPr>
              <w:t>442</w:t>
            </w:r>
            <w:r w:rsidR="00E76669">
              <w:rPr>
                <w:rFonts w:ascii="Times" w:hAnsi="Times"/>
                <w:color w:val="000000"/>
                <w:sz w:val="16"/>
                <w:szCs w:val="16"/>
                <w:lang w:val="en-US"/>
              </w:rPr>
              <w:t xml:space="preserve"> </w:t>
            </w:r>
            <w:r w:rsidRPr="00E76669">
              <w:rPr>
                <w:rFonts w:ascii="Times" w:hAnsi="Times"/>
                <w:color w:val="000000"/>
                <w:sz w:val="16"/>
                <w:szCs w:val="16"/>
                <w:lang w:val="en-US"/>
              </w:rPr>
              <w:t>402</w:t>
            </w:r>
          </w:p>
        </w:tc>
      </w:tr>
      <w:tr w:rsidR="00456D9F" w:rsidRPr="00E76669" w14:paraId="68897737" w14:textId="77777777" w:rsidTr="00297210">
        <w:trPr>
          <w:trHeight w:val="204"/>
        </w:trPr>
        <w:tc>
          <w:tcPr>
            <w:cnfStyle w:val="001000000000" w:firstRow="0" w:lastRow="0" w:firstColumn="1" w:lastColumn="0" w:oddVBand="0" w:evenVBand="0" w:oddHBand="0" w:evenHBand="0" w:firstRowFirstColumn="0" w:firstRowLastColumn="0" w:lastRowFirstColumn="0" w:lastRowLastColumn="0"/>
            <w:tcW w:w="531" w:type="pct"/>
            <w:vMerge/>
            <w:vAlign w:val="center"/>
            <w:hideMark/>
          </w:tcPr>
          <w:p w14:paraId="60406C3E" w14:textId="77777777" w:rsidR="00456D9F" w:rsidRPr="00E76669" w:rsidRDefault="00456D9F" w:rsidP="00E76669">
            <w:pPr>
              <w:jc w:val="left"/>
              <w:rPr>
                <w:rFonts w:ascii="Times" w:hAnsi="Times"/>
                <w:color w:val="000000"/>
                <w:sz w:val="16"/>
                <w:szCs w:val="16"/>
                <w:lang w:val="en-US"/>
              </w:rPr>
            </w:pPr>
          </w:p>
        </w:tc>
        <w:tc>
          <w:tcPr>
            <w:tcW w:w="1032" w:type="pct"/>
            <w:vMerge/>
            <w:vAlign w:val="center"/>
            <w:hideMark/>
          </w:tcPr>
          <w:p w14:paraId="228572A6" w14:textId="77777777" w:rsidR="00456D9F" w:rsidRPr="00E76669" w:rsidRDefault="00456D9F" w:rsidP="00E76669">
            <w:pPr>
              <w:jc w:val="left"/>
              <w:cnfStyle w:val="000000000000" w:firstRow="0" w:lastRow="0" w:firstColumn="0" w:lastColumn="0" w:oddVBand="0" w:evenVBand="0" w:oddHBand="0" w:evenHBand="0" w:firstRowFirstColumn="0" w:firstRowLastColumn="0" w:lastRowFirstColumn="0" w:lastRowLastColumn="0"/>
              <w:rPr>
                <w:rFonts w:ascii="Times" w:hAnsi="Times"/>
                <w:color w:val="000000"/>
                <w:sz w:val="16"/>
                <w:szCs w:val="16"/>
                <w:lang w:val="en-US"/>
              </w:rPr>
            </w:pPr>
          </w:p>
        </w:tc>
        <w:tc>
          <w:tcPr>
            <w:tcW w:w="1653" w:type="pct"/>
            <w:noWrap/>
            <w:hideMark/>
          </w:tcPr>
          <w:p w14:paraId="748C01E6" w14:textId="7D6D2493" w:rsidR="00456D9F" w:rsidRPr="00E76669" w:rsidRDefault="00456D9F" w:rsidP="00E76669">
            <w:pPr>
              <w:cnfStyle w:val="000000000000" w:firstRow="0" w:lastRow="0" w:firstColumn="0" w:lastColumn="0" w:oddVBand="0" w:evenVBand="0" w:oddHBand="0" w:evenHBand="0" w:firstRowFirstColumn="0" w:firstRowLastColumn="0" w:lastRowFirstColumn="0" w:lastRowLastColumn="0"/>
              <w:rPr>
                <w:rFonts w:ascii="Times" w:hAnsi="Times"/>
                <w:color w:val="000000"/>
                <w:sz w:val="16"/>
                <w:szCs w:val="16"/>
                <w:lang w:val="en-US"/>
              </w:rPr>
            </w:pPr>
            <w:r w:rsidRPr="00E76669">
              <w:rPr>
                <w:rFonts w:ascii="Times" w:hAnsi="Times"/>
                <w:color w:val="000000"/>
                <w:sz w:val="16"/>
                <w:szCs w:val="16"/>
                <w:lang w:val="en-US"/>
              </w:rPr>
              <w:t xml:space="preserve">Water </w:t>
            </w:r>
            <w:r w:rsidR="00FC64FC">
              <w:rPr>
                <w:rFonts w:ascii="Times" w:hAnsi="Times"/>
                <w:color w:val="000000"/>
                <w:sz w:val="16"/>
                <w:szCs w:val="16"/>
                <w:lang w:val="en-US"/>
              </w:rPr>
              <w:t>S</w:t>
            </w:r>
            <w:r w:rsidRPr="00E76669">
              <w:rPr>
                <w:rFonts w:ascii="Times" w:hAnsi="Times"/>
                <w:color w:val="000000"/>
                <w:sz w:val="16"/>
                <w:szCs w:val="16"/>
                <w:lang w:val="en-US"/>
              </w:rPr>
              <w:t xml:space="preserve">ervices </w:t>
            </w:r>
            <w:r w:rsidR="00FC64FC">
              <w:rPr>
                <w:rFonts w:ascii="Times" w:hAnsi="Times"/>
                <w:color w:val="000000"/>
                <w:sz w:val="16"/>
                <w:szCs w:val="16"/>
                <w:lang w:val="en-US"/>
              </w:rPr>
              <w:t>I</w:t>
            </w:r>
            <w:r w:rsidRPr="00E76669">
              <w:rPr>
                <w:rFonts w:ascii="Times" w:hAnsi="Times"/>
                <w:color w:val="000000"/>
                <w:sz w:val="16"/>
                <w:szCs w:val="16"/>
                <w:lang w:val="en-US"/>
              </w:rPr>
              <w:t xml:space="preserve">nfrastructure </w:t>
            </w:r>
            <w:r w:rsidR="00FC64FC">
              <w:rPr>
                <w:rFonts w:ascii="Times" w:hAnsi="Times"/>
                <w:color w:val="000000"/>
                <w:sz w:val="16"/>
                <w:szCs w:val="16"/>
                <w:lang w:val="en-US"/>
              </w:rPr>
              <w:t>G</w:t>
            </w:r>
            <w:r w:rsidRPr="00E76669">
              <w:rPr>
                <w:rFonts w:ascii="Times" w:hAnsi="Times"/>
                <w:color w:val="000000"/>
                <w:sz w:val="16"/>
                <w:szCs w:val="16"/>
                <w:lang w:val="en-US"/>
              </w:rPr>
              <w:t>rant</w:t>
            </w:r>
          </w:p>
        </w:tc>
        <w:tc>
          <w:tcPr>
            <w:tcW w:w="446" w:type="pct"/>
            <w:noWrap/>
            <w:hideMark/>
          </w:tcPr>
          <w:p w14:paraId="3A31CC37" w14:textId="342AE448" w:rsidR="00456D9F" w:rsidRPr="00E76669" w:rsidRDefault="00456D9F" w:rsidP="00E76669">
            <w:pPr>
              <w:jc w:val="center"/>
              <w:cnfStyle w:val="000000000000" w:firstRow="0" w:lastRow="0" w:firstColumn="0" w:lastColumn="0" w:oddVBand="0" w:evenVBand="0" w:oddHBand="0" w:evenHBand="0" w:firstRowFirstColumn="0" w:firstRowLastColumn="0" w:lastRowFirstColumn="0" w:lastRowLastColumn="0"/>
              <w:rPr>
                <w:rFonts w:ascii="Times" w:hAnsi="Times"/>
                <w:color w:val="000000"/>
                <w:sz w:val="16"/>
                <w:szCs w:val="16"/>
                <w:lang w:val="en-US"/>
              </w:rPr>
            </w:pPr>
            <w:r w:rsidRPr="00E76669">
              <w:rPr>
                <w:rFonts w:ascii="Times" w:hAnsi="Times"/>
                <w:color w:val="000000"/>
                <w:sz w:val="16"/>
                <w:szCs w:val="16"/>
                <w:lang w:val="en-US"/>
              </w:rPr>
              <w:t>3</w:t>
            </w:r>
            <w:r w:rsidR="00E76669">
              <w:rPr>
                <w:rFonts w:ascii="Times" w:hAnsi="Times"/>
                <w:color w:val="000000"/>
                <w:sz w:val="16"/>
                <w:szCs w:val="16"/>
                <w:lang w:val="en-US"/>
              </w:rPr>
              <w:t xml:space="preserve"> </w:t>
            </w:r>
            <w:r w:rsidRPr="00E76669">
              <w:rPr>
                <w:rFonts w:ascii="Times" w:hAnsi="Times"/>
                <w:color w:val="000000"/>
                <w:sz w:val="16"/>
                <w:szCs w:val="16"/>
                <w:lang w:val="en-US"/>
              </w:rPr>
              <w:t>445</w:t>
            </w:r>
            <w:r w:rsidR="00E76669">
              <w:rPr>
                <w:rFonts w:ascii="Times" w:hAnsi="Times"/>
                <w:color w:val="000000"/>
                <w:sz w:val="16"/>
                <w:szCs w:val="16"/>
                <w:lang w:val="en-US"/>
              </w:rPr>
              <w:t xml:space="preserve"> </w:t>
            </w:r>
            <w:r w:rsidRPr="00E76669">
              <w:rPr>
                <w:rFonts w:ascii="Times" w:hAnsi="Times"/>
                <w:color w:val="000000"/>
                <w:sz w:val="16"/>
                <w:szCs w:val="16"/>
                <w:lang w:val="en-US"/>
              </w:rPr>
              <w:t>165</w:t>
            </w:r>
          </w:p>
        </w:tc>
        <w:tc>
          <w:tcPr>
            <w:tcW w:w="446" w:type="pct"/>
            <w:noWrap/>
            <w:hideMark/>
          </w:tcPr>
          <w:p w14:paraId="237436F8" w14:textId="282AC968" w:rsidR="00456D9F" w:rsidRPr="00E76669" w:rsidRDefault="00456D9F" w:rsidP="00E76669">
            <w:pPr>
              <w:jc w:val="center"/>
              <w:cnfStyle w:val="000000000000" w:firstRow="0" w:lastRow="0" w:firstColumn="0" w:lastColumn="0" w:oddVBand="0" w:evenVBand="0" w:oddHBand="0" w:evenHBand="0" w:firstRowFirstColumn="0" w:firstRowLastColumn="0" w:lastRowFirstColumn="0" w:lastRowLastColumn="0"/>
              <w:rPr>
                <w:rFonts w:ascii="Times" w:hAnsi="Times"/>
                <w:color w:val="000000"/>
                <w:sz w:val="16"/>
                <w:szCs w:val="16"/>
                <w:lang w:val="en-US"/>
              </w:rPr>
            </w:pPr>
            <w:r w:rsidRPr="00E76669">
              <w:rPr>
                <w:rFonts w:ascii="Times" w:hAnsi="Times"/>
                <w:color w:val="000000"/>
                <w:sz w:val="16"/>
                <w:szCs w:val="16"/>
                <w:lang w:val="en-US"/>
              </w:rPr>
              <w:t>3</w:t>
            </w:r>
            <w:r w:rsidR="00E76669">
              <w:rPr>
                <w:rFonts w:ascii="Times" w:hAnsi="Times"/>
                <w:color w:val="000000"/>
                <w:sz w:val="16"/>
                <w:szCs w:val="16"/>
                <w:lang w:val="en-US"/>
              </w:rPr>
              <w:t xml:space="preserve"> </w:t>
            </w:r>
            <w:r w:rsidRPr="00E76669">
              <w:rPr>
                <w:rFonts w:ascii="Times" w:hAnsi="Times"/>
                <w:color w:val="000000"/>
                <w:sz w:val="16"/>
                <w:szCs w:val="16"/>
                <w:lang w:val="en-US"/>
              </w:rPr>
              <w:t>620</w:t>
            </w:r>
            <w:r w:rsidR="00E76669">
              <w:rPr>
                <w:rFonts w:ascii="Times" w:hAnsi="Times"/>
                <w:color w:val="000000"/>
                <w:sz w:val="16"/>
                <w:szCs w:val="16"/>
                <w:lang w:val="en-US"/>
              </w:rPr>
              <w:t xml:space="preserve"> </w:t>
            </w:r>
            <w:r w:rsidRPr="00E76669">
              <w:rPr>
                <w:rFonts w:ascii="Times" w:hAnsi="Times"/>
                <w:color w:val="000000"/>
                <w:sz w:val="16"/>
                <w:szCs w:val="16"/>
                <w:lang w:val="en-US"/>
              </w:rPr>
              <w:t>327</w:t>
            </w:r>
          </w:p>
        </w:tc>
        <w:tc>
          <w:tcPr>
            <w:tcW w:w="446" w:type="pct"/>
            <w:noWrap/>
            <w:hideMark/>
          </w:tcPr>
          <w:p w14:paraId="3C6D8B88" w14:textId="66B9D781" w:rsidR="00456D9F" w:rsidRPr="00E76669" w:rsidRDefault="00456D9F" w:rsidP="00E76669">
            <w:pPr>
              <w:jc w:val="center"/>
              <w:cnfStyle w:val="000000000000" w:firstRow="0" w:lastRow="0" w:firstColumn="0" w:lastColumn="0" w:oddVBand="0" w:evenVBand="0" w:oddHBand="0" w:evenHBand="0" w:firstRowFirstColumn="0" w:firstRowLastColumn="0" w:lastRowFirstColumn="0" w:lastRowLastColumn="0"/>
              <w:rPr>
                <w:rFonts w:ascii="Times" w:hAnsi="Times"/>
                <w:color w:val="000000"/>
                <w:sz w:val="16"/>
                <w:szCs w:val="16"/>
                <w:lang w:val="en-US"/>
              </w:rPr>
            </w:pPr>
            <w:r w:rsidRPr="00E76669">
              <w:rPr>
                <w:rFonts w:ascii="Times" w:hAnsi="Times"/>
                <w:color w:val="000000"/>
                <w:sz w:val="16"/>
                <w:szCs w:val="16"/>
                <w:lang w:val="en-US"/>
              </w:rPr>
              <w:t>3</w:t>
            </w:r>
            <w:r w:rsidR="00E76669">
              <w:rPr>
                <w:rFonts w:ascii="Times" w:hAnsi="Times"/>
                <w:color w:val="000000"/>
                <w:sz w:val="16"/>
                <w:szCs w:val="16"/>
                <w:lang w:val="en-US"/>
              </w:rPr>
              <w:t xml:space="preserve"> </w:t>
            </w:r>
            <w:r w:rsidRPr="00E76669">
              <w:rPr>
                <w:rFonts w:ascii="Times" w:hAnsi="Times"/>
                <w:color w:val="000000"/>
                <w:sz w:val="16"/>
                <w:szCs w:val="16"/>
                <w:lang w:val="en-US"/>
              </w:rPr>
              <w:t>701</w:t>
            </w:r>
            <w:r w:rsidR="00E76669">
              <w:rPr>
                <w:rFonts w:ascii="Times" w:hAnsi="Times"/>
                <w:color w:val="000000"/>
                <w:sz w:val="16"/>
                <w:szCs w:val="16"/>
                <w:lang w:val="en-US"/>
              </w:rPr>
              <w:t xml:space="preserve"> </w:t>
            </w:r>
            <w:r w:rsidRPr="00E76669">
              <w:rPr>
                <w:rFonts w:ascii="Times" w:hAnsi="Times"/>
                <w:color w:val="000000"/>
                <w:sz w:val="16"/>
                <w:szCs w:val="16"/>
                <w:lang w:val="en-US"/>
              </w:rPr>
              <w:t>019</w:t>
            </w:r>
          </w:p>
        </w:tc>
        <w:tc>
          <w:tcPr>
            <w:tcW w:w="446" w:type="pct"/>
            <w:noWrap/>
            <w:hideMark/>
          </w:tcPr>
          <w:p w14:paraId="518EA62A" w14:textId="3A0CF5DB" w:rsidR="00456D9F" w:rsidRPr="00E76669" w:rsidRDefault="00456D9F" w:rsidP="00E76669">
            <w:pPr>
              <w:jc w:val="center"/>
              <w:cnfStyle w:val="000000000000" w:firstRow="0" w:lastRow="0" w:firstColumn="0" w:lastColumn="0" w:oddVBand="0" w:evenVBand="0" w:oddHBand="0" w:evenHBand="0" w:firstRowFirstColumn="0" w:firstRowLastColumn="0" w:lastRowFirstColumn="0" w:lastRowLastColumn="0"/>
              <w:rPr>
                <w:rFonts w:ascii="Times" w:hAnsi="Times"/>
                <w:color w:val="000000"/>
                <w:sz w:val="16"/>
                <w:szCs w:val="16"/>
                <w:lang w:val="en-US"/>
              </w:rPr>
            </w:pPr>
            <w:r w:rsidRPr="00E76669">
              <w:rPr>
                <w:rFonts w:ascii="Times" w:hAnsi="Times"/>
                <w:color w:val="000000"/>
                <w:sz w:val="16"/>
                <w:szCs w:val="16"/>
                <w:lang w:val="en-US"/>
              </w:rPr>
              <w:t>10</w:t>
            </w:r>
            <w:r w:rsidR="00E76669">
              <w:rPr>
                <w:rFonts w:ascii="Times" w:hAnsi="Times"/>
                <w:color w:val="000000"/>
                <w:sz w:val="16"/>
                <w:szCs w:val="16"/>
                <w:lang w:val="en-US"/>
              </w:rPr>
              <w:t xml:space="preserve"> </w:t>
            </w:r>
            <w:r w:rsidRPr="00E76669">
              <w:rPr>
                <w:rFonts w:ascii="Times" w:hAnsi="Times"/>
                <w:color w:val="000000"/>
                <w:sz w:val="16"/>
                <w:szCs w:val="16"/>
                <w:lang w:val="en-US"/>
              </w:rPr>
              <w:t>766</w:t>
            </w:r>
            <w:r w:rsidR="00E76669">
              <w:rPr>
                <w:rFonts w:ascii="Times" w:hAnsi="Times"/>
                <w:color w:val="000000"/>
                <w:sz w:val="16"/>
                <w:szCs w:val="16"/>
                <w:lang w:val="en-US"/>
              </w:rPr>
              <w:t xml:space="preserve"> </w:t>
            </w:r>
            <w:r w:rsidRPr="00E76669">
              <w:rPr>
                <w:rFonts w:ascii="Times" w:hAnsi="Times"/>
                <w:color w:val="000000"/>
                <w:sz w:val="16"/>
                <w:szCs w:val="16"/>
                <w:lang w:val="en-US"/>
              </w:rPr>
              <w:t>511</w:t>
            </w:r>
          </w:p>
        </w:tc>
      </w:tr>
      <w:tr w:rsidR="00A80B0A" w:rsidRPr="00E76669" w14:paraId="1F97DBB9" w14:textId="77777777" w:rsidTr="00297210">
        <w:trPr>
          <w:trHeight w:val="204"/>
        </w:trPr>
        <w:tc>
          <w:tcPr>
            <w:cnfStyle w:val="001000000000" w:firstRow="0" w:lastRow="0" w:firstColumn="1" w:lastColumn="0" w:oddVBand="0" w:evenVBand="0" w:oddHBand="0" w:evenHBand="0" w:firstRowFirstColumn="0" w:firstRowLastColumn="0" w:lastRowFirstColumn="0" w:lastRowLastColumn="0"/>
            <w:tcW w:w="531" w:type="pct"/>
            <w:vMerge w:val="restart"/>
            <w:vAlign w:val="center"/>
            <w:hideMark/>
          </w:tcPr>
          <w:p w14:paraId="7CAF70A3" w14:textId="77777777" w:rsidR="00456D9F" w:rsidRPr="00E76669" w:rsidRDefault="00456D9F" w:rsidP="00E76669">
            <w:pPr>
              <w:jc w:val="left"/>
              <w:rPr>
                <w:rFonts w:ascii="Times" w:hAnsi="Times"/>
                <w:color w:val="000000"/>
                <w:sz w:val="16"/>
                <w:szCs w:val="16"/>
                <w:lang w:val="en-US"/>
              </w:rPr>
            </w:pPr>
            <w:r w:rsidRPr="00E76669">
              <w:rPr>
                <w:rFonts w:ascii="Times" w:hAnsi="Times"/>
                <w:color w:val="000000"/>
                <w:sz w:val="16"/>
                <w:szCs w:val="16"/>
                <w:lang w:val="en-US"/>
              </w:rPr>
              <w:t>Health</w:t>
            </w:r>
          </w:p>
        </w:tc>
        <w:tc>
          <w:tcPr>
            <w:tcW w:w="1032" w:type="pct"/>
            <w:vMerge w:val="restart"/>
            <w:vAlign w:val="center"/>
            <w:hideMark/>
          </w:tcPr>
          <w:p w14:paraId="7181207D" w14:textId="77777777" w:rsidR="00456D9F" w:rsidRPr="00E76669" w:rsidRDefault="00456D9F" w:rsidP="00E76669">
            <w:pPr>
              <w:jc w:val="left"/>
              <w:cnfStyle w:val="000000000000" w:firstRow="0" w:lastRow="0" w:firstColumn="0" w:lastColumn="0" w:oddVBand="0" w:evenVBand="0" w:oddHBand="0" w:evenHBand="0" w:firstRowFirstColumn="0" w:firstRowLastColumn="0" w:lastRowFirstColumn="0" w:lastRowLastColumn="0"/>
              <w:rPr>
                <w:rFonts w:ascii="Times" w:hAnsi="Times"/>
                <w:color w:val="000000"/>
                <w:sz w:val="16"/>
                <w:szCs w:val="16"/>
                <w:lang w:val="en-US"/>
              </w:rPr>
            </w:pPr>
            <w:r w:rsidRPr="00E76669">
              <w:rPr>
                <w:rFonts w:ascii="Times" w:hAnsi="Times"/>
                <w:color w:val="000000"/>
                <w:sz w:val="16"/>
                <w:szCs w:val="16"/>
                <w:lang w:val="en-US"/>
              </w:rPr>
              <w:t>Health</w:t>
            </w:r>
          </w:p>
        </w:tc>
        <w:tc>
          <w:tcPr>
            <w:tcW w:w="1653" w:type="pct"/>
            <w:noWrap/>
            <w:hideMark/>
          </w:tcPr>
          <w:p w14:paraId="01C83E3F" w14:textId="1216331D" w:rsidR="00456D9F" w:rsidRPr="00E76669" w:rsidRDefault="00456D9F" w:rsidP="00E76669">
            <w:pPr>
              <w:jc w:val="left"/>
              <w:cnfStyle w:val="000000000000" w:firstRow="0" w:lastRow="0" w:firstColumn="0" w:lastColumn="0" w:oddVBand="0" w:evenVBand="0" w:oddHBand="0" w:evenHBand="0" w:firstRowFirstColumn="0" w:firstRowLastColumn="0" w:lastRowFirstColumn="0" w:lastRowLastColumn="0"/>
              <w:rPr>
                <w:rFonts w:ascii="Times" w:hAnsi="Times"/>
                <w:color w:val="000000"/>
                <w:sz w:val="16"/>
                <w:szCs w:val="16"/>
                <w:lang w:val="en-US"/>
              </w:rPr>
            </w:pPr>
            <w:r w:rsidRPr="00E76669">
              <w:rPr>
                <w:rFonts w:ascii="Times" w:hAnsi="Times"/>
                <w:color w:val="000000"/>
                <w:sz w:val="16"/>
                <w:szCs w:val="16"/>
                <w:lang w:val="en-US"/>
              </w:rPr>
              <w:t xml:space="preserve">National Tertiary Services </w:t>
            </w:r>
            <w:r w:rsidR="00FC64FC">
              <w:rPr>
                <w:rFonts w:ascii="Times" w:hAnsi="Times"/>
                <w:color w:val="000000"/>
                <w:sz w:val="16"/>
                <w:szCs w:val="16"/>
                <w:lang w:val="en-US"/>
              </w:rPr>
              <w:t>G</w:t>
            </w:r>
            <w:r w:rsidRPr="00E76669">
              <w:rPr>
                <w:rFonts w:ascii="Times" w:hAnsi="Times"/>
                <w:color w:val="000000"/>
                <w:sz w:val="16"/>
                <w:szCs w:val="16"/>
                <w:lang w:val="en-US"/>
              </w:rPr>
              <w:t>rant</w:t>
            </w:r>
          </w:p>
        </w:tc>
        <w:tc>
          <w:tcPr>
            <w:tcW w:w="446" w:type="pct"/>
            <w:noWrap/>
            <w:hideMark/>
          </w:tcPr>
          <w:p w14:paraId="7A089A79" w14:textId="4981E86A" w:rsidR="00456D9F" w:rsidRPr="00E76669" w:rsidRDefault="00456D9F" w:rsidP="00E76669">
            <w:pPr>
              <w:jc w:val="center"/>
              <w:cnfStyle w:val="000000000000" w:firstRow="0" w:lastRow="0" w:firstColumn="0" w:lastColumn="0" w:oddVBand="0" w:evenVBand="0" w:oddHBand="0" w:evenHBand="0" w:firstRowFirstColumn="0" w:firstRowLastColumn="0" w:lastRowFirstColumn="0" w:lastRowLastColumn="0"/>
              <w:rPr>
                <w:rFonts w:ascii="Times" w:hAnsi="Times"/>
                <w:color w:val="000000"/>
                <w:sz w:val="16"/>
                <w:szCs w:val="16"/>
                <w:lang w:val="en-US"/>
              </w:rPr>
            </w:pPr>
            <w:r w:rsidRPr="00E76669">
              <w:rPr>
                <w:rFonts w:ascii="Times" w:hAnsi="Times"/>
                <w:color w:val="000000"/>
                <w:sz w:val="16"/>
                <w:szCs w:val="16"/>
                <w:lang w:val="en-US"/>
              </w:rPr>
              <w:t>14</w:t>
            </w:r>
            <w:r w:rsidR="00E76669">
              <w:rPr>
                <w:rFonts w:ascii="Times" w:hAnsi="Times"/>
                <w:color w:val="000000"/>
                <w:sz w:val="16"/>
                <w:szCs w:val="16"/>
                <w:lang w:val="en-US"/>
              </w:rPr>
              <w:t xml:space="preserve"> </w:t>
            </w:r>
            <w:r w:rsidRPr="00E76669">
              <w:rPr>
                <w:rFonts w:ascii="Times" w:hAnsi="Times"/>
                <w:color w:val="000000"/>
                <w:sz w:val="16"/>
                <w:szCs w:val="16"/>
                <w:lang w:val="en-US"/>
              </w:rPr>
              <w:t>068</w:t>
            </w:r>
            <w:r w:rsidR="00E76669">
              <w:rPr>
                <w:rFonts w:ascii="Times" w:hAnsi="Times"/>
                <w:color w:val="000000"/>
                <w:sz w:val="16"/>
                <w:szCs w:val="16"/>
                <w:lang w:val="en-US"/>
              </w:rPr>
              <w:t xml:space="preserve"> </w:t>
            </w:r>
            <w:r w:rsidRPr="00E76669">
              <w:rPr>
                <w:rFonts w:ascii="Times" w:hAnsi="Times"/>
                <w:color w:val="000000"/>
                <w:sz w:val="16"/>
                <w:szCs w:val="16"/>
                <w:lang w:val="en-US"/>
              </w:rPr>
              <w:t>863</w:t>
            </w:r>
          </w:p>
        </w:tc>
        <w:tc>
          <w:tcPr>
            <w:tcW w:w="446" w:type="pct"/>
            <w:noWrap/>
            <w:hideMark/>
          </w:tcPr>
          <w:p w14:paraId="371B1EE1" w14:textId="64C07828" w:rsidR="00456D9F" w:rsidRPr="00E76669" w:rsidRDefault="00456D9F" w:rsidP="00E76669">
            <w:pPr>
              <w:jc w:val="center"/>
              <w:cnfStyle w:val="000000000000" w:firstRow="0" w:lastRow="0" w:firstColumn="0" w:lastColumn="0" w:oddVBand="0" w:evenVBand="0" w:oddHBand="0" w:evenHBand="0" w:firstRowFirstColumn="0" w:firstRowLastColumn="0" w:lastRowFirstColumn="0" w:lastRowLastColumn="0"/>
              <w:rPr>
                <w:rFonts w:ascii="Times" w:hAnsi="Times"/>
                <w:color w:val="000000"/>
                <w:sz w:val="16"/>
                <w:szCs w:val="16"/>
                <w:lang w:val="en-US"/>
              </w:rPr>
            </w:pPr>
            <w:r w:rsidRPr="00E76669">
              <w:rPr>
                <w:rFonts w:ascii="Times" w:hAnsi="Times"/>
                <w:color w:val="000000"/>
                <w:sz w:val="16"/>
                <w:szCs w:val="16"/>
                <w:lang w:val="en-US"/>
              </w:rPr>
              <w:t>14</w:t>
            </w:r>
            <w:r w:rsidR="00E76669">
              <w:rPr>
                <w:rFonts w:ascii="Times" w:hAnsi="Times"/>
                <w:color w:val="000000"/>
                <w:sz w:val="16"/>
                <w:szCs w:val="16"/>
                <w:lang w:val="en-US"/>
              </w:rPr>
              <w:t xml:space="preserve"> </w:t>
            </w:r>
            <w:r w:rsidRPr="00E76669">
              <w:rPr>
                <w:rFonts w:ascii="Times" w:hAnsi="Times"/>
                <w:color w:val="000000"/>
                <w:sz w:val="16"/>
                <w:szCs w:val="16"/>
                <w:lang w:val="en-US"/>
              </w:rPr>
              <w:t>694</w:t>
            </w:r>
            <w:r w:rsidR="00E76669">
              <w:rPr>
                <w:rFonts w:ascii="Times" w:hAnsi="Times"/>
                <w:color w:val="000000"/>
                <w:sz w:val="16"/>
                <w:szCs w:val="16"/>
                <w:lang w:val="en-US"/>
              </w:rPr>
              <w:t xml:space="preserve"> </w:t>
            </w:r>
            <w:r w:rsidRPr="00E76669">
              <w:rPr>
                <w:rFonts w:ascii="Times" w:hAnsi="Times"/>
                <w:color w:val="000000"/>
                <w:sz w:val="16"/>
                <w:szCs w:val="16"/>
                <w:lang w:val="en-US"/>
              </w:rPr>
              <w:t>223</w:t>
            </w:r>
          </w:p>
        </w:tc>
        <w:tc>
          <w:tcPr>
            <w:tcW w:w="446" w:type="pct"/>
            <w:noWrap/>
            <w:hideMark/>
          </w:tcPr>
          <w:p w14:paraId="267C5F27" w14:textId="4DF40FD6" w:rsidR="00456D9F" w:rsidRPr="00E76669" w:rsidRDefault="00456D9F" w:rsidP="00E76669">
            <w:pPr>
              <w:jc w:val="center"/>
              <w:cnfStyle w:val="000000000000" w:firstRow="0" w:lastRow="0" w:firstColumn="0" w:lastColumn="0" w:oddVBand="0" w:evenVBand="0" w:oddHBand="0" w:evenHBand="0" w:firstRowFirstColumn="0" w:firstRowLastColumn="0" w:lastRowFirstColumn="0" w:lastRowLastColumn="0"/>
              <w:rPr>
                <w:rFonts w:ascii="Times" w:hAnsi="Times"/>
                <w:color w:val="000000"/>
                <w:sz w:val="16"/>
                <w:szCs w:val="16"/>
                <w:lang w:val="en-US"/>
              </w:rPr>
            </w:pPr>
            <w:r w:rsidRPr="00E76669">
              <w:rPr>
                <w:rFonts w:ascii="Times" w:hAnsi="Times"/>
                <w:color w:val="000000"/>
                <w:sz w:val="16"/>
                <w:szCs w:val="16"/>
                <w:lang w:val="en-US"/>
              </w:rPr>
              <w:t>15</w:t>
            </w:r>
            <w:r w:rsidR="00E76669">
              <w:rPr>
                <w:rFonts w:ascii="Times" w:hAnsi="Times"/>
                <w:color w:val="000000"/>
                <w:sz w:val="16"/>
                <w:szCs w:val="16"/>
                <w:lang w:val="en-US"/>
              </w:rPr>
              <w:t xml:space="preserve"> </w:t>
            </w:r>
            <w:r w:rsidRPr="00E76669">
              <w:rPr>
                <w:rFonts w:ascii="Times" w:hAnsi="Times"/>
                <w:color w:val="000000"/>
                <w:sz w:val="16"/>
                <w:szCs w:val="16"/>
                <w:lang w:val="en-US"/>
              </w:rPr>
              <w:t>293</w:t>
            </w:r>
            <w:r w:rsidR="00E76669">
              <w:rPr>
                <w:rFonts w:ascii="Times" w:hAnsi="Times"/>
                <w:color w:val="000000"/>
                <w:sz w:val="16"/>
                <w:szCs w:val="16"/>
                <w:lang w:val="en-US"/>
              </w:rPr>
              <w:t xml:space="preserve"> </w:t>
            </w:r>
            <w:r w:rsidRPr="00E76669">
              <w:rPr>
                <w:rFonts w:ascii="Times" w:hAnsi="Times"/>
                <w:color w:val="000000"/>
                <w:sz w:val="16"/>
                <w:szCs w:val="16"/>
                <w:lang w:val="en-US"/>
              </w:rPr>
              <w:t>501</w:t>
            </w:r>
          </w:p>
        </w:tc>
        <w:tc>
          <w:tcPr>
            <w:tcW w:w="446" w:type="pct"/>
            <w:noWrap/>
            <w:hideMark/>
          </w:tcPr>
          <w:p w14:paraId="0C5B249A" w14:textId="4B8DFBB8" w:rsidR="00456D9F" w:rsidRPr="00E76669" w:rsidRDefault="00456D9F" w:rsidP="00E76669">
            <w:pPr>
              <w:jc w:val="center"/>
              <w:cnfStyle w:val="000000000000" w:firstRow="0" w:lastRow="0" w:firstColumn="0" w:lastColumn="0" w:oddVBand="0" w:evenVBand="0" w:oddHBand="0" w:evenHBand="0" w:firstRowFirstColumn="0" w:firstRowLastColumn="0" w:lastRowFirstColumn="0" w:lastRowLastColumn="0"/>
              <w:rPr>
                <w:rFonts w:ascii="Times" w:hAnsi="Times"/>
                <w:color w:val="000000"/>
                <w:sz w:val="16"/>
                <w:szCs w:val="16"/>
                <w:lang w:val="en-US"/>
              </w:rPr>
            </w:pPr>
            <w:r w:rsidRPr="00E76669">
              <w:rPr>
                <w:rFonts w:ascii="Times" w:hAnsi="Times"/>
                <w:color w:val="000000"/>
                <w:sz w:val="16"/>
                <w:szCs w:val="16"/>
                <w:lang w:val="en-US"/>
              </w:rPr>
              <w:t>44</w:t>
            </w:r>
            <w:r w:rsidR="00E76669">
              <w:rPr>
                <w:rFonts w:ascii="Times" w:hAnsi="Times"/>
                <w:color w:val="000000"/>
                <w:sz w:val="16"/>
                <w:szCs w:val="16"/>
                <w:lang w:val="en-US"/>
              </w:rPr>
              <w:t xml:space="preserve"> </w:t>
            </w:r>
            <w:r w:rsidRPr="00E76669">
              <w:rPr>
                <w:rFonts w:ascii="Times" w:hAnsi="Times"/>
                <w:color w:val="000000"/>
                <w:sz w:val="16"/>
                <w:szCs w:val="16"/>
                <w:lang w:val="en-US"/>
              </w:rPr>
              <w:t>056</w:t>
            </w:r>
            <w:r w:rsidR="00E76669">
              <w:rPr>
                <w:rFonts w:ascii="Times" w:hAnsi="Times"/>
                <w:color w:val="000000"/>
                <w:sz w:val="16"/>
                <w:szCs w:val="16"/>
                <w:lang w:val="en-US"/>
              </w:rPr>
              <w:t xml:space="preserve"> </w:t>
            </w:r>
            <w:r w:rsidRPr="00E76669">
              <w:rPr>
                <w:rFonts w:ascii="Times" w:hAnsi="Times"/>
                <w:color w:val="000000"/>
                <w:sz w:val="16"/>
                <w:szCs w:val="16"/>
                <w:lang w:val="en-US"/>
              </w:rPr>
              <w:t>587</w:t>
            </w:r>
          </w:p>
        </w:tc>
      </w:tr>
      <w:tr w:rsidR="00A80B0A" w:rsidRPr="00E76669" w14:paraId="2BAE7A8A" w14:textId="77777777" w:rsidTr="00297210">
        <w:trPr>
          <w:trHeight w:val="204"/>
        </w:trPr>
        <w:tc>
          <w:tcPr>
            <w:cnfStyle w:val="001000000000" w:firstRow="0" w:lastRow="0" w:firstColumn="1" w:lastColumn="0" w:oddVBand="0" w:evenVBand="0" w:oddHBand="0" w:evenHBand="0" w:firstRowFirstColumn="0" w:firstRowLastColumn="0" w:lastRowFirstColumn="0" w:lastRowLastColumn="0"/>
            <w:tcW w:w="531" w:type="pct"/>
            <w:vMerge/>
            <w:vAlign w:val="center"/>
            <w:hideMark/>
          </w:tcPr>
          <w:p w14:paraId="1FD50F64" w14:textId="77777777" w:rsidR="00456D9F" w:rsidRPr="00E76669" w:rsidRDefault="00456D9F" w:rsidP="00E76669">
            <w:pPr>
              <w:jc w:val="left"/>
              <w:rPr>
                <w:rFonts w:ascii="Times" w:hAnsi="Times"/>
                <w:color w:val="000000"/>
                <w:sz w:val="16"/>
                <w:szCs w:val="16"/>
                <w:lang w:val="en-US"/>
              </w:rPr>
            </w:pPr>
          </w:p>
        </w:tc>
        <w:tc>
          <w:tcPr>
            <w:tcW w:w="1032" w:type="pct"/>
            <w:vMerge/>
            <w:vAlign w:val="center"/>
            <w:hideMark/>
          </w:tcPr>
          <w:p w14:paraId="4BBC383C" w14:textId="77777777" w:rsidR="00456D9F" w:rsidRPr="00E76669" w:rsidRDefault="00456D9F" w:rsidP="00E76669">
            <w:pPr>
              <w:jc w:val="left"/>
              <w:cnfStyle w:val="000000000000" w:firstRow="0" w:lastRow="0" w:firstColumn="0" w:lastColumn="0" w:oddVBand="0" w:evenVBand="0" w:oddHBand="0" w:evenHBand="0" w:firstRowFirstColumn="0" w:firstRowLastColumn="0" w:lastRowFirstColumn="0" w:lastRowLastColumn="0"/>
              <w:rPr>
                <w:rFonts w:ascii="Times" w:hAnsi="Times"/>
                <w:color w:val="000000"/>
                <w:sz w:val="16"/>
                <w:szCs w:val="16"/>
                <w:lang w:val="en-US"/>
              </w:rPr>
            </w:pPr>
          </w:p>
        </w:tc>
        <w:tc>
          <w:tcPr>
            <w:tcW w:w="1653" w:type="pct"/>
            <w:noWrap/>
            <w:hideMark/>
          </w:tcPr>
          <w:p w14:paraId="0EC62586" w14:textId="1CF901CE" w:rsidR="00456D9F" w:rsidRPr="00E76669" w:rsidRDefault="00456D9F" w:rsidP="00E76669">
            <w:pPr>
              <w:jc w:val="left"/>
              <w:cnfStyle w:val="000000000000" w:firstRow="0" w:lastRow="0" w:firstColumn="0" w:lastColumn="0" w:oddVBand="0" w:evenVBand="0" w:oddHBand="0" w:evenHBand="0" w:firstRowFirstColumn="0" w:firstRowLastColumn="0" w:lastRowFirstColumn="0" w:lastRowLastColumn="0"/>
              <w:rPr>
                <w:rFonts w:ascii="Times" w:hAnsi="Times"/>
                <w:color w:val="000000"/>
                <w:sz w:val="16"/>
                <w:szCs w:val="16"/>
                <w:lang w:val="en-US"/>
              </w:rPr>
            </w:pPr>
            <w:r w:rsidRPr="00E76669">
              <w:rPr>
                <w:rFonts w:ascii="Times" w:hAnsi="Times"/>
                <w:color w:val="000000"/>
                <w:sz w:val="16"/>
                <w:szCs w:val="16"/>
                <w:lang w:val="en-US"/>
              </w:rPr>
              <w:t>Health Facility Revitali</w:t>
            </w:r>
            <w:r w:rsidR="00FC64FC">
              <w:rPr>
                <w:rFonts w:ascii="Times" w:hAnsi="Times"/>
                <w:color w:val="000000"/>
                <w:sz w:val="16"/>
                <w:szCs w:val="16"/>
                <w:lang w:val="en-US"/>
              </w:rPr>
              <w:t>s</w:t>
            </w:r>
            <w:r w:rsidRPr="00E76669">
              <w:rPr>
                <w:rFonts w:ascii="Times" w:hAnsi="Times"/>
                <w:color w:val="000000"/>
                <w:sz w:val="16"/>
                <w:szCs w:val="16"/>
                <w:lang w:val="en-US"/>
              </w:rPr>
              <w:t>ation Grant</w:t>
            </w:r>
          </w:p>
        </w:tc>
        <w:tc>
          <w:tcPr>
            <w:tcW w:w="446" w:type="pct"/>
            <w:noWrap/>
            <w:hideMark/>
          </w:tcPr>
          <w:p w14:paraId="629A4358" w14:textId="408F93DD" w:rsidR="00456D9F" w:rsidRPr="00E76669" w:rsidRDefault="00456D9F" w:rsidP="00E76669">
            <w:pPr>
              <w:jc w:val="center"/>
              <w:cnfStyle w:val="000000000000" w:firstRow="0" w:lastRow="0" w:firstColumn="0" w:lastColumn="0" w:oddVBand="0" w:evenVBand="0" w:oddHBand="0" w:evenHBand="0" w:firstRowFirstColumn="0" w:firstRowLastColumn="0" w:lastRowFirstColumn="0" w:lastRowLastColumn="0"/>
              <w:rPr>
                <w:rFonts w:ascii="Times" w:hAnsi="Times"/>
                <w:color w:val="000000"/>
                <w:sz w:val="16"/>
                <w:szCs w:val="16"/>
                <w:lang w:val="en-US"/>
              </w:rPr>
            </w:pPr>
            <w:r w:rsidRPr="00E76669">
              <w:rPr>
                <w:rFonts w:ascii="Times" w:hAnsi="Times"/>
                <w:color w:val="000000"/>
                <w:sz w:val="16"/>
                <w:szCs w:val="16"/>
                <w:lang w:val="en-US"/>
              </w:rPr>
              <w:t>6</w:t>
            </w:r>
            <w:r w:rsidR="00E76669">
              <w:rPr>
                <w:rFonts w:ascii="Times" w:hAnsi="Times"/>
                <w:color w:val="000000"/>
                <w:sz w:val="16"/>
                <w:szCs w:val="16"/>
                <w:lang w:val="en-US"/>
              </w:rPr>
              <w:t xml:space="preserve"> </w:t>
            </w:r>
            <w:r w:rsidRPr="00E76669">
              <w:rPr>
                <w:rFonts w:ascii="Times" w:hAnsi="Times"/>
                <w:color w:val="000000"/>
                <w:sz w:val="16"/>
                <w:szCs w:val="16"/>
                <w:lang w:val="en-US"/>
              </w:rPr>
              <w:t>367</w:t>
            </w:r>
            <w:r w:rsidR="00E76669">
              <w:rPr>
                <w:rFonts w:ascii="Times" w:hAnsi="Times"/>
                <w:color w:val="000000"/>
                <w:sz w:val="16"/>
                <w:szCs w:val="16"/>
                <w:lang w:val="en-US"/>
              </w:rPr>
              <w:t xml:space="preserve"> </w:t>
            </w:r>
            <w:r w:rsidRPr="00E76669">
              <w:rPr>
                <w:rFonts w:ascii="Times" w:hAnsi="Times"/>
                <w:color w:val="000000"/>
                <w:sz w:val="16"/>
                <w:szCs w:val="16"/>
                <w:lang w:val="en-US"/>
              </w:rPr>
              <w:t>652</w:t>
            </w:r>
          </w:p>
        </w:tc>
        <w:tc>
          <w:tcPr>
            <w:tcW w:w="446" w:type="pct"/>
            <w:noWrap/>
            <w:hideMark/>
          </w:tcPr>
          <w:p w14:paraId="5316739D" w14:textId="2C77D0AF" w:rsidR="00456D9F" w:rsidRPr="00E76669" w:rsidRDefault="00456D9F" w:rsidP="00E76669">
            <w:pPr>
              <w:jc w:val="center"/>
              <w:cnfStyle w:val="000000000000" w:firstRow="0" w:lastRow="0" w:firstColumn="0" w:lastColumn="0" w:oddVBand="0" w:evenVBand="0" w:oddHBand="0" w:evenHBand="0" w:firstRowFirstColumn="0" w:firstRowLastColumn="0" w:lastRowFirstColumn="0" w:lastRowLastColumn="0"/>
              <w:rPr>
                <w:rFonts w:ascii="Times" w:hAnsi="Times"/>
                <w:color w:val="000000"/>
                <w:sz w:val="16"/>
                <w:szCs w:val="16"/>
                <w:lang w:val="en-US"/>
              </w:rPr>
            </w:pPr>
            <w:r w:rsidRPr="00E76669">
              <w:rPr>
                <w:rFonts w:ascii="Times" w:hAnsi="Times"/>
                <w:color w:val="000000"/>
                <w:sz w:val="16"/>
                <w:szCs w:val="16"/>
                <w:lang w:val="en-US"/>
              </w:rPr>
              <w:t>6</w:t>
            </w:r>
            <w:r w:rsidR="00E76669">
              <w:rPr>
                <w:rFonts w:ascii="Times" w:hAnsi="Times"/>
                <w:color w:val="000000"/>
                <w:sz w:val="16"/>
                <w:szCs w:val="16"/>
                <w:lang w:val="en-US"/>
              </w:rPr>
              <w:t xml:space="preserve"> </w:t>
            </w:r>
            <w:r w:rsidRPr="00E76669">
              <w:rPr>
                <w:rFonts w:ascii="Times" w:hAnsi="Times"/>
                <w:color w:val="000000"/>
                <w:sz w:val="16"/>
                <w:szCs w:val="16"/>
                <w:lang w:val="en-US"/>
              </w:rPr>
              <w:t>658</w:t>
            </w:r>
            <w:r w:rsidR="00E76669">
              <w:rPr>
                <w:rFonts w:ascii="Times" w:hAnsi="Times"/>
                <w:color w:val="000000"/>
                <w:sz w:val="16"/>
                <w:szCs w:val="16"/>
                <w:lang w:val="en-US"/>
              </w:rPr>
              <w:t xml:space="preserve"> </w:t>
            </w:r>
            <w:r w:rsidRPr="00E76669">
              <w:rPr>
                <w:rFonts w:ascii="Times" w:hAnsi="Times"/>
                <w:color w:val="000000"/>
                <w:sz w:val="16"/>
                <w:szCs w:val="16"/>
                <w:lang w:val="en-US"/>
              </w:rPr>
              <w:t>028</w:t>
            </w:r>
          </w:p>
        </w:tc>
        <w:tc>
          <w:tcPr>
            <w:tcW w:w="446" w:type="pct"/>
            <w:noWrap/>
            <w:hideMark/>
          </w:tcPr>
          <w:p w14:paraId="1F5E366A" w14:textId="6E2226B7" w:rsidR="00456D9F" w:rsidRPr="00E76669" w:rsidRDefault="00456D9F" w:rsidP="00E76669">
            <w:pPr>
              <w:jc w:val="center"/>
              <w:cnfStyle w:val="000000000000" w:firstRow="0" w:lastRow="0" w:firstColumn="0" w:lastColumn="0" w:oddVBand="0" w:evenVBand="0" w:oddHBand="0" w:evenHBand="0" w:firstRowFirstColumn="0" w:firstRowLastColumn="0" w:lastRowFirstColumn="0" w:lastRowLastColumn="0"/>
              <w:rPr>
                <w:rFonts w:ascii="Times" w:hAnsi="Times"/>
                <w:color w:val="000000"/>
                <w:sz w:val="16"/>
                <w:szCs w:val="16"/>
                <w:lang w:val="en-US"/>
              </w:rPr>
            </w:pPr>
            <w:r w:rsidRPr="00E76669">
              <w:rPr>
                <w:rFonts w:ascii="Times" w:hAnsi="Times"/>
                <w:color w:val="000000"/>
                <w:sz w:val="16"/>
                <w:szCs w:val="16"/>
                <w:lang w:val="en-US"/>
              </w:rPr>
              <w:t>7</w:t>
            </w:r>
            <w:r w:rsidR="00E76669">
              <w:rPr>
                <w:rFonts w:ascii="Times" w:hAnsi="Times"/>
                <w:color w:val="000000"/>
                <w:sz w:val="16"/>
                <w:szCs w:val="16"/>
                <w:lang w:val="en-US"/>
              </w:rPr>
              <w:t xml:space="preserve"> </w:t>
            </w:r>
            <w:r w:rsidRPr="00E76669">
              <w:rPr>
                <w:rFonts w:ascii="Times" w:hAnsi="Times"/>
                <w:color w:val="000000"/>
                <w:sz w:val="16"/>
                <w:szCs w:val="16"/>
                <w:lang w:val="en-US"/>
              </w:rPr>
              <w:t>033</w:t>
            </w:r>
            <w:r w:rsidR="00E76669">
              <w:rPr>
                <w:rFonts w:ascii="Times" w:hAnsi="Times"/>
                <w:color w:val="000000"/>
                <w:sz w:val="16"/>
                <w:szCs w:val="16"/>
                <w:lang w:val="en-US"/>
              </w:rPr>
              <w:t xml:space="preserve"> </w:t>
            </w:r>
            <w:r w:rsidRPr="00E76669">
              <w:rPr>
                <w:rFonts w:ascii="Times" w:hAnsi="Times"/>
                <w:color w:val="000000"/>
                <w:sz w:val="16"/>
                <w:szCs w:val="16"/>
                <w:lang w:val="en-US"/>
              </w:rPr>
              <w:t>913</w:t>
            </w:r>
          </w:p>
        </w:tc>
        <w:tc>
          <w:tcPr>
            <w:tcW w:w="446" w:type="pct"/>
            <w:noWrap/>
            <w:hideMark/>
          </w:tcPr>
          <w:p w14:paraId="7C5A34F4" w14:textId="6569148F" w:rsidR="00456D9F" w:rsidRPr="00E76669" w:rsidRDefault="00456D9F" w:rsidP="00E76669">
            <w:pPr>
              <w:jc w:val="center"/>
              <w:cnfStyle w:val="000000000000" w:firstRow="0" w:lastRow="0" w:firstColumn="0" w:lastColumn="0" w:oddVBand="0" w:evenVBand="0" w:oddHBand="0" w:evenHBand="0" w:firstRowFirstColumn="0" w:firstRowLastColumn="0" w:lastRowFirstColumn="0" w:lastRowLastColumn="0"/>
              <w:rPr>
                <w:rFonts w:ascii="Times" w:hAnsi="Times"/>
                <w:color w:val="000000"/>
                <w:sz w:val="16"/>
                <w:szCs w:val="16"/>
                <w:lang w:val="en-US"/>
              </w:rPr>
            </w:pPr>
            <w:r w:rsidRPr="00E76669">
              <w:rPr>
                <w:rFonts w:ascii="Times" w:hAnsi="Times"/>
                <w:color w:val="000000"/>
                <w:sz w:val="16"/>
                <w:szCs w:val="16"/>
                <w:lang w:val="en-US"/>
              </w:rPr>
              <w:t>20</w:t>
            </w:r>
            <w:r w:rsidR="00E76669">
              <w:rPr>
                <w:rFonts w:ascii="Times" w:hAnsi="Times"/>
                <w:color w:val="000000"/>
                <w:sz w:val="16"/>
                <w:szCs w:val="16"/>
                <w:lang w:val="en-US"/>
              </w:rPr>
              <w:t xml:space="preserve"> </w:t>
            </w:r>
            <w:r w:rsidRPr="00E76669">
              <w:rPr>
                <w:rFonts w:ascii="Times" w:hAnsi="Times"/>
                <w:color w:val="000000"/>
                <w:sz w:val="16"/>
                <w:szCs w:val="16"/>
                <w:lang w:val="en-US"/>
              </w:rPr>
              <w:t>059</w:t>
            </w:r>
            <w:r w:rsidR="00E76669">
              <w:rPr>
                <w:rFonts w:ascii="Times" w:hAnsi="Times"/>
                <w:color w:val="000000"/>
                <w:sz w:val="16"/>
                <w:szCs w:val="16"/>
                <w:lang w:val="en-US"/>
              </w:rPr>
              <w:t xml:space="preserve"> </w:t>
            </w:r>
            <w:r w:rsidRPr="00E76669">
              <w:rPr>
                <w:rFonts w:ascii="Times" w:hAnsi="Times"/>
                <w:color w:val="000000"/>
                <w:sz w:val="16"/>
                <w:szCs w:val="16"/>
                <w:lang w:val="en-US"/>
              </w:rPr>
              <w:t>593</w:t>
            </w:r>
          </w:p>
        </w:tc>
      </w:tr>
      <w:tr w:rsidR="00A80B0A" w:rsidRPr="00E76669" w14:paraId="671465D3" w14:textId="77777777" w:rsidTr="00297210">
        <w:trPr>
          <w:trHeight w:val="204"/>
        </w:trPr>
        <w:tc>
          <w:tcPr>
            <w:cnfStyle w:val="001000000000" w:firstRow="0" w:lastRow="0" w:firstColumn="1" w:lastColumn="0" w:oddVBand="0" w:evenVBand="0" w:oddHBand="0" w:evenHBand="0" w:firstRowFirstColumn="0" w:firstRowLastColumn="0" w:lastRowFirstColumn="0" w:lastRowLastColumn="0"/>
            <w:tcW w:w="531" w:type="pct"/>
            <w:vMerge/>
            <w:vAlign w:val="center"/>
            <w:hideMark/>
          </w:tcPr>
          <w:p w14:paraId="5F9FCA63" w14:textId="77777777" w:rsidR="00456D9F" w:rsidRPr="00E76669" w:rsidRDefault="00456D9F" w:rsidP="00E76669">
            <w:pPr>
              <w:jc w:val="left"/>
              <w:rPr>
                <w:rFonts w:ascii="Times" w:hAnsi="Times"/>
                <w:color w:val="000000"/>
                <w:sz w:val="16"/>
                <w:szCs w:val="16"/>
                <w:lang w:val="en-US"/>
              </w:rPr>
            </w:pPr>
          </w:p>
        </w:tc>
        <w:tc>
          <w:tcPr>
            <w:tcW w:w="1032" w:type="pct"/>
            <w:vMerge/>
            <w:vAlign w:val="center"/>
            <w:hideMark/>
          </w:tcPr>
          <w:p w14:paraId="10241208" w14:textId="77777777" w:rsidR="00456D9F" w:rsidRPr="00E76669" w:rsidRDefault="00456D9F" w:rsidP="00E76669">
            <w:pPr>
              <w:jc w:val="left"/>
              <w:cnfStyle w:val="000000000000" w:firstRow="0" w:lastRow="0" w:firstColumn="0" w:lastColumn="0" w:oddVBand="0" w:evenVBand="0" w:oddHBand="0" w:evenHBand="0" w:firstRowFirstColumn="0" w:firstRowLastColumn="0" w:lastRowFirstColumn="0" w:lastRowLastColumn="0"/>
              <w:rPr>
                <w:rFonts w:ascii="Times" w:hAnsi="Times"/>
                <w:color w:val="000000"/>
                <w:sz w:val="16"/>
                <w:szCs w:val="16"/>
                <w:lang w:val="en-US"/>
              </w:rPr>
            </w:pPr>
          </w:p>
        </w:tc>
        <w:tc>
          <w:tcPr>
            <w:tcW w:w="1653" w:type="pct"/>
            <w:noWrap/>
            <w:hideMark/>
          </w:tcPr>
          <w:p w14:paraId="52D47D1E" w14:textId="77777777" w:rsidR="00456D9F" w:rsidRPr="00E76669" w:rsidRDefault="00456D9F" w:rsidP="00E76669">
            <w:pPr>
              <w:jc w:val="left"/>
              <w:cnfStyle w:val="000000000000" w:firstRow="0" w:lastRow="0" w:firstColumn="0" w:lastColumn="0" w:oddVBand="0" w:evenVBand="0" w:oddHBand="0" w:evenHBand="0" w:firstRowFirstColumn="0" w:firstRowLastColumn="0" w:lastRowFirstColumn="0" w:lastRowLastColumn="0"/>
              <w:rPr>
                <w:rFonts w:ascii="Times" w:hAnsi="Times"/>
                <w:color w:val="000000"/>
                <w:sz w:val="16"/>
                <w:szCs w:val="16"/>
                <w:lang w:val="en-US"/>
              </w:rPr>
            </w:pPr>
            <w:r w:rsidRPr="00E76669">
              <w:rPr>
                <w:rFonts w:ascii="Times" w:hAnsi="Times"/>
                <w:color w:val="000000"/>
                <w:sz w:val="16"/>
                <w:szCs w:val="16"/>
                <w:lang w:val="en-US"/>
              </w:rPr>
              <w:t>NHI Indirect Grant</w:t>
            </w:r>
          </w:p>
        </w:tc>
        <w:tc>
          <w:tcPr>
            <w:tcW w:w="446" w:type="pct"/>
            <w:noWrap/>
            <w:hideMark/>
          </w:tcPr>
          <w:p w14:paraId="3CD0DB4A" w14:textId="38939F26" w:rsidR="00456D9F" w:rsidRPr="00E76669" w:rsidRDefault="00456D9F" w:rsidP="00E76669">
            <w:pPr>
              <w:jc w:val="center"/>
              <w:cnfStyle w:val="000000000000" w:firstRow="0" w:lastRow="0" w:firstColumn="0" w:lastColumn="0" w:oddVBand="0" w:evenVBand="0" w:oddHBand="0" w:evenHBand="0" w:firstRowFirstColumn="0" w:firstRowLastColumn="0" w:lastRowFirstColumn="0" w:lastRowLastColumn="0"/>
              <w:rPr>
                <w:rFonts w:ascii="Times" w:hAnsi="Times"/>
                <w:color w:val="000000"/>
                <w:sz w:val="16"/>
                <w:szCs w:val="16"/>
                <w:lang w:val="en-US"/>
              </w:rPr>
            </w:pPr>
            <w:r w:rsidRPr="00E76669">
              <w:rPr>
                <w:rFonts w:ascii="Times" w:hAnsi="Times"/>
                <w:color w:val="000000"/>
                <w:sz w:val="16"/>
                <w:szCs w:val="16"/>
                <w:lang w:val="en-US"/>
              </w:rPr>
              <w:t>740</w:t>
            </w:r>
            <w:r w:rsidR="00FC64FC">
              <w:rPr>
                <w:rFonts w:ascii="Times" w:hAnsi="Times"/>
                <w:color w:val="000000"/>
                <w:sz w:val="16"/>
                <w:szCs w:val="16"/>
                <w:lang w:val="en-US"/>
              </w:rPr>
              <w:t xml:space="preserve"> </w:t>
            </w:r>
            <w:r w:rsidRPr="00E76669">
              <w:rPr>
                <w:rFonts w:ascii="Times" w:hAnsi="Times"/>
                <w:color w:val="000000"/>
                <w:sz w:val="16"/>
                <w:szCs w:val="16"/>
                <w:lang w:val="en-US"/>
              </w:rPr>
              <w:t>400</w:t>
            </w:r>
          </w:p>
        </w:tc>
        <w:tc>
          <w:tcPr>
            <w:tcW w:w="446" w:type="pct"/>
            <w:noWrap/>
            <w:hideMark/>
          </w:tcPr>
          <w:p w14:paraId="3379753C" w14:textId="38567E11" w:rsidR="00456D9F" w:rsidRPr="00E76669" w:rsidRDefault="00456D9F" w:rsidP="00E76669">
            <w:pPr>
              <w:jc w:val="center"/>
              <w:cnfStyle w:val="000000000000" w:firstRow="0" w:lastRow="0" w:firstColumn="0" w:lastColumn="0" w:oddVBand="0" w:evenVBand="0" w:oddHBand="0" w:evenHBand="0" w:firstRowFirstColumn="0" w:firstRowLastColumn="0" w:lastRowFirstColumn="0" w:lastRowLastColumn="0"/>
              <w:rPr>
                <w:rFonts w:ascii="Times" w:hAnsi="Times"/>
                <w:color w:val="000000"/>
                <w:sz w:val="16"/>
                <w:szCs w:val="16"/>
                <w:lang w:val="en-US"/>
              </w:rPr>
            </w:pPr>
            <w:r w:rsidRPr="00E76669">
              <w:rPr>
                <w:rFonts w:ascii="Times" w:hAnsi="Times"/>
                <w:color w:val="000000"/>
                <w:sz w:val="16"/>
                <w:szCs w:val="16"/>
                <w:lang w:val="en-US"/>
              </w:rPr>
              <w:t>727</w:t>
            </w:r>
            <w:r w:rsidR="00FC64FC">
              <w:rPr>
                <w:rFonts w:ascii="Times" w:hAnsi="Times"/>
                <w:color w:val="000000"/>
                <w:sz w:val="16"/>
                <w:szCs w:val="16"/>
                <w:lang w:val="en-US"/>
              </w:rPr>
              <w:t xml:space="preserve"> </w:t>
            </w:r>
            <w:r w:rsidRPr="00E76669">
              <w:rPr>
                <w:rFonts w:ascii="Times" w:hAnsi="Times"/>
                <w:color w:val="000000"/>
                <w:sz w:val="16"/>
                <w:szCs w:val="16"/>
                <w:lang w:val="en-US"/>
              </w:rPr>
              <w:t>328</w:t>
            </w:r>
          </w:p>
        </w:tc>
        <w:tc>
          <w:tcPr>
            <w:tcW w:w="446" w:type="pct"/>
            <w:noWrap/>
            <w:hideMark/>
          </w:tcPr>
          <w:p w14:paraId="55933FFC" w14:textId="4F8AC037" w:rsidR="00456D9F" w:rsidRPr="00E76669" w:rsidRDefault="00456D9F" w:rsidP="00E76669">
            <w:pPr>
              <w:jc w:val="center"/>
              <w:cnfStyle w:val="000000000000" w:firstRow="0" w:lastRow="0" w:firstColumn="0" w:lastColumn="0" w:oddVBand="0" w:evenVBand="0" w:oddHBand="0" w:evenHBand="0" w:firstRowFirstColumn="0" w:firstRowLastColumn="0" w:lastRowFirstColumn="0" w:lastRowLastColumn="0"/>
              <w:rPr>
                <w:rFonts w:ascii="Times" w:hAnsi="Times"/>
                <w:color w:val="000000"/>
                <w:sz w:val="16"/>
                <w:szCs w:val="16"/>
                <w:lang w:val="en-US"/>
              </w:rPr>
            </w:pPr>
            <w:r w:rsidRPr="00E76669">
              <w:rPr>
                <w:rFonts w:ascii="Times" w:hAnsi="Times"/>
                <w:color w:val="000000"/>
                <w:sz w:val="16"/>
                <w:szCs w:val="16"/>
                <w:lang w:val="en-US"/>
              </w:rPr>
              <w:t>734</w:t>
            </w:r>
            <w:r w:rsidR="00FC64FC">
              <w:rPr>
                <w:rFonts w:ascii="Times" w:hAnsi="Times"/>
                <w:color w:val="000000"/>
                <w:sz w:val="16"/>
                <w:szCs w:val="16"/>
                <w:lang w:val="en-US"/>
              </w:rPr>
              <w:t xml:space="preserve"> </w:t>
            </w:r>
            <w:r w:rsidRPr="00E76669">
              <w:rPr>
                <w:rFonts w:ascii="Times" w:hAnsi="Times"/>
                <w:color w:val="000000"/>
                <w:sz w:val="16"/>
                <w:szCs w:val="16"/>
                <w:lang w:val="en-US"/>
              </w:rPr>
              <w:t>350</w:t>
            </w:r>
          </w:p>
        </w:tc>
        <w:tc>
          <w:tcPr>
            <w:tcW w:w="446" w:type="pct"/>
            <w:noWrap/>
            <w:hideMark/>
          </w:tcPr>
          <w:p w14:paraId="0D0A8170" w14:textId="7393F0DB" w:rsidR="00456D9F" w:rsidRPr="00E76669" w:rsidRDefault="00456D9F" w:rsidP="00E76669">
            <w:pPr>
              <w:jc w:val="center"/>
              <w:cnfStyle w:val="000000000000" w:firstRow="0" w:lastRow="0" w:firstColumn="0" w:lastColumn="0" w:oddVBand="0" w:evenVBand="0" w:oddHBand="0" w:evenHBand="0" w:firstRowFirstColumn="0" w:firstRowLastColumn="0" w:lastRowFirstColumn="0" w:lastRowLastColumn="0"/>
              <w:rPr>
                <w:rFonts w:ascii="Times" w:hAnsi="Times"/>
                <w:color w:val="000000"/>
                <w:sz w:val="16"/>
                <w:szCs w:val="16"/>
                <w:lang w:val="en-US"/>
              </w:rPr>
            </w:pPr>
            <w:r w:rsidRPr="00E76669">
              <w:rPr>
                <w:rFonts w:ascii="Times" w:hAnsi="Times"/>
                <w:color w:val="000000"/>
                <w:sz w:val="16"/>
                <w:szCs w:val="16"/>
                <w:lang w:val="en-US"/>
              </w:rPr>
              <w:t>2</w:t>
            </w:r>
            <w:r w:rsidR="00FC64FC">
              <w:rPr>
                <w:rFonts w:ascii="Times" w:hAnsi="Times"/>
                <w:color w:val="000000"/>
                <w:sz w:val="16"/>
                <w:szCs w:val="16"/>
                <w:lang w:val="en-US"/>
              </w:rPr>
              <w:t xml:space="preserve"> </w:t>
            </w:r>
            <w:r w:rsidRPr="00E76669">
              <w:rPr>
                <w:rFonts w:ascii="Times" w:hAnsi="Times"/>
                <w:color w:val="000000"/>
                <w:sz w:val="16"/>
                <w:szCs w:val="16"/>
                <w:lang w:val="en-US"/>
              </w:rPr>
              <w:t>202</w:t>
            </w:r>
            <w:r w:rsidR="00FC64FC">
              <w:rPr>
                <w:rFonts w:ascii="Times" w:hAnsi="Times"/>
                <w:color w:val="000000"/>
                <w:sz w:val="16"/>
                <w:szCs w:val="16"/>
                <w:lang w:val="en-US"/>
              </w:rPr>
              <w:t xml:space="preserve"> </w:t>
            </w:r>
            <w:r w:rsidRPr="00E76669">
              <w:rPr>
                <w:rFonts w:ascii="Times" w:hAnsi="Times"/>
                <w:color w:val="000000"/>
                <w:sz w:val="16"/>
                <w:szCs w:val="16"/>
                <w:lang w:val="en-US"/>
              </w:rPr>
              <w:t>078</w:t>
            </w:r>
          </w:p>
        </w:tc>
      </w:tr>
      <w:tr w:rsidR="00D4513B" w:rsidRPr="00E76669" w14:paraId="22134B57" w14:textId="77777777" w:rsidTr="00297210">
        <w:trPr>
          <w:trHeight w:val="408"/>
        </w:trPr>
        <w:tc>
          <w:tcPr>
            <w:cnfStyle w:val="001000000000" w:firstRow="0" w:lastRow="0" w:firstColumn="1" w:lastColumn="0" w:oddVBand="0" w:evenVBand="0" w:oddHBand="0" w:evenHBand="0" w:firstRowFirstColumn="0" w:firstRowLastColumn="0" w:lastRowFirstColumn="0" w:lastRowLastColumn="0"/>
            <w:tcW w:w="531" w:type="pct"/>
            <w:vMerge w:val="restart"/>
            <w:vAlign w:val="center"/>
            <w:hideMark/>
          </w:tcPr>
          <w:p w14:paraId="14933C14" w14:textId="77777777" w:rsidR="00D4513B" w:rsidRPr="00E76669" w:rsidRDefault="00D4513B" w:rsidP="00E76669">
            <w:pPr>
              <w:jc w:val="left"/>
              <w:rPr>
                <w:rFonts w:ascii="Times" w:hAnsi="Times"/>
                <w:color w:val="000000"/>
                <w:sz w:val="16"/>
                <w:szCs w:val="16"/>
                <w:lang w:val="en-US"/>
              </w:rPr>
            </w:pPr>
            <w:r w:rsidRPr="00E76669">
              <w:rPr>
                <w:rFonts w:ascii="Times" w:hAnsi="Times"/>
                <w:color w:val="000000"/>
                <w:sz w:val="16"/>
                <w:szCs w:val="16"/>
                <w:lang w:val="en-US"/>
              </w:rPr>
              <w:t>Economic Development</w:t>
            </w:r>
          </w:p>
        </w:tc>
        <w:tc>
          <w:tcPr>
            <w:tcW w:w="1032" w:type="pct"/>
            <w:vAlign w:val="center"/>
            <w:hideMark/>
          </w:tcPr>
          <w:p w14:paraId="6F74785F" w14:textId="4D82FABA" w:rsidR="00D4513B" w:rsidRPr="00E76669" w:rsidRDefault="00D4513B" w:rsidP="00E76669">
            <w:pPr>
              <w:jc w:val="left"/>
              <w:cnfStyle w:val="000000000000" w:firstRow="0" w:lastRow="0" w:firstColumn="0" w:lastColumn="0" w:oddVBand="0" w:evenVBand="0" w:oddHBand="0" w:evenHBand="0" w:firstRowFirstColumn="0" w:firstRowLastColumn="0" w:lastRowFirstColumn="0" w:lastRowLastColumn="0"/>
              <w:rPr>
                <w:rFonts w:ascii="Times" w:hAnsi="Times"/>
                <w:color w:val="000000"/>
                <w:sz w:val="16"/>
                <w:szCs w:val="16"/>
                <w:lang w:val="en-US"/>
              </w:rPr>
            </w:pPr>
            <w:r w:rsidRPr="00E76669">
              <w:rPr>
                <w:rFonts w:ascii="Times" w:hAnsi="Times"/>
                <w:color w:val="000000"/>
                <w:sz w:val="16"/>
                <w:szCs w:val="16"/>
                <w:lang w:val="en-US"/>
              </w:rPr>
              <w:t>Agriculture</w:t>
            </w:r>
            <w:r>
              <w:rPr>
                <w:rFonts w:ascii="Times" w:hAnsi="Times"/>
                <w:color w:val="000000"/>
                <w:sz w:val="16"/>
                <w:szCs w:val="16"/>
                <w:lang w:val="en-US"/>
              </w:rPr>
              <w:t xml:space="preserve"> </w:t>
            </w:r>
            <w:r w:rsidRPr="00E76669">
              <w:rPr>
                <w:rFonts w:ascii="Times" w:hAnsi="Times"/>
                <w:color w:val="000000"/>
                <w:sz w:val="16"/>
                <w:szCs w:val="16"/>
                <w:lang w:val="en-US"/>
              </w:rPr>
              <w:t xml:space="preserve"> Land Reform &amp; Rural Development</w:t>
            </w:r>
          </w:p>
        </w:tc>
        <w:tc>
          <w:tcPr>
            <w:tcW w:w="1653" w:type="pct"/>
            <w:noWrap/>
            <w:hideMark/>
          </w:tcPr>
          <w:p w14:paraId="623ABBB0" w14:textId="77777777" w:rsidR="00D4513B" w:rsidRPr="00E76669" w:rsidRDefault="00D4513B" w:rsidP="00E76669">
            <w:pPr>
              <w:jc w:val="left"/>
              <w:cnfStyle w:val="000000000000" w:firstRow="0" w:lastRow="0" w:firstColumn="0" w:lastColumn="0" w:oddVBand="0" w:evenVBand="0" w:oddHBand="0" w:evenHBand="0" w:firstRowFirstColumn="0" w:firstRowLastColumn="0" w:lastRowFirstColumn="0" w:lastRowLastColumn="0"/>
              <w:rPr>
                <w:rFonts w:ascii="Times" w:hAnsi="Times"/>
                <w:color w:val="000000"/>
                <w:sz w:val="16"/>
                <w:szCs w:val="16"/>
                <w:lang w:val="en-US"/>
              </w:rPr>
            </w:pPr>
            <w:r w:rsidRPr="00E76669">
              <w:rPr>
                <w:rFonts w:ascii="Times" w:hAnsi="Times"/>
                <w:color w:val="000000"/>
                <w:sz w:val="16"/>
                <w:szCs w:val="16"/>
                <w:lang w:val="en-US"/>
              </w:rPr>
              <w:t>Comprehensive Agricultural Support Grant</w:t>
            </w:r>
          </w:p>
        </w:tc>
        <w:tc>
          <w:tcPr>
            <w:tcW w:w="446" w:type="pct"/>
            <w:noWrap/>
            <w:hideMark/>
          </w:tcPr>
          <w:p w14:paraId="023F2D6D" w14:textId="1A50F3C0" w:rsidR="00D4513B" w:rsidRPr="00E76669" w:rsidRDefault="00D4513B" w:rsidP="00E76669">
            <w:pPr>
              <w:jc w:val="center"/>
              <w:cnfStyle w:val="000000000000" w:firstRow="0" w:lastRow="0" w:firstColumn="0" w:lastColumn="0" w:oddVBand="0" w:evenVBand="0" w:oddHBand="0" w:evenHBand="0" w:firstRowFirstColumn="0" w:firstRowLastColumn="0" w:lastRowFirstColumn="0" w:lastRowLastColumn="0"/>
              <w:rPr>
                <w:rFonts w:ascii="Times" w:hAnsi="Times"/>
                <w:color w:val="000000"/>
                <w:sz w:val="16"/>
                <w:szCs w:val="16"/>
                <w:lang w:val="en-US"/>
              </w:rPr>
            </w:pPr>
            <w:r w:rsidRPr="00E76669">
              <w:rPr>
                <w:rFonts w:ascii="Times" w:hAnsi="Times"/>
                <w:color w:val="000000"/>
                <w:sz w:val="16"/>
                <w:szCs w:val="16"/>
                <w:lang w:val="en-US"/>
              </w:rPr>
              <w:t>1</w:t>
            </w:r>
            <w:r>
              <w:rPr>
                <w:rFonts w:ascii="Times" w:hAnsi="Times"/>
                <w:color w:val="000000"/>
                <w:sz w:val="16"/>
                <w:szCs w:val="16"/>
                <w:lang w:val="en-US"/>
              </w:rPr>
              <w:t xml:space="preserve"> </w:t>
            </w:r>
            <w:r w:rsidRPr="00E76669">
              <w:rPr>
                <w:rFonts w:ascii="Times" w:hAnsi="Times"/>
                <w:color w:val="000000"/>
                <w:sz w:val="16"/>
                <w:szCs w:val="16"/>
                <w:lang w:val="en-US"/>
              </w:rPr>
              <w:t>522</w:t>
            </w:r>
            <w:r>
              <w:rPr>
                <w:rFonts w:ascii="Times" w:hAnsi="Times"/>
                <w:color w:val="000000"/>
                <w:sz w:val="16"/>
                <w:szCs w:val="16"/>
                <w:lang w:val="en-US"/>
              </w:rPr>
              <w:t xml:space="preserve"> </w:t>
            </w:r>
            <w:r w:rsidRPr="00E76669">
              <w:rPr>
                <w:rFonts w:ascii="Times" w:hAnsi="Times"/>
                <w:color w:val="000000"/>
                <w:sz w:val="16"/>
                <w:szCs w:val="16"/>
                <w:lang w:val="en-US"/>
              </w:rPr>
              <w:t>190</w:t>
            </w:r>
          </w:p>
        </w:tc>
        <w:tc>
          <w:tcPr>
            <w:tcW w:w="446" w:type="pct"/>
            <w:noWrap/>
            <w:hideMark/>
          </w:tcPr>
          <w:p w14:paraId="4CBE63F2" w14:textId="1A72A855" w:rsidR="00D4513B" w:rsidRPr="00E76669" w:rsidRDefault="00D4513B" w:rsidP="00E76669">
            <w:pPr>
              <w:jc w:val="right"/>
              <w:cnfStyle w:val="000000000000" w:firstRow="0" w:lastRow="0" w:firstColumn="0" w:lastColumn="0" w:oddVBand="0" w:evenVBand="0" w:oddHBand="0" w:evenHBand="0" w:firstRowFirstColumn="0" w:firstRowLastColumn="0" w:lastRowFirstColumn="0" w:lastRowLastColumn="0"/>
              <w:rPr>
                <w:rFonts w:ascii="Times" w:hAnsi="Times"/>
                <w:color w:val="000000"/>
                <w:sz w:val="16"/>
                <w:szCs w:val="16"/>
                <w:lang w:val="en-US"/>
              </w:rPr>
            </w:pPr>
            <w:r w:rsidRPr="00E76669">
              <w:rPr>
                <w:rFonts w:ascii="Times" w:hAnsi="Times"/>
                <w:color w:val="000000"/>
                <w:sz w:val="16"/>
                <w:szCs w:val="16"/>
                <w:lang w:val="en-US"/>
              </w:rPr>
              <w:t>1</w:t>
            </w:r>
            <w:r>
              <w:rPr>
                <w:rFonts w:ascii="Times" w:hAnsi="Times"/>
                <w:color w:val="000000"/>
                <w:sz w:val="16"/>
                <w:szCs w:val="16"/>
                <w:lang w:val="en-US"/>
              </w:rPr>
              <w:t xml:space="preserve"> </w:t>
            </w:r>
            <w:r w:rsidRPr="00E76669">
              <w:rPr>
                <w:rFonts w:ascii="Times" w:hAnsi="Times"/>
                <w:color w:val="000000"/>
                <w:sz w:val="16"/>
                <w:szCs w:val="16"/>
                <w:lang w:val="en-US"/>
              </w:rPr>
              <w:t>619</w:t>
            </w:r>
            <w:r>
              <w:rPr>
                <w:rFonts w:ascii="Times" w:hAnsi="Times"/>
                <w:color w:val="000000"/>
                <w:sz w:val="16"/>
                <w:szCs w:val="16"/>
                <w:lang w:val="en-US"/>
              </w:rPr>
              <w:t xml:space="preserve"> </w:t>
            </w:r>
            <w:r w:rsidRPr="00E76669">
              <w:rPr>
                <w:rFonts w:ascii="Times" w:hAnsi="Times"/>
                <w:color w:val="000000"/>
                <w:sz w:val="16"/>
                <w:szCs w:val="16"/>
                <w:lang w:val="en-US"/>
              </w:rPr>
              <w:t>895</w:t>
            </w:r>
          </w:p>
        </w:tc>
        <w:tc>
          <w:tcPr>
            <w:tcW w:w="446" w:type="pct"/>
            <w:noWrap/>
            <w:hideMark/>
          </w:tcPr>
          <w:p w14:paraId="3F0D2158" w14:textId="26DB12A2" w:rsidR="00D4513B" w:rsidRPr="00E76669" w:rsidRDefault="00D4513B" w:rsidP="00E76669">
            <w:pPr>
              <w:jc w:val="right"/>
              <w:cnfStyle w:val="000000000000" w:firstRow="0" w:lastRow="0" w:firstColumn="0" w:lastColumn="0" w:oddVBand="0" w:evenVBand="0" w:oddHBand="0" w:evenHBand="0" w:firstRowFirstColumn="0" w:firstRowLastColumn="0" w:lastRowFirstColumn="0" w:lastRowLastColumn="0"/>
              <w:rPr>
                <w:rFonts w:ascii="Times" w:hAnsi="Times"/>
                <w:color w:val="000000"/>
                <w:sz w:val="16"/>
                <w:szCs w:val="16"/>
                <w:lang w:val="en-US"/>
              </w:rPr>
            </w:pPr>
            <w:r w:rsidRPr="00E76669">
              <w:rPr>
                <w:rFonts w:ascii="Times" w:hAnsi="Times"/>
                <w:color w:val="000000"/>
                <w:sz w:val="16"/>
                <w:szCs w:val="16"/>
                <w:lang w:val="en-US"/>
              </w:rPr>
              <w:t>1</w:t>
            </w:r>
            <w:r>
              <w:rPr>
                <w:rFonts w:ascii="Times" w:hAnsi="Times"/>
                <w:color w:val="000000"/>
                <w:sz w:val="16"/>
                <w:szCs w:val="16"/>
                <w:lang w:val="en-US"/>
              </w:rPr>
              <w:t xml:space="preserve"> </w:t>
            </w:r>
            <w:r w:rsidRPr="00E76669">
              <w:rPr>
                <w:rFonts w:ascii="Times" w:hAnsi="Times"/>
                <w:color w:val="000000"/>
                <w:sz w:val="16"/>
                <w:szCs w:val="16"/>
                <w:lang w:val="en-US"/>
              </w:rPr>
              <w:t>671</w:t>
            </w:r>
            <w:r>
              <w:rPr>
                <w:rFonts w:ascii="Times" w:hAnsi="Times"/>
                <w:color w:val="000000"/>
                <w:sz w:val="16"/>
                <w:szCs w:val="16"/>
                <w:lang w:val="en-US"/>
              </w:rPr>
              <w:t xml:space="preserve"> </w:t>
            </w:r>
            <w:r w:rsidRPr="00E76669">
              <w:rPr>
                <w:rFonts w:ascii="Times" w:hAnsi="Times"/>
                <w:color w:val="000000"/>
                <w:sz w:val="16"/>
                <w:szCs w:val="16"/>
                <w:lang w:val="en-US"/>
              </w:rPr>
              <w:t>590</w:t>
            </w:r>
          </w:p>
        </w:tc>
        <w:tc>
          <w:tcPr>
            <w:tcW w:w="446" w:type="pct"/>
            <w:noWrap/>
            <w:hideMark/>
          </w:tcPr>
          <w:p w14:paraId="75C5030F" w14:textId="6ACF54F2" w:rsidR="00D4513B" w:rsidRPr="00E76669" w:rsidRDefault="00D4513B" w:rsidP="00E76669">
            <w:pPr>
              <w:jc w:val="center"/>
              <w:cnfStyle w:val="000000000000" w:firstRow="0" w:lastRow="0" w:firstColumn="0" w:lastColumn="0" w:oddVBand="0" w:evenVBand="0" w:oddHBand="0" w:evenHBand="0" w:firstRowFirstColumn="0" w:firstRowLastColumn="0" w:lastRowFirstColumn="0" w:lastRowLastColumn="0"/>
              <w:rPr>
                <w:rFonts w:ascii="Times" w:hAnsi="Times"/>
                <w:color w:val="000000"/>
                <w:sz w:val="16"/>
                <w:szCs w:val="16"/>
                <w:lang w:val="en-US"/>
              </w:rPr>
            </w:pPr>
            <w:r w:rsidRPr="00E76669">
              <w:rPr>
                <w:rFonts w:ascii="Times" w:hAnsi="Times"/>
                <w:color w:val="000000"/>
                <w:sz w:val="16"/>
                <w:szCs w:val="16"/>
                <w:lang w:val="en-US"/>
              </w:rPr>
              <w:t>4</w:t>
            </w:r>
            <w:r>
              <w:rPr>
                <w:rFonts w:ascii="Times" w:hAnsi="Times"/>
                <w:color w:val="000000"/>
                <w:sz w:val="16"/>
                <w:szCs w:val="16"/>
                <w:lang w:val="en-US"/>
              </w:rPr>
              <w:t xml:space="preserve"> </w:t>
            </w:r>
            <w:r w:rsidRPr="00E76669">
              <w:rPr>
                <w:rFonts w:ascii="Times" w:hAnsi="Times"/>
                <w:color w:val="000000"/>
                <w:sz w:val="16"/>
                <w:szCs w:val="16"/>
                <w:lang w:val="en-US"/>
              </w:rPr>
              <w:t>813</w:t>
            </w:r>
            <w:r>
              <w:rPr>
                <w:rFonts w:ascii="Times" w:hAnsi="Times"/>
                <w:color w:val="000000"/>
                <w:sz w:val="16"/>
                <w:szCs w:val="16"/>
                <w:lang w:val="en-US"/>
              </w:rPr>
              <w:t xml:space="preserve"> </w:t>
            </w:r>
            <w:r w:rsidRPr="00E76669">
              <w:rPr>
                <w:rFonts w:ascii="Times" w:hAnsi="Times"/>
                <w:color w:val="000000"/>
                <w:sz w:val="16"/>
                <w:szCs w:val="16"/>
                <w:lang w:val="en-US"/>
              </w:rPr>
              <w:t>675</w:t>
            </w:r>
          </w:p>
        </w:tc>
      </w:tr>
      <w:tr w:rsidR="00D4513B" w:rsidRPr="00E76669" w14:paraId="27949FFB" w14:textId="77777777" w:rsidTr="00297210">
        <w:trPr>
          <w:trHeight w:val="204"/>
        </w:trPr>
        <w:tc>
          <w:tcPr>
            <w:cnfStyle w:val="001000000000" w:firstRow="0" w:lastRow="0" w:firstColumn="1" w:lastColumn="0" w:oddVBand="0" w:evenVBand="0" w:oddHBand="0" w:evenHBand="0" w:firstRowFirstColumn="0" w:firstRowLastColumn="0" w:lastRowFirstColumn="0" w:lastRowLastColumn="0"/>
            <w:tcW w:w="531" w:type="pct"/>
            <w:vMerge/>
            <w:vAlign w:val="center"/>
            <w:hideMark/>
          </w:tcPr>
          <w:p w14:paraId="593E09DE" w14:textId="77777777" w:rsidR="00D4513B" w:rsidRPr="00E76669" w:rsidRDefault="00D4513B" w:rsidP="00E76669">
            <w:pPr>
              <w:jc w:val="left"/>
              <w:rPr>
                <w:rFonts w:ascii="Times" w:hAnsi="Times"/>
                <w:color w:val="000000"/>
                <w:sz w:val="16"/>
                <w:szCs w:val="16"/>
                <w:lang w:val="en-US"/>
              </w:rPr>
            </w:pPr>
          </w:p>
        </w:tc>
        <w:tc>
          <w:tcPr>
            <w:tcW w:w="1032" w:type="pct"/>
            <w:vMerge w:val="restart"/>
            <w:vAlign w:val="center"/>
            <w:hideMark/>
          </w:tcPr>
          <w:p w14:paraId="3C0D6B81" w14:textId="77777777" w:rsidR="00D4513B" w:rsidRPr="00E76669" w:rsidRDefault="00D4513B" w:rsidP="00E76669">
            <w:pPr>
              <w:jc w:val="left"/>
              <w:cnfStyle w:val="000000000000" w:firstRow="0" w:lastRow="0" w:firstColumn="0" w:lastColumn="0" w:oddVBand="0" w:evenVBand="0" w:oddHBand="0" w:evenHBand="0" w:firstRowFirstColumn="0" w:firstRowLastColumn="0" w:lastRowFirstColumn="0" w:lastRowLastColumn="0"/>
              <w:rPr>
                <w:rFonts w:ascii="Times" w:hAnsi="Times"/>
                <w:color w:val="000000"/>
                <w:sz w:val="16"/>
                <w:szCs w:val="16"/>
                <w:lang w:val="en-US"/>
              </w:rPr>
            </w:pPr>
            <w:r w:rsidRPr="00E76669">
              <w:rPr>
                <w:rFonts w:ascii="Times" w:hAnsi="Times"/>
                <w:color w:val="000000"/>
                <w:sz w:val="16"/>
                <w:szCs w:val="16"/>
                <w:lang w:val="en-US"/>
              </w:rPr>
              <w:t>Transport</w:t>
            </w:r>
          </w:p>
        </w:tc>
        <w:tc>
          <w:tcPr>
            <w:tcW w:w="1653" w:type="pct"/>
            <w:noWrap/>
            <w:hideMark/>
          </w:tcPr>
          <w:p w14:paraId="69E2163E" w14:textId="77777777" w:rsidR="00D4513B" w:rsidRPr="00E76669" w:rsidRDefault="00D4513B" w:rsidP="00E76669">
            <w:pPr>
              <w:jc w:val="left"/>
              <w:cnfStyle w:val="000000000000" w:firstRow="0" w:lastRow="0" w:firstColumn="0" w:lastColumn="0" w:oddVBand="0" w:evenVBand="0" w:oddHBand="0" w:evenHBand="0" w:firstRowFirstColumn="0" w:firstRowLastColumn="0" w:lastRowFirstColumn="0" w:lastRowLastColumn="0"/>
              <w:rPr>
                <w:rFonts w:ascii="Times" w:hAnsi="Times"/>
                <w:color w:val="000000"/>
                <w:sz w:val="16"/>
                <w:szCs w:val="16"/>
                <w:lang w:val="en-US"/>
              </w:rPr>
            </w:pPr>
            <w:r w:rsidRPr="00E76669">
              <w:rPr>
                <w:rFonts w:ascii="Times" w:hAnsi="Times"/>
                <w:color w:val="000000"/>
                <w:sz w:val="16"/>
                <w:szCs w:val="16"/>
                <w:lang w:val="en-US"/>
              </w:rPr>
              <w:t>Provincial Roads Maintenance Grant</w:t>
            </w:r>
          </w:p>
        </w:tc>
        <w:tc>
          <w:tcPr>
            <w:tcW w:w="446" w:type="pct"/>
            <w:noWrap/>
            <w:hideMark/>
          </w:tcPr>
          <w:p w14:paraId="217C3552" w14:textId="5A5EEDC8" w:rsidR="00D4513B" w:rsidRPr="00E76669" w:rsidRDefault="00D4513B" w:rsidP="00E76669">
            <w:pPr>
              <w:jc w:val="center"/>
              <w:cnfStyle w:val="000000000000" w:firstRow="0" w:lastRow="0" w:firstColumn="0" w:lastColumn="0" w:oddVBand="0" w:evenVBand="0" w:oddHBand="0" w:evenHBand="0" w:firstRowFirstColumn="0" w:firstRowLastColumn="0" w:lastRowFirstColumn="0" w:lastRowLastColumn="0"/>
              <w:rPr>
                <w:rFonts w:ascii="Times" w:hAnsi="Times"/>
                <w:color w:val="000000"/>
                <w:sz w:val="16"/>
                <w:szCs w:val="16"/>
                <w:lang w:val="en-US"/>
              </w:rPr>
            </w:pPr>
            <w:r w:rsidRPr="00E76669">
              <w:rPr>
                <w:rFonts w:ascii="Times" w:hAnsi="Times"/>
                <w:color w:val="000000"/>
                <w:sz w:val="16"/>
                <w:szCs w:val="16"/>
                <w:lang w:val="en-US"/>
              </w:rPr>
              <w:t>11</w:t>
            </w:r>
            <w:r>
              <w:rPr>
                <w:rFonts w:ascii="Times" w:hAnsi="Times"/>
                <w:color w:val="000000"/>
                <w:sz w:val="16"/>
                <w:szCs w:val="16"/>
                <w:lang w:val="en-US"/>
              </w:rPr>
              <w:t xml:space="preserve"> </w:t>
            </w:r>
            <w:r w:rsidRPr="00E76669">
              <w:rPr>
                <w:rFonts w:ascii="Times" w:hAnsi="Times"/>
                <w:color w:val="000000"/>
                <w:sz w:val="16"/>
                <w:szCs w:val="16"/>
                <w:lang w:val="en-US"/>
              </w:rPr>
              <w:t>593</w:t>
            </w:r>
            <w:r>
              <w:rPr>
                <w:rFonts w:ascii="Times" w:hAnsi="Times"/>
                <w:color w:val="000000"/>
                <w:sz w:val="16"/>
                <w:szCs w:val="16"/>
                <w:lang w:val="en-US"/>
              </w:rPr>
              <w:t xml:space="preserve"> </w:t>
            </w:r>
            <w:r w:rsidRPr="00E76669">
              <w:rPr>
                <w:rFonts w:ascii="Times" w:hAnsi="Times"/>
                <w:color w:val="000000"/>
                <w:sz w:val="16"/>
                <w:szCs w:val="16"/>
                <w:lang w:val="en-US"/>
              </w:rPr>
              <w:t>174</w:t>
            </w:r>
          </w:p>
        </w:tc>
        <w:tc>
          <w:tcPr>
            <w:tcW w:w="446" w:type="pct"/>
            <w:noWrap/>
            <w:hideMark/>
          </w:tcPr>
          <w:p w14:paraId="35165ABD" w14:textId="54191C79" w:rsidR="00D4513B" w:rsidRPr="00E76669" w:rsidRDefault="00D4513B" w:rsidP="00E76669">
            <w:pPr>
              <w:jc w:val="right"/>
              <w:cnfStyle w:val="000000000000" w:firstRow="0" w:lastRow="0" w:firstColumn="0" w:lastColumn="0" w:oddVBand="0" w:evenVBand="0" w:oddHBand="0" w:evenHBand="0" w:firstRowFirstColumn="0" w:firstRowLastColumn="0" w:lastRowFirstColumn="0" w:lastRowLastColumn="0"/>
              <w:rPr>
                <w:rFonts w:ascii="Times" w:hAnsi="Times"/>
                <w:color w:val="000000"/>
                <w:sz w:val="16"/>
                <w:szCs w:val="16"/>
                <w:lang w:val="en-US"/>
              </w:rPr>
            </w:pPr>
            <w:r w:rsidRPr="00E76669">
              <w:rPr>
                <w:rFonts w:ascii="Times" w:hAnsi="Times"/>
                <w:color w:val="000000"/>
                <w:sz w:val="16"/>
                <w:szCs w:val="16"/>
                <w:lang w:val="en-US"/>
              </w:rPr>
              <w:t>11</w:t>
            </w:r>
            <w:r>
              <w:rPr>
                <w:rFonts w:ascii="Times" w:hAnsi="Times"/>
                <w:color w:val="000000"/>
                <w:sz w:val="16"/>
                <w:szCs w:val="16"/>
                <w:lang w:val="en-US"/>
              </w:rPr>
              <w:t xml:space="preserve"> </w:t>
            </w:r>
            <w:r w:rsidRPr="00E76669">
              <w:rPr>
                <w:rFonts w:ascii="Times" w:hAnsi="Times"/>
                <w:color w:val="000000"/>
                <w:sz w:val="16"/>
                <w:szCs w:val="16"/>
                <w:lang w:val="en-US"/>
              </w:rPr>
              <w:t>937</w:t>
            </w:r>
            <w:r>
              <w:rPr>
                <w:rFonts w:ascii="Times" w:hAnsi="Times"/>
                <w:color w:val="000000"/>
                <w:sz w:val="16"/>
                <w:szCs w:val="16"/>
                <w:lang w:val="en-US"/>
              </w:rPr>
              <w:t xml:space="preserve"> </w:t>
            </w:r>
            <w:r w:rsidRPr="00E76669">
              <w:rPr>
                <w:rFonts w:ascii="Times" w:hAnsi="Times"/>
                <w:color w:val="000000"/>
                <w:sz w:val="16"/>
                <w:szCs w:val="16"/>
                <w:lang w:val="en-US"/>
              </w:rPr>
              <w:t>511</w:t>
            </w:r>
          </w:p>
        </w:tc>
        <w:tc>
          <w:tcPr>
            <w:tcW w:w="446" w:type="pct"/>
            <w:noWrap/>
            <w:hideMark/>
          </w:tcPr>
          <w:p w14:paraId="35A3D73B" w14:textId="5364A90E" w:rsidR="00D4513B" w:rsidRPr="00E76669" w:rsidRDefault="00D4513B" w:rsidP="00E76669">
            <w:pPr>
              <w:jc w:val="right"/>
              <w:cnfStyle w:val="000000000000" w:firstRow="0" w:lastRow="0" w:firstColumn="0" w:lastColumn="0" w:oddVBand="0" w:evenVBand="0" w:oddHBand="0" w:evenHBand="0" w:firstRowFirstColumn="0" w:firstRowLastColumn="0" w:lastRowFirstColumn="0" w:lastRowLastColumn="0"/>
              <w:rPr>
                <w:rFonts w:ascii="Times" w:hAnsi="Times"/>
                <w:color w:val="000000"/>
                <w:sz w:val="16"/>
                <w:szCs w:val="16"/>
                <w:lang w:val="en-US"/>
              </w:rPr>
            </w:pPr>
            <w:r w:rsidRPr="00E76669">
              <w:rPr>
                <w:rFonts w:ascii="Times" w:hAnsi="Times"/>
                <w:color w:val="000000"/>
                <w:sz w:val="16"/>
                <w:szCs w:val="16"/>
                <w:lang w:val="en-US"/>
              </w:rPr>
              <w:t>12</w:t>
            </w:r>
            <w:r>
              <w:rPr>
                <w:rFonts w:ascii="Times" w:hAnsi="Times"/>
                <w:color w:val="000000"/>
                <w:sz w:val="16"/>
                <w:szCs w:val="16"/>
                <w:lang w:val="en-US"/>
              </w:rPr>
              <w:t xml:space="preserve"> </w:t>
            </w:r>
            <w:r w:rsidRPr="00E76669">
              <w:rPr>
                <w:rFonts w:ascii="Times" w:hAnsi="Times"/>
                <w:color w:val="000000"/>
                <w:sz w:val="16"/>
                <w:szCs w:val="16"/>
                <w:lang w:val="en-US"/>
              </w:rPr>
              <w:t>506</w:t>
            </w:r>
            <w:r>
              <w:rPr>
                <w:rFonts w:ascii="Times" w:hAnsi="Times"/>
                <w:color w:val="000000"/>
                <w:sz w:val="16"/>
                <w:szCs w:val="16"/>
                <w:lang w:val="en-US"/>
              </w:rPr>
              <w:t xml:space="preserve"> </w:t>
            </w:r>
            <w:r w:rsidRPr="00E76669">
              <w:rPr>
                <w:rFonts w:ascii="Times" w:hAnsi="Times"/>
                <w:color w:val="000000"/>
                <w:sz w:val="16"/>
                <w:szCs w:val="16"/>
                <w:lang w:val="en-US"/>
              </w:rPr>
              <w:t>785</w:t>
            </w:r>
          </w:p>
        </w:tc>
        <w:tc>
          <w:tcPr>
            <w:tcW w:w="446" w:type="pct"/>
            <w:noWrap/>
            <w:hideMark/>
          </w:tcPr>
          <w:p w14:paraId="6984D2B7" w14:textId="4004F5F5" w:rsidR="00D4513B" w:rsidRPr="00E76669" w:rsidRDefault="00D4513B" w:rsidP="00E76669">
            <w:pPr>
              <w:jc w:val="center"/>
              <w:cnfStyle w:val="000000000000" w:firstRow="0" w:lastRow="0" w:firstColumn="0" w:lastColumn="0" w:oddVBand="0" w:evenVBand="0" w:oddHBand="0" w:evenHBand="0" w:firstRowFirstColumn="0" w:firstRowLastColumn="0" w:lastRowFirstColumn="0" w:lastRowLastColumn="0"/>
              <w:rPr>
                <w:rFonts w:ascii="Times" w:hAnsi="Times"/>
                <w:color w:val="000000"/>
                <w:sz w:val="16"/>
                <w:szCs w:val="16"/>
                <w:lang w:val="en-US"/>
              </w:rPr>
            </w:pPr>
            <w:r w:rsidRPr="00E76669">
              <w:rPr>
                <w:rFonts w:ascii="Times" w:hAnsi="Times"/>
                <w:color w:val="000000"/>
                <w:sz w:val="16"/>
                <w:szCs w:val="16"/>
                <w:lang w:val="en-US"/>
              </w:rPr>
              <w:t>36</w:t>
            </w:r>
            <w:r>
              <w:rPr>
                <w:rFonts w:ascii="Times" w:hAnsi="Times"/>
                <w:color w:val="000000"/>
                <w:sz w:val="16"/>
                <w:szCs w:val="16"/>
                <w:lang w:val="en-US"/>
              </w:rPr>
              <w:t xml:space="preserve"> </w:t>
            </w:r>
            <w:r w:rsidRPr="00E76669">
              <w:rPr>
                <w:rFonts w:ascii="Times" w:hAnsi="Times"/>
                <w:color w:val="000000"/>
                <w:sz w:val="16"/>
                <w:szCs w:val="16"/>
                <w:lang w:val="en-US"/>
              </w:rPr>
              <w:t>037</w:t>
            </w:r>
            <w:r>
              <w:rPr>
                <w:rFonts w:ascii="Times" w:hAnsi="Times"/>
                <w:color w:val="000000"/>
                <w:sz w:val="16"/>
                <w:szCs w:val="16"/>
                <w:lang w:val="en-US"/>
              </w:rPr>
              <w:t xml:space="preserve"> </w:t>
            </w:r>
            <w:r w:rsidRPr="00E76669">
              <w:rPr>
                <w:rFonts w:ascii="Times" w:hAnsi="Times"/>
                <w:color w:val="000000"/>
                <w:sz w:val="16"/>
                <w:szCs w:val="16"/>
                <w:lang w:val="en-US"/>
              </w:rPr>
              <w:t>470</w:t>
            </w:r>
          </w:p>
        </w:tc>
      </w:tr>
      <w:tr w:rsidR="00D4513B" w:rsidRPr="00E76669" w14:paraId="2E0ACC0A" w14:textId="77777777" w:rsidTr="00297210">
        <w:trPr>
          <w:trHeight w:val="204"/>
        </w:trPr>
        <w:tc>
          <w:tcPr>
            <w:cnfStyle w:val="001000000000" w:firstRow="0" w:lastRow="0" w:firstColumn="1" w:lastColumn="0" w:oddVBand="0" w:evenVBand="0" w:oddHBand="0" w:evenHBand="0" w:firstRowFirstColumn="0" w:firstRowLastColumn="0" w:lastRowFirstColumn="0" w:lastRowLastColumn="0"/>
            <w:tcW w:w="531" w:type="pct"/>
            <w:vMerge/>
            <w:vAlign w:val="center"/>
            <w:hideMark/>
          </w:tcPr>
          <w:p w14:paraId="0BCA306F" w14:textId="77777777" w:rsidR="00D4513B" w:rsidRPr="00E76669" w:rsidRDefault="00D4513B" w:rsidP="00E76669">
            <w:pPr>
              <w:jc w:val="left"/>
              <w:rPr>
                <w:rFonts w:ascii="Times" w:hAnsi="Times"/>
                <w:color w:val="000000"/>
                <w:sz w:val="16"/>
                <w:szCs w:val="16"/>
                <w:lang w:val="en-US"/>
              </w:rPr>
            </w:pPr>
          </w:p>
        </w:tc>
        <w:tc>
          <w:tcPr>
            <w:tcW w:w="1032" w:type="pct"/>
            <w:vMerge/>
            <w:vAlign w:val="center"/>
            <w:hideMark/>
          </w:tcPr>
          <w:p w14:paraId="66B0DA67" w14:textId="77777777" w:rsidR="00D4513B" w:rsidRPr="00E76669" w:rsidRDefault="00D4513B" w:rsidP="00E76669">
            <w:pPr>
              <w:jc w:val="left"/>
              <w:cnfStyle w:val="000000000000" w:firstRow="0" w:lastRow="0" w:firstColumn="0" w:lastColumn="0" w:oddVBand="0" w:evenVBand="0" w:oddHBand="0" w:evenHBand="0" w:firstRowFirstColumn="0" w:firstRowLastColumn="0" w:lastRowFirstColumn="0" w:lastRowLastColumn="0"/>
              <w:rPr>
                <w:rFonts w:ascii="Times" w:hAnsi="Times"/>
                <w:color w:val="000000"/>
                <w:sz w:val="16"/>
                <w:szCs w:val="16"/>
                <w:lang w:val="en-US"/>
              </w:rPr>
            </w:pPr>
          </w:p>
        </w:tc>
        <w:tc>
          <w:tcPr>
            <w:tcW w:w="1653" w:type="pct"/>
            <w:noWrap/>
            <w:hideMark/>
          </w:tcPr>
          <w:p w14:paraId="29B79795" w14:textId="77777777" w:rsidR="00D4513B" w:rsidRPr="00E76669" w:rsidRDefault="00D4513B" w:rsidP="00E76669">
            <w:pPr>
              <w:jc w:val="left"/>
              <w:cnfStyle w:val="000000000000" w:firstRow="0" w:lastRow="0" w:firstColumn="0" w:lastColumn="0" w:oddVBand="0" w:evenVBand="0" w:oddHBand="0" w:evenHBand="0" w:firstRowFirstColumn="0" w:firstRowLastColumn="0" w:lastRowFirstColumn="0" w:lastRowLastColumn="0"/>
              <w:rPr>
                <w:rFonts w:ascii="Times" w:hAnsi="Times"/>
                <w:color w:val="000000"/>
                <w:sz w:val="16"/>
                <w:szCs w:val="16"/>
                <w:lang w:val="en-US"/>
              </w:rPr>
            </w:pPr>
            <w:r w:rsidRPr="00E76669">
              <w:rPr>
                <w:rFonts w:ascii="Times" w:hAnsi="Times"/>
                <w:color w:val="000000"/>
                <w:sz w:val="16"/>
                <w:szCs w:val="16"/>
                <w:lang w:val="en-US"/>
              </w:rPr>
              <w:t>Public Transport Operations Grant</w:t>
            </w:r>
          </w:p>
        </w:tc>
        <w:tc>
          <w:tcPr>
            <w:tcW w:w="446" w:type="pct"/>
            <w:noWrap/>
            <w:hideMark/>
          </w:tcPr>
          <w:p w14:paraId="033EF3C4" w14:textId="1CEFF6D9" w:rsidR="00D4513B" w:rsidRPr="00E76669" w:rsidRDefault="00D4513B" w:rsidP="00E76669">
            <w:pPr>
              <w:jc w:val="center"/>
              <w:cnfStyle w:val="000000000000" w:firstRow="0" w:lastRow="0" w:firstColumn="0" w:lastColumn="0" w:oddVBand="0" w:evenVBand="0" w:oddHBand="0" w:evenHBand="0" w:firstRowFirstColumn="0" w:firstRowLastColumn="0" w:lastRowFirstColumn="0" w:lastRowLastColumn="0"/>
              <w:rPr>
                <w:rFonts w:ascii="Times" w:hAnsi="Times"/>
                <w:color w:val="000000"/>
                <w:sz w:val="16"/>
                <w:szCs w:val="16"/>
                <w:lang w:val="en-US"/>
              </w:rPr>
            </w:pPr>
            <w:r w:rsidRPr="00E76669">
              <w:rPr>
                <w:rFonts w:ascii="Times" w:hAnsi="Times"/>
                <w:color w:val="000000"/>
                <w:sz w:val="16"/>
                <w:szCs w:val="16"/>
                <w:lang w:val="en-US"/>
              </w:rPr>
              <w:t>6</w:t>
            </w:r>
            <w:r>
              <w:rPr>
                <w:rFonts w:ascii="Times" w:hAnsi="Times"/>
                <w:color w:val="000000"/>
                <w:sz w:val="16"/>
                <w:szCs w:val="16"/>
                <w:lang w:val="en-US"/>
              </w:rPr>
              <w:t xml:space="preserve"> </w:t>
            </w:r>
            <w:r w:rsidRPr="00E76669">
              <w:rPr>
                <w:rFonts w:ascii="Times" w:hAnsi="Times"/>
                <w:color w:val="000000"/>
                <w:sz w:val="16"/>
                <w:szCs w:val="16"/>
                <w:lang w:val="en-US"/>
              </w:rPr>
              <w:t>749</w:t>
            </w:r>
            <w:r>
              <w:rPr>
                <w:rFonts w:ascii="Times" w:hAnsi="Times"/>
                <w:color w:val="000000"/>
                <w:sz w:val="16"/>
                <w:szCs w:val="16"/>
                <w:lang w:val="en-US"/>
              </w:rPr>
              <w:t xml:space="preserve"> </w:t>
            </w:r>
            <w:r w:rsidRPr="00E76669">
              <w:rPr>
                <w:rFonts w:ascii="Times" w:hAnsi="Times"/>
                <w:color w:val="000000"/>
                <w:sz w:val="16"/>
                <w:szCs w:val="16"/>
                <w:lang w:val="en-US"/>
              </w:rPr>
              <w:t>581</w:t>
            </w:r>
          </w:p>
        </w:tc>
        <w:tc>
          <w:tcPr>
            <w:tcW w:w="446" w:type="pct"/>
            <w:noWrap/>
            <w:hideMark/>
          </w:tcPr>
          <w:p w14:paraId="211A685E" w14:textId="78BF2DC2" w:rsidR="00D4513B" w:rsidRPr="00E76669" w:rsidRDefault="00D4513B" w:rsidP="00E76669">
            <w:pPr>
              <w:jc w:val="right"/>
              <w:cnfStyle w:val="000000000000" w:firstRow="0" w:lastRow="0" w:firstColumn="0" w:lastColumn="0" w:oddVBand="0" w:evenVBand="0" w:oddHBand="0" w:evenHBand="0" w:firstRowFirstColumn="0" w:firstRowLastColumn="0" w:lastRowFirstColumn="0" w:lastRowLastColumn="0"/>
              <w:rPr>
                <w:rFonts w:ascii="Times" w:hAnsi="Times"/>
                <w:color w:val="000000"/>
                <w:sz w:val="16"/>
                <w:szCs w:val="16"/>
                <w:lang w:val="en-US"/>
              </w:rPr>
            </w:pPr>
            <w:r w:rsidRPr="00E76669">
              <w:rPr>
                <w:rFonts w:ascii="Times" w:hAnsi="Times"/>
                <w:color w:val="000000"/>
                <w:sz w:val="16"/>
                <w:szCs w:val="16"/>
                <w:lang w:val="en-US"/>
              </w:rPr>
              <w:t>7</w:t>
            </w:r>
            <w:r>
              <w:rPr>
                <w:rFonts w:ascii="Times" w:hAnsi="Times"/>
                <w:color w:val="000000"/>
                <w:sz w:val="16"/>
                <w:szCs w:val="16"/>
                <w:lang w:val="en-US"/>
              </w:rPr>
              <w:t xml:space="preserve"> </w:t>
            </w:r>
            <w:r w:rsidRPr="00E76669">
              <w:rPr>
                <w:rFonts w:ascii="Times" w:hAnsi="Times"/>
                <w:color w:val="000000"/>
                <w:sz w:val="16"/>
                <w:szCs w:val="16"/>
                <w:lang w:val="en-US"/>
              </w:rPr>
              <w:t>120</w:t>
            </w:r>
            <w:r>
              <w:rPr>
                <w:rFonts w:ascii="Times" w:hAnsi="Times"/>
                <w:color w:val="000000"/>
                <w:sz w:val="16"/>
                <w:szCs w:val="16"/>
                <w:lang w:val="en-US"/>
              </w:rPr>
              <w:t xml:space="preserve"> </w:t>
            </w:r>
            <w:r w:rsidRPr="00E76669">
              <w:rPr>
                <w:rFonts w:ascii="Times" w:hAnsi="Times"/>
                <w:color w:val="000000"/>
                <w:sz w:val="16"/>
                <w:szCs w:val="16"/>
                <w:lang w:val="en-US"/>
              </w:rPr>
              <w:t>808</w:t>
            </w:r>
          </w:p>
        </w:tc>
        <w:tc>
          <w:tcPr>
            <w:tcW w:w="446" w:type="pct"/>
            <w:noWrap/>
            <w:hideMark/>
          </w:tcPr>
          <w:p w14:paraId="0D22A08A" w14:textId="5CCEE07A" w:rsidR="00D4513B" w:rsidRPr="00E76669" w:rsidRDefault="00D4513B" w:rsidP="00E76669">
            <w:pPr>
              <w:jc w:val="right"/>
              <w:cnfStyle w:val="000000000000" w:firstRow="0" w:lastRow="0" w:firstColumn="0" w:lastColumn="0" w:oddVBand="0" w:evenVBand="0" w:oddHBand="0" w:evenHBand="0" w:firstRowFirstColumn="0" w:firstRowLastColumn="0" w:lastRowFirstColumn="0" w:lastRowLastColumn="0"/>
              <w:rPr>
                <w:rFonts w:ascii="Times" w:hAnsi="Times"/>
                <w:color w:val="000000"/>
                <w:sz w:val="16"/>
                <w:szCs w:val="16"/>
                <w:lang w:val="en-US"/>
              </w:rPr>
            </w:pPr>
            <w:r w:rsidRPr="00E76669">
              <w:rPr>
                <w:rFonts w:ascii="Times" w:hAnsi="Times"/>
                <w:color w:val="000000"/>
                <w:sz w:val="16"/>
                <w:szCs w:val="16"/>
                <w:lang w:val="en-US"/>
              </w:rPr>
              <w:t>7</w:t>
            </w:r>
            <w:r>
              <w:rPr>
                <w:rFonts w:ascii="Times" w:hAnsi="Times"/>
                <w:color w:val="000000"/>
                <w:sz w:val="16"/>
                <w:szCs w:val="16"/>
                <w:lang w:val="en-US"/>
              </w:rPr>
              <w:t xml:space="preserve"> </w:t>
            </w:r>
            <w:r w:rsidRPr="00E76669">
              <w:rPr>
                <w:rFonts w:ascii="Times" w:hAnsi="Times"/>
                <w:color w:val="000000"/>
                <w:sz w:val="16"/>
                <w:szCs w:val="16"/>
                <w:lang w:val="en-US"/>
              </w:rPr>
              <w:t>090</w:t>
            </w:r>
            <w:r>
              <w:rPr>
                <w:rFonts w:ascii="Times" w:hAnsi="Times"/>
                <w:color w:val="000000"/>
                <w:sz w:val="16"/>
                <w:szCs w:val="16"/>
                <w:lang w:val="en-US"/>
              </w:rPr>
              <w:t xml:space="preserve"> </w:t>
            </w:r>
            <w:r w:rsidRPr="00E76669">
              <w:rPr>
                <w:rFonts w:ascii="Times" w:hAnsi="Times"/>
                <w:color w:val="000000"/>
                <w:sz w:val="16"/>
                <w:szCs w:val="16"/>
                <w:lang w:val="en-US"/>
              </w:rPr>
              <w:t>432</w:t>
            </w:r>
          </w:p>
        </w:tc>
        <w:tc>
          <w:tcPr>
            <w:tcW w:w="446" w:type="pct"/>
            <w:noWrap/>
            <w:hideMark/>
          </w:tcPr>
          <w:p w14:paraId="04759611" w14:textId="5AC81EAD" w:rsidR="00D4513B" w:rsidRPr="00E76669" w:rsidRDefault="00D4513B" w:rsidP="00E76669">
            <w:pPr>
              <w:jc w:val="center"/>
              <w:cnfStyle w:val="000000000000" w:firstRow="0" w:lastRow="0" w:firstColumn="0" w:lastColumn="0" w:oddVBand="0" w:evenVBand="0" w:oddHBand="0" w:evenHBand="0" w:firstRowFirstColumn="0" w:firstRowLastColumn="0" w:lastRowFirstColumn="0" w:lastRowLastColumn="0"/>
              <w:rPr>
                <w:rFonts w:ascii="Times" w:hAnsi="Times"/>
                <w:color w:val="000000"/>
                <w:sz w:val="16"/>
                <w:szCs w:val="16"/>
                <w:lang w:val="en-US"/>
              </w:rPr>
            </w:pPr>
            <w:r w:rsidRPr="00E76669">
              <w:rPr>
                <w:rFonts w:ascii="Times" w:hAnsi="Times"/>
                <w:color w:val="000000"/>
                <w:sz w:val="16"/>
                <w:szCs w:val="16"/>
                <w:lang w:val="en-US"/>
              </w:rPr>
              <w:t>20</w:t>
            </w:r>
            <w:r>
              <w:rPr>
                <w:rFonts w:ascii="Times" w:hAnsi="Times"/>
                <w:color w:val="000000"/>
                <w:sz w:val="16"/>
                <w:szCs w:val="16"/>
                <w:lang w:val="en-US"/>
              </w:rPr>
              <w:t xml:space="preserve"> </w:t>
            </w:r>
            <w:r w:rsidRPr="00E76669">
              <w:rPr>
                <w:rFonts w:ascii="Times" w:hAnsi="Times"/>
                <w:color w:val="000000"/>
                <w:sz w:val="16"/>
                <w:szCs w:val="16"/>
                <w:lang w:val="en-US"/>
              </w:rPr>
              <w:t>960</w:t>
            </w:r>
            <w:r>
              <w:rPr>
                <w:rFonts w:ascii="Times" w:hAnsi="Times"/>
                <w:color w:val="000000"/>
                <w:sz w:val="16"/>
                <w:szCs w:val="16"/>
                <w:lang w:val="en-US"/>
              </w:rPr>
              <w:t xml:space="preserve"> </w:t>
            </w:r>
            <w:r w:rsidRPr="00E76669">
              <w:rPr>
                <w:rFonts w:ascii="Times" w:hAnsi="Times"/>
                <w:color w:val="000000"/>
                <w:sz w:val="16"/>
                <w:szCs w:val="16"/>
                <w:lang w:val="en-US"/>
              </w:rPr>
              <w:t>821</w:t>
            </w:r>
          </w:p>
        </w:tc>
      </w:tr>
      <w:tr w:rsidR="00D4513B" w:rsidRPr="00E76669" w14:paraId="28F28E8B" w14:textId="77777777" w:rsidTr="00297210">
        <w:trPr>
          <w:trHeight w:val="204"/>
        </w:trPr>
        <w:tc>
          <w:tcPr>
            <w:cnfStyle w:val="001000000000" w:firstRow="0" w:lastRow="0" w:firstColumn="1" w:lastColumn="0" w:oddVBand="0" w:evenVBand="0" w:oddHBand="0" w:evenHBand="0" w:firstRowFirstColumn="0" w:firstRowLastColumn="0" w:lastRowFirstColumn="0" w:lastRowLastColumn="0"/>
            <w:tcW w:w="531" w:type="pct"/>
            <w:vMerge/>
            <w:vAlign w:val="center"/>
            <w:hideMark/>
          </w:tcPr>
          <w:p w14:paraId="6F426882" w14:textId="77777777" w:rsidR="00D4513B" w:rsidRPr="00E76669" w:rsidRDefault="00D4513B" w:rsidP="00E76669">
            <w:pPr>
              <w:jc w:val="left"/>
              <w:rPr>
                <w:rFonts w:ascii="Times" w:hAnsi="Times"/>
                <w:color w:val="000000"/>
                <w:sz w:val="16"/>
                <w:szCs w:val="16"/>
                <w:lang w:val="en-US"/>
              </w:rPr>
            </w:pPr>
          </w:p>
        </w:tc>
        <w:tc>
          <w:tcPr>
            <w:tcW w:w="1032" w:type="pct"/>
            <w:vMerge/>
            <w:vAlign w:val="center"/>
            <w:hideMark/>
          </w:tcPr>
          <w:p w14:paraId="61B02B00" w14:textId="77777777" w:rsidR="00D4513B" w:rsidRPr="00E76669" w:rsidRDefault="00D4513B" w:rsidP="00E76669">
            <w:pPr>
              <w:jc w:val="left"/>
              <w:cnfStyle w:val="000000000000" w:firstRow="0" w:lastRow="0" w:firstColumn="0" w:lastColumn="0" w:oddVBand="0" w:evenVBand="0" w:oddHBand="0" w:evenHBand="0" w:firstRowFirstColumn="0" w:firstRowLastColumn="0" w:lastRowFirstColumn="0" w:lastRowLastColumn="0"/>
              <w:rPr>
                <w:rFonts w:ascii="Times" w:hAnsi="Times"/>
                <w:color w:val="000000"/>
                <w:sz w:val="16"/>
                <w:szCs w:val="16"/>
                <w:lang w:val="en-US"/>
              </w:rPr>
            </w:pPr>
          </w:p>
        </w:tc>
        <w:tc>
          <w:tcPr>
            <w:tcW w:w="1653" w:type="pct"/>
            <w:noWrap/>
            <w:hideMark/>
          </w:tcPr>
          <w:p w14:paraId="3E6E8EDE" w14:textId="77777777" w:rsidR="00D4513B" w:rsidRPr="00E76669" w:rsidRDefault="00D4513B" w:rsidP="00E76669">
            <w:pPr>
              <w:jc w:val="left"/>
              <w:cnfStyle w:val="000000000000" w:firstRow="0" w:lastRow="0" w:firstColumn="0" w:lastColumn="0" w:oddVBand="0" w:evenVBand="0" w:oddHBand="0" w:evenHBand="0" w:firstRowFirstColumn="0" w:firstRowLastColumn="0" w:lastRowFirstColumn="0" w:lastRowLastColumn="0"/>
              <w:rPr>
                <w:rFonts w:ascii="Times" w:hAnsi="Times"/>
                <w:color w:val="000000"/>
                <w:sz w:val="16"/>
                <w:szCs w:val="16"/>
                <w:lang w:val="en-US"/>
              </w:rPr>
            </w:pPr>
            <w:r w:rsidRPr="00E76669">
              <w:rPr>
                <w:rFonts w:ascii="Times" w:hAnsi="Times"/>
                <w:color w:val="000000"/>
                <w:sz w:val="16"/>
                <w:szCs w:val="16"/>
                <w:lang w:val="en-US"/>
              </w:rPr>
              <w:t>Public Transport Network Grant</w:t>
            </w:r>
          </w:p>
        </w:tc>
        <w:tc>
          <w:tcPr>
            <w:tcW w:w="446" w:type="pct"/>
            <w:noWrap/>
            <w:hideMark/>
          </w:tcPr>
          <w:p w14:paraId="326BBBC2" w14:textId="507D9ED3" w:rsidR="00D4513B" w:rsidRPr="00E76669" w:rsidRDefault="00D4513B" w:rsidP="00E76669">
            <w:pPr>
              <w:jc w:val="center"/>
              <w:cnfStyle w:val="000000000000" w:firstRow="0" w:lastRow="0" w:firstColumn="0" w:lastColumn="0" w:oddVBand="0" w:evenVBand="0" w:oddHBand="0" w:evenHBand="0" w:firstRowFirstColumn="0" w:firstRowLastColumn="0" w:lastRowFirstColumn="0" w:lastRowLastColumn="0"/>
              <w:rPr>
                <w:rFonts w:ascii="Times" w:hAnsi="Times"/>
                <w:color w:val="000000"/>
                <w:sz w:val="16"/>
                <w:szCs w:val="16"/>
                <w:lang w:val="en-US"/>
              </w:rPr>
            </w:pPr>
            <w:r w:rsidRPr="00E76669">
              <w:rPr>
                <w:rFonts w:ascii="Times" w:hAnsi="Times"/>
                <w:color w:val="000000"/>
                <w:sz w:val="16"/>
                <w:szCs w:val="16"/>
                <w:lang w:val="en-US"/>
              </w:rPr>
              <w:t>6</w:t>
            </w:r>
            <w:r>
              <w:rPr>
                <w:rFonts w:ascii="Times" w:hAnsi="Times"/>
                <w:color w:val="000000"/>
                <w:sz w:val="16"/>
                <w:szCs w:val="16"/>
                <w:lang w:val="en-US"/>
              </w:rPr>
              <w:t xml:space="preserve"> </w:t>
            </w:r>
            <w:r w:rsidRPr="00E76669">
              <w:rPr>
                <w:rFonts w:ascii="Times" w:hAnsi="Times"/>
                <w:color w:val="000000"/>
                <w:sz w:val="16"/>
                <w:szCs w:val="16"/>
                <w:lang w:val="en-US"/>
              </w:rPr>
              <w:t>445</w:t>
            </w:r>
            <w:r>
              <w:rPr>
                <w:rFonts w:ascii="Times" w:hAnsi="Times"/>
                <w:color w:val="000000"/>
                <w:sz w:val="16"/>
                <w:szCs w:val="16"/>
                <w:lang w:val="en-US"/>
              </w:rPr>
              <w:t xml:space="preserve"> </w:t>
            </w:r>
            <w:r w:rsidRPr="00E76669">
              <w:rPr>
                <w:rFonts w:ascii="Times" w:hAnsi="Times"/>
                <w:color w:val="000000"/>
                <w:sz w:val="16"/>
                <w:szCs w:val="16"/>
                <w:lang w:val="en-US"/>
              </w:rPr>
              <w:t>848</w:t>
            </w:r>
          </w:p>
        </w:tc>
        <w:tc>
          <w:tcPr>
            <w:tcW w:w="446" w:type="pct"/>
            <w:noWrap/>
            <w:hideMark/>
          </w:tcPr>
          <w:p w14:paraId="6A0EC489" w14:textId="18393F03" w:rsidR="00D4513B" w:rsidRPr="00E76669" w:rsidRDefault="00D4513B" w:rsidP="00E76669">
            <w:pPr>
              <w:jc w:val="right"/>
              <w:cnfStyle w:val="000000000000" w:firstRow="0" w:lastRow="0" w:firstColumn="0" w:lastColumn="0" w:oddVBand="0" w:evenVBand="0" w:oddHBand="0" w:evenHBand="0" w:firstRowFirstColumn="0" w:firstRowLastColumn="0" w:lastRowFirstColumn="0" w:lastRowLastColumn="0"/>
              <w:rPr>
                <w:rFonts w:ascii="Times" w:hAnsi="Times"/>
                <w:color w:val="000000"/>
                <w:sz w:val="16"/>
                <w:szCs w:val="16"/>
                <w:lang w:val="en-US"/>
              </w:rPr>
            </w:pPr>
            <w:r w:rsidRPr="00E76669">
              <w:rPr>
                <w:rFonts w:ascii="Times" w:hAnsi="Times"/>
                <w:color w:val="000000"/>
                <w:sz w:val="16"/>
                <w:szCs w:val="16"/>
                <w:lang w:val="en-US"/>
              </w:rPr>
              <w:t>6</w:t>
            </w:r>
            <w:r>
              <w:rPr>
                <w:rFonts w:ascii="Times" w:hAnsi="Times"/>
                <w:color w:val="000000"/>
                <w:sz w:val="16"/>
                <w:szCs w:val="16"/>
                <w:lang w:val="en-US"/>
              </w:rPr>
              <w:t xml:space="preserve"> </w:t>
            </w:r>
            <w:r w:rsidRPr="00E76669">
              <w:rPr>
                <w:rFonts w:ascii="Times" w:hAnsi="Times"/>
                <w:color w:val="000000"/>
                <w:sz w:val="16"/>
                <w:szCs w:val="16"/>
                <w:lang w:val="en-US"/>
              </w:rPr>
              <w:t>796</w:t>
            </w:r>
            <w:r>
              <w:rPr>
                <w:rFonts w:ascii="Times" w:hAnsi="Times"/>
                <w:color w:val="000000"/>
                <w:sz w:val="16"/>
                <w:szCs w:val="16"/>
                <w:lang w:val="en-US"/>
              </w:rPr>
              <w:t xml:space="preserve"> </w:t>
            </w:r>
            <w:r w:rsidRPr="00E76669">
              <w:rPr>
                <w:rFonts w:ascii="Times" w:hAnsi="Times"/>
                <w:color w:val="000000"/>
                <w:sz w:val="16"/>
                <w:szCs w:val="16"/>
                <w:lang w:val="en-US"/>
              </w:rPr>
              <w:t>572</w:t>
            </w:r>
          </w:p>
        </w:tc>
        <w:tc>
          <w:tcPr>
            <w:tcW w:w="446" w:type="pct"/>
            <w:noWrap/>
            <w:hideMark/>
          </w:tcPr>
          <w:p w14:paraId="5396AB69" w14:textId="73C31319" w:rsidR="00D4513B" w:rsidRPr="00E76669" w:rsidRDefault="00D4513B" w:rsidP="00E76669">
            <w:pPr>
              <w:jc w:val="right"/>
              <w:cnfStyle w:val="000000000000" w:firstRow="0" w:lastRow="0" w:firstColumn="0" w:lastColumn="0" w:oddVBand="0" w:evenVBand="0" w:oddHBand="0" w:evenHBand="0" w:firstRowFirstColumn="0" w:firstRowLastColumn="0" w:lastRowFirstColumn="0" w:lastRowLastColumn="0"/>
              <w:rPr>
                <w:rFonts w:ascii="Times" w:hAnsi="Times"/>
                <w:color w:val="000000"/>
                <w:sz w:val="16"/>
                <w:szCs w:val="16"/>
                <w:lang w:val="en-US"/>
              </w:rPr>
            </w:pPr>
            <w:r w:rsidRPr="00E76669">
              <w:rPr>
                <w:rFonts w:ascii="Times" w:hAnsi="Times"/>
                <w:color w:val="000000"/>
                <w:sz w:val="16"/>
                <w:szCs w:val="16"/>
                <w:lang w:val="en-US"/>
              </w:rPr>
              <w:t>7</w:t>
            </w:r>
            <w:r>
              <w:rPr>
                <w:rFonts w:ascii="Times" w:hAnsi="Times"/>
                <w:color w:val="000000"/>
                <w:sz w:val="16"/>
                <w:szCs w:val="16"/>
                <w:lang w:val="en-US"/>
              </w:rPr>
              <w:t xml:space="preserve"> </w:t>
            </w:r>
            <w:r w:rsidRPr="00E76669">
              <w:rPr>
                <w:rFonts w:ascii="Times" w:hAnsi="Times"/>
                <w:color w:val="000000"/>
                <w:sz w:val="16"/>
                <w:szCs w:val="16"/>
                <w:lang w:val="en-US"/>
              </w:rPr>
              <w:t>119</w:t>
            </w:r>
            <w:r>
              <w:rPr>
                <w:rFonts w:ascii="Times" w:hAnsi="Times"/>
                <w:color w:val="000000"/>
                <w:sz w:val="16"/>
                <w:szCs w:val="16"/>
                <w:lang w:val="en-US"/>
              </w:rPr>
              <w:t xml:space="preserve"> </w:t>
            </w:r>
            <w:r w:rsidRPr="00E76669">
              <w:rPr>
                <w:rFonts w:ascii="Times" w:hAnsi="Times"/>
                <w:color w:val="000000"/>
                <w:sz w:val="16"/>
                <w:szCs w:val="16"/>
                <w:lang w:val="en-US"/>
              </w:rPr>
              <w:t>154</w:t>
            </w:r>
          </w:p>
        </w:tc>
        <w:tc>
          <w:tcPr>
            <w:tcW w:w="446" w:type="pct"/>
            <w:noWrap/>
            <w:hideMark/>
          </w:tcPr>
          <w:p w14:paraId="563ACDB5" w14:textId="1214390D" w:rsidR="00D4513B" w:rsidRPr="00E76669" w:rsidRDefault="00D4513B" w:rsidP="00E76669">
            <w:pPr>
              <w:jc w:val="center"/>
              <w:cnfStyle w:val="000000000000" w:firstRow="0" w:lastRow="0" w:firstColumn="0" w:lastColumn="0" w:oddVBand="0" w:evenVBand="0" w:oddHBand="0" w:evenHBand="0" w:firstRowFirstColumn="0" w:firstRowLastColumn="0" w:lastRowFirstColumn="0" w:lastRowLastColumn="0"/>
              <w:rPr>
                <w:rFonts w:ascii="Times" w:hAnsi="Times"/>
                <w:color w:val="000000"/>
                <w:sz w:val="16"/>
                <w:szCs w:val="16"/>
                <w:lang w:val="en-US"/>
              </w:rPr>
            </w:pPr>
            <w:r w:rsidRPr="00E76669">
              <w:rPr>
                <w:rFonts w:ascii="Times" w:hAnsi="Times"/>
                <w:color w:val="000000"/>
                <w:sz w:val="16"/>
                <w:szCs w:val="16"/>
                <w:lang w:val="en-US"/>
              </w:rPr>
              <w:t>20</w:t>
            </w:r>
            <w:r>
              <w:rPr>
                <w:rFonts w:ascii="Times" w:hAnsi="Times"/>
                <w:color w:val="000000"/>
                <w:sz w:val="16"/>
                <w:szCs w:val="16"/>
                <w:lang w:val="en-US"/>
              </w:rPr>
              <w:t xml:space="preserve"> </w:t>
            </w:r>
            <w:r w:rsidRPr="00E76669">
              <w:rPr>
                <w:rFonts w:ascii="Times" w:hAnsi="Times"/>
                <w:color w:val="000000"/>
                <w:sz w:val="16"/>
                <w:szCs w:val="16"/>
                <w:lang w:val="en-US"/>
              </w:rPr>
              <w:t>361</w:t>
            </w:r>
            <w:r>
              <w:rPr>
                <w:rFonts w:ascii="Times" w:hAnsi="Times"/>
                <w:color w:val="000000"/>
                <w:sz w:val="16"/>
                <w:szCs w:val="16"/>
                <w:lang w:val="en-US"/>
              </w:rPr>
              <w:t xml:space="preserve"> </w:t>
            </w:r>
            <w:r w:rsidRPr="00E76669">
              <w:rPr>
                <w:rFonts w:ascii="Times" w:hAnsi="Times"/>
                <w:color w:val="000000"/>
                <w:sz w:val="16"/>
                <w:szCs w:val="16"/>
                <w:lang w:val="en-US"/>
              </w:rPr>
              <w:t>574</w:t>
            </w:r>
          </w:p>
        </w:tc>
      </w:tr>
      <w:tr w:rsidR="00D4513B" w:rsidRPr="00E76669" w14:paraId="14CD0ED4" w14:textId="77777777" w:rsidTr="00297210">
        <w:trPr>
          <w:trHeight w:val="204"/>
        </w:trPr>
        <w:tc>
          <w:tcPr>
            <w:cnfStyle w:val="001000000000" w:firstRow="0" w:lastRow="0" w:firstColumn="1" w:lastColumn="0" w:oddVBand="0" w:evenVBand="0" w:oddHBand="0" w:evenHBand="0" w:firstRowFirstColumn="0" w:firstRowLastColumn="0" w:lastRowFirstColumn="0" w:lastRowLastColumn="0"/>
            <w:tcW w:w="531" w:type="pct"/>
            <w:vMerge/>
            <w:vAlign w:val="center"/>
            <w:hideMark/>
          </w:tcPr>
          <w:p w14:paraId="7C5332A6" w14:textId="77777777" w:rsidR="00D4513B" w:rsidRPr="00E76669" w:rsidRDefault="00D4513B" w:rsidP="00E76669">
            <w:pPr>
              <w:jc w:val="left"/>
              <w:rPr>
                <w:rFonts w:ascii="Times" w:hAnsi="Times"/>
                <w:color w:val="000000"/>
                <w:sz w:val="16"/>
                <w:szCs w:val="16"/>
                <w:lang w:val="en-US"/>
              </w:rPr>
            </w:pPr>
          </w:p>
        </w:tc>
        <w:tc>
          <w:tcPr>
            <w:tcW w:w="1032" w:type="pct"/>
            <w:vMerge w:val="restart"/>
            <w:vAlign w:val="center"/>
            <w:hideMark/>
          </w:tcPr>
          <w:p w14:paraId="1ECB0770" w14:textId="77777777" w:rsidR="00D4513B" w:rsidRPr="00E76669" w:rsidRDefault="00D4513B" w:rsidP="00E76669">
            <w:pPr>
              <w:jc w:val="left"/>
              <w:cnfStyle w:val="000000000000" w:firstRow="0" w:lastRow="0" w:firstColumn="0" w:lastColumn="0" w:oddVBand="0" w:evenVBand="0" w:oddHBand="0" w:evenHBand="0" w:firstRowFirstColumn="0" w:firstRowLastColumn="0" w:lastRowFirstColumn="0" w:lastRowLastColumn="0"/>
              <w:rPr>
                <w:rFonts w:ascii="Times" w:hAnsi="Times"/>
                <w:color w:val="000000"/>
                <w:sz w:val="16"/>
                <w:szCs w:val="16"/>
                <w:lang w:val="en-US"/>
              </w:rPr>
            </w:pPr>
            <w:r w:rsidRPr="00E76669">
              <w:rPr>
                <w:rFonts w:ascii="Times" w:hAnsi="Times"/>
                <w:color w:val="000000"/>
                <w:sz w:val="16"/>
                <w:szCs w:val="16"/>
                <w:lang w:val="en-US"/>
              </w:rPr>
              <w:t>National Treasury</w:t>
            </w:r>
          </w:p>
        </w:tc>
        <w:tc>
          <w:tcPr>
            <w:tcW w:w="1653" w:type="pct"/>
            <w:noWrap/>
            <w:hideMark/>
          </w:tcPr>
          <w:p w14:paraId="6DE91459" w14:textId="77777777" w:rsidR="00D4513B" w:rsidRPr="00E76669" w:rsidRDefault="00D4513B" w:rsidP="00E76669">
            <w:pPr>
              <w:jc w:val="left"/>
              <w:cnfStyle w:val="000000000000" w:firstRow="0" w:lastRow="0" w:firstColumn="0" w:lastColumn="0" w:oddVBand="0" w:evenVBand="0" w:oddHBand="0" w:evenHBand="0" w:firstRowFirstColumn="0" w:firstRowLastColumn="0" w:lastRowFirstColumn="0" w:lastRowLastColumn="0"/>
              <w:rPr>
                <w:rFonts w:ascii="Times" w:hAnsi="Times"/>
                <w:color w:val="000000"/>
                <w:sz w:val="16"/>
                <w:szCs w:val="16"/>
                <w:lang w:val="en-US"/>
              </w:rPr>
            </w:pPr>
            <w:r w:rsidRPr="00E76669">
              <w:rPr>
                <w:rFonts w:ascii="Times" w:hAnsi="Times"/>
                <w:color w:val="000000"/>
                <w:sz w:val="16"/>
                <w:szCs w:val="16"/>
                <w:lang w:val="en-US"/>
              </w:rPr>
              <w:t>Integrated City Development Grant</w:t>
            </w:r>
          </w:p>
        </w:tc>
        <w:tc>
          <w:tcPr>
            <w:tcW w:w="446" w:type="pct"/>
            <w:noWrap/>
            <w:hideMark/>
          </w:tcPr>
          <w:p w14:paraId="21BE912C" w14:textId="42A5F946" w:rsidR="00D4513B" w:rsidRPr="00E76669" w:rsidRDefault="00D4513B" w:rsidP="00E76669">
            <w:pPr>
              <w:jc w:val="center"/>
              <w:cnfStyle w:val="000000000000" w:firstRow="0" w:lastRow="0" w:firstColumn="0" w:lastColumn="0" w:oddVBand="0" w:evenVBand="0" w:oddHBand="0" w:evenHBand="0" w:firstRowFirstColumn="0" w:firstRowLastColumn="0" w:lastRowFirstColumn="0" w:lastRowLastColumn="0"/>
              <w:rPr>
                <w:rFonts w:ascii="Times" w:hAnsi="Times"/>
                <w:color w:val="000000"/>
                <w:sz w:val="16"/>
                <w:szCs w:val="16"/>
                <w:lang w:val="en-US"/>
              </w:rPr>
            </w:pPr>
            <w:r w:rsidRPr="00E76669">
              <w:rPr>
                <w:rFonts w:ascii="Times" w:hAnsi="Times"/>
                <w:color w:val="000000"/>
                <w:sz w:val="16"/>
                <w:szCs w:val="16"/>
                <w:lang w:val="en-US"/>
              </w:rPr>
              <w:t>317</w:t>
            </w:r>
            <w:r>
              <w:rPr>
                <w:rFonts w:ascii="Times" w:hAnsi="Times"/>
                <w:color w:val="000000"/>
                <w:sz w:val="16"/>
                <w:szCs w:val="16"/>
                <w:lang w:val="en-US"/>
              </w:rPr>
              <w:t xml:space="preserve"> </w:t>
            </w:r>
            <w:r w:rsidRPr="00E76669">
              <w:rPr>
                <w:rFonts w:ascii="Times" w:hAnsi="Times"/>
                <w:color w:val="000000"/>
                <w:sz w:val="16"/>
                <w:szCs w:val="16"/>
                <w:lang w:val="en-US"/>
              </w:rPr>
              <w:t>499</w:t>
            </w:r>
          </w:p>
        </w:tc>
        <w:tc>
          <w:tcPr>
            <w:tcW w:w="446" w:type="pct"/>
            <w:noWrap/>
            <w:hideMark/>
          </w:tcPr>
          <w:p w14:paraId="26D3FBC2" w14:textId="0CE4FD2D" w:rsidR="00D4513B" w:rsidRPr="00E76669" w:rsidRDefault="00D4513B" w:rsidP="00E76669">
            <w:pPr>
              <w:jc w:val="right"/>
              <w:cnfStyle w:val="000000000000" w:firstRow="0" w:lastRow="0" w:firstColumn="0" w:lastColumn="0" w:oddVBand="0" w:evenVBand="0" w:oddHBand="0" w:evenHBand="0" w:firstRowFirstColumn="0" w:firstRowLastColumn="0" w:lastRowFirstColumn="0" w:lastRowLastColumn="0"/>
              <w:rPr>
                <w:rFonts w:ascii="Times" w:hAnsi="Times"/>
                <w:color w:val="000000"/>
                <w:sz w:val="16"/>
                <w:szCs w:val="16"/>
                <w:lang w:val="en-US"/>
              </w:rPr>
            </w:pPr>
            <w:r w:rsidRPr="00E76669">
              <w:rPr>
                <w:rFonts w:ascii="Times" w:hAnsi="Times"/>
                <w:color w:val="000000"/>
                <w:sz w:val="16"/>
                <w:szCs w:val="16"/>
                <w:lang w:val="en-US"/>
              </w:rPr>
              <w:t>341</w:t>
            </w:r>
            <w:r>
              <w:rPr>
                <w:rFonts w:ascii="Times" w:hAnsi="Times"/>
                <w:color w:val="000000"/>
                <w:sz w:val="16"/>
                <w:szCs w:val="16"/>
                <w:lang w:val="en-US"/>
              </w:rPr>
              <w:t xml:space="preserve"> </w:t>
            </w:r>
            <w:r w:rsidRPr="00E76669">
              <w:rPr>
                <w:rFonts w:ascii="Times" w:hAnsi="Times"/>
                <w:color w:val="000000"/>
                <w:sz w:val="16"/>
                <w:szCs w:val="16"/>
                <w:lang w:val="en-US"/>
              </w:rPr>
              <w:t>312</w:t>
            </w:r>
          </w:p>
        </w:tc>
        <w:tc>
          <w:tcPr>
            <w:tcW w:w="446" w:type="pct"/>
            <w:noWrap/>
            <w:hideMark/>
          </w:tcPr>
          <w:p w14:paraId="2D6E12DA" w14:textId="453A2676" w:rsidR="00D4513B" w:rsidRPr="00E76669" w:rsidRDefault="00D4513B" w:rsidP="00E76669">
            <w:pPr>
              <w:jc w:val="right"/>
              <w:cnfStyle w:val="000000000000" w:firstRow="0" w:lastRow="0" w:firstColumn="0" w:lastColumn="0" w:oddVBand="0" w:evenVBand="0" w:oddHBand="0" w:evenHBand="0" w:firstRowFirstColumn="0" w:firstRowLastColumn="0" w:lastRowFirstColumn="0" w:lastRowLastColumn="0"/>
              <w:rPr>
                <w:rFonts w:ascii="Times" w:hAnsi="Times"/>
                <w:color w:val="000000"/>
                <w:sz w:val="16"/>
                <w:szCs w:val="16"/>
                <w:lang w:val="en-US"/>
              </w:rPr>
            </w:pPr>
            <w:r w:rsidRPr="00E76669">
              <w:rPr>
                <w:rFonts w:ascii="Times" w:hAnsi="Times"/>
                <w:color w:val="000000"/>
                <w:sz w:val="16"/>
                <w:szCs w:val="16"/>
                <w:lang w:val="en-US"/>
              </w:rPr>
              <w:t>360</w:t>
            </w:r>
            <w:r>
              <w:rPr>
                <w:rFonts w:ascii="Times" w:hAnsi="Times"/>
                <w:color w:val="000000"/>
                <w:sz w:val="16"/>
                <w:szCs w:val="16"/>
                <w:lang w:val="en-US"/>
              </w:rPr>
              <w:t xml:space="preserve"> </w:t>
            </w:r>
            <w:r w:rsidRPr="00E76669">
              <w:rPr>
                <w:rFonts w:ascii="Times" w:hAnsi="Times"/>
                <w:color w:val="000000"/>
                <w:sz w:val="16"/>
                <w:szCs w:val="16"/>
                <w:lang w:val="en-US"/>
              </w:rPr>
              <w:t>886</w:t>
            </w:r>
          </w:p>
        </w:tc>
        <w:tc>
          <w:tcPr>
            <w:tcW w:w="446" w:type="pct"/>
            <w:noWrap/>
            <w:hideMark/>
          </w:tcPr>
          <w:p w14:paraId="72D5F2B5" w14:textId="5A81A156" w:rsidR="00D4513B" w:rsidRPr="00E76669" w:rsidRDefault="00D4513B" w:rsidP="00E76669">
            <w:pPr>
              <w:jc w:val="center"/>
              <w:cnfStyle w:val="000000000000" w:firstRow="0" w:lastRow="0" w:firstColumn="0" w:lastColumn="0" w:oddVBand="0" w:evenVBand="0" w:oddHBand="0" w:evenHBand="0" w:firstRowFirstColumn="0" w:firstRowLastColumn="0" w:lastRowFirstColumn="0" w:lastRowLastColumn="0"/>
              <w:rPr>
                <w:rFonts w:ascii="Times" w:hAnsi="Times"/>
                <w:color w:val="000000"/>
                <w:sz w:val="16"/>
                <w:szCs w:val="16"/>
                <w:lang w:val="en-US"/>
              </w:rPr>
            </w:pPr>
            <w:r w:rsidRPr="00E76669">
              <w:rPr>
                <w:rFonts w:ascii="Times" w:hAnsi="Times"/>
                <w:color w:val="000000"/>
                <w:sz w:val="16"/>
                <w:szCs w:val="16"/>
                <w:lang w:val="en-US"/>
              </w:rPr>
              <w:t>1</w:t>
            </w:r>
            <w:r>
              <w:rPr>
                <w:rFonts w:ascii="Times" w:hAnsi="Times"/>
                <w:color w:val="000000"/>
                <w:sz w:val="16"/>
                <w:szCs w:val="16"/>
                <w:lang w:val="en-US"/>
              </w:rPr>
              <w:t xml:space="preserve"> </w:t>
            </w:r>
            <w:r w:rsidRPr="00E76669">
              <w:rPr>
                <w:rFonts w:ascii="Times" w:hAnsi="Times"/>
                <w:color w:val="000000"/>
                <w:sz w:val="16"/>
                <w:szCs w:val="16"/>
                <w:lang w:val="en-US"/>
              </w:rPr>
              <w:t>019</w:t>
            </w:r>
            <w:r>
              <w:rPr>
                <w:rFonts w:ascii="Times" w:hAnsi="Times"/>
                <w:color w:val="000000"/>
                <w:sz w:val="16"/>
                <w:szCs w:val="16"/>
                <w:lang w:val="en-US"/>
              </w:rPr>
              <w:t xml:space="preserve"> </w:t>
            </w:r>
            <w:r w:rsidRPr="00E76669">
              <w:rPr>
                <w:rFonts w:ascii="Times" w:hAnsi="Times"/>
                <w:color w:val="000000"/>
                <w:sz w:val="16"/>
                <w:szCs w:val="16"/>
                <w:lang w:val="en-US"/>
              </w:rPr>
              <w:t>697</w:t>
            </w:r>
          </w:p>
        </w:tc>
      </w:tr>
      <w:tr w:rsidR="00D4513B" w:rsidRPr="00E76669" w14:paraId="426E8268" w14:textId="77777777" w:rsidTr="00297210">
        <w:trPr>
          <w:trHeight w:val="204"/>
        </w:trPr>
        <w:tc>
          <w:tcPr>
            <w:cnfStyle w:val="001000000000" w:firstRow="0" w:lastRow="0" w:firstColumn="1" w:lastColumn="0" w:oddVBand="0" w:evenVBand="0" w:oddHBand="0" w:evenHBand="0" w:firstRowFirstColumn="0" w:firstRowLastColumn="0" w:lastRowFirstColumn="0" w:lastRowLastColumn="0"/>
            <w:tcW w:w="531" w:type="pct"/>
            <w:vMerge/>
            <w:vAlign w:val="center"/>
            <w:hideMark/>
          </w:tcPr>
          <w:p w14:paraId="19BEA546" w14:textId="77777777" w:rsidR="00D4513B" w:rsidRPr="00E76669" w:rsidRDefault="00D4513B" w:rsidP="00E76669">
            <w:pPr>
              <w:jc w:val="left"/>
              <w:rPr>
                <w:rFonts w:ascii="Times" w:hAnsi="Times"/>
                <w:color w:val="000000"/>
                <w:sz w:val="16"/>
                <w:szCs w:val="16"/>
                <w:lang w:val="en-US"/>
              </w:rPr>
            </w:pPr>
          </w:p>
        </w:tc>
        <w:tc>
          <w:tcPr>
            <w:tcW w:w="1032" w:type="pct"/>
            <w:vMerge/>
            <w:vAlign w:val="center"/>
            <w:hideMark/>
          </w:tcPr>
          <w:p w14:paraId="41D72221" w14:textId="77777777" w:rsidR="00D4513B" w:rsidRPr="00E76669" w:rsidRDefault="00D4513B" w:rsidP="00E76669">
            <w:pPr>
              <w:jc w:val="left"/>
              <w:cnfStyle w:val="000000000000" w:firstRow="0" w:lastRow="0" w:firstColumn="0" w:lastColumn="0" w:oddVBand="0" w:evenVBand="0" w:oddHBand="0" w:evenHBand="0" w:firstRowFirstColumn="0" w:firstRowLastColumn="0" w:lastRowFirstColumn="0" w:lastRowLastColumn="0"/>
              <w:rPr>
                <w:rFonts w:ascii="Times" w:hAnsi="Times"/>
                <w:color w:val="000000"/>
                <w:sz w:val="16"/>
                <w:szCs w:val="16"/>
                <w:lang w:val="en-US"/>
              </w:rPr>
            </w:pPr>
          </w:p>
        </w:tc>
        <w:tc>
          <w:tcPr>
            <w:tcW w:w="1653" w:type="pct"/>
            <w:noWrap/>
            <w:hideMark/>
          </w:tcPr>
          <w:p w14:paraId="75453290" w14:textId="77777777" w:rsidR="00D4513B" w:rsidRPr="00E76669" w:rsidRDefault="00D4513B" w:rsidP="00E76669">
            <w:pPr>
              <w:jc w:val="left"/>
              <w:cnfStyle w:val="000000000000" w:firstRow="0" w:lastRow="0" w:firstColumn="0" w:lastColumn="0" w:oddVBand="0" w:evenVBand="0" w:oddHBand="0" w:evenHBand="0" w:firstRowFirstColumn="0" w:firstRowLastColumn="0" w:lastRowFirstColumn="0" w:lastRowLastColumn="0"/>
              <w:rPr>
                <w:rFonts w:ascii="Times" w:hAnsi="Times"/>
                <w:color w:val="000000"/>
                <w:sz w:val="16"/>
                <w:szCs w:val="16"/>
                <w:lang w:val="en-US"/>
              </w:rPr>
            </w:pPr>
            <w:r w:rsidRPr="00E76669">
              <w:rPr>
                <w:rFonts w:ascii="Times" w:hAnsi="Times"/>
                <w:color w:val="000000"/>
                <w:sz w:val="16"/>
                <w:szCs w:val="16"/>
                <w:lang w:val="en-US"/>
              </w:rPr>
              <w:t>Neighborhood Development Partnership Grant</w:t>
            </w:r>
          </w:p>
        </w:tc>
        <w:tc>
          <w:tcPr>
            <w:tcW w:w="446" w:type="pct"/>
            <w:noWrap/>
            <w:hideMark/>
          </w:tcPr>
          <w:p w14:paraId="7AB1B1B3" w14:textId="2BAE202D" w:rsidR="00D4513B" w:rsidRPr="00E76669" w:rsidRDefault="00D4513B" w:rsidP="00E76669">
            <w:pPr>
              <w:jc w:val="center"/>
              <w:cnfStyle w:val="000000000000" w:firstRow="0" w:lastRow="0" w:firstColumn="0" w:lastColumn="0" w:oddVBand="0" w:evenVBand="0" w:oddHBand="0" w:evenHBand="0" w:firstRowFirstColumn="0" w:firstRowLastColumn="0" w:lastRowFirstColumn="0" w:lastRowLastColumn="0"/>
              <w:rPr>
                <w:rFonts w:ascii="Times" w:hAnsi="Times"/>
                <w:color w:val="000000"/>
                <w:sz w:val="16"/>
                <w:szCs w:val="16"/>
                <w:lang w:val="en-US"/>
              </w:rPr>
            </w:pPr>
            <w:r w:rsidRPr="00E76669">
              <w:rPr>
                <w:rFonts w:ascii="Times" w:hAnsi="Times"/>
                <w:color w:val="000000"/>
                <w:sz w:val="16"/>
                <w:szCs w:val="16"/>
                <w:lang w:val="en-US"/>
              </w:rPr>
              <w:t>559</w:t>
            </w:r>
            <w:r>
              <w:rPr>
                <w:rFonts w:ascii="Times" w:hAnsi="Times"/>
                <w:color w:val="000000"/>
                <w:sz w:val="16"/>
                <w:szCs w:val="16"/>
                <w:lang w:val="en-US"/>
              </w:rPr>
              <w:t xml:space="preserve"> </w:t>
            </w:r>
            <w:r w:rsidRPr="00E76669">
              <w:rPr>
                <w:rFonts w:ascii="Times" w:hAnsi="Times"/>
                <w:color w:val="000000"/>
                <w:sz w:val="16"/>
                <w:szCs w:val="16"/>
                <w:lang w:val="en-US"/>
              </w:rPr>
              <w:t>442</w:t>
            </w:r>
          </w:p>
        </w:tc>
        <w:tc>
          <w:tcPr>
            <w:tcW w:w="446" w:type="pct"/>
            <w:noWrap/>
            <w:hideMark/>
          </w:tcPr>
          <w:p w14:paraId="0DFB15BE" w14:textId="121C667E" w:rsidR="00D4513B" w:rsidRPr="00E76669" w:rsidRDefault="00D4513B" w:rsidP="00E76669">
            <w:pPr>
              <w:jc w:val="right"/>
              <w:cnfStyle w:val="000000000000" w:firstRow="0" w:lastRow="0" w:firstColumn="0" w:lastColumn="0" w:oddVBand="0" w:evenVBand="0" w:oddHBand="0" w:evenHBand="0" w:firstRowFirstColumn="0" w:firstRowLastColumn="0" w:lastRowFirstColumn="0" w:lastRowLastColumn="0"/>
              <w:rPr>
                <w:rFonts w:ascii="Times" w:hAnsi="Times"/>
                <w:color w:val="000000"/>
                <w:sz w:val="16"/>
                <w:szCs w:val="16"/>
                <w:lang w:val="en-US"/>
              </w:rPr>
            </w:pPr>
            <w:r w:rsidRPr="00E76669">
              <w:rPr>
                <w:rFonts w:ascii="Times" w:hAnsi="Times"/>
                <w:color w:val="000000"/>
                <w:sz w:val="16"/>
                <w:szCs w:val="16"/>
                <w:lang w:val="en-US"/>
              </w:rPr>
              <w:t>566</w:t>
            </w:r>
            <w:r>
              <w:rPr>
                <w:rFonts w:ascii="Times" w:hAnsi="Times"/>
                <w:color w:val="000000"/>
                <w:sz w:val="16"/>
                <w:szCs w:val="16"/>
                <w:lang w:val="en-US"/>
              </w:rPr>
              <w:t xml:space="preserve"> </w:t>
            </w:r>
            <w:r w:rsidRPr="00E76669">
              <w:rPr>
                <w:rFonts w:ascii="Times" w:hAnsi="Times"/>
                <w:color w:val="000000"/>
                <w:sz w:val="16"/>
                <w:szCs w:val="16"/>
                <w:lang w:val="en-US"/>
              </w:rPr>
              <w:t>611</w:t>
            </w:r>
          </w:p>
        </w:tc>
        <w:tc>
          <w:tcPr>
            <w:tcW w:w="446" w:type="pct"/>
            <w:noWrap/>
            <w:hideMark/>
          </w:tcPr>
          <w:p w14:paraId="747DDB48" w14:textId="71D142B1" w:rsidR="00D4513B" w:rsidRPr="00E76669" w:rsidRDefault="00D4513B" w:rsidP="00E76669">
            <w:pPr>
              <w:jc w:val="right"/>
              <w:cnfStyle w:val="000000000000" w:firstRow="0" w:lastRow="0" w:firstColumn="0" w:lastColumn="0" w:oddVBand="0" w:evenVBand="0" w:oddHBand="0" w:evenHBand="0" w:firstRowFirstColumn="0" w:firstRowLastColumn="0" w:lastRowFirstColumn="0" w:lastRowLastColumn="0"/>
              <w:rPr>
                <w:rFonts w:ascii="Times" w:hAnsi="Times"/>
                <w:color w:val="000000"/>
                <w:sz w:val="16"/>
                <w:szCs w:val="16"/>
                <w:lang w:val="en-US"/>
              </w:rPr>
            </w:pPr>
            <w:r w:rsidRPr="00E76669">
              <w:rPr>
                <w:rFonts w:ascii="Times" w:hAnsi="Times"/>
                <w:color w:val="000000"/>
                <w:sz w:val="16"/>
                <w:szCs w:val="16"/>
                <w:lang w:val="en-US"/>
              </w:rPr>
              <w:t>593</w:t>
            </w:r>
            <w:r>
              <w:rPr>
                <w:rFonts w:ascii="Times" w:hAnsi="Times"/>
                <w:color w:val="000000"/>
                <w:sz w:val="16"/>
                <w:szCs w:val="16"/>
                <w:lang w:val="en-US"/>
              </w:rPr>
              <w:t xml:space="preserve"> </w:t>
            </w:r>
            <w:r w:rsidRPr="00E76669">
              <w:rPr>
                <w:rFonts w:ascii="Times" w:hAnsi="Times"/>
                <w:color w:val="000000"/>
                <w:sz w:val="16"/>
                <w:szCs w:val="16"/>
                <w:lang w:val="en-US"/>
              </w:rPr>
              <w:t>074</w:t>
            </w:r>
          </w:p>
        </w:tc>
        <w:tc>
          <w:tcPr>
            <w:tcW w:w="446" w:type="pct"/>
            <w:noWrap/>
            <w:hideMark/>
          </w:tcPr>
          <w:p w14:paraId="1B526161" w14:textId="0AE79228" w:rsidR="00D4513B" w:rsidRPr="00E76669" w:rsidRDefault="00D4513B" w:rsidP="00E76669">
            <w:pPr>
              <w:jc w:val="center"/>
              <w:cnfStyle w:val="000000000000" w:firstRow="0" w:lastRow="0" w:firstColumn="0" w:lastColumn="0" w:oddVBand="0" w:evenVBand="0" w:oddHBand="0" w:evenHBand="0" w:firstRowFirstColumn="0" w:firstRowLastColumn="0" w:lastRowFirstColumn="0" w:lastRowLastColumn="0"/>
              <w:rPr>
                <w:rFonts w:ascii="Times" w:hAnsi="Times"/>
                <w:color w:val="000000"/>
                <w:sz w:val="16"/>
                <w:szCs w:val="16"/>
                <w:lang w:val="en-US"/>
              </w:rPr>
            </w:pPr>
            <w:r w:rsidRPr="00E76669">
              <w:rPr>
                <w:rFonts w:ascii="Times" w:hAnsi="Times"/>
                <w:color w:val="000000"/>
                <w:sz w:val="16"/>
                <w:szCs w:val="16"/>
                <w:lang w:val="en-US"/>
              </w:rPr>
              <w:t>1</w:t>
            </w:r>
            <w:r>
              <w:rPr>
                <w:rFonts w:ascii="Times" w:hAnsi="Times"/>
                <w:color w:val="000000"/>
                <w:sz w:val="16"/>
                <w:szCs w:val="16"/>
                <w:lang w:val="en-US"/>
              </w:rPr>
              <w:t xml:space="preserve"> </w:t>
            </w:r>
            <w:r w:rsidRPr="00E76669">
              <w:rPr>
                <w:rFonts w:ascii="Times" w:hAnsi="Times"/>
                <w:color w:val="000000"/>
                <w:sz w:val="16"/>
                <w:szCs w:val="16"/>
                <w:lang w:val="en-US"/>
              </w:rPr>
              <w:t>719</w:t>
            </w:r>
            <w:r>
              <w:rPr>
                <w:rFonts w:ascii="Times" w:hAnsi="Times"/>
                <w:color w:val="000000"/>
                <w:sz w:val="16"/>
                <w:szCs w:val="16"/>
                <w:lang w:val="en-US"/>
              </w:rPr>
              <w:t xml:space="preserve"> </w:t>
            </w:r>
            <w:r w:rsidRPr="00E76669">
              <w:rPr>
                <w:rFonts w:ascii="Times" w:hAnsi="Times"/>
                <w:color w:val="000000"/>
                <w:sz w:val="16"/>
                <w:szCs w:val="16"/>
                <w:lang w:val="en-US"/>
              </w:rPr>
              <w:t>127</w:t>
            </w:r>
          </w:p>
        </w:tc>
      </w:tr>
      <w:tr w:rsidR="00D4513B" w:rsidRPr="00E76669" w14:paraId="6FF1B8EE" w14:textId="77777777" w:rsidTr="00297210">
        <w:trPr>
          <w:trHeight w:val="204"/>
        </w:trPr>
        <w:tc>
          <w:tcPr>
            <w:cnfStyle w:val="001000000000" w:firstRow="0" w:lastRow="0" w:firstColumn="1" w:lastColumn="0" w:oddVBand="0" w:evenVBand="0" w:oddHBand="0" w:evenHBand="0" w:firstRowFirstColumn="0" w:firstRowLastColumn="0" w:lastRowFirstColumn="0" w:lastRowLastColumn="0"/>
            <w:tcW w:w="531" w:type="pct"/>
            <w:vMerge/>
            <w:vAlign w:val="center"/>
            <w:hideMark/>
          </w:tcPr>
          <w:p w14:paraId="248DA427" w14:textId="77777777" w:rsidR="00D4513B" w:rsidRPr="00E76669" w:rsidRDefault="00D4513B" w:rsidP="00E76669">
            <w:pPr>
              <w:jc w:val="left"/>
              <w:rPr>
                <w:rFonts w:ascii="Times" w:hAnsi="Times"/>
                <w:color w:val="000000"/>
                <w:sz w:val="16"/>
                <w:szCs w:val="16"/>
                <w:lang w:val="en-US"/>
              </w:rPr>
            </w:pPr>
          </w:p>
        </w:tc>
        <w:tc>
          <w:tcPr>
            <w:tcW w:w="1032" w:type="pct"/>
            <w:vMerge/>
            <w:vAlign w:val="center"/>
            <w:hideMark/>
          </w:tcPr>
          <w:p w14:paraId="68DF33DF" w14:textId="77777777" w:rsidR="00D4513B" w:rsidRPr="00E76669" w:rsidRDefault="00D4513B" w:rsidP="00E76669">
            <w:pPr>
              <w:jc w:val="left"/>
              <w:cnfStyle w:val="000000000000" w:firstRow="0" w:lastRow="0" w:firstColumn="0" w:lastColumn="0" w:oddVBand="0" w:evenVBand="0" w:oddHBand="0" w:evenHBand="0" w:firstRowFirstColumn="0" w:firstRowLastColumn="0" w:lastRowFirstColumn="0" w:lastRowLastColumn="0"/>
              <w:rPr>
                <w:rFonts w:ascii="Times" w:hAnsi="Times"/>
                <w:color w:val="000000"/>
                <w:sz w:val="16"/>
                <w:szCs w:val="16"/>
                <w:lang w:val="en-US"/>
              </w:rPr>
            </w:pPr>
          </w:p>
        </w:tc>
        <w:tc>
          <w:tcPr>
            <w:tcW w:w="1653" w:type="pct"/>
            <w:noWrap/>
            <w:hideMark/>
          </w:tcPr>
          <w:p w14:paraId="55D5EBB2" w14:textId="77777777" w:rsidR="00D4513B" w:rsidRPr="00E76669" w:rsidRDefault="00D4513B" w:rsidP="00E76669">
            <w:pPr>
              <w:jc w:val="left"/>
              <w:cnfStyle w:val="000000000000" w:firstRow="0" w:lastRow="0" w:firstColumn="0" w:lastColumn="0" w:oddVBand="0" w:evenVBand="0" w:oddHBand="0" w:evenHBand="0" w:firstRowFirstColumn="0" w:firstRowLastColumn="0" w:lastRowFirstColumn="0" w:lastRowLastColumn="0"/>
              <w:rPr>
                <w:rFonts w:ascii="Times" w:hAnsi="Times"/>
                <w:color w:val="000000"/>
                <w:sz w:val="16"/>
                <w:szCs w:val="16"/>
                <w:lang w:val="en-US"/>
              </w:rPr>
            </w:pPr>
            <w:r w:rsidRPr="00E76669">
              <w:rPr>
                <w:rFonts w:ascii="Times" w:hAnsi="Times"/>
                <w:color w:val="000000"/>
                <w:sz w:val="16"/>
                <w:szCs w:val="16"/>
                <w:lang w:val="en-US"/>
              </w:rPr>
              <w:t>Financial Management Grant</w:t>
            </w:r>
          </w:p>
        </w:tc>
        <w:tc>
          <w:tcPr>
            <w:tcW w:w="446" w:type="pct"/>
            <w:noWrap/>
            <w:hideMark/>
          </w:tcPr>
          <w:p w14:paraId="0ABFE4E8" w14:textId="2986A56E" w:rsidR="00D4513B" w:rsidRPr="00E76669" w:rsidRDefault="00D4513B" w:rsidP="00E76669">
            <w:pPr>
              <w:jc w:val="center"/>
              <w:cnfStyle w:val="000000000000" w:firstRow="0" w:lastRow="0" w:firstColumn="0" w:lastColumn="0" w:oddVBand="0" w:evenVBand="0" w:oddHBand="0" w:evenHBand="0" w:firstRowFirstColumn="0" w:firstRowLastColumn="0" w:lastRowFirstColumn="0" w:lastRowLastColumn="0"/>
              <w:rPr>
                <w:rFonts w:ascii="Times" w:hAnsi="Times"/>
                <w:color w:val="000000"/>
                <w:sz w:val="16"/>
                <w:szCs w:val="16"/>
                <w:lang w:val="en-US"/>
              </w:rPr>
            </w:pPr>
            <w:r w:rsidRPr="00E76669">
              <w:rPr>
                <w:rFonts w:ascii="Times" w:hAnsi="Times"/>
                <w:color w:val="000000"/>
                <w:sz w:val="16"/>
                <w:szCs w:val="16"/>
                <w:lang w:val="en-US"/>
              </w:rPr>
              <w:t>544</w:t>
            </w:r>
            <w:r>
              <w:rPr>
                <w:rFonts w:ascii="Times" w:hAnsi="Times"/>
                <w:color w:val="000000"/>
                <w:sz w:val="16"/>
                <w:szCs w:val="16"/>
                <w:lang w:val="en-US"/>
              </w:rPr>
              <w:t xml:space="preserve"> </w:t>
            </w:r>
            <w:r w:rsidRPr="00E76669">
              <w:rPr>
                <w:rFonts w:ascii="Times" w:hAnsi="Times"/>
                <w:color w:val="000000"/>
                <w:sz w:val="16"/>
                <w:szCs w:val="16"/>
                <w:lang w:val="en-US"/>
              </w:rPr>
              <w:t>862</w:t>
            </w:r>
          </w:p>
        </w:tc>
        <w:tc>
          <w:tcPr>
            <w:tcW w:w="446" w:type="pct"/>
            <w:noWrap/>
            <w:hideMark/>
          </w:tcPr>
          <w:p w14:paraId="7EBD5891" w14:textId="69C3DD21" w:rsidR="00D4513B" w:rsidRPr="00E76669" w:rsidRDefault="00D4513B" w:rsidP="00E76669">
            <w:pPr>
              <w:jc w:val="right"/>
              <w:cnfStyle w:val="000000000000" w:firstRow="0" w:lastRow="0" w:firstColumn="0" w:lastColumn="0" w:oddVBand="0" w:evenVBand="0" w:oddHBand="0" w:evenHBand="0" w:firstRowFirstColumn="0" w:firstRowLastColumn="0" w:lastRowFirstColumn="0" w:lastRowLastColumn="0"/>
              <w:rPr>
                <w:rFonts w:ascii="Times" w:hAnsi="Times"/>
                <w:color w:val="000000"/>
                <w:sz w:val="16"/>
                <w:szCs w:val="16"/>
                <w:lang w:val="en-US"/>
              </w:rPr>
            </w:pPr>
            <w:r w:rsidRPr="00E76669">
              <w:rPr>
                <w:rFonts w:ascii="Times" w:hAnsi="Times"/>
                <w:color w:val="000000"/>
                <w:sz w:val="16"/>
                <w:szCs w:val="16"/>
                <w:lang w:val="en-US"/>
              </w:rPr>
              <w:t>574</w:t>
            </w:r>
            <w:r>
              <w:rPr>
                <w:rFonts w:ascii="Times" w:hAnsi="Times"/>
                <w:color w:val="000000"/>
                <w:sz w:val="16"/>
                <w:szCs w:val="16"/>
                <w:lang w:val="en-US"/>
              </w:rPr>
              <w:t xml:space="preserve"> </w:t>
            </w:r>
            <w:r w:rsidRPr="00E76669">
              <w:rPr>
                <w:rFonts w:ascii="Times" w:hAnsi="Times"/>
                <w:color w:val="000000"/>
                <w:sz w:val="16"/>
                <w:szCs w:val="16"/>
                <w:lang w:val="en-US"/>
              </w:rPr>
              <w:t>829</w:t>
            </w:r>
          </w:p>
        </w:tc>
        <w:tc>
          <w:tcPr>
            <w:tcW w:w="446" w:type="pct"/>
            <w:noWrap/>
            <w:hideMark/>
          </w:tcPr>
          <w:p w14:paraId="40FBAD09" w14:textId="20CD2B9D" w:rsidR="00D4513B" w:rsidRPr="00E76669" w:rsidRDefault="00D4513B" w:rsidP="00E76669">
            <w:pPr>
              <w:jc w:val="right"/>
              <w:cnfStyle w:val="000000000000" w:firstRow="0" w:lastRow="0" w:firstColumn="0" w:lastColumn="0" w:oddVBand="0" w:evenVBand="0" w:oddHBand="0" w:evenHBand="0" w:firstRowFirstColumn="0" w:firstRowLastColumn="0" w:lastRowFirstColumn="0" w:lastRowLastColumn="0"/>
              <w:rPr>
                <w:rFonts w:ascii="Times" w:hAnsi="Times"/>
                <w:color w:val="000000"/>
                <w:sz w:val="16"/>
                <w:szCs w:val="16"/>
                <w:lang w:val="en-US"/>
              </w:rPr>
            </w:pPr>
            <w:r w:rsidRPr="00E76669">
              <w:rPr>
                <w:rFonts w:ascii="Times" w:hAnsi="Times"/>
                <w:color w:val="000000"/>
                <w:sz w:val="16"/>
                <w:szCs w:val="16"/>
                <w:lang w:val="en-US"/>
              </w:rPr>
              <w:t>596</w:t>
            </w:r>
            <w:r>
              <w:rPr>
                <w:rFonts w:ascii="Times" w:hAnsi="Times"/>
                <w:color w:val="000000"/>
                <w:sz w:val="16"/>
                <w:szCs w:val="16"/>
                <w:lang w:val="en-US"/>
              </w:rPr>
              <w:t xml:space="preserve"> </w:t>
            </w:r>
            <w:r w:rsidRPr="00E76669">
              <w:rPr>
                <w:rFonts w:ascii="Times" w:hAnsi="Times"/>
                <w:color w:val="000000"/>
                <w:sz w:val="16"/>
                <w:szCs w:val="16"/>
                <w:lang w:val="en-US"/>
              </w:rPr>
              <w:t>005</w:t>
            </w:r>
          </w:p>
        </w:tc>
        <w:tc>
          <w:tcPr>
            <w:tcW w:w="446" w:type="pct"/>
            <w:noWrap/>
            <w:hideMark/>
          </w:tcPr>
          <w:p w14:paraId="1229FD93" w14:textId="16B50F38" w:rsidR="00D4513B" w:rsidRPr="00E76669" w:rsidRDefault="00D4513B" w:rsidP="00E76669">
            <w:pPr>
              <w:jc w:val="center"/>
              <w:cnfStyle w:val="000000000000" w:firstRow="0" w:lastRow="0" w:firstColumn="0" w:lastColumn="0" w:oddVBand="0" w:evenVBand="0" w:oddHBand="0" w:evenHBand="0" w:firstRowFirstColumn="0" w:firstRowLastColumn="0" w:lastRowFirstColumn="0" w:lastRowLastColumn="0"/>
              <w:rPr>
                <w:rFonts w:ascii="Times" w:hAnsi="Times"/>
                <w:color w:val="000000"/>
                <w:sz w:val="16"/>
                <w:szCs w:val="16"/>
                <w:lang w:val="en-US"/>
              </w:rPr>
            </w:pPr>
            <w:r w:rsidRPr="00E76669">
              <w:rPr>
                <w:rFonts w:ascii="Times" w:hAnsi="Times"/>
                <w:color w:val="000000"/>
                <w:sz w:val="16"/>
                <w:szCs w:val="16"/>
                <w:lang w:val="en-US"/>
              </w:rPr>
              <w:t>1</w:t>
            </w:r>
            <w:r>
              <w:rPr>
                <w:rFonts w:ascii="Times" w:hAnsi="Times"/>
                <w:color w:val="000000"/>
                <w:sz w:val="16"/>
                <w:szCs w:val="16"/>
                <w:lang w:val="en-US"/>
              </w:rPr>
              <w:t xml:space="preserve"> </w:t>
            </w:r>
            <w:r w:rsidRPr="00E76669">
              <w:rPr>
                <w:rFonts w:ascii="Times" w:hAnsi="Times"/>
                <w:color w:val="000000"/>
                <w:sz w:val="16"/>
                <w:szCs w:val="16"/>
                <w:lang w:val="en-US"/>
              </w:rPr>
              <w:t>715</w:t>
            </w:r>
            <w:r>
              <w:rPr>
                <w:rFonts w:ascii="Times" w:hAnsi="Times"/>
                <w:color w:val="000000"/>
                <w:sz w:val="16"/>
                <w:szCs w:val="16"/>
                <w:lang w:val="en-US"/>
              </w:rPr>
              <w:t xml:space="preserve"> </w:t>
            </w:r>
            <w:r w:rsidRPr="00E76669">
              <w:rPr>
                <w:rFonts w:ascii="Times" w:hAnsi="Times"/>
                <w:color w:val="000000"/>
                <w:sz w:val="16"/>
                <w:szCs w:val="16"/>
                <w:lang w:val="en-US"/>
              </w:rPr>
              <w:t>696</w:t>
            </w:r>
          </w:p>
        </w:tc>
      </w:tr>
      <w:tr w:rsidR="00D4513B" w:rsidRPr="00E76669" w14:paraId="28918A38" w14:textId="77777777" w:rsidTr="00297210">
        <w:trPr>
          <w:trHeight w:val="204"/>
        </w:trPr>
        <w:tc>
          <w:tcPr>
            <w:cnfStyle w:val="001000000000" w:firstRow="0" w:lastRow="0" w:firstColumn="1" w:lastColumn="0" w:oddVBand="0" w:evenVBand="0" w:oddHBand="0" w:evenHBand="0" w:firstRowFirstColumn="0" w:firstRowLastColumn="0" w:lastRowFirstColumn="0" w:lastRowLastColumn="0"/>
            <w:tcW w:w="531" w:type="pct"/>
            <w:vMerge/>
            <w:vAlign w:val="center"/>
            <w:hideMark/>
          </w:tcPr>
          <w:p w14:paraId="27507C12" w14:textId="77777777" w:rsidR="00D4513B" w:rsidRPr="00E76669" w:rsidRDefault="00D4513B" w:rsidP="00E76669">
            <w:pPr>
              <w:jc w:val="left"/>
              <w:rPr>
                <w:rFonts w:ascii="Times" w:hAnsi="Times"/>
                <w:color w:val="000000"/>
                <w:sz w:val="16"/>
                <w:szCs w:val="16"/>
                <w:lang w:val="en-US"/>
              </w:rPr>
            </w:pPr>
          </w:p>
        </w:tc>
        <w:tc>
          <w:tcPr>
            <w:tcW w:w="1032" w:type="pct"/>
            <w:vMerge w:val="restart"/>
            <w:noWrap/>
            <w:vAlign w:val="center"/>
            <w:hideMark/>
          </w:tcPr>
          <w:p w14:paraId="55B490E2" w14:textId="77777777" w:rsidR="00D4513B" w:rsidRPr="00E76669" w:rsidRDefault="00D4513B" w:rsidP="00E76669">
            <w:pPr>
              <w:jc w:val="left"/>
              <w:cnfStyle w:val="000000000000" w:firstRow="0" w:lastRow="0" w:firstColumn="0" w:lastColumn="0" w:oddVBand="0" w:evenVBand="0" w:oddHBand="0" w:evenHBand="0" w:firstRowFirstColumn="0" w:firstRowLastColumn="0" w:lastRowFirstColumn="0" w:lastRowLastColumn="0"/>
              <w:rPr>
                <w:rFonts w:ascii="Times" w:hAnsi="Times"/>
                <w:color w:val="000000"/>
                <w:sz w:val="16"/>
                <w:szCs w:val="16"/>
                <w:lang w:val="en-US"/>
              </w:rPr>
            </w:pPr>
            <w:r w:rsidRPr="00E76669">
              <w:rPr>
                <w:rFonts w:ascii="Times" w:hAnsi="Times"/>
                <w:color w:val="000000"/>
                <w:sz w:val="16"/>
                <w:szCs w:val="16"/>
                <w:lang w:val="en-US"/>
              </w:rPr>
              <w:t>Public Works &amp; Infrastructure</w:t>
            </w:r>
          </w:p>
        </w:tc>
        <w:tc>
          <w:tcPr>
            <w:tcW w:w="1653" w:type="pct"/>
            <w:noWrap/>
            <w:hideMark/>
          </w:tcPr>
          <w:p w14:paraId="0B271FD9" w14:textId="77777777" w:rsidR="00D4513B" w:rsidRPr="00E76669" w:rsidRDefault="00D4513B" w:rsidP="00E76669">
            <w:pPr>
              <w:jc w:val="left"/>
              <w:cnfStyle w:val="000000000000" w:firstRow="0" w:lastRow="0" w:firstColumn="0" w:lastColumn="0" w:oddVBand="0" w:evenVBand="0" w:oddHBand="0" w:evenHBand="0" w:firstRowFirstColumn="0" w:firstRowLastColumn="0" w:lastRowFirstColumn="0" w:lastRowLastColumn="0"/>
              <w:rPr>
                <w:rFonts w:ascii="Times" w:hAnsi="Times"/>
                <w:color w:val="000000"/>
                <w:sz w:val="16"/>
                <w:szCs w:val="16"/>
                <w:lang w:val="en-US"/>
              </w:rPr>
            </w:pPr>
            <w:r w:rsidRPr="00E76669">
              <w:rPr>
                <w:rFonts w:ascii="Times" w:hAnsi="Times"/>
                <w:color w:val="000000"/>
                <w:sz w:val="16"/>
                <w:szCs w:val="16"/>
                <w:lang w:val="en-US"/>
              </w:rPr>
              <w:t>EWP Integrated Grant for Municipalities</w:t>
            </w:r>
          </w:p>
        </w:tc>
        <w:tc>
          <w:tcPr>
            <w:tcW w:w="446" w:type="pct"/>
            <w:noWrap/>
            <w:hideMark/>
          </w:tcPr>
          <w:p w14:paraId="76FD70F7" w14:textId="443C2ECE" w:rsidR="00D4513B" w:rsidRPr="00E76669" w:rsidRDefault="00D4513B" w:rsidP="00E76669">
            <w:pPr>
              <w:jc w:val="center"/>
              <w:cnfStyle w:val="000000000000" w:firstRow="0" w:lastRow="0" w:firstColumn="0" w:lastColumn="0" w:oddVBand="0" w:evenVBand="0" w:oddHBand="0" w:evenHBand="0" w:firstRowFirstColumn="0" w:firstRowLastColumn="0" w:lastRowFirstColumn="0" w:lastRowLastColumn="0"/>
              <w:rPr>
                <w:rFonts w:ascii="Times" w:hAnsi="Times"/>
                <w:color w:val="000000"/>
                <w:sz w:val="16"/>
                <w:szCs w:val="16"/>
                <w:lang w:val="en-US"/>
              </w:rPr>
            </w:pPr>
            <w:r w:rsidRPr="00E76669">
              <w:rPr>
                <w:rFonts w:ascii="Times" w:hAnsi="Times"/>
                <w:color w:val="000000"/>
                <w:sz w:val="16"/>
                <w:szCs w:val="16"/>
                <w:lang w:val="en-US"/>
              </w:rPr>
              <w:t>748</w:t>
            </w:r>
            <w:r>
              <w:rPr>
                <w:rFonts w:ascii="Times" w:hAnsi="Times"/>
                <w:color w:val="000000"/>
                <w:sz w:val="16"/>
                <w:szCs w:val="16"/>
                <w:lang w:val="en-US"/>
              </w:rPr>
              <w:t xml:space="preserve"> </w:t>
            </w:r>
            <w:r w:rsidRPr="00E76669">
              <w:rPr>
                <w:rFonts w:ascii="Times" w:hAnsi="Times"/>
                <w:color w:val="000000"/>
                <w:sz w:val="16"/>
                <w:szCs w:val="16"/>
                <w:lang w:val="en-US"/>
              </w:rPr>
              <w:t>039</w:t>
            </w:r>
          </w:p>
        </w:tc>
        <w:tc>
          <w:tcPr>
            <w:tcW w:w="446" w:type="pct"/>
            <w:noWrap/>
            <w:hideMark/>
          </w:tcPr>
          <w:p w14:paraId="73E3A937" w14:textId="4C941D3E" w:rsidR="00D4513B" w:rsidRPr="00E76669" w:rsidRDefault="00D4513B" w:rsidP="00E76669">
            <w:pPr>
              <w:jc w:val="right"/>
              <w:cnfStyle w:val="000000000000" w:firstRow="0" w:lastRow="0" w:firstColumn="0" w:lastColumn="0" w:oddVBand="0" w:evenVBand="0" w:oddHBand="0" w:evenHBand="0" w:firstRowFirstColumn="0" w:firstRowLastColumn="0" w:lastRowFirstColumn="0" w:lastRowLastColumn="0"/>
              <w:rPr>
                <w:rFonts w:ascii="Times" w:hAnsi="Times"/>
                <w:color w:val="000000"/>
                <w:sz w:val="16"/>
                <w:szCs w:val="16"/>
                <w:lang w:val="en-US"/>
              </w:rPr>
            </w:pPr>
            <w:r w:rsidRPr="00E76669">
              <w:rPr>
                <w:rFonts w:ascii="Times" w:hAnsi="Times"/>
                <w:color w:val="000000"/>
                <w:sz w:val="16"/>
                <w:szCs w:val="16"/>
                <w:lang w:val="en-US"/>
              </w:rPr>
              <w:t>789</w:t>
            </w:r>
            <w:r>
              <w:rPr>
                <w:rFonts w:ascii="Times" w:hAnsi="Times"/>
                <w:color w:val="000000"/>
                <w:sz w:val="16"/>
                <w:szCs w:val="16"/>
                <w:lang w:val="en-US"/>
              </w:rPr>
              <w:t xml:space="preserve"> </w:t>
            </w:r>
            <w:r w:rsidRPr="00E76669">
              <w:rPr>
                <w:rFonts w:ascii="Times" w:hAnsi="Times"/>
                <w:color w:val="000000"/>
                <w:sz w:val="16"/>
                <w:szCs w:val="16"/>
                <w:lang w:val="en-US"/>
              </w:rPr>
              <w:t>982</w:t>
            </w:r>
          </w:p>
        </w:tc>
        <w:tc>
          <w:tcPr>
            <w:tcW w:w="446" w:type="pct"/>
            <w:noWrap/>
            <w:hideMark/>
          </w:tcPr>
          <w:p w14:paraId="7FDF9BFC" w14:textId="5631F17A" w:rsidR="00D4513B" w:rsidRPr="00E76669" w:rsidRDefault="00D4513B" w:rsidP="00E76669">
            <w:pPr>
              <w:jc w:val="right"/>
              <w:cnfStyle w:val="000000000000" w:firstRow="0" w:lastRow="0" w:firstColumn="0" w:lastColumn="0" w:oddVBand="0" w:evenVBand="0" w:oddHBand="0" w:evenHBand="0" w:firstRowFirstColumn="0" w:firstRowLastColumn="0" w:lastRowFirstColumn="0" w:lastRowLastColumn="0"/>
              <w:rPr>
                <w:rFonts w:ascii="Times" w:hAnsi="Times"/>
                <w:color w:val="000000"/>
                <w:sz w:val="16"/>
                <w:szCs w:val="16"/>
                <w:lang w:val="en-US"/>
              </w:rPr>
            </w:pPr>
            <w:r w:rsidRPr="00E76669">
              <w:rPr>
                <w:rFonts w:ascii="Times" w:hAnsi="Times"/>
                <w:color w:val="000000"/>
                <w:sz w:val="16"/>
                <w:szCs w:val="16"/>
                <w:lang w:val="en-US"/>
              </w:rPr>
              <w:t>819</w:t>
            </w:r>
            <w:r>
              <w:rPr>
                <w:rFonts w:ascii="Times" w:hAnsi="Times"/>
                <w:color w:val="000000"/>
                <w:sz w:val="16"/>
                <w:szCs w:val="16"/>
                <w:lang w:val="en-US"/>
              </w:rPr>
              <w:t xml:space="preserve"> </w:t>
            </w:r>
            <w:r w:rsidRPr="00E76669">
              <w:rPr>
                <w:rFonts w:ascii="Times" w:hAnsi="Times"/>
                <w:color w:val="000000"/>
                <w:sz w:val="16"/>
                <w:szCs w:val="16"/>
                <w:lang w:val="en-US"/>
              </w:rPr>
              <w:t>088</w:t>
            </w:r>
          </w:p>
        </w:tc>
        <w:tc>
          <w:tcPr>
            <w:tcW w:w="446" w:type="pct"/>
            <w:noWrap/>
            <w:hideMark/>
          </w:tcPr>
          <w:p w14:paraId="4070203D" w14:textId="23CF68B0" w:rsidR="00D4513B" w:rsidRPr="00E76669" w:rsidRDefault="00D4513B" w:rsidP="00E76669">
            <w:pPr>
              <w:jc w:val="center"/>
              <w:cnfStyle w:val="000000000000" w:firstRow="0" w:lastRow="0" w:firstColumn="0" w:lastColumn="0" w:oddVBand="0" w:evenVBand="0" w:oddHBand="0" w:evenHBand="0" w:firstRowFirstColumn="0" w:firstRowLastColumn="0" w:lastRowFirstColumn="0" w:lastRowLastColumn="0"/>
              <w:rPr>
                <w:rFonts w:ascii="Times" w:hAnsi="Times"/>
                <w:color w:val="000000"/>
                <w:sz w:val="16"/>
                <w:szCs w:val="16"/>
                <w:lang w:val="en-US"/>
              </w:rPr>
            </w:pPr>
            <w:r w:rsidRPr="00E76669">
              <w:rPr>
                <w:rFonts w:ascii="Times" w:hAnsi="Times"/>
                <w:color w:val="000000"/>
                <w:sz w:val="16"/>
                <w:szCs w:val="16"/>
                <w:lang w:val="en-US"/>
              </w:rPr>
              <w:t>2</w:t>
            </w:r>
            <w:r>
              <w:rPr>
                <w:rFonts w:ascii="Times" w:hAnsi="Times"/>
                <w:color w:val="000000"/>
                <w:sz w:val="16"/>
                <w:szCs w:val="16"/>
                <w:lang w:val="en-US"/>
              </w:rPr>
              <w:t xml:space="preserve"> </w:t>
            </w:r>
            <w:r w:rsidRPr="00E76669">
              <w:rPr>
                <w:rFonts w:ascii="Times" w:hAnsi="Times"/>
                <w:color w:val="000000"/>
                <w:sz w:val="16"/>
                <w:szCs w:val="16"/>
                <w:lang w:val="en-US"/>
              </w:rPr>
              <w:t>357</w:t>
            </w:r>
            <w:r>
              <w:rPr>
                <w:rFonts w:ascii="Times" w:hAnsi="Times"/>
                <w:color w:val="000000"/>
                <w:sz w:val="16"/>
                <w:szCs w:val="16"/>
                <w:lang w:val="en-US"/>
              </w:rPr>
              <w:t xml:space="preserve"> </w:t>
            </w:r>
            <w:r w:rsidRPr="00E76669">
              <w:rPr>
                <w:rFonts w:ascii="Times" w:hAnsi="Times"/>
                <w:color w:val="000000"/>
                <w:sz w:val="16"/>
                <w:szCs w:val="16"/>
                <w:lang w:val="en-US"/>
              </w:rPr>
              <w:t>109</w:t>
            </w:r>
          </w:p>
        </w:tc>
      </w:tr>
      <w:tr w:rsidR="00D4513B" w:rsidRPr="00E76669" w14:paraId="4790AC72" w14:textId="77777777" w:rsidTr="00297210">
        <w:trPr>
          <w:trHeight w:val="204"/>
        </w:trPr>
        <w:tc>
          <w:tcPr>
            <w:cnfStyle w:val="001000000000" w:firstRow="0" w:lastRow="0" w:firstColumn="1" w:lastColumn="0" w:oddVBand="0" w:evenVBand="0" w:oddHBand="0" w:evenHBand="0" w:firstRowFirstColumn="0" w:firstRowLastColumn="0" w:lastRowFirstColumn="0" w:lastRowLastColumn="0"/>
            <w:tcW w:w="531" w:type="pct"/>
            <w:vMerge/>
            <w:vAlign w:val="center"/>
          </w:tcPr>
          <w:p w14:paraId="742FE81D" w14:textId="77777777" w:rsidR="00D4513B" w:rsidRPr="00E76669" w:rsidRDefault="00D4513B" w:rsidP="00297210">
            <w:pPr>
              <w:jc w:val="left"/>
              <w:rPr>
                <w:rFonts w:ascii="Times" w:hAnsi="Times"/>
                <w:color w:val="000000"/>
                <w:sz w:val="16"/>
                <w:szCs w:val="16"/>
                <w:lang w:val="en-US"/>
              </w:rPr>
            </w:pPr>
          </w:p>
        </w:tc>
        <w:tc>
          <w:tcPr>
            <w:tcW w:w="1032" w:type="pct"/>
            <w:vMerge/>
            <w:noWrap/>
            <w:vAlign w:val="center"/>
          </w:tcPr>
          <w:p w14:paraId="6CE894E5" w14:textId="77777777" w:rsidR="00D4513B" w:rsidRPr="00E76669" w:rsidRDefault="00D4513B" w:rsidP="00297210">
            <w:pPr>
              <w:jc w:val="left"/>
              <w:cnfStyle w:val="000000000000" w:firstRow="0" w:lastRow="0" w:firstColumn="0" w:lastColumn="0" w:oddVBand="0" w:evenVBand="0" w:oddHBand="0" w:evenHBand="0" w:firstRowFirstColumn="0" w:firstRowLastColumn="0" w:lastRowFirstColumn="0" w:lastRowLastColumn="0"/>
              <w:rPr>
                <w:rFonts w:ascii="Times" w:hAnsi="Times"/>
                <w:color w:val="000000"/>
                <w:sz w:val="16"/>
                <w:szCs w:val="16"/>
                <w:lang w:val="en-US"/>
              </w:rPr>
            </w:pPr>
          </w:p>
        </w:tc>
        <w:tc>
          <w:tcPr>
            <w:tcW w:w="1653" w:type="pct"/>
            <w:noWrap/>
          </w:tcPr>
          <w:p w14:paraId="31A518D7" w14:textId="42219C06" w:rsidR="00D4513B" w:rsidRPr="00E76669" w:rsidRDefault="00D4513B" w:rsidP="00297210">
            <w:pPr>
              <w:jc w:val="left"/>
              <w:cnfStyle w:val="000000000000" w:firstRow="0" w:lastRow="0" w:firstColumn="0" w:lastColumn="0" w:oddVBand="0" w:evenVBand="0" w:oddHBand="0" w:evenHBand="0" w:firstRowFirstColumn="0" w:firstRowLastColumn="0" w:lastRowFirstColumn="0" w:lastRowLastColumn="0"/>
              <w:rPr>
                <w:rFonts w:ascii="Times" w:hAnsi="Times"/>
                <w:color w:val="000000"/>
                <w:sz w:val="16"/>
                <w:szCs w:val="16"/>
                <w:lang w:val="en-US"/>
              </w:rPr>
            </w:pPr>
            <w:r>
              <w:rPr>
                <w:rFonts w:ascii="Times" w:hAnsi="Times"/>
                <w:color w:val="000000"/>
                <w:sz w:val="16"/>
                <w:szCs w:val="16"/>
                <w:lang w:val="en-US"/>
              </w:rPr>
              <w:t>Social Sector EPWP Incentive Grant for Provinces</w:t>
            </w:r>
          </w:p>
        </w:tc>
        <w:tc>
          <w:tcPr>
            <w:tcW w:w="446" w:type="pct"/>
            <w:noWrap/>
          </w:tcPr>
          <w:p w14:paraId="1E6B5A57" w14:textId="77777777" w:rsidR="00D4513B" w:rsidRDefault="00D4513B" w:rsidP="00297210">
            <w:pPr>
              <w:spacing w:line="24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Pr>
                <w:color w:val="000000"/>
                <w:sz w:val="16"/>
                <w:szCs w:val="16"/>
              </w:rPr>
              <w:t>413,583</w:t>
            </w:r>
          </w:p>
          <w:p w14:paraId="25B6CF7E" w14:textId="77777777" w:rsidR="00D4513B" w:rsidRPr="00E76669" w:rsidRDefault="00D4513B" w:rsidP="00297210">
            <w:pPr>
              <w:jc w:val="center"/>
              <w:cnfStyle w:val="000000000000" w:firstRow="0" w:lastRow="0" w:firstColumn="0" w:lastColumn="0" w:oddVBand="0" w:evenVBand="0" w:oddHBand="0" w:evenHBand="0" w:firstRowFirstColumn="0" w:firstRowLastColumn="0" w:lastRowFirstColumn="0" w:lastRowLastColumn="0"/>
              <w:rPr>
                <w:rFonts w:ascii="Times" w:hAnsi="Times"/>
                <w:color w:val="000000"/>
                <w:sz w:val="16"/>
                <w:szCs w:val="16"/>
                <w:lang w:val="en-US"/>
              </w:rPr>
            </w:pPr>
          </w:p>
        </w:tc>
        <w:tc>
          <w:tcPr>
            <w:tcW w:w="446" w:type="pct"/>
            <w:noWrap/>
          </w:tcPr>
          <w:p w14:paraId="17756C03" w14:textId="77777777" w:rsidR="00D4513B" w:rsidRDefault="00D4513B" w:rsidP="00297210">
            <w:pPr>
              <w:spacing w:line="240" w:lineRule="auto"/>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Pr>
                <w:color w:val="000000"/>
                <w:sz w:val="16"/>
                <w:szCs w:val="16"/>
              </w:rPr>
              <w:t>431,536</w:t>
            </w:r>
          </w:p>
          <w:p w14:paraId="7142D103" w14:textId="77777777" w:rsidR="00D4513B" w:rsidRPr="00E76669" w:rsidRDefault="00D4513B" w:rsidP="00297210">
            <w:pPr>
              <w:jc w:val="right"/>
              <w:cnfStyle w:val="000000000000" w:firstRow="0" w:lastRow="0" w:firstColumn="0" w:lastColumn="0" w:oddVBand="0" w:evenVBand="0" w:oddHBand="0" w:evenHBand="0" w:firstRowFirstColumn="0" w:firstRowLastColumn="0" w:lastRowFirstColumn="0" w:lastRowLastColumn="0"/>
              <w:rPr>
                <w:rFonts w:ascii="Times" w:hAnsi="Times"/>
                <w:color w:val="000000"/>
                <w:sz w:val="16"/>
                <w:szCs w:val="16"/>
                <w:lang w:val="en-US"/>
              </w:rPr>
            </w:pPr>
          </w:p>
        </w:tc>
        <w:tc>
          <w:tcPr>
            <w:tcW w:w="446" w:type="pct"/>
            <w:noWrap/>
          </w:tcPr>
          <w:p w14:paraId="0EBD6F9B" w14:textId="77777777" w:rsidR="00D4513B" w:rsidRDefault="00D4513B" w:rsidP="00297210">
            <w:pPr>
              <w:spacing w:line="240" w:lineRule="auto"/>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Pr>
                <w:color w:val="000000"/>
                <w:sz w:val="16"/>
                <w:szCs w:val="16"/>
              </w:rPr>
              <w:t>447,058</w:t>
            </w:r>
          </w:p>
          <w:p w14:paraId="2B5961CB" w14:textId="77777777" w:rsidR="00D4513B" w:rsidRPr="00E76669" w:rsidRDefault="00D4513B" w:rsidP="00297210">
            <w:pPr>
              <w:jc w:val="right"/>
              <w:cnfStyle w:val="000000000000" w:firstRow="0" w:lastRow="0" w:firstColumn="0" w:lastColumn="0" w:oddVBand="0" w:evenVBand="0" w:oddHBand="0" w:evenHBand="0" w:firstRowFirstColumn="0" w:firstRowLastColumn="0" w:lastRowFirstColumn="0" w:lastRowLastColumn="0"/>
              <w:rPr>
                <w:rFonts w:ascii="Times" w:hAnsi="Times"/>
                <w:color w:val="000000"/>
                <w:sz w:val="16"/>
                <w:szCs w:val="16"/>
                <w:lang w:val="en-US"/>
              </w:rPr>
            </w:pPr>
          </w:p>
        </w:tc>
        <w:tc>
          <w:tcPr>
            <w:tcW w:w="446" w:type="pct"/>
            <w:noWrap/>
          </w:tcPr>
          <w:p w14:paraId="146F4FD9" w14:textId="77777777" w:rsidR="00D4513B" w:rsidRDefault="00D4513B" w:rsidP="00297210">
            <w:pPr>
              <w:spacing w:line="24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Pr>
                <w:color w:val="000000"/>
                <w:sz w:val="16"/>
                <w:szCs w:val="16"/>
              </w:rPr>
              <w:t xml:space="preserve">1,292,177 </w:t>
            </w:r>
          </w:p>
          <w:p w14:paraId="1F096C69" w14:textId="77777777" w:rsidR="00D4513B" w:rsidRPr="00E76669" w:rsidRDefault="00D4513B" w:rsidP="00297210">
            <w:pPr>
              <w:jc w:val="center"/>
              <w:cnfStyle w:val="000000000000" w:firstRow="0" w:lastRow="0" w:firstColumn="0" w:lastColumn="0" w:oddVBand="0" w:evenVBand="0" w:oddHBand="0" w:evenHBand="0" w:firstRowFirstColumn="0" w:firstRowLastColumn="0" w:lastRowFirstColumn="0" w:lastRowLastColumn="0"/>
              <w:rPr>
                <w:rFonts w:ascii="Times" w:hAnsi="Times"/>
                <w:color w:val="000000"/>
                <w:sz w:val="16"/>
                <w:szCs w:val="16"/>
                <w:lang w:val="en-US"/>
              </w:rPr>
            </w:pPr>
          </w:p>
        </w:tc>
      </w:tr>
    </w:tbl>
    <w:p w14:paraId="727059D0" w14:textId="77777777" w:rsidR="00456D9F" w:rsidRPr="00E76669" w:rsidRDefault="00456D9F" w:rsidP="00E76669">
      <w:pPr>
        <w:rPr>
          <w:rFonts w:ascii="Times" w:hAnsi="Times"/>
          <w:i/>
          <w:sz w:val="16"/>
          <w:szCs w:val="16"/>
        </w:rPr>
      </w:pPr>
      <w:r w:rsidRPr="00E76669">
        <w:rPr>
          <w:rFonts w:ascii="Times" w:hAnsi="Times"/>
          <w:i/>
          <w:sz w:val="16"/>
          <w:szCs w:val="16"/>
        </w:rPr>
        <w:t>Source: 2020 Division of Revenue Bill Annexures in Excel Format</w:t>
      </w:r>
    </w:p>
    <w:p w14:paraId="5B3267BD" w14:textId="77777777" w:rsidR="00B75110" w:rsidRPr="000D33E4" w:rsidRDefault="00B75110" w:rsidP="009A7F2D"/>
    <w:p w14:paraId="37C29C25" w14:textId="77777777" w:rsidR="00B75110" w:rsidRPr="000D33E4" w:rsidRDefault="00B75110" w:rsidP="006D6D01">
      <w:pPr>
        <w:pStyle w:val="Heading3"/>
      </w:pPr>
      <w:bookmarkStart w:id="118" w:name="_Toc42211925"/>
      <w:r w:rsidRPr="000D33E4">
        <w:t xml:space="preserve">Learning and </w:t>
      </w:r>
      <w:r w:rsidR="002C71C9">
        <w:t>c</w:t>
      </w:r>
      <w:r w:rsidRPr="000D33E4">
        <w:t xml:space="preserve">ulture </w:t>
      </w:r>
      <w:r w:rsidR="002C71C9">
        <w:t>c</w:t>
      </w:r>
      <w:r w:rsidRPr="000D33E4">
        <w:t xml:space="preserve">onditional </w:t>
      </w:r>
      <w:r w:rsidR="002C71C9">
        <w:t>g</w:t>
      </w:r>
      <w:r w:rsidRPr="000D33E4">
        <w:t>rants</w:t>
      </w:r>
      <w:bookmarkEnd w:id="118"/>
    </w:p>
    <w:p w14:paraId="3FED1327" w14:textId="77777777" w:rsidR="00141810" w:rsidRPr="000D33E4" w:rsidRDefault="00141810" w:rsidP="007B1E55">
      <w:pPr>
        <w:rPr>
          <w:rFonts w:ascii="Times" w:hAnsi="Times"/>
          <w:b/>
          <w:smallCaps/>
        </w:rPr>
      </w:pPr>
    </w:p>
    <w:p w14:paraId="0504A599" w14:textId="0AB54ED8" w:rsidR="00B75110" w:rsidRPr="000D33E4" w:rsidRDefault="005B2441" w:rsidP="009A7F2D">
      <w:r w:rsidRPr="00FC64FC">
        <w:rPr>
          <w:color w:val="000000" w:themeColor="text1"/>
        </w:rPr>
        <w:fldChar w:fldCharType="begin"/>
      </w:r>
      <w:r w:rsidRPr="00FC64FC">
        <w:rPr>
          <w:color w:val="000000" w:themeColor="text1"/>
        </w:rPr>
        <w:instrText xml:space="preserve"> REF _Ref40888031 \h </w:instrText>
      </w:r>
      <w:r w:rsidRPr="00FC64FC">
        <w:rPr>
          <w:color w:val="000000" w:themeColor="text1"/>
        </w:rPr>
      </w:r>
      <w:r w:rsidRPr="00FC64FC">
        <w:rPr>
          <w:color w:val="000000" w:themeColor="text1"/>
        </w:rPr>
        <w:fldChar w:fldCharType="separate"/>
      </w:r>
      <w:r w:rsidR="0035298A" w:rsidRPr="009A7F2D">
        <w:rPr>
          <w:rFonts w:ascii="Times" w:hAnsi="Times"/>
          <w:color w:val="004C45" w:themeColor="text2"/>
          <w:szCs w:val="24"/>
        </w:rPr>
        <w:t xml:space="preserve">Table </w:t>
      </w:r>
      <w:r w:rsidR="0035298A">
        <w:rPr>
          <w:rFonts w:ascii="Times" w:hAnsi="Times"/>
          <w:noProof/>
          <w:color w:val="004C45" w:themeColor="text2"/>
          <w:szCs w:val="24"/>
        </w:rPr>
        <w:t>23</w:t>
      </w:r>
      <w:r w:rsidRPr="00FC64FC">
        <w:rPr>
          <w:color w:val="000000" w:themeColor="text1"/>
        </w:rPr>
        <w:fldChar w:fldCharType="end"/>
      </w:r>
      <w:r w:rsidR="00B75110" w:rsidRPr="00FC64FC">
        <w:rPr>
          <w:color w:val="000000" w:themeColor="text1"/>
        </w:rPr>
        <w:t xml:space="preserve"> </w:t>
      </w:r>
      <w:r w:rsidR="00B75110" w:rsidRPr="000D33E4">
        <w:t>provides a description of the conditional grants within the learning and culture category that are recommended for reprioritisation.</w:t>
      </w:r>
    </w:p>
    <w:p w14:paraId="1E519DAD" w14:textId="77777777" w:rsidR="00B75110" w:rsidRPr="000D33E4" w:rsidRDefault="00B75110" w:rsidP="007B1E55">
      <w:pPr>
        <w:rPr>
          <w:rFonts w:ascii="Times" w:hAnsi="Times"/>
        </w:rPr>
      </w:pPr>
    </w:p>
    <w:p w14:paraId="3C1AA713" w14:textId="1AF89B5B" w:rsidR="00B826E6" w:rsidRPr="009A7F2D" w:rsidRDefault="00B826E6" w:rsidP="00A80B0A">
      <w:pPr>
        <w:pStyle w:val="Caption"/>
        <w:keepNext/>
        <w:spacing w:line="240" w:lineRule="auto"/>
        <w:rPr>
          <w:rFonts w:ascii="Times" w:hAnsi="Times"/>
          <w:color w:val="004C45" w:themeColor="text2"/>
          <w:sz w:val="24"/>
          <w:szCs w:val="24"/>
        </w:rPr>
      </w:pPr>
      <w:bookmarkStart w:id="119" w:name="_Ref40888031"/>
      <w:bookmarkStart w:id="120" w:name="_Toc42212152"/>
      <w:r w:rsidRPr="009A7F2D">
        <w:rPr>
          <w:rFonts w:ascii="Times" w:hAnsi="Times"/>
          <w:color w:val="004C45" w:themeColor="text2"/>
          <w:sz w:val="24"/>
          <w:szCs w:val="24"/>
        </w:rPr>
        <w:t xml:space="preserve">Table </w:t>
      </w:r>
      <w:r w:rsidRPr="009A7F2D">
        <w:rPr>
          <w:rFonts w:ascii="Times" w:hAnsi="Times"/>
          <w:color w:val="004C45" w:themeColor="text2"/>
          <w:sz w:val="24"/>
          <w:szCs w:val="24"/>
        </w:rPr>
        <w:fldChar w:fldCharType="begin"/>
      </w:r>
      <w:r w:rsidRPr="009A7F2D">
        <w:rPr>
          <w:rFonts w:ascii="Times" w:hAnsi="Times"/>
          <w:color w:val="004C45" w:themeColor="text2"/>
          <w:sz w:val="24"/>
          <w:szCs w:val="24"/>
        </w:rPr>
        <w:instrText xml:space="preserve"> SEQ Table \* ARABIC </w:instrText>
      </w:r>
      <w:r w:rsidRPr="009A7F2D">
        <w:rPr>
          <w:rFonts w:ascii="Times" w:hAnsi="Times"/>
          <w:color w:val="004C45" w:themeColor="text2"/>
          <w:sz w:val="24"/>
          <w:szCs w:val="24"/>
        </w:rPr>
        <w:fldChar w:fldCharType="separate"/>
      </w:r>
      <w:r w:rsidR="00492893">
        <w:rPr>
          <w:rFonts w:ascii="Times" w:hAnsi="Times"/>
          <w:noProof/>
          <w:color w:val="004C45" w:themeColor="text2"/>
          <w:sz w:val="24"/>
          <w:szCs w:val="24"/>
        </w:rPr>
        <w:t>23</w:t>
      </w:r>
      <w:r w:rsidRPr="009A7F2D">
        <w:rPr>
          <w:rFonts w:ascii="Times" w:hAnsi="Times"/>
          <w:color w:val="004C45" w:themeColor="text2"/>
          <w:sz w:val="24"/>
          <w:szCs w:val="24"/>
        </w:rPr>
        <w:fldChar w:fldCharType="end"/>
      </w:r>
      <w:bookmarkEnd w:id="119"/>
      <w:r w:rsidR="002C71C9" w:rsidRPr="009A7F2D">
        <w:rPr>
          <w:rFonts w:ascii="Times" w:hAnsi="Times"/>
          <w:color w:val="004C45" w:themeColor="text2"/>
          <w:sz w:val="24"/>
          <w:szCs w:val="24"/>
        </w:rPr>
        <w:t>:</w:t>
      </w:r>
      <w:r w:rsidRPr="009A7F2D">
        <w:rPr>
          <w:rFonts w:ascii="Times" w:hAnsi="Times"/>
          <w:color w:val="004C45" w:themeColor="text2"/>
          <w:sz w:val="24"/>
          <w:szCs w:val="24"/>
        </w:rPr>
        <w:t xml:space="preserve"> Summary of </w:t>
      </w:r>
      <w:r w:rsidR="005B2441" w:rsidRPr="009A7F2D">
        <w:rPr>
          <w:rFonts w:ascii="Times" w:hAnsi="Times"/>
          <w:color w:val="004C45" w:themeColor="text2"/>
          <w:sz w:val="24"/>
          <w:szCs w:val="24"/>
        </w:rPr>
        <w:t>p</w:t>
      </w:r>
      <w:r w:rsidRPr="009A7F2D">
        <w:rPr>
          <w:rFonts w:ascii="Times" w:hAnsi="Times"/>
          <w:color w:val="004C45" w:themeColor="text2"/>
          <w:sz w:val="24"/>
          <w:szCs w:val="24"/>
        </w:rPr>
        <w:t xml:space="preserve">erformance and 2020 MTEF </w:t>
      </w:r>
      <w:r w:rsidR="005B2441" w:rsidRPr="009A7F2D">
        <w:rPr>
          <w:rFonts w:ascii="Times" w:hAnsi="Times"/>
          <w:color w:val="004C45" w:themeColor="text2"/>
          <w:sz w:val="24"/>
          <w:szCs w:val="24"/>
        </w:rPr>
        <w:t>a</w:t>
      </w:r>
      <w:r w:rsidRPr="009A7F2D">
        <w:rPr>
          <w:rFonts w:ascii="Times" w:hAnsi="Times"/>
          <w:color w:val="004C45" w:themeColor="text2"/>
          <w:sz w:val="24"/>
          <w:szCs w:val="24"/>
        </w:rPr>
        <w:t xml:space="preserve">llocations of Learning and Culture Conditional Grants where </w:t>
      </w:r>
      <w:r w:rsidR="005B2441" w:rsidRPr="009A7F2D">
        <w:rPr>
          <w:rFonts w:ascii="Times" w:hAnsi="Times"/>
          <w:color w:val="004C45" w:themeColor="text2"/>
          <w:sz w:val="24"/>
          <w:szCs w:val="24"/>
        </w:rPr>
        <w:t>r</w:t>
      </w:r>
      <w:r w:rsidRPr="009A7F2D">
        <w:rPr>
          <w:rFonts w:ascii="Times" w:hAnsi="Times"/>
          <w:color w:val="004C45" w:themeColor="text2"/>
          <w:sz w:val="24"/>
          <w:szCs w:val="24"/>
        </w:rPr>
        <w:t>eprioritisations are proposed</w:t>
      </w:r>
      <w:bookmarkEnd w:id="120"/>
    </w:p>
    <w:tbl>
      <w:tblPr>
        <w:tblStyle w:val="GridTable1Light-Accent6"/>
        <w:tblW w:w="9639" w:type="dxa"/>
        <w:tblInd w:w="-5" w:type="dxa"/>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Layout w:type="fixed"/>
        <w:tblLook w:val="04A0" w:firstRow="1" w:lastRow="0" w:firstColumn="1" w:lastColumn="0" w:noHBand="0" w:noVBand="1"/>
      </w:tblPr>
      <w:tblGrid>
        <w:gridCol w:w="1134"/>
        <w:gridCol w:w="1843"/>
        <w:gridCol w:w="992"/>
        <w:gridCol w:w="993"/>
        <w:gridCol w:w="992"/>
        <w:gridCol w:w="1276"/>
        <w:gridCol w:w="1134"/>
        <w:gridCol w:w="1275"/>
      </w:tblGrid>
      <w:tr w:rsidR="003D1915" w:rsidRPr="000D33E4" w14:paraId="43D1D3A7" w14:textId="77777777" w:rsidTr="00797D4D">
        <w:trPr>
          <w:cnfStyle w:val="100000000000" w:firstRow="1" w:lastRow="0" w:firstColumn="0" w:lastColumn="0" w:oddVBand="0" w:evenVBand="0" w:oddHBand="0"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1134" w:type="dxa"/>
            <w:tcBorders>
              <w:bottom w:val="none" w:sz="0" w:space="0" w:color="auto"/>
            </w:tcBorders>
            <w:noWrap/>
            <w:hideMark/>
          </w:tcPr>
          <w:p w14:paraId="65886AB4" w14:textId="77777777" w:rsidR="003D1915" w:rsidRPr="005B2441" w:rsidRDefault="003D1915" w:rsidP="00A80B0A">
            <w:pPr>
              <w:keepNext/>
              <w:spacing w:line="240" w:lineRule="auto"/>
              <w:jc w:val="left"/>
              <w:rPr>
                <w:rFonts w:ascii="Times" w:eastAsia="Times New Roman" w:hAnsi="Times" w:cs="Times New Roman"/>
                <w:bCs w:val="0"/>
                <w:color w:val="000000"/>
                <w:sz w:val="20"/>
                <w:szCs w:val="20"/>
              </w:rPr>
            </w:pPr>
            <w:r w:rsidRPr="005B2441">
              <w:rPr>
                <w:rFonts w:ascii="Times" w:eastAsia="Times New Roman" w:hAnsi="Times" w:cs="Times New Roman"/>
                <w:bCs w:val="0"/>
                <w:color w:val="000000"/>
                <w:sz w:val="20"/>
                <w:szCs w:val="20"/>
              </w:rPr>
              <w:t>R</w:t>
            </w:r>
            <w:r w:rsidR="005B2441" w:rsidRPr="005B2441">
              <w:rPr>
                <w:rFonts w:ascii="Times" w:eastAsia="Times New Roman" w:hAnsi="Times" w:cs="Times New Roman"/>
                <w:bCs w:val="0"/>
                <w:color w:val="000000"/>
                <w:sz w:val="20"/>
                <w:szCs w:val="20"/>
              </w:rPr>
              <w:t xml:space="preserve"> </w:t>
            </w:r>
            <w:r w:rsidRPr="005B2441">
              <w:rPr>
                <w:rFonts w:ascii="Times" w:eastAsia="Times New Roman" w:hAnsi="Times" w:cs="Times New Roman"/>
                <w:bCs w:val="0"/>
                <w:color w:val="000000"/>
                <w:sz w:val="20"/>
                <w:szCs w:val="20"/>
              </w:rPr>
              <w:t>000</w:t>
            </w:r>
          </w:p>
        </w:tc>
        <w:tc>
          <w:tcPr>
            <w:tcW w:w="1843" w:type="dxa"/>
            <w:tcBorders>
              <w:bottom w:val="none" w:sz="0" w:space="0" w:color="auto"/>
            </w:tcBorders>
            <w:noWrap/>
            <w:hideMark/>
          </w:tcPr>
          <w:p w14:paraId="3D725D53" w14:textId="77777777" w:rsidR="003D1915" w:rsidRPr="005B2441" w:rsidRDefault="003D1915" w:rsidP="00A80B0A">
            <w:pPr>
              <w:keepNext/>
              <w:spacing w:line="240" w:lineRule="auto"/>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New Roman"/>
                <w:bCs w:val="0"/>
                <w:sz w:val="20"/>
                <w:szCs w:val="20"/>
              </w:rPr>
            </w:pPr>
          </w:p>
        </w:tc>
        <w:tc>
          <w:tcPr>
            <w:tcW w:w="2977" w:type="dxa"/>
            <w:gridSpan w:val="3"/>
            <w:tcBorders>
              <w:bottom w:val="none" w:sz="0" w:space="0" w:color="auto"/>
            </w:tcBorders>
            <w:hideMark/>
          </w:tcPr>
          <w:p w14:paraId="6772FC23" w14:textId="77777777" w:rsidR="003D1915" w:rsidRPr="005B2441" w:rsidRDefault="003D1915" w:rsidP="00A80B0A">
            <w:pPr>
              <w:keepNext/>
              <w:spacing w:line="240" w:lineRule="auto"/>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New Roman"/>
                <w:bCs w:val="0"/>
                <w:color w:val="000000"/>
                <w:sz w:val="20"/>
                <w:szCs w:val="20"/>
              </w:rPr>
            </w:pPr>
            <w:r w:rsidRPr="005B2441">
              <w:rPr>
                <w:rFonts w:ascii="Times" w:eastAsia="Times New Roman" w:hAnsi="Times" w:cs="Times New Roman"/>
                <w:bCs w:val="0"/>
                <w:color w:val="000000"/>
                <w:sz w:val="20"/>
                <w:szCs w:val="20"/>
              </w:rPr>
              <w:t xml:space="preserve">% of </w:t>
            </w:r>
            <w:r w:rsidR="005B2441">
              <w:rPr>
                <w:rFonts w:ascii="Times" w:eastAsia="Times New Roman" w:hAnsi="Times" w:cs="Times New Roman"/>
                <w:bCs w:val="0"/>
                <w:color w:val="000000"/>
                <w:sz w:val="20"/>
                <w:szCs w:val="20"/>
              </w:rPr>
              <w:t>b</w:t>
            </w:r>
            <w:r w:rsidRPr="005B2441">
              <w:rPr>
                <w:rFonts w:ascii="Times" w:eastAsia="Times New Roman" w:hAnsi="Times" w:cs="Times New Roman"/>
                <w:bCs w:val="0"/>
                <w:color w:val="000000"/>
                <w:sz w:val="20"/>
                <w:szCs w:val="20"/>
              </w:rPr>
              <w:t xml:space="preserve">udget </w:t>
            </w:r>
            <w:r w:rsidR="005B2441">
              <w:rPr>
                <w:rFonts w:ascii="Times" w:eastAsia="Times New Roman" w:hAnsi="Times" w:cs="Times New Roman"/>
                <w:bCs w:val="0"/>
                <w:color w:val="000000"/>
                <w:sz w:val="20"/>
                <w:szCs w:val="20"/>
              </w:rPr>
              <w:t>s</w:t>
            </w:r>
            <w:r w:rsidRPr="005B2441">
              <w:rPr>
                <w:rFonts w:ascii="Times" w:eastAsia="Times New Roman" w:hAnsi="Times" w:cs="Times New Roman"/>
                <w:bCs w:val="0"/>
                <w:color w:val="000000"/>
                <w:sz w:val="20"/>
                <w:szCs w:val="20"/>
              </w:rPr>
              <w:t>pent</w:t>
            </w:r>
          </w:p>
        </w:tc>
        <w:tc>
          <w:tcPr>
            <w:tcW w:w="3685" w:type="dxa"/>
            <w:gridSpan w:val="3"/>
            <w:tcBorders>
              <w:bottom w:val="none" w:sz="0" w:space="0" w:color="auto"/>
            </w:tcBorders>
            <w:hideMark/>
          </w:tcPr>
          <w:p w14:paraId="413FB364" w14:textId="77777777" w:rsidR="003D1915" w:rsidRPr="005B2441" w:rsidRDefault="003D1915" w:rsidP="00A80B0A">
            <w:pPr>
              <w:keepNext/>
              <w:spacing w:line="240" w:lineRule="auto"/>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New Roman"/>
                <w:bCs w:val="0"/>
                <w:color w:val="000000"/>
                <w:sz w:val="20"/>
                <w:szCs w:val="20"/>
              </w:rPr>
            </w:pPr>
            <w:r w:rsidRPr="005B2441">
              <w:rPr>
                <w:rFonts w:ascii="Times" w:eastAsia="Times New Roman" w:hAnsi="Times" w:cs="Times New Roman"/>
                <w:bCs w:val="0"/>
                <w:color w:val="000000"/>
                <w:sz w:val="20"/>
                <w:szCs w:val="20"/>
              </w:rPr>
              <w:t>MTEF Allocations</w:t>
            </w:r>
          </w:p>
        </w:tc>
      </w:tr>
      <w:tr w:rsidR="003D1915" w:rsidRPr="000D33E4" w14:paraId="10FA4A2B" w14:textId="77777777" w:rsidTr="00797D4D">
        <w:trPr>
          <w:trHeight w:val="194"/>
        </w:trPr>
        <w:tc>
          <w:tcPr>
            <w:cnfStyle w:val="001000000000" w:firstRow="0" w:lastRow="0" w:firstColumn="1" w:lastColumn="0" w:oddVBand="0" w:evenVBand="0" w:oddHBand="0" w:evenHBand="0" w:firstRowFirstColumn="0" w:firstRowLastColumn="0" w:lastRowFirstColumn="0" w:lastRowLastColumn="0"/>
            <w:tcW w:w="1134" w:type="dxa"/>
            <w:noWrap/>
            <w:hideMark/>
          </w:tcPr>
          <w:p w14:paraId="63B17CB7" w14:textId="77777777" w:rsidR="003D1915" w:rsidRPr="005B2441" w:rsidRDefault="003D1915" w:rsidP="00A80B0A">
            <w:pPr>
              <w:keepNext/>
              <w:spacing w:line="240" w:lineRule="auto"/>
              <w:jc w:val="left"/>
              <w:rPr>
                <w:rFonts w:ascii="Times" w:eastAsia="Times New Roman" w:hAnsi="Times" w:cs="Times New Roman"/>
                <w:color w:val="000000"/>
                <w:sz w:val="20"/>
                <w:szCs w:val="20"/>
              </w:rPr>
            </w:pPr>
            <w:r w:rsidRPr="005B2441">
              <w:rPr>
                <w:rFonts w:ascii="Times" w:eastAsia="Times New Roman" w:hAnsi="Times" w:cs="Times New Roman"/>
                <w:color w:val="000000"/>
                <w:sz w:val="20"/>
                <w:szCs w:val="20"/>
              </w:rPr>
              <w:t>Depart</w:t>
            </w:r>
            <w:r w:rsidR="005B2441">
              <w:rPr>
                <w:rFonts w:ascii="Times" w:eastAsia="Times New Roman" w:hAnsi="Times" w:cs="Times New Roman"/>
                <w:color w:val="000000"/>
                <w:sz w:val="20"/>
                <w:szCs w:val="20"/>
              </w:rPr>
              <w:t>-</w:t>
            </w:r>
            <w:r w:rsidRPr="005B2441">
              <w:rPr>
                <w:rFonts w:ascii="Times" w:eastAsia="Times New Roman" w:hAnsi="Times" w:cs="Times New Roman"/>
                <w:color w:val="000000"/>
                <w:sz w:val="20"/>
                <w:szCs w:val="20"/>
              </w:rPr>
              <w:t>ment</w:t>
            </w:r>
          </w:p>
        </w:tc>
        <w:tc>
          <w:tcPr>
            <w:tcW w:w="1843" w:type="dxa"/>
            <w:noWrap/>
            <w:hideMark/>
          </w:tcPr>
          <w:p w14:paraId="2B0A6A86" w14:textId="77777777" w:rsidR="003D1915" w:rsidRPr="005B2441" w:rsidRDefault="003D1915" w:rsidP="00A80B0A">
            <w:pPr>
              <w:keepNext/>
              <w:spacing w:line="240" w:lineRule="auto"/>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b/>
                <w:bCs/>
                <w:color w:val="000000"/>
                <w:sz w:val="20"/>
                <w:szCs w:val="20"/>
              </w:rPr>
            </w:pPr>
            <w:r w:rsidRPr="005B2441">
              <w:rPr>
                <w:rFonts w:ascii="Times" w:eastAsia="Times New Roman" w:hAnsi="Times" w:cs="Times New Roman"/>
                <w:b/>
                <w:bCs/>
                <w:color w:val="000000"/>
                <w:sz w:val="20"/>
                <w:szCs w:val="20"/>
              </w:rPr>
              <w:t>Grant</w:t>
            </w:r>
          </w:p>
        </w:tc>
        <w:tc>
          <w:tcPr>
            <w:tcW w:w="992" w:type="dxa"/>
            <w:noWrap/>
            <w:hideMark/>
          </w:tcPr>
          <w:p w14:paraId="49A55BB0" w14:textId="77777777" w:rsidR="003D1915" w:rsidRPr="005B2441" w:rsidRDefault="003D1915" w:rsidP="00A80B0A">
            <w:pPr>
              <w:keepNext/>
              <w:spacing w:line="240" w:lineRule="auto"/>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b/>
                <w:bCs/>
                <w:color w:val="000000"/>
                <w:sz w:val="20"/>
                <w:szCs w:val="20"/>
              </w:rPr>
            </w:pPr>
            <w:r w:rsidRPr="005B2441">
              <w:rPr>
                <w:rFonts w:ascii="Times" w:eastAsia="Times New Roman" w:hAnsi="Times" w:cs="Times New Roman"/>
                <w:b/>
                <w:bCs/>
                <w:color w:val="000000"/>
                <w:sz w:val="20"/>
                <w:szCs w:val="20"/>
              </w:rPr>
              <w:t>2016/17</w:t>
            </w:r>
          </w:p>
        </w:tc>
        <w:tc>
          <w:tcPr>
            <w:tcW w:w="993" w:type="dxa"/>
            <w:noWrap/>
            <w:hideMark/>
          </w:tcPr>
          <w:p w14:paraId="67BB53F0" w14:textId="77777777" w:rsidR="003D1915" w:rsidRPr="005B2441" w:rsidRDefault="003D1915" w:rsidP="00A80B0A">
            <w:pPr>
              <w:keepNext/>
              <w:spacing w:line="240" w:lineRule="auto"/>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b/>
                <w:bCs/>
                <w:color w:val="000000"/>
                <w:sz w:val="20"/>
                <w:szCs w:val="20"/>
              </w:rPr>
            </w:pPr>
            <w:r w:rsidRPr="005B2441">
              <w:rPr>
                <w:rFonts w:ascii="Times" w:eastAsia="Times New Roman" w:hAnsi="Times" w:cs="Times New Roman"/>
                <w:b/>
                <w:bCs/>
                <w:color w:val="000000"/>
                <w:sz w:val="20"/>
                <w:szCs w:val="20"/>
              </w:rPr>
              <w:t>2017/18</w:t>
            </w:r>
          </w:p>
        </w:tc>
        <w:tc>
          <w:tcPr>
            <w:tcW w:w="992" w:type="dxa"/>
            <w:noWrap/>
            <w:hideMark/>
          </w:tcPr>
          <w:p w14:paraId="189018B3" w14:textId="77777777" w:rsidR="003D1915" w:rsidRPr="005B2441" w:rsidRDefault="003D1915" w:rsidP="00A80B0A">
            <w:pPr>
              <w:keepNext/>
              <w:spacing w:line="240" w:lineRule="auto"/>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b/>
                <w:bCs/>
                <w:color w:val="000000"/>
                <w:sz w:val="20"/>
                <w:szCs w:val="20"/>
              </w:rPr>
            </w:pPr>
            <w:r w:rsidRPr="005B2441">
              <w:rPr>
                <w:rFonts w:ascii="Times" w:eastAsia="Times New Roman" w:hAnsi="Times" w:cs="Times New Roman"/>
                <w:b/>
                <w:bCs/>
                <w:color w:val="000000"/>
                <w:sz w:val="20"/>
                <w:szCs w:val="20"/>
              </w:rPr>
              <w:t>2018/19</w:t>
            </w:r>
          </w:p>
        </w:tc>
        <w:tc>
          <w:tcPr>
            <w:tcW w:w="1276" w:type="dxa"/>
            <w:noWrap/>
            <w:hideMark/>
          </w:tcPr>
          <w:p w14:paraId="6B103DD4" w14:textId="77777777" w:rsidR="003D1915" w:rsidRPr="005B2441" w:rsidRDefault="003D1915" w:rsidP="00A80B0A">
            <w:pPr>
              <w:keepNext/>
              <w:spacing w:line="240" w:lineRule="auto"/>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b/>
                <w:bCs/>
                <w:color w:val="000000"/>
                <w:sz w:val="20"/>
                <w:szCs w:val="20"/>
              </w:rPr>
            </w:pPr>
            <w:r w:rsidRPr="005B2441">
              <w:rPr>
                <w:rFonts w:ascii="Times" w:eastAsia="Times New Roman" w:hAnsi="Times" w:cs="Times New Roman"/>
                <w:b/>
                <w:bCs/>
                <w:color w:val="000000"/>
                <w:sz w:val="20"/>
                <w:szCs w:val="20"/>
              </w:rPr>
              <w:t>2020/21</w:t>
            </w:r>
          </w:p>
        </w:tc>
        <w:tc>
          <w:tcPr>
            <w:tcW w:w="1134" w:type="dxa"/>
            <w:noWrap/>
            <w:hideMark/>
          </w:tcPr>
          <w:p w14:paraId="6920CDB2" w14:textId="77777777" w:rsidR="003D1915" w:rsidRPr="005B2441" w:rsidRDefault="003D1915" w:rsidP="00A80B0A">
            <w:pPr>
              <w:keepNext/>
              <w:spacing w:line="240" w:lineRule="auto"/>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b/>
                <w:bCs/>
                <w:color w:val="000000"/>
                <w:sz w:val="20"/>
                <w:szCs w:val="20"/>
              </w:rPr>
            </w:pPr>
            <w:r w:rsidRPr="005B2441">
              <w:rPr>
                <w:rFonts w:ascii="Times" w:eastAsia="Times New Roman" w:hAnsi="Times" w:cs="Times New Roman"/>
                <w:b/>
                <w:bCs/>
                <w:color w:val="000000"/>
                <w:sz w:val="20"/>
                <w:szCs w:val="20"/>
              </w:rPr>
              <w:t>2021/22</w:t>
            </w:r>
          </w:p>
        </w:tc>
        <w:tc>
          <w:tcPr>
            <w:tcW w:w="1275" w:type="dxa"/>
            <w:noWrap/>
            <w:hideMark/>
          </w:tcPr>
          <w:p w14:paraId="2A802438" w14:textId="77777777" w:rsidR="003D1915" w:rsidRPr="005B2441" w:rsidRDefault="003D1915" w:rsidP="00A80B0A">
            <w:pPr>
              <w:keepNext/>
              <w:spacing w:line="240" w:lineRule="auto"/>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b/>
                <w:bCs/>
                <w:color w:val="000000"/>
                <w:sz w:val="20"/>
                <w:szCs w:val="20"/>
              </w:rPr>
            </w:pPr>
            <w:r w:rsidRPr="005B2441">
              <w:rPr>
                <w:rFonts w:ascii="Times" w:eastAsia="Times New Roman" w:hAnsi="Times" w:cs="Times New Roman"/>
                <w:b/>
                <w:bCs/>
                <w:color w:val="000000"/>
                <w:sz w:val="20"/>
                <w:szCs w:val="20"/>
              </w:rPr>
              <w:t>2022/23</w:t>
            </w:r>
          </w:p>
        </w:tc>
      </w:tr>
      <w:tr w:rsidR="003D1915" w:rsidRPr="000D33E4" w14:paraId="34B746F0" w14:textId="77777777" w:rsidTr="00FC64FC">
        <w:trPr>
          <w:trHeight w:val="194"/>
        </w:trPr>
        <w:tc>
          <w:tcPr>
            <w:cnfStyle w:val="001000000000" w:firstRow="0" w:lastRow="0" w:firstColumn="1" w:lastColumn="0" w:oddVBand="0" w:evenVBand="0" w:oddHBand="0" w:evenHBand="0" w:firstRowFirstColumn="0" w:firstRowLastColumn="0" w:lastRowFirstColumn="0" w:lastRowLastColumn="0"/>
            <w:tcW w:w="1134" w:type="dxa"/>
            <w:vMerge w:val="restart"/>
            <w:vAlign w:val="center"/>
            <w:hideMark/>
          </w:tcPr>
          <w:p w14:paraId="6CFC1495" w14:textId="77777777" w:rsidR="003D1915" w:rsidRPr="005B2441" w:rsidRDefault="003D1915" w:rsidP="00A80B0A">
            <w:pPr>
              <w:keepNext/>
              <w:spacing w:line="240" w:lineRule="auto"/>
              <w:jc w:val="left"/>
              <w:rPr>
                <w:rFonts w:ascii="Times" w:eastAsia="Times New Roman" w:hAnsi="Times" w:cs="Times New Roman"/>
                <w:b w:val="0"/>
                <w:color w:val="000000"/>
                <w:sz w:val="20"/>
                <w:szCs w:val="20"/>
              </w:rPr>
            </w:pPr>
            <w:r w:rsidRPr="005B2441">
              <w:rPr>
                <w:rFonts w:ascii="Times" w:eastAsia="Times New Roman" w:hAnsi="Times" w:cs="Times New Roman"/>
                <w:b w:val="0"/>
                <w:color w:val="000000"/>
                <w:sz w:val="20"/>
                <w:szCs w:val="20"/>
              </w:rPr>
              <w:t xml:space="preserve">Sports, Art and Culture </w:t>
            </w:r>
          </w:p>
        </w:tc>
        <w:tc>
          <w:tcPr>
            <w:tcW w:w="1843" w:type="dxa"/>
            <w:hideMark/>
          </w:tcPr>
          <w:p w14:paraId="1DAE847A" w14:textId="77777777" w:rsidR="003D1915" w:rsidRPr="005B2441" w:rsidRDefault="003D1915" w:rsidP="00A80B0A">
            <w:pPr>
              <w:keepNext/>
              <w:spacing w:line="240" w:lineRule="auto"/>
              <w:jc w:val="left"/>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color w:val="000000"/>
                <w:sz w:val="20"/>
                <w:szCs w:val="20"/>
              </w:rPr>
            </w:pPr>
            <w:r w:rsidRPr="005B2441">
              <w:rPr>
                <w:rFonts w:ascii="Times" w:eastAsia="Times New Roman" w:hAnsi="Times" w:cs="Times New Roman"/>
                <w:color w:val="000000"/>
                <w:sz w:val="20"/>
                <w:szCs w:val="20"/>
              </w:rPr>
              <w:t xml:space="preserve">Community Library Services Grant </w:t>
            </w:r>
          </w:p>
        </w:tc>
        <w:tc>
          <w:tcPr>
            <w:tcW w:w="992" w:type="dxa"/>
            <w:hideMark/>
          </w:tcPr>
          <w:p w14:paraId="4B1D08F9" w14:textId="77777777" w:rsidR="003D1915" w:rsidRPr="005B2441" w:rsidRDefault="003D1915" w:rsidP="00A80B0A">
            <w:pPr>
              <w:keepNext/>
              <w:spacing w:line="240" w:lineRule="auto"/>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color w:val="000000"/>
                <w:sz w:val="20"/>
                <w:szCs w:val="20"/>
              </w:rPr>
            </w:pPr>
          </w:p>
        </w:tc>
        <w:tc>
          <w:tcPr>
            <w:tcW w:w="993" w:type="dxa"/>
            <w:hideMark/>
          </w:tcPr>
          <w:p w14:paraId="33EE0B54" w14:textId="77777777" w:rsidR="003D1915" w:rsidRPr="005B2441" w:rsidRDefault="003D1915" w:rsidP="00A80B0A">
            <w:pPr>
              <w:keepNext/>
              <w:spacing w:line="240" w:lineRule="auto"/>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sz w:val="20"/>
                <w:szCs w:val="20"/>
              </w:rPr>
            </w:pPr>
          </w:p>
        </w:tc>
        <w:tc>
          <w:tcPr>
            <w:tcW w:w="992" w:type="dxa"/>
            <w:vAlign w:val="center"/>
            <w:hideMark/>
          </w:tcPr>
          <w:p w14:paraId="4E356B4F" w14:textId="77777777" w:rsidR="003D1915" w:rsidRPr="005B2441" w:rsidRDefault="003D1915" w:rsidP="00A80B0A">
            <w:pPr>
              <w:keepNext/>
              <w:spacing w:line="240" w:lineRule="auto"/>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color w:val="000000"/>
                <w:sz w:val="20"/>
                <w:szCs w:val="20"/>
              </w:rPr>
            </w:pPr>
            <w:r w:rsidRPr="005B2441">
              <w:rPr>
                <w:rFonts w:ascii="Times" w:eastAsia="Times New Roman" w:hAnsi="Times" w:cs="Times New Roman"/>
                <w:color w:val="000000"/>
                <w:sz w:val="20"/>
                <w:szCs w:val="20"/>
              </w:rPr>
              <w:t>97.5%</w:t>
            </w:r>
          </w:p>
        </w:tc>
        <w:tc>
          <w:tcPr>
            <w:tcW w:w="1276" w:type="dxa"/>
            <w:noWrap/>
            <w:vAlign w:val="center"/>
            <w:hideMark/>
          </w:tcPr>
          <w:p w14:paraId="72628EB6" w14:textId="77777777" w:rsidR="003D1915" w:rsidRPr="005B2441" w:rsidRDefault="003D1915" w:rsidP="00A80B0A">
            <w:pPr>
              <w:keepNext/>
              <w:spacing w:line="240" w:lineRule="auto"/>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color w:val="000000"/>
                <w:sz w:val="20"/>
                <w:szCs w:val="20"/>
              </w:rPr>
            </w:pPr>
            <w:r w:rsidRPr="005B2441">
              <w:rPr>
                <w:rFonts w:ascii="Times" w:eastAsia="Times New Roman" w:hAnsi="Times" w:cs="Times New Roman"/>
                <w:color w:val="000000"/>
                <w:sz w:val="20"/>
                <w:szCs w:val="20"/>
              </w:rPr>
              <w:t>1</w:t>
            </w:r>
            <w:r w:rsidR="00D449D8">
              <w:rPr>
                <w:rFonts w:ascii="Times" w:eastAsia="Times New Roman" w:hAnsi="Times" w:cs="Times New Roman"/>
                <w:color w:val="000000"/>
                <w:sz w:val="20"/>
                <w:szCs w:val="20"/>
              </w:rPr>
              <w:t> </w:t>
            </w:r>
            <w:r w:rsidRPr="005B2441">
              <w:rPr>
                <w:rFonts w:ascii="Times" w:eastAsia="Times New Roman" w:hAnsi="Times" w:cs="Times New Roman"/>
                <w:color w:val="000000"/>
                <w:sz w:val="20"/>
                <w:szCs w:val="20"/>
              </w:rPr>
              <w:t>479</w:t>
            </w:r>
            <w:r w:rsidR="00D449D8">
              <w:rPr>
                <w:rFonts w:ascii="Times" w:eastAsia="Times New Roman" w:hAnsi="Times" w:cs="Times New Roman"/>
                <w:color w:val="000000"/>
                <w:sz w:val="20"/>
                <w:szCs w:val="20"/>
              </w:rPr>
              <w:t xml:space="preserve"> </w:t>
            </w:r>
            <w:r w:rsidRPr="005B2441">
              <w:rPr>
                <w:rFonts w:ascii="Times" w:eastAsia="Times New Roman" w:hAnsi="Times" w:cs="Times New Roman"/>
                <w:color w:val="000000"/>
                <w:sz w:val="20"/>
                <w:szCs w:val="20"/>
              </w:rPr>
              <w:t>093</w:t>
            </w:r>
          </w:p>
        </w:tc>
        <w:tc>
          <w:tcPr>
            <w:tcW w:w="1134" w:type="dxa"/>
            <w:noWrap/>
            <w:vAlign w:val="center"/>
            <w:hideMark/>
          </w:tcPr>
          <w:p w14:paraId="4A09D43A" w14:textId="77777777" w:rsidR="003D1915" w:rsidRPr="005B2441" w:rsidRDefault="003D1915" w:rsidP="00A80B0A">
            <w:pPr>
              <w:keepNext/>
              <w:spacing w:line="240" w:lineRule="auto"/>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color w:val="000000"/>
                <w:sz w:val="20"/>
                <w:szCs w:val="20"/>
              </w:rPr>
            </w:pPr>
            <w:r w:rsidRPr="005B2441">
              <w:rPr>
                <w:rFonts w:ascii="Times" w:eastAsia="Times New Roman" w:hAnsi="Times" w:cs="Times New Roman"/>
                <w:color w:val="000000"/>
                <w:sz w:val="20"/>
                <w:szCs w:val="20"/>
              </w:rPr>
              <w:t>1</w:t>
            </w:r>
            <w:r w:rsidR="005B2441" w:rsidRPr="005B2441">
              <w:rPr>
                <w:rFonts w:ascii="Times" w:eastAsia="Times New Roman" w:hAnsi="Times" w:cs="Times New Roman"/>
                <w:color w:val="000000"/>
                <w:sz w:val="20"/>
                <w:szCs w:val="20"/>
              </w:rPr>
              <w:t> </w:t>
            </w:r>
            <w:r w:rsidRPr="005B2441">
              <w:rPr>
                <w:rFonts w:ascii="Times" w:eastAsia="Times New Roman" w:hAnsi="Times" w:cs="Times New Roman"/>
                <w:color w:val="000000"/>
                <w:sz w:val="20"/>
                <w:szCs w:val="20"/>
              </w:rPr>
              <w:t>584</w:t>
            </w:r>
            <w:r w:rsidR="005B2441" w:rsidRPr="005B2441">
              <w:rPr>
                <w:rFonts w:ascii="Times" w:eastAsia="Times New Roman" w:hAnsi="Times" w:cs="Times New Roman"/>
                <w:color w:val="000000"/>
                <w:sz w:val="20"/>
                <w:szCs w:val="20"/>
              </w:rPr>
              <w:t xml:space="preserve"> </w:t>
            </w:r>
            <w:r w:rsidRPr="005B2441">
              <w:rPr>
                <w:rFonts w:ascii="Times" w:eastAsia="Times New Roman" w:hAnsi="Times" w:cs="Times New Roman"/>
                <w:color w:val="000000"/>
                <w:sz w:val="20"/>
                <w:szCs w:val="20"/>
              </w:rPr>
              <w:t>073</w:t>
            </w:r>
          </w:p>
        </w:tc>
        <w:tc>
          <w:tcPr>
            <w:tcW w:w="1275" w:type="dxa"/>
            <w:noWrap/>
            <w:vAlign w:val="center"/>
            <w:hideMark/>
          </w:tcPr>
          <w:p w14:paraId="761F9580" w14:textId="77777777" w:rsidR="003D1915" w:rsidRPr="005B2441" w:rsidRDefault="003D1915" w:rsidP="00A80B0A">
            <w:pPr>
              <w:keepNext/>
              <w:spacing w:line="240" w:lineRule="auto"/>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color w:val="000000"/>
                <w:sz w:val="20"/>
                <w:szCs w:val="20"/>
              </w:rPr>
            </w:pPr>
            <w:r w:rsidRPr="005B2441">
              <w:rPr>
                <w:rFonts w:ascii="Times" w:eastAsia="Times New Roman" w:hAnsi="Times" w:cs="Times New Roman"/>
                <w:color w:val="000000"/>
                <w:sz w:val="20"/>
                <w:szCs w:val="20"/>
              </w:rPr>
              <w:t>1</w:t>
            </w:r>
            <w:r w:rsidR="005B2441">
              <w:rPr>
                <w:rFonts w:ascii="Times" w:eastAsia="Times New Roman" w:hAnsi="Times" w:cs="Times New Roman"/>
                <w:color w:val="000000"/>
                <w:sz w:val="20"/>
                <w:szCs w:val="20"/>
              </w:rPr>
              <w:t> </w:t>
            </w:r>
            <w:r w:rsidRPr="005B2441">
              <w:rPr>
                <w:rFonts w:ascii="Times" w:eastAsia="Times New Roman" w:hAnsi="Times" w:cs="Times New Roman"/>
                <w:color w:val="000000"/>
                <w:sz w:val="20"/>
                <w:szCs w:val="20"/>
              </w:rPr>
              <w:t>667</w:t>
            </w:r>
            <w:r w:rsidR="005B2441">
              <w:rPr>
                <w:rFonts w:ascii="Times" w:eastAsia="Times New Roman" w:hAnsi="Times" w:cs="Times New Roman"/>
                <w:color w:val="000000"/>
                <w:sz w:val="20"/>
                <w:szCs w:val="20"/>
              </w:rPr>
              <w:t xml:space="preserve"> </w:t>
            </w:r>
            <w:r w:rsidRPr="005B2441">
              <w:rPr>
                <w:rFonts w:ascii="Times" w:eastAsia="Times New Roman" w:hAnsi="Times" w:cs="Times New Roman"/>
                <w:color w:val="000000"/>
                <w:sz w:val="20"/>
                <w:szCs w:val="20"/>
              </w:rPr>
              <w:t>002</w:t>
            </w:r>
          </w:p>
        </w:tc>
      </w:tr>
      <w:tr w:rsidR="003D1915" w:rsidRPr="000D33E4" w14:paraId="4E20D7B8" w14:textId="77777777" w:rsidTr="00FC64FC">
        <w:trPr>
          <w:trHeight w:val="194"/>
        </w:trPr>
        <w:tc>
          <w:tcPr>
            <w:cnfStyle w:val="001000000000" w:firstRow="0" w:lastRow="0" w:firstColumn="1" w:lastColumn="0" w:oddVBand="0" w:evenVBand="0" w:oddHBand="0" w:evenHBand="0" w:firstRowFirstColumn="0" w:firstRowLastColumn="0" w:lastRowFirstColumn="0" w:lastRowLastColumn="0"/>
            <w:tcW w:w="1134" w:type="dxa"/>
            <w:vMerge/>
            <w:vAlign w:val="center"/>
            <w:hideMark/>
          </w:tcPr>
          <w:p w14:paraId="76292D57" w14:textId="77777777" w:rsidR="003D1915" w:rsidRPr="005B2441" w:rsidRDefault="003D1915" w:rsidP="00A80B0A">
            <w:pPr>
              <w:keepNext/>
              <w:spacing w:line="240" w:lineRule="auto"/>
              <w:jc w:val="left"/>
              <w:rPr>
                <w:rFonts w:ascii="Times" w:eastAsia="Times New Roman" w:hAnsi="Times" w:cs="Times New Roman"/>
                <w:b w:val="0"/>
                <w:color w:val="000000"/>
                <w:sz w:val="20"/>
                <w:szCs w:val="20"/>
              </w:rPr>
            </w:pPr>
          </w:p>
        </w:tc>
        <w:tc>
          <w:tcPr>
            <w:tcW w:w="1843" w:type="dxa"/>
            <w:noWrap/>
            <w:hideMark/>
          </w:tcPr>
          <w:p w14:paraId="24BD5FBD" w14:textId="77777777" w:rsidR="003D1915" w:rsidRPr="005B2441" w:rsidRDefault="003D1915" w:rsidP="00A80B0A">
            <w:pPr>
              <w:keepNext/>
              <w:spacing w:line="240" w:lineRule="auto"/>
              <w:jc w:val="left"/>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color w:val="000000"/>
                <w:sz w:val="20"/>
                <w:szCs w:val="20"/>
              </w:rPr>
            </w:pPr>
            <w:r w:rsidRPr="005B2441">
              <w:rPr>
                <w:rFonts w:ascii="Times" w:eastAsia="Times New Roman" w:hAnsi="Times" w:cs="Times New Roman"/>
                <w:color w:val="000000"/>
                <w:sz w:val="20"/>
                <w:szCs w:val="20"/>
              </w:rPr>
              <w:t>Mass Participation and Sport Development Grant</w:t>
            </w:r>
          </w:p>
        </w:tc>
        <w:tc>
          <w:tcPr>
            <w:tcW w:w="992" w:type="dxa"/>
            <w:noWrap/>
            <w:hideMark/>
          </w:tcPr>
          <w:p w14:paraId="100E9654" w14:textId="77777777" w:rsidR="003D1915" w:rsidRPr="005B2441" w:rsidRDefault="003D1915" w:rsidP="00A80B0A">
            <w:pPr>
              <w:keepNext/>
              <w:spacing w:line="240" w:lineRule="auto"/>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color w:val="000000"/>
                <w:sz w:val="20"/>
                <w:szCs w:val="20"/>
              </w:rPr>
            </w:pPr>
          </w:p>
        </w:tc>
        <w:tc>
          <w:tcPr>
            <w:tcW w:w="993" w:type="dxa"/>
            <w:noWrap/>
            <w:hideMark/>
          </w:tcPr>
          <w:p w14:paraId="1AA9BEA1" w14:textId="77777777" w:rsidR="003D1915" w:rsidRPr="005B2441" w:rsidRDefault="003D1915" w:rsidP="00A80B0A">
            <w:pPr>
              <w:keepNext/>
              <w:spacing w:line="240" w:lineRule="auto"/>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sz w:val="20"/>
                <w:szCs w:val="20"/>
              </w:rPr>
            </w:pPr>
          </w:p>
        </w:tc>
        <w:tc>
          <w:tcPr>
            <w:tcW w:w="992" w:type="dxa"/>
            <w:noWrap/>
            <w:vAlign w:val="center"/>
            <w:hideMark/>
          </w:tcPr>
          <w:p w14:paraId="7D02DD1C" w14:textId="77777777" w:rsidR="003D1915" w:rsidRPr="005B2441" w:rsidRDefault="003D1915" w:rsidP="00A80B0A">
            <w:pPr>
              <w:keepNext/>
              <w:spacing w:line="240" w:lineRule="auto"/>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color w:val="000000"/>
                <w:sz w:val="20"/>
                <w:szCs w:val="20"/>
              </w:rPr>
            </w:pPr>
            <w:r w:rsidRPr="005B2441">
              <w:rPr>
                <w:rFonts w:ascii="Times" w:eastAsia="Times New Roman" w:hAnsi="Times" w:cs="Times New Roman"/>
                <w:color w:val="000000"/>
                <w:sz w:val="20"/>
                <w:szCs w:val="20"/>
              </w:rPr>
              <w:t>79.0%</w:t>
            </w:r>
          </w:p>
        </w:tc>
        <w:tc>
          <w:tcPr>
            <w:tcW w:w="1276" w:type="dxa"/>
            <w:noWrap/>
            <w:vAlign w:val="center"/>
            <w:hideMark/>
          </w:tcPr>
          <w:p w14:paraId="71E964F8" w14:textId="77777777" w:rsidR="003D1915" w:rsidRPr="005B2441" w:rsidRDefault="003D1915" w:rsidP="00A80B0A">
            <w:pPr>
              <w:keepNext/>
              <w:spacing w:line="240" w:lineRule="auto"/>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color w:val="000000"/>
                <w:sz w:val="20"/>
                <w:szCs w:val="20"/>
              </w:rPr>
            </w:pPr>
            <w:r w:rsidRPr="005B2441">
              <w:rPr>
                <w:rFonts w:ascii="Times" w:eastAsia="Times New Roman" w:hAnsi="Times" w:cs="Times New Roman"/>
                <w:color w:val="000000"/>
                <w:sz w:val="20"/>
                <w:szCs w:val="20"/>
              </w:rPr>
              <w:t>596</w:t>
            </w:r>
            <w:r w:rsidR="005B2441" w:rsidRPr="005B2441">
              <w:rPr>
                <w:rFonts w:ascii="Times" w:eastAsia="Times New Roman" w:hAnsi="Times" w:cs="Times New Roman"/>
                <w:color w:val="000000"/>
                <w:sz w:val="20"/>
                <w:szCs w:val="20"/>
              </w:rPr>
              <w:t xml:space="preserve"> </w:t>
            </w:r>
            <w:r w:rsidRPr="005B2441">
              <w:rPr>
                <w:rFonts w:ascii="Times" w:eastAsia="Times New Roman" w:hAnsi="Times" w:cs="Times New Roman"/>
                <w:color w:val="000000"/>
                <w:sz w:val="20"/>
                <w:szCs w:val="20"/>
              </w:rPr>
              <w:t>617</w:t>
            </w:r>
          </w:p>
        </w:tc>
        <w:tc>
          <w:tcPr>
            <w:tcW w:w="1134" w:type="dxa"/>
            <w:noWrap/>
            <w:vAlign w:val="center"/>
            <w:hideMark/>
          </w:tcPr>
          <w:p w14:paraId="21D36A38" w14:textId="77777777" w:rsidR="003D1915" w:rsidRPr="005B2441" w:rsidRDefault="003D1915" w:rsidP="00A80B0A">
            <w:pPr>
              <w:keepNext/>
              <w:spacing w:line="240" w:lineRule="auto"/>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color w:val="000000"/>
                <w:sz w:val="20"/>
                <w:szCs w:val="20"/>
              </w:rPr>
            </w:pPr>
            <w:r w:rsidRPr="005B2441">
              <w:rPr>
                <w:rFonts w:ascii="Times" w:eastAsia="Times New Roman" w:hAnsi="Times" w:cs="Times New Roman"/>
                <w:color w:val="000000"/>
                <w:sz w:val="20"/>
                <w:szCs w:val="20"/>
              </w:rPr>
              <w:t>620</w:t>
            </w:r>
            <w:r w:rsidR="005B2441">
              <w:rPr>
                <w:rFonts w:ascii="Times" w:eastAsia="Times New Roman" w:hAnsi="Times" w:cs="Times New Roman"/>
                <w:color w:val="000000"/>
                <w:sz w:val="20"/>
                <w:szCs w:val="20"/>
              </w:rPr>
              <w:t xml:space="preserve"> </w:t>
            </w:r>
            <w:r w:rsidRPr="005B2441">
              <w:rPr>
                <w:rFonts w:ascii="Times" w:eastAsia="Times New Roman" w:hAnsi="Times" w:cs="Times New Roman"/>
                <w:color w:val="000000"/>
                <w:sz w:val="20"/>
                <w:szCs w:val="20"/>
              </w:rPr>
              <w:t>807</w:t>
            </w:r>
          </w:p>
        </w:tc>
        <w:tc>
          <w:tcPr>
            <w:tcW w:w="1275" w:type="dxa"/>
            <w:noWrap/>
            <w:vAlign w:val="center"/>
            <w:hideMark/>
          </w:tcPr>
          <w:p w14:paraId="469E9E04" w14:textId="77777777" w:rsidR="003D1915" w:rsidRPr="005B2441" w:rsidRDefault="003D1915" w:rsidP="00A80B0A">
            <w:pPr>
              <w:keepNext/>
              <w:spacing w:line="240" w:lineRule="auto"/>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color w:val="000000"/>
                <w:sz w:val="20"/>
                <w:szCs w:val="20"/>
              </w:rPr>
            </w:pPr>
            <w:r w:rsidRPr="005B2441">
              <w:rPr>
                <w:rFonts w:ascii="Times" w:eastAsia="Times New Roman" w:hAnsi="Times" w:cs="Times New Roman"/>
                <w:color w:val="000000"/>
                <w:sz w:val="20"/>
                <w:szCs w:val="20"/>
              </w:rPr>
              <w:t>640</w:t>
            </w:r>
            <w:r w:rsidR="005B2441">
              <w:rPr>
                <w:rFonts w:ascii="Times" w:eastAsia="Times New Roman" w:hAnsi="Times" w:cs="Times New Roman"/>
                <w:color w:val="000000"/>
                <w:sz w:val="20"/>
                <w:szCs w:val="20"/>
              </w:rPr>
              <w:t xml:space="preserve"> </w:t>
            </w:r>
            <w:r w:rsidRPr="005B2441">
              <w:rPr>
                <w:rFonts w:ascii="Times" w:eastAsia="Times New Roman" w:hAnsi="Times" w:cs="Times New Roman"/>
                <w:color w:val="000000"/>
                <w:sz w:val="20"/>
                <w:szCs w:val="20"/>
              </w:rPr>
              <w:t>472</w:t>
            </w:r>
          </w:p>
        </w:tc>
      </w:tr>
      <w:tr w:rsidR="003D1915" w:rsidRPr="000D33E4" w14:paraId="65939124" w14:textId="77777777" w:rsidTr="00FC64FC">
        <w:trPr>
          <w:trHeight w:val="194"/>
        </w:trPr>
        <w:tc>
          <w:tcPr>
            <w:cnfStyle w:val="001000000000" w:firstRow="0" w:lastRow="0" w:firstColumn="1" w:lastColumn="0" w:oddVBand="0" w:evenVBand="0" w:oddHBand="0" w:evenHBand="0" w:firstRowFirstColumn="0" w:firstRowLastColumn="0" w:lastRowFirstColumn="0" w:lastRowLastColumn="0"/>
            <w:tcW w:w="1134" w:type="dxa"/>
            <w:vMerge w:val="restart"/>
            <w:vAlign w:val="center"/>
            <w:hideMark/>
          </w:tcPr>
          <w:p w14:paraId="5D0086A2" w14:textId="77777777" w:rsidR="003D1915" w:rsidRPr="005B2441" w:rsidRDefault="003D1915" w:rsidP="00A80B0A">
            <w:pPr>
              <w:keepNext/>
              <w:spacing w:line="240" w:lineRule="auto"/>
              <w:jc w:val="left"/>
              <w:rPr>
                <w:rFonts w:ascii="Times" w:eastAsia="Times New Roman" w:hAnsi="Times" w:cs="Times New Roman"/>
                <w:b w:val="0"/>
                <w:color w:val="000000"/>
                <w:sz w:val="20"/>
                <w:szCs w:val="20"/>
              </w:rPr>
            </w:pPr>
          </w:p>
          <w:p w14:paraId="7839D80E" w14:textId="77777777" w:rsidR="003D1915" w:rsidRPr="005B2441" w:rsidRDefault="003D1915" w:rsidP="00A80B0A">
            <w:pPr>
              <w:keepNext/>
              <w:spacing w:line="240" w:lineRule="auto"/>
              <w:jc w:val="left"/>
              <w:rPr>
                <w:rFonts w:ascii="Times" w:eastAsia="Times New Roman" w:hAnsi="Times" w:cs="Times New Roman"/>
                <w:b w:val="0"/>
                <w:color w:val="000000"/>
                <w:sz w:val="20"/>
                <w:szCs w:val="20"/>
              </w:rPr>
            </w:pPr>
            <w:r w:rsidRPr="005B2441">
              <w:rPr>
                <w:rFonts w:ascii="Times" w:eastAsia="Times New Roman" w:hAnsi="Times" w:cs="Times New Roman"/>
                <w:b w:val="0"/>
                <w:color w:val="000000"/>
                <w:sz w:val="20"/>
                <w:szCs w:val="20"/>
              </w:rPr>
              <w:t>Basic Education</w:t>
            </w:r>
          </w:p>
        </w:tc>
        <w:tc>
          <w:tcPr>
            <w:tcW w:w="1843" w:type="dxa"/>
            <w:noWrap/>
            <w:hideMark/>
          </w:tcPr>
          <w:p w14:paraId="5E227DCE" w14:textId="77777777" w:rsidR="003D1915" w:rsidRPr="005B2441" w:rsidRDefault="003D1915" w:rsidP="00A80B0A">
            <w:pPr>
              <w:keepNext/>
              <w:spacing w:line="240" w:lineRule="auto"/>
              <w:jc w:val="left"/>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color w:val="000000"/>
                <w:sz w:val="20"/>
                <w:szCs w:val="20"/>
              </w:rPr>
            </w:pPr>
            <w:r w:rsidRPr="005B2441">
              <w:rPr>
                <w:rFonts w:ascii="Times" w:eastAsia="Times New Roman" w:hAnsi="Times" w:cs="Times New Roman"/>
                <w:color w:val="000000"/>
                <w:sz w:val="20"/>
                <w:szCs w:val="20"/>
              </w:rPr>
              <w:t>National School Nutrition Programme</w:t>
            </w:r>
          </w:p>
        </w:tc>
        <w:tc>
          <w:tcPr>
            <w:tcW w:w="992" w:type="dxa"/>
            <w:noWrap/>
            <w:vAlign w:val="center"/>
            <w:hideMark/>
          </w:tcPr>
          <w:p w14:paraId="6C413740" w14:textId="77777777" w:rsidR="003D1915" w:rsidRPr="005B2441" w:rsidRDefault="003D1915" w:rsidP="00A80B0A">
            <w:pPr>
              <w:keepNext/>
              <w:spacing w:line="240" w:lineRule="auto"/>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color w:val="000000"/>
                <w:sz w:val="20"/>
                <w:szCs w:val="20"/>
              </w:rPr>
            </w:pPr>
            <w:r w:rsidRPr="005B2441">
              <w:rPr>
                <w:rFonts w:ascii="Times" w:eastAsia="Times New Roman" w:hAnsi="Times" w:cs="Times New Roman"/>
                <w:color w:val="000000"/>
                <w:sz w:val="20"/>
                <w:szCs w:val="20"/>
              </w:rPr>
              <w:t>95.3%</w:t>
            </w:r>
          </w:p>
        </w:tc>
        <w:tc>
          <w:tcPr>
            <w:tcW w:w="993" w:type="dxa"/>
            <w:noWrap/>
            <w:vAlign w:val="center"/>
            <w:hideMark/>
          </w:tcPr>
          <w:p w14:paraId="1CF19647" w14:textId="77777777" w:rsidR="003D1915" w:rsidRPr="005B2441" w:rsidRDefault="003D1915" w:rsidP="00A80B0A">
            <w:pPr>
              <w:keepNext/>
              <w:spacing w:line="240" w:lineRule="auto"/>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color w:val="000000"/>
                <w:sz w:val="20"/>
                <w:szCs w:val="20"/>
              </w:rPr>
            </w:pPr>
            <w:r w:rsidRPr="005B2441">
              <w:rPr>
                <w:rFonts w:ascii="Times" w:eastAsia="Times New Roman" w:hAnsi="Times" w:cs="Times New Roman"/>
                <w:color w:val="000000"/>
                <w:sz w:val="20"/>
                <w:szCs w:val="20"/>
              </w:rPr>
              <w:t>96.1%</w:t>
            </w:r>
          </w:p>
        </w:tc>
        <w:tc>
          <w:tcPr>
            <w:tcW w:w="992" w:type="dxa"/>
            <w:noWrap/>
            <w:vAlign w:val="center"/>
            <w:hideMark/>
          </w:tcPr>
          <w:p w14:paraId="7B1ED75D" w14:textId="77777777" w:rsidR="003D1915" w:rsidRPr="005B2441" w:rsidRDefault="003D1915" w:rsidP="00A80B0A">
            <w:pPr>
              <w:keepNext/>
              <w:spacing w:line="240" w:lineRule="auto"/>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color w:val="000000"/>
                <w:sz w:val="20"/>
                <w:szCs w:val="20"/>
              </w:rPr>
            </w:pPr>
            <w:r w:rsidRPr="005B2441">
              <w:rPr>
                <w:rFonts w:ascii="Times" w:eastAsia="Times New Roman" w:hAnsi="Times" w:cs="Times New Roman"/>
                <w:color w:val="000000"/>
                <w:sz w:val="20"/>
                <w:szCs w:val="20"/>
              </w:rPr>
              <w:t>98.3%</w:t>
            </w:r>
          </w:p>
        </w:tc>
        <w:tc>
          <w:tcPr>
            <w:tcW w:w="1276" w:type="dxa"/>
            <w:noWrap/>
            <w:vAlign w:val="center"/>
            <w:hideMark/>
          </w:tcPr>
          <w:p w14:paraId="6939061D" w14:textId="77777777" w:rsidR="003D1915" w:rsidRPr="005B2441" w:rsidRDefault="003D1915" w:rsidP="00A80B0A">
            <w:pPr>
              <w:keepNext/>
              <w:spacing w:line="240" w:lineRule="auto"/>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color w:val="000000"/>
                <w:sz w:val="20"/>
                <w:szCs w:val="20"/>
              </w:rPr>
            </w:pPr>
            <w:r w:rsidRPr="005B2441">
              <w:rPr>
                <w:rFonts w:ascii="Times" w:eastAsia="Times New Roman" w:hAnsi="Times" w:cs="Times New Roman"/>
                <w:color w:val="000000"/>
                <w:sz w:val="20"/>
                <w:szCs w:val="20"/>
              </w:rPr>
              <w:t>7</w:t>
            </w:r>
            <w:r w:rsidR="005B2441" w:rsidRPr="005B2441">
              <w:rPr>
                <w:rFonts w:ascii="Times" w:eastAsia="Times New Roman" w:hAnsi="Times" w:cs="Times New Roman"/>
                <w:color w:val="000000"/>
                <w:sz w:val="20"/>
                <w:szCs w:val="20"/>
              </w:rPr>
              <w:t xml:space="preserve"> </w:t>
            </w:r>
            <w:r w:rsidRPr="005B2441">
              <w:rPr>
                <w:rFonts w:ascii="Times" w:eastAsia="Times New Roman" w:hAnsi="Times" w:cs="Times New Roman"/>
                <w:color w:val="000000"/>
                <w:sz w:val="20"/>
                <w:szCs w:val="20"/>
              </w:rPr>
              <w:t>665</w:t>
            </w:r>
            <w:r w:rsidR="005B2441" w:rsidRPr="005B2441">
              <w:rPr>
                <w:rFonts w:ascii="Times" w:eastAsia="Times New Roman" w:hAnsi="Times" w:cs="Times New Roman"/>
                <w:color w:val="000000"/>
                <w:sz w:val="20"/>
                <w:szCs w:val="20"/>
              </w:rPr>
              <w:t xml:space="preserve"> </w:t>
            </w:r>
            <w:r w:rsidRPr="005B2441">
              <w:rPr>
                <w:rFonts w:ascii="Times" w:eastAsia="Times New Roman" w:hAnsi="Times" w:cs="Times New Roman"/>
                <w:color w:val="000000"/>
                <w:sz w:val="20"/>
                <w:szCs w:val="20"/>
              </w:rPr>
              <w:t>887</w:t>
            </w:r>
          </w:p>
        </w:tc>
        <w:tc>
          <w:tcPr>
            <w:tcW w:w="1134" w:type="dxa"/>
            <w:noWrap/>
            <w:vAlign w:val="center"/>
            <w:hideMark/>
          </w:tcPr>
          <w:p w14:paraId="4BAC8623" w14:textId="77777777" w:rsidR="003D1915" w:rsidRPr="005B2441" w:rsidRDefault="003D1915" w:rsidP="00A80B0A">
            <w:pPr>
              <w:keepNext/>
              <w:spacing w:line="240" w:lineRule="auto"/>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color w:val="000000"/>
                <w:sz w:val="20"/>
                <w:szCs w:val="20"/>
              </w:rPr>
            </w:pPr>
            <w:r w:rsidRPr="005B2441">
              <w:rPr>
                <w:rFonts w:ascii="Times" w:eastAsia="Times New Roman" w:hAnsi="Times" w:cs="Times New Roman"/>
                <w:color w:val="000000"/>
                <w:sz w:val="20"/>
                <w:szCs w:val="20"/>
              </w:rPr>
              <w:t>8</w:t>
            </w:r>
            <w:r w:rsidR="005B2441">
              <w:rPr>
                <w:rFonts w:ascii="Times" w:eastAsia="Times New Roman" w:hAnsi="Times" w:cs="Times New Roman"/>
                <w:color w:val="000000"/>
                <w:sz w:val="20"/>
                <w:szCs w:val="20"/>
              </w:rPr>
              <w:t xml:space="preserve"> </w:t>
            </w:r>
            <w:r w:rsidRPr="005B2441">
              <w:rPr>
                <w:rFonts w:ascii="Times" w:eastAsia="Times New Roman" w:hAnsi="Times" w:cs="Times New Roman"/>
                <w:color w:val="000000"/>
                <w:sz w:val="20"/>
                <w:szCs w:val="20"/>
              </w:rPr>
              <w:t>125</w:t>
            </w:r>
            <w:r w:rsidR="005B2441">
              <w:rPr>
                <w:rFonts w:ascii="Times" w:eastAsia="Times New Roman" w:hAnsi="Times" w:cs="Times New Roman"/>
                <w:color w:val="000000"/>
                <w:sz w:val="20"/>
                <w:szCs w:val="20"/>
              </w:rPr>
              <w:t xml:space="preserve"> </w:t>
            </w:r>
            <w:r w:rsidRPr="005B2441">
              <w:rPr>
                <w:rFonts w:ascii="Times" w:eastAsia="Times New Roman" w:hAnsi="Times" w:cs="Times New Roman"/>
                <w:color w:val="000000"/>
                <w:sz w:val="20"/>
                <w:szCs w:val="20"/>
              </w:rPr>
              <w:t>341</w:t>
            </w:r>
          </w:p>
        </w:tc>
        <w:tc>
          <w:tcPr>
            <w:tcW w:w="1275" w:type="dxa"/>
            <w:noWrap/>
            <w:vAlign w:val="center"/>
            <w:hideMark/>
          </w:tcPr>
          <w:p w14:paraId="34A2D35E" w14:textId="77777777" w:rsidR="003D1915" w:rsidRPr="005B2441" w:rsidRDefault="003D1915" w:rsidP="00A80B0A">
            <w:pPr>
              <w:keepNext/>
              <w:spacing w:line="240" w:lineRule="auto"/>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color w:val="000000"/>
                <w:sz w:val="20"/>
                <w:szCs w:val="20"/>
              </w:rPr>
            </w:pPr>
            <w:r w:rsidRPr="005B2441">
              <w:rPr>
                <w:rFonts w:ascii="Times" w:eastAsia="Times New Roman" w:hAnsi="Times" w:cs="Times New Roman"/>
                <w:color w:val="000000"/>
                <w:sz w:val="20"/>
                <w:szCs w:val="20"/>
              </w:rPr>
              <w:t>8</w:t>
            </w:r>
            <w:r w:rsidR="005B2441">
              <w:rPr>
                <w:rFonts w:ascii="Times" w:eastAsia="Times New Roman" w:hAnsi="Times" w:cs="Times New Roman"/>
                <w:color w:val="000000"/>
                <w:sz w:val="20"/>
                <w:szCs w:val="20"/>
              </w:rPr>
              <w:t xml:space="preserve"> </w:t>
            </w:r>
            <w:r w:rsidRPr="005B2441">
              <w:rPr>
                <w:rFonts w:ascii="Times" w:eastAsia="Times New Roman" w:hAnsi="Times" w:cs="Times New Roman"/>
                <w:color w:val="000000"/>
                <w:sz w:val="20"/>
                <w:szCs w:val="20"/>
              </w:rPr>
              <w:t>516</w:t>
            </w:r>
            <w:r w:rsidR="005B2441">
              <w:rPr>
                <w:rFonts w:ascii="Times" w:eastAsia="Times New Roman" w:hAnsi="Times" w:cs="Times New Roman"/>
                <w:color w:val="000000"/>
                <w:sz w:val="20"/>
                <w:szCs w:val="20"/>
              </w:rPr>
              <w:t xml:space="preserve"> </w:t>
            </w:r>
            <w:r w:rsidRPr="005B2441">
              <w:rPr>
                <w:rFonts w:ascii="Times" w:eastAsia="Times New Roman" w:hAnsi="Times" w:cs="Times New Roman"/>
                <w:color w:val="000000"/>
                <w:sz w:val="20"/>
                <w:szCs w:val="20"/>
              </w:rPr>
              <w:t>464</w:t>
            </w:r>
          </w:p>
        </w:tc>
      </w:tr>
      <w:tr w:rsidR="003D1915" w:rsidRPr="000D33E4" w14:paraId="31554EAE" w14:textId="77777777" w:rsidTr="00FC64FC">
        <w:trPr>
          <w:trHeight w:val="194"/>
        </w:trPr>
        <w:tc>
          <w:tcPr>
            <w:cnfStyle w:val="001000000000" w:firstRow="0" w:lastRow="0" w:firstColumn="1" w:lastColumn="0" w:oddVBand="0" w:evenVBand="0" w:oddHBand="0" w:evenHBand="0" w:firstRowFirstColumn="0" w:firstRowLastColumn="0" w:lastRowFirstColumn="0" w:lastRowLastColumn="0"/>
            <w:tcW w:w="1134" w:type="dxa"/>
            <w:vMerge/>
            <w:hideMark/>
          </w:tcPr>
          <w:p w14:paraId="693403AB" w14:textId="77777777" w:rsidR="003D1915" w:rsidRPr="005B2441" w:rsidRDefault="003D1915" w:rsidP="00A80B0A">
            <w:pPr>
              <w:keepNext/>
              <w:spacing w:line="240" w:lineRule="auto"/>
              <w:rPr>
                <w:rFonts w:ascii="Times" w:eastAsia="Times New Roman" w:hAnsi="Times" w:cs="Times New Roman"/>
                <w:b w:val="0"/>
                <w:color w:val="000000"/>
                <w:sz w:val="20"/>
                <w:szCs w:val="20"/>
              </w:rPr>
            </w:pPr>
          </w:p>
        </w:tc>
        <w:tc>
          <w:tcPr>
            <w:tcW w:w="1843" w:type="dxa"/>
            <w:noWrap/>
            <w:hideMark/>
          </w:tcPr>
          <w:p w14:paraId="0B7D9F0D" w14:textId="77777777" w:rsidR="003D1915" w:rsidRPr="005B2441" w:rsidRDefault="003D1915" w:rsidP="00A80B0A">
            <w:pPr>
              <w:keepNext/>
              <w:spacing w:line="240" w:lineRule="auto"/>
              <w:jc w:val="left"/>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color w:val="000000"/>
                <w:sz w:val="20"/>
                <w:szCs w:val="20"/>
              </w:rPr>
            </w:pPr>
            <w:r w:rsidRPr="005B2441">
              <w:rPr>
                <w:rFonts w:ascii="Times" w:eastAsia="Times New Roman" w:hAnsi="Times" w:cs="Times New Roman"/>
                <w:color w:val="000000"/>
                <w:sz w:val="20"/>
                <w:szCs w:val="20"/>
              </w:rPr>
              <w:t>HIV/AIDS</w:t>
            </w:r>
          </w:p>
        </w:tc>
        <w:tc>
          <w:tcPr>
            <w:tcW w:w="992" w:type="dxa"/>
            <w:noWrap/>
            <w:vAlign w:val="center"/>
            <w:hideMark/>
          </w:tcPr>
          <w:p w14:paraId="6D4B66B9" w14:textId="77777777" w:rsidR="003D1915" w:rsidRPr="005B2441" w:rsidRDefault="003D1915" w:rsidP="00A80B0A">
            <w:pPr>
              <w:keepNext/>
              <w:spacing w:line="240" w:lineRule="auto"/>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color w:val="000000"/>
                <w:sz w:val="20"/>
                <w:szCs w:val="20"/>
              </w:rPr>
            </w:pPr>
            <w:r w:rsidRPr="005B2441">
              <w:rPr>
                <w:rFonts w:ascii="Times" w:eastAsia="Times New Roman" w:hAnsi="Times" w:cs="Times New Roman"/>
                <w:color w:val="000000"/>
                <w:sz w:val="20"/>
                <w:szCs w:val="20"/>
              </w:rPr>
              <w:t>94.7%</w:t>
            </w:r>
          </w:p>
        </w:tc>
        <w:tc>
          <w:tcPr>
            <w:tcW w:w="993" w:type="dxa"/>
            <w:noWrap/>
            <w:vAlign w:val="center"/>
            <w:hideMark/>
          </w:tcPr>
          <w:p w14:paraId="00B0BF79" w14:textId="77777777" w:rsidR="003D1915" w:rsidRPr="005B2441" w:rsidRDefault="003D1915" w:rsidP="00A80B0A">
            <w:pPr>
              <w:keepNext/>
              <w:spacing w:line="240" w:lineRule="auto"/>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color w:val="000000"/>
                <w:sz w:val="20"/>
                <w:szCs w:val="20"/>
              </w:rPr>
            </w:pPr>
            <w:r w:rsidRPr="005B2441">
              <w:rPr>
                <w:rFonts w:ascii="Times" w:eastAsia="Times New Roman" w:hAnsi="Times" w:cs="Times New Roman"/>
                <w:color w:val="000000"/>
                <w:sz w:val="20"/>
                <w:szCs w:val="20"/>
              </w:rPr>
              <w:t>96.0%</w:t>
            </w:r>
          </w:p>
        </w:tc>
        <w:tc>
          <w:tcPr>
            <w:tcW w:w="992" w:type="dxa"/>
            <w:noWrap/>
            <w:vAlign w:val="center"/>
            <w:hideMark/>
          </w:tcPr>
          <w:p w14:paraId="17AE269A" w14:textId="77777777" w:rsidR="003D1915" w:rsidRPr="005B2441" w:rsidRDefault="003D1915" w:rsidP="00A80B0A">
            <w:pPr>
              <w:keepNext/>
              <w:spacing w:line="240" w:lineRule="auto"/>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color w:val="000000"/>
                <w:sz w:val="20"/>
                <w:szCs w:val="20"/>
              </w:rPr>
            </w:pPr>
            <w:r w:rsidRPr="005B2441">
              <w:rPr>
                <w:rFonts w:ascii="Times" w:eastAsia="Times New Roman" w:hAnsi="Times" w:cs="Times New Roman"/>
                <w:color w:val="000000"/>
                <w:sz w:val="20"/>
                <w:szCs w:val="20"/>
              </w:rPr>
              <w:t>93.4%</w:t>
            </w:r>
          </w:p>
        </w:tc>
        <w:tc>
          <w:tcPr>
            <w:tcW w:w="1276" w:type="dxa"/>
            <w:noWrap/>
            <w:vAlign w:val="center"/>
            <w:hideMark/>
          </w:tcPr>
          <w:p w14:paraId="0F0BAAC8" w14:textId="77777777" w:rsidR="003D1915" w:rsidRPr="005B2441" w:rsidRDefault="003D1915" w:rsidP="00A80B0A">
            <w:pPr>
              <w:keepNext/>
              <w:spacing w:line="240" w:lineRule="auto"/>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color w:val="000000"/>
                <w:sz w:val="20"/>
                <w:szCs w:val="20"/>
              </w:rPr>
            </w:pPr>
            <w:r w:rsidRPr="005B2441">
              <w:rPr>
                <w:rFonts w:ascii="Times" w:eastAsia="Times New Roman" w:hAnsi="Times" w:cs="Times New Roman"/>
                <w:color w:val="000000"/>
                <w:sz w:val="20"/>
                <w:szCs w:val="20"/>
              </w:rPr>
              <w:t>246</w:t>
            </w:r>
            <w:r w:rsidR="005B2441" w:rsidRPr="005B2441">
              <w:rPr>
                <w:rFonts w:ascii="Times" w:eastAsia="Times New Roman" w:hAnsi="Times" w:cs="Times New Roman"/>
                <w:color w:val="000000"/>
                <w:sz w:val="20"/>
                <w:szCs w:val="20"/>
              </w:rPr>
              <w:t xml:space="preserve"> </w:t>
            </w:r>
            <w:r w:rsidRPr="005B2441">
              <w:rPr>
                <w:rFonts w:ascii="Times" w:eastAsia="Times New Roman" w:hAnsi="Times" w:cs="Times New Roman"/>
                <w:color w:val="000000"/>
                <w:sz w:val="20"/>
                <w:szCs w:val="20"/>
              </w:rPr>
              <w:t>699</w:t>
            </w:r>
          </w:p>
        </w:tc>
        <w:tc>
          <w:tcPr>
            <w:tcW w:w="1134" w:type="dxa"/>
            <w:noWrap/>
            <w:vAlign w:val="center"/>
            <w:hideMark/>
          </w:tcPr>
          <w:p w14:paraId="4DA3688D" w14:textId="77777777" w:rsidR="003D1915" w:rsidRPr="005B2441" w:rsidRDefault="003D1915" w:rsidP="00A80B0A">
            <w:pPr>
              <w:keepNext/>
              <w:spacing w:line="240" w:lineRule="auto"/>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color w:val="000000"/>
                <w:sz w:val="20"/>
                <w:szCs w:val="20"/>
              </w:rPr>
            </w:pPr>
            <w:r w:rsidRPr="005B2441">
              <w:rPr>
                <w:rFonts w:ascii="Times" w:eastAsia="Times New Roman" w:hAnsi="Times" w:cs="Times New Roman"/>
                <w:color w:val="000000"/>
                <w:sz w:val="20"/>
                <w:szCs w:val="20"/>
              </w:rPr>
              <w:t>258</w:t>
            </w:r>
            <w:r w:rsidR="005B2441">
              <w:rPr>
                <w:rFonts w:ascii="Times" w:eastAsia="Times New Roman" w:hAnsi="Times" w:cs="Times New Roman"/>
                <w:color w:val="000000"/>
                <w:sz w:val="20"/>
                <w:szCs w:val="20"/>
              </w:rPr>
              <w:t xml:space="preserve"> </w:t>
            </w:r>
            <w:r w:rsidRPr="005B2441">
              <w:rPr>
                <w:rFonts w:ascii="Times" w:eastAsia="Times New Roman" w:hAnsi="Times" w:cs="Times New Roman"/>
                <w:color w:val="000000"/>
                <w:sz w:val="20"/>
                <w:szCs w:val="20"/>
              </w:rPr>
              <w:t>542</w:t>
            </w:r>
          </w:p>
        </w:tc>
        <w:tc>
          <w:tcPr>
            <w:tcW w:w="1275" w:type="dxa"/>
            <w:noWrap/>
            <w:vAlign w:val="center"/>
            <w:hideMark/>
          </w:tcPr>
          <w:p w14:paraId="10EEB9A9" w14:textId="77777777" w:rsidR="003D1915" w:rsidRPr="005B2441" w:rsidRDefault="003D1915" w:rsidP="00A80B0A">
            <w:pPr>
              <w:keepNext/>
              <w:spacing w:line="240" w:lineRule="auto"/>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color w:val="000000"/>
                <w:sz w:val="20"/>
                <w:szCs w:val="20"/>
              </w:rPr>
            </w:pPr>
            <w:r w:rsidRPr="005B2441">
              <w:rPr>
                <w:rFonts w:ascii="Times" w:eastAsia="Times New Roman" w:hAnsi="Times" w:cs="Times New Roman"/>
                <w:color w:val="000000"/>
                <w:sz w:val="20"/>
                <w:szCs w:val="20"/>
              </w:rPr>
              <w:t>262</w:t>
            </w:r>
            <w:r w:rsidR="005B2441">
              <w:rPr>
                <w:rFonts w:ascii="Times" w:eastAsia="Times New Roman" w:hAnsi="Times" w:cs="Times New Roman"/>
                <w:color w:val="000000"/>
                <w:sz w:val="20"/>
                <w:szCs w:val="20"/>
              </w:rPr>
              <w:t xml:space="preserve"> </w:t>
            </w:r>
            <w:r w:rsidRPr="005B2441">
              <w:rPr>
                <w:rFonts w:ascii="Times" w:eastAsia="Times New Roman" w:hAnsi="Times" w:cs="Times New Roman"/>
                <w:color w:val="000000"/>
                <w:sz w:val="20"/>
                <w:szCs w:val="20"/>
              </w:rPr>
              <w:t>204</w:t>
            </w:r>
          </w:p>
        </w:tc>
      </w:tr>
      <w:tr w:rsidR="003D1915" w:rsidRPr="000D33E4" w14:paraId="136DF66A" w14:textId="77777777" w:rsidTr="00FC64FC">
        <w:trPr>
          <w:trHeight w:val="194"/>
        </w:trPr>
        <w:tc>
          <w:tcPr>
            <w:cnfStyle w:val="001000000000" w:firstRow="0" w:lastRow="0" w:firstColumn="1" w:lastColumn="0" w:oddVBand="0" w:evenVBand="0" w:oddHBand="0" w:evenHBand="0" w:firstRowFirstColumn="0" w:firstRowLastColumn="0" w:lastRowFirstColumn="0" w:lastRowLastColumn="0"/>
            <w:tcW w:w="1134" w:type="dxa"/>
            <w:vMerge/>
            <w:hideMark/>
          </w:tcPr>
          <w:p w14:paraId="30B82B39" w14:textId="77777777" w:rsidR="003D1915" w:rsidRPr="005B2441" w:rsidRDefault="003D1915" w:rsidP="00A80B0A">
            <w:pPr>
              <w:keepNext/>
              <w:spacing w:line="240" w:lineRule="auto"/>
              <w:rPr>
                <w:rFonts w:ascii="Times" w:eastAsia="Times New Roman" w:hAnsi="Times" w:cs="Times New Roman"/>
                <w:b w:val="0"/>
                <w:color w:val="000000"/>
                <w:sz w:val="20"/>
                <w:szCs w:val="20"/>
              </w:rPr>
            </w:pPr>
          </w:p>
        </w:tc>
        <w:tc>
          <w:tcPr>
            <w:tcW w:w="1843" w:type="dxa"/>
            <w:noWrap/>
            <w:hideMark/>
          </w:tcPr>
          <w:p w14:paraId="245F0486" w14:textId="77777777" w:rsidR="003D1915" w:rsidRPr="005B2441" w:rsidRDefault="003D1915" w:rsidP="00A80B0A">
            <w:pPr>
              <w:keepNext/>
              <w:spacing w:line="240" w:lineRule="auto"/>
              <w:jc w:val="left"/>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color w:val="000000"/>
                <w:sz w:val="20"/>
                <w:szCs w:val="20"/>
              </w:rPr>
            </w:pPr>
            <w:r w:rsidRPr="005B2441">
              <w:rPr>
                <w:rFonts w:ascii="Times" w:eastAsia="Times New Roman" w:hAnsi="Times" w:cs="Times New Roman"/>
                <w:color w:val="000000"/>
                <w:sz w:val="20"/>
                <w:szCs w:val="20"/>
              </w:rPr>
              <w:t>Maths Science and Technology</w:t>
            </w:r>
          </w:p>
        </w:tc>
        <w:tc>
          <w:tcPr>
            <w:tcW w:w="992" w:type="dxa"/>
            <w:noWrap/>
            <w:vAlign w:val="center"/>
            <w:hideMark/>
          </w:tcPr>
          <w:p w14:paraId="6C3D41D9" w14:textId="77777777" w:rsidR="003D1915" w:rsidRPr="005B2441" w:rsidRDefault="003D1915" w:rsidP="00A80B0A">
            <w:pPr>
              <w:keepNext/>
              <w:spacing w:line="240" w:lineRule="auto"/>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color w:val="000000"/>
                <w:sz w:val="20"/>
                <w:szCs w:val="20"/>
              </w:rPr>
            </w:pPr>
            <w:r w:rsidRPr="005B2441">
              <w:rPr>
                <w:rFonts w:ascii="Times" w:eastAsia="Times New Roman" w:hAnsi="Times" w:cs="Times New Roman"/>
                <w:color w:val="000000"/>
                <w:sz w:val="20"/>
                <w:szCs w:val="20"/>
              </w:rPr>
              <w:t>98.2%</w:t>
            </w:r>
          </w:p>
        </w:tc>
        <w:tc>
          <w:tcPr>
            <w:tcW w:w="993" w:type="dxa"/>
            <w:noWrap/>
            <w:vAlign w:val="center"/>
            <w:hideMark/>
          </w:tcPr>
          <w:p w14:paraId="05141261" w14:textId="77777777" w:rsidR="003D1915" w:rsidRPr="005B2441" w:rsidRDefault="003D1915" w:rsidP="00A80B0A">
            <w:pPr>
              <w:keepNext/>
              <w:spacing w:line="240" w:lineRule="auto"/>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color w:val="000000"/>
                <w:sz w:val="20"/>
                <w:szCs w:val="20"/>
              </w:rPr>
            </w:pPr>
            <w:r w:rsidRPr="005B2441">
              <w:rPr>
                <w:rFonts w:ascii="Times" w:eastAsia="Times New Roman" w:hAnsi="Times" w:cs="Times New Roman"/>
                <w:color w:val="000000"/>
                <w:sz w:val="20"/>
                <w:szCs w:val="20"/>
              </w:rPr>
              <w:t>87.3%</w:t>
            </w:r>
          </w:p>
        </w:tc>
        <w:tc>
          <w:tcPr>
            <w:tcW w:w="992" w:type="dxa"/>
            <w:noWrap/>
            <w:vAlign w:val="center"/>
            <w:hideMark/>
          </w:tcPr>
          <w:p w14:paraId="6E11C01E" w14:textId="77777777" w:rsidR="003D1915" w:rsidRPr="005B2441" w:rsidRDefault="003D1915" w:rsidP="00A80B0A">
            <w:pPr>
              <w:keepNext/>
              <w:spacing w:line="240" w:lineRule="auto"/>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color w:val="000000"/>
                <w:sz w:val="20"/>
                <w:szCs w:val="20"/>
              </w:rPr>
            </w:pPr>
            <w:r w:rsidRPr="005B2441">
              <w:rPr>
                <w:rFonts w:ascii="Times" w:eastAsia="Times New Roman" w:hAnsi="Times" w:cs="Times New Roman"/>
                <w:color w:val="000000"/>
                <w:sz w:val="20"/>
                <w:szCs w:val="20"/>
              </w:rPr>
              <w:t>96.3%</w:t>
            </w:r>
          </w:p>
        </w:tc>
        <w:tc>
          <w:tcPr>
            <w:tcW w:w="1276" w:type="dxa"/>
            <w:noWrap/>
            <w:vAlign w:val="center"/>
            <w:hideMark/>
          </w:tcPr>
          <w:p w14:paraId="3A043789" w14:textId="77777777" w:rsidR="003D1915" w:rsidRPr="005B2441" w:rsidRDefault="003D1915" w:rsidP="00A80B0A">
            <w:pPr>
              <w:keepNext/>
              <w:spacing w:line="240" w:lineRule="auto"/>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color w:val="000000"/>
                <w:sz w:val="20"/>
                <w:szCs w:val="20"/>
              </w:rPr>
            </w:pPr>
            <w:r w:rsidRPr="005B2441">
              <w:rPr>
                <w:rFonts w:ascii="Times" w:eastAsia="Times New Roman" w:hAnsi="Times" w:cs="Times New Roman"/>
                <w:color w:val="000000"/>
                <w:sz w:val="20"/>
                <w:szCs w:val="20"/>
              </w:rPr>
              <w:t>400</w:t>
            </w:r>
            <w:r w:rsidR="005B2441" w:rsidRPr="005B2441">
              <w:rPr>
                <w:rFonts w:ascii="Times" w:eastAsia="Times New Roman" w:hAnsi="Times" w:cs="Times New Roman"/>
                <w:color w:val="000000"/>
                <w:sz w:val="20"/>
                <w:szCs w:val="20"/>
              </w:rPr>
              <w:t xml:space="preserve"> </w:t>
            </w:r>
            <w:r w:rsidRPr="005B2441">
              <w:rPr>
                <w:rFonts w:ascii="Times" w:eastAsia="Times New Roman" w:hAnsi="Times" w:cs="Times New Roman"/>
                <w:color w:val="000000"/>
                <w:sz w:val="20"/>
                <w:szCs w:val="20"/>
              </w:rPr>
              <w:t>862</w:t>
            </w:r>
          </w:p>
        </w:tc>
        <w:tc>
          <w:tcPr>
            <w:tcW w:w="1134" w:type="dxa"/>
            <w:noWrap/>
            <w:vAlign w:val="center"/>
            <w:hideMark/>
          </w:tcPr>
          <w:p w14:paraId="4ED34754" w14:textId="77777777" w:rsidR="003D1915" w:rsidRPr="005B2441" w:rsidRDefault="003D1915" w:rsidP="00A80B0A">
            <w:pPr>
              <w:keepNext/>
              <w:spacing w:line="240" w:lineRule="auto"/>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color w:val="000000"/>
                <w:sz w:val="20"/>
                <w:szCs w:val="20"/>
              </w:rPr>
            </w:pPr>
            <w:r w:rsidRPr="005B2441">
              <w:rPr>
                <w:rFonts w:ascii="Times" w:eastAsia="Times New Roman" w:hAnsi="Times" w:cs="Times New Roman"/>
                <w:color w:val="000000"/>
                <w:sz w:val="20"/>
                <w:szCs w:val="20"/>
              </w:rPr>
              <w:t>422</w:t>
            </w:r>
            <w:r w:rsidR="005B2441">
              <w:rPr>
                <w:rFonts w:ascii="Times" w:eastAsia="Times New Roman" w:hAnsi="Times" w:cs="Times New Roman"/>
                <w:color w:val="000000"/>
                <w:sz w:val="20"/>
                <w:szCs w:val="20"/>
              </w:rPr>
              <w:t xml:space="preserve"> </w:t>
            </w:r>
            <w:r w:rsidRPr="005B2441">
              <w:rPr>
                <w:rFonts w:ascii="Times" w:eastAsia="Times New Roman" w:hAnsi="Times" w:cs="Times New Roman"/>
                <w:color w:val="000000"/>
                <w:sz w:val="20"/>
                <w:szCs w:val="20"/>
              </w:rPr>
              <w:t>909</w:t>
            </w:r>
          </w:p>
        </w:tc>
        <w:tc>
          <w:tcPr>
            <w:tcW w:w="1275" w:type="dxa"/>
            <w:noWrap/>
            <w:vAlign w:val="center"/>
            <w:hideMark/>
          </w:tcPr>
          <w:p w14:paraId="1A644313" w14:textId="77777777" w:rsidR="003D1915" w:rsidRPr="005B2441" w:rsidRDefault="003D1915" w:rsidP="00A80B0A">
            <w:pPr>
              <w:keepNext/>
              <w:spacing w:line="240" w:lineRule="auto"/>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color w:val="000000"/>
                <w:sz w:val="20"/>
                <w:szCs w:val="20"/>
              </w:rPr>
            </w:pPr>
            <w:r w:rsidRPr="005B2441">
              <w:rPr>
                <w:rFonts w:ascii="Times" w:eastAsia="Times New Roman" w:hAnsi="Times" w:cs="Times New Roman"/>
                <w:color w:val="000000"/>
                <w:sz w:val="20"/>
                <w:szCs w:val="20"/>
              </w:rPr>
              <w:t>438</w:t>
            </w:r>
            <w:r w:rsidR="005B2441">
              <w:rPr>
                <w:rFonts w:ascii="Times" w:eastAsia="Times New Roman" w:hAnsi="Times" w:cs="Times New Roman"/>
                <w:color w:val="000000"/>
                <w:sz w:val="20"/>
                <w:szCs w:val="20"/>
              </w:rPr>
              <w:t xml:space="preserve"> </w:t>
            </w:r>
            <w:r w:rsidRPr="005B2441">
              <w:rPr>
                <w:rFonts w:ascii="Times" w:eastAsia="Times New Roman" w:hAnsi="Times" w:cs="Times New Roman"/>
                <w:color w:val="000000"/>
                <w:sz w:val="20"/>
                <w:szCs w:val="20"/>
              </w:rPr>
              <w:t>488</w:t>
            </w:r>
          </w:p>
        </w:tc>
      </w:tr>
      <w:tr w:rsidR="003D1915" w:rsidRPr="000D33E4" w14:paraId="516F4E0A" w14:textId="77777777" w:rsidTr="00FC64FC">
        <w:trPr>
          <w:trHeight w:val="194"/>
        </w:trPr>
        <w:tc>
          <w:tcPr>
            <w:cnfStyle w:val="001000000000" w:firstRow="0" w:lastRow="0" w:firstColumn="1" w:lastColumn="0" w:oddVBand="0" w:evenVBand="0" w:oddHBand="0" w:evenHBand="0" w:firstRowFirstColumn="0" w:firstRowLastColumn="0" w:lastRowFirstColumn="0" w:lastRowLastColumn="0"/>
            <w:tcW w:w="1134" w:type="dxa"/>
            <w:vMerge/>
            <w:hideMark/>
          </w:tcPr>
          <w:p w14:paraId="7C92F10F" w14:textId="77777777" w:rsidR="003D1915" w:rsidRPr="005B2441" w:rsidRDefault="003D1915" w:rsidP="00A80B0A">
            <w:pPr>
              <w:keepNext/>
              <w:spacing w:line="240" w:lineRule="auto"/>
              <w:rPr>
                <w:rFonts w:ascii="Times" w:eastAsia="Times New Roman" w:hAnsi="Times" w:cs="Times New Roman"/>
                <w:b w:val="0"/>
                <w:color w:val="000000"/>
                <w:sz w:val="20"/>
                <w:szCs w:val="20"/>
              </w:rPr>
            </w:pPr>
          </w:p>
        </w:tc>
        <w:tc>
          <w:tcPr>
            <w:tcW w:w="1843" w:type="dxa"/>
            <w:noWrap/>
            <w:hideMark/>
          </w:tcPr>
          <w:p w14:paraId="2C36C144" w14:textId="77777777" w:rsidR="003D1915" w:rsidRPr="005B2441" w:rsidRDefault="003D1915" w:rsidP="00A80B0A">
            <w:pPr>
              <w:keepNext/>
              <w:spacing w:line="240" w:lineRule="auto"/>
              <w:jc w:val="left"/>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color w:val="000000"/>
                <w:sz w:val="20"/>
                <w:szCs w:val="20"/>
              </w:rPr>
            </w:pPr>
            <w:r w:rsidRPr="005B2441">
              <w:rPr>
                <w:rFonts w:ascii="Times" w:eastAsia="Times New Roman" w:hAnsi="Times" w:cs="Times New Roman"/>
                <w:color w:val="000000"/>
                <w:sz w:val="20"/>
                <w:szCs w:val="20"/>
              </w:rPr>
              <w:t>Education Infrastructure Grant</w:t>
            </w:r>
          </w:p>
        </w:tc>
        <w:tc>
          <w:tcPr>
            <w:tcW w:w="992" w:type="dxa"/>
            <w:noWrap/>
            <w:vAlign w:val="center"/>
            <w:hideMark/>
          </w:tcPr>
          <w:p w14:paraId="4BA10812" w14:textId="77777777" w:rsidR="003D1915" w:rsidRPr="005B2441" w:rsidRDefault="003D1915" w:rsidP="00A80B0A">
            <w:pPr>
              <w:keepNext/>
              <w:spacing w:line="240" w:lineRule="auto"/>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color w:val="000000"/>
                <w:sz w:val="20"/>
                <w:szCs w:val="20"/>
              </w:rPr>
            </w:pPr>
            <w:r w:rsidRPr="005B2441">
              <w:rPr>
                <w:rFonts w:ascii="Times" w:eastAsia="Times New Roman" w:hAnsi="Times" w:cs="Times New Roman"/>
                <w:color w:val="000000"/>
                <w:sz w:val="20"/>
                <w:szCs w:val="20"/>
              </w:rPr>
              <w:t>95.8%</w:t>
            </w:r>
          </w:p>
        </w:tc>
        <w:tc>
          <w:tcPr>
            <w:tcW w:w="993" w:type="dxa"/>
            <w:noWrap/>
            <w:vAlign w:val="center"/>
            <w:hideMark/>
          </w:tcPr>
          <w:p w14:paraId="7BBF877B" w14:textId="77777777" w:rsidR="003D1915" w:rsidRPr="005B2441" w:rsidRDefault="003D1915" w:rsidP="00A80B0A">
            <w:pPr>
              <w:keepNext/>
              <w:spacing w:line="240" w:lineRule="auto"/>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color w:val="000000"/>
                <w:sz w:val="20"/>
                <w:szCs w:val="20"/>
              </w:rPr>
            </w:pPr>
            <w:r w:rsidRPr="005B2441">
              <w:rPr>
                <w:rFonts w:ascii="Times" w:eastAsia="Times New Roman" w:hAnsi="Times" w:cs="Times New Roman"/>
                <w:color w:val="000000"/>
                <w:sz w:val="20"/>
                <w:szCs w:val="20"/>
              </w:rPr>
              <w:t>98.7%</w:t>
            </w:r>
          </w:p>
        </w:tc>
        <w:tc>
          <w:tcPr>
            <w:tcW w:w="992" w:type="dxa"/>
            <w:noWrap/>
            <w:vAlign w:val="center"/>
            <w:hideMark/>
          </w:tcPr>
          <w:p w14:paraId="7DBD7DEE" w14:textId="77777777" w:rsidR="003D1915" w:rsidRPr="005B2441" w:rsidRDefault="003D1915" w:rsidP="00A80B0A">
            <w:pPr>
              <w:keepNext/>
              <w:spacing w:line="240" w:lineRule="auto"/>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color w:val="000000"/>
                <w:sz w:val="20"/>
                <w:szCs w:val="20"/>
              </w:rPr>
            </w:pPr>
            <w:r w:rsidRPr="005B2441">
              <w:rPr>
                <w:rFonts w:ascii="Times" w:eastAsia="Times New Roman" w:hAnsi="Times" w:cs="Times New Roman"/>
                <w:color w:val="000000"/>
                <w:sz w:val="20"/>
                <w:szCs w:val="20"/>
              </w:rPr>
              <w:t>96.1%</w:t>
            </w:r>
          </w:p>
        </w:tc>
        <w:tc>
          <w:tcPr>
            <w:tcW w:w="1276" w:type="dxa"/>
            <w:noWrap/>
            <w:vAlign w:val="center"/>
            <w:hideMark/>
          </w:tcPr>
          <w:p w14:paraId="6995043A" w14:textId="77777777" w:rsidR="003D1915" w:rsidRPr="005B2441" w:rsidRDefault="003D1915" w:rsidP="00A80B0A">
            <w:pPr>
              <w:keepNext/>
              <w:spacing w:line="240" w:lineRule="auto"/>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color w:val="000000"/>
                <w:sz w:val="20"/>
                <w:szCs w:val="20"/>
              </w:rPr>
            </w:pPr>
            <w:r w:rsidRPr="005B2441">
              <w:rPr>
                <w:rFonts w:ascii="Times" w:eastAsia="Times New Roman" w:hAnsi="Times" w:cs="Times New Roman"/>
                <w:color w:val="000000"/>
                <w:sz w:val="20"/>
                <w:szCs w:val="20"/>
              </w:rPr>
              <w:t>11</w:t>
            </w:r>
            <w:r w:rsidR="005B2441" w:rsidRPr="005B2441">
              <w:rPr>
                <w:rFonts w:ascii="Times" w:eastAsia="Times New Roman" w:hAnsi="Times" w:cs="Times New Roman"/>
                <w:color w:val="000000"/>
                <w:sz w:val="20"/>
                <w:szCs w:val="20"/>
              </w:rPr>
              <w:t xml:space="preserve"> </w:t>
            </w:r>
            <w:r w:rsidRPr="005B2441">
              <w:rPr>
                <w:rFonts w:ascii="Times" w:eastAsia="Times New Roman" w:hAnsi="Times" w:cs="Times New Roman"/>
                <w:color w:val="000000"/>
                <w:sz w:val="20"/>
                <w:szCs w:val="20"/>
              </w:rPr>
              <w:t>007</w:t>
            </w:r>
            <w:r w:rsidR="005B2441" w:rsidRPr="005B2441">
              <w:rPr>
                <w:rFonts w:ascii="Times" w:eastAsia="Times New Roman" w:hAnsi="Times" w:cs="Times New Roman"/>
                <w:color w:val="000000"/>
                <w:sz w:val="20"/>
                <w:szCs w:val="20"/>
              </w:rPr>
              <w:t xml:space="preserve"> </w:t>
            </w:r>
            <w:r w:rsidRPr="005B2441">
              <w:rPr>
                <w:rFonts w:ascii="Times" w:eastAsia="Times New Roman" w:hAnsi="Times" w:cs="Times New Roman"/>
                <w:color w:val="000000"/>
                <w:sz w:val="20"/>
                <w:szCs w:val="20"/>
              </w:rPr>
              <w:t>967</w:t>
            </w:r>
          </w:p>
        </w:tc>
        <w:tc>
          <w:tcPr>
            <w:tcW w:w="1134" w:type="dxa"/>
            <w:noWrap/>
            <w:vAlign w:val="center"/>
            <w:hideMark/>
          </w:tcPr>
          <w:p w14:paraId="14D00D26" w14:textId="77777777" w:rsidR="003D1915" w:rsidRPr="005B2441" w:rsidRDefault="003D1915" w:rsidP="00A80B0A">
            <w:pPr>
              <w:keepNext/>
              <w:spacing w:line="240" w:lineRule="auto"/>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color w:val="000000"/>
                <w:sz w:val="20"/>
                <w:szCs w:val="20"/>
              </w:rPr>
            </w:pPr>
            <w:r w:rsidRPr="005B2441">
              <w:rPr>
                <w:rFonts w:ascii="Times" w:eastAsia="Times New Roman" w:hAnsi="Times" w:cs="Times New Roman"/>
                <w:color w:val="000000"/>
                <w:sz w:val="20"/>
                <w:szCs w:val="20"/>
              </w:rPr>
              <w:t>11</w:t>
            </w:r>
            <w:r w:rsidR="005B2441">
              <w:rPr>
                <w:rFonts w:ascii="Times" w:eastAsia="Times New Roman" w:hAnsi="Times" w:cs="Times New Roman"/>
                <w:color w:val="000000"/>
                <w:sz w:val="20"/>
                <w:szCs w:val="20"/>
              </w:rPr>
              <w:t xml:space="preserve"> </w:t>
            </w:r>
            <w:r w:rsidRPr="005B2441">
              <w:rPr>
                <w:rFonts w:ascii="Times" w:eastAsia="Times New Roman" w:hAnsi="Times" w:cs="Times New Roman"/>
                <w:color w:val="000000"/>
                <w:sz w:val="20"/>
                <w:szCs w:val="20"/>
              </w:rPr>
              <w:t>710</w:t>
            </w:r>
            <w:r w:rsidR="005B2441">
              <w:rPr>
                <w:rFonts w:ascii="Times" w:eastAsia="Times New Roman" w:hAnsi="Times" w:cs="Times New Roman"/>
                <w:color w:val="000000"/>
                <w:sz w:val="20"/>
                <w:szCs w:val="20"/>
              </w:rPr>
              <w:t xml:space="preserve"> </w:t>
            </w:r>
            <w:r w:rsidRPr="005B2441">
              <w:rPr>
                <w:rFonts w:ascii="Times" w:eastAsia="Times New Roman" w:hAnsi="Times" w:cs="Times New Roman"/>
                <w:color w:val="000000"/>
                <w:sz w:val="20"/>
                <w:szCs w:val="20"/>
              </w:rPr>
              <w:t>298</w:t>
            </w:r>
          </w:p>
        </w:tc>
        <w:tc>
          <w:tcPr>
            <w:tcW w:w="1275" w:type="dxa"/>
            <w:noWrap/>
            <w:vAlign w:val="center"/>
            <w:hideMark/>
          </w:tcPr>
          <w:p w14:paraId="0C9529BF" w14:textId="77777777" w:rsidR="003D1915" w:rsidRPr="005B2441" w:rsidRDefault="003D1915" w:rsidP="00A80B0A">
            <w:pPr>
              <w:keepNext/>
              <w:spacing w:line="240" w:lineRule="auto"/>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color w:val="000000"/>
                <w:sz w:val="20"/>
                <w:szCs w:val="20"/>
              </w:rPr>
            </w:pPr>
            <w:r w:rsidRPr="005B2441">
              <w:rPr>
                <w:rFonts w:ascii="Times" w:eastAsia="Times New Roman" w:hAnsi="Times" w:cs="Times New Roman"/>
                <w:color w:val="000000"/>
                <w:sz w:val="20"/>
                <w:szCs w:val="20"/>
              </w:rPr>
              <w:t>12</w:t>
            </w:r>
            <w:r w:rsidR="005B2441">
              <w:rPr>
                <w:rFonts w:ascii="Times" w:eastAsia="Times New Roman" w:hAnsi="Times" w:cs="Times New Roman"/>
                <w:color w:val="000000"/>
                <w:sz w:val="20"/>
                <w:szCs w:val="20"/>
              </w:rPr>
              <w:t xml:space="preserve"> </w:t>
            </w:r>
            <w:r w:rsidRPr="005B2441">
              <w:rPr>
                <w:rFonts w:ascii="Times" w:eastAsia="Times New Roman" w:hAnsi="Times" w:cs="Times New Roman"/>
                <w:color w:val="000000"/>
                <w:sz w:val="20"/>
                <w:szCs w:val="20"/>
              </w:rPr>
              <w:t>255</w:t>
            </w:r>
            <w:r w:rsidR="005B2441">
              <w:rPr>
                <w:rFonts w:ascii="Times" w:eastAsia="Times New Roman" w:hAnsi="Times" w:cs="Times New Roman"/>
                <w:color w:val="000000"/>
                <w:sz w:val="20"/>
                <w:szCs w:val="20"/>
              </w:rPr>
              <w:t xml:space="preserve"> </w:t>
            </w:r>
            <w:r w:rsidRPr="005B2441">
              <w:rPr>
                <w:rFonts w:ascii="Times" w:eastAsia="Times New Roman" w:hAnsi="Times" w:cs="Times New Roman"/>
                <w:color w:val="000000"/>
                <w:sz w:val="20"/>
                <w:szCs w:val="20"/>
              </w:rPr>
              <w:t>026</w:t>
            </w:r>
          </w:p>
        </w:tc>
      </w:tr>
      <w:tr w:rsidR="003D1915" w:rsidRPr="000D33E4" w14:paraId="71FB4061" w14:textId="77777777" w:rsidTr="00FC64FC">
        <w:trPr>
          <w:trHeight w:val="194"/>
        </w:trPr>
        <w:tc>
          <w:tcPr>
            <w:cnfStyle w:val="001000000000" w:firstRow="0" w:lastRow="0" w:firstColumn="1" w:lastColumn="0" w:oddVBand="0" w:evenVBand="0" w:oddHBand="0" w:evenHBand="0" w:firstRowFirstColumn="0" w:firstRowLastColumn="0" w:lastRowFirstColumn="0" w:lastRowLastColumn="0"/>
            <w:tcW w:w="1134" w:type="dxa"/>
            <w:vMerge/>
            <w:hideMark/>
          </w:tcPr>
          <w:p w14:paraId="3611C4AD" w14:textId="77777777" w:rsidR="003D1915" w:rsidRPr="005B2441" w:rsidRDefault="003D1915" w:rsidP="00A80B0A">
            <w:pPr>
              <w:keepNext/>
              <w:spacing w:line="240" w:lineRule="auto"/>
              <w:rPr>
                <w:rFonts w:ascii="Times" w:eastAsia="Times New Roman" w:hAnsi="Times" w:cs="Times New Roman"/>
                <w:b w:val="0"/>
                <w:color w:val="000000"/>
                <w:sz w:val="20"/>
                <w:szCs w:val="20"/>
              </w:rPr>
            </w:pPr>
          </w:p>
        </w:tc>
        <w:tc>
          <w:tcPr>
            <w:tcW w:w="1843" w:type="dxa"/>
            <w:noWrap/>
            <w:hideMark/>
          </w:tcPr>
          <w:p w14:paraId="62B30207" w14:textId="77777777" w:rsidR="003D1915" w:rsidRPr="005B2441" w:rsidRDefault="003D1915" w:rsidP="00A80B0A">
            <w:pPr>
              <w:keepNext/>
              <w:spacing w:line="240" w:lineRule="auto"/>
              <w:jc w:val="left"/>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color w:val="000000"/>
                <w:sz w:val="20"/>
                <w:szCs w:val="20"/>
              </w:rPr>
            </w:pPr>
            <w:r w:rsidRPr="005B2441">
              <w:rPr>
                <w:rFonts w:ascii="Times" w:eastAsia="Times New Roman" w:hAnsi="Times" w:cs="Times New Roman"/>
                <w:color w:val="000000"/>
                <w:sz w:val="20"/>
                <w:szCs w:val="20"/>
              </w:rPr>
              <w:t>School Infrastructure Backlogs Grant</w:t>
            </w:r>
          </w:p>
        </w:tc>
        <w:tc>
          <w:tcPr>
            <w:tcW w:w="992" w:type="dxa"/>
            <w:noWrap/>
            <w:vAlign w:val="center"/>
            <w:hideMark/>
          </w:tcPr>
          <w:p w14:paraId="0861B6F0" w14:textId="77777777" w:rsidR="003D1915" w:rsidRPr="005B2441" w:rsidRDefault="003D1915" w:rsidP="00A80B0A">
            <w:pPr>
              <w:keepNext/>
              <w:spacing w:line="240" w:lineRule="auto"/>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color w:val="000000"/>
                <w:sz w:val="20"/>
                <w:szCs w:val="20"/>
              </w:rPr>
            </w:pPr>
            <w:r w:rsidRPr="005B2441">
              <w:rPr>
                <w:rFonts w:ascii="Times" w:eastAsia="Times New Roman" w:hAnsi="Times" w:cs="Times New Roman"/>
                <w:color w:val="000000"/>
                <w:sz w:val="20"/>
                <w:szCs w:val="20"/>
              </w:rPr>
              <w:t>60.3%</w:t>
            </w:r>
          </w:p>
        </w:tc>
        <w:tc>
          <w:tcPr>
            <w:tcW w:w="993" w:type="dxa"/>
            <w:noWrap/>
            <w:vAlign w:val="center"/>
            <w:hideMark/>
          </w:tcPr>
          <w:p w14:paraId="27B3DA59" w14:textId="77777777" w:rsidR="003D1915" w:rsidRPr="005B2441" w:rsidRDefault="003D1915" w:rsidP="00A80B0A">
            <w:pPr>
              <w:keepNext/>
              <w:spacing w:line="240" w:lineRule="auto"/>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color w:val="000000"/>
                <w:sz w:val="20"/>
                <w:szCs w:val="20"/>
              </w:rPr>
            </w:pPr>
            <w:r w:rsidRPr="005B2441">
              <w:rPr>
                <w:rFonts w:ascii="Times" w:eastAsia="Times New Roman" w:hAnsi="Times" w:cs="Times New Roman"/>
                <w:color w:val="000000"/>
                <w:sz w:val="20"/>
                <w:szCs w:val="20"/>
              </w:rPr>
              <w:t>101.6%</w:t>
            </w:r>
          </w:p>
        </w:tc>
        <w:tc>
          <w:tcPr>
            <w:tcW w:w="992" w:type="dxa"/>
            <w:noWrap/>
            <w:vAlign w:val="center"/>
            <w:hideMark/>
          </w:tcPr>
          <w:p w14:paraId="39CC54E9" w14:textId="77777777" w:rsidR="003D1915" w:rsidRPr="005B2441" w:rsidRDefault="003D1915" w:rsidP="00A80B0A">
            <w:pPr>
              <w:keepNext/>
              <w:spacing w:line="240" w:lineRule="auto"/>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color w:val="000000"/>
                <w:sz w:val="20"/>
                <w:szCs w:val="20"/>
              </w:rPr>
            </w:pPr>
            <w:r w:rsidRPr="005B2441">
              <w:rPr>
                <w:rFonts w:ascii="Times" w:eastAsia="Times New Roman" w:hAnsi="Times" w:cs="Times New Roman"/>
                <w:color w:val="000000"/>
                <w:sz w:val="20"/>
                <w:szCs w:val="20"/>
              </w:rPr>
              <w:t>91.8%</w:t>
            </w:r>
          </w:p>
        </w:tc>
        <w:tc>
          <w:tcPr>
            <w:tcW w:w="1276" w:type="dxa"/>
            <w:noWrap/>
            <w:vAlign w:val="center"/>
            <w:hideMark/>
          </w:tcPr>
          <w:p w14:paraId="6EE23A8B" w14:textId="77777777" w:rsidR="003D1915" w:rsidRPr="005B2441" w:rsidRDefault="003D1915" w:rsidP="00A80B0A">
            <w:pPr>
              <w:keepNext/>
              <w:spacing w:line="240" w:lineRule="auto"/>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color w:val="000000"/>
                <w:sz w:val="20"/>
                <w:szCs w:val="20"/>
              </w:rPr>
            </w:pPr>
            <w:r w:rsidRPr="005B2441">
              <w:rPr>
                <w:rFonts w:ascii="Times" w:eastAsia="Times New Roman" w:hAnsi="Times" w:cs="Times New Roman"/>
                <w:color w:val="000000"/>
                <w:sz w:val="20"/>
                <w:szCs w:val="20"/>
              </w:rPr>
              <w:t>1</w:t>
            </w:r>
            <w:r w:rsidR="005B2441" w:rsidRPr="005B2441">
              <w:rPr>
                <w:rFonts w:ascii="Times" w:eastAsia="Times New Roman" w:hAnsi="Times" w:cs="Times New Roman"/>
                <w:color w:val="000000"/>
                <w:sz w:val="20"/>
                <w:szCs w:val="20"/>
              </w:rPr>
              <w:t> </w:t>
            </w:r>
            <w:r w:rsidRPr="005B2441">
              <w:rPr>
                <w:rFonts w:ascii="Times" w:eastAsia="Times New Roman" w:hAnsi="Times" w:cs="Times New Roman"/>
                <w:color w:val="000000"/>
                <w:sz w:val="20"/>
                <w:szCs w:val="20"/>
              </w:rPr>
              <w:t>736</w:t>
            </w:r>
            <w:r w:rsidR="005B2441" w:rsidRPr="005B2441">
              <w:rPr>
                <w:rFonts w:ascii="Times" w:eastAsia="Times New Roman" w:hAnsi="Times" w:cs="Times New Roman"/>
                <w:color w:val="000000"/>
                <w:sz w:val="20"/>
                <w:szCs w:val="20"/>
              </w:rPr>
              <w:t xml:space="preserve"> </w:t>
            </w:r>
            <w:r w:rsidRPr="005B2441">
              <w:rPr>
                <w:rFonts w:ascii="Times" w:eastAsia="Times New Roman" w:hAnsi="Times" w:cs="Times New Roman"/>
                <w:color w:val="000000"/>
                <w:sz w:val="20"/>
                <w:szCs w:val="20"/>
              </w:rPr>
              <w:t>413</w:t>
            </w:r>
          </w:p>
        </w:tc>
        <w:tc>
          <w:tcPr>
            <w:tcW w:w="1134" w:type="dxa"/>
            <w:noWrap/>
            <w:vAlign w:val="center"/>
            <w:hideMark/>
          </w:tcPr>
          <w:p w14:paraId="77ECE6C5" w14:textId="77777777" w:rsidR="003D1915" w:rsidRPr="005B2441" w:rsidRDefault="003D1915" w:rsidP="00A80B0A">
            <w:pPr>
              <w:keepNext/>
              <w:spacing w:line="240" w:lineRule="auto"/>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color w:val="000000"/>
                <w:sz w:val="20"/>
                <w:szCs w:val="20"/>
              </w:rPr>
            </w:pPr>
            <w:r w:rsidRPr="005B2441">
              <w:rPr>
                <w:rFonts w:ascii="Times" w:eastAsia="Times New Roman" w:hAnsi="Times" w:cs="Times New Roman"/>
                <w:color w:val="000000"/>
                <w:sz w:val="20"/>
                <w:szCs w:val="20"/>
              </w:rPr>
              <w:t>2</w:t>
            </w:r>
            <w:r w:rsidR="005B2441">
              <w:rPr>
                <w:rFonts w:ascii="Times" w:eastAsia="Times New Roman" w:hAnsi="Times" w:cs="Times New Roman"/>
                <w:color w:val="000000"/>
                <w:sz w:val="20"/>
                <w:szCs w:val="20"/>
              </w:rPr>
              <w:t> </w:t>
            </w:r>
            <w:r w:rsidRPr="005B2441">
              <w:rPr>
                <w:rFonts w:ascii="Times" w:eastAsia="Times New Roman" w:hAnsi="Times" w:cs="Times New Roman"/>
                <w:color w:val="000000"/>
                <w:sz w:val="20"/>
                <w:szCs w:val="20"/>
              </w:rPr>
              <w:t>295</w:t>
            </w:r>
            <w:r w:rsidR="005B2441">
              <w:rPr>
                <w:rFonts w:ascii="Times" w:eastAsia="Times New Roman" w:hAnsi="Times" w:cs="Times New Roman"/>
                <w:color w:val="000000"/>
                <w:sz w:val="20"/>
                <w:szCs w:val="20"/>
              </w:rPr>
              <w:t xml:space="preserve"> </w:t>
            </w:r>
            <w:r w:rsidRPr="005B2441">
              <w:rPr>
                <w:rFonts w:ascii="Times" w:eastAsia="Times New Roman" w:hAnsi="Times" w:cs="Times New Roman"/>
                <w:color w:val="000000"/>
                <w:sz w:val="20"/>
                <w:szCs w:val="20"/>
              </w:rPr>
              <w:t>101</w:t>
            </w:r>
          </w:p>
        </w:tc>
        <w:tc>
          <w:tcPr>
            <w:tcW w:w="1275" w:type="dxa"/>
            <w:noWrap/>
            <w:vAlign w:val="center"/>
            <w:hideMark/>
          </w:tcPr>
          <w:p w14:paraId="565E1292" w14:textId="77777777" w:rsidR="003D1915" w:rsidRPr="005B2441" w:rsidRDefault="003D1915" w:rsidP="00A80B0A">
            <w:pPr>
              <w:keepNext/>
              <w:spacing w:line="240" w:lineRule="auto"/>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color w:val="000000"/>
                <w:sz w:val="20"/>
                <w:szCs w:val="20"/>
              </w:rPr>
            </w:pPr>
            <w:r w:rsidRPr="005B2441">
              <w:rPr>
                <w:rFonts w:ascii="Times" w:eastAsia="Times New Roman" w:hAnsi="Times" w:cs="Times New Roman"/>
                <w:color w:val="000000"/>
                <w:sz w:val="20"/>
                <w:szCs w:val="20"/>
              </w:rPr>
              <w:t>2</w:t>
            </w:r>
            <w:r w:rsidR="005B2441">
              <w:rPr>
                <w:rFonts w:ascii="Times" w:eastAsia="Times New Roman" w:hAnsi="Times" w:cs="Times New Roman"/>
                <w:color w:val="000000"/>
                <w:sz w:val="20"/>
                <w:szCs w:val="20"/>
              </w:rPr>
              <w:t xml:space="preserve"> </w:t>
            </w:r>
            <w:r w:rsidRPr="005B2441">
              <w:rPr>
                <w:rFonts w:ascii="Times" w:eastAsia="Times New Roman" w:hAnsi="Times" w:cs="Times New Roman"/>
                <w:color w:val="000000"/>
                <w:sz w:val="20"/>
                <w:szCs w:val="20"/>
              </w:rPr>
              <w:t>424</w:t>
            </w:r>
            <w:r w:rsidR="005B2441">
              <w:rPr>
                <w:rFonts w:ascii="Times" w:eastAsia="Times New Roman" w:hAnsi="Times" w:cs="Times New Roman"/>
                <w:color w:val="000000"/>
                <w:sz w:val="20"/>
                <w:szCs w:val="20"/>
              </w:rPr>
              <w:t xml:space="preserve"> </w:t>
            </w:r>
            <w:r w:rsidRPr="005B2441">
              <w:rPr>
                <w:rFonts w:ascii="Times" w:eastAsia="Times New Roman" w:hAnsi="Times" w:cs="Times New Roman"/>
                <w:color w:val="000000"/>
                <w:sz w:val="20"/>
                <w:szCs w:val="20"/>
              </w:rPr>
              <w:t>189</w:t>
            </w:r>
          </w:p>
        </w:tc>
      </w:tr>
    </w:tbl>
    <w:p w14:paraId="4EE1C52B" w14:textId="77777777" w:rsidR="00B75110" w:rsidRPr="005B2441" w:rsidRDefault="00B75110" w:rsidP="00A80B0A">
      <w:pPr>
        <w:keepNext/>
        <w:spacing w:line="240" w:lineRule="auto"/>
        <w:rPr>
          <w:rFonts w:ascii="Times" w:hAnsi="Times"/>
          <w:i/>
          <w:sz w:val="20"/>
          <w:szCs w:val="20"/>
        </w:rPr>
      </w:pPr>
      <w:r w:rsidRPr="005B2441">
        <w:rPr>
          <w:rFonts w:ascii="Times" w:hAnsi="Times"/>
          <w:i/>
          <w:sz w:val="20"/>
          <w:szCs w:val="20"/>
        </w:rPr>
        <w:t>Source: Division of Revenue Bill 2020, various annual reports</w:t>
      </w:r>
    </w:p>
    <w:p w14:paraId="4655ED3E" w14:textId="77777777" w:rsidR="00B75110" w:rsidRPr="000D33E4" w:rsidRDefault="00B75110" w:rsidP="007B1E55">
      <w:pPr>
        <w:rPr>
          <w:rFonts w:ascii="Times" w:hAnsi="Times"/>
        </w:rPr>
      </w:pPr>
    </w:p>
    <w:p w14:paraId="697B4F91" w14:textId="77777777" w:rsidR="00B75110" w:rsidRPr="000D33E4" w:rsidRDefault="005B2441" w:rsidP="009A7F2D">
      <w:r>
        <w:t xml:space="preserve">The following are the Commission’s proposals as to how these grants could be </w:t>
      </w:r>
      <w:r w:rsidR="00B75110" w:rsidRPr="000D33E4">
        <w:t>reprioritised in light of the Covid</w:t>
      </w:r>
      <w:r w:rsidR="00D449D8">
        <w:t>-</w:t>
      </w:r>
      <w:r w:rsidR="00B75110" w:rsidRPr="000D33E4">
        <w:t xml:space="preserve">19 pandemic. </w:t>
      </w:r>
    </w:p>
    <w:p w14:paraId="3AA86B08" w14:textId="77777777" w:rsidR="00141810" w:rsidRPr="000D33E4" w:rsidRDefault="00141810" w:rsidP="00141810">
      <w:pPr>
        <w:rPr>
          <w:rFonts w:ascii="Times" w:hAnsi="Times"/>
        </w:rPr>
      </w:pPr>
    </w:p>
    <w:p w14:paraId="3E9D37B0" w14:textId="77777777" w:rsidR="00B75110" w:rsidRPr="000D33E4" w:rsidRDefault="00B75110" w:rsidP="009A7F2D">
      <w:r w:rsidRPr="000D33E4">
        <w:rPr>
          <w:i/>
        </w:rPr>
        <w:t>Education Infrastructure Grant:</w:t>
      </w:r>
      <w:r w:rsidRPr="000D33E4">
        <w:t xml:space="preserve"> This is a supplementary grant whose purpose is to assist provinces to (a) accelerate construction, maintenance, upgrading and rehabilitation of new and existing infrastructure</w:t>
      </w:r>
      <w:r w:rsidR="005B2441">
        <w:t>;</w:t>
      </w:r>
      <w:r w:rsidRPr="000D33E4">
        <w:t xml:space="preserve"> (b) assist provinces to enhance capacity to deliver</w:t>
      </w:r>
      <w:r w:rsidR="005B2441">
        <w:t>;</w:t>
      </w:r>
      <w:r w:rsidRPr="000D33E4">
        <w:t xml:space="preserve"> (c) address damages to infrastructure</w:t>
      </w:r>
      <w:r w:rsidR="005B2441">
        <w:t>;</w:t>
      </w:r>
      <w:r w:rsidRPr="000D33E4">
        <w:t xml:space="preserve"> (d) assist in achieving compliance with the minimum norms and standards for school infrastructure. It is advised that the purpose of this grant be adjusted and narrowed to focus only on:</w:t>
      </w:r>
    </w:p>
    <w:p w14:paraId="306E414A" w14:textId="77777777" w:rsidR="00B75110" w:rsidRPr="00D553A1" w:rsidRDefault="00B75110" w:rsidP="00EB4D4E">
      <w:pPr>
        <w:pStyle w:val="ListParagraph"/>
        <w:numPr>
          <w:ilvl w:val="0"/>
          <w:numId w:val="1"/>
        </w:numPr>
        <w:ind w:left="567" w:hanging="567"/>
      </w:pPr>
      <w:r w:rsidRPr="00D553A1">
        <w:t>Essential maintenance, upgrading and rehabilitation within schools, especially related to water and sanitation. The caution expressed earlier in this document applies here: in determining what maintenance/upgrading/rehabilitation is essential and what can be delayed, provincial education departments should rely on facility condition assessments or asset lifecycle data</w:t>
      </w:r>
      <w:r w:rsidR="005B2441" w:rsidRPr="00D553A1">
        <w:t>;</w:t>
      </w:r>
    </w:p>
    <w:p w14:paraId="10CB925F" w14:textId="627D3561" w:rsidR="00141810" w:rsidRPr="00D553A1" w:rsidRDefault="00B75110" w:rsidP="00EB4D4E">
      <w:pPr>
        <w:pStyle w:val="ListParagraph"/>
        <w:numPr>
          <w:ilvl w:val="0"/>
          <w:numId w:val="1"/>
        </w:numPr>
        <w:ind w:left="567" w:hanging="567"/>
      </w:pPr>
      <w:r w:rsidRPr="00D553A1">
        <w:t xml:space="preserve">Addressing damages to infrastructure: The Department of Basic Education notes that as at </w:t>
      </w:r>
      <w:r w:rsidR="00456D9F" w:rsidRPr="00D553A1">
        <w:t>19 May</w:t>
      </w:r>
      <w:r w:rsidRPr="00D553A1">
        <w:t xml:space="preserve"> 2020, </w:t>
      </w:r>
      <w:r w:rsidR="00020E57">
        <w:t>157</w:t>
      </w:r>
      <w:r w:rsidR="00456D9F" w:rsidRPr="00D553A1">
        <w:t xml:space="preserve">7 </w:t>
      </w:r>
      <w:r w:rsidRPr="00D553A1">
        <w:t xml:space="preserve">schools across South Africa had experienced acts of vandalism, burglary or destruction. It is thus recommended that this grant be refocused on assisting provincial education departments to address the most pressing areas of damage, especially damages that threaten the safety and hygiene of learners and schools staff as schools reopen. </w:t>
      </w:r>
    </w:p>
    <w:p w14:paraId="336BF593" w14:textId="77777777" w:rsidR="00A80B0A" w:rsidRDefault="00A80B0A" w:rsidP="009A7F2D">
      <w:pPr>
        <w:rPr>
          <w:i/>
        </w:rPr>
      </w:pPr>
    </w:p>
    <w:p w14:paraId="6CBAFBDC" w14:textId="1430E91F" w:rsidR="00141810" w:rsidRPr="000D33E4" w:rsidRDefault="00B75110" w:rsidP="009A7F2D">
      <w:r w:rsidRPr="000D33E4">
        <w:rPr>
          <w:i/>
        </w:rPr>
        <w:t>Schools Infrastructure Backlogs Grant</w:t>
      </w:r>
      <w:r w:rsidRPr="000D33E4">
        <w:t xml:space="preserve">: This is an indirect grant, i.e. it is spent by the National Department of Basic Education on behalf of provincial education departments. </w:t>
      </w:r>
      <w:r w:rsidR="005B2441">
        <w:t>Its</w:t>
      </w:r>
      <w:r w:rsidR="005B2441" w:rsidRPr="000D33E4">
        <w:t xml:space="preserve"> </w:t>
      </w:r>
      <w:r w:rsidRPr="000D33E4">
        <w:t>purpose is the eradication of all inappropriate school infrastructure, provision of water, sanitation and electricity to schools. It is proposed that the bulk of this grant be refocused on ensuring provision of water and sanitation in schools. Ensuring proper hygiene is key in fighting Covid</w:t>
      </w:r>
      <w:r w:rsidR="005B2441">
        <w:t>-</w:t>
      </w:r>
      <w:r w:rsidRPr="000D33E4">
        <w:t>19</w:t>
      </w:r>
      <w:r w:rsidR="005B2441">
        <w:t xml:space="preserve">; </w:t>
      </w:r>
      <w:r w:rsidRPr="000D33E4">
        <w:t xml:space="preserve">provision of water and sanitation is </w:t>
      </w:r>
      <w:r w:rsidR="005B2441">
        <w:t xml:space="preserve">therefore </w:t>
      </w:r>
      <w:r w:rsidRPr="000D33E4">
        <w:t>essential as schools begin phased reopening. Funding in this regard should be specifically focussed on those provinces where backlogs in school water and sanitation are most severe.</w:t>
      </w:r>
    </w:p>
    <w:p w14:paraId="5C5D0D59" w14:textId="77777777" w:rsidR="004948B2" w:rsidRPr="000D33E4" w:rsidRDefault="004948B2" w:rsidP="004948B2">
      <w:pPr>
        <w:rPr>
          <w:rFonts w:ascii="Times" w:hAnsi="Times"/>
        </w:rPr>
      </w:pPr>
    </w:p>
    <w:p w14:paraId="78D5F4DB" w14:textId="77777777" w:rsidR="00B75110" w:rsidRPr="000D33E4" w:rsidRDefault="005B2441" w:rsidP="009A7F2D">
      <w:r>
        <w:t>The Commission’s</w:t>
      </w:r>
      <w:r w:rsidRPr="000D33E4">
        <w:t xml:space="preserve"> </w:t>
      </w:r>
      <w:r w:rsidR="00B75110" w:rsidRPr="000D33E4">
        <w:t>analysis of provincial infrastructure (including education) value</w:t>
      </w:r>
      <w:r>
        <w:t xml:space="preserve"> </w:t>
      </w:r>
      <w:r w:rsidR="00B75110" w:rsidRPr="000D33E4">
        <w:t xml:space="preserve">chains reveal that </w:t>
      </w:r>
      <w:r>
        <w:t xml:space="preserve">there is </w:t>
      </w:r>
      <w:r w:rsidR="00B75110" w:rsidRPr="000D33E4">
        <w:t>a lack of oversight at key delivery points, and that this increase</w:t>
      </w:r>
      <w:r>
        <w:t>s</w:t>
      </w:r>
      <w:r w:rsidR="00B75110" w:rsidRPr="000D33E4">
        <w:t xml:space="preserve"> incentives to engage in fiscal misappropriation. The Commission therefore explicitly highlights the need for strong oversight and accountability to ensure that funding achieves what it is intended for. The current environment may impact traditional oversight mechanisms such as</w:t>
      </w:r>
      <w:r>
        <w:t>,</w:t>
      </w:r>
      <w:r w:rsidR="00B75110" w:rsidRPr="000D33E4">
        <w:t xml:space="preserve"> for example</w:t>
      </w:r>
      <w:r>
        <w:t>,</w:t>
      </w:r>
      <w:r w:rsidR="00B75110" w:rsidRPr="000D33E4">
        <w:t xml:space="preserve"> site visits</w:t>
      </w:r>
      <w:r>
        <w:t>. T</w:t>
      </w:r>
      <w:r w:rsidR="00B75110" w:rsidRPr="000D33E4">
        <w:t>he education sector will need to think innovatively as to how standards of accountability can maintained and even improved.</w:t>
      </w:r>
      <w:r w:rsidR="002D39CB">
        <w:t xml:space="preserve">    </w:t>
      </w:r>
      <w:r w:rsidR="00B75110" w:rsidRPr="000D33E4">
        <w:t xml:space="preserve"> </w:t>
      </w:r>
    </w:p>
    <w:p w14:paraId="431F7A7B" w14:textId="77777777" w:rsidR="00B75110" w:rsidRPr="000D33E4" w:rsidRDefault="00B75110" w:rsidP="007A3FF3">
      <w:pPr>
        <w:rPr>
          <w:rFonts w:ascii="Times" w:hAnsi="Times"/>
          <w:i/>
        </w:rPr>
      </w:pPr>
    </w:p>
    <w:p w14:paraId="29AAA384" w14:textId="77777777" w:rsidR="00B75110" w:rsidRPr="007807C0" w:rsidRDefault="00B75110" w:rsidP="007A3FF3">
      <w:pPr>
        <w:pStyle w:val="Heading3"/>
        <w:spacing w:before="0"/>
        <w:rPr>
          <w:b w:val="0"/>
        </w:rPr>
      </w:pPr>
      <w:bookmarkStart w:id="121" w:name="_Toc42211926"/>
      <w:r w:rsidRPr="007807C0">
        <w:t>Non-infrastructure Grants</w:t>
      </w:r>
      <w:bookmarkEnd w:id="121"/>
    </w:p>
    <w:p w14:paraId="124FC8D6" w14:textId="77777777" w:rsidR="00141810" w:rsidRPr="000D33E4" w:rsidRDefault="00141810" w:rsidP="007A3FF3">
      <w:pPr>
        <w:pStyle w:val="Heading3"/>
        <w:spacing w:before="0"/>
      </w:pPr>
    </w:p>
    <w:p w14:paraId="19D870F8" w14:textId="77777777" w:rsidR="002B79EA" w:rsidRPr="000D33E4" w:rsidRDefault="00B75110" w:rsidP="007A3FF3">
      <w:r w:rsidRPr="000D33E4">
        <w:rPr>
          <w:i/>
        </w:rPr>
        <w:t>National School Nutrition Grant</w:t>
      </w:r>
      <w:r w:rsidRPr="000D33E4">
        <w:t>: The purpose of this conditional grant is to provide nutritious meals to targeted learners</w:t>
      </w:r>
      <w:r w:rsidR="005B2441">
        <w:t>,</w:t>
      </w:r>
      <w:r w:rsidRPr="000D33E4">
        <w:t xml:space="preserve"> especially learners in quintile 1, 2 and 3 schools. This conditional grant is essential. During the initial stages of the lockdown, the national school nutrition programme was not active as learners were not at school. </w:t>
      </w:r>
      <w:r w:rsidR="005B2441">
        <w:t>A</w:t>
      </w:r>
      <w:r w:rsidRPr="000D33E4">
        <w:t xml:space="preserve"> phased approach to the reopening of schools implies that this programme (and funding) will also restart slowly, focussing on Grades 12 and 7 and then pick up steam as more grades/learners return. In relation to the </w:t>
      </w:r>
      <w:r w:rsidR="00456D9F">
        <w:t>1557</w:t>
      </w:r>
      <w:r w:rsidR="001A1D40">
        <w:t xml:space="preserve"> </w:t>
      </w:r>
      <w:r w:rsidRPr="000D33E4">
        <w:t>cases of schools burglaries, the Department of Education has indicated that the common targets within these schools have been ICT equipment but also nutrition centres, specifically food items. It is thus recommended that in the short term when schools are not operating at full capacity, a portion of the funding from this grant be used for assisting those schools that have been affected by these burglaries. Efforts could focus on replenishing food items and providing assistance where kitchen utensils</w:t>
      </w:r>
      <w:r w:rsidR="00CD2FEE">
        <w:t xml:space="preserve">, </w:t>
      </w:r>
      <w:r w:rsidRPr="000D33E4">
        <w:t>equipment</w:t>
      </w:r>
      <w:r w:rsidR="00CD2FEE">
        <w:t xml:space="preserve"> and </w:t>
      </w:r>
      <w:r w:rsidRPr="000D33E4">
        <w:t xml:space="preserve">facilities </w:t>
      </w:r>
      <w:r w:rsidR="00CD2FEE">
        <w:t>– components not covered by the grant – have been damaged.</w:t>
      </w:r>
    </w:p>
    <w:p w14:paraId="1F72888D" w14:textId="77777777" w:rsidR="002B79EA" w:rsidRPr="000D33E4" w:rsidRDefault="002B79EA" w:rsidP="002B79EA">
      <w:pPr>
        <w:rPr>
          <w:rFonts w:ascii="Times" w:hAnsi="Times"/>
        </w:rPr>
      </w:pPr>
    </w:p>
    <w:p w14:paraId="07ED5461" w14:textId="79464DE1" w:rsidR="002B79EA" w:rsidRPr="000D33E4" w:rsidRDefault="00B75110" w:rsidP="009A7F2D">
      <w:r w:rsidRPr="000D33E4">
        <w:rPr>
          <w:i/>
        </w:rPr>
        <w:t>HIV/AIDS (Lifeskills Education) Grant</w:t>
      </w:r>
      <w:r w:rsidRPr="000D33E4">
        <w:t>: The purpose of this grant is to (a)</w:t>
      </w:r>
      <w:r w:rsidR="00CD2FEE">
        <w:t xml:space="preserve"> </w:t>
      </w:r>
      <w:r w:rsidRPr="000D33E4">
        <w:t>support South Africa’s HIV prevention strategy through the provision of sex education, access to reproductive health services for learners, and supporting the provision of a health and wellness programme for educators</w:t>
      </w:r>
      <w:r w:rsidR="00CD2FEE">
        <w:t>;</w:t>
      </w:r>
      <w:r w:rsidRPr="000D33E4">
        <w:t xml:space="preserve"> (b) mitigate the impact of HIV and TB through the provision of a caring, supportive and enabling environment for learners and educators</w:t>
      </w:r>
      <w:r w:rsidR="00CD2FEE">
        <w:t>;</w:t>
      </w:r>
      <w:r w:rsidRPr="000D33E4">
        <w:t xml:space="preserve"> and (c) reduce the vulnerability of children to HIV, TB and STIs with a particular focus on orphaned children and girls. Whil</w:t>
      </w:r>
      <w:r w:rsidR="00CD2FEE">
        <w:t>e</w:t>
      </w:r>
      <w:r w:rsidRPr="000D33E4">
        <w:t xml:space="preserve"> this is the smallest grant in the sector, there are potential </w:t>
      </w:r>
      <w:r w:rsidR="00C312BF">
        <w:t>components</w:t>
      </w:r>
      <w:r w:rsidRPr="000D33E4">
        <w:t xml:space="preserve"> that could be halted and the related funding reprioritised. </w:t>
      </w:r>
      <w:r w:rsidR="00CD2FEE">
        <w:t>For example,</w:t>
      </w:r>
      <w:r w:rsidRPr="000D33E4">
        <w:t xml:space="preserve"> the grant guidelines indicate that 20</w:t>
      </w:r>
      <w:r w:rsidR="00CD2FEE">
        <w:t xml:space="preserve"> per cent</w:t>
      </w:r>
      <w:r w:rsidRPr="000D33E4">
        <w:t xml:space="preserve"> of the allocation be used for advocacy and social mobilisation through hosting events. Given the current restriction on social distancing and group gatherings, spending on this element of the grant can be cut and redirected to more essential spending.</w:t>
      </w:r>
      <w:r w:rsidR="002D39CB">
        <w:t xml:space="preserve">    </w:t>
      </w:r>
    </w:p>
    <w:p w14:paraId="36CAC7D5" w14:textId="77777777" w:rsidR="002B79EA" w:rsidRPr="000D33E4" w:rsidRDefault="002B79EA" w:rsidP="002B79EA">
      <w:pPr>
        <w:rPr>
          <w:rFonts w:ascii="Times" w:hAnsi="Times"/>
        </w:rPr>
      </w:pPr>
    </w:p>
    <w:p w14:paraId="1C6111DE" w14:textId="77777777" w:rsidR="00B75110" w:rsidRPr="000D33E4" w:rsidRDefault="00B75110" w:rsidP="009A7F2D">
      <w:r w:rsidRPr="000D33E4">
        <w:rPr>
          <w:i/>
        </w:rPr>
        <w:t>Maths, Science and Technology Grant</w:t>
      </w:r>
      <w:r w:rsidRPr="000D33E4">
        <w:t xml:space="preserve">: The purpose of this grant is to provide support and resources to schools, teachers, and learners for the improvement of mathematics, sciences and technology teaching and learning at selected public schools. Allocations via this grant are </w:t>
      </w:r>
      <w:r w:rsidR="00CD2FEE">
        <w:t>made</w:t>
      </w:r>
      <w:r w:rsidR="00CD2FEE" w:rsidRPr="000D33E4">
        <w:t xml:space="preserve"> </w:t>
      </w:r>
      <w:r w:rsidR="00CD2FEE">
        <w:t>according to</w:t>
      </w:r>
      <w:r w:rsidR="00CD2FEE" w:rsidRPr="000D33E4">
        <w:t xml:space="preserve"> </w:t>
      </w:r>
      <w:r w:rsidRPr="000D33E4">
        <w:t>the following</w:t>
      </w:r>
      <w:r w:rsidR="00CD2FEE">
        <w:t>:</w:t>
      </w:r>
    </w:p>
    <w:p w14:paraId="52F7432B" w14:textId="03A67B41" w:rsidR="00B75110" w:rsidRPr="00D553A1" w:rsidRDefault="00B75110" w:rsidP="00B62345">
      <w:pPr>
        <w:pStyle w:val="ListParagraph"/>
      </w:pPr>
      <w:r w:rsidRPr="00D553A1">
        <w:t>20-25</w:t>
      </w:r>
      <w:r w:rsidR="00CD2FEE" w:rsidRPr="00D553A1">
        <w:t xml:space="preserve"> per cent</w:t>
      </w:r>
      <w:r w:rsidRPr="00D553A1">
        <w:t xml:space="preserve"> of resources towards ICT resources</w:t>
      </w:r>
      <w:r w:rsidR="00FC64FC">
        <w:t>;</w:t>
      </w:r>
    </w:p>
    <w:p w14:paraId="72D8BA6F" w14:textId="24D32BDB" w:rsidR="00B75110" w:rsidRPr="00D553A1" w:rsidRDefault="00B75110" w:rsidP="005C3D29">
      <w:pPr>
        <w:pStyle w:val="ListParagraph"/>
      </w:pPr>
      <w:r w:rsidRPr="00D553A1">
        <w:t>19-20</w:t>
      </w:r>
      <w:r w:rsidR="00CD2FEE" w:rsidRPr="00D553A1">
        <w:t xml:space="preserve"> per cent</w:t>
      </w:r>
      <w:r w:rsidRPr="00D553A1">
        <w:t xml:space="preserve"> of resources towards the supply and/or repair/maintenance/replacement of workshop machinery, equipment and tools</w:t>
      </w:r>
      <w:r w:rsidR="00FC64FC">
        <w:t>;</w:t>
      </w:r>
    </w:p>
    <w:p w14:paraId="7F753127" w14:textId="54462FB9" w:rsidR="00B75110" w:rsidRPr="00D553A1" w:rsidRDefault="00B75110" w:rsidP="002B0D6D">
      <w:pPr>
        <w:pStyle w:val="ListParagraph"/>
      </w:pPr>
      <w:r w:rsidRPr="00D553A1">
        <w:t>19-25</w:t>
      </w:r>
      <w:r w:rsidR="00CD2FEE" w:rsidRPr="00D553A1">
        <w:t xml:space="preserve"> per cent</w:t>
      </w:r>
      <w:r w:rsidRPr="00D553A1">
        <w:t xml:space="preserve"> for laboratory equipment</w:t>
      </w:r>
      <w:r w:rsidR="00FC64FC">
        <w:t>;</w:t>
      </w:r>
    </w:p>
    <w:p w14:paraId="4DEB96AF" w14:textId="23A1AAC5" w:rsidR="00B75110" w:rsidRPr="00D553A1" w:rsidRDefault="00B75110" w:rsidP="00E76669">
      <w:pPr>
        <w:pStyle w:val="ListParagraph"/>
      </w:pPr>
      <w:r w:rsidRPr="00D553A1">
        <w:t>15-19</w:t>
      </w:r>
      <w:r w:rsidR="00CD2FEE" w:rsidRPr="00D553A1">
        <w:t xml:space="preserve"> per cent</w:t>
      </w:r>
      <w:r w:rsidRPr="00D553A1">
        <w:t xml:space="preserve"> of resources for teacher support</w:t>
      </w:r>
      <w:r w:rsidR="00FC64FC">
        <w:t>;</w:t>
      </w:r>
    </w:p>
    <w:p w14:paraId="6200989B" w14:textId="0C2103E3" w:rsidR="00B75110" w:rsidRPr="00D553A1" w:rsidRDefault="00B75110" w:rsidP="00FC64FC">
      <w:pPr>
        <w:pStyle w:val="ListParagraph"/>
      </w:pPr>
      <w:r w:rsidRPr="00D553A1">
        <w:t>15</w:t>
      </w:r>
      <w:r w:rsidR="00CD2FEE" w:rsidRPr="00D553A1">
        <w:t xml:space="preserve"> per cent</w:t>
      </w:r>
      <w:r w:rsidRPr="00D553A1">
        <w:t xml:space="preserve"> for learner support</w:t>
      </w:r>
      <w:r w:rsidR="00FC64FC">
        <w:t>;</w:t>
      </w:r>
    </w:p>
    <w:p w14:paraId="4BEB54C4" w14:textId="1BDD4927" w:rsidR="00B75110" w:rsidRPr="00D553A1" w:rsidRDefault="00B75110" w:rsidP="00FC64FC">
      <w:pPr>
        <w:pStyle w:val="ListParagraph"/>
      </w:pPr>
      <w:r w:rsidRPr="00D553A1">
        <w:t>6</w:t>
      </w:r>
      <w:r w:rsidR="00CD2FEE" w:rsidRPr="00D553A1">
        <w:t xml:space="preserve"> per cent</w:t>
      </w:r>
      <w:r w:rsidRPr="00D553A1">
        <w:t xml:space="preserve"> for DBE-Cuba Mathematics, Science and Technology Subjects Support Programme</w:t>
      </w:r>
      <w:r w:rsidR="00FC64FC">
        <w:t>; and</w:t>
      </w:r>
    </w:p>
    <w:p w14:paraId="1E1FB09B" w14:textId="134C0E8C" w:rsidR="00B75110" w:rsidRPr="00D553A1" w:rsidRDefault="00B75110" w:rsidP="00FC64FC">
      <w:pPr>
        <w:pStyle w:val="ListParagraph"/>
      </w:pPr>
      <w:r w:rsidRPr="00D553A1">
        <w:t>1</w:t>
      </w:r>
      <w:r w:rsidR="00CD2FEE" w:rsidRPr="00D553A1">
        <w:t xml:space="preserve"> per cent</w:t>
      </w:r>
      <w:r w:rsidRPr="00D553A1">
        <w:t xml:space="preserve"> for grant administration</w:t>
      </w:r>
      <w:r w:rsidR="00FC64FC">
        <w:t>.</w:t>
      </w:r>
    </w:p>
    <w:p w14:paraId="40C6F623" w14:textId="77777777" w:rsidR="005814C6" w:rsidRPr="000D33E4" w:rsidRDefault="005814C6" w:rsidP="005814C6">
      <w:pPr>
        <w:rPr>
          <w:rFonts w:ascii="Times" w:hAnsi="Times"/>
        </w:rPr>
      </w:pPr>
    </w:p>
    <w:p w14:paraId="2BDD6FA9" w14:textId="1B4F714B" w:rsidR="00B75110" w:rsidRPr="000D33E4" w:rsidRDefault="00B75110" w:rsidP="009A7F2D">
      <w:r w:rsidRPr="000D33E4">
        <w:t>Whil</w:t>
      </w:r>
      <w:r w:rsidR="00CD2FEE">
        <w:t>e</w:t>
      </w:r>
      <w:r w:rsidRPr="000D33E4">
        <w:t xml:space="preserve"> this is one of the smaller grants within the sector, slight reductions are possible and should be considered. For example</w:t>
      </w:r>
      <w:r w:rsidR="00CD2FEE">
        <w:t>,</w:t>
      </w:r>
      <w:r w:rsidRPr="000D33E4">
        <w:t xml:space="preserve"> with respect to funding for the teacher support component, aspects of the funding are related to training and can thus be deferred and the funding reprioritised. In respect of learner support</w:t>
      </w:r>
      <w:r w:rsidR="00CD2FEE">
        <w:t>,</w:t>
      </w:r>
      <w:r w:rsidRPr="000D33E4">
        <w:t xml:space="preserve"> this entails allocations to fund the participation of learners in </w:t>
      </w:r>
      <w:r w:rsidR="005814C6" w:rsidRPr="000D33E4">
        <w:t>Olympiads</w:t>
      </w:r>
      <w:r w:rsidRPr="000D33E4">
        <w:t xml:space="preserve">/fairs/expos/learner camps. For now, the funding of these activities should be halted and funding reprioritised to where needed. </w:t>
      </w:r>
      <w:r w:rsidR="00C312BF">
        <w:t>The provision of off-site and digitised support material and equipment may be considered in such reprioritisation.</w:t>
      </w:r>
    </w:p>
    <w:p w14:paraId="69118327" w14:textId="77777777" w:rsidR="00B75110" w:rsidRPr="000D33E4" w:rsidRDefault="00B75110" w:rsidP="007B1E55">
      <w:pPr>
        <w:rPr>
          <w:rFonts w:ascii="Times" w:hAnsi="Times"/>
          <w:i/>
        </w:rPr>
      </w:pPr>
    </w:p>
    <w:p w14:paraId="65BCA9B8" w14:textId="77777777" w:rsidR="005814C6" w:rsidRPr="000D33E4" w:rsidRDefault="005814C6" w:rsidP="005814C6">
      <w:pPr>
        <w:rPr>
          <w:rFonts w:ascii="Times" w:hAnsi="Times"/>
        </w:rPr>
      </w:pPr>
    </w:p>
    <w:p w14:paraId="11C7D4AF" w14:textId="77777777" w:rsidR="005814C6" w:rsidRPr="000D33E4" w:rsidRDefault="00B75110" w:rsidP="009A7F2D">
      <w:r w:rsidRPr="000D33E4">
        <w:rPr>
          <w:i/>
        </w:rPr>
        <w:t xml:space="preserve">Mass Participation and Sport Development Grant: </w:t>
      </w:r>
      <w:r w:rsidRPr="000D33E4">
        <w:t>The purpose of this conditional grant is to facilitate sport and active recreation participation and empowerment with relevant stakeholders. This conditional grant is targeted at school</w:t>
      </w:r>
      <w:r w:rsidR="00D147DB">
        <w:t xml:space="preserve"> and</w:t>
      </w:r>
      <w:r w:rsidRPr="000D33E4">
        <w:t xml:space="preserve"> community sport, sport club development, sport academies, the construction of a national training centre, and preparations for the Netball World Cup in 2023. According to the grant framework, allocations via this grant must be used as follows: school sport (40</w:t>
      </w:r>
      <w:r w:rsidR="00556D9C">
        <w:t xml:space="preserve"> per cent</w:t>
      </w:r>
      <w:r w:rsidRPr="000D33E4">
        <w:t>), community sport (39</w:t>
      </w:r>
      <w:r w:rsidR="00556D9C">
        <w:t xml:space="preserve"> per cent</w:t>
      </w:r>
      <w:r w:rsidRPr="000D33E4">
        <w:t>), sport academies (9</w:t>
      </w:r>
      <w:r w:rsidR="00556D9C">
        <w:t xml:space="preserve"> per cent</w:t>
      </w:r>
      <w:r w:rsidRPr="000D33E4">
        <w:t>), transversal matters (4</w:t>
      </w:r>
      <w:r w:rsidR="00556D9C">
        <w:t xml:space="preserve"> per cent</w:t>
      </w:r>
      <w:r w:rsidRPr="000D33E4">
        <w:t>) and management (8</w:t>
      </w:r>
      <w:r w:rsidR="00556D9C">
        <w:t xml:space="preserve"> per cent</w:t>
      </w:r>
      <w:r w:rsidRPr="000D33E4">
        <w:t>). Due to restrictions on team sport and that these activities are, in the context of Covid</w:t>
      </w:r>
      <w:r w:rsidR="00D147DB">
        <w:t>-</w:t>
      </w:r>
      <w:r w:rsidRPr="000D33E4">
        <w:t>19, deemed relatively non-essential, it is recommended that funding in respect of this grant can be largely reprioritised. In deciding on the extent on which to reprioritise funding away from this grant government should consider that this grant allows for the hiring of staff on a three</w:t>
      </w:r>
      <w:r w:rsidR="00D147DB">
        <w:t>-</w:t>
      </w:r>
      <w:r w:rsidRPr="000D33E4">
        <w:t>year basis. This provision is allowed for under the management component of the grant and therefore to assist provinces with these staff costs, the 8</w:t>
      </w:r>
      <w:r w:rsidR="00D147DB">
        <w:t xml:space="preserve"> per cent</w:t>
      </w:r>
      <w:r w:rsidRPr="000D33E4">
        <w:t xml:space="preserve"> allocated in respect of the management component could be protected.</w:t>
      </w:r>
      <w:r w:rsidR="002D39CB">
        <w:t xml:space="preserve">    </w:t>
      </w:r>
    </w:p>
    <w:p w14:paraId="3A36F313" w14:textId="77777777" w:rsidR="00B75110" w:rsidRPr="000D33E4" w:rsidRDefault="00B75110" w:rsidP="009A7F2D">
      <w:pPr>
        <w:ind w:left="567"/>
      </w:pPr>
      <w:r w:rsidRPr="000D33E4">
        <w:t xml:space="preserve"> </w:t>
      </w:r>
    </w:p>
    <w:p w14:paraId="6917EDE7" w14:textId="77777777" w:rsidR="00B75110" w:rsidRPr="000D33E4" w:rsidRDefault="00B75110" w:rsidP="009A7F2D">
      <w:r w:rsidRPr="000D33E4">
        <w:rPr>
          <w:i/>
        </w:rPr>
        <w:t xml:space="preserve">Community Library Services Grant: </w:t>
      </w:r>
      <w:r w:rsidRPr="000D33E4">
        <w:t xml:space="preserve">The purpose of this grant is to transform urban and rural community library infrastructure, facilities and services. The grant focuses on different types of infrastructure (building new libraries, maintenance and upgrading of existing libraries) as well as capacity building. There are also funds earmarked within this grant for </w:t>
      </w:r>
      <w:r w:rsidR="00D147DB">
        <w:t>the shift</w:t>
      </w:r>
      <w:r w:rsidRPr="000D33E4">
        <w:t xml:space="preserve"> of function from provinces to municipalities. Given the focus on infrastructure and the fact that due to restrictions on movement and group activities, libraries are not operating at full capacity, funding under this conditional grant should be considered for reprioritisation. Whil</w:t>
      </w:r>
      <w:r w:rsidR="00D147DB">
        <w:t>e</w:t>
      </w:r>
      <w:r w:rsidRPr="000D33E4">
        <w:t xml:space="preserve"> construction of new libraries can be delayed, an assessment of urgent maintenance</w:t>
      </w:r>
      <w:r w:rsidR="00D147DB">
        <w:t xml:space="preserve"> and </w:t>
      </w:r>
      <w:r w:rsidRPr="000D33E4">
        <w:t xml:space="preserve">rehabilitation needs should be undertaken and those funds should not be reprioritised. </w:t>
      </w:r>
    </w:p>
    <w:p w14:paraId="560E9421" w14:textId="77777777" w:rsidR="00B75110" w:rsidRPr="000D33E4" w:rsidRDefault="00B75110" w:rsidP="007B1E55">
      <w:pPr>
        <w:rPr>
          <w:rFonts w:ascii="Times" w:hAnsi="Times"/>
          <w:b/>
        </w:rPr>
      </w:pPr>
    </w:p>
    <w:p w14:paraId="08558E55" w14:textId="2108FBD1" w:rsidR="00B75110" w:rsidRPr="00FB6890" w:rsidRDefault="00B75110" w:rsidP="00FB6890">
      <w:pPr>
        <w:pStyle w:val="Heading3"/>
      </w:pPr>
      <w:bookmarkStart w:id="122" w:name="_Toc42211927"/>
      <w:r w:rsidRPr="00FB6890">
        <w:t xml:space="preserve">Health Conditional </w:t>
      </w:r>
      <w:r w:rsidR="00236C51" w:rsidRPr="000D33E4">
        <w:t>Grants</w:t>
      </w:r>
      <w:bookmarkEnd w:id="122"/>
    </w:p>
    <w:p w14:paraId="55420C46" w14:textId="77777777" w:rsidR="00951215" w:rsidRDefault="00951215" w:rsidP="00A80B0A">
      <w:pPr>
        <w:pStyle w:val="Heading2"/>
        <w:spacing w:before="0"/>
        <w:rPr>
          <w:i/>
          <w:iCs/>
        </w:rPr>
      </w:pPr>
    </w:p>
    <w:p w14:paraId="76A40E94" w14:textId="4CA460F7" w:rsidR="00955C72" w:rsidRDefault="0035298A" w:rsidP="00955C72">
      <w:bookmarkStart w:id="123" w:name="_Toc42212153"/>
      <w:r w:rsidRPr="00396ED2">
        <w:rPr>
          <w:color w:val="004C45" w:themeColor="text2"/>
        </w:rPr>
        <w:t xml:space="preserve">Table </w:t>
      </w:r>
      <w:r w:rsidRPr="00396ED2">
        <w:rPr>
          <w:color w:val="004C45" w:themeColor="text2"/>
        </w:rPr>
        <w:fldChar w:fldCharType="begin"/>
      </w:r>
      <w:r w:rsidRPr="00396ED2">
        <w:rPr>
          <w:color w:val="004C45" w:themeColor="text2"/>
        </w:rPr>
        <w:instrText xml:space="preserve"> SEQ Table \* ARABIC </w:instrText>
      </w:r>
      <w:r w:rsidRPr="00396ED2">
        <w:rPr>
          <w:color w:val="004C45" w:themeColor="text2"/>
        </w:rPr>
        <w:fldChar w:fldCharType="separate"/>
      </w:r>
      <w:r>
        <w:rPr>
          <w:noProof/>
          <w:color w:val="004C45" w:themeColor="text2"/>
        </w:rPr>
        <w:t>24</w:t>
      </w:r>
      <w:r w:rsidRPr="00396ED2">
        <w:rPr>
          <w:color w:val="004C45" w:themeColor="text2"/>
        </w:rPr>
        <w:fldChar w:fldCharType="end"/>
      </w:r>
      <w:r w:rsidR="00955C72" w:rsidRPr="00FC64FC">
        <w:rPr>
          <w:color w:val="000000" w:themeColor="text1"/>
        </w:rPr>
        <w:t xml:space="preserve"> </w:t>
      </w:r>
      <w:r w:rsidR="00955C72" w:rsidRPr="000D33E4">
        <w:t xml:space="preserve">provides a description of the conditional grants within the </w:t>
      </w:r>
      <w:r w:rsidR="00955C72">
        <w:t xml:space="preserve">health functional </w:t>
      </w:r>
      <w:r w:rsidR="00955C72" w:rsidRPr="000D33E4">
        <w:t>category that are recommended for reprioritisation.</w:t>
      </w:r>
      <w:bookmarkEnd w:id="123"/>
    </w:p>
    <w:p w14:paraId="6C9ABF07" w14:textId="77777777" w:rsidR="00955C72" w:rsidRDefault="00955C72" w:rsidP="00955C72"/>
    <w:p w14:paraId="403FE75D" w14:textId="2B11670F" w:rsidR="00955C72" w:rsidRPr="00396ED2" w:rsidRDefault="00955C72" w:rsidP="00955C72">
      <w:pPr>
        <w:pStyle w:val="Caption"/>
        <w:keepNext/>
        <w:rPr>
          <w:rFonts w:ascii="Times" w:hAnsi="Times"/>
          <w:color w:val="004C45" w:themeColor="text2"/>
          <w:sz w:val="24"/>
          <w:szCs w:val="24"/>
        </w:rPr>
      </w:pPr>
      <w:bookmarkStart w:id="124" w:name="_Toc42212154"/>
      <w:r w:rsidRPr="00396ED2">
        <w:rPr>
          <w:color w:val="004C45" w:themeColor="text2"/>
        </w:rPr>
        <w:t xml:space="preserve">Table </w:t>
      </w:r>
      <w:r w:rsidRPr="00396ED2">
        <w:rPr>
          <w:color w:val="004C45" w:themeColor="text2"/>
        </w:rPr>
        <w:fldChar w:fldCharType="begin"/>
      </w:r>
      <w:r w:rsidRPr="00396ED2">
        <w:rPr>
          <w:color w:val="004C45" w:themeColor="text2"/>
        </w:rPr>
        <w:instrText xml:space="preserve"> SEQ Table \* ARABIC </w:instrText>
      </w:r>
      <w:r w:rsidRPr="00396ED2">
        <w:rPr>
          <w:color w:val="004C45" w:themeColor="text2"/>
        </w:rPr>
        <w:fldChar w:fldCharType="separate"/>
      </w:r>
      <w:r w:rsidR="00492893">
        <w:rPr>
          <w:noProof/>
          <w:color w:val="004C45" w:themeColor="text2"/>
        </w:rPr>
        <w:t>24</w:t>
      </w:r>
      <w:r w:rsidRPr="00396ED2">
        <w:rPr>
          <w:color w:val="004C45" w:themeColor="text2"/>
        </w:rPr>
        <w:fldChar w:fldCharType="end"/>
      </w:r>
      <w:r w:rsidRPr="00396ED2">
        <w:rPr>
          <w:rFonts w:ascii="Times" w:hAnsi="Times"/>
          <w:color w:val="004C45" w:themeColor="text2"/>
          <w:sz w:val="24"/>
          <w:szCs w:val="24"/>
        </w:rPr>
        <w:t xml:space="preserve"> Summary of performance and 2020 MTEF allocations of Health Conditional Grants where reprioritisation is proposed</w:t>
      </w:r>
      <w:bookmarkEnd w:id="124"/>
    </w:p>
    <w:tbl>
      <w:tblPr>
        <w:tblW w:w="5000" w:type="pct"/>
        <w:tblLook w:val="04A0" w:firstRow="1" w:lastRow="0" w:firstColumn="1" w:lastColumn="0" w:noHBand="0" w:noVBand="1"/>
      </w:tblPr>
      <w:tblGrid>
        <w:gridCol w:w="3295"/>
        <w:gridCol w:w="741"/>
        <w:gridCol w:w="741"/>
        <w:gridCol w:w="741"/>
        <w:gridCol w:w="936"/>
        <w:gridCol w:w="857"/>
        <w:gridCol w:w="857"/>
        <w:gridCol w:w="1460"/>
      </w:tblGrid>
      <w:tr w:rsidR="00955C72" w:rsidRPr="00955C72" w14:paraId="6CB76DD7" w14:textId="77777777" w:rsidTr="00955C72">
        <w:trPr>
          <w:trHeight w:val="228"/>
        </w:trPr>
        <w:tc>
          <w:tcPr>
            <w:tcW w:w="17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8F0048" w14:textId="77777777" w:rsidR="00955C72" w:rsidRPr="00955C72" w:rsidRDefault="00955C72" w:rsidP="00492893">
            <w:pPr>
              <w:spacing w:line="240" w:lineRule="auto"/>
              <w:rPr>
                <w:b/>
                <w:bCs/>
                <w:color w:val="000000"/>
                <w:sz w:val="16"/>
                <w:szCs w:val="18"/>
                <w:lang w:eastAsia="en-ZA"/>
              </w:rPr>
            </w:pPr>
            <w:r w:rsidRPr="00955C72">
              <w:rPr>
                <w:b/>
                <w:bCs/>
                <w:color w:val="000000"/>
                <w:sz w:val="16"/>
                <w:szCs w:val="18"/>
                <w:lang w:val="en-US" w:eastAsia="en-ZA"/>
              </w:rPr>
              <w:t> </w:t>
            </w:r>
          </w:p>
        </w:tc>
        <w:tc>
          <w:tcPr>
            <w:tcW w:w="1154" w:type="pct"/>
            <w:gridSpan w:val="3"/>
            <w:tcBorders>
              <w:top w:val="single" w:sz="4" w:space="0" w:color="auto"/>
              <w:left w:val="nil"/>
              <w:bottom w:val="single" w:sz="4" w:space="0" w:color="auto"/>
              <w:right w:val="single" w:sz="4" w:space="0" w:color="auto"/>
            </w:tcBorders>
            <w:shd w:val="clear" w:color="auto" w:fill="auto"/>
            <w:noWrap/>
            <w:vAlign w:val="center"/>
            <w:hideMark/>
          </w:tcPr>
          <w:p w14:paraId="300AA798" w14:textId="77777777" w:rsidR="00955C72" w:rsidRPr="00955C72" w:rsidRDefault="00955C72" w:rsidP="00492893">
            <w:pPr>
              <w:spacing w:line="240" w:lineRule="auto"/>
              <w:jc w:val="center"/>
              <w:rPr>
                <w:b/>
                <w:bCs/>
                <w:color w:val="000000"/>
                <w:sz w:val="16"/>
                <w:szCs w:val="18"/>
                <w:lang w:eastAsia="en-ZA"/>
              </w:rPr>
            </w:pPr>
            <w:r w:rsidRPr="00955C72">
              <w:rPr>
                <w:b/>
                <w:bCs/>
                <w:color w:val="000000"/>
                <w:sz w:val="16"/>
                <w:szCs w:val="18"/>
                <w:lang w:val="en-US" w:eastAsia="en-ZA"/>
              </w:rPr>
              <w:t xml:space="preserve">Spending performance </w:t>
            </w:r>
          </w:p>
        </w:tc>
        <w:tc>
          <w:tcPr>
            <w:tcW w:w="2134" w:type="pct"/>
            <w:gridSpan w:val="4"/>
            <w:tcBorders>
              <w:top w:val="single" w:sz="4" w:space="0" w:color="auto"/>
              <w:left w:val="nil"/>
              <w:bottom w:val="single" w:sz="4" w:space="0" w:color="auto"/>
              <w:right w:val="single" w:sz="4" w:space="0" w:color="auto"/>
            </w:tcBorders>
            <w:shd w:val="clear" w:color="auto" w:fill="auto"/>
            <w:vAlign w:val="center"/>
            <w:hideMark/>
          </w:tcPr>
          <w:p w14:paraId="23CC391A" w14:textId="77777777" w:rsidR="00955C72" w:rsidRPr="00955C72" w:rsidRDefault="00955C72" w:rsidP="00492893">
            <w:pPr>
              <w:spacing w:line="240" w:lineRule="auto"/>
              <w:jc w:val="center"/>
              <w:rPr>
                <w:b/>
                <w:bCs/>
                <w:color w:val="000000"/>
                <w:sz w:val="16"/>
                <w:szCs w:val="18"/>
                <w:lang w:eastAsia="en-ZA"/>
              </w:rPr>
            </w:pPr>
            <w:r w:rsidRPr="00955C72">
              <w:rPr>
                <w:b/>
                <w:bCs/>
                <w:color w:val="000000"/>
                <w:sz w:val="16"/>
                <w:szCs w:val="18"/>
                <w:lang w:val="en-US" w:eastAsia="en-ZA"/>
              </w:rPr>
              <w:t xml:space="preserve">Allocations </w:t>
            </w:r>
          </w:p>
        </w:tc>
      </w:tr>
      <w:tr w:rsidR="00955C72" w:rsidRPr="00955C72" w14:paraId="13FD54E7" w14:textId="77777777" w:rsidTr="00396ED2">
        <w:trPr>
          <w:trHeight w:val="228"/>
        </w:trPr>
        <w:tc>
          <w:tcPr>
            <w:tcW w:w="1711" w:type="pct"/>
            <w:tcBorders>
              <w:top w:val="nil"/>
              <w:left w:val="single" w:sz="4" w:space="0" w:color="auto"/>
              <w:bottom w:val="single" w:sz="4" w:space="0" w:color="auto"/>
              <w:right w:val="single" w:sz="4" w:space="0" w:color="auto"/>
            </w:tcBorders>
            <w:shd w:val="clear" w:color="auto" w:fill="auto"/>
            <w:noWrap/>
            <w:vAlign w:val="center"/>
            <w:hideMark/>
          </w:tcPr>
          <w:p w14:paraId="53FDB150" w14:textId="77777777" w:rsidR="00955C72" w:rsidRPr="00955C72" w:rsidRDefault="00955C72" w:rsidP="00492893">
            <w:pPr>
              <w:spacing w:line="240" w:lineRule="auto"/>
              <w:rPr>
                <w:b/>
                <w:bCs/>
                <w:color w:val="000000"/>
                <w:sz w:val="16"/>
                <w:szCs w:val="18"/>
                <w:lang w:eastAsia="en-ZA"/>
              </w:rPr>
            </w:pPr>
            <w:r w:rsidRPr="00955C72">
              <w:rPr>
                <w:b/>
                <w:bCs/>
                <w:color w:val="000000"/>
                <w:sz w:val="16"/>
                <w:szCs w:val="18"/>
                <w:lang w:val="en-US" w:eastAsia="en-ZA"/>
              </w:rPr>
              <w:t>R million</w:t>
            </w:r>
          </w:p>
        </w:tc>
        <w:tc>
          <w:tcPr>
            <w:tcW w:w="385" w:type="pct"/>
            <w:tcBorders>
              <w:top w:val="nil"/>
              <w:left w:val="nil"/>
              <w:bottom w:val="single" w:sz="4" w:space="0" w:color="auto"/>
              <w:right w:val="single" w:sz="4" w:space="0" w:color="auto"/>
            </w:tcBorders>
            <w:shd w:val="clear" w:color="auto" w:fill="auto"/>
            <w:noWrap/>
            <w:vAlign w:val="center"/>
            <w:hideMark/>
          </w:tcPr>
          <w:p w14:paraId="46882C98" w14:textId="77777777" w:rsidR="00955C72" w:rsidRPr="00955C72" w:rsidRDefault="00955C72" w:rsidP="00492893">
            <w:pPr>
              <w:spacing w:line="240" w:lineRule="auto"/>
              <w:jc w:val="right"/>
              <w:rPr>
                <w:b/>
                <w:bCs/>
                <w:color w:val="000000"/>
                <w:sz w:val="16"/>
                <w:szCs w:val="18"/>
                <w:lang w:eastAsia="en-ZA"/>
              </w:rPr>
            </w:pPr>
            <w:r w:rsidRPr="00955C72">
              <w:rPr>
                <w:b/>
                <w:bCs/>
                <w:color w:val="000000"/>
                <w:sz w:val="16"/>
                <w:szCs w:val="18"/>
                <w:lang w:val="en-US" w:eastAsia="en-ZA"/>
              </w:rPr>
              <w:t>2016/17</w:t>
            </w:r>
          </w:p>
        </w:tc>
        <w:tc>
          <w:tcPr>
            <w:tcW w:w="385" w:type="pct"/>
            <w:tcBorders>
              <w:top w:val="nil"/>
              <w:left w:val="nil"/>
              <w:bottom w:val="single" w:sz="4" w:space="0" w:color="auto"/>
              <w:right w:val="single" w:sz="4" w:space="0" w:color="auto"/>
            </w:tcBorders>
            <w:shd w:val="clear" w:color="auto" w:fill="auto"/>
            <w:noWrap/>
            <w:vAlign w:val="center"/>
            <w:hideMark/>
          </w:tcPr>
          <w:p w14:paraId="71239796" w14:textId="77777777" w:rsidR="00955C72" w:rsidRPr="00955C72" w:rsidRDefault="00955C72" w:rsidP="00492893">
            <w:pPr>
              <w:spacing w:line="240" w:lineRule="auto"/>
              <w:jc w:val="right"/>
              <w:rPr>
                <w:b/>
                <w:bCs/>
                <w:color w:val="000000"/>
                <w:sz w:val="16"/>
                <w:szCs w:val="18"/>
                <w:lang w:eastAsia="en-ZA"/>
              </w:rPr>
            </w:pPr>
            <w:r w:rsidRPr="00955C72">
              <w:rPr>
                <w:b/>
                <w:bCs/>
                <w:color w:val="000000"/>
                <w:sz w:val="16"/>
                <w:szCs w:val="18"/>
                <w:lang w:val="en-US" w:eastAsia="en-ZA"/>
              </w:rPr>
              <w:t>2017/18</w:t>
            </w:r>
          </w:p>
        </w:tc>
        <w:tc>
          <w:tcPr>
            <w:tcW w:w="385" w:type="pct"/>
            <w:tcBorders>
              <w:top w:val="nil"/>
              <w:left w:val="nil"/>
              <w:bottom w:val="single" w:sz="4" w:space="0" w:color="auto"/>
              <w:right w:val="single" w:sz="4" w:space="0" w:color="auto"/>
            </w:tcBorders>
            <w:shd w:val="clear" w:color="auto" w:fill="auto"/>
            <w:noWrap/>
            <w:vAlign w:val="center"/>
            <w:hideMark/>
          </w:tcPr>
          <w:p w14:paraId="7D7B438F" w14:textId="77777777" w:rsidR="00955C72" w:rsidRPr="00955C72" w:rsidRDefault="00955C72" w:rsidP="00492893">
            <w:pPr>
              <w:spacing w:line="240" w:lineRule="auto"/>
              <w:jc w:val="right"/>
              <w:rPr>
                <w:b/>
                <w:bCs/>
                <w:color w:val="000000"/>
                <w:sz w:val="16"/>
                <w:szCs w:val="18"/>
                <w:lang w:eastAsia="en-ZA"/>
              </w:rPr>
            </w:pPr>
            <w:r w:rsidRPr="00955C72">
              <w:rPr>
                <w:b/>
                <w:bCs/>
                <w:color w:val="000000"/>
                <w:sz w:val="16"/>
                <w:szCs w:val="18"/>
                <w:lang w:val="en-US" w:eastAsia="en-ZA"/>
              </w:rPr>
              <w:t>2018/19</w:t>
            </w:r>
          </w:p>
        </w:tc>
        <w:tc>
          <w:tcPr>
            <w:tcW w:w="486" w:type="pct"/>
            <w:tcBorders>
              <w:top w:val="nil"/>
              <w:left w:val="nil"/>
              <w:bottom w:val="single" w:sz="4" w:space="0" w:color="auto"/>
              <w:right w:val="single" w:sz="4" w:space="0" w:color="auto"/>
            </w:tcBorders>
            <w:shd w:val="clear" w:color="auto" w:fill="auto"/>
            <w:vAlign w:val="center"/>
            <w:hideMark/>
          </w:tcPr>
          <w:p w14:paraId="7CDBBEB4" w14:textId="77777777" w:rsidR="00955C72" w:rsidRPr="00955C72" w:rsidRDefault="00955C72" w:rsidP="00492893">
            <w:pPr>
              <w:spacing w:line="240" w:lineRule="auto"/>
              <w:rPr>
                <w:b/>
                <w:bCs/>
                <w:color w:val="000000"/>
                <w:sz w:val="16"/>
                <w:szCs w:val="18"/>
                <w:lang w:eastAsia="en-ZA"/>
              </w:rPr>
            </w:pPr>
            <w:r w:rsidRPr="00955C72">
              <w:rPr>
                <w:b/>
                <w:bCs/>
                <w:color w:val="000000"/>
                <w:sz w:val="16"/>
                <w:szCs w:val="18"/>
                <w:lang w:val="en-US" w:eastAsia="en-ZA"/>
              </w:rPr>
              <w:t>2019/20</w:t>
            </w:r>
          </w:p>
        </w:tc>
        <w:tc>
          <w:tcPr>
            <w:tcW w:w="445" w:type="pct"/>
            <w:tcBorders>
              <w:top w:val="nil"/>
              <w:left w:val="nil"/>
              <w:bottom w:val="single" w:sz="4" w:space="0" w:color="auto"/>
              <w:right w:val="single" w:sz="4" w:space="0" w:color="auto"/>
            </w:tcBorders>
            <w:shd w:val="clear" w:color="auto" w:fill="auto"/>
            <w:noWrap/>
            <w:vAlign w:val="center"/>
            <w:hideMark/>
          </w:tcPr>
          <w:p w14:paraId="1530060A" w14:textId="77777777" w:rsidR="00955C72" w:rsidRPr="00955C72" w:rsidRDefault="00955C72" w:rsidP="00492893">
            <w:pPr>
              <w:spacing w:line="240" w:lineRule="auto"/>
              <w:jc w:val="right"/>
              <w:rPr>
                <w:b/>
                <w:bCs/>
                <w:color w:val="000000"/>
                <w:sz w:val="16"/>
                <w:szCs w:val="18"/>
                <w:lang w:eastAsia="en-ZA"/>
              </w:rPr>
            </w:pPr>
            <w:r w:rsidRPr="00955C72">
              <w:rPr>
                <w:b/>
                <w:bCs/>
                <w:color w:val="000000"/>
                <w:sz w:val="16"/>
                <w:szCs w:val="18"/>
                <w:lang w:val="en-US" w:eastAsia="en-ZA"/>
              </w:rPr>
              <w:t>2020/21</w:t>
            </w:r>
          </w:p>
        </w:tc>
        <w:tc>
          <w:tcPr>
            <w:tcW w:w="445" w:type="pct"/>
            <w:tcBorders>
              <w:top w:val="nil"/>
              <w:left w:val="nil"/>
              <w:bottom w:val="single" w:sz="4" w:space="0" w:color="auto"/>
              <w:right w:val="single" w:sz="4" w:space="0" w:color="auto"/>
            </w:tcBorders>
            <w:shd w:val="clear" w:color="auto" w:fill="auto"/>
            <w:noWrap/>
            <w:vAlign w:val="center"/>
            <w:hideMark/>
          </w:tcPr>
          <w:p w14:paraId="6E6470D7" w14:textId="77777777" w:rsidR="00955C72" w:rsidRPr="00955C72" w:rsidRDefault="00955C72" w:rsidP="00492893">
            <w:pPr>
              <w:spacing w:line="240" w:lineRule="auto"/>
              <w:jc w:val="right"/>
              <w:rPr>
                <w:b/>
                <w:bCs/>
                <w:color w:val="000000"/>
                <w:sz w:val="16"/>
                <w:szCs w:val="18"/>
                <w:lang w:eastAsia="en-ZA"/>
              </w:rPr>
            </w:pPr>
            <w:r w:rsidRPr="00955C72">
              <w:rPr>
                <w:b/>
                <w:bCs/>
                <w:color w:val="000000"/>
                <w:sz w:val="16"/>
                <w:szCs w:val="18"/>
                <w:lang w:val="en-US" w:eastAsia="en-ZA"/>
              </w:rPr>
              <w:t>2021/22</w:t>
            </w:r>
          </w:p>
        </w:tc>
        <w:tc>
          <w:tcPr>
            <w:tcW w:w="758" w:type="pct"/>
            <w:tcBorders>
              <w:top w:val="nil"/>
              <w:left w:val="nil"/>
              <w:bottom w:val="single" w:sz="4" w:space="0" w:color="auto"/>
              <w:right w:val="single" w:sz="4" w:space="0" w:color="auto"/>
            </w:tcBorders>
            <w:shd w:val="clear" w:color="auto" w:fill="auto"/>
            <w:noWrap/>
            <w:vAlign w:val="center"/>
            <w:hideMark/>
          </w:tcPr>
          <w:p w14:paraId="1E49E5B0" w14:textId="77777777" w:rsidR="00955C72" w:rsidRPr="00955C72" w:rsidRDefault="00955C72" w:rsidP="00492893">
            <w:pPr>
              <w:spacing w:line="240" w:lineRule="auto"/>
              <w:jc w:val="right"/>
              <w:rPr>
                <w:b/>
                <w:bCs/>
                <w:color w:val="000000"/>
                <w:sz w:val="16"/>
                <w:szCs w:val="18"/>
                <w:lang w:eastAsia="en-ZA"/>
              </w:rPr>
            </w:pPr>
            <w:r w:rsidRPr="00955C72">
              <w:rPr>
                <w:b/>
                <w:bCs/>
                <w:color w:val="000000"/>
                <w:sz w:val="16"/>
                <w:szCs w:val="18"/>
                <w:lang w:val="en-US" w:eastAsia="en-ZA"/>
              </w:rPr>
              <w:t>2022/23</w:t>
            </w:r>
          </w:p>
        </w:tc>
      </w:tr>
      <w:tr w:rsidR="00955C72" w:rsidRPr="00955C72" w14:paraId="64CA860B" w14:textId="77777777" w:rsidTr="00955C72">
        <w:trPr>
          <w:trHeight w:val="228"/>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AECBBA" w14:textId="77777777" w:rsidR="00955C72" w:rsidRPr="00955C72" w:rsidRDefault="00955C72" w:rsidP="00492893">
            <w:pPr>
              <w:spacing w:line="240" w:lineRule="auto"/>
              <w:jc w:val="center"/>
              <w:rPr>
                <w:b/>
                <w:bCs/>
                <w:color w:val="000000"/>
                <w:sz w:val="16"/>
                <w:szCs w:val="18"/>
                <w:lang w:eastAsia="en-ZA"/>
              </w:rPr>
            </w:pPr>
            <w:r w:rsidRPr="00955C72">
              <w:rPr>
                <w:b/>
                <w:bCs/>
                <w:color w:val="000000"/>
                <w:sz w:val="16"/>
                <w:szCs w:val="18"/>
                <w:lang w:eastAsia="en-ZA"/>
              </w:rPr>
              <w:t>Department of Health</w:t>
            </w:r>
          </w:p>
        </w:tc>
      </w:tr>
      <w:tr w:rsidR="00955C72" w:rsidRPr="00955C72" w14:paraId="1C9E6B02" w14:textId="77777777" w:rsidTr="00396ED2">
        <w:trPr>
          <w:trHeight w:val="240"/>
        </w:trPr>
        <w:tc>
          <w:tcPr>
            <w:tcW w:w="1711" w:type="pct"/>
            <w:tcBorders>
              <w:top w:val="nil"/>
              <w:left w:val="single" w:sz="4" w:space="0" w:color="auto"/>
              <w:bottom w:val="single" w:sz="4" w:space="0" w:color="auto"/>
              <w:right w:val="single" w:sz="4" w:space="0" w:color="auto"/>
            </w:tcBorders>
            <w:shd w:val="clear" w:color="auto" w:fill="auto"/>
            <w:noWrap/>
            <w:vAlign w:val="bottom"/>
            <w:hideMark/>
          </w:tcPr>
          <w:p w14:paraId="48854E5B" w14:textId="77777777" w:rsidR="00955C72" w:rsidRPr="00955C72" w:rsidRDefault="00955C72" w:rsidP="00492893">
            <w:pPr>
              <w:spacing w:line="240" w:lineRule="auto"/>
              <w:rPr>
                <w:color w:val="000000"/>
                <w:sz w:val="16"/>
                <w:szCs w:val="18"/>
                <w:lang w:eastAsia="en-ZA"/>
              </w:rPr>
            </w:pPr>
            <w:r w:rsidRPr="00955C72">
              <w:rPr>
                <w:color w:val="000000"/>
                <w:sz w:val="16"/>
                <w:szCs w:val="18"/>
                <w:lang w:eastAsia="en-ZA"/>
              </w:rPr>
              <w:t>National Tertiary Services Grant</w:t>
            </w:r>
          </w:p>
        </w:tc>
        <w:tc>
          <w:tcPr>
            <w:tcW w:w="385" w:type="pct"/>
            <w:tcBorders>
              <w:top w:val="nil"/>
              <w:left w:val="nil"/>
              <w:bottom w:val="single" w:sz="4" w:space="0" w:color="auto"/>
              <w:right w:val="single" w:sz="4" w:space="0" w:color="auto"/>
            </w:tcBorders>
            <w:shd w:val="clear" w:color="auto" w:fill="auto"/>
            <w:noWrap/>
            <w:vAlign w:val="center"/>
            <w:hideMark/>
          </w:tcPr>
          <w:p w14:paraId="3D1BC449" w14:textId="77777777" w:rsidR="00955C72" w:rsidRPr="00955C72" w:rsidRDefault="00955C72" w:rsidP="00492893">
            <w:pPr>
              <w:spacing w:line="240" w:lineRule="auto"/>
              <w:jc w:val="right"/>
              <w:rPr>
                <w:color w:val="000000"/>
                <w:sz w:val="16"/>
                <w:szCs w:val="18"/>
                <w:lang w:eastAsia="en-ZA"/>
              </w:rPr>
            </w:pPr>
            <w:r w:rsidRPr="00955C72">
              <w:rPr>
                <w:color w:val="000000"/>
                <w:sz w:val="16"/>
                <w:szCs w:val="18"/>
                <w:lang w:val="en-US" w:eastAsia="en-ZA"/>
              </w:rPr>
              <w:t>-</w:t>
            </w:r>
          </w:p>
        </w:tc>
        <w:tc>
          <w:tcPr>
            <w:tcW w:w="385" w:type="pct"/>
            <w:tcBorders>
              <w:top w:val="nil"/>
              <w:left w:val="nil"/>
              <w:bottom w:val="single" w:sz="4" w:space="0" w:color="auto"/>
              <w:right w:val="single" w:sz="4" w:space="0" w:color="auto"/>
            </w:tcBorders>
            <w:shd w:val="clear" w:color="auto" w:fill="auto"/>
            <w:noWrap/>
            <w:vAlign w:val="center"/>
            <w:hideMark/>
          </w:tcPr>
          <w:p w14:paraId="6D460C71" w14:textId="77777777" w:rsidR="00955C72" w:rsidRPr="00955C72" w:rsidRDefault="00955C72" w:rsidP="00492893">
            <w:pPr>
              <w:spacing w:line="240" w:lineRule="auto"/>
              <w:jc w:val="right"/>
              <w:rPr>
                <w:color w:val="000000"/>
                <w:sz w:val="16"/>
                <w:szCs w:val="18"/>
                <w:lang w:eastAsia="en-ZA"/>
              </w:rPr>
            </w:pPr>
            <w:r w:rsidRPr="00955C72">
              <w:rPr>
                <w:color w:val="000000"/>
                <w:sz w:val="16"/>
                <w:szCs w:val="18"/>
                <w:lang w:val="en-US" w:eastAsia="en-ZA"/>
              </w:rPr>
              <w:t>97.%</w:t>
            </w:r>
          </w:p>
        </w:tc>
        <w:tc>
          <w:tcPr>
            <w:tcW w:w="385" w:type="pct"/>
            <w:tcBorders>
              <w:top w:val="nil"/>
              <w:left w:val="nil"/>
              <w:bottom w:val="single" w:sz="4" w:space="0" w:color="auto"/>
              <w:right w:val="single" w:sz="4" w:space="0" w:color="auto"/>
            </w:tcBorders>
            <w:shd w:val="clear" w:color="auto" w:fill="auto"/>
            <w:noWrap/>
            <w:vAlign w:val="center"/>
            <w:hideMark/>
          </w:tcPr>
          <w:p w14:paraId="335848C8" w14:textId="77777777" w:rsidR="00955C72" w:rsidRPr="00955C72" w:rsidRDefault="00955C72" w:rsidP="00492893">
            <w:pPr>
              <w:spacing w:line="240" w:lineRule="auto"/>
              <w:jc w:val="right"/>
              <w:rPr>
                <w:color w:val="000000"/>
                <w:sz w:val="16"/>
                <w:szCs w:val="18"/>
                <w:lang w:eastAsia="en-ZA"/>
              </w:rPr>
            </w:pPr>
            <w:r w:rsidRPr="00955C72">
              <w:rPr>
                <w:color w:val="000000"/>
                <w:sz w:val="16"/>
                <w:szCs w:val="18"/>
                <w:lang w:val="en-US" w:eastAsia="en-ZA"/>
              </w:rPr>
              <w:t>98%</w:t>
            </w:r>
          </w:p>
        </w:tc>
        <w:tc>
          <w:tcPr>
            <w:tcW w:w="486" w:type="pct"/>
            <w:tcBorders>
              <w:top w:val="nil"/>
              <w:left w:val="nil"/>
              <w:bottom w:val="single" w:sz="4" w:space="0" w:color="auto"/>
              <w:right w:val="single" w:sz="4" w:space="0" w:color="auto"/>
            </w:tcBorders>
            <w:shd w:val="clear" w:color="auto" w:fill="auto"/>
            <w:noWrap/>
            <w:hideMark/>
          </w:tcPr>
          <w:p w14:paraId="5CECF2B4" w14:textId="77777777" w:rsidR="00955C72" w:rsidRPr="00955C72" w:rsidRDefault="00955C72" w:rsidP="00492893">
            <w:pPr>
              <w:spacing w:line="240" w:lineRule="auto"/>
              <w:jc w:val="center"/>
              <w:rPr>
                <w:sz w:val="16"/>
                <w:szCs w:val="18"/>
                <w:lang w:eastAsia="en-ZA"/>
              </w:rPr>
            </w:pPr>
            <w:r w:rsidRPr="00955C72">
              <w:rPr>
                <w:sz w:val="16"/>
                <w:szCs w:val="18"/>
                <w:lang w:eastAsia="en-ZA"/>
              </w:rPr>
              <w:t>13 185 528</w:t>
            </w:r>
          </w:p>
        </w:tc>
        <w:tc>
          <w:tcPr>
            <w:tcW w:w="445" w:type="pct"/>
            <w:tcBorders>
              <w:top w:val="nil"/>
              <w:left w:val="nil"/>
              <w:bottom w:val="single" w:sz="4" w:space="0" w:color="auto"/>
              <w:right w:val="single" w:sz="4" w:space="0" w:color="auto"/>
            </w:tcBorders>
            <w:shd w:val="clear" w:color="auto" w:fill="auto"/>
            <w:noWrap/>
            <w:vAlign w:val="bottom"/>
            <w:hideMark/>
          </w:tcPr>
          <w:p w14:paraId="0927B943" w14:textId="77777777" w:rsidR="00955C72" w:rsidRPr="00955C72" w:rsidRDefault="00955C72" w:rsidP="00492893">
            <w:pPr>
              <w:spacing w:line="240" w:lineRule="auto"/>
              <w:jc w:val="center"/>
              <w:rPr>
                <w:color w:val="000000"/>
                <w:sz w:val="16"/>
                <w:szCs w:val="18"/>
                <w:lang w:eastAsia="en-ZA"/>
              </w:rPr>
            </w:pPr>
            <w:r w:rsidRPr="00955C72">
              <w:rPr>
                <w:color w:val="000000"/>
                <w:sz w:val="16"/>
                <w:szCs w:val="18"/>
                <w:lang w:eastAsia="en-ZA"/>
              </w:rPr>
              <w:t>14068863</w:t>
            </w:r>
          </w:p>
        </w:tc>
        <w:tc>
          <w:tcPr>
            <w:tcW w:w="445" w:type="pct"/>
            <w:tcBorders>
              <w:top w:val="nil"/>
              <w:left w:val="nil"/>
              <w:bottom w:val="single" w:sz="4" w:space="0" w:color="auto"/>
              <w:right w:val="single" w:sz="4" w:space="0" w:color="auto"/>
            </w:tcBorders>
            <w:shd w:val="clear" w:color="auto" w:fill="auto"/>
            <w:noWrap/>
            <w:vAlign w:val="bottom"/>
            <w:hideMark/>
          </w:tcPr>
          <w:p w14:paraId="53FAF8F5" w14:textId="77777777" w:rsidR="00955C72" w:rsidRPr="00955C72" w:rsidRDefault="00955C72" w:rsidP="00492893">
            <w:pPr>
              <w:spacing w:line="240" w:lineRule="auto"/>
              <w:jc w:val="center"/>
              <w:rPr>
                <w:color w:val="000000"/>
                <w:sz w:val="16"/>
                <w:szCs w:val="18"/>
                <w:lang w:eastAsia="en-ZA"/>
              </w:rPr>
            </w:pPr>
            <w:r w:rsidRPr="00955C72">
              <w:rPr>
                <w:color w:val="000000"/>
                <w:sz w:val="16"/>
                <w:szCs w:val="18"/>
                <w:lang w:eastAsia="en-ZA"/>
              </w:rPr>
              <w:t>14694223</w:t>
            </w:r>
          </w:p>
        </w:tc>
        <w:tc>
          <w:tcPr>
            <w:tcW w:w="758" w:type="pct"/>
            <w:tcBorders>
              <w:top w:val="nil"/>
              <w:left w:val="nil"/>
              <w:bottom w:val="single" w:sz="4" w:space="0" w:color="auto"/>
              <w:right w:val="single" w:sz="4" w:space="0" w:color="auto"/>
            </w:tcBorders>
            <w:shd w:val="clear" w:color="auto" w:fill="auto"/>
            <w:noWrap/>
            <w:vAlign w:val="bottom"/>
            <w:hideMark/>
          </w:tcPr>
          <w:p w14:paraId="5E2DC2FE" w14:textId="77777777" w:rsidR="00955C72" w:rsidRPr="00955C72" w:rsidRDefault="00955C72" w:rsidP="00492893">
            <w:pPr>
              <w:spacing w:line="240" w:lineRule="auto"/>
              <w:jc w:val="center"/>
              <w:rPr>
                <w:color w:val="000000"/>
                <w:sz w:val="16"/>
                <w:szCs w:val="18"/>
                <w:lang w:eastAsia="en-ZA"/>
              </w:rPr>
            </w:pPr>
            <w:r w:rsidRPr="00955C72">
              <w:rPr>
                <w:color w:val="000000"/>
                <w:sz w:val="16"/>
                <w:szCs w:val="18"/>
                <w:lang w:eastAsia="en-ZA"/>
              </w:rPr>
              <w:t>15293501</w:t>
            </w:r>
          </w:p>
        </w:tc>
      </w:tr>
      <w:tr w:rsidR="00955C72" w:rsidRPr="00955C72" w14:paraId="6DE30193" w14:textId="77777777" w:rsidTr="00396ED2">
        <w:trPr>
          <w:trHeight w:val="240"/>
        </w:trPr>
        <w:tc>
          <w:tcPr>
            <w:tcW w:w="1711" w:type="pct"/>
            <w:tcBorders>
              <w:top w:val="nil"/>
              <w:left w:val="single" w:sz="4" w:space="0" w:color="auto"/>
              <w:bottom w:val="single" w:sz="4" w:space="0" w:color="auto"/>
              <w:right w:val="single" w:sz="4" w:space="0" w:color="auto"/>
            </w:tcBorders>
            <w:shd w:val="clear" w:color="auto" w:fill="auto"/>
            <w:noWrap/>
            <w:vAlign w:val="bottom"/>
            <w:hideMark/>
          </w:tcPr>
          <w:p w14:paraId="047BF250" w14:textId="77777777" w:rsidR="00955C72" w:rsidRPr="00955C72" w:rsidRDefault="00955C72" w:rsidP="00492893">
            <w:pPr>
              <w:spacing w:line="240" w:lineRule="auto"/>
              <w:rPr>
                <w:color w:val="000000"/>
                <w:sz w:val="16"/>
                <w:szCs w:val="18"/>
                <w:lang w:eastAsia="en-ZA"/>
              </w:rPr>
            </w:pPr>
            <w:r w:rsidRPr="00955C72">
              <w:rPr>
                <w:color w:val="000000"/>
                <w:sz w:val="16"/>
                <w:szCs w:val="18"/>
                <w:lang w:eastAsia="en-ZA"/>
              </w:rPr>
              <w:t>Health Facility Revitalisation Grant</w:t>
            </w:r>
          </w:p>
        </w:tc>
        <w:tc>
          <w:tcPr>
            <w:tcW w:w="385" w:type="pct"/>
            <w:tcBorders>
              <w:top w:val="nil"/>
              <w:left w:val="nil"/>
              <w:bottom w:val="single" w:sz="4" w:space="0" w:color="auto"/>
              <w:right w:val="single" w:sz="4" w:space="0" w:color="auto"/>
            </w:tcBorders>
            <w:shd w:val="clear" w:color="auto" w:fill="auto"/>
            <w:noWrap/>
            <w:vAlign w:val="center"/>
            <w:hideMark/>
          </w:tcPr>
          <w:p w14:paraId="220B9E96" w14:textId="77777777" w:rsidR="00955C72" w:rsidRPr="00955C72" w:rsidRDefault="00955C72" w:rsidP="00492893">
            <w:pPr>
              <w:spacing w:line="240" w:lineRule="auto"/>
              <w:jc w:val="right"/>
              <w:rPr>
                <w:color w:val="000000"/>
                <w:sz w:val="16"/>
                <w:szCs w:val="18"/>
                <w:lang w:eastAsia="en-ZA"/>
              </w:rPr>
            </w:pPr>
            <w:r w:rsidRPr="00955C72">
              <w:rPr>
                <w:color w:val="000000"/>
                <w:sz w:val="16"/>
                <w:szCs w:val="18"/>
                <w:lang w:val="en-US" w:eastAsia="en-ZA"/>
              </w:rPr>
              <w:t>95%</w:t>
            </w:r>
          </w:p>
        </w:tc>
        <w:tc>
          <w:tcPr>
            <w:tcW w:w="385" w:type="pct"/>
            <w:tcBorders>
              <w:top w:val="nil"/>
              <w:left w:val="nil"/>
              <w:bottom w:val="single" w:sz="4" w:space="0" w:color="auto"/>
              <w:right w:val="single" w:sz="4" w:space="0" w:color="auto"/>
            </w:tcBorders>
            <w:shd w:val="clear" w:color="auto" w:fill="auto"/>
            <w:noWrap/>
            <w:vAlign w:val="center"/>
            <w:hideMark/>
          </w:tcPr>
          <w:p w14:paraId="32CFAAD2" w14:textId="77777777" w:rsidR="00955C72" w:rsidRPr="00955C72" w:rsidRDefault="00955C72" w:rsidP="00492893">
            <w:pPr>
              <w:spacing w:line="240" w:lineRule="auto"/>
              <w:jc w:val="right"/>
              <w:rPr>
                <w:color w:val="000000"/>
                <w:sz w:val="16"/>
                <w:szCs w:val="18"/>
                <w:lang w:eastAsia="en-ZA"/>
              </w:rPr>
            </w:pPr>
            <w:r w:rsidRPr="00955C72">
              <w:rPr>
                <w:color w:val="000000"/>
                <w:sz w:val="16"/>
                <w:szCs w:val="18"/>
                <w:lang w:val="en-US" w:eastAsia="en-ZA"/>
              </w:rPr>
              <w:t>94%</w:t>
            </w:r>
          </w:p>
        </w:tc>
        <w:tc>
          <w:tcPr>
            <w:tcW w:w="385" w:type="pct"/>
            <w:tcBorders>
              <w:top w:val="nil"/>
              <w:left w:val="nil"/>
              <w:bottom w:val="single" w:sz="4" w:space="0" w:color="auto"/>
              <w:right w:val="single" w:sz="4" w:space="0" w:color="auto"/>
            </w:tcBorders>
            <w:shd w:val="clear" w:color="auto" w:fill="auto"/>
            <w:noWrap/>
            <w:vAlign w:val="center"/>
            <w:hideMark/>
          </w:tcPr>
          <w:p w14:paraId="63D91B52" w14:textId="77777777" w:rsidR="00955C72" w:rsidRPr="00955C72" w:rsidRDefault="00955C72" w:rsidP="00492893">
            <w:pPr>
              <w:spacing w:line="240" w:lineRule="auto"/>
              <w:jc w:val="right"/>
              <w:rPr>
                <w:color w:val="000000"/>
                <w:sz w:val="16"/>
                <w:szCs w:val="18"/>
                <w:lang w:eastAsia="en-ZA"/>
              </w:rPr>
            </w:pPr>
            <w:r w:rsidRPr="00955C72">
              <w:rPr>
                <w:color w:val="000000"/>
                <w:sz w:val="16"/>
                <w:szCs w:val="18"/>
                <w:lang w:val="en-US" w:eastAsia="en-ZA"/>
              </w:rPr>
              <w:t>66%</w:t>
            </w:r>
          </w:p>
        </w:tc>
        <w:tc>
          <w:tcPr>
            <w:tcW w:w="486" w:type="pct"/>
            <w:tcBorders>
              <w:top w:val="nil"/>
              <w:left w:val="nil"/>
              <w:bottom w:val="single" w:sz="4" w:space="0" w:color="auto"/>
              <w:right w:val="single" w:sz="4" w:space="0" w:color="auto"/>
            </w:tcBorders>
            <w:shd w:val="clear" w:color="auto" w:fill="auto"/>
            <w:noWrap/>
            <w:hideMark/>
          </w:tcPr>
          <w:p w14:paraId="1AF9FB3F" w14:textId="77777777" w:rsidR="00955C72" w:rsidRPr="00955C72" w:rsidRDefault="00955C72" w:rsidP="00492893">
            <w:pPr>
              <w:spacing w:line="240" w:lineRule="auto"/>
              <w:jc w:val="center"/>
              <w:rPr>
                <w:sz w:val="16"/>
                <w:szCs w:val="18"/>
                <w:lang w:eastAsia="en-ZA"/>
              </w:rPr>
            </w:pPr>
            <w:r w:rsidRPr="00955C72">
              <w:rPr>
                <w:sz w:val="16"/>
                <w:szCs w:val="18"/>
                <w:lang w:eastAsia="en-ZA"/>
              </w:rPr>
              <w:t>6 006 973</w:t>
            </w:r>
          </w:p>
        </w:tc>
        <w:tc>
          <w:tcPr>
            <w:tcW w:w="445" w:type="pct"/>
            <w:tcBorders>
              <w:top w:val="nil"/>
              <w:left w:val="nil"/>
              <w:bottom w:val="single" w:sz="4" w:space="0" w:color="auto"/>
              <w:right w:val="single" w:sz="4" w:space="0" w:color="auto"/>
            </w:tcBorders>
            <w:shd w:val="clear" w:color="auto" w:fill="auto"/>
            <w:noWrap/>
            <w:hideMark/>
          </w:tcPr>
          <w:p w14:paraId="03286D4B" w14:textId="77777777" w:rsidR="00955C72" w:rsidRPr="00955C72" w:rsidRDefault="00955C72" w:rsidP="00492893">
            <w:pPr>
              <w:spacing w:line="240" w:lineRule="auto"/>
              <w:jc w:val="center"/>
              <w:rPr>
                <w:sz w:val="16"/>
                <w:szCs w:val="18"/>
                <w:lang w:eastAsia="en-ZA"/>
              </w:rPr>
            </w:pPr>
            <w:r w:rsidRPr="00955C72">
              <w:rPr>
                <w:sz w:val="16"/>
                <w:szCs w:val="18"/>
                <w:lang w:eastAsia="en-ZA"/>
              </w:rPr>
              <w:t>6 367 652</w:t>
            </w:r>
          </w:p>
        </w:tc>
        <w:tc>
          <w:tcPr>
            <w:tcW w:w="445" w:type="pct"/>
            <w:tcBorders>
              <w:top w:val="nil"/>
              <w:left w:val="nil"/>
              <w:bottom w:val="single" w:sz="4" w:space="0" w:color="auto"/>
              <w:right w:val="single" w:sz="4" w:space="0" w:color="auto"/>
            </w:tcBorders>
            <w:shd w:val="clear" w:color="auto" w:fill="auto"/>
            <w:noWrap/>
            <w:hideMark/>
          </w:tcPr>
          <w:p w14:paraId="40F57BB6" w14:textId="77777777" w:rsidR="00955C72" w:rsidRPr="00955C72" w:rsidRDefault="00955C72" w:rsidP="00492893">
            <w:pPr>
              <w:spacing w:line="240" w:lineRule="auto"/>
              <w:jc w:val="center"/>
              <w:rPr>
                <w:sz w:val="16"/>
                <w:szCs w:val="18"/>
                <w:lang w:eastAsia="en-ZA"/>
              </w:rPr>
            </w:pPr>
            <w:r w:rsidRPr="00955C72">
              <w:rPr>
                <w:sz w:val="16"/>
                <w:szCs w:val="18"/>
                <w:lang w:eastAsia="en-ZA"/>
              </w:rPr>
              <w:t>6 658 028</w:t>
            </w:r>
          </w:p>
        </w:tc>
        <w:tc>
          <w:tcPr>
            <w:tcW w:w="758" w:type="pct"/>
            <w:tcBorders>
              <w:top w:val="nil"/>
              <w:left w:val="nil"/>
              <w:bottom w:val="single" w:sz="4" w:space="0" w:color="auto"/>
              <w:right w:val="single" w:sz="4" w:space="0" w:color="auto"/>
            </w:tcBorders>
            <w:shd w:val="clear" w:color="auto" w:fill="auto"/>
            <w:noWrap/>
            <w:hideMark/>
          </w:tcPr>
          <w:p w14:paraId="2497C811" w14:textId="77777777" w:rsidR="00955C72" w:rsidRPr="00955C72" w:rsidRDefault="00955C72" w:rsidP="00492893">
            <w:pPr>
              <w:spacing w:line="240" w:lineRule="auto"/>
              <w:jc w:val="center"/>
              <w:rPr>
                <w:sz w:val="16"/>
                <w:szCs w:val="18"/>
                <w:lang w:eastAsia="en-ZA"/>
              </w:rPr>
            </w:pPr>
            <w:r w:rsidRPr="00955C72">
              <w:rPr>
                <w:sz w:val="16"/>
                <w:szCs w:val="18"/>
                <w:lang w:eastAsia="en-ZA"/>
              </w:rPr>
              <w:t>7 033 913</w:t>
            </w:r>
          </w:p>
        </w:tc>
      </w:tr>
      <w:tr w:rsidR="00955C72" w:rsidRPr="00955C72" w14:paraId="6D94CD14" w14:textId="77777777" w:rsidTr="00396ED2">
        <w:trPr>
          <w:trHeight w:val="240"/>
        </w:trPr>
        <w:tc>
          <w:tcPr>
            <w:tcW w:w="1711" w:type="pct"/>
            <w:tcBorders>
              <w:top w:val="nil"/>
              <w:left w:val="single" w:sz="4" w:space="0" w:color="auto"/>
              <w:bottom w:val="single" w:sz="4" w:space="0" w:color="auto"/>
              <w:right w:val="single" w:sz="4" w:space="0" w:color="auto"/>
            </w:tcBorders>
            <w:shd w:val="clear" w:color="auto" w:fill="auto"/>
            <w:noWrap/>
            <w:vAlign w:val="bottom"/>
            <w:hideMark/>
          </w:tcPr>
          <w:p w14:paraId="38C05698" w14:textId="77777777" w:rsidR="00955C72" w:rsidRPr="00955C72" w:rsidRDefault="00955C72" w:rsidP="00492893">
            <w:pPr>
              <w:spacing w:line="240" w:lineRule="auto"/>
              <w:rPr>
                <w:color w:val="000000"/>
                <w:sz w:val="16"/>
                <w:szCs w:val="18"/>
                <w:lang w:eastAsia="en-ZA"/>
              </w:rPr>
            </w:pPr>
            <w:r w:rsidRPr="00955C72">
              <w:rPr>
                <w:color w:val="000000"/>
                <w:sz w:val="16"/>
                <w:szCs w:val="18"/>
                <w:lang w:eastAsia="en-ZA"/>
              </w:rPr>
              <w:t>National Health Insurance Indirect Grant (HFR)</w:t>
            </w:r>
          </w:p>
        </w:tc>
        <w:tc>
          <w:tcPr>
            <w:tcW w:w="385" w:type="pct"/>
            <w:tcBorders>
              <w:top w:val="nil"/>
              <w:left w:val="nil"/>
              <w:bottom w:val="single" w:sz="4" w:space="0" w:color="auto"/>
              <w:right w:val="single" w:sz="4" w:space="0" w:color="auto"/>
            </w:tcBorders>
            <w:shd w:val="clear" w:color="auto" w:fill="auto"/>
            <w:noWrap/>
            <w:vAlign w:val="center"/>
            <w:hideMark/>
          </w:tcPr>
          <w:p w14:paraId="45C6D82A" w14:textId="77777777" w:rsidR="00955C72" w:rsidRPr="00955C72" w:rsidRDefault="00955C72" w:rsidP="00492893">
            <w:pPr>
              <w:spacing w:line="240" w:lineRule="auto"/>
              <w:jc w:val="right"/>
              <w:rPr>
                <w:color w:val="000000"/>
                <w:sz w:val="16"/>
                <w:szCs w:val="18"/>
                <w:lang w:eastAsia="en-ZA"/>
              </w:rPr>
            </w:pPr>
            <w:r w:rsidRPr="00955C72">
              <w:rPr>
                <w:color w:val="000000"/>
                <w:sz w:val="16"/>
                <w:szCs w:val="18"/>
                <w:lang w:val="en-US" w:eastAsia="en-ZA"/>
              </w:rPr>
              <w:t>84%</w:t>
            </w:r>
          </w:p>
        </w:tc>
        <w:tc>
          <w:tcPr>
            <w:tcW w:w="385" w:type="pct"/>
            <w:tcBorders>
              <w:top w:val="nil"/>
              <w:left w:val="nil"/>
              <w:bottom w:val="single" w:sz="4" w:space="0" w:color="auto"/>
              <w:right w:val="single" w:sz="4" w:space="0" w:color="auto"/>
            </w:tcBorders>
            <w:shd w:val="clear" w:color="auto" w:fill="auto"/>
            <w:noWrap/>
            <w:vAlign w:val="center"/>
            <w:hideMark/>
          </w:tcPr>
          <w:p w14:paraId="785FA004" w14:textId="77777777" w:rsidR="00955C72" w:rsidRPr="00955C72" w:rsidRDefault="00955C72" w:rsidP="00492893">
            <w:pPr>
              <w:spacing w:line="240" w:lineRule="auto"/>
              <w:jc w:val="right"/>
              <w:rPr>
                <w:color w:val="000000"/>
                <w:sz w:val="16"/>
                <w:szCs w:val="18"/>
                <w:lang w:eastAsia="en-ZA"/>
              </w:rPr>
            </w:pPr>
            <w:r w:rsidRPr="00955C72">
              <w:rPr>
                <w:color w:val="000000"/>
                <w:sz w:val="16"/>
                <w:szCs w:val="18"/>
                <w:lang w:val="en-US" w:eastAsia="en-ZA"/>
              </w:rPr>
              <w:t>91%</w:t>
            </w:r>
          </w:p>
        </w:tc>
        <w:tc>
          <w:tcPr>
            <w:tcW w:w="385" w:type="pct"/>
            <w:tcBorders>
              <w:top w:val="nil"/>
              <w:left w:val="nil"/>
              <w:bottom w:val="single" w:sz="4" w:space="0" w:color="auto"/>
              <w:right w:val="single" w:sz="4" w:space="0" w:color="auto"/>
            </w:tcBorders>
            <w:shd w:val="clear" w:color="auto" w:fill="auto"/>
            <w:noWrap/>
            <w:vAlign w:val="center"/>
            <w:hideMark/>
          </w:tcPr>
          <w:p w14:paraId="078AB4B7" w14:textId="77777777" w:rsidR="00955C72" w:rsidRPr="00955C72" w:rsidRDefault="00955C72" w:rsidP="00492893">
            <w:pPr>
              <w:spacing w:line="240" w:lineRule="auto"/>
              <w:jc w:val="right"/>
              <w:rPr>
                <w:color w:val="000000"/>
                <w:sz w:val="16"/>
                <w:szCs w:val="18"/>
                <w:lang w:eastAsia="en-ZA"/>
              </w:rPr>
            </w:pPr>
            <w:r w:rsidRPr="00955C72">
              <w:rPr>
                <w:color w:val="000000"/>
                <w:sz w:val="16"/>
                <w:szCs w:val="18"/>
                <w:lang w:val="en-US" w:eastAsia="en-ZA"/>
              </w:rPr>
              <w:t>98%</w:t>
            </w:r>
          </w:p>
        </w:tc>
        <w:tc>
          <w:tcPr>
            <w:tcW w:w="486" w:type="pct"/>
            <w:tcBorders>
              <w:top w:val="nil"/>
              <w:left w:val="nil"/>
              <w:bottom w:val="single" w:sz="4" w:space="0" w:color="auto"/>
              <w:right w:val="single" w:sz="4" w:space="0" w:color="auto"/>
            </w:tcBorders>
            <w:shd w:val="clear" w:color="auto" w:fill="auto"/>
            <w:noWrap/>
            <w:vAlign w:val="bottom"/>
            <w:hideMark/>
          </w:tcPr>
          <w:p w14:paraId="6F437C50" w14:textId="77777777" w:rsidR="00955C72" w:rsidRPr="00955C72" w:rsidRDefault="00955C72" w:rsidP="00492893">
            <w:pPr>
              <w:spacing w:line="240" w:lineRule="auto"/>
              <w:jc w:val="center"/>
              <w:rPr>
                <w:color w:val="000000"/>
                <w:sz w:val="16"/>
                <w:szCs w:val="18"/>
                <w:lang w:eastAsia="en-ZA"/>
              </w:rPr>
            </w:pPr>
            <w:r w:rsidRPr="00955C72">
              <w:rPr>
                <w:color w:val="000000"/>
                <w:sz w:val="16"/>
                <w:szCs w:val="18"/>
                <w:lang w:eastAsia="en-ZA"/>
              </w:rPr>
              <w:t>289288</w:t>
            </w:r>
          </w:p>
        </w:tc>
        <w:tc>
          <w:tcPr>
            <w:tcW w:w="445" w:type="pct"/>
            <w:tcBorders>
              <w:top w:val="nil"/>
              <w:left w:val="nil"/>
              <w:bottom w:val="single" w:sz="4" w:space="0" w:color="auto"/>
              <w:right w:val="single" w:sz="4" w:space="0" w:color="auto"/>
            </w:tcBorders>
            <w:shd w:val="clear" w:color="auto" w:fill="auto"/>
            <w:noWrap/>
            <w:hideMark/>
          </w:tcPr>
          <w:p w14:paraId="0B04ECDF" w14:textId="77777777" w:rsidR="00955C72" w:rsidRPr="00955C72" w:rsidRDefault="00955C72" w:rsidP="00492893">
            <w:pPr>
              <w:spacing w:line="240" w:lineRule="auto"/>
              <w:jc w:val="center"/>
              <w:rPr>
                <w:sz w:val="16"/>
                <w:szCs w:val="18"/>
                <w:lang w:eastAsia="en-ZA"/>
              </w:rPr>
            </w:pPr>
            <w:r w:rsidRPr="00955C72">
              <w:rPr>
                <w:sz w:val="16"/>
                <w:szCs w:val="18"/>
                <w:lang w:eastAsia="en-ZA"/>
              </w:rPr>
              <w:t>288 840</w:t>
            </w:r>
          </w:p>
        </w:tc>
        <w:tc>
          <w:tcPr>
            <w:tcW w:w="445" w:type="pct"/>
            <w:tcBorders>
              <w:top w:val="nil"/>
              <w:left w:val="nil"/>
              <w:bottom w:val="single" w:sz="4" w:space="0" w:color="auto"/>
              <w:right w:val="single" w:sz="4" w:space="0" w:color="auto"/>
            </w:tcBorders>
            <w:shd w:val="clear" w:color="auto" w:fill="auto"/>
            <w:noWrap/>
            <w:hideMark/>
          </w:tcPr>
          <w:p w14:paraId="56FFD863" w14:textId="77777777" w:rsidR="00955C72" w:rsidRPr="00955C72" w:rsidRDefault="00955C72" w:rsidP="00492893">
            <w:pPr>
              <w:spacing w:line="240" w:lineRule="auto"/>
              <w:jc w:val="center"/>
              <w:rPr>
                <w:sz w:val="16"/>
                <w:szCs w:val="18"/>
                <w:lang w:eastAsia="en-ZA"/>
              </w:rPr>
            </w:pPr>
            <w:r w:rsidRPr="00955C72">
              <w:rPr>
                <w:sz w:val="16"/>
                <w:szCs w:val="18"/>
                <w:lang w:eastAsia="en-ZA"/>
              </w:rPr>
              <w:t>300 089</w:t>
            </w:r>
          </w:p>
        </w:tc>
        <w:tc>
          <w:tcPr>
            <w:tcW w:w="758" w:type="pct"/>
            <w:tcBorders>
              <w:top w:val="nil"/>
              <w:left w:val="nil"/>
              <w:bottom w:val="single" w:sz="4" w:space="0" w:color="auto"/>
              <w:right w:val="single" w:sz="4" w:space="0" w:color="auto"/>
            </w:tcBorders>
            <w:shd w:val="clear" w:color="auto" w:fill="auto"/>
            <w:noWrap/>
            <w:hideMark/>
          </w:tcPr>
          <w:p w14:paraId="301D42B4" w14:textId="77777777" w:rsidR="00955C72" w:rsidRPr="00955C72" w:rsidRDefault="00955C72" w:rsidP="00492893">
            <w:pPr>
              <w:spacing w:line="240" w:lineRule="auto"/>
              <w:jc w:val="center"/>
              <w:rPr>
                <w:sz w:val="16"/>
                <w:szCs w:val="18"/>
                <w:lang w:eastAsia="en-ZA"/>
              </w:rPr>
            </w:pPr>
            <w:r w:rsidRPr="00955C72">
              <w:rPr>
                <w:sz w:val="16"/>
                <w:szCs w:val="18"/>
                <w:lang w:eastAsia="en-ZA"/>
              </w:rPr>
              <w:t>311 147</w:t>
            </w:r>
          </w:p>
        </w:tc>
      </w:tr>
    </w:tbl>
    <w:p w14:paraId="76D10CAD" w14:textId="77777777" w:rsidR="00955C72" w:rsidRPr="000D33E4" w:rsidRDefault="00955C72" w:rsidP="00955C72"/>
    <w:p w14:paraId="5CFC7047" w14:textId="77777777" w:rsidR="00955C72" w:rsidRDefault="00955C72" w:rsidP="009A7F2D">
      <w:pPr>
        <w:rPr>
          <w:i/>
          <w:iCs/>
        </w:rPr>
      </w:pPr>
    </w:p>
    <w:p w14:paraId="61DDB883" w14:textId="137079C7" w:rsidR="00B75110" w:rsidRPr="000D33E4" w:rsidRDefault="00B75110" w:rsidP="009A7F2D">
      <w:r w:rsidRPr="000D33E4">
        <w:rPr>
          <w:i/>
          <w:iCs/>
        </w:rPr>
        <w:t xml:space="preserve">National </w:t>
      </w:r>
      <w:r w:rsidR="00D147DB">
        <w:rPr>
          <w:i/>
          <w:iCs/>
        </w:rPr>
        <w:t>T</w:t>
      </w:r>
      <w:r w:rsidRPr="000D33E4">
        <w:rPr>
          <w:i/>
          <w:iCs/>
        </w:rPr>
        <w:t xml:space="preserve">ertiary </w:t>
      </w:r>
      <w:r w:rsidR="00D147DB">
        <w:rPr>
          <w:i/>
          <w:iCs/>
        </w:rPr>
        <w:t>S</w:t>
      </w:r>
      <w:r w:rsidRPr="000D33E4">
        <w:rPr>
          <w:i/>
          <w:iCs/>
        </w:rPr>
        <w:t xml:space="preserve">ervices </w:t>
      </w:r>
      <w:r w:rsidR="00D147DB">
        <w:rPr>
          <w:i/>
          <w:iCs/>
        </w:rPr>
        <w:t>G</w:t>
      </w:r>
      <w:r w:rsidRPr="000D33E4">
        <w:rPr>
          <w:i/>
          <w:iCs/>
        </w:rPr>
        <w:t xml:space="preserve">rant: </w:t>
      </w:r>
      <w:r w:rsidR="00D147DB">
        <w:t>This grant</w:t>
      </w:r>
      <w:r w:rsidRPr="000D33E4">
        <w:t xml:space="preserve"> is aimed at enabling provinces to plan, moderni</w:t>
      </w:r>
      <w:r w:rsidR="00D147DB">
        <w:t>s</w:t>
      </w:r>
      <w:r w:rsidRPr="000D33E4">
        <w:t>e and transform tertiary hospital service delivery in accordance with national policy objectives. Th</w:t>
      </w:r>
      <w:r w:rsidR="00D147DB">
        <w:t>e</w:t>
      </w:r>
      <w:r w:rsidRPr="000D33E4">
        <w:t xml:space="preserve"> grant funds medical specialists, equipment and advanced medical investigation and treatment across all nine provinces. For the 2020 MTEF period, the national Department of Health has reprioriti</w:t>
      </w:r>
      <w:r w:rsidR="00D147DB">
        <w:t>s</w:t>
      </w:r>
      <w:r w:rsidRPr="000D33E4">
        <w:t>ed R176 million of this conditional grant towards developing tertiary services in the Eastern Cape, Limpopo, Mpumalanga and North West.</w:t>
      </w:r>
      <w:r w:rsidR="00AA6339">
        <w:t xml:space="preserve"> </w:t>
      </w:r>
      <w:r w:rsidRPr="000D33E4">
        <w:t xml:space="preserve">The </w:t>
      </w:r>
      <w:r w:rsidR="00D147DB">
        <w:t>d</w:t>
      </w:r>
      <w:r w:rsidRPr="000D33E4">
        <w:t xml:space="preserve">epartment has planned to </w:t>
      </w:r>
      <w:r w:rsidR="00AA6339" w:rsidRPr="000D33E4">
        <w:t>ring-fence</w:t>
      </w:r>
      <w:r w:rsidRPr="000D33E4">
        <w:t xml:space="preserve"> the remainder for other provinces for the 2020/21 allocation. Given the ongoing health crisis and the demands it</w:t>
      </w:r>
      <w:r w:rsidR="00D147DB">
        <w:t xml:space="preserve"> is</w:t>
      </w:r>
      <w:r w:rsidRPr="000D33E4">
        <w:t xml:space="preserve"> placing on all provincial health facilities, significant reprioriti</w:t>
      </w:r>
      <w:r w:rsidR="00D147DB">
        <w:t>s</w:t>
      </w:r>
      <w:r w:rsidRPr="000D33E4">
        <w:t xml:space="preserve">ation of the grant towards Covid-19 related services can be considered. The grant can help with ramping up the preparedness of provincial hospitals for a potential surge in Covid-19 patients. </w:t>
      </w:r>
    </w:p>
    <w:p w14:paraId="11FC66B0" w14:textId="77777777" w:rsidR="005814C6" w:rsidRPr="000D33E4" w:rsidRDefault="005814C6" w:rsidP="005814C6">
      <w:pPr>
        <w:rPr>
          <w:rFonts w:ascii="Times" w:hAnsi="Times"/>
        </w:rPr>
      </w:pPr>
    </w:p>
    <w:p w14:paraId="1AFC3366" w14:textId="5ED88E0C" w:rsidR="00B75110" w:rsidRPr="000D33E4" w:rsidRDefault="00B75110" w:rsidP="009A7F2D">
      <w:r w:rsidRPr="00E827B9">
        <w:t>The</w:t>
      </w:r>
      <w:r w:rsidRPr="000D33E4">
        <w:rPr>
          <w:i/>
          <w:iCs/>
        </w:rPr>
        <w:t xml:space="preserve"> </w:t>
      </w:r>
      <w:r w:rsidR="00D147DB">
        <w:rPr>
          <w:i/>
          <w:iCs/>
        </w:rPr>
        <w:t>H</w:t>
      </w:r>
      <w:r w:rsidRPr="000D33E4">
        <w:rPr>
          <w:i/>
          <w:iCs/>
        </w:rPr>
        <w:t xml:space="preserve">ealth </w:t>
      </w:r>
      <w:r w:rsidR="00D147DB">
        <w:rPr>
          <w:i/>
          <w:iCs/>
        </w:rPr>
        <w:t>F</w:t>
      </w:r>
      <w:r w:rsidRPr="000D33E4">
        <w:rPr>
          <w:i/>
          <w:iCs/>
        </w:rPr>
        <w:t xml:space="preserve">acility </w:t>
      </w:r>
      <w:r w:rsidR="00D147DB">
        <w:rPr>
          <w:i/>
          <w:iCs/>
        </w:rPr>
        <w:t>R</w:t>
      </w:r>
      <w:r w:rsidRPr="000D33E4">
        <w:rPr>
          <w:i/>
          <w:iCs/>
        </w:rPr>
        <w:t>evitali</w:t>
      </w:r>
      <w:r w:rsidR="001063C5">
        <w:rPr>
          <w:i/>
          <w:iCs/>
        </w:rPr>
        <w:t>s</w:t>
      </w:r>
      <w:r w:rsidRPr="000D33E4">
        <w:rPr>
          <w:i/>
          <w:iCs/>
        </w:rPr>
        <w:t xml:space="preserve">ation </w:t>
      </w:r>
      <w:r w:rsidR="00D147DB">
        <w:rPr>
          <w:i/>
          <w:iCs/>
        </w:rPr>
        <w:t>G</w:t>
      </w:r>
      <w:r w:rsidRPr="000D33E4">
        <w:rPr>
          <w:i/>
          <w:iCs/>
        </w:rPr>
        <w:t xml:space="preserve">rant: </w:t>
      </w:r>
      <w:r w:rsidRPr="000D33E4">
        <w:t xml:space="preserve">The purpose of </w:t>
      </w:r>
      <w:r w:rsidR="00D147DB">
        <w:t>this</w:t>
      </w:r>
      <w:r w:rsidRPr="000D33E4">
        <w:t xml:space="preserve"> grant is to fund the construction and maintenance of health infrastructure. This includes large projects to moderni</w:t>
      </w:r>
      <w:r w:rsidR="00D147DB">
        <w:t>s</w:t>
      </w:r>
      <w:r w:rsidRPr="000D33E4">
        <w:t>e hospital infrastructure and equipment, general maintenance and infrastructure project</w:t>
      </w:r>
      <w:r w:rsidR="00D147DB">
        <w:t>s</w:t>
      </w:r>
      <w:r w:rsidRPr="000D33E4">
        <w:t xml:space="preserve"> in smaller hospitals. Large hospital infrastructure spending can be delayed for funding Covid-19 health interventions. Expenditure on refurbishment and upgrading of nursing coll</w:t>
      </w:r>
      <w:r w:rsidR="00D147DB">
        <w:t>e</w:t>
      </w:r>
      <w:r w:rsidRPr="000D33E4">
        <w:t>ge</w:t>
      </w:r>
      <w:r w:rsidR="00D147DB">
        <w:t>s</w:t>
      </w:r>
      <w:r w:rsidRPr="000D33E4">
        <w:t xml:space="preserve"> and schools can also be deferred to allow for Covid-19 related expenditure. </w:t>
      </w:r>
    </w:p>
    <w:p w14:paraId="584C9224" w14:textId="77777777" w:rsidR="005814C6" w:rsidRPr="000D33E4" w:rsidRDefault="005814C6" w:rsidP="005814C6">
      <w:pPr>
        <w:rPr>
          <w:rFonts w:ascii="Times" w:hAnsi="Times"/>
        </w:rPr>
      </w:pPr>
    </w:p>
    <w:p w14:paraId="0C8F50DD" w14:textId="74F4ED12" w:rsidR="00B75110" w:rsidRPr="000D33E4" w:rsidRDefault="00D449D8" w:rsidP="009A7F2D">
      <w:r>
        <w:t xml:space="preserve">The </w:t>
      </w:r>
      <w:r w:rsidR="00B75110" w:rsidRPr="000D33E4">
        <w:rPr>
          <w:i/>
          <w:iCs/>
        </w:rPr>
        <w:t xml:space="preserve">Department of Health: National </w:t>
      </w:r>
      <w:r w:rsidR="00D147DB">
        <w:rPr>
          <w:i/>
          <w:iCs/>
        </w:rPr>
        <w:t>H</w:t>
      </w:r>
      <w:r w:rsidR="00B75110" w:rsidRPr="000D33E4">
        <w:rPr>
          <w:i/>
          <w:iCs/>
        </w:rPr>
        <w:t xml:space="preserve">ealth </w:t>
      </w:r>
      <w:r w:rsidR="00D147DB">
        <w:rPr>
          <w:i/>
          <w:iCs/>
        </w:rPr>
        <w:t>I</w:t>
      </w:r>
      <w:r w:rsidR="00B75110" w:rsidRPr="000D33E4">
        <w:rPr>
          <w:i/>
          <w:iCs/>
        </w:rPr>
        <w:t xml:space="preserve">nsurance </w:t>
      </w:r>
      <w:r w:rsidR="00D147DB">
        <w:rPr>
          <w:i/>
          <w:iCs/>
        </w:rPr>
        <w:t>I</w:t>
      </w:r>
      <w:r w:rsidR="00B75110" w:rsidRPr="000D33E4">
        <w:rPr>
          <w:i/>
          <w:iCs/>
        </w:rPr>
        <w:t xml:space="preserve">ndirect </w:t>
      </w:r>
      <w:r w:rsidR="00D147DB">
        <w:rPr>
          <w:i/>
          <w:iCs/>
        </w:rPr>
        <w:t>G</w:t>
      </w:r>
      <w:r w:rsidR="00B75110" w:rsidRPr="000D33E4">
        <w:rPr>
          <w:i/>
          <w:iCs/>
        </w:rPr>
        <w:t xml:space="preserve">rant: </w:t>
      </w:r>
      <w:r w:rsidR="00B75110" w:rsidRPr="000D33E4">
        <w:t xml:space="preserve">The purpose of </w:t>
      </w:r>
      <w:r w:rsidR="00D147DB">
        <w:t xml:space="preserve">this grant is </w:t>
      </w:r>
      <w:r w:rsidR="00B75110" w:rsidRPr="000D33E4">
        <w:t xml:space="preserve">to ensure appropriate health infrastructure that is in line with national and provincial objectives. This includes upgrading, refurbishing and new infrastructure in line with the objective of </w:t>
      </w:r>
      <w:r w:rsidR="00D147DB">
        <w:t xml:space="preserve">the </w:t>
      </w:r>
      <w:r w:rsidR="00B75110" w:rsidRPr="000D33E4">
        <w:t xml:space="preserve">NHI. A total of R199 million in 2020/21 and R5.7 million will be transferred directly to Limpopo province from the </w:t>
      </w:r>
      <w:r w:rsidR="00D147DB">
        <w:t>NHI</w:t>
      </w:r>
      <w:r w:rsidR="00B75110" w:rsidRPr="000D33E4">
        <w:t xml:space="preserve"> for upgrades of Pietersburg Hospital. The health facility revitali</w:t>
      </w:r>
      <w:r w:rsidR="00D147DB">
        <w:t>s</w:t>
      </w:r>
      <w:r w:rsidR="00B75110" w:rsidRPr="000D33E4">
        <w:t>ation component of the grant can be reprioriti</w:t>
      </w:r>
      <w:r w:rsidR="00D147DB">
        <w:t>s</w:t>
      </w:r>
      <w:r w:rsidR="00B75110" w:rsidRPr="000D33E4">
        <w:t>ed towards Covid-19 related spending. For example, spending on upgrading and refurbishing of health facilities can be reprioriti</w:t>
      </w:r>
      <w:r w:rsidR="00D147DB">
        <w:t>s</w:t>
      </w:r>
      <w:r w:rsidR="00B75110" w:rsidRPr="000D33E4">
        <w:t>ed towards ensuring preparedness for a surge of Covid-19 patients.</w:t>
      </w:r>
      <w:r w:rsidR="002D39CB">
        <w:t xml:space="preserve">    </w:t>
      </w:r>
      <w:bookmarkStart w:id="125" w:name="_Hlk40690794"/>
    </w:p>
    <w:bookmarkEnd w:id="125"/>
    <w:p w14:paraId="711DE355" w14:textId="77777777" w:rsidR="00B75110" w:rsidRDefault="00B75110" w:rsidP="00A80B0A">
      <w:pPr>
        <w:rPr>
          <w:rFonts w:ascii="Times" w:hAnsi="Times"/>
          <w:b/>
          <w:smallCaps/>
        </w:rPr>
      </w:pPr>
    </w:p>
    <w:p w14:paraId="22A724CC" w14:textId="77777777" w:rsidR="00B75110" w:rsidRPr="00FB6890" w:rsidRDefault="00B75110" w:rsidP="00FB6890">
      <w:pPr>
        <w:pStyle w:val="Heading3"/>
      </w:pPr>
      <w:bookmarkStart w:id="126" w:name="_Toc42211928"/>
      <w:r w:rsidRPr="00FB6890">
        <w:t>Community Development Conditional Grants</w:t>
      </w:r>
      <w:bookmarkEnd w:id="126"/>
    </w:p>
    <w:p w14:paraId="013B75C3" w14:textId="77777777" w:rsidR="002B79EA" w:rsidRPr="000D33E4" w:rsidRDefault="002B79EA" w:rsidP="00A80B0A">
      <w:pPr>
        <w:rPr>
          <w:rFonts w:ascii="Times" w:hAnsi="Times"/>
        </w:rPr>
      </w:pPr>
    </w:p>
    <w:p w14:paraId="61217089" w14:textId="5B67DF6B" w:rsidR="00B75110" w:rsidRDefault="00B75110" w:rsidP="009A7F2D">
      <w:r w:rsidRPr="000D33E4">
        <w:t>This functional area has a number of co</w:t>
      </w:r>
      <w:r w:rsidR="008A3F67">
        <w:t>nditional grants which are spent</w:t>
      </w:r>
      <w:r w:rsidRPr="000D33E4">
        <w:t xml:space="preserve"> by municipalities and provinces</w:t>
      </w:r>
      <w:r w:rsidRPr="00FC64FC">
        <w:rPr>
          <w:color w:val="000000" w:themeColor="text1"/>
        </w:rPr>
        <w:t xml:space="preserve">. </w:t>
      </w:r>
      <w:r w:rsidR="00D147DB" w:rsidRPr="00FC64FC">
        <w:rPr>
          <w:color w:val="000000" w:themeColor="text1"/>
        </w:rPr>
        <w:fldChar w:fldCharType="begin"/>
      </w:r>
      <w:r w:rsidR="00D147DB" w:rsidRPr="00FC64FC">
        <w:rPr>
          <w:color w:val="000000" w:themeColor="text1"/>
        </w:rPr>
        <w:instrText xml:space="preserve"> REF _Ref40889364 \h </w:instrText>
      </w:r>
      <w:r w:rsidR="00D147DB" w:rsidRPr="00FC64FC">
        <w:rPr>
          <w:color w:val="000000" w:themeColor="text1"/>
        </w:rPr>
      </w:r>
      <w:r w:rsidR="00D147DB" w:rsidRPr="00FC64FC">
        <w:rPr>
          <w:color w:val="000000" w:themeColor="text1"/>
        </w:rPr>
        <w:fldChar w:fldCharType="separate"/>
      </w:r>
      <w:r w:rsidR="0035298A" w:rsidRPr="00D147DB">
        <w:rPr>
          <w:rFonts w:ascii="Times" w:hAnsi="Times"/>
          <w:color w:val="004C45" w:themeColor="text2"/>
          <w:szCs w:val="24"/>
        </w:rPr>
        <w:t xml:space="preserve">Table </w:t>
      </w:r>
      <w:r w:rsidR="0035298A">
        <w:rPr>
          <w:rFonts w:ascii="Times" w:hAnsi="Times"/>
          <w:noProof/>
          <w:color w:val="004C45" w:themeColor="text2"/>
          <w:szCs w:val="24"/>
        </w:rPr>
        <w:t>25</w:t>
      </w:r>
      <w:r w:rsidR="00D147DB" w:rsidRPr="00FC64FC">
        <w:rPr>
          <w:color w:val="000000" w:themeColor="text1"/>
        </w:rPr>
        <w:fldChar w:fldCharType="end"/>
      </w:r>
      <w:r w:rsidR="00556D9C">
        <w:t xml:space="preserve"> </w:t>
      </w:r>
      <w:r w:rsidRPr="000D33E4">
        <w:t>presents spending and allocations.</w:t>
      </w:r>
    </w:p>
    <w:p w14:paraId="4E87EB1D" w14:textId="77777777" w:rsidR="00797D4D" w:rsidRPr="000D33E4" w:rsidRDefault="00797D4D" w:rsidP="00B826E6">
      <w:pPr>
        <w:rPr>
          <w:rFonts w:ascii="Times" w:hAnsi="Times"/>
        </w:rPr>
      </w:pPr>
    </w:p>
    <w:p w14:paraId="4F539AF7" w14:textId="511C276C" w:rsidR="00B826E6" w:rsidRPr="00D147DB" w:rsidRDefault="00B826E6" w:rsidP="00FC64FC">
      <w:pPr>
        <w:pStyle w:val="Caption"/>
        <w:keepNext/>
        <w:rPr>
          <w:rFonts w:ascii="Times" w:hAnsi="Times"/>
          <w:color w:val="004C45" w:themeColor="text2"/>
          <w:sz w:val="24"/>
          <w:szCs w:val="24"/>
        </w:rPr>
      </w:pPr>
      <w:bookmarkStart w:id="127" w:name="_Ref40889364"/>
      <w:bookmarkStart w:id="128" w:name="_Toc42212155"/>
      <w:r w:rsidRPr="00D147DB">
        <w:rPr>
          <w:rFonts w:ascii="Times" w:hAnsi="Times"/>
          <w:color w:val="004C45" w:themeColor="text2"/>
          <w:sz w:val="24"/>
          <w:szCs w:val="24"/>
        </w:rPr>
        <w:t xml:space="preserve">Table </w:t>
      </w:r>
      <w:r w:rsidRPr="00D147DB">
        <w:rPr>
          <w:rFonts w:ascii="Times" w:hAnsi="Times"/>
          <w:color w:val="004C45" w:themeColor="text2"/>
          <w:sz w:val="24"/>
          <w:szCs w:val="24"/>
        </w:rPr>
        <w:fldChar w:fldCharType="begin"/>
      </w:r>
      <w:r w:rsidRPr="00D147DB">
        <w:rPr>
          <w:rFonts w:ascii="Times" w:hAnsi="Times"/>
          <w:color w:val="004C45" w:themeColor="text2"/>
          <w:sz w:val="24"/>
          <w:szCs w:val="24"/>
        </w:rPr>
        <w:instrText xml:space="preserve"> SEQ Table \* ARABIC </w:instrText>
      </w:r>
      <w:r w:rsidRPr="00D147DB">
        <w:rPr>
          <w:rFonts w:ascii="Times" w:hAnsi="Times"/>
          <w:color w:val="004C45" w:themeColor="text2"/>
          <w:sz w:val="24"/>
          <w:szCs w:val="24"/>
        </w:rPr>
        <w:fldChar w:fldCharType="separate"/>
      </w:r>
      <w:r w:rsidR="00492893">
        <w:rPr>
          <w:rFonts w:ascii="Times" w:hAnsi="Times"/>
          <w:noProof/>
          <w:color w:val="004C45" w:themeColor="text2"/>
          <w:sz w:val="24"/>
          <w:szCs w:val="24"/>
        </w:rPr>
        <w:t>25</w:t>
      </w:r>
      <w:r w:rsidRPr="00D147DB">
        <w:rPr>
          <w:rFonts w:ascii="Times" w:hAnsi="Times"/>
          <w:color w:val="004C45" w:themeColor="text2"/>
          <w:sz w:val="24"/>
          <w:szCs w:val="24"/>
        </w:rPr>
        <w:fldChar w:fldCharType="end"/>
      </w:r>
      <w:bookmarkEnd w:id="127"/>
      <w:r w:rsidR="00D147DB" w:rsidRPr="00D147DB">
        <w:rPr>
          <w:rFonts w:ascii="Times" w:hAnsi="Times"/>
          <w:color w:val="004C45" w:themeColor="text2"/>
          <w:sz w:val="24"/>
          <w:szCs w:val="24"/>
        </w:rPr>
        <w:t>:</w:t>
      </w:r>
      <w:r w:rsidRPr="00D147DB">
        <w:rPr>
          <w:rFonts w:ascii="Times" w:hAnsi="Times"/>
          <w:color w:val="004C45" w:themeColor="text2"/>
          <w:sz w:val="24"/>
          <w:szCs w:val="24"/>
        </w:rPr>
        <w:t xml:space="preserve"> Summary of </w:t>
      </w:r>
      <w:r w:rsidR="00D147DB" w:rsidRPr="00D147DB">
        <w:rPr>
          <w:rFonts w:ascii="Times" w:hAnsi="Times"/>
          <w:color w:val="004C45" w:themeColor="text2"/>
          <w:sz w:val="24"/>
          <w:szCs w:val="24"/>
        </w:rPr>
        <w:t>p</w:t>
      </w:r>
      <w:r w:rsidRPr="00D147DB">
        <w:rPr>
          <w:rFonts w:ascii="Times" w:hAnsi="Times"/>
          <w:color w:val="004C45" w:themeColor="text2"/>
          <w:sz w:val="24"/>
          <w:szCs w:val="24"/>
        </w:rPr>
        <w:t xml:space="preserve">erformance and 2020 MTEF </w:t>
      </w:r>
      <w:r w:rsidR="00D147DB" w:rsidRPr="00D147DB">
        <w:rPr>
          <w:rFonts w:ascii="Times" w:hAnsi="Times"/>
          <w:color w:val="004C45" w:themeColor="text2"/>
          <w:sz w:val="24"/>
          <w:szCs w:val="24"/>
        </w:rPr>
        <w:t>a</w:t>
      </w:r>
      <w:r w:rsidRPr="00D147DB">
        <w:rPr>
          <w:rFonts w:ascii="Times" w:hAnsi="Times"/>
          <w:color w:val="004C45" w:themeColor="text2"/>
          <w:sz w:val="24"/>
          <w:szCs w:val="24"/>
        </w:rPr>
        <w:t xml:space="preserve">llocations of Community Development Conditional Grants where </w:t>
      </w:r>
      <w:r w:rsidR="00D147DB" w:rsidRPr="00D147DB">
        <w:rPr>
          <w:rFonts w:ascii="Times" w:hAnsi="Times"/>
          <w:color w:val="004C45" w:themeColor="text2"/>
          <w:sz w:val="24"/>
          <w:szCs w:val="24"/>
        </w:rPr>
        <w:t>r</w:t>
      </w:r>
      <w:r w:rsidRPr="00D147DB">
        <w:rPr>
          <w:rFonts w:ascii="Times" w:hAnsi="Times"/>
          <w:color w:val="004C45" w:themeColor="text2"/>
          <w:sz w:val="24"/>
          <w:szCs w:val="24"/>
        </w:rPr>
        <w:t>eprioritisation is proposed</w:t>
      </w:r>
      <w:bookmarkEnd w:id="128"/>
    </w:p>
    <w:tbl>
      <w:tblPr>
        <w:tblStyle w:val="GridTable1Light-Accent6"/>
        <w:tblW w:w="5000" w:type="pct"/>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Look w:val="04A0" w:firstRow="1" w:lastRow="0" w:firstColumn="1" w:lastColumn="0" w:noHBand="0" w:noVBand="1"/>
      </w:tblPr>
      <w:tblGrid>
        <w:gridCol w:w="3421"/>
        <w:gridCol w:w="887"/>
        <w:gridCol w:w="886"/>
        <w:gridCol w:w="886"/>
        <w:gridCol w:w="886"/>
        <w:gridCol w:w="886"/>
        <w:gridCol w:w="886"/>
        <w:gridCol w:w="890"/>
      </w:tblGrid>
      <w:tr w:rsidR="00B75110" w:rsidRPr="000D33E4" w14:paraId="2F774D4E" w14:textId="77777777" w:rsidTr="00D466F6">
        <w:trPr>
          <w:cnfStyle w:val="100000000000" w:firstRow="1" w:lastRow="0" w:firstColumn="0" w:lastColumn="0" w:oddVBand="0" w:evenVBand="0" w:oddHBand="0" w:evenHBand="0" w:firstRowFirstColumn="0" w:firstRowLastColumn="0" w:lastRowFirstColumn="0" w:lastRowLastColumn="0"/>
          <w:trHeight w:val="257"/>
        </w:trPr>
        <w:tc>
          <w:tcPr>
            <w:cnfStyle w:val="001000000000" w:firstRow="0" w:lastRow="0" w:firstColumn="1" w:lastColumn="0" w:oddVBand="0" w:evenVBand="0" w:oddHBand="0" w:evenHBand="0" w:firstRowFirstColumn="0" w:firstRowLastColumn="0" w:lastRowFirstColumn="0" w:lastRowLastColumn="0"/>
            <w:tcW w:w="1777" w:type="pct"/>
            <w:tcBorders>
              <w:bottom w:val="none" w:sz="0" w:space="0" w:color="auto"/>
            </w:tcBorders>
            <w:noWrap/>
            <w:hideMark/>
          </w:tcPr>
          <w:p w14:paraId="556CD0FE" w14:textId="77777777" w:rsidR="00B75110" w:rsidRPr="00D147DB" w:rsidRDefault="00B75110" w:rsidP="00FC64FC">
            <w:pPr>
              <w:keepNext/>
              <w:rPr>
                <w:rFonts w:ascii="Times" w:eastAsia="Times New Roman" w:hAnsi="Times" w:cs="Times New Roman"/>
                <w:color w:val="000000"/>
                <w:sz w:val="20"/>
                <w:szCs w:val="20"/>
                <w:lang w:eastAsia="en-ZA"/>
              </w:rPr>
            </w:pPr>
            <w:r w:rsidRPr="00D147DB">
              <w:rPr>
                <w:rFonts w:ascii="Times" w:eastAsia="Times New Roman" w:hAnsi="Times" w:cs="Times New Roman"/>
                <w:color w:val="000000"/>
                <w:sz w:val="20"/>
                <w:szCs w:val="20"/>
                <w:lang w:eastAsia="en-ZA"/>
              </w:rPr>
              <w:t> </w:t>
            </w:r>
          </w:p>
        </w:tc>
        <w:tc>
          <w:tcPr>
            <w:tcW w:w="1380" w:type="pct"/>
            <w:gridSpan w:val="3"/>
            <w:tcBorders>
              <w:bottom w:val="none" w:sz="0" w:space="0" w:color="auto"/>
            </w:tcBorders>
            <w:noWrap/>
            <w:hideMark/>
          </w:tcPr>
          <w:p w14:paraId="4A9A8341" w14:textId="77777777" w:rsidR="00B75110" w:rsidRPr="00D147DB" w:rsidRDefault="00B75110" w:rsidP="00FC64FC">
            <w:pPr>
              <w:keepNext/>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New Roman"/>
                <w:color w:val="000000"/>
                <w:sz w:val="20"/>
                <w:szCs w:val="20"/>
                <w:lang w:eastAsia="en-ZA"/>
              </w:rPr>
            </w:pPr>
            <w:r w:rsidRPr="00D147DB">
              <w:rPr>
                <w:rFonts w:ascii="Times" w:eastAsia="Times New Roman" w:hAnsi="Times" w:cs="Times New Roman"/>
                <w:color w:val="000000"/>
                <w:sz w:val="20"/>
                <w:szCs w:val="20"/>
                <w:lang w:eastAsia="en-ZA"/>
              </w:rPr>
              <w:t xml:space="preserve">Spending </w:t>
            </w:r>
            <w:r w:rsidR="00D147DB" w:rsidRPr="00D147DB">
              <w:rPr>
                <w:rFonts w:ascii="Times" w:eastAsia="Times New Roman" w:hAnsi="Times" w:cs="Times New Roman"/>
                <w:color w:val="000000"/>
                <w:sz w:val="20"/>
                <w:szCs w:val="20"/>
                <w:lang w:eastAsia="en-ZA"/>
              </w:rPr>
              <w:t>p</w:t>
            </w:r>
            <w:r w:rsidRPr="00D147DB">
              <w:rPr>
                <w:rFonts w:ascii="Times" w:eastAsia="Times New Roman" w:hAnsi="Times" w:cs="Times New Roman"/>
                <w:color w:val="000000"/>
                <w:sz w:val="20"/>
                <w:szCs w:val="20"/>
                <w:lang w:eastAsia="en-ZA"/>
              </w:rPr>
              <w:t xml:space="preserve">erformance </w:t>
            </w:r>
          </w:p>
        </w:tc>
        <w:tc>
          <w:tcPr>
            <w:tcW w:w="1843" w:type="pct"/>
            <w:gridSpan w:val="4"/>
            <w:tcBorders>
              <w:bottom w:val="none" w:sz="0" w:space="0" w:color="auto"/>
            </w:tcBorders>
            <w:hideMark/>
          </w:tcPr>
          <w:p w14:paraId="24AA2C6E" w14:textId="77777777" w:rsidR="00B75110" w:rsidRPr="00D147DB" w:rsidRDefault="00B75110" w:rsidP="00FC64FC">
            <w:pPr>
              <w:keepNext/>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New Roman"/>
                <w:color w:val="000000"/>
                <w:sz w:val="20"/>
                <w:szCs w:val="20"/>
                <w:lang w:eastAsia="en-ZA"/>
              </w:rPr>
            </w:pPr>
            <w:r w:rsidRPr="00D147DB">
              <w:rPr>
                <w:rFonts w:ascii="Times" w:eastAsia="Times New Roman" w:hAnsi="Times" w:cs="Times New Roman"/>
                <w:color w:val="000000"/>
                <w:sz w:val="20"/>
                <w:szCs w:val="20"/>
                <w:lang w:eastAsia="en-ZA"/>
              </w:rPr>
              <w:t xml:space="preserve">Allocations </w:t>
            </w:r>
          </w:p>
        </w:tc>
      </w:tr>
      <w:tr w:rsidR="00B75110" w:rsidRPr="000D33E4" w14:paraId="4EFE1140" w14:textId="77777777" w:rsidTr="00D466F6">
        <w:trPr>
          <w:trHeight w:val="90"/>
        </w:trPr>
        <w:tc>
          <w:tcPr>
            <w:cnfStyle w:val="001000000000" w:firstRow="0" w:lastRow="0" w:firstColumn="1" w:lastColumn="0" w:oddVBand="0" w:evenVBand="0" w:oddHBand="0" w:evenHBand="0" w:firstRowFirstColumn="0" w:firstRowLastColumn="0" w:lastRowFirstColumn="0" w:lastRowLastColumn="0"/>
            <w:tcW w:w="1777" w:type="pct"/>
            <w:noWrap/>
            <w:hideMark/>
          </w:tcPr>
          <w:p w14:paraId="0EDD7EE8" w14:textId="77777777" w:rsidR="00B75110" w:rsidRPr="00D147DB" w:rsidRDefault="00B75110" w:rsidP="00FC64FC">
            <w:pPr>
              <w:keepNext/>
              <w:rPr>
                <w:rFonts w:ascii="Times" w:eastAsia="Times New Roman" w:hAnsi="Times" w:cs="Times New Roman"/>
                <w:color w:val="000000"/>
                <w:sz w:val="20"/>
                <w:szCs w:val="20"/>
                <w:lang w:eastAsia="en-ZA"/>
              </w:rPr>
            </w:pPr>
            <w:r w:rsidRPr="00D147DB">
              <w:rPr>
                <w:rFonts w:ascii="Times" w:eastAsia="Times New Roman" w:hAnsi="Times" w:cs="Times New Roman"/>
                <w:color w:val="000000"/>
                <w:sz w:val="20"/>
                <w:szCs w:val="20"/>
                <w:lang w:eastAsia="en-ZA"/>
              </w:rPr>
              <w:t>R</w:t>
            </w:r>
            <w:r w:rsidR="00D147DB" w:rsidRPr="00D147DB">
              <w:rPr>
                <w:rFonts w:ascii="Times" w:eastAsia="Times New Roman" w:hAnsi="Times" w:cs="Times New Roman"/>
                <w:color w:val="000000"/>
                <w:sz w:val="20"/>
                <w:szCs w:val="20"/>
                <w:lang w:eastAsia="en-ZA"/>
              </w:rPr>
              <w:t xml:space="preserve"> m</w:t>
            </w:r>
            <w:r w:rsidRPr="00D147DB">
              <w:rPr>
                <w:rFonts w:ascii="Times" w:eastAsia="Times New Roman" w:hAnsi="Times" w:cs="Times New Roman"/>
                <w:color w:val="000000"/>
                <w:sz w:val="20"/>
                <w:szCs w:val="20"/>
                <w:lang w:eastAsia="en-ZA"/>
              </w:rPr>
              <w:t>illion</w:t>
            </w:r>
          </w:p>
        </w:tc>
        <w:tc>
          <w:tcPr>
            <w:tcW w:w="461" w:type="pct"/>
            <w:noWrap/>
            <w:hideMark/>
          </w:tcPr>
          <w:p w14:paraId="625A4E64" w14:textId="77777777" w:rsidR="00B75110" w:rsidRPr="00D147DB" w:rsidRDefault="00B75110" w:rsidP="00FC64FC">
            <w:pPr>
              <w:keepNext/>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b/>
                <w:bCs/>
                <w:color w:val="000000"/>
                <w:sz w:val="20"/>
                <w:szCs w:val="20"/>
                <w:lang w:eastAsia="en-ZA"/>
              </w:rPr>
            </w:pPr>
            <w:r w:rsidRPr="00D147DB">
              <w:rPr>
                <w:rFonts w:ascii="Times" w:eastAsia="Times New Roman" w:hAnsi="Times" w:cs="Times New Roman"/>
                <w:b/>
                <w:bCs/>
                <w:color w:val="000000"/>
                <w:sz w:val="20"/>
                <w:szCs w:val="20"/>
                <w:lang w:eastAsia="en-ZA"/>
              </w:rPr>
              <w:t>2016/17</w:t>
            </w:r>
          </w:p>
        </w:tc>
        <w:tc>
          <w:tcPr>
            <w:tcW w:w="460" w:type="pct"/>
            <w:noWrap/>
            <w:hideMark/>
          </w:tcPr>
          <w:p w14:paraId="3D7E3070" w14:textId="77777777" w:rsidR="00B75110" w:rsidRPr="00D147DB" w:rsidRDefault="00B75110" w:rsidP="00FC64FC">
            <w:pPr>
              <w:keepNext/>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b/>
                <w:bCs/>
                <w:color w:val="000000"/>
                <w:sz w:val="20"/>
                <w:szCs w:val="20"/>
                <w:lang w:eastAsia="en-ZA"/>
              </w:rPr>
            </w:pPr>
            <w:r w:rsidRPr="00D147DB">
              <w:rPr>
                <w:rFonts w:ascii="Times" w:eastAsia="Times New Roman" w:hAnsi="Times" w:cs="Times New Roman"/>
                <w:b/>
                <w:bCs/>
                <w:color w:val="000000"/>
                <w:sz w:val="20"/>
                <w:szCs w:val="20"/>
                <w:lang w:eastAsia="en-ZA"/>
              </w:rPr>
              <w:t>2017/18</w:t>
            </w:r>
          </w:p>
        </w:tc>
        <w:tc>
          <w:tcPr>
            <w:tcW w:w="460" w:type="pct"/>
            <w:noWrap/>
            <w:hideMark/>
          </w:tcPr>
          <w:p w14:paraId="2D1517EC" w14:textId="77777777" w:rsidR="00B75110" w:rsidRPr="00D147DB" w:rsidRDefault="00B75110" w:rsidP="00FC64FC">
            <w:pPr>
              <w:keepNext/>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b/>
                <w:bCs/>
                <w:color w:val="000000"/>
                <w:sz w:val="20"/>
                <w:szCs w:val="20"/>
                <w:lang w:eastAsia="en-ZA"/>
              </w:rPr>
            </w:pPr>
            <w:r w:rsidRPr="00D147DB">
              <w:rPr>
                <w:rFonts w:ascii="Times" w:eastAsia="Times New Roman" w:hAnsi="Times" w:cs="Times New Roman"/>
                <w:b/>
                <w:bCs/>
                <w:color w:val="000000"/>
                <w:sz w:val="20"/>
                <w:szCs w:val="20"/>
                <w:lang w:eastAsia="en-ZA"/>
              </w:rPr>
              <w:t>2018/19</w:t>
            </w:r>
          </w:p>
        </w:tc>
        <w:tc>
          <w:tcPr>
            <w:tcW w:w="460" w:type="pct"/>
            <w:hideMark/>
          </w:tcPr>
          <w:p w14:paraId="1D438D68" w14:textId="77777777" w:rsidR="00B75110" w:rsidRPr="00D147DB" w:rsidRDefault="00B75110" w:rsidP="00FC64FC">
            <w:pPr>
              <w:keepNext/>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b/>
                <w:bCs/>
                <w:color w:val="000000"/>
                <w:sz w:val="20"/>
                <w:szCs w:val="20"/>
                <w:lang w:eastAsia="en-ZA"/>
              </w:rPr>
            </w:pPr>
            <w:r w:rsidRPr="00D147DB">
              <w:rPr>
                <w:rFonts w:ascii="Times" w:eastAsia="Times New Roman" w:hAnsi="Times" w:cs="Times New Roman"/>
                <w:b/>
                <w:bCs/>
                <w:color w:val="000000"/>
                <w:sz w:val="20"/>
                <w:szCs w:val="20"/>
                <w:lang w:eastAsia="en-ZA"/>
              </w:rPr>
              <w:t>2019/20</w:t>
            </w:r>
          </w:p>
        </w:tc>
        <w:tc>
          <w:tcPr>
            <w:tcW w:w="460" w:type="pct"/>
            <w:noWrap/>
            <w:hideMark/>
          </w:tcPr>
          <w:p w14:paraId="43948BFF" w14:textId="77777777" w:rsidR="00B75110" w:rsidRPr="00D147DB" w:rsidRDefault="00B75110" w:rsidP="00FC64FC">
            <w:pPr>
              <w:keepNext/>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b/>
                <w:bCs/>
                <w:color w:val="000000"/>
                <w:sz w:val="20"/>
                <w:szCs w:val="20"/>
                <w:lang w:eastAsia="en-ZA"/>
              </w:rPr>
            </w:pPr>
            <w:r w:rsidRPr="00D147DB">
              <w:rPr>
                <w:rFonts w:ascii="Times" w:eastAsia="Times New Roman" w:hAnsi="Times" w:cs="Times New Roman"/>
                <w:b/>
                <w:bCs/>
                <w:color w:val="000000"/>
                <w:sz w:val="20"/>
                <w:szCs w:val="20"/>
                <w:lang w:eastAsia="en-ZA"/>
              </w:rPr>
              <w:t>2020/21</w:t>
            </w:r>
          </w:p>
        </w:tc>
        <w:tc>
          <w:tcPr>
            <w:tcW w:w="460" w:type="pct"/>
            <w:noWrap/>
            <w:hideMark/>
          </w:tcPr>
          <w:p w14:paraId="34CB9ED6" w14:textId="77777777" w:rsidR="00B75110" w:rsidRPr="00D147DB" w:rsidRDefault="00B75110" w:rsidP="00FC64FC">
            <w:pPr>
              <w:keepNext/>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b/>
                <w:bCs/>
                <w:color w:val="000000"/>
                <w:sz w:val="20"/>
                <w:szCs w:val="20"/>
                <w:lang w:eastAsia="en-ZA"/>
              </w:rPr>
            </w:pPr>
            <w:r w:rsidRPr="00D147DB">
              <w:rPr>
                <w:rFonts w:ascii="Times" w:eastAsia="Times New Roman" w:hAnsi="Times" w:cs="Times New Roman"/>
                <w:b/>
                <w:bCs/>
                <w:color w:val="000000"/>
                <w:sz w:val="20"/>
                <w:szCs w:val="20"/>
                <w:lang w:eastAsia="en-ZA"/>
              </w:rPr>
              <w:t>2021/22</w:t>
            </w:r>
          </w:p>
        </w:tc>
        <w:tc>
          <w:tcPr>
            <w:tcW w:w="462" w:type="pct"/>
            <w:noWrap/>
            <w:hideMark/>
          </w:tcPr>
          <w:p w14:paraId="0299527C" w14:textId="77777777" w:rsidR="00B75110" w:rsidRPr="00D147DB" w:rsidRDefault="00B75110" w:rsidP="00FC64FC">
            <w:pPr>
              <w:keepNext/>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b/>
                <w:bCs/>
                <w:color w:val="000000"/>
                <w:sz w:val="20"/>
                <w:szCs w:val="20"/>
                <w:lang w:eastAsia="en-ZA"/>
              </w:rPr>
            </w:pPr>
            <w:r w:rsidRPr="00D147DB">
              <w:rPr>
                <w:rFonts w:ascii="Times" w:eastAsia="Times New Roman" w:hAnsi="Times" w:cs="Times New Roman"/>
                <w:b/>
                <w:bCs/>
                <w:color w:val="000000"/>
                <w:sz w:val="20"/>
                <w:szCs w:val="20"/>
                <w:lang w:eastAsia="en-ZA"/>
              </w:rPr>
              <w:t>2022/23</w:t>
            </w:r>
          </w:p>
        </w:tc>
      </w:tr>
      <w:tr w:rsidR="00B75110" w:rsidRPr="000D33E4" w14:paraId="0C4B14F3" w14:textId="77777777" w:rsidTr="00D147DB">
        <w:trPr>
          <w:trHeight w:val="257"/>
        </w:trPr>
        <w:tc>
          <w:tcPr>
            <w:cnfStyle w:val="001000000000" w:firstRow="0" w:lastRow="0" w:firstColumn="1" w:lastColumn="0" w:oddVBand="0" w:evenVBand="0" w:oddHBand="0" w:evenHBand="0" w:firstRowFirstColumn="0" w:firstRowLastColumn="0" w:lastRowFirstColumn="0" w:lastRowLastColumn="0"/>
            <w:tcW w:w="5000" w:type="pct"/>
            <w:gridSpan w:val="8"/>
            <w:noWrap/>
            <w:hideMark/>
          </w:tcPr>
          <w:p w14:paraId="03E8928E" w14:textId="77777777" w:rsidR="00B75110" w:rsidRPr="00D147DB" w:rsidRDefault="00B75110" w:rsidP="00FC64FC">
            <w:pPr>
              <w:keepNext/>
              <w:jc w:val="center"/>
              <w:rPr>
                <w:rFonts w:ascii="Times" w:eastAsia="Times New Roman" w:hAnsi="Times" w:cs="Times New Roman"/>
                <w:color w:val="000000"/>
                <w:sz w:val="20"/>
                <w:szCs w:val="20"/>
                <w:lang w:eastAsia="en-ZA"/>
              </w:rPr>
            </w:pPr>
            <w:r w:rsidRPr="00D147DB">
              <w:rPr>
                <w:rFonts w:ascii="Times" w:eastAsia="Times New Roman" w:hAnsi="Times" w:cs="Times New Roman"/>
                <w:color w:val="000000"/>
                <w:sz w:val="20"/>
                <w:szCs w:val="20"/>
                <w:lang w:eastAsia="en-ZA"/>
              </w:rPr>
              <w:t>Human Settlement</w:t>
            </w:r>
            <w:r w:rsidR="00D147DB" w:rsidRPr="00D147DB">
              <w:rPr>
                <w:rFonts w:ascii="Times" w:eastAsia="Times New Roman" w:hAnsi="Times" w:cs="Times New Roman"/>
                <w:color w:val="000000"/>
                <w:sz w:val="20"/>
                <w:szCs w:val="20"/>
                <w:lang w:eastAsia="en-ZA"/>
              </w:rPr>
              <w:t>s</w:t>
            </w:r>
          </w:p>
        </w:tc>
      </w:tr>
      <w:tr w:rsidR="00B75110" w:rsidRPr="000D33E4" w14:paraId="060F42AF" w14:textId="77777777" w:rsidTr="00D466F6">
        <w:trPr>
          <w:trHeight w:val="257"/>
        </w:trPr>
        <w:tc>
          <w:tcPr>
            <w:cnfStyle w:val="001000000000" w:firstRow="0" w:lastRow="0" w:firstColumn="1" w:lastColumn="0" w:oddVBand="0" w:evenVBand="0" w:oddHBand="0" w:evenHBand="0" w:firstRowFirstColumn="0" w:firstRowLastColumn="0" w:lastRowFirstColumn="0" w:lastRowLastColumn="0"/>
            <w:tcW w:w="1777" w:type="pct"/>
            <w:noWrap/>
            <w:hideMark/>
          </w:tcPr>
          <w:p w14:paraId="376F6D11" w14:textId="77777777" w:rsidR="00B75110" w:rsidRPr="00D147DB" w:rsidRDefault="00B75110" w:rsidP="00FC64FC">
            <w:pPr>
              <w:keepNext/>
              <w:rPr>
                <w:rFonts w:ascii="Times" w:eastAsia="Times New Roman" w:hAnsi="Times" w:cs="Times New Roman"/>
                <w:b w:val="0"/>
                <w:color w:val="000000"/>
                <w:sz w:val="20"/>
                <w:szCs w:val="20"/>
                <w:lang w:eastAsia="en-ZA"/>
              </w:rPr>
            </w:pPr>
            <w:r w:rsidRPr="00D147DB">
              <w:rPr>
                <w:rFonts w:ascii="Times" w:eastAsia="Times New Roman" w:hAnsi="Times" w:cs="Times New Roman"/>
                <w:b w:val="0"/>
                <w:color w:val="000000"/>
                <w:sz w:val="20"/>
                <w:szCs w:val="20"/>
                <w:lang w:eastAsia="en-ZA"/>
              </w:rPr>
              <w:t>Urban Settlements Development Grant</w:t>
            </w:r>
          </w:p>
        </w:tc>
        <w:tc>
          <w:tcPr>
            <w:tcW w:w="461" w:type="pct"/>
            <w:noWrap/>
            <w:hideMark/>
          </w:tcPr>
          <w:p w14:paraId="48B80742" w14:textId="77777777" w:rsidR="00B75110" w:rsidRPr="00D147DB" w:rsidRDefault="00B75110" w:rsidP="00FC64FC">
            <w:pPr>
              <w:keepNext/>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color w:val="000000"/>
                <w:sz w:val="20"/>
                <w:szCs w:val="20"/>
                <w:lang w:eastAsia="en-ZA"/>
              </w:rPr>
            </w:pPr>
            <w:r w:rsidRPr="00D147DB">
              <w:rPr>
                <w:rFonts w:ascii="Times" w:eastAsia="Times New Roman" w:hAnsi="Times" w:cs="Times New Roman"/>
                <w:color w:val="000000"/>
                <w:sz w:val="20"/>
                <w:szCs w:val="20"/>
                <w:lang w:eastAsia="en-ZA"/>
              </w:rPr>
              <w:t>100%</w:t>
            </w:r>
          </w:p>
        </w:tc>
        <w:tc>
          <w:tcPr>
            <w:tcW w:w="460" w:type="pct"/>
            <w:noWrap/>
            <w:hideMark/>
          </w:tcPr>
          <w:p w14:paraId="56FB3FE6" w14:textId="77777777" w:rsidR="00B75110" w:rsidRPr="00D147DB" w:rsidRDefault="00B75110" w:rsidP="00FC64FC">
            <w:pPr>
              <w:keepNext/>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color w:val="000000"/>
                <w:sz w:val="20"/>
                <w:szCs w:val="20"/>
                <w:lang w:eastAsia="en-ZA"/>
              </w:rPr>
            </w:pPr>
            <w:r w:rsidRPr="00D147DB">
              <w:rPr>
                <w:rFonts w:ascii="Times" w:eastAsia="Times New Roman" w:hAnsi="Times" w:cs="Times New Roman"/>
                <w:color w:val="000000"/>
                <w:sz w:val="20"/>
                <w:szCs w:val="20"/>
                <w:lang w:eastAsia="en-ZA"/>
              </w:rPr>
              <w:t>100%</w:t>
            </w:r>
          </w:p>
        </w:tc>
        <w:tc>
          <w:tcPr>
            <w:tcW w:w="460" w:type="pct"/>
            <w:noWrap/>
            <w:hideMark/>
          </w:tcPr>
          <w:p w14:paraId="7FCF3AFC" w14:textId="77777777" w:rsidR="00B75110" w:rsidRPr="00D147DB" w:rsidRDefault="00B75110" w:rsidP="00FC64FC">
            <w:pPr>
              <w:keepNext/>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color w:val="000000"/>
                <w:sz w:val="20"/>
                <w:szCs w:val="20"/>
                <w:lang w:eastAsia="en-ZA"/>
              </w:rPr>
            </w:pPr>
            <w:r w:rsidRPr="00D147DB">
              <w:rPr>
                <w:rFonts w:ascii="Times" w:eastAsia="Times New Roman" w:hAnsi="Times" w:cs="Times New Roman"/>
                <w:color w:val="000000"/>
                <w:sz w:val="20"/>
                <w:szCs w:val="20"/>
                <w:lang w:eastAsia="en-ZA"/>
              </w:rPr>
              <w:t>100%</w:t>
            </w:r>
          </w:p>
        </w:tc>
        <w:tc>
          <w:tcPr>
            <w:tcW w:w="460" w:type="pct"/>
            <w:hideMark/>
          </w:tcPr>
          <w:p w14:paraId="4C16CCFB" w14:textId="77777777" w:rsidR="00B75110" w:rsidRPr="00D147DB" w:rsidRDefault="00B75110" w:rsidP="00FC64FC">
            <w:pPr>
              <w:keepNext/>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color w:val="000000"/>
                <w:sz w:val="20"/>
                <w:szCs w:val="20"/>
                <w:lang w:eastAsia="en-ZA"/>
              </w:rPr>
            </w:pPr>
            <w:r w:rsidRPr="00D147DB">
              <w:rPr>
                <w:rFonts w:ascii="Times" w:eastAsia="Times New Roman" w:hAnsi="Times" w:cs="Times New Roman"/>
                <w:color w:val="000000"/>
                <w:sz w:val="20"/>
                <w:szCs w:val="20"/>
                <w:lang w:eastAsia="en-ZA"/>
              </w:rPr>
              <w:t>12</w:t>
            </w:r>
            <w:r w:rsidR="00D147DB" w:rsidRPr="00D147DB">
              <w:rPr>
                <w:rFonts w:ascii="Times" w:eastAsia="Times New Roman" w:hAnsi="Times" w:cs="Times New Roman"/>
                <w:color w:val="000000"/>
                <w:sz w:val="20"/>
                <w:szCs w:val="20"/>
                <w:lang w:eastAsia="en-ZA"/>
              </w:rPr>
              <w:t xml:space="preserve"> </w:t>
            </w:r>
            <w:r w:rsidRPr="00D147DB">
              <w:rPr>
                <w:rFonts w:ascii="Times" w:eastAsia="Times New Roman" w:hAnsi="Times" w:cs="Times New Roman"/>
                <w:color w:val="000000"/>
                <w:sz w:val="20"/>
                <w:szCs w:val="20"/>
                <w:lang w:eastAsia="en-ZA"/>
              </w:rPr>
              <w:t>045</w:t>
            </w:r>
          </w:p>
        </w:tc>
        <w:tc>
          <w:tcPr>
            <w:tcW w:w="460" w:type="pct"/>
            <w:hideMark/>
          </w:tcPr>
          <w:p w14:paraId="21C2A7B4" w14:textId="77777777" w:rsidR="00B75110" w:rsidRPr="00D147DB" w:rsidRDefault="00B75110" w:rsidP="00FC64FC">
            <w:pPr>
              <w:keepNext/>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color w:val="000000"/>
                <w:sz w:val="20"/>
                <w:szCs w:val="20"/>
                <w:lang w:eastAsia="en-ZA"/>
              </w:rPr>
            </w:pPr>
            <w:r w:rsidRPr="00D147DB">
              <w:rPr>
                <w:rFonts w:ascii="Times" w:eastAsia="Times New Roman" w:hAnsi="Times" w:cs="Times New Roman"/>
                <w:color w:val="000000"/>
                <w:sz w:val="20"/>
                <w:szCs w:val="20"/>
                <w:lang w:eastAsia="en-ZA"/>
              </w:rPr>
              <w:t>11</w:t>
            </w:r>
            <w:r w:rsidR="00D147DB" w:rsidRPr="00D147DB">
              <w:rPr>
                <w:rFonts w:ascii="Times" w:eastAsia="Times New Roman" w:hAnsi="Times" w:cs="Times New Roman"/>
                <w:color w:val="000000"/>
                <w:sz w:val="20"/>
                <w:szCs w:val="20"/>
                <w:lang w:eastAsia="en-ZA"/>
              </w:rPr>
              <w:t xml:space="preserve"> </w:t>
            </w:r>
            <w:r w:rsidRPr="00D147DB">
              <w:rPr>
                <w:rFonts w:ascii="Times" w:eastAsia="Times New Roman" w:hAnsi="Times" w:cs="Times New Roman"/>
                <w:color w:val="000000"/>
                <w:sz w:val="20"/>
                <w:szCs w:val="20"/>
                <w:lang w:eastAsia="en-ZA"/>
              </w:rPr>
              <w:t>282</w:t>
            </w:r>
          </w:p>
        </w:tc>
        <w:tc>
          <w:tcPr>
            <w:tcW w:w="460" w:type="pct"/>
            <w:hideMark/>
          </w:tcPr>
          <w:p w14:paraId="43A87B28" w14:textId="77777777" w:rsidR="00B75110" w:rsidRPr="00D147DB" w:rsidRDefault="00B75110" w:rsidP="00FC64FC">
            <w:pPr>
              <w:keepNext/>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color w:val="000000"/>
                <w:sz w:val="20"/>
                <w:szCs w:val="20"/>
                <w:lang w:eastAsia="en-ZA"/>
              </w:rPr>
            </w:pPr>
            <w:r w:rsidRPr="00D147DB">
              <w:rPr>
                <w:rFonts w:ascii="Times" w:eastAsia="Times New Roman" w:hAnsi="Times" w:cs="Times New Roman"/>
                <w:color w:val="000000"/>
                <w:sz w:val="20"/>
                <w:szCs w:val="20"/>
                <w:lang w:eastAsia="en-ZA"/>
              </w:rPr>
              <w:t>7</w:t>
            </w:r>
            <w:r w:rsidR="00D147DB" w:rsidRPr="00D147DB">
              <w:rPr>
                <w:rFonts w:ascii="Times" w:eastAsia="Times New Roman" w:hAnsi="Times" w:cs="Times New Roman"/>
                <w:color w:val="000000"/>
                <w:sz w:val="20"/>
                <w:szCs w:val="20"/>
                <w:lang w:eastAsia="en-ZA"/>
              </w:rPr>
              <w:t xml:space="preserve"> </w:t>
            </w:r>
            <w:r w:rsidRPr="00D147DB">
              <w:rPr>
                <w:rFonts w:ascii="Times" w:eastAsia="Times New Roman" w:hAnsi="Times" w:cs="Times New Roman"/>
                <w:color w:val="000000"/>
                <w:sz w:val="20"/>
                <w:szCs w:val="20"/>
                <w:lang w:eastAsia="en-ZA"/>
              </w:rPr>
              <w:t>405</w:t>
            </w:r>
          </w:p>
        </w:tc>
        <w:tc>
          <w:tcPr>
            <w:tcW w:w="462" w:type="pct"/>
            <w:hideMark/>
          </w:tcPr>
          <w:p w14:paraId="31899469" w14:textId="77777777" w:rsidR="00B75110" w:rsidRPr="00D147DB" w:rsidRDefault="00B75110" w:rsidP="00FC64FC">
            <w:pPr>
              <w:keepNext/>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color w:val="000000"/>
                <w:sz w:val="20"/>
                <w:szCs w:val="20"/>
                <w:lang w:eastAsia="en-ZA"/>
              </w:rPr>
            </w:pPr>
            <w:r w:rsidRPr="00D147DB">
              <w:rPr>
                <w:rFonts w:ascii="Times" w:eastAsia="Times New Roman" w:hAnsi="Times" w:cs="Times New Roman"/>
                <w:color w:val="000000"/>
                <w:sz w:val="20"/>
                <w:szCs w:val="20"/>
                <w:lang w:eastAsia="en-ZA"/>
              </w:rPr>
              <w:t>7</w:t>
            </w:r>
            <w:r w:rsidR="00D147DB" w:rsidRPr="00D147DB">
              <w:rPr>
                <w:rFonts w:ascii="Times" w:eastAsia="Times New Roman" w:hAnsi="Times" w:cs="Times New Roman"/>
                <w:color w:val="000000"/>
                <w:sz w:val="20"/>
                <w:szCs w:val="20"/>
                <w:lang w:eastAsia="en-ZA"/>
              </w:rPr>
              <w:t xml:space="preserve"> </w:t>
            </w:r>
            <w:r w:rsidRPr="00D147DB">
              <w:rPr>
                <w:rFonts w:ascii="Times" w:eastAsia="Times New Roman" w:hAnsi="Times" w:cs="Times New Roman"/>
                <w:color w:val="000000"/>
                <w:sz w:val="20"/>
                <w:szCs w:val="20"/>
                <w:lang w:eastAsia="en-ZA"/>
              </w:rPr>
              <w:t>353</w:t>
            </w:r>
          </w:p>
        </w:tc>
      </w:tr>
      <w:tr w:rsidR="00B75110" w:rsidRPr="000D33E4" w14:paraId="046650A8" w14:textId="77777777" w:rsidTr="00D466F6">
        <w:trPr>
          <w:trHeight w:val="257"/>
        </w:trPr>
        <w:tc>
          <w:tcPr>
            <w:cnfStyle w:val="001000000000" w:firstRow="0" w:lastRow="0" w:firstColumn="1" w:lastColumn="0" w:oddVBand="0" w:evenVBand="0" w:oddHBand="0" w:evenHBand="0" w:firstRowFirstColumn="0" w:firstRowLastColumn="0" w:lastRowFirstColumn="0" w:lastRowLastColumn="0"/>
            <w:tcW w:w="1777" w:type="pct"/>
            <w:noWrap/>
            <w:hideMark/>
          </w:tcPr>
          <w:p w14:paraId="127DF271" w14:textId="77777777" w:rsidR="00B75110" w:rsidRPr="00D147DB" w:rsidRDefault="00B75110" w:rsidP="00FC64FC">
            <w:pPr>
              <w:keepNext/>
              <w:rPr>
                <w:rFonts w:ascii="Times" w:eastAsia="Times New Roman" w:hAnsi="Times" w:cs="Times New Roman"/>
                <w:b w:val="0"/>
                <w:color w:val="000000"/>
                <w:sz w:val="20"/>
                <w:szCs w:val="20"/>
                <w:lang w:eastAsia="en-ZA"/>
              </w:rPr>
            </w:pPr>
            <w:r w:rsidRPr="00D147DB">
              <w:rPr>
                <w:rFonts w:ascii="Times" w:eastAsia="Times New Roman" w:hAnsi="Times" w:cs="Times New Roman"/>
                <w:b w:val="0"/>
                <w:color w:val="000000"/>
                <w:sz w:val="20"/>
                <w:szCs w:val="20"/>
                <w:lang w:eastAsia="en-ZA"/>
              </w:rPr>
              <w:t xml:space="preserve">Municipal Emergency </w:t>
            </w:r>
            <w:r w:rsidR="00D449D8">
              <w:rPr>
                <w:rFonts w:ascii="Times" w:eastAsia="Times New Roman" w:hAnsi="Times" w:cs="Times New Roman"/>
                <w:b w:val="0"/>
                <w:color w:val="000000"/>
                <w:sz w:val="20"/>
                <w:szCs w:val="20"/>
                <w:lang w:eastAsia="en-ZA"/>
              </w:rPr>
              <w:t>H</w:t>
            </w:r>
            <w:r w:rsidRPr="00D147DB">
              <w:rPr>
                <w:rFonts w:ascii="Times" w:eastAsia="Times New Roman" w:hAnsi="Times" w:cs="Times New Roman"/>
                <w:b w:val="0"/>
                <w:color w:val="000000"/>
                <w:sz w:val="20"/>
                <w:szCs w:val="20"/>
                <w:lang w:eastAsia="en-ZA"/>
              </w:rPr>
              <w:t>ousing Grant</w:t>
            </w:r>
          </w:p>
        </w:tc>
        <w:tc>
          <w:tcPr>
            <w:tcW w:w="461" w:type="pct"/>
            <w:noWrap/>
            <w:hideMark/>
          </w:tcPr>
          <w:p w14:paraId="04CA9BBE" w14:textId="77777777" w:rsidR="00B75110" w:rsidRPr="00D147DB" w:rsidRDefault="00B75110" w:rsidP="00FC64FC">
            <w:pPr>
              <w:keepNext/>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color w:val="000000"/>
                <w:sz w:val="20"/>
                <w:szCs w:val="20"/>
                <w:lang w:eastAsia="en-ZA"/>
              </w:rPr>
            </w:pPr>
            <w:r w:rsidRPr="00D147DB">
              <w:rPr>
                <w:rFonts w:ascii="Times" w:eastAsia="Times New Roman" w:hAnsi="Times" w:cs="Times New Roman"/>
                <w:color w:val="000000"/>
                <w:sz w:val="20"/>
                <w:szCs w:val="20"/>
                <w:lang w:eastAsia="en-ZA"/>
              </w:rPr>
              <w:t>-</w:t>
            </w:r>
          </w:p>
        </w:tc>
        <w:tc>
          <w:tcPr>
            <w:tcW w:w="460" w:type="pct"/>
            <w:noWrap/>
            <w:hideMark/>
          </w:tcPr>
          <w:p w14:paraId="6BC56E76" w14:textId="77777777" w:rsidR="00B75110" w:rsidRPr="00D147DB" w:rsidRDefault="00B75110" w:rsidP="00FC64FC">
            <w:pPr>
              <w:keepNext/>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color w:val="000000"/>
                <w:sz w:val="20"/>
                <w:szCs w:val="20"/>
                <w:lang w:eastAsia="en-ZA"/>
              </w:rPr>
            </w:pPr>
            <w:r w:rsidRPr="00D147DB">
              <w:rPr>
                <w:rFonts w:ascii="Times" w:eastAsia="Times New Roman" w:hAnsi="Times" w:cs="Times New Roman"/>
                <w:color w:val="000000"/>
                <w:sz w:val="20"/>
                <w:szCs w:val="20"/>
                <w:lang w:eastAsia="en-ZA"/>
              </w:rPr>
              <w:t>-</w:t>
            </w:r>
          </w:p>
        </w:tc>
        <w:tc>
          <w:tcPr>
            <w:tcW w:w="460" w:type="pct"/>
            <w:noWrap/>
            <w:hideMark/>
          </w:tcPr>
          <w:p w14:paraId="102B85AE" w14:textId="77777777" w:rsidR="00B75110" w:rsidRPr="00D147DB" w:rsidRDefault="00B75110" w:rsidP="00FC64FC">
            <w:pPr>
              <w:keepNext/>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color w:val="000000"/>
                <w:sz w:val="20"/>
                <w:szCs w:val="20"/>
                <w:lang w:eastAsia="en-ZA"/>
              </w:rPr>
            </w:pPr>
            <w:r w:rsidRPr="00D147DB">
              <w:rPr>
                <w:rFonts w:ascii="Times" w:eastAsia="Times New Roman" w:hAnsi="Times" w:cs="Times New Roman"/>
                <w:color w:val="000000"/>
                <w:sz w:val="20"/>
                <w:szCs w:val="20"/>
                <w:lang w:eastAsia="en-ZA"/>
              </w:rPr>
              <w:t>61%</w:t>
            </w:r>
          </w:p>
        </w:tc>
        <w:tc>
          <w:tcPr>
            <w:tcW w:w="460" w:type="pct"/>
            <w:hideMark/>
          </w:tcPr>
          <w:p w14:paraId="70B40B65" w14:textId="77777777" w:rsidR="00B75110" w:rsidRPr="00D147DB" w:rsidRDefault="00B75110" w:rsidP="00FC64FC">
            <w:pPr>
              <w:keepNext/>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color w:val="000000"/>
                <w:sz w:val="20"/>
                <w:szCs w:val="20"/>
                <w:lang w:eastAsia="en-ZA"/>
              </w:rPr>
            </w:pPr>
            <w:r w:rsidRPr="00D147DB">
              <w:rPr>
                <w:rFonts w:ascii="Times" w:eastAsia="Times New Roman" w:hAnsi="Times" w:cs="Times New Roman"/>
                <w:color w:val="000000"/>
                <w:sz w:val="20"/>
                <w:szCs w:val="20"/>
                <w:lang w:eastAsia="en-ZA"/>
              </w:rPr>
              <w:t>149</w:t>
            </w:r>
          </w:p>
        </w:tc>
        <w:tc>
          <w:tcPr>
            <w:tcW w:w="460" w:type="pct"/>
            <w:hideMark/>
          </w:tcPr>
          <w:p w14:paraId="462621D2" w14:textId="77777777" w:rsidR="00B75110" w:rsidRPr="00D147DB" w:rsidRDefault="00B75110" w:rsidP="00FC64FC">
            <w:pPr>
              <w:keepNext/>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color w:val="000000"/>
                <w:sz w:val="20"/>
                <w:szCs w:val="20"/>
                <w:lang w:eastAsia="en-ZA"/>
              </w:rPr>
            </w:pPr>
            <w:r w:rsidRPr="00D147DB">
              <w:rPr>
                <w:rFonts w:ascii="Times" w:eastAsia="Times New Roman" w:hAnsi="Times" w:cs="Times New Roman"/>
                <w:color w:val="000000"/>
                <w:sz w:val="20"/>
                <w:szCs w:val="20"/>
                <w:lang w:eastAsia="en-ZA"/>
              </w:rPr>
              <w:t>159</w:t>
            </w:r>
          </w:p>
        </w:tc>
        <w:tc>
          <w:tcPr>
            <w:tcW w:w="460" w:type="pct"/>
            <w:hideMark/>
          </w:tcPr>
          <w:p w14:paraId="3FEC4025" w14:textId="77777777" w:rsidR="00B75110" w:rsidRPr="00D147DB" w:rsidRDefault="00B75110" w:rsidP="00FC64FC">
            <w:pPr>
              <w:keepNext/>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color w:val="000000"/>
                <w:sz w:val="20"/>
                <w:szCs w:val="20"/>
                <w:lang w:eastAsia="en-ZA"/>
              </w:rPr>
            </w:pPr>
            <w:r w:rsidRPr="00D147DB">
              <w:rPr>
                <w:rFonts w:ascii="Times" w:eastAsia="Times New Roman" w:hAnsi="Times" w:cs="Times New Roman"/>
                <w:color w:val="000000"/>
                <w:sz w:val="20"/>
                <w:szCs w:val="20"/>
                <w:lang w:eastAsia="en-ZA"/>
              </w:rPr>
              <w:t>168</w:t>
            </w:r>
          </w:p>
        </w:tc>
        <w:tc>
          <w:tcPr>
            <w:tcW w:w="462" w:type="pct"/>
            <w:hideMark/>
          </w:tcPr>
          <w:p w14:paraId="65659086" w14:textId="77777777" w:rsidR="00B75110" w:rsidRPr="00D147DB" w:rsidRDefault="00B75110" w:rsidP="00FC64FC">
            <w:pPr>
              <w:keepNext/>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color w:val="000000"/>
                <w:sz w:val="20"/>
                <w:szCs w:val="20"/>
                <w:lang w:eastAsia="en-ZA"/>
              </w:rPr>
            </w:pPr>
            <w:r w:rsidRPr="00D147DB">
              <w:rPr>
                <w:rFonts w:ascii="Times" w:eastAsia="Times New Roman" w:hAnsi="Times" w:cs="Times New Roman"/>
                <w:color w:val="000000"/>
                <w:sz w:val="20"/>
                <w:szCs w:val="20"/>
                <w:lang w:eastAsia="en-ZA"/>
              </w:rPr>
              <w:t>175</w:t>
            </w:r>
          </w:p>
        </w:tc>
      </w:tr>
      <w:tr w:rsidR="00B75110" w:rsidRPr="000D33E4" w14:paraId="1F6DDE69" w14:textId="77777777" w:rsidTr="00D466F6">
        <w:trPr>
          <w:trHeight w:val="257"/>
        </w:trPr>
        <w:tc>
          <w:tcPr>
            <w:cnfStyle w:val="001000000000" w:firstRow="0" w:lastRow="0" w:firstColumn="1" w:lastColumn="0" w:oddVBand="0" w:evenVBand="0" w:oddHBand="0" w:evenHBand="0" w:firstRowFirstColumn="0" w:firstRowLastColumn="0" w:lastRowFirstColumn="0" w:lastRowLastColumn="0"/>
            <w:tcW w:w="1777" w:type="pct"/>
            <w:noWrap/>
            <w:hideMark/>
          </w:tcPr>
          <w:p w14:paraId="6430E6B1" w14:textId="77777777" w:rsidR="00B75110" w:rsidRPr="00D147DB" w:rsidRDefault="00B75110" w:rsidP="00FC64FC">
            <w:pPr>
              <w:keepNext/>
              <w:rPr>
                <w:rFonts w:ascii="Times" w:eastAsia="Times New Roman" w:hAnsi="Times" w:cs="Times New Roman"/>
                <w:b w:val="0"/>
                <w:color w:val="000000"/>
                <w:sz w:val="20"/>
                <w:szCs w:val="20"/>
                <w:lang w:eastAsia="en-ZA"/>
              </w:rPr>
            </w:pPr>
            <w:r w:rsidRPr="00D147DB">
              <w:rPr>
                <w:rFonts w:ascii="Times" w:eastAsia="Times New Roman" w:hAnsi="Times" w:cs="Times New Roman"/>
                <w:b w:val="0"/>
                <w:color w:val="000000"/>
                <w:sz w:val="20"/>
                <w:szCs w:val="20"/>
                <w:lang w:eastAsia="en-ZA"/>
              </w:rPr>
              <w:t>Human Settlements Development Grant</w:t>
            </w:r>
          </w:p>
        </w:tc>
        <w:tc>
          <w:tcPr>
            <w:tcW w:w="461" w:type="pct"/>
            <w:noWrap/>
            <w:hideMark/>
          </w:tcPr>
          <w:p w14:paraId="430EEDD7" w14:textId="77777777" w:rsidR="00B75110" w:rsidRPr="00D147DB" w:rsidRDefault="00B75110" w:rsidP="00FC64FC">
            <w:pPr>
              <w:keepNext/>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color w:val="000000"/>
                <w:sz w:val="20"/>
                <w:szCs w:val="20"/>
                <w:lang w:eastAsia="en-ZA"/>
              </w:rPr>
            </w:pPr>
            <w:r w:rsidRPr="00D147DB">
              <w:rPr>
                <w:rFonts w:ascii="Times" w:eastAsia="Times New Roman" w:hAnsi="Times" w:cs="Times New Roman"/>
                <w:color w:val="000000"/>
                <w:sz w:val="20"/>
                <w:szCs w:val="20"/>
                <w:lang w:eastAsia="en-ZA"/>
              </w:rPr>
              <w:t>100%</w:t>
            </w:r>
          </w:p>
        </w:tc>
        <w:tc>
          <w:tcPr>
            <w:tcW w:w="460" w:type="pct"/>
            <w:noWrap/>
            <w:hideMark/>
          </w:tcPr>
          <w:p w14:paraId="2EC72D45" w14:textId="77777777" w:rsidR="00B75110" w:rsidRPr="00D147DB" w:rsidRDefault="00B75110" w:rsidP="00FC64FC">
            <w:pPr>
              <w:keepNext/>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color w:val="000000"/>
                <w:sz w:val="20"/>
                <w:szCs w:val="20"/>
                <w:lang w:eastAsia="en-ZA"/>
              </w:rPr>
            </w:pPr>
            <w:r w:rsidRPr="00D147DB">
              <w:rPr>
                <w:rFonts w:ascii="Times" w:eastAsia="Times New Roman" w:hAnsi="Times" w:cs="Times New Roman"/>
                <w:color w:val="000000"/>
                <w:sz w:val="20"/>
                <w:szCs w:val="20"/>
                <w:lang w:eastAsia="en-ZA"/>
              </w:rPr>
              <w:t>100%</w:t>
            </w:r>
          </w:p>
        </w:tc>
        <w:tc>
          <w:tcPr>
            <w:tcW w:w="460" w:type="pct"/>
            <w:noWrap/>
            <w:hideMark/>
          </w:tcPr>
          <w:p w14:paraId="2A207394" w14:textId="77777777" w:rsidR="00B75110" w:rsidRPr="00D147DB" w:rsidRDefault="00B75110" w:rsidP="00FC64FC">
            <w:pPr>
              <w:keepNext/>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color w:val="000000"/>
                <w:sz w:val="20"/>
                <w:szCs w:val="20"/>
                <w:lang w:eastAsia="en-ZA"/>
              </w:rPr>
            </w:pPr>
            <w:r w:rsidRPr="00D147DB">
              <w:rPr>
                <w:rFonts w:ascii="Times" w:eastAsia="Times New Roman" w:hAnsi="Times" w:cs="Times New Roman"/>
                <w:color w:val="000000"/>
                <w:sz w:val="20"/>
                <w:szCs w:val="20"/>
                <w:lang w:eastAsia="en-ZA"/>
              </w:rPr>
              <w:t>100%</w:t>
            </w:r>
          </w:p>
        </w:tc>
        <w:tc>
          <w:tcPr>
            <w:tcW w:w="460" w:type="pct"/>
            <w:hideMark/>
          </w:tcPr>
          <w:p w14:paraId="39FEC17E" w14:textId="77777777" w:rsidR="00B75110" w:rsidRPr="00D147DB" w:rsidRDefault="00B75110" w:rsidP="00FC64FC">
            <w:pPr>
              <w:keepNext/>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color w:val="000000"/>
                <w:sz w:val="20"/>
                <w:szCs w:val="20"/>
                <w:lang w:eastAsia="en-ZA"/>
              </w:rPr>
            </w:pPr>
            <w:r w:rsidRPr="00D147DB">
              <w:rPr>
                <w:rFonts w:ascii="Times" w:eastAsia="Times New Roman" w:hAnsi="Times" w:cs="Times New Roman"/>
                <w:color w:val="000000"/>
                <w:sz w:val="20"/>
                <w:szCs w:val="20"/>
                <w:lang w:eastAsia="en-ZA"/>
              </w:rPr>
              <w:t>18</w:t>
            </w:r>
            <w:r w:rsidR="00D147DB" w:rsidRPr="00D147DB">
              <w:rPr>
                <w:rFonts w:ascii="Times" w:eastAsia="Times New Roman" w:hAnsi="Times" w:cs="Times New Roman"/>
                <w:color w:val="000000"/>
                <w:sz w:val="20"/>
                <w:szCs w:val="20"/>
                <w:lang w:eastAsia="en-ZA"/>
              </w:rPr>
              <w:t xml:space="preserve"> </w:t>
            </w:r>
            <w:r w:rsidRPr="00D147DB">
              <w:rPr>
                <w:rFonts w:ascii="Times" w:eastAsia="Times New Roman" w:hAnsi="Times" w:cs="Times New Roman"/>
                <w:color w:val="000000"/>
                <w:sz w:val="20"/>
                <w:szCs w:val="20"/>
                <w:lang w:eastAsia="en-ZA"/>
              </w:rPr>
              <w:t>780</w:t>
            </w:r>
          </w:p>
        </w:tc>
        <w:tc>
          <w:tcPr>
            <w:tcW w:w="460" w:type="pct"/>
            <w:hideMark/>
          </w:tcPr>
          <w:p w14:paraId="7D51D89C" w14:textId="77777777" w:rsidR="00B75110" w:rsidRPr="00D147DB" w:rsidRDefault="00B75110" w:rsidP="00FC64FC">
            <w:pPr>
              <w:keepNext/>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color w:val="000000"/>
                <w:sz w:val="20"/>
                <w:szCs w:val="20"/>
                <w:lang w:eastAsia="en-ZA"/>
              </w:rPr>
            </w:pPr>
            <w:r w:rsidRPr="00D147DB">
              <w:rPr>
                <w:rFonts w:ascii="Times" w:eastAsia="Times New Roman" w:hAnsi="Times" w:cs="Times New Roman"/>
                <w:color w:val="000000"/>
                <w:sz w:val="20"/>
                <w:szCs w:val="20"/>
                <w:lang w:eastAsia="en-ZA"/>
              </w:rPr>
              <w:t>16</w:t>
            </w:r>
            <w:r w:rsidR="00D147DB" w:rsidRPr="00D147DB">
              <w:rPr>
                <w:rFonts w:ascii="Times" w:eastAsia="Times New Roman" w:hAnsi="Times" w:cs="Times New Roman"/>
                <w:color w:val="000000"/>
                <w:sz w:val="20"/>
                <w:szCs w:val="20"/>
                <w:lang w:eastAsia="en-ZA"/>
              </w:rPr>
              <w:t xml:space="preserve"> </w:t>
            </w:r>
            <w:r w:rsidRPr="00D147DB">
              <w:rPr>
                <w:rFonts w:ascii="Times" w:eastAsia="Times New Roman" w:hAnsi="Times" w:cs="Times New Roman"/>
                <w:color w:val="000000"/>
                <w:sz w:val="20"/>
                <w:szCs w:val="20"/>
                <w:lang w:eastAsia="en-ZA"/>
              </w:rPr>
              <w:t>621</w:t>
            </w:r>
          </w:p>
        </w:tc>
        <w:tc>
          <w:tcPr>
            <w:tcW w:w="460" w:type="pct"/>
            <w:hideMark/>
          </w:tcPr>
          <w:p w14:paraId="47EFD0B5" w14:textId="77777777" w:rsidR="00B75110" w:rsidRPr="00D147DB" w:rsidRDefault="00B75110" w:rsidP="00FC64FC">
            <w:pPr>
              <w:keepNext/>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color w:val="000000"/>
                <w:sz w:val="20"/>
                <w:szCs w:val="20"/>
                <w:lang w:eastAsia="en-ZA"/>
              </w:rPr>
            </w:pPr>
            <w:r w:rsidRPr="00D147DB">
              <w:rPr>
                <w:rFonts w:ascii="Times" w:eastAsia="Times New Roman" w:hAnsi="Times" w:cs="Times New Roman"/>
                <w:color w:val="000000"/>
                <w:sz w:val="20"/>
                <w:szCs w:val="20"/>
                <w:lang w:eastAsia="en-ZA"/>
              </w:rPr>
              <w:t>13</w:t>
            </w:r>
            <w:r w:rsidR="00D147DB" w:rsidRPr="00D147DB">
              <w:rPr>
                <w:rFonts w:ascii="Times" w:eastAsia="Times New Roman" w:hAnsi="Times" w:cs="Times New Roman"/>
                <w:color w:val="000000"/>
                <w:sz w:val="20"/>
                <w:szCs w:val="20"/>
                <w:lang w:eastAsia="en-ZA"/>
              </w:rPr>
              <w:t xml:space="preserve"> </w:t>
            </w:r>
            <w:r w:rsidRPr="00D147DB">
              <w:rPr>
                <w:rFonts w:ascii="Times" w:eastAsia="Times New Roman" w:hAnsi="Times" w:cs="Times New Roman"/>
                <w:color w:val="000000"/>
                <w:sz w:val="20"/>
                <w:szCs w:val="20"/>
                <w:lang w:eastAsia="en-ZA"/>
              </w:rPr>
              <w:t>414</w:t>
            </w:r>
          </w:p>
        </w:tc>
        <w:tc>
          <w:tcPr>
            <w:tcW w:w="462" w:type="pct"/>
            <w:hideMark/>
          </w:tcPr>
          <w:p w14:paraId="5626894B" w14:textId="77777777" w:rsidR="00B75110" w:rsidRPr="00D147DB" w:rsidRDefault="00B75110" w:rsidP="00FC64FC">
            <w:pPr>
              <w:keepNext/>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color w:val="000000"/>
                <w:sz w:val="20"/>
                <w:szCs w:val="20"/>
                <w:lang w:eastAsia="en-ZA"/>
              </w:rPr>
            </w:pPr>
            <w:r w:rsidRPr="00D147DB">
              <w:rPr>
                <w:rFonts w:ascii="Times" w:eastAsia="Times New Roman" w:hAnsi="Times" w:cs="Times New Roman"/>
                <w:color w:val="000000"/>
                <w:sz w:val="20"/>
                <w:szCs w:val="20"/>
                <w:lang w:eastAsia="en-ZA"/>
              </w:rPr>
              <w:t>13</w:t>
            </w:r>
            <w:r w:rsidR="00D147DB" w:rsidRPr="00D147DB">
              <w:rPr>
                <w:rFonts w:ascii="Times" w:eastAsia="Times New Roman" w:hAnsi="Times" w:cs="Times New Roman"/>
                <w:color w:val="000000"/>
                <w:sz w:val="20"/>
                <w:szCs w:val="20"/>
                <w:lang w:eastAsia="en-ZA"/>
              </w:rPr>
              <w:t xml:space="preserve"> </w:t>
            </w:r>
            <w:r w:rsidRPr="00D147DB">
              <w:rPr>
                <w:rFonts w:ascii="Times" w:eastAsia="Times New Roman" w:hAnsi="Times" w:cs="Times New Roman"/>
                <w:color w:val="000000"/>
                <w:sz w:val="20"/>
                <w:szCs w:val="20"/>
                <w:lang w:eastAsia="en-ZA"/>
              </w:rPr>
              <w:t>871</w:t>
            </w:r>
          </w:p>
        </w:tc>
      </w:tr>
      <w:tr w:rsidR="00B75110" w:rsidRPr="000D33E4" w14:paraId="1B836AC3" w14:textId="77777777" w:rsidTr="00D147DB">
        <w:trPr>
          <w:trHeight w:val="257"/>
        </w:trPr>
        <w:tc>
          <w:tcPr>
            <w:cnfStyle w:val="001000000000" w:firstRow="0" w:lastRow="0" w:firstColumn="1" w:lastColumn="0" w:oddVBand="0" w:evenVBand="0" w:oddHBand="0" w:evenHBand="0" w:firstRowFirstColumn="0" w:firstRowLastColumn="0" w:lastRowFirstColumn="0" w:lastRowLastColumn="0"/>
            <w:tcW w:w="5000" w:type="pct"/>
            <w:gridSpan w:val="8"/>
            <w:noWrap/>
            <w:hideMark/>
          </w:tcPr>
          <w:p w14:paraId="54FA25A7" w14:textId="77777777" w:rsidR="00B75110" w:rsidRPr="00D147DB" w:rsidRDefault="00B75110" w:rsidP="00FC64FC">
            <w:pPr>
              <w:keepNext/>
              <w:jc w:val="center"/>
              <w:rPr>
                <w:rFonts w:ascii="Times" w:eastAsia="Times New Roman" w:hAnsi="Times" w:cs="Times New Roman"/>
                <w:color w:val="000000"/>
                <w:sz w:val="20"/>
                <w:szCs w:val="20"/>
                <w:lang w:eastAsia="en-ZA"/>
              </w:rPr>
            </w:pPr>
            <w:r w:rsidRPr="00D147DB">
              <w:rPr>
                <w:rFonts w:ascii="Times" w:eastAsia="Times New Roman" w:hAnsi="Times" w:cs="Times New Roman"/>
                <w:color w:val="000000"/>
                <w:sz w:val="20"/>
                <w:szCs w:val="20"/>
                <w:lang w:eastAsia="en-ZA"/>
              </w:rPr>
              <w:t>Water and Sanitation</w:t>
            </w:r>
          </w:p>
        </w:tc>
      </w:tr>
      <w:tr w:rsidR="00B75110" w:rsidRPr="000D33E4" w14:paraId="3A9D5126" w14:textId="77777777" w:rsidTr="00D466F6">
        <w:trPr>
          <w:trHeight w:val="257"/>
        </w:trPr>
        <w:tc>
          <w:tcPr>
            <w:cnfStyle w:val="001000000000" w:firstRow="0" w:lastRow="0" w:firstColumn="1" w:lastColumn="0" w:oddVBand="0" w:evenVBand="0" w:oddHBand="0" w:evenHBand="0" w:firstRowFirstColumn="0" w:firstRowLastColumn="0" w:lastRowFirstColumn="0" w:lastRowLastColumn="0"/>
            <w:tcW w:w="1777" w:type="pct"/>
            <w:noWrap/>
            <w:hideMark/>
          </w:tcPr>
          <w:p w14:paraId="1BA36E51" w14:textId="77777777" w:rsidR="00B75110" w:rsidRPr="00D147DB" w:rsidRDefault="00B75110" w:rsidP="00FC64FC">
            <w:pPr>
              <w:keepNext/>
              <w:rPr>
                <w:rFonts w:ascii="Times" w:eastAsia="Times New Roman" w:hAnsi="Times" w:cs="Times New Roman"/>
                <w:b w:val="0"/>
                <w:color w:val="000000"/>
                <w:sz w:val="20"/>
                <w:szCs w:val="20"/>
                <w:lang w:eastAsia="en-ZA"/>
              </w:rPr>
            </w:pPr>
            <w:r w:rsidRPr="00D147DB">
              <w:rPr>
                <w:rFonts w:ascii="Times" w:eastAsia="Times New Roman" w:hAnsi="Times" w:cs="Times New Roman"/>
                <w:b w:val="0"/>
                <w:color w:val="000000"/>
                <w:sz w:val="20"/>
                <w:szCs w:val="20"/>
                <w:lang w:eastAsia="en-ZA"/>
              </w:rPr>
              <w:t xml:space="preserve">Regional </w:t>
            </w:r>
            <w:r w:rsidR="00D147DB">
              <w:rPr>
                <w:rFonts w:ascii="Times" w:eastAsia="Times New Roman" w:hAnsi="Times" w:cs="Times New Roman"/>
                <w:b w:val="0"/>
                <w:color w:val="000000"/>
                <w:sz w:val="20"/>
                <w:szCs w:val="20"/>
                <w:lang w:eastAsia="en-ZA"/>
              </w:rPr>
              <w:t>B</w:t>
            </w:r>
            <w:r w:rsidRPr="00D147DB">
              <w:rPr>
                <w:rFonts w:ascii="Times" w:eastAsia="Times New Roman" w:hAnsi="Times" w:cs="Times New Roman"/>
                <w:b w:val="0"/>
                <w:color w:val="000000"/>
                <w:sz w:val="20"/>
                <w:szCs w:val="20"/>
                <w:lang w:eastAsia="en-ZA"/>
              </w:rPr>
              <w:t xml:space="preserve">ulk </w:t>
            </w:r>
            <w:r w:rsidR="00D147DB">
              <w:rPr>
                <w:rFonts w:ascii="Times" w:eastAsia="Times New Roman" w:hAnsi="Times" w:cs="Times New Roman"/>
                <w:b w:val="0"/>
                <w:color w:val="000000"/>
                <w:sz w:val="20"/>
                <w:szCs w:val="20"/>
                <w:lang w:eastAsia="en-ZA"/>
              </w:rPr>
              <w:t>I</w:t>
            </w:r>
            <w:r w:rsidRPr="00D147DB">
              <w:rPr>
                <w:rFonts w:ascii="Times" w:eastAsia="Times New Roman" w:hAnsi="Times" w:cs="Times New Roman"/>
                <w:b w:val="0"/>
                <w:color w:val="000000"/>
                <w:sz w:val="20"/>
                <w:szCs w:val="20"/>
                <w:lang w:eastAsia="en-ZA"/>
              </w:rPr>
              <w:t xml:space="preserve">nfrastructure </w:t>
            </w:r>
            <w:r w:rsidR="00D147DB">
              <w:rPr>
                <w:rFonts w:ascii="Times" w:eastAsia="Times New Roman" w:hAnsi="Times" w:cs="Times New Roman"/>
                <w:b w:val="0"/>
                <w:color w:val="000000"/>
                <w:sz w:val="20"/>
                <w:szCs w:val="20"/>
                <w:lang w:eastAsia="en-ZA"/>
              </w:rPr>
              <w:t>G</w:t>
            </w:r>
            <w:r w:rsidRPr="00D147DB">
              <w:rPr>
                <w:rFonts w:ascii="Times" w:eastAsia="Times New Roman" w:hAnsi="Times" w:cs="Times New Roman"/>
                <w:b w:val="0"/>
                <w:color w:val="000000"/>
                <w:sz w:val="20"/>
                <w:szCs w:val="20"/>
                <w:lang w:eastAsia="en-ZA"/>
              </w:rPr>
              <w:t>rant</w:t>
            </w:r>
          </w:p>
        </w:tc>
        <w:tc>
          <w:tcPr>
            <w:tcW w:w="461" w:type="pct"/>
            <w:noWrap/>
            <w:hideMark/>
          </w:tcPr>
          <w:p w14:paraId="67CBEB18" w14:textId="77777777" w:rsidR="00B75110" w:rsidRPr="00D147DB" w:rsidRDefault="00B75110" w:rsidP="00FC64FC">
            <w:pPr>
              <w:keepNext/>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color w:val="000000"/>
                <w:sz w:val="20"/>
                <w:szCs w:val="20"/>
                <w:lang w:eastAsia="en-ZA"/>
              </w:rPr>
            </w:pPr>
            <w:r w:rsidRPr="00D147DB">
              <w:rPr>
                <w:rFonts w:ascii="Times" w:eastAsia="Times New Roman" w:hAnsi="Times" w:cs="Times New Roman"/>
                <w:color w:val="000000"/>
                <w:sz w:val="20"/>
                <w:szCs w:val="20"/>
                <w:lang w:eastAsia="en-ZA"/>
              </w:rPr>
              <w:t>98%</w:t>
            </w:r>
          </w:p>
        </w:tc>
        <w:tc>
          <w:tcPr>
            <w:tcW w:w="460" w:type="pct"/>
            <w:noWrap/>
            <w:hideMark/>
          </w:tcPr>
          <w:p w14:paraId="1506F779" w14:textId="77777777" w:rsidR="00B75110" w:rsidRPr="00D147DB" w:rsidRDefault="00B75110" w:rsidP="00FC64FC">
            <w:pPr>
              <w:keepNext/>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color w:val="000000"/>
                <w:sz w:val="20"/>
                <w:szCs w:val="20"/>
                <w:lang w:eastAsia="en-ZA"/>
              </w:rPr>
            </w:pPr>
            <w:r w:rsidRPr="00D147DB">
              <w:rPr>
                <w:rFonts w:ascii="Times" w:eastAsia="Times New Roman" w:hAnsi="Times" w:cs="Times New Roman"/>
                <w:color w:val="000000"/>
                <w:sz w:val="20"/>
                <w:szCs w:val="20"/>
                <w:lang w:eastAsia="en-ZA"/>
              </w:rPr>
              <w:t>97%</w:t>
            </w:r>
          </w:p>
        </w:tc>
        <w:tc>
          <w:tcPr>
            <w:tcW w:w="460" w:type="pct"/>
            <w:noWrap/>
            <w:hideMark/>
          </w:tcPr>
          <w:p w14:paraId="4750AB2F" w14:textId="77777777" w:rsidR="00B75110" w:rsidRPr="00D147DB" w:rsidRDefault="00B75110" w:rsidP="00FC64FC">
            <w:pPr>
              <w:keepNext/>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color w:val="000000"/>
                <w:sz w:val="20"/>
                <w:szCs w:val="20"/>
                <w:lang w:eastAsia="en-ZA"/>
              </w:rPr>
            </w:pPr>
            <w:r w:rsidRPr="00D147DB">
              <w:rPr>
                <w:rFonts w:ascii="Times" w:eastAsia="Times New Roman" w:hAnsi="Times" w:cs="Times New Roman"/>
                <w:color w:val="000000"/>
                <w:sz w:val="20"/>
                <w:szCs w:val="20"/>
                <w:lang w:eastAsia="en-ZA"/>
              </w:rPr>
              <w:t>82%</w:t>
            </w:r>
          </w:p>
        </w:tc>
        <w:tc>
          <w:tcPr>
            <w:tcW w:w="460" w:type="pct"/>
            <w:noWrap/>
            <w:hideMark/>
          </w:tcPr>
          <w:p w14:paraId="7CC3F5D3" w14:textId="77777777" w:rsidR="00B75110" w:rsidRPr="00D147DB" w:rsidRDefault="00B75110" w:rsidP="00FC64FC">
            <w:pPr>
              <w:keepNext/>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color w:val="000000"/>
                <w:sz w:val="20"/>
                <w:szCs w:val="20"/>
                <w:lang w:eastAsia="en-ZA"/>
              </w:rPr>
            </w:pPr>
            <w:r w:rsidRPr="00D147DB">
              <w:rPr>
                <w:rFonts w:ascii="Times" w:eastAsia="Times New Roman" w:hAnsi="Times" w:cs="Times New Roman"/>
                <w:color w:val="000000"/>
                <w:sz w:val="20"/>
                <w:szCs w:val="20"/>
                <w:lang w:eastAsia="en-ZA"/>
              </w:rPr>
              <w:t>2 066</w:t>
            </w:r>
          </w:p>
        </w:tc>
        <w:tc>
          <w:tcPr>
            <w:tcW w:w="460" w:type="pct"/>
            <w:noWrap/>
            <w:hideMark/>
          </w:tcPr>
          <w:p w14:paraId="04BA91FF" w14:textId="77777777" w:rsidR="00B75110" w:rsidRPr="00D147DB" w:rsidRDefault="00B75110" w:rsidP="00FC64FC">
            <w:pPr>
              <w:keepNext/>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color w:val="000000"/>
                <w:sz w:val="20"/>
                <w:szCs w:val="20"/>
                <w:lang w:eastAsia="en-ZA"/>
              </w:rPr>
            </w:pPr>
            <w:r w:rsidRPr="00D147DB">
              <w:rPr>
                <w:rFonts w:ascii="Times" w:eastAsia="Times New Roman" w:hAnsi="Times" w:cs="Times New Roman"/>
                <w:color w:val="000000"/>
                <w:sz w:val="20"/>
                <w:szCs w:val="20"/>
                <w:lang w:eastAsia="en-ZA"/>
              </w:rPr>
              <w:t>2 006</w:t>
            </w:r>
          </w:p>
        </w:tc>
        <w:tc>
          <w:tcPr>
            <w:tcW w:w="460" w:type="pct"/>
            <w:noWrap/>
            <w:hideMark/>
          </w:tcPr>
          <w:p w14:paraId="047F9E4F" w14:textId="77777777" w:rsidR="00B75110" w:rsidRPr="00D147DB" w:rsidRDefault="00B75110" w:rsidP="00FC64FC">
            <w:pPr>
              <w:keepNext/>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color w:val="000000"/>
                <w:sz w:val="20"/>
                <w:szCs w:val="20"/>
                <w:lang w:eastAsia="en-ZA"/>
              </w:rPr>
            </w:pPr>
            <w:r w:rsidRPr="00D147DB">
              <w:rPr>
                <w:rFonts w:ascii="Times" w:eastAsia="Times New Roman" w:hAnsi="Times" w:cs="Times New Roman"/>
                <w:color w:val="000000"/>
                <w:sz w:val="20"/>
                <w:szCs w:val="20"/>
                <w:lang w:eastAsia="en-ZA"/>
              </w:rPr>
              <w:t>2 156</w:t>
            </w:r>
          </w:p>
        </w:tc>
        <w:tc>
          <w:tcPr>
            <w:tcW w:w="462" w:type="pct"/>
            <w:noWrap/>
            <w:hideMark/>
          </w:tcPr>
          <w:p w14:paraId="2EE8F8CB" w14:textId="77777777" w:rsidR="00B75110" w:rsidRPr="00D147DB" w:rsidRDefault="00B75110" w:rsidP="00FC64FC">
            <w:pPr>
              <w:keepNext/>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color w:val="000000"/>
                <w:sz w:val="20"/>
                <w:szCs w:val="20"/>
                <w:lang w:eastAsia="en-ZA"/>
              </w:rPr>
            </w:pPr>
            <w:r w:rsidRPr="00D147DB">
              <w:rPr>
                <w:rFonts w:ascii="Times" w:eastAsia="Times New Roman" w:hAnsi="Times" w:cs="Times New Roman"/>
                <w:color w:val="000000"/>
                <w:sz w:val="20"/>
                <w:szCs w:val="20"/>
                <w:lang w:eastAsia="en-ZA"/>
              </w:rPr>
              <w:t>2 281</w:t>
            </w:r>
          </w:p>
        </w:tc>
      </w:tr>
      <w:tr w:rsidR="00B75110" w:rsidRPr="000D33E4" w14:paraId="1E92575F" w14:textId="77777777" w:rsidTr="00D466F6">
        <w:trPr>
          <w:trHeight w:val="257"/>
        </w:trPr>
        <w:tc>
          <w:tcPr>
            <w:cnfStyle w:val="001000000000" w:firstRow="0" w:lastRow="0" w:firstColumn="1" w:lastColumn="0" w:oddVBand="0" w:evenVBand="0" w:oddHBand="0" w:evenHBand="0" w:firstRowFirstColumn="0" w:firstRowLastColumn="0" w:lastRowFirstColumn="0" w:lastRowLastColumn="0"/>
            <w:tcW w:w="1777" w:type="pct"/>
            <w:noWrap/>
            <w:hideMark/>
          </w:tcPr>
          <w:p w14:paraId="403EEAA2" w14:textId="77777777" w:rsidR="00B75110" w:rsidRPr="00D147DB" w:rsidRDefault="00B75110" w:rsidP="00FC64FC">
            <w:pPr>
              <w:keepNext/>
              <w:rPr>
                <w:rFonts w:ascii="Times" w:eastAsia="Times New Roman" w:hAnsi="Times" w:cs="Times New Roman"/>
                <w:b w:val="0"/>
                <w:color w:val="000000"/>
                <w:sz w:val="20"/>
                <w:szCs w:val="20"/>
                <w:lang w:eastAsia="en-ZA"/>
              </w:rPr>
            </w:pPr>
            <w:r w:rsidRPr="00D147DB">
              <w:rPr>
                <w:rFonts w:ascii="Times" w:eastAsia="Times New Roman" w:hAnsi="Times" w:cs="Times New Roman"/>
                <w:b w:val="0"/>
                <w:color w:val="000000"/>
                <w:sz w:val="20"/>
                <w:szCs w:val="20"/>
                <w:lang w:eastAsia="en-ZA"/>
              </w:rPr>
              <w:t xml:space="preserve">Water </w:t>
            </w:r>
            <w:r w:rsidR="00D147DB">
              <w:rPr>
                <w:rFonts w:ascii="Times" w:eastAsia="Times New Roman" w:hAnsi="Times" w:cs="Times New Roman"/>
                <w:b w:val="0"/>
                <w:color w:val="000000"/>
                <w:sz w:val="20"/>
                <w:szCs w:val="20"/>
                <w:lang w:eastAsia="en-ZA"/>
              </w:rPr>
              <w:t>S</w:t>
            </w:r>
            <w:r w:rsidRPr="00D147DB">
              <w:rPr>
                <w:rFonts w:ascii="Times" w:eastAsia="Times New Roman" w:hAnsi="Times" w:cs="Times New Roman"/>
                <w:b w:val="0"/>
                <w:color w:val="000000"/>
                <w:sz w:val="20"/>
                <w:szCs w:val="20"/>
                <w:lang w:eastAsia="en-ZA"/>
              </w:rPr>
              <w:t xml:space="preserve">ervices </w:t>
            </w:r>
            <w:r w:rsidR="00D147DB">
              <w:rPr>
                <w:rFonts w:ascii="Times" w:eastAsia="Times New Roman" w:hAnsi="Times" w:cs="Times New Roman"/>
                <w:b w:val="0"/>
                <w:color w:val="000000"/>
                <w:sz w:val="20"/>
                <w:szCs w:val="20"/>
                <w:lang w:eastAsia="en-ZA"/>
              </w:rPr>
              <w:t>I</w:t>
            </w:r>
            <w:r w:rsidRPr="00D147DB">
              <w:rPr>
                <w:rFonts w:ascii="Times" w:eastAsia="Times New Roman" w:hAnsi="Times" w:cs="Times New Roman"/>
                <w:b w:val="0"/>
                <w:color w:val="000000"/>
                <w:sz w:val="20"/>
                <w:szCs w:val="20"/>
                <w:lang w:eastAsia="en-ZA"/>
              </w:rPr>
              <w:t xml:space="preserve">nfrastructure </w:t>
            </w:r>
            <w:r w:rsidR="00D147DB">
              <w:rPr>
                <w:rFonts w:ascii="Times" w:eastAsia="Times New Roman" w:hAnsi="Times" w:cs="Times New Roman"/>
                <w:b w:val="0"/>
                <w:color w:val="000000"/>
                <w:sz w:val="20"/>
                <w:szCs w:val="20"/>
                <w:lang w:eastAsia="en-ZA"/>
              </w:rPr>
              <w:t>G</w:t>
            </w:r>
            <w:r w:rsidRPr="00D147DB">
              <w:rPr>
                <w:rFonts w:ascii="Times" w:eastAsia="Times New Roman" w:hAnsi="Times" w:cs="Times New Roman"/>
                <w:b w:val="0"/>
                <w:color w:val="000000"/>
                <w:sz w:val="20"/>
                <w:szCs w:val="20"/>
                <w:lang w:eastAsia="en-ZA"/>
              </w:rPr>
              <w:t>rant</w:t>
            </w:r>
          </w:p>
        </w:tc>
        <w:tc>
          <w:tcPr>
            <w:tcW w:w="461" w:type="pct"/>
            <w:noWrap/>
            <w:hideMark/>
          </w:tcPr>
          <w:p w14:paraId="48BC1BCC" w14:textId="77777777" w:rsidR="00B75110" w:rsidRPr="00D147DB" w:rsidRDefault="00B75110" w:rsidP="00FC64FC">
            <w:pPr>
              <w:keepNext/>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color w:val="000000"/>
                <w:sz w:val="20"/>
                <w:szCs w:val="20"/>
                <w:lang w:eastAsia="en-ZA"/>
              </w:rPr>
            </w:pPr>
            <w:r w:rsidRPr="00D147DB">
              <w:rPr>
                <w:rFonts w:ascii="Times" w:eastAsia="Times New Roman" w:hAnsi="Times" w:cs="Times New Roman"/>
                <w:color w:val="000000"/>
                <w:sz w:val="20"/>
                <w:szCs w:val="20"/>
                <w:lang w:eastAsia="en-ZA"/>
              </w:rPr>
              <w:t>95%</w:t>
            </w:r>
          </w:p>
        </w:tc>
        <w:tc>
          <w:tcPr>
            <w:tcW w:w="460" w:type="pct"/>
            <w:noWrap/>
            <w:hideMark/>
          </w:tcPr>
          <w:p w14:paraId="73833DDE" w14:textId="77777777" w:rsidR="00B75110" w:rsidRPr="00D147DB" w:rsidRDefault="00B75110" w:rsidP="00FC64FC">
            <w:pPr>
              <w:keepNext/>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color w:val="000000"/>
                <w:sz w:val="20"/>
                <w:szCs w:val="20"/>
                <w:lang w:eastAsia="en-ZA"/>
              </w:rPr>
            </w:pPr>
            <w:r w:rsidRPr="00D147DB">
              <w:rPr>
                <w:rFonts w:ascii="Times" w:eastAsia="Times New Roman" w:hAnsi="Times" w:cs="Times New Roman"/>
                <w:color w:val="000000"/>
                <w:sz w:val="20"/>
                <w:szCs w:val="20"/>
                <w:lang w:eastAsia="en-ZA"/>
              </w:rPr>
              <w:t>97%</w:t>
            </w:r>
          </w:p>
        </w:tc>
        <w:tc>
          <w:tcPr>
            <w:tcW w:w="460" w:type="pct"/>
            <w:noWrap/>
            <w:hideMark/>
          </w:tcPr>
          <w:p w14:paraId="0CE968E9" w14:textId="77777777" w:rsidR="00B75110" w:rsidRPr="00D147DB" w:rsidRDefault="00B75110" w:rsidP="00FC64FC">
            <w:pPr>
              <w:keepNext/>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color w:val="000000"/>
                <w:sz w:val="20"/>
                <w:szCs w:val="20"/>
                <w:lang w:eastAsia="en-ZA"/>
              </w:rPr>
            </w:pPr>
            <w:r w:rsidRPr="00D147DB">
              <w:rPr>
                <w:rFonts w:ascii="Times" w:eastAsia="Times New Roman" w:hAnsi="Times" w:cs="Times New Roman"/>
                <w:color w:val="000000"/>
                <w:sz w:val="20"/>
                <w:szCs w:val="20"/>
                <w:lang w:eastAsia="en-ZA"/>
              </w:rPr>
              <w:t>95%</w:t>
            </w:r>
          </w:p>
        </w:tc>
        <w:tc>
          <w:tcPr>
            <w:tcW w:w="460" w:type="pct"/>
            <w:noWrap/>
            <w:hideMark/>
          </w:tcPr>
          <w:p w14:paraId="716A5E7A" w14:textId="77777777" w:rsidR="00B75110" w:rsidRPr="00D147DB" w:rsidRDefault="00B75110" w:rsidP="00FC64FC">
            <w:pPr>
              <w:keepNext/>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color w:val="000000"/>
                <w:sz w:val="20"/>
                <w:szCs w:val="20"/>
                <w:lang w:eastAsia="en-ZA"/>
              </w:rPr>
            </w:pPr>
            <w:r w:rsidRPr="00D147DB">
              <w:rPr>
                <w:rFonts w:ascii="Times" w:eastAsia="Times New Roman" w:hAnsi="Times" w:cs="Times New Roman"/>
                <w:color w:val="000000"/>
                <w:sz w:val="20"/>
                <w:szCs w:val="20"/>
                <w:lang w:eastAsia="en-ZA"/>
              </w:rPr>
              <w:t>3 669</w:t>
            </w:r>
          </w:p>
        </w:tc>
        <w:tc>
          <w:tcPr>
            <w:tcW w:w="460" w:type="pct"/>
            <w:noWrap/>
            <w:hideMark/>
          </w:tcPr>
          <w:p w14:paraId="18B75221" w14:textId="77777777" w:rsidR="00B75110" w:rsidRPr="00D147DB" w:rsidRDefault="00B75110" w:rsidP="00FC64FC">
            <w:pPr>
              <w:keepNext/>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color w:val="000000"/>
                <w:sz w:val="20"/>
                <w:szCs w:val="20"/>
                <w:lang w:eastAsia="en-ZA"/>
              </w:rPr>
            </w:pPr>
            <w:r w:rsidRPr="00D147DB">
              <w:rPr>
                <w:rFonts w:ascii="Times" w:eastAsia="Times New Roman" w:hAnsi="Times" w:cs="Times New Roman"/>
                <w:color w:val="000000"/>
                <w:sz w:val="20"/>
                <w:szCs w:val="20"/>
                <w:lang w:eastAsia="en-ZA"/>
              </w:rPr>
              <w:t>3 445</w:t>
            </w:r>
          </w:p>
        </w:tc>
        <w:tc>
          <w:tcPr>
            <w:tcW w:w="460" w:type="pct"/>
            <w:noWrap/>
            <w:hideMark/>
          </w:tcPr>
          <w:p w14:paraId="4BD66D5E" w14:textId="77777777" w:rsidR="00B75110" w:rsidRPr="00D147DB" w:rsidRDefault="00B75110" w:rsidP="00FC64FC">
            <w:pPr>
              <w:keepNext/>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color w:val="000000"/>
                <w:sz w:val="20"/>
                <w:szCs w:val="20"/>
                <w:lang w:eastAsia="en-ZA"/>
              </w:rPr>
            </w:pPr>
            <w:r w:rsidRPr="00D147DB">
              <w:rPr>
                <w:rFonts w:ascii="Times" w:eastAsia="Times New Roman" w:hAnsi="Times" w:cs="Times New Roman"/>
                <w:color w:val="000000"/>
                <w:sz w:val="20"/>
                <w:szCs w:val="20"/>
                <w:lang w:eastAsia="en-ZA"/>
              </w:rPr>
              <w:t>3 620</w:t>
            </w:r>
          </w:p>
        </w:tc>
        <w:tc>
          <w:tcPr>
            <w:tcW w:w="462" w:type="pct"/>
            <w:noWrap/>
            <w:hideMark/>
          </w:tcPr>
          <w:p w14:paraId="7C2E7D85" w14:textId="77777777" w:rsidR="00B75110" w:rsidRPr="00D147DB" w:rsidRDefault="00B75110" w:rsidP="00FC64FC">
            <w:pPr>
              <w:keepNext/>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color w:val="000000"/>
                <w:sz w:val="20"/>
                <w:szCs w:val="20"/>
                <w:lang w:eastAsia="en-ZA"/>
              </w:rPr>
            </w:pPr>
            <w:r w:rsidRPr="00D147DB">
              <w:rPr>
                <w:rFonts w:ascii="Times" w:eastAsia="Times New Roman" w:hAnsi="Times" w:cs="Times New Roman"/>
                <w:color w:val="000000"/>
                <w:sz w:val="20"/>
                <w:szCs w:val="20"/>
                <w:lang w:eastAsia="en-ZA"/>
              </w:rPr>
              <w:t>3 701</w:t>
            </w:r>
          </w:p>
        </w:tc>
      </w:tr>
      <w:tr w:rsidR="00B75110" w:rsidRPr="000D33E4" w14:paraId="6A098163" w14:textId="77777777" w:rsidTr="00D147DB">
        <w:trPr>
          <w:trHeight w:val="257"/>
        </w:trPr>
        <w:tc>
          <w:tcPr>
            <w:cnfStyle w:val="001000000000" w:firstRow="0" w:lastRow="0" w:firstColumn="1" w:lastColumn="0" w:oddVBand="0" w:evenVBand="0" w:oddHBand="0" w:evenHBand="0" w:firstRowFirstColumn="0" w:firstRowLastColumn="0" w:lastRowFirstColumn="0" w:lastRowLastColumn="0"/>
            <w:tcW w:w="5000" w:type="pct"/>
            <w:gridSpan w:val="8"/>
            <w:noWrap/>
            <w:hideMark/>
          </w:tcPr>
          <w:p w14:paraId="6F2E9B52" w14:textId="77777777" w:rsidR="00B75110" w:rsidRPr="00D147DB" w:rsidRDefault="00B75110" w:rsidP="00FC64FC">
            <w:pPr>
              <w:keepNext/>
              <w:jc w:val="center"/>
              <w:rPr>
                <w:rFonts w:ascii="Times" w:eastAsia="Times New Roman" w:hAnsi="Times" w:cs="Times New Roman"/>
                <w:color w:val="000000"/>
                <w:sz w:val="20"/>
                <w:szCs w:val="20"/>
                <w:lang w:eastAsia="en-ZA"/>
              </w:rPr>
            </w:pPr>
            <w:r w:rsidRPr="00D147DB">
              <w:rPr>
                <w:rFonts w:ascii="Times" w:eastAsia="Times New Roman" w:hAnsi="Times" w:cs="Times New Roman"/>
                <w:color w:val="000000"/>
                <w:sz w:val="20"/>
                <w:szCs w:val="20"/>
                <w:lang w:eastAsia="en-ZA"/>
              </w:rPr>
              <w:t>Department of Cooperative Governance</w:t>
            </w:r>
          </w:p>
        </w:tc>
      </w:tr>
      <w:tr w:rsidR="00B75110" w:rsidRPr="000D33E4" w14:paraId="442712BA" w14:textId="77777777" w:rsidTr="00D466F6">
        <w:trPr>
          <w:trHeight w:val="257"/>
        </w:trPr>
        <w:tc>
          <w:tcPr>
            <w:cnfStyle w:val="001000000000" w:firstRow="0" w:lastRow="0" w:firstColumn="1" w:lastColumn="0" w:oddVBand="0" w:evenVBand="0" w:oddHBand="0" w:evenHBand="0" w:firstRowFirstColumn="0" w:firstRowLastColumn="0" w:lastRowFirstColumn="0" w:lastRowLastColumn="0"/>
            <w:tcW w:w="1777" w:type="pct"/>
            <w:noWrap/>
            <w:hideMark/>
          </w:tcPr>
          <w:p w14:paraId="09B5A2B0" w14:textId="77777777" w:rsidR="00B75110" w:rsidRPr="00D147DB" w:rsidRDefault="00B75110" w:rsidP="00FC64FC">
            <w:pPr>
              <w:keepNext/>
              <w:rPr>
                <w:rFonts w:ascii="Times" w:eastAsia="Times New Roman" w:hAnsi="Times" w:cs="Times New Roman"/>
                <w:b w:val="0"/>
                <w:sz w:val="20"/>
                <w:szCs w:val="20"/>
                <w:lang w:eastAsia="en-ZA"/>
              </w:rPr>
            </w:pPr>
            <w:r w:rsidRPr="00D147DB">
              <w:rPr>
                <w:rFonts w:ascii="Times" w:eastAsia="Times New Roman" w:hAnsi="Times" w:cs="Times New Roman"/>
                <w:b w:val="0"/>
                <w:sz w:val="20"/>
                <w:szCs w:val="20"/>
                <w:lang w:eastAsia="en-ZA"/>
              </w:rPr>
              <w:t xml:space="preserve">Provincial </w:t>
            </w:r>
            <w:r w:rsidR="00D147DB">
              <w:rPr>
                <w:rFonts w:ascii="Times" w:eastAsia="Times New Roman" w:hAnsi="Times" w:cs="Times New Roman"/>
                <w:b w:val="0"/>
                <w:sz w:val="20"/>
                <w:szCs w:val="20"/>
                <w:lang w:eastAsia="en-ZA"/>
              </w:rPr>
              <w:t>D</w:t>
            </w:r>
            <w:r w:rsidRPr="00D147DB">
              <w:rPr>
                <w:rFonts w:ascii="Times" w:eastAsia="Times New Roman" w:hAnsi="Times" w:cs="Times New Roman"/>
                <w:b w:val="0"/>
                <w:sz w:val="20"/>
                <w:szCs w:val="20"/>
                <w:lang w:eastAsia="en-ZA"/>
              </w:rPr>
              <w:t xml:space="preserve">isaster </w:t>
            </w:r>
            <w:r w:rsidR="00D147DB">
              <w:rPr>
                <w:rFonts w:ascii="Times" w:eastAsia="Times New Roman" w:hAnsi="Times" w:cs="Times New Roman"/>
                <w:b w:val="0"/>
                <w:sz w:val="20"/>
                <w:szCs w:val="20"/>
                <w:lang w:eastAsia="en-ZA"/>
              </w:rPr>
              <w:t>R</w:t>
            </w:r>
            <w:r w:rsidRPr="00D147DB">
              <w:rPr>
                <w:rFonts w:ascii="Times" w:eastAsia="Times New Roman" w:hAnsi="Times" w:cs="Times New Roman"/>
                <w:b w:val="0"/>
                <w:sz w:val="20"/>
                <w:szCs w:val="20"/>
                <w:lang w:eastAsia="en-ZA"/>
              </w:rPr>
              <w:t xml:space="preserve">elief </w:t>
            </w:r>
            <w:r w:rsidR="00D147DB">
              <w:rPr>
                <w:rFonts w:ascii="Times" w:eastAsia="Times New Roman" w:hAnsi="Times" w:cs="Times New Roman"/>
                <w:b w:val="0"/>
                <w:sz w:val="20"/>
                <w:szCs w:val="20"/>
                <w:lang w:eastAsia="en-ZA"/>
              </w:rPr>
              <w:t>G</w:t>
            </w:r>
            <w:r w:rsidRPr="00D147DB">
              <w:rPr>
                <w:rFonts w:ascii="Times" w:eastAsia="Times New Roman" w:hAnsi="Times" w:cs="Times New Roman"/>
                <w:b w:val="0"/>
                <w:sz w:val="20"/>
                <w:szCs w:val="20"/>
                <w:lang w:eastAsia="en-ZA"/>
              </w:rPr>
              <w:t>rant</w:t>
            </w:r>
          </w:p>
        </w:tc>
        <w:tc>
          <w:tcPr>
            <w:tcW w:w="461" w:type="pct"/>
            <w:noWrap/>
            <w:hideMark/>
          </w:tcPr>
          <w:p w14:paraId="182EE6BF" w14:textId="77777777" w:rsidR="00B75110" w:rsidRPr="00D147DB" w:rsidRDefault="00B75110" w:rsidP="00FC64FC">
            <w:pPr>
              <w:keepNext/>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color w:val="000000"/>
                <w:sz w:val="20"/>
                <w:szCs w:val="20"/>
                <w:lang w:eastAsia="en-ZA"/>
              </w:rPr>
            </w:pPr>
            <w:r w:rsidRPr="00D147DB">
              <w:rPr>
                <w:rFonts w:ascii="Times" w:eastAsia="Times New Roman" w:hAnsi="Times" w:cs="Times New Roman"/>
                <w:color w:val="000000"/>
                <w:sz w:val="20"/>
                <w:szCs w:val="20"/>
                <w:lang w:eastAsia="en-ZA"/>
              </w:rPr>
              <w:t>_</w:t>
            </w:r>
          </w:p>
        </w:tc>
        <w:tc>
          <w:tcPr>
            <w:tcW w:w="460" w:type="pct"/>
            <w:noWrap/>
            <w:hideMark/>
          </w:tcPr>
          <w:p w14:paraId="5A56F8B0" w14:textId="77777777" w:rsidR="00B75110" w:rsidRPr="00D147DB" w:rsidRDefault="00B75110" w:rsidP="00FC64FC">
            <w:pPr>
              <w:keepNext/>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color w:val="000000"/>
                <w:sz w:val="20"/>
                <w:szCs w:val="20"/>
                <w:lang w:eastAsia="en-ZA"/>
              </w:rPr>
            </w:pPr>
            <w:r w:rsidRPr="00D147DB">
              <w:rPr>
                <w:rFonts w:ascii="Times" w:eastAsia="Times New Roman" w:hAnsi="Times" w:cs="Times New Roman"/>
                <w:color w:val="000000"/>
                <w:sz w:val="20"/>
                <w:szCs w:val="20"/>
                <w:lang w:eastAsia="en-ZA"/>
              </w:rPr>
              <w:t>_</w:t>
            </w:r>
          </w:p>
        </w:tc>
        <w:tc>
          <w:tcPr>
            <w:tcW w:w="460" w:type="pct"/>
            <w:noWrap/>
            <w:hideMark/>
          </w:tcPr>
          <w:p w14:paraId="558F66D5" w14:textId="77777777" w:rsidR="00B75110" w:rsidRPr="00D147DB" w:rsidRDefault="00B75110" w:rsidP="00FC64FC">
            <w:pPr>
              <w:keepNext/>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color w:val="000000"/>
                <w:sz w:val="20"/>
                <w:szCs w:val="20"/>
                <w:lang w:eastAsia="en-ZA"/>
              </w:rPr>
            </w:pPr>
            <w:r w:rsidRPr="00D147DB">
              <w:rPr>
                <w:rFonts w:ascii="Times" w:eastAsia="Times New Roman" w:hAnsi="Times" w:cs="Times New Roman"/>
                <w:color w:val="000000"/>
                <w:sz w:val="20"/>
                <w:szCs w:val="20"/>
                <w:lang w:eastAsia="en-ZA"/>
              </w:rPr>
              <w:t>_</w:t>
            </w:r>
          </w:p>
        </w:tc>
        <w:tc>
          <w:tcPr>
            <w:tcW w:w="460" w:type="pct"/>
            <w:noWrap/>
            <w:hideMark/>
          </w:tcPr>
          <w:p w14:paraId="7968CC9F" w14:textId="77777777" w:rsidR="00B75110" w:rsidRPr="00D147DB" w:rsidRDefault="00B75110" w:rsidP="00FC64FC">
            <w:pPr>
              <w:keepNext/>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color w:val="000000"/>
                <w:sz w:val="20"/>
                <w:szCs w:val="20"/>
                <w:lang w:eastAsia="en-ZA"/>
              </w:rPr>
            </w:pPr>
            <w:r w:rsidRPr="00D147DB">
              <w:rPr>
                <w:rFonts w:ascii="Times" w:eastAsia="Times New Roman" w:hAnsi="Times" w:cs="Times New Roman"/>
                <w:color w:val="000000"/>
                <w:sz w:val="20"/>
                <w:szCs w:val="20"/>
                <w:lang w:eastAsia="en-ZA"/>
              </w:rPr>
              <w:t>131</w:t>
            </w:r>
          </w:p>
        </w:tc>
        <w:tc>
          <w:tcPr>
            <w:tcW w:w="460" w:type="pct"/>
            <w:noWrap/>
            <w:hideMark/>
          </w:tcPr>
          <w:p w14:paraId="447EE865" w14:textId="77777777" w:rsidR="00B75110" w:rsidRPr="00D147DB" w:rsidRDefault="00B75110" w:rsidP="00FC64FC">
            <w:pPr>
              <w:keepNext/>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color w:val="000000"/>
                <w:sz w:val="20"/>
                <w:szCs w:val="20"/>
                <w:lang w:eastAsia="en-ZA"/>
              </w:rPr>
            </w:pPr>
            <w:r w:rsidRPr="00D147DB">
              <w:rPr>
                <w:rFonts w:ascii="Times" w:eastAsia="Times New Roman" w:hAnsi="Times" w:cs="Times New Roman"/>
                <w:color w:val="000000"/>
                <w:sz w:val="20"/>
                <w:szCs w:val="20"/>
                <w:lang w:eastAsia="en-ZA"/>
              </w:rPr>
              <w:t>138</w:t>
            </w:r>
          </w:p>
        </w:tc>
        <w:tc>
          <w:tcPr>
            <w:tcW w:w="460" w:type="pct"/>
            <w:noWrap/>
            <w:hideMark/>
          </w:tcPr>
          <w:p w14:paraId="53A6559D" w14:textId="77777777" w:rsidR="00B75110" w:rsidRPr="00D147DB" w:rsidRDefault="00B75110" w:rsidP="00FC64FC">
            <w:pPr>
              <w:keepNext/>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color w:val="000000"/>
                <w:sz w:val="20"/>
                <w:szCs w:val="20"/>
                <w:lang w:eastAsia="en-ZA"/>
              </w:rPr>
            </w:pPr>
            <w:r w:rsidRPr="00D147DB">
              <w:rPr>
                <w:rFonts w:ascii="Times" w:eastAsia="Times New Roman" w:hAnsi="Times" w:cs="Times New Roman"/>
                <w:color w:val="000000"/>
                <w:sz w:val="20"/>
                <w:szCs w:val="20"/>
                <w:lang w:eastAsia="en-ZA"/>
              </w:rPr>
              <w:t>146</w:t>
            </w:r>
          </w:p>
        </w:tc>
        <w:tc>
          <w:tcPr>
            <w:tcW w:w="462" w:type="pct"/>
            <w:noWrap/>
            <w:hideMark/>
          </w:tcPr>
          <w:p w14:paraId="2F2F4998" w14:textId="77777777" w:rsidR="00B75110" w:rsidRPr="00D147DB" w:rsidRDefault="00B75110" w:rsidP="00FC64FC">
            <w:pPr>
              <w:keepNext/>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color w:val="000000"/>
                <w:sz w:val="20"/>
                <w:szCs w:val="20"/>
                <w:lang w:eastAsia="en-ZA"/>
              </w:rPr>
            </w:pPr>
            <w:r w:rsidRPr="00D147DB">
              <w:rPr>
                <w:rFonts w:ascii="Times" w:eastAsia="Times New Roman" w:hAnsi="Times" w:cs="Times New Roman"/>
                <w:color w:val="000000"/>
                <w:sz w:val="20"/>
                <w:szCs w:val="20"/>
                <w:lang w:eastAsia="en-ZA"/>
              </w:rPr>
              <w:t>153</w:t>
            </w:r>
          </w:p>
        </w:tc>
      </w:tr>
      <w:tr w:rsidR="00B75110" w:rsidRPr="000D33E4" w14:paraId="02F45E70" w14:textId="77777777" w:rsidTr="00D466F6">
        <w:trPr>
          <w:trHeight w:val="257"/>
        </w:trPr>
        <w:tc>
          <w:tcPr>
            <w:cnfStyle w:val="001000000000" w:firstRow="0" w:lastRow="0" w:firstColumn="1" w:lastColumn="0" w:oddVBand="0" w:evenVBand="0" w:oddHBand="0" w:evenHBand="0" w:firstRowFirstColumn="0" w:firstRowLastColumn="0" w:lastRowFirstColumn="0" w:lastRowLastColumn="0"/>
            <w:tcW w:w="1777" w:type="pct"/>
            <w:noWrap/>
            <w:hideMark/>
          </w:tcPr>
          <w:p w14:paraId="2A06407D" w14:textId="77777777" w:rsidR="00B75110" w:rsidRPr="00D147DB" w:rsidRDefault="00B75110" w:rsidP="00FC64FC">
            <w:pPr>
              <w:keepNext/>
              <w:rPr>
                <w:rFonts w:ascii="Times" w:eastAsia="Times New Roman" w:hAnsi="Times" w:cs="Times New Roman"/>
                <w:b w:val="0"/>
                <w:sz w:val="20"/>
                <w:szCs w:val="20"/>
                <w:lang w:eastAsia="en-ZA"/>
              </w:rPr>
            </w:pPr>
            <w:r w:rsidRPr="00D147DB">
              <w:rPr>
                <w:rFonts w:ascii="Times" w:eastAsia="Times New Roman" w:hAnsi="Times" w:cs="Times New Roman"/>
                <w:b w:val="0"/>
                <w:sz w:val="20"/>
                <w:szCs w:val="20"/>
                <w:lang w:eastAsia="en-ZA"/>
              </w:rPr>
              <w:t xml:space="preserve">Municipal </w:t>
            </w:r>
            <w:r w:rsidR="00D147DB">
              <w:rPr>
                <w:rFonts w:ascii="Times" w:eastAsia="Times New Roman" w:hAnsi="Times" w:cs="Times New Roman"/>
                <w:b w:val="0"/>
                <w:sz w:val="20"/>
                <w:szCs w:val="20"/>
                <w:lang w:eastAsia="en-ZA"/>
              </w:rPr>
              <w:t>D</w:t>
            </w:r>
            <w:r w:rsidRPr="00D147DB">
              <w:rPr>
                <w:rFonts w:ascii="Times" w:eastAsia="Times New Roman" w:hAnsi="Times" w:cs="Times New Roman"/>
                <w:b w:val="0"/>
                <w:sz w:val="20"/>
                <w:szCs w:val="20"/>
                <w:lang w:eastAsia="en-ZA"/>
              </w:rPr>
              <w:t xml:space="preserve">isaster </w:t>
            </w:r>
            <w:r w:rsidR="00D147DB">
              <w:rPr>
                <w:rFonts w:ascii="Times" w:eastAsia="Times New Roman" w:hAnsi="Times" w:cs="Times New Roman"/>
                <w:b w:val="0"/>
                <w:sz w:val="20"/>
                <w:szCs w:val="20"/>
                <w:lang w:eastAsia="en-ZA"/>
              </w:rPr>
              <w:t>R</w:t>
            </w:r>
            <w:r w:rsidRPr="00D147DB">
              <w:rPr>
                <w:rFonts w:ascii="Times" w:eastAsia="Times New Roman" w:hAnsi="Times" w:cs="Times New Roman"/>
                <w:b w:val="0"/>
                <w:sz w:val="20"/>
                <w:szCs w:val="20"/>
                <w:lang w:eastAsia="en-ZA"/>
              </w:rPr>
              <w:t xml:space="preserve">elief </w:t>
            </w:r>
            <w:r w:rsidR="00D147DB">
              <w:rPr>
                <w:rFonts w:ascii="Times" w:eastAsia="Times New Roman" w:hAnsi="Times" w:cs="Times New Roman"/>
                <w:b w:val="0"/>
                <w:sz w:val="20"/>
                <w:szCs w:val="20"/>
                <w:lang w:eastAsia="en-ZA"/>
              </w:rPr>
              <w:t>G</w:t>
            </w:r>
            <w:r w:rsidRPr="00D147DB">
              <w:rPr>
                <w:rFonts w:ascii="Times" w:eastAsia="Times New Roman" w:hAnsi="Times" w:cs="Times New Roman"/>
                <w:b w:val="0"/>
                <w:sz w:val="20"/>
                <w:szCs w:val="20"/>
                <w:lang w:eastAsia="en-ZA"/>
              </w:rPr>
              <w:t>rant</w:t>
            </w:r>
          </w:p>
        </w:tc>
        <w:tc>
          <w:tcPr>
            <w:tcW w:w="461" w:type="pct"/>
            <w:noWrap/>
            <w:hideMark/>
          </w:tcPr>
          <w:p w14:paraId="4CE4C9DC" w14:textId="77777777" w:rsidR="00B75110" w:rsidRPr="00D147DB" w:rsidRDefault="00B75110" w:rsidP="00FC64FC">
            <w:pPr>
              <w:keepNext/>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color w:val="000000"/>
                <w:sz w:val="20"/>
                <w:szCs w:val="20"/>
                <w:lang w:eastAsia="en-ZA"/>
              </w:rPr>
            </w:pPr>
            <w:r w:rsidRPr="00D147DB">
              <w:rPr>
                <w:rFonts w:ascii="Times" w:eastAsia="Times New Roman" w:hAnsi="Times" w:cs="Times New Roman"/>
                <w:color w:val="000000"/>
                <w:sz w:val="20"/>
                <w:szCs w:val="20"/>
                <w:lang w:eastAsia="en-ZA"/>
              </w:rPr>
              <w:t>_</w:t>
            </w:r>
          </w:p>
        </w:tc>
        <w:tc>
          <w:tcPr>
            <w:tcW w:w="460" w:type="pct"/>
            <w:noWrap/>
            <w:hideMark/>
          </w:tcPr>
          <w:p w14:paraId="0020DD95" w14:textId="77777777" w:rsidR="00B75110" w:rsidRPr="00D147DB" w:rsidRDefault="00B75110" w:rsidP="00FC64FC">
            <w:pPr>
              <w:keepNext/>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color w:val="000000"/>
                <w:sz w:val="20"/>
                <w:szCs w:val="20"/>
                <w:lang w:eastAsia="en-ZA"/>
              </w:rPr>
            </w:pPr>
            <w:r w:rsidRPr="00D147DB">
              <w:rPr>
                <w:rFonts w:ascii="Times" w:eastAsia="Times New Roman" w:hAnsi="Times" w:cs="Times New Roman"/>
                <w:color w:val="000000"/>
                <w:sz w:val="20"/>
                <w:szCs w:val="20"/>
                <w:lang w:eastAsia="en-ZA"/>
              </w:rPr>
              <w:t>_</w:t>
            </w:r>
          </w:p>
        </w:tc>
        <w:tc>
          <w:tcPr>
            <w:tcW w:w="460" w:type="pct"/>
            <w:noWrap/>
            <w:hideMark/>
          </w:tcPr>
          <w:p w14:paraId="07E15CBF" w14:textId="77777777" w:rsidR="00B75110" w:rsidRPr="00D147DB" w:rsidRDefault="00B75110" w:rsidP="00FC64FC">
            <w:pPr>
              <w:keepNext/>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color w:val="000000"/>
                <w:sz w:val="20"/>
                <w:szCs w:val="20"/>
                <w:lang w:eastAsia="en-ZA"/>
              </w:rPr>
            </w:pPr>
            <w:r w:rsidRPr="00D147DB">
              <w:rPr>
                <w:rFonts w:ascii="Times" w:eastAsia="Times New Roman" w:hAnsi="Times" w:cs="Times New Roman"/>
                <w:color w:val="000000"/>
                <w:sz w:val="20"/>
                <w:szCs w:val="20"/>
                <w:lang w:eastAsia="en-ZA"/>
              </w:rPr>
              <w:t>_</w:t>
            </w:r>
          </w:p>
        </w:tc>
        <w:tc>
          <w:tcPr>
            <w:tcW w:w="460" w:type="pct"/>
            <w:noWrap/>
            <w:hideMark/>
          </w:tcPr>
          <w:p w14:paraId="6BAFC707" w14:textId="77777777" w:rsidR="00B75110" w:rsidRPr="00D147DB" w:rsidRDefault="00B75110" w:rsidP="00FC64FC">
            <w:pPr>
              <w:keepNext/>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color w:val="000000"/>
                <w:sz w:val="20"/>
                <w:szCs w:val="20"/>
                <w:lang w:eastAsia="en-ZA"/>
              </w:rPr>
            </w:pPr>
            <w:r w:rsidRPr="00D147DB">
              <w:rPr>
                <w:rFonts w:ascii="Times" w:eastAsia="Times New Roman" w:hAnsi="Times" w:cs="Times New Roman"/>
                <w:color w:val="000000"/>
                <w:sz w:val="20"/>
                <w:szCs w:val="20"/>
                <w:lang w:eastAsia="en-ZA"/>
              </w:rPr>
              <w:t>335</w:t>
            </w:r>
          </w:p>
        </w:tc>
        <w:tc>
          <w:tcPr>
            <w:tcW w:w="460" w:type="pct"/>
            <w:noWrap/>
            <w:hideMark/>
          </w:tcPr>
          <w:p w14:paraId="5173563D" w14:textId="77777777" w:rsidR="00B75110" w:rsidRPr="00D147DB" w:rsidRDefault="00B75110" w:rsidP="00FC64FC">
            <w:pPr>
              <w:keepNext/>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color w:val="000000"/>
                <w:sz w:val="20"/>
                <w:szCs w:val="20"/>
                <w:lang w:eastAsia="en-ZA"/>
              </w:rPr>
            </w:pPr>
            <w:r w:rsidRPr="00D147DB">
              <w:rPr>
                <w:rFonts w:ascii="Times" w:eastAsia="Times New Roman" w:hAnsi="Times" w:cs="Times New Roman"/>
                <w:color w:val="000000"/>
                <w:sz w:val="20"/>
                <w:szCs w:val="20"/>
                <w:lang w:eastAsia="en-ZA"/>
              </w:rPr>
              <w:t>354</w:t>
            </w:r>
          </w:p>
        </w:tc>
        <w:tc>
          <w:tcPr>
            <w:tcW w:w="460" w:type="pct"/>
            <w:noWrap/>
            <w:hideMark/>
          </w:tcPr>
          <w:p w14:paraId="50C032B5" w14:textId="77777777" w:rsidR="00B75110" w:rsidRPr="00D147DB" w:rsidRDefault="00B75110" w:rsidP="00FC64FC">
            <w:pPr>
              <w:keepNext/>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color w:val="000000"/>
                <w:sz w:val="20"/>
                <w:szCs w:val="20"/>
                <w:lang w:eastAsia="en-ZA"/>
              </w:rPr>
            </w:pPr>
            <w:r w:rsidRPr="00D147DB">
              <w:rPr>
                <w:rFonts w:ascii="Times" w:eastAsia="Times New Roman" w:hAnsi="Times" w:cs="Times New Roman"/>
                <w:color w:val="000000"/>
                <w:sz w:val="20"/>
                <w:szCs w:val="20"/>
                <w:lang w:eastAsia="en-ZA"/>
              </w:rPr>
              <w:t>373</w:t>
            </w:r>
          </w:p>
        </w:tc>
        <w:tc>
          <w:tcPr>
            <w:tcW w:w="462" w:type="pct"/>
            <w:noWrap/>
            <w:hideMark/>
          </w:tcPr>
          <w:p w14:paraId="78662DB5" w14:textId="77777777" w:rsidR="00B75110" w:rsidRPr="00D147DB" w:rsidRDefault="00B75110" w:rsidP="00FC64FC">
            <w:pPr>
              <w:keepNext/>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color w:val="000000"/>
                <w:sz w:val="20"/>
                <w:szCs w:val="20"/>
                <w:lang w:eastAsia="en-ZA"/>
              </w:rPr>
            </w:pPr>
            <w:r w:rsidRPr="00D147DB">
              <w:rPr>
                <w:rFonts w:ascii="Times" w:eastAsia="Times New Roman" w:hAnsi="Times" w:cs="Times New Roman"/>
                <w:color w:val="000000"/>
                <w:sz w:val="20"/>
                <w:szCs w:val="20"/>
                <w:lang w:eastAsia="en-ZA"/>
              </w:rPr>
              <w:t>391</w:t>
            </w:r>
          </w:p>
        </w:tc>
      </w:tr>
      <w:tr w:rsidR="00B75110" w:rsidRPr="000D33E4" w14:paraId="633AE01E" w14:textId="77777777" w:rsidTr="00D466F6">
        <w:trPr>
          <w:trHeight w:val="257"/>
        </w:trPr>
        <w:tc>
          <w:tcPr>
            <w:cnfStyle w:val="001000000000" w:firstRow="0" w:lastRow="0" w:firstColumn="1" w:lastColumn="0" w:oddVBand="0" w:evenVBand="0" w:oddHBand="0" w:evenHBand="0" w:firstRowFirstColumn="0" w:firstRowLastColumn="0" w:lastRowFirstColumn="0" w:lastRowLastColumn="0"/>
            <w:tcW w:w="1777" w:type="pct"/>
            <w:noWrap/>
            <w:hideMark/>
          </w:tcPr>
          <w:p w14:paraId="73D78E87" w14:textId="77777777" w:rsidR="00B75110" w:rsidRPr="00D147DB" w:rsidRDefault="00B75110" w:rsidP="00FC64FC">
            <w:pPr>
              <w:keepNext/>
              <w:rPr>
                <w:rFonts w:ascii="Times" w:eastAsia="Times New Roman" w:hAnsi="Times" w:cs="Times New Roman"/>
                <w:b w:val="0"/>
                <w:sz w:val="20"/>
                <w:szCs w:val="20"/>
                <w:lang w:eastAsia="en-ZA"/>
              </w:rPr>
            </w:pPr>
            <w:r w:rsidRPr="00D147DB">
              <w:rPr>
                <w:rFonts w:ascii="Times" w:eastAsia="Times New Roman" w:hAnsi="Times" w:cs="Times New Roman"/>
                <w:b w:val="0"/>
                <w:sz w:val="20"/>
                <w:szCs w:val="20"/>
                <w:lang w:eastAsia="en-ZA"/>
              </w:rPr>
              <w:t xml:space="preserve">Municipal </w:t>
            </w:r>
            <w:r w:rsidR="00D147DB">
              <w:rPr>
                <w:rFonts w:ascii="Times" w:eastAsia="Times New Roman" w:hAnsi="Times" w:cs="Times New Roman"/>
                <w:b w:val="0"/>
                <w:sz w:val="20"/>
                <w:szCs w:val="20"/>
                <w:lang w:eastAsia="en-ZA"/>
              </w:rPr>
              <w:t>I</w:t>
            </w:r>
            <w:r w:rsidRPr="00D147DB">
              <w:rPr>
                <w:rFonts w:ascii="Times" w:eastAsia="Times New Roman" w:hAnsi="Times" w:cs="Times New Roman"/>
                <w:b w:val="0"/>
                <w:sz w:val="20"/>
                <w:szCs w:val="20"/>
                <w:lang w:eastAsia="en-ZA"/>
              </w:rPr>
              <w:t xml:space="preserve">nfrastructure </w:t>
            </w:r>
            <w:r w:rsidR="00D147DB">
              <w:rPr>
                <w:rFonts w:ascii="Times" w:eastAsia="Times New Roman" w:hAnsi="Times" w:cs="Times New Roman"/>
                <w:b w:val="0"/>
                <w:sz w:val="20"/>
                <w:szCs w:val="20"/>
                <w:lang w:eastAsia="en-ZA"/>
              </w:rPr>
              <w:t>G</w:t>
            </w:r>
            <w:r w:rsidRPr="00D147DB">
              <w:rPr>
                <w:rFonts w:ascii="Times" w:eastAsia="Times New Roman" w:hAnsi="Times" w:cs="Times New Roman"/>
                <w:b w:val="0"/>
                <w:sz w:val="20"/>
                <w:szCs w:val="20"/>
                <w:lang w:eastAsia="en-ZA"/>
              </w:rPr>
              <w:t>rant</w:t>
            </w:r>
          </w:p>
        </w:tc>
        <w:tc>
          <w:tcPr>
            <w:tcW w:w="461" w:type="pct"/>
            <w:noWrap/>
            <w:hideMark/>
          </w:tcPr>
          <w:p w14:paraId="2F83D8D1" w14:textId="77777777" w:rsidR="00B75110" w:rsidRPr="00D147DB" w:rsidRDefault="00B75110" w:rsidP="00FC64FC">
            <w:pPr>
              <w:keepNext/>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color w:val="000000"/>
                <w:sz w:val="20"/>
                <w:szCs w:val="20"/>
                <w:lang w:eastAsia="en-ZA"/>
              </w:rPr>
            </w:pPr>
            <w:r w:rsidRPr="00D147DB">
              <w:rPr>
                <w:rFonts w:ascii="Times" w:eastAsia="Times New Roman" w:hAnsi="Times" w:cs="Times New Roman"/>
                <w:color w:val="000000"/>
                <w:sz w:val="20"/>
                <w:szCs w:val="20"/>
                <w:lang w:eastAsia="en-ZA"/>
              </w:rPr>
              <w:t>99%</w:t>
            </w:r>
          </w:p>
        </w:tc>
        <w:tc>
          <w:tcPr>
            <w:tcW w:w="460" w:type="pct"/>
            <w:noWrap/>
            <w:hideMark/>
          </w:tcPr>
          <w:p w14:paraId="70219992" w14:textId="77777777" w:rsidR="00B75110" w:rsidRPr="00D147DB" w:rsidRDefault="00B75110" w:rsidP="00FC64FC">
            <w:pPr>
              <w:keepNext/>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color w:val="000000"/>
                <w:sz w:val="20"/>
                <w:szCs w:val="20"/>
                <w:lang w:eastAsia="en-ZA"/>
              </w:rPr>
            </w:pPr>
            <w:r w:rsidRPr="00D147DB">
              <w:rPr>
                <w:rFonts w:ascii="Times" w:eastAsia="Times New Roman" w:hAnsi="Times" w:cs="Times New Roman"/>
                <w:color w:val="000000"/>
                <w:sz w:val="20"/>
                <w:szCs w:val="20"/>
                <w:lang w:eastAsia="en-ZA"/>
              </w:rPr>
              <w:t>93%</w:t>
            </w:r>
          </w:p>
        </w:tc>
        <w:tc>
          <w:tcPr>
            <w:tcW w:w="460" w:type="pct"/>
            <w:noWrap/>
            <w:hideMark/>
          </w:tcPr>
          <w:p w14:paraId="540D7976" w14:textId="77777777" w:rsidR="00B75110" w:rsidRPr="00D147DB" w:rsidRDefault="00B75110" w:rsidP="00FC64FC">
            <w:pPr>
              <w:keepNext/>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color w:val="000000"/>
                <w:sz w:val="20"/>
                <w:szCs w:val="20"/>
                <w:lang w:eastAsia="en-ZA"/>
              </w:rPr>
            </w:pPr>
            <w:r w:rsidRPr="00D147DB">
              <w:rPr>
                <w:rFonts w:ascii="Times" w:eastAsia="Times New Roman" w:hAnsi="Times" w:cs="Times New Roman"/>
                <w:color w:val="000000"/>
                <w:sz w:val="20"/>
                <w:szCs w:val="20"/>
                <w:lang w:eastAsia="en-ZA"/>
              </w:rPr>
              <w:t>92%</w:t>
            </w:r>
          </w:p>
        </w:tc>
        <w:tc>
          <w:tcPr>
            <w:tcW w:w="460" w:type="pct"/>
            <w:noWrap/>
            <w:hideMark/>
          </w:tcPr>
          <w:p w14:paraId="23F994C9" w14:textId="77777777" w:rsidR="00B75110" w:rsidRPr="00D147DB" w:rsidRDefault="00B75110" w:rsidP="00FC64FC">
            <w:pPr>
              <w:keepNext/>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color w:val="000000"/>
                <w:sz w:val="20"/>
                <w:szCs w:val="20"/>
                <w:lang w:eastAsia="en-ZA"/>
              </w:rPr>
            </w:pPr>
            <w:r w:rsidRPr="00D147DB">
              <w:rPr>
                <w:rFonts w:ascii="Times" w:eastAsia="Times New Roman" w:hAnsi="Times" w:cs="Times New Roman"/>
                <w:color w:val="000000"/>
                <w:sz w:val="20"/>
                <w:szCs w:val="20"/>
                <w:lang w:eastAsia="en-ZA"/>
              </w:rPr>
              <w:t>92%</w:t>
            </w:r>
          </w:p>
        </w:tc>
        <w:tc>
          <w:tcPr>
            <w:tcW w:w="460" w:type="pct"/>
            <w:noWrap/>
            <w:hideMark/>
          </w:tcPr>
          <w:p w14:paraId="38CDB298" w14:textId="77777777" w:rsidR="00B75110" w:rsidRPr="00D147DB" w:rsidRDefault="00B75110" w:rsidP="00FC64FC">
            <w:pPr>
              <w:keepNext/>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color w:val="000000"/>
                <w:sz w:val="20"/>
                <w:szCs w:val="20"/>
                <w:lang w:eastAsia="en-ZA"/>
              </w:rPr>
            </w:pPr>
            <w:r w:rsidRPr="00D147DB">
              <w:rPr>
                <w:rFonts w:ascii="Times" w:eastAsia="Times New Roman" w:hAnsi="Times" w:cs="Times New Roman"/>
                <w:color w:val="000000"/>
                <w:sz w:val="20"/>
                <w:szCs w:val="20"/>
                <w:lang w:eastAsia="en-ZA"/>
              </w:rPr>
              <w:t>14</w:t>
            </w:r>
            <w:r w:rsidR="00D147DB" w:rsidRPr="00D147DB">
              <w:rPr>
                <w:rFonts w:ascii="Times" w:eastAsia="Times New Roman" w:hAnsi="Times" w:cs="Times New Roman"/>
                <w:color w:val="000000"/>
                <w:sz w:val="20"/>
                <w:szCs w:val="20"/>
                <w:lang w:eastAsia="en-ZA"/>
              </w:rPr>
              <w:t xml:space="preserve"> </w:t>
            </w:r>
            <w:r w:rsidRPr="00D147DB">
              <w:rPr>
                <w:rFonts w:ascii="Times" w:eastAsia="Times New Roman" w:hAnsi="Times" w:cs="Times New Roman"/>
                <w:color w:val="000000"/>
                <w:sz w:val="20"/>
                <w:szCs w:val="20"/>
                <w:lang w:eastAsia="en-ZA"/>
              </w:rPr>
              <w:t>671</w:t>
            </w:r>
          </w:p>
        </w:tc>
        <w:tc>
          <w:tcPr>
            <w:tcW w:w="460" w:type="pct"/>
            <w:noWrap/>
            <w:hideMark/>
          </w:tcPr>
          <w:p w14:paraId="46494750" w14:textId="77777777" w:rsidR="00B75110" w:rsidRPr="00D147DB" w:rsidRDefault="00B75110" w:rsidP="00FC64FC">
            <w:pPr>
              <w:keepNext/>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color w:val="000000"/>
                <w:sz w:val="20"/>
                <w:szCs w:val="20"/>
                <w:lang w:eastAsia="en-ZA"/>
              </w:rPr>
            </w:pPr>
            <w:r w:rsidRPr="00D147DB">
              <w:rPr>
                <w:rFonts w:ascii="Times" w:eastAsia="Times New Roman" w:hAnsi="Times" w:cs="Times New Roman"/>
                <w:color w:val="000000"/>
                <w:sz w:val="20"/>
                <w:szCs w:val="20"/>
                <w:lang w:eastAsia="en-ZA"/>
              </w:rPr>
              <w:t>15</w:t>
            </w:r>
            <w:r w:rsidR="00D147DB" w:rsidRPr="00D147DB">
              <w:rPr>
                <w:rFonts w:ascii="Times" w:eastAsia="Times New Roman" w:hAnsi="Times" w:cs="Times New Roman"/>
                <w:color w:val="000000"/>
                <w:sz w:val="20"/>
                <w:szCs w:val="20"/>
                <w:lang w:eastAsia="en-ZA"/>
              </w:rPr>
              <w:t xml:space="preserve"> </w:t>
            </w:r>
            <w:r w:rsidRPr="00D147DB">
              <w:rPr>
                <w:rFonts w:ascii="Times" w:eastAsia="Times New Roman" w:hAnsi="Times" w:cs="Times New Roman"/>
                <w:color w:val="000000"/>
                <w:sz w:val="20"/>
                <w:szCs w:val="20"/>
                <w:lang w:eastAsia="en-ZA"/>
              </w:rPr>
              <w:t>937</w:t>
            </w:r>
          </w:p>
        </w:tc>
        <w:tc>
          <w:tcPr>
            <w:tcW w:w="462" w:type="pct"/>
            <w:noWrap/>
            <w:hideMark/>
          </w:tcPr>
          <w:p w14:paraId="04419697" w14:textId="77777777" w:rsidR="00B75110" w:rsidRPr="00D147DB" w:rsidRDefault="00B75110" w:rsidP="00FC64FC">
            <w:pPr>
              <w:keepNext/>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color w:val="000000"/>
                <w:sz w:val="20"/>
                <w:szCs w:val="20"/>
                <w:lang w:eastAsia="en-ZA"/>
              </w:rPr>
            </w:pPr>
            <w:r w:rsidRPr="00D147DB">
              <w:rPr>
                <w:rFonts w:ascii="Times" w:eastAsia="Times New Roman" w:hAnsi="Times" w:cs="Times New Roman"/>
                <w:color w:val="000000"/>
                <w:sz w:val="20"/>
                <w:szCs w:val="20"/>
                <w:lang w:eastAsia="en-ZA"/>
              </w:rPr>
              <w:t>16</w:t>
            </w:r>
            <w:r w:rsidR="00D147DB" w:rsidRPr="00D147DB">
              <w:rPr>
                <w:rFonts w:ascii="Times" w:eastAsia="Times New Roman" w:hAnsi="Times" w:cs="Times New Roman"/>
                <w:color w:val="000000"/>
                <w:sz w:val="20"/>
                <w:szCs w:val="20"/>
                <w:lang w:eastAsia="en-ZA"/>
              </w:rPr>
              <w:t xml:space="preserve"> </w:t>
            </w:r>
            <w:r w:rsidRPr="00D147DB">
              <w:rPr>
                <w:rFonts w:ascii="Times" w:eastAsia="Times New Roman" w:hAnsi="Times" w:cs="Times New Roman"/>
                <w:color w:val="000000"/>
                <w:sz w:val="20"/>
                <w:szCs w:val="20"/>
                <w:lang w:eastAsia="en-ZA"/>
              </w:rPr>
              <w:t>852</w:t>
            </w:r>
          </w:p>
        </w:tc>
      </w:tr>
    </w:tbl>
    <w:p w14:paraId="64B4C0C1" w14:textId="77777777" w:rsidR="008A3F67" w:rsidRPr="005B2441" w:rsidRDefault="008A3F67" w:rsidP="00FC64FC">
      <w:pPr>
        <w:keepNext/>
        <w:rPr>
          <w:rFonts w:ascii="Times" w:hAnsi="Times"/>
          <w:i/>
          <w:sz w:val="20"/>
          <w:szCs w:val="20"/>
        </w:rPr>
      </w:pPr>
      <w:r w:rsidRPr="005B2441">
        <w:rPr>
          <w:rFonts w:ascii="Times" w:hAnsi="Times"/>
          <w:i/>
          <w:sz w:val="20"/>
          <w:szCs w:val="20"/>
        </w:rPr>
        <w:t>Source: Division of Revenue Bill 2020, various annual reports</w:t>
      </w:r>
    </w:p>
    <w:p w14:paraId="05538E7F" w14:textId="77777777" w:rsidR="00B75110" w:rsidRPr="000D33E4" w:rsidRDefault="00B75110" w:rsidP="007B1E55">
      <w:pPr>
        <w:rPr>
          <w:rFonts w:ascii="Times" w:hAnsi="Times"/>
        </w:rPr>
      </w:pPr>
    </w:p>
    <w:p w14:paraId="718E6491" w14:textId="606749A0" w:rsidR="00574B46" w:rsidRPr="00D449D8" w:rsidRDefault="00D147DB" w:rsidP="009A7F2D">
      <w:pPr>
        <w:rPr>
          <w:lang w:val="en-GB"/>
        </w:rPr>
      </w:pPr>
      <w:r>
        <w:rPr>
          <w:iCs/>
        </w:rPr>
        <w:t xml:space="preserve">The </w:t>
      </w:r>
      <w:r w:rsidR="00B75110" w:rsidRPr="000D33E4">
        <w:rPr>
          <w:i/>
        </w:rPr>
        <w:t>Urban Settlements Development Grant</w:t>
      </w:r>
      <w:r w:rsidR="00B75110" w:rsidRPr="000D33E4">
        <w:t xml:space="preserve"> is aimed </w:t>
      </w:r>
      <w:r>
        <w:t>at</w:t>
      </w:r>
      <w:r w:rsidR="00B75110" w:rsidRPr="000D33E4">
        <w:t xml:space="preserve"> supplement</w:t>
      </w:r>
      <w:r>
        <w:t>ing</w:t>
      </w:r>
      <w:r w:rsidR="00B75110" w:rsidRPr="000D33E4">
        <w:t xml:space="preserve"> capital </w:t>
      </w:r>
      <w:r w:rsidR="00C312BF">
        <w:t>budget</w:t>
      </w:r>
      <w:r w:rsidR="00B75110" w:rsidRPr="000D33E4">
        <w:t xml:space="preserve"> of metros in order to implement infrastructure projects that promote integrated and sustainable urban development and also assist in the upgrading of informal settlements. </w:t>
      </w:r>
      <w:r w:rsidR="00645E36">
        <w:t>Although t</w:t>
      </w:r>
      <w:r w:rsidR="00B75110" w:rsidRPr="000D33E4">
        <w:t xml:space="preserve">he performance of this grant </w:t>
      </w:r>
      <w:r>
        <w:t xml:space="preserve">over the past three years </w:t>
      </w:r>
      <w:r w:rsidR="00B75110" w:rsidRPr="000D33E4">
        <w:t>has been good with 100</w:t>
      </w:r>
      <w:r>
        <w:t xml:space="preserve"> per cent</w:t>
      </w:r>
      <w:r w:rsidR="00B75110" w:rsidRPr="000D33E4">
        <w:t xml:space="preserve"> spending</w:t>
      </w:r>
      <w:r w:rsidR="00645E36">
        <w:t xml:space="preserve">, the </w:t>
      </w:r>
      <w:r w:rsidR="00B8362A" w:rsidRPr="00645E36">
        <w:t>USDG conditions require municipalities to allocate at least 20 per</w:t>
      </w:r>
      <w:r w:rsidR="00FC64FC">
        <w:t xml:space="preserve"> </w:t>
      </w:r>
      <w:r w:rsidR="00B8362A" w:rsidRPr="00645E36">
        <w:t xml:space="preserve">cent of their USDG funds for upgrading of informal settlements through the UISP, and </w:t>
      </w:r>
      <w:r w:rsidR="00645E36">
        <w:t xml:space="preserve">the Commission believes </w:t>
      </w:r>
      <w:r w:rsidR="00B8362A" w:rsidRPr="00645E36">
        <w:t xml:space="preserve">these funds can be </w:t>
      </w:r>
      <w:r w:rsidR="00645E36">
        <w:t>reprioritised</w:t>
      </w:r>
      <w:r w:rsidR="00B8362A" w:rsidRPr="00645E36">
        <w:t xml:space="preserve"> to respond to the </w:t>
      </w:r>
      <w:r w:rsidR="00645E36" w:rsidRPr="00645E36">
        <w:t>Covid</w:t>
      </w:r>
      <w:r w:rsidR="00F73A3F">
        <w:t>-</w:t>
      </w:r>
      <w:r w:rsidR="00645E36" w:rsidRPr="00645E36">
        <w:t>19</w:t>
      </w:r>
      <w:r w:rsidR="00B8362A" w:rsidRPr="00645E36">
        <w:t xml:space="preserve"> challenge.</w:t>
      </w:r>
      <w:r w:rsidR="008A3F67">
        <w:t xml:space="preserve"> The Covid-19 pandemic is hitting </w:t>
      </w:r>
      <w:r w:rsidR="00FC64FC">
        <w:t>m</w:t>
      </w:r>
      <w:r w:rsidR="008A3F67">
        <w:t>etros and intermediate cities</w:t>
      </w:r>
      <w:r w:rsidR="006916E9" w:rsidRPr="006916E9">
        <w:t xml:space="preserve"> </w:t>
      </w:r>
      <w:r w:rsidR="006916E9">
        <w:t>hard</w:t>
      </w:r>
      <w:r w:rsidR="008A3F67">
        <w:t xml:space="preserve">, making it very necessary to redirect resources from this grant for Covid-19 purposes in </w:t>
      </w:r>
      <w:r w:rsidR="00FC64FC">
        <w:t>m</w:t>
      </w:r>
      <w:r w:rsidR="008A3F67">
        <w:t xml:space="preserve">etros and </w:t>
      </w:r>
      <w:r w:rsidR="00FC64FC">
        <w:t>i</w:t>
      </w:r>
      <w:r w:rsidR="008A3F67">
        <w:t xml:space="preserve">ntermediate cities. </w:t>
      </w:r>
      <w:r w:rsidR="00B8362A" w:rsidRPr="00645E36">
        <w:t xml:space="preserve"> </w:t>
      </w:r>
    </w:p>
    <w:p w14:paraId="7EB504FC" w14:textId="77777777" w:rsidR="00574B46" w:rsidRPr="000D33E4" w:rsidRDefault="00574B46" w:rsidP="001063C5">
      <w:pPr>
        <w:rPr>
          <w:rFonts w:ascii="Times" w:hAnsi="Times"/>
        </w:rPr>
      </w:pPr>
    </w:p>
    <w:p w14:paraId="7706D5CD" w14:textId="5AB62947" w:rsidR="0071546B" w:rsidRPr="00DF2F49" w:rsidRDefault="0071546B" w:rsidP="0071546B">
      <w:r w:rsidRPr="00DF2F49">
        <w:rPr>
          <w:iCs/>
        </w:rPr>
        <w:t xml:space="preserve">The </w:t>
      </w:r>
      <w:r w:rsidRPr="00DF2F49">
        <w:rPr>
          <w:i/>
        </w:rPr>
        <w:t>Human Settlements Development Grant</w:t>
      </w:r>
      <w:r w:rsidRPr="00DF2F49">
        <w:t xml:space="preserve"> is a direct grant to provinces established for the progressive realisation of access to adequate housing. The grant has been performing well in the past three years recording 100 per cent spending. For 2019/20, the HSDG has been allocated R18.7 billion but the 2020/21 allocation has decreased to R16.6 billion as part of fiscal consolidation and is expected to decrease further in outer years. Covid-19 has amplified housing challenges across the country. Thus a significant portion of this grant can be redirected for decongesting densely populated areas in urban areas and providing water and sanitation in rural areas. </w:t>
      </w:r>
    </w:p>
    <w:p w14:paraId="208C9EEA" w14:textId="77777777" w:rsidR="00574B46" w:rsidRPr="00DF2F49" w:rsidRDefault="00574B46" w:rsidP="001063C5">
      <w:pPr>
        <w:rPr>
          <w:rFonts w:ascii="Times" w:hAnsi="Times"/>
        </w:rPr>
      </w:pPr>
    </w:p>
    <w:p w14:paraId="4DB93CFE" w14:textId="4E6976B1" w:rsidR="00645E36" w:rsidRPr="00CC559D" w:rsidRDefault="00D147DB" w:rsidP="00797D4D">
      <w:pPr>
        <w:contextualSpacing/>
        <w:textAlignment w:val="baseline"/>
        <w:rPr>
          <w:szCs w:val="24"/>
          <w:lang w:val="en-GB" w:eastAsia="en-GB"/>
        </w:rPr>
      </w:pPr>
      <w:r w:rsidRPr="00DF2F49">
        <w:rPr>
          <w:iCs/>
          <w:szCs w:val="24"/>
        </w:rPr>
        <w:t xml:space="preserve">The </w:t>
      </w:r>
      <w:r w:rsidR="00B75110" w:rsidRPr="00DF2F49">
        <w:rPr>
          <w:i/>
          <w:szCs w:val="24"/>
        </w:rPr>
        <w:t>Water Services Infrastructure Grant (WSIG)</w:t>
      </w:r>
      <w:r w:rsidR="00B75110" w:rsidRPr="00DF2F49">
        <w:rPr>
          <w:szCs w:val="24"/>
        </w:rPr>
        <w:t xml:space="preserve"> takes both a direct and indirect</w:t>
      </w:r>
      <w:r w:rsidR="00B75110" w:rsidRPr="00CC559D">
        <w:rPr>
          <w:szCs w:val="24"/>
        </w:rPr>
        <w:t xml:space="preserve"> </w:t>
      </w:r>
      <w:r w:rsidR="00C312BF">
        <w:rPr>
          <w:szCs w:val="24"/>
        </w:rPr>
        <w:t xml:space="preserve">grant </w:t>
      </w:r>
      <w:r w:rsidR="00B75110" w:rsidRPr="00CC559D">
        <w:rPr>
          <w:szCs w:val="24"/>
        </w:rPr>
        <w:t xml:space="preserve">form. It is designed to fund </w:t>
      </w:r>
      <w:r w:rsidRPr="00CC559D">
        <w:rPr>
          <w:szCs w:val="24"/>
        </w:rPr>
        <w:t xml:space="preserve">the </w:t>
      </w:r>
      <w:r w:rsidR="00B75110" w:rsidRPr="00CC559D">
        <w:rPr>
          <w:szCs w:val="24"/>
        </w:rPr>
        <w:t xml:space="preserve">establishment of new infrastructure and </w:t>
      </w:r>
      <w:r w:rsidRPr="00CC559D">
        <w:rPr>
          <w:szCs w:val="24"/>
        </w:rPr>
        <w:t xml:space="preserve">the </w:t>
      </w:r>
      <w:r w:rsidR="00B75110" w:rsidRPr="00CC559D">
        <w:rPr>
          <w:szCs w:val="24"/>
        </w:rPr>
        <w:t>refurbishment of existing infrastructure. Over the 2020 MTEF</w:t>
      </w:r>
      <w:r w:rsidRPr="00CC559D">
        <w:rPr>
          <w:szCs w:val="24"/>
        </w:rPr>
        <w:t>,</w:t>
      </w:r>
      <w:r w:rsidR="00B75110" w:rsidRPr="00CC559D">
        <w:rPr>
          <w:szCs w:val="24"/>
        </w:rPr>
        <w:t xml:space="preserve"> the grant is R10.8 billion in direct form, and R2.1 billion in indirect form. The main condition attached to this grant is that the scope of the funded project must be aligned to, and not duplicate any existing or planned project funded through other grants or municipal own revenue. The conditions also allow for the use of the grant to fund drought relief intervention based on a plan approved by the </w:t>
      </w:r>
      <w:r w:rsidRPr="00CC559D">
        <w:rPr>
          <w:szCs w:val="24"/>
        </w:rPr>
        <w:t>D</w:t>
      </w:r>
      <w:r w:rsidR="00B75110" w:rsidRPr="00CC559D">
        <w:rPr>
          <w:szCs w:val="24"/>
        </w:rPr>
        <w:t xml:space="preserve">epartment of </w:t>
      </w:r>
      <w:r w:rsidRPr="00CC559D">
        <w:rPr>
          <w:szCs w:val="24"/>
        </w:rPr>
        <w:t>W</w:t>
      </w:r>
      <w:r w:rsidR="00B75110" w:rsidRPr="00CC559D">
        <w:rPr>
          <w:szCs w:val="24"/>
        </w:rPr>
        <w:t xml:space="preserve">ater and </w:t>
      </w:r>
      <w:r w:rsidRPr="00CC559D">
        <w:rPr>
          <w:szCs w:val="24"/>
        </w:rPr>
        <w:t>S</w:t>
      </w:r>
      <w:r w:rsidR="00B75110" w:rsidRPr="00CC559D">
        <w:rPr>
          <w:szCs w:val="24"/>
        </w:rPr>
        <w:t>anitation (DWS).</w:t>
      </w:r>
      <w:r w:rsidR="00645E36" w:rsidRPr="00CC559D">
        <w:rPr>
          <w:rFonts w:eastAsiaTheme="minorEastAsia"/>
          <w:kern w:val="24"/>
          <w:szCs w:val="24"/>
          <w:lang w:val="en-GB" w:eastAsia="en-GB"/>
        </w:rPr>
        <w:t xml:space="preserve"> To use </w:t>
      </w:r>
      <w:r w:rsidR="00CC559D" w:rsidRPr="00CC559D">
        <w:rPr>
          <w:rFonts w:eastAsiaTheme="minorEastAsia"/>
          <w:kern w:val="24"/>
          <w:szCs w:val="24"/>
          <w:lang w:val="en-GB" w:eastAsia="en-GB"/>
        </w:rPr>
        <w:t>funds from</w:t>
      </w:r>
      <w:r w:rsidR="00645E36" w:rsidRPr="00CC559D">
        <w:rPr>
          <w:rFonts w:eastAsiaTheme="minorEastAsia"/>
          <w:kern w:val="24"/>
          <w:szCs w:val="24"/>
          <w:lang w:val="en-GB" w:eastAsia="en-GB"/>
        </w:rPr>
        <w:t xml:space="preserve"> </w:t>
      </w:r>
      <w:r w:rsidR="00645E36" w:rsidRPr="006916E9">
        <w:rPr>
          <w:iCs/>
          <w:szCs w:val="24"/>
        </w:rPr>
        <w:t>WSIG</w:t>
      </w:r>
      <w:r w:rsidR="00645E36" w:rsidRPr="006916E9">
        <w:rPr>
          <w:rFonts w:eastAsiaTheme="minorEastAsia"/>
          <w:iCs/>
          <w:kern w:val="24"/>
          <w:szCs w:val="24"/>
          <w:lang w:val="en-GB" w:eastAsia="en-GB"/>
        </w:rPr>
        <w:t>,</w:t>
      </w:r>
      <w:r w:rsidR="00645E36" w:rsidRPr="00CC559D">
        <w:rPr>
          <w:rFonts w:eastAsiaTheme="minorEastAsia"/>
          <w:kern w:val="24"/>
          <w:szCs w:val="24"/>
          <w:lang w:val="en-GB" w:eastAsia="en-GB"/>
        </w:rPr>
        <w:t xml:space="preserve"> DWS and National Treasury should consider allowing for reprioritising to Covid-19 of the funds that would have been used for drought relief interventions.</w:t>
      </w:r>
    </w:p>
    <w:p w14:paraId="5665B447" w14:textId="77777777" w:rsidR="002B79EA" w:rsidRPr="00CC559D" w:rsidRDefault="002B79EA" w:rsidP="00797D4D">
      <w:pPr>
        <w:rPr>
          <w:szCs w:val="24"/>
        </w:rPr>
      </w:pPr>
    </w:p>
    <w:p w14:paraId="16C1DB6A" w14:textId="4E02BB15" w:rsidR="00645E36" w:rsidRPr="00CC559D" w:rsidRDefault="00B75110" w:rsidP="00797D4D">
      <w:pPr>
        <w:contextualSpacing/>
        <w:textAlignment w:val="baseline"/>
        <w:rPr>
          <w:szCs w:val="24"/>
          <w:lang w:val="en-GB" w:eastAsia="en-GB"/>
        </w:rPr>
      </w:pPr>
      <w:r w:rsidRPr="00CC559D">
        <w:rPr>
          <w:iCs/>
          <w:szCs w:val="24"/>
        </w:rPr>
        <w:t>The</w:t>
      </w:r>
      <w:r w:rsidRPr="00CC559D">
        <w:rPr>
          <w:i/>
          <w:szCs w:val="24"/>
        </w:rPr>
        <w:t xml:space="preserve"> Regional Bulk Infrastructure Grant (RBIG)</w:t>
      </w:r>
      <w:r w:rsidRPr="00CC559D">
        <w:rPr>
          <w:szCs w:val="24"/>
        </w:rPr>
        <w:t xml:space="preserve"> also ha</w:t>
      </w:r>
      <w:r w:rsidR="00D147DB" w:rsidRPr="00CC559D">
        <w:rPr>
          <w:szCs w:val="24"/>
        </w:rPr>
        <w:t>s</w:t>
      </w:r>
      <w:r w:rsidRPr="00CC559D">
        <w:rPr>
          <w:szCs w:val="24"/>
        </w:rPr>
        <w:t xml:space="preserve"> a direct and indirect component. It targets projects that cut across several municipalities, or large bulk projects within a municipality for water and sanitation reticulation to households. For the 2019/20 period, municipalities received an allocation of R5.2 billion through this grant, of which R2.1</w:t>
      </w:r>
      <w:r w:rsidR="001A1D40">
        <w:rPr>
          <w:szCs w:val="24"/>
        </w:rPr>
        <w:t xml:space="preserve"> </w:t>
      </w:r>
      <w:r w:rsidRPr="00CC559D">
        <w:rPr>
          <w:szCs w:val="24"/>
        </w:rPr>
        <w:t xml:space="preserve">billion </w:t>
      </w:r>
      <w:r w:rsidR="00D147DB" w:rsidRPr="00CC559D">
        <w:rPr>
          <w:szCs w:val="24"/>
        </w:rPr>
        <w:t>was in</w:t>
      </w:r>
      <w:r w:rsidRPr="00CC559D">
        <w:rPr>
          <w:szCs w:val="24"/>
        </w:rPr>
        <w:t xml:space="preserve"> direct form and R3.1 billion in indirect form. </w:t>
      </w:r>
      <w:r w:rsidR="00D147DB" w:rsidRPr="00CC559D">
        <w:rPr>
          <w:szCs w:val="24"/>
        </w:rPr>
        <w:t>Over the 2020 MTEF, t</w:t>
      </w:r>
      <w:r w:rsidRPr="00CC559D">
        <w:rPr>
          <w:szCs w:val="24"/>
        </w:rPr>
        <w:t xml:space="preserve">he grant is R17.0 billion, with R6.4 billion in direct form and R10.6 in indirect form. The conditions of this grant require that all projects funded through </w:t>
      </w:r>
      <w:r w:rsidR="00D147DB" w:rsidRPr="00CC559D">
        <w:rPr>
          <w:szCs w:val="24"/>
        </w:rPr>
        <w:t xml:space="preserve">it </w:t>
      </w:r>
      <w:r w:rsidRPr="00CC559D">
        <w:rPr>
          <w:szCs w:val="24"/>
        </w:rPr>
        <w:t xml:space="preserve">be included in in the municipal integrated development plan and water services development plan and should be linked to projects financed through MIG and WSIG. Similarly to the WSIG, the direct component of this grant allows for use of funds for drought relief interventions based on a business plan </w:t>
      </w:r>
      <w:r w:rsidR="002B79EA" w:rsidRPr="00CC559D">
        <w:rPr>
          <w:szCs w:val="24"/>
        </w:rPr>
        <w:t xml:space="preserve">approved by </w:t>
      </w:r>
      <w:r w:rsidR="00D147DB" w:rsidRPr="00CC559D">
        <w:rPr>
          <w:szCs w:val="24"/>
        </w:rPr>
        <w:t xml:space="preserve">the </w:t>
      </w:r>
      <w:r w:rsidR="002B79EA" w:rsidRPr="00CC559D">
        <w:rPr>
          <w:szCs w:val="24"/>
        </w:rPr>
        <w:t xml:space="preserve">DWS. </w:t>
      </w:r>
      <w:r w:rsidR="0086306A">
        <w:rPr>
          <w:szCs w:val="24"/>
        </w:rPr>
        <w:t xml:space="preserve">As for the </w:t>
      </w:r>
      <w:r w:rsidR="00CC559D" w:rsidRPr="00CC559D">
        <w:rPr>
          <w:szCs w:val="24"/>
        </w:rPr>
        <w:t xml:space="preserve">WSIG, </w:t>
      </w:r>
      <w:r w:rsidR="00645E36" w:rsidRPr="00CC559D">
        <w:rPr>
          <w:rFonts w:eastAsiaTheme="minorEastAsia"/>
          <w:kern w:val="24"/>
          <w:szCs w:val="24"/>
          <w:lang w:val="en-GB" w:eastAsia="en-GB"/>
        </w:rPr>
        <w:t xml:space="preserve">DWS and National Treasury </w:t>
      </w:r>
      <w:r w:rsidR="00CC559D" w:rsidRPr="00CC559D">
        <w:rPr>
          <w:rFonts w:eastAsiaTheme="minorEastAsia"/>
          <w:kern w:val="24"/>
          <w:szCs w:val="24"/>
          <w:lang w:val="en-GB" w:eastAsia="en-GB"/>
        </w:rPr>
        <w:t xml:space="preserve">should consider </w:t>
      </w:r>
      <w:r w:rsidR="00645E36" w:rsidRPr="00CC559D">
        <w:rPr>
          <w:rFonts w:eastAsiaTheme="minorEastAsia"/>
          <w:kern w:val="24"/>
          <w:szCs w:val="24"/>
          <w:lang w:val="en-GB" w:eastAsia="en-GB"/>
        </w:rPr>
        <w:t>reprioritising to Covid-19 funds that would have been used for drought relief</w:t>
      </w:r>
      <w:r w:rsidR="00CC559D" w:rsidRPr="00CC559D">
        <w:rPr>
          <w:rFonts w:eastAsiaTheme="minorEastAsia"/>
          <w:kern w:val="24"/>
          <w:szCs w:val="24"/>
          <w:lang w:val="en-GB" w:eastAsia="en-GB"/>
        </w:rPr>
        <w:t xml:space="preserve"> interventions in the absence of drought related need.</w:t>
      </w:r>
    </w:p>
    <w:p w14:paraId="260B4042" w14:textId="77777777" w:rsidR="002B79EA" w:rsidRPr="00CC559D" w:rsidRDefault="002B79EA" w:rsidP="00797D4D">
      <w:pPr>
        <w:rPr>
          <w:szCs w:val="24"/>
        </w:rPr>
      </w:pPr>
    </w:p>
    <w:p w14:paraId="18ACFA26" w14:textId="1AA56E93" w:rsidR="002B79EA" w:rsidRPr="000D33E4" w:rsidRDefault="00B75110" w:rsidP="009A7F2D">
      <w:r w:rsidRPr="009A7F2D">
        <w:rPr>
          <w:iCs/>
        </w:rPr>
        <w:t>The</w:t>
      </w:r>
      <w:r w:rsidRPr="000D33E4">
        <w:rPr>
          <w:i/>
        </w:rPr>
        <w:t xml:space="preserve"> Municipal Infrastructure Grant (MIG)</w:t>
      </w:r>
      <w:r w:rsidRPr="000D33E4">
        <w:t xml:space="preserve"> is a direct grant and aims to finance establishment of the infrastructure for basic services, roads and social infrastructure for poor households in non-metropolitan municipalities. The grant is distributed through a formula and allocates 75 per</w:t>
      </w:r>
      <w:r w:rsidR="00F37D28">
        <w:t xml:space="preserve"> </w:t>
      </w:r>
      <w:r w:rsidRPr="000D33E4">
        <w:t>cent of the funds for the provision of basic services, and 72 per</w:t>
      </w:r>
      <w:r w:rsidR="00F37D28">
        <w:t xml:space="preserve"> </w:t>
      </w:r>
      <w:r w:rsidRPr="000D33E4">
        <w:t>ce</w:t>
      </w:r>
      <w:r w:rsidR="00F37D28">
        <w:t xml:space="preserve">nt </w:t>
      </w:r>
      <w:r w:rsidR="0086306A">
        <w:t xml:space="preserve">specifically </w:t>
      </w:r>
      <w:r w:rsidRPr="000D33E4">
        <w:t>towards water and sanitation. The main condition of this grant is that it must only be used to fund MIG registered projects. The conditions indicate that MIG priorities set by municipalities can only be changed in</w:t>
      </w:r>
      <w:r w:rsidR="00F37D28">
        <w:t>-</w:t>
      </w:r>
      <w:r w:rsidRPr="000D33E4">
        <w:t>year</w:t>
      </w:r>
      <w:r w:rsidR="0086306A">
        <w:t>,</w:t>
      </w:r>
      <w:r w:rsidRPr="000D33E4">
        <w:t xml:space="preserve"> </w:t>
      </w:r>
      <w:r w:rsidR="0086306A">
        <w:t>interchangeable</w:t>
      </w:r>
      <w:r w:rsidR="0086306A" w:rsidRPr="000D33E4">
        <w:t xml:space="preserve"> </w:t>
      </w:r>
      <w:r w:rsidRPr="000D33E4">
        <w:t xml:space="preserve">with other MIG registered projects after municipal council approval and </w:t>
      </w:r>
      <w:r w:rsidR="00F37D28">
        <w:t>D</w:t>
      </w:r>
      <w:r w:rsidRPr="000D33E4">
        <w:t xml:space="preserve">epartment of </w:t>
      </w:r>
      <w:r w:rsidR="00F37D28">
        <w:t>C</w:t>
      </w:r>
      <w:r w:rsidRPr="000D33E4">
        <w:t xml:space="preserve">ooperate </w:t>
      </w:r>
      <w:r w:rsidR="00F37D28">
        <w:t>G</w:t>
      </w:r>
      <w:r w:rsidRPr="000D33E4">
        <w:t>overnance</w:t>
      </w:r>
      <w:r w:rsidR="00F37D28">
        <w:t xml:space="preserve"> and Traditional Affairs</w:t>
      </w:r>
      <w:r w:rsidRPr="000D33E4">
        <w:t xml:space="preserve"> </w:t>
      </w:r>
      <w:r w:rsidR="00F37D28">
        <w:t>(CoGTA</w:t>
      </w:r>
      <w:r w:rsidRPr="000D33E4">
        <w:t xml:space="preserve">). For the period 2019/20, the grant </w:t>
      </w:r>
      <w:r w:rsidR="00F37D28">
        <w:t>was</w:t>
      </w:r>
      <w:r w:rsidRPr="000D33E4">
        <w:t xml:space="preserve"> R14.8 billion, and is R47.5 billion over the 2020 MTEF. Over the period 2016/17 to 2018/19, the grant recorded an average spending of 94 per</w:t>
      </w:r>
      <w:r w:rsidR="00F37D28">
        <w:t xml:space="preserve"> </w:t>
      </w:r>
      <w:r w:rsidRPr="000D33E4">
        <w:t>cent. The conditions of this grant do not give much flexibility for emergency case</w:t>
      </w:r>
      <w:r w:rsidR="00F37D28">
        <w:t>s</w:t>
      </w:r>
      <w:r w:rsidRPr="000D33E4">
        <w:t xml:space="preserve"> as all projects funded through MIG must form part of the MIG implementation plan. However, given that the allocation formula of the grant prioriti</w:t>
      </w:r>
      <w:r w:rsidR="00F37D28">
        <w:t>s</w:t>
      </w:r>
      <w:r w:rsidRPr="000D33E4">
        <w:t>es water and sanitation, it is likely that all non-metropolitan municipalities have water and sanitation related projects in their IDPs and MIG implementation plans. The Commission is of the view that under circumstances such as the Covid</w:t>
      </w:r>
      <w:r w:rsidR="00F37D28">
        <w:t>-</w:t>
      </w:r>
      <w:r w:rsidRPr="000D33E4">
        <w:t>19 pandemic, the Department</w:t>
      </w:r>
      <w:r w:rsidR="00F37D28">
        <w:t>s</w:t>
      </w:r>
      <w:r w:rsidRPr="000D33E4">
        <w:t xml:space="preserve"> of Cooperative Governance</w:t>
      </w:r>
      <w:r w:rsidR="00F37D28">
        <w:t xml:space="preserve"> and Traditional Affairs</w:t>
      </w:r>
      <w:r w:rsidRPr="000D33E4">
        <w:t xml:space="preserve">, Water and Sanitation, and National Treasury could consider allowing municipalities to fast-track the implementation of 2020/21 water and sanitation projects and make alteration on the descriptions of planned projects to support government </w:t>
      </w:r>
      <w:r w:rsidR="00F37D28">
        <w:t>C</w:t>
      </w:r>
      <w:r w:rsidRPr="000D33E4">
        <w:t>ovid</w:t>
      </w:r>
      <w:r w:rsidR="00F37D28">
        <w:t>-</w:t>
      </w:r>
      <w:r w:rsidRPr="000D33E4">
        <w:t xml:space="preserve">19 responses. </w:t>
      </w:r>
    </w:p>
    <w:p w14:paraId="3F0532EF" w14:textId="562DFE95" w:rsidR="002B79EA" w:rsidRDefault="00B75110" w:rsidP="009A7F2D">
      <w:pPr>
        <w:rPr>
          <w:rFonts w:ascii="Times" w:hAnsi="Times"/>
        </w:rPr>
      </w:pPr>
      <w:r w:rsidRPr="000D33E4">
        <w:rPr>
          <w:rFonts w:ascii="Times" w:hAnsi="Times"/>
        </w:rPr>
        <w:t xml:space="preserve"> </w:t>
      </w:r>
    </w:p>
    <w:p w14:paraId="3D8C8A5F" w14:textId="1D8E30C3" w:rsidR="00955C72" w:rsidRDefault="00955C72" w:rsidP="009A7F2D">
      <w:pPr>
        <w:rPr>
          <w:rFonts w:ascii="Times" w:hAnsi="Times"/>
        </w:rPr>
      </w:pPr>
    </w:p>
    <w:p w14:paraId="72F15904" w14:textId="63D33D47" w:rsidR="00955C72" w:rsidRDefault="00955C72" w:rsidP="009A7F2D">
      <w:pPr>
        <w:rPr>
          <w:rFonts w:ascii="Times" w:hAnsi="Times"/>
        </w:rPr>
      </w:pPr>
    </w:p>
    <w:p w14:paraId="39E2C2BB" w14:textId="1CFA4FA6" w:rsidR="00955C72" w:rsidRDefault="00955C72" w:rsidP="009A7F2D">
      <w:pPr>
        <w:rPr>
          <w:rFonts w:ascii="Times" w:hAnsi="Times"/>
        </w:rPr>
      </w:pPr>
    </w:p>
    <w:p w14:paraId="49CE4C1A" w14:textId="27663AD1" w:rsidR="00955C72" w:rsidRDefault="00955C72" w:rsidP="009A7F2D">
      <w:pPr>
        <w:rPr>
          <w:rFonts w:ascii="Times" w:hAnsi="Times"/>
        </w:rPr>
      </w:pPr>
    </w:p>
    <w:p w14:paraId="17EB226B" w14:textId="6AA9D2F2" w:rsidR="00955C72" w:rsidRDefault="00955C72" w:rsidP="009A7F2D">
      <w:pPr>
        <w:rPr>
          <w:rFonts w:ascii="Times" w:hAnsi="Times"/>
        </w:rPr>
      </w:pPr>
    </w:p>
    <w:p w14:paraId="100E7AF0" w14:textId="42ED1308" w:rsidR="00955C72" w:rsidRDefault="00955C72" w:rsidP="009A7F2D">
      <w:pPr>
        <w:rPr>
          <w:rFonts w:ascii="Times" w:hAnsi="Times"/>
        </w:rPr>
      </w:pPr>
    </w:p>
    <w:p w14:paraId="1BFFE0F1" w14:textId="77777777" w:rsidR="00955C72" w:rsidRPr="000D33E4" w:rsidRDefault="00955C72" w:rsidP="009A7F2D">
      <w:pPr>
        <w:rPr>
          <w:rFonts w:ascii="Times" w:hAnsi="Times"/>
        </w:rPr>
      </w:pPr>
    </w:p>
    <w:p w14:paraId="417DCA18" w14:textId="77777777" w:rsidR="0086306A" w:rsidRPr="000D33E4" w:rsidRDefault="00B75110" w:rsidP="0086306A">
      <w:pPr>
        <w:pStyle w:val="Heading3"/>
      </w:pPr>
      <w:bookmarkStart w:id="129" w:name="_Toc42211929"/>
      <w:r w:rsidRPr="000D33E4">
        <w:t xml:space="preserve">Economic Development Conditional </w:t>
      </w:r>
      <w:r w:rsidR="0086306A" w:rsidRPr="000D33E4">
        <w:t>Grants</w:t>
      </w:r>
      <w:bookmarkEnd w:id="129"/>
    </w:p>
    <w:p w14:paraId="14CE5200" w14:textId="77777777" w:rsidR="0035298A" w:rsidRDefault="0035298A" w:rsidP="009A7F2D">
      <w:pPr>
        <w:rPr>
          <w:rFonts w:ascii="Times" w:eastAsiaTheme="majorEastAsia" w:hAnsi="Times" w:cstheme="majorBidi"/>
          <w:b/>
          <w:color w:val="004C45" w:themeColor="text2"/>
          <w:szCs w:val="24"/>
        </w:rPr>
      </w:pPr>
    </w:p>
    <w:p w14:paraId="4A804940" w14:textId="53198348" w:rsidR="00955C72" w:rsidRDefault="0035298A" w:rsidP="009A7F2D">
      <w:bookmarkStart w:id="130" w:name="_Toc42212156"/>
      <w:r w:rsidRPr="00492893">
        <w:rPr>
          <w:color w:val="004C45" w:themeColor="text2"/>
        </w:rPr>
        <w:t xml:space="preserve">Table </w:t>
      </w:r>
      <w:r w:rsidRPr="00492893">
        <w:rPr>
          <w:color w:val="004C45" w:themeColor="text2"/>
        </w:rPr>
        <w:fldChar w:fldCharType="begin"/>
      </w:r>
      <w:r w:rsidRPr="00492893">
        <w:rPr>
          <w:color w:val="004C45" w:themeColor="text2"/>
        </w:rPr>
        <w:instrText xml:space="preserve"> SEQ Table \* ARABIC </w:instrText>
      </w:r>
      <w:r w:rsidRPr="00492893">
        <w:rPr>
          <w:color w:val="004C45" w:themeColor="text2"/>
        </w:rPr>
        <w:fldChar w:fldCharType="separate"/>
      </w:r>
      <w:r w:rsidRPr="00492893">
        <w:rPr>
          <w:noProof/>
          <w:color w:val="004C45" w:themeColor="text2"/>
        </w:rPr>
        <w:t>26</w:t>
      </w:r>
      <w:r w:rsidRPr="00492893">
        <w:rPr>
          <w:color w:val="004C45" w:themeColor="text2"/>
        </w:rPr>
        <w:fldChar w:fldCharType="end"/>
      </w:r>
      <w:r w:rsidR="00396ED2">
        <w:rPr>
          <w:color w:val="000000" w:themeColor="text1"/>
        </w:rPr>
        <w:t xml:space="preserve"> </w:t>
      </w:r>
      <w:r w:rsidR="00955C72">
        <w:t>presents conditional grant allocations in the Economic Development functional area.</w:t>
      </w:r>
      <w:bookmarkEnd w:id="130"/>
      <w:r w:rsidR="00955C72">
        <w:t xml:space="preserve"> </w:t>
      </w:r>
    </w:p>
    <w:p w14:paraId="53D0A3F6" w14:textId="77777777" w:rsidR="00955C72" w:rsidRDefault="00955C72" w:rsidP="009A7F2D"/>
    <w:p w14:paraId="0666D4F6" w14:textId="3B5CEDDF" w:rsidR="00955C72" w:rsidRPr="00492893" w:rsidRDefault="00955C72" w:rsidP="00396ED2">
      <w:pPr>
        <w:rPr>
          <w:color w:val="004C45" w:themeColor="text2"/>
        </w:rPr>
      </w:pPr>
      <w:bookmarkStart w:id="131" w:name="_Toc42212157"/>
      <w:r w:rsidRPr="00492893">
        <w:rPr>
          <w:color w:val="004C45" w:themeColor="text2"/>
        </w:rPr>
        <w:t xml:space="preserve">Table </w:t>
      </w:r>
      <w:r w:rsidRPr="00492893">
        <w:rPr>
          <w:color w:val="004C45" w:themeColor="text2"/>
        </w:rPr>
        <w:fldChar w:fldCharType="begin"/>
      </w:r>
      <w:r w:rsidRPr="00492893">
        <w:rPr>
          <w:color w:val="004C45" w:themeColor="text2"/>
        </w:rPr>
        <w:instrText xml:space="preserve"> SEQ Table \* ARABIC </w:instrText>
      </w:r>
      <w:r w:rsidRPr="00492893">
        <w:rPr>
          <w:color w:val="004C45" w:themeColor="text2"/>
        </w:rPr>
        <w:fldChar w:fldCharType="separate"/>
      </w:r>
      <w:r w:rsidR="00492893" w:rsidRPr="00492893">
        <w:rPr>
          <w:noProof/>
          <w:color w:val="004C45" w:themeColor="text2"/>
        </w:rPr>
        <w:t>26</w:t>
      </w:r>
      <w:r w:rsidRPr="00492893">
        <w:rPr>
          <w:color w:val="004C45" w:themeColor="text2"/>
        </w:rPr>
        <w:fldChar w:fldCharType="end"/>
      </w:r>
      <w:r w:rsidRPr="00492893">
        <w:rPr>
          <w:rFonts w:ascii="Times" w:hAnsi="Times"/>
          <w:color w:val="004C45" w:themeColor="text2"/>
          <w:szCs w:val="24"/>
        </w:rPr>
        <w:t xml:space="preserve"> </w:t>
      </w:r>
      <w:r w:rsidRPr="00492893">
        <w:rPr>
          <w:color w:val="004C45" w:themeColor="text2"/>
          <w:szCs w:val="24"/>
        </w:rPr>
        <w:t xml:space="preserve">Summary of performance and 2020 MTEF allocations of </w:t>
      </w:r>
      <w:r w:rsidRPr="00492893">
        <w:rPr>
          <w:color w:val="004C45" w:themeColor="text2"/>
        </w:rPr>
        <w:t>Economic Development Conditional Grants</w:t>
      </w:r>
      <w:r w:rsidRPr="00492893">
        <w:rPr>
          <w:color w:val="004C45" w:themeColor="text2"/>
          <w:szCs w:val="24"/>
        </w:rPr>
        <w:t xml:space="preserve"> where reprioritisation is proposed</w:t>
      </w:r>
      <w:bookmarkEnd w:id="131"/>
    </w:p>
    <w:tbl>
      <w:tblPr>
        <w:tblW w:w="5000" w:type="pct"/>
        <w:jc w:val="center"/>
        <w:tblLook w:val="0420" w:firstRow="1" w:lastRow="0" w:firstColumn="0" w:lastColumn="0" w:noHBand="0" w:noVBand="1"/>
      </w:tblPr>
      <w:tblGrid>
        <w:gridCol w:w="4008"/>
        <w:gridCol w:w="700"/>
        <w:gridCol w:w="700"/>
        <w:gridCol w:w="700"/>
        <w:gridCol w:w="880"/>
        <w:gridCol w:w="880"/>
        <w:gridCol w:w="880"/>
        <w:gridCol w:w="880"/>
      </w:tblGrid>
      <w:tr w:rsidR="00955C72" w:rsidRPr="00D02E5D" w14:paraId="77FCAC1F" w14:textId="77777777" w:rsidTr="00955C72">
        <w:trPr>
          <w:trHeight w:val="262"/>
          <w:jc w:val="center"/>
        </w:trPr>
        <w:tc>
          <w:tcPr>
            <w:tcW w:w="20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7F50A7" w14:textId="77777777" w:rsidR="00955C72" w:rsidRPr="00D02E5D" w:rsidRDefault="00955C72" w:rsidP="00492893">
            <w:pPr>
              <w:spacing w:line="240" w:lineRule="auto"/>
              <w:rPr>
                <w:b/>
                <w:bCs/>
                <w:color w:val="000000"/>
                <w:sz w:val="16"/>
                <w:szCs w:val="16"/>
                <w:lang w:eastAsia="en-ZA"/>
              </w:rPr>
            </w:pPr>
            <w:r w:rsidRPr="00D02E5D">
              <w:rPr>
                <w:b/>
                <w:bCs/>
                <w:color w:val="000000"/>
                <w:sz w:val="16"/>
                <w:szCs w:val="16"/>
                <w:lang w:val="en-US" w:eastAsia="en-ZA"/>
              </w:rPr>
              <w:t> </w:t>
            </w:r>
          </w:p>
        </w:tc>
        <w:tc>
          <w:tcPr>
            <w:tcW w:w="1091" w:type="pct"/>
            <w:gridSpan w:val="3"/>
            <w:tcBorders>
              <w:top w:val="single" w:sz="4" w:space="0" w:color="auto"/>
              <w:left w:val="nil"/>
              <w:bottom w:val="single" w:sz="4" w:space="0" w:color="auto"/>
              <w:right w:val="single" w:sz="4" w:space="0" w:color="auto"/>
            </w:tcBorders>
            <w:shd w:val="clear" w:color="auto" w:fill="auto"/>
            <w:noWrap/>
            <w:vAlign w:val="center"/>
            <w:hideMark/>
          </w:tcPr>
          <w:p w14:paraId="2045E0A0" w14:textId="77777777" w:rsidR="00955C72" w:rsidRPr="00D02E5D" w:rsidRDefault="00955C72" w:rsidP="00492893">
            <w:pPr>
              <w:spacing w:line="240" w:lineRule="auto"/>
              <w:jc w:val="center"/>
              <w:rPr>
                <w:b/>
                <w:bCs/>
                <w:color w:val="000000"/>
                <w:sz w:val="16"/>
                <w:szCs w:val="16"/>
                <w:lang w:eastAsia="en-ZA"/>
              </w:rPr>
            </w:pPr>
            <w:r w:rsidRPr="00D02E5D">
              <w:rPr>
                <w:b/>
                <w:bCs/>
                <w:color w:val="000000"/>
                <w:sz w:val="16"/>
                <w:szCs w:val="16"/>
                <w:lang w:val="en-US" w:eastAsia="en-ZA"/>
              </w:rPr>
              <w:t xml:space="preserve">Spending performance </w:t>
            </w:r>
          </w:p>
        </w:tc>
        <w:tc>
          <w:tcPr>
            <w:tcW w:w="1828" w:type="pct"/>
            <w:gridSpan w:val="4"/>
            <w:tcBorders>
              <w:top w:val="single" w:sz="4" w:space="0" w:color="auto"/>
              <w:left w:val="nil"/>
              <w:bottom w:val="single" w:sz="4" w:space="0" w:color="auto"/>
              <w:right w:val="single" w:sz="4" w:space="0" w:color="auto"/>
            </w:tcBorders>
            <w:shd w:val="clear" w:color="auto" w:fill="auto"/>
            <w:vAlign w:val="center"/>
            <w:hideMark/>
          </w:tcPr>
          <w:p w14:paraId="33C71851" w14:textId="77777777" w:rsidR="00955C72" w:rsidRPr="00D02E5D" w:rsidRDefault="00955C72" w:rsidP="00492893">
            <w:pPr>
              <w:spacing w:line="240" w:lineRule="auto"/>
              <w:jc w:val="center"/>
              <w:rPr>
                <w:b/>
                <w:bCs/>
                <w:color w:val="000000"/>
                <w:sz w:val="16"/>
                <w:szCs w:val="16"/>
                <w:lang w:eastAsia="en-ZA"/>
              </w:rPr>
            </w:pPr>
            <w:r w:rsidRPr="00D02E5D">
              <w:rPr>
                <w:b/>
                <w:bCs/>
                <w:color w:val="000000"/>
                <w:sz w:val="16"/>
                <w:szCs w:val="16"/>
                <w:lang w:val="en-US" w:eastAsia="en-ZA"/>
              </w:rPr>
              <w:t xml:space="preserve">Allocations </w:t>
            </w:r>
          </w:p>
        </w:tc>
      </w:tr>
      <w:tr w:rsidR="00955C72" w:rsidRPr="00D02E5D" w14:paraId="08990EB8" w14:textId="77777777" w:rsidTr="00955C72">
        <w:trPr>
          <w:trHeight w:val="262"/>
          <w:jc w:val="center"/>
        </w:trPr>
        <w:tc>
          <w:tcPr>
            <w:tcW w:w="2081" w:type="pct"/>
            <w:tcBorders>
              <w:top w:val="nil"/>
              <w:left w:val="single" w:sz="4" w:space="0" w:color="auto"/>
              <w:bottom w:val="single" w:sz="4" w:space="0" w:color="auto"/>
              <w:right w:val="single" w:sz="4" w:space="0" w:color="auto"/>
            </w:tcBorders>
            <w:shd w:val="clear" w:color="auto" w:fill="auto"/>
            <w:noWrap/>
            <w:vAlign w:val="center"/>
            <w:hideMark/>
          </w:tcPr>
          <w:p w14:paraId="33641327" w14:textId="77777777" w:rsidR="00955C72" w:rsidRPr="00D02E5D" w:rsidRDefault="00955C72" w:rsidP="00492893">
            <w:pPr>
              <w:spacing w:line="240" w:lineRule="auto"/>
              <w:rPr>
                <w:b/>
                <w:bCs/>
                <w:color w:val="000000"/>
                <w:sz w:val="16"/>
                <w:szCs w:val="16"/>
                <w:lang w:eastAsia="en-ZA"/>
              </w:rPr>
            </w:pPr>
            <w:r w:rsidRPr="00D02E5D">
              <w:rPr>
                <w:b/>
                <w:bCs/>
                <w:color w:val="000000"/>
                <w:sz w:val="16"/>
                <w:szCs w:val="16"/>
                <w:lang w:val="en-US" w:eastAsia="en-ZA"/>
              </w:rPr>
              <w:t>R million</w:t>
            </w:r>
          </w:p>
        </w:tc>
        <w:tc>
          <w:tcPr>
            <w:tcW w:w="364" w:type="pct"/>
            <w:tcBorders>
              <w:top w:val="nil"/>
              <w:left w:val="nil"/>
              <w:bottom w:val="single" w:sz="4" w:space="0" w:color="auto"/>
              <w:right w:val="single" w:sz="4" w:space="0" w:color="auto"/>
            </w:tcBorders>
            <w:shd w:val="clear" w:color="auto" w:fill="auto"/>
            <w:noWrap/>
            <w:vAlign w:val="center"/>
            <w:hideMark/>
          </w:tcPr>
          <w:p w14:paraId="213F9C9B" w14:textId="77777777" w:rsidR="00955C72" w:rsidRPr="00D02E5D" w:rsidRDefault="00955C72" w:rsidP="00492893">
            <w:pPr>
              <w:spacing w:line="240" w:lineRule="auto"/>
              <w:jc w:val="right"/>
              <w:rPr>
                <w:b/>
                <w:bCs/>
                <w:color w:val="000000"/>
                <w:sz w:val="16"/>
                <w:szCs w:val="16"/>
                <w:lang w:eastAsia="en-ZA"/>
              </w:rPr>
            </w:pPr>
            <w:r w:rsidRPr="00D02E5D">
              <w:rPr>
                <w:b/>
                <w:bCs/>
                <w:color w:val="000000"/>
                <w:sz w:val="16"/>
                <w:szCs w:val="16"/>
                <w:lang w:val="en-US" w:eastAsia="en-ZA"/>
              </w:rPr>
              <w:t>2016/17</w:t>
            </w:r>
          </w:p>
        </w:tc>
        <w:tc>
          <w:tcPr>
            <w:tcW w:w="364" w:type="pct"/>
            <w:tcBorders>
              <w:top w:val="nil"/>
              <w:left w:val="nil"/>
              <w:bottom w:val="single" w:sz="4" w:space="0" w:color="auto"/>
              <w:right w:val="single" w:sz="4" w:space="0" w:color="auto"/>
            </w:tcBorders>
            <w:shd w:val="clear" w:color="auto" w:fill="auto"/>
            <w:noWrap/>
            <w:vAlign w:val="center"/>
            <w:hideMark/>
          </w:tcPr>
          <w:p w14:paraId="2067AD31" w14:textId="77777777" w:rsidR="00955C72" w:rsidRPr="00D02E5D" w:rsidRDefault="00955C72" w:rsidP="00492893">
            <w:pPr>
              <w:spacing w:line="240" w:lineRule="auto"/>
              <w:jc w:val="right"/>
              <w:rPr>
                <w:b/>
                <w:bCs/>
                <w:color w:val="000000"/>
                <w:sz w:val="16"/>
                <w:szCs w:val="16"/>
                <w:lang w:eastAsia="en-ZA"/>
              </w:rPr>
            </w:pPr>
            <w:r w:rsidRPr="00D02E5D">
              <w:rPr>
                <w:b/>
                <w:bCs/>
                <w:color w:val="000000"/>
                <w:sz w:val="16"/>
                <w:szCs w:val="16"/>
                <w:lang w:val="en-US" w:eastAsia="en-ZA"/>
              </w:rPr>
              <w:t>2017/18</w:t>
            </w:r>
          </w:p>
        </w:tc>
        <w:tc>
          <w:tcPr>
            <w:tcW w:w="364" w:type="pct"/>
            <w:tcBorders>
              <w:top w:val="nil"/>
              <w:left w:val="nil"/>
              <w:bottom w:val="single" w:sz="4" w:space="0" w:color="auto"/>
              <w:right w:val="single" w:sz="4" w:space="0" w:color="auto"/>
            </w:tcBorders>
            <w:shd w:val="clear" w:color="auto" w:fill="auto"/>
            <w:noWrap/>
            <w:vAlign w:val="center"/>
            <w:hideMark/>
          </w:tcPr>
          <w:p w14:paraId="446C0432" w14:textId="77777777" w:rsidR="00955C72" w:rsidRPr="00D02E5D" w:rsidRDefault="00955C72" w:rsidP="00492893">
            <w:pPr>
              <w:spacing w:line="240" w:lineRule="auto"/>
              <w:jc w:val="right"/>
              <w:rPr>
                <w:b/>
                <w:bCs/>
                <w:color w:val="000000"/>
                <w:sz w:val="16"/>
                <w:szCs w:val="16"/>
                <w:lang w:eastAsia="en-ZA"/>
              </w:rPr>
            </w:pPr>
            <w:r w:rsidRPr="00D02E5D">
              <w:rPr>
                <w:b/>
                <w:bCs/>
                <w:color w:val="000000"/>
                <w:sz w:val="16"/>
                <w:szCs w:val="16"/>
                <w:lang w:val="en-US" w:eastAsia="en-ZA"/>
              </w:rPr>
              <w:t>2018/19</w:t>
            </w:r>
          </w:p>
        </w:tc>
        <w:tc>
          <w:tcPr>
            <w:tcW w:w="457" w:type="pct"/>
            <w:tcBorders>
              <w:top w:val="nil"/>
              <w:left w:val="nil"/>
              <w:bottom w:val="single" w:sz="4" w:space="0" w:color="auto"/>
              <w:right w:val="single" w:sz="4" w:space="0" w:color="auto"/>
            </w:tcBorders>
            <w:shd w:val="clear" w:color="auto" w:fill="auto"/>
            <w:vAlign w:val="center"/>
            <w:hideMark/>
          </w:tcPr>
          <w:p w14:paraId="7EE9D25E" w14:textId="77777777" w:rsidR="00955C72" w:rsidRPr="00D02E5D" w:rsidRDefault="00955C72" w:rsidP="00492893">
            <w:pPr>
              <w:spacing w:line="240" w:lineRule="auto"/>
              <w:rPr>
                <w:b/>
                <w:bCs/>
                <w:color w:val="000000"/>
                <w:sz w:val="16"/>
                <w:szCs w:val="16"/>
                <w:lang w:eastAsia="en-ZA"/>
              </w:rPr>
            </w:pPr>
            <w:r w:rsidRPr="00D02E5D">
              <w:rPr>
                <w:b/>
                <w:bCs/>
                <w:color w:val="000000"/>
                <w:sz w:val="16"/>
                <w:szCs w:val="16"/>
                <w:lang w:val="en-US" w:eastAsia="en-ZA"/>
              </w:rPr>
              <w:t>2019/20</w:t>
            </w:r>
          </w:p>
        </w:tc>
        <w:tc>
          <w:tcPr>
            <w:tcW w:w="457" w:type="pct"/>
            <w:tcBorders>
              <w:top w:val="nil"/>
              <w:left w:val="nil"/>
              <w:bottom w:val="single" w:sz="4" w:space="0" w:color="auto"/>
              <w:right w:val="single" w:sz="4" w:space="0" w:color="auto"/>
            </w:tcBorders>
            <w:shd w:val="clear" w:color="auto" w:fill="auto"/>
            <w:noWrap/>
            <w:vAlign w:val="center"/>
            <w:hideMark/>
          </w:tcPr>
          <w:p w14:paraId="6B38690A" w14:textId="77777777" w:rsidR="00955C72" w:rsidRPr="00D02E5D" w:rsidRDefault="00955C72" w:rsidP="00492893">
            <w:pPr>
              <w:spacing w:line="240" w:lineRule="auto"/>
              <w:jc w:val="right"/>
              <w:rPr>
                <w:b/>
                <w:bCs/>
                <w:color w:val="000000"/>
                <w:sz w:val="16"/>
                <w:szCs w:val="16"/>
                <w:lang w:eastAsia="en-ZA"/>
              </w:rPr>
            </w:pPr>
            <w:r w:rsidRPr="00D02E5D">
              <w:rPr>
                <w:b/>
                <w:bCs/>
                <w:color w:val="000000"/>
                <w:sz w:val="16"/>
                <w:szCs w:val="16"/>
                <w:lang w:val="en-US" w:eastAsia="en-ZA"/>
              </w:rPr>
              <w:t>2020/21</w:t>
            </w:r>
          </w:p>
        </w:tc>
        <w:tc>
          <w:tcPr>
            <w:tcW w:w="457" w:type="pct"/>
            <w:tcBorders>
              <w:top w:val="nil"/>
              <w:left w:val="nil"/>
              <w:bottom w:val="single" w:sz="4" w:space="0" w:color="auto"/>
              <w:right w:val="single" w:sz="4" w:space="0" w:color="auto"/>
            </w:tcBorders>
            <w:shd w:val="clear" w:color="auto" w:fill="auto"/>
            <w:noWrap/>
            <w:vAlign w:val="center"/>
            <w:hideMark/>
          </w:tcPr>
          <w:p w14:paraId="6E229F70" w14:textId="77777777" w:rsidR="00955C72" w:rsidRPr="00D02E5D" w:rsidRDefault="00955C72" w:rsidP="00492893">
            <w:pPr>
              <w:spacing w:line="240" w:lineRule="auto"/>
              <w:jc w:val="right"/>
              <w:rPr>
                <w:b/>
                <w:bCs/>
                <w:color w:val="000000"/>
                <w:sz w:val="16"/>
                <w:szCs w:val="16"/>
                <w:lang w:eastAsia="en-ZA"/>
              </w:rPr>
            </w:pPr>
            <w:r w:rsidRPr="00D02E5D">
              <w:rPr>
                <w:b/>
                <w:bCs/>
                <w:color w:val="000000"/>
                <w:sz w:val="16"/>
                <w:szCs w:val="16"/>
                <w:lang w:val="en-US" w:eastAsia="en-ZA"/>
              </w:rPr>
              <w:t>2021/22</w:t>
            </w:r>
          </w:p>
        </w:tc>
        <w:tc>
          <w:tcPr>
            <w:tcW w:w="457" w:type="pct"/>
            <w:tcBorders>
              <w:top w:val="nil"/>
              <w:left w:val="nil"/>
              <w:bottom w:val="single" w:sz="4" w:space="0" w:color="auto"/>
              <w:right w:val="single" w:sz="4" w:space="0" w:color="auto"/>
            </w:tcBorders>
            <w:shd w:val="clear" w:color="auto" w:fill="auto"/>
            <w:noWrap/>
            <w:vAlign w:val="center"/>
            <w:hideMark/>
          </w:tcPr>
          <w:p w14:paraId="414B80CD" w14:textId="77777777" w:rsidR="00955C72" w:rsidRPr="00D02E5D" w:rsidRDefault="00955C72" w:rsidP="00492893">
            <w:pPr>
              <w:spacing w:line="240" w:lineRule="auto"/>
              <w:jc w:val="right"/>
              <w:rPr>
                <w:b/>
                <w:bCs/>
                <w:color w:val="000000"/>
                <w:sz w:val="16"/>
                <w:szCs w:val="16"/>
                <w:lang w:eastAsia="en-ZA"/>
              </w:rPr>
            </w:pPr>
            <w:r w:rsidRPr="00D02E5D">
              <w:rPr>
                <w:b/>
                <w:bCs/>
                <w:color w:val="000000"/>
                <w:sz w:val="16"/>
                <w:szCs w:val="16"/>
                <w:lang w:val="en-US" w:eastAsia="en-ZA"/>
              </w:rPr>
              <w:t>2022/23</w:t>
            </w:r>
          </w:p>
        </w:tc>
      </w:tr>
      <w:tr w:rsidR="00955C72" w:rsidRPr="00D02E5D" w14:paraId="250522F0" w14:textId="77777777" w:rsidTr="00955C72">
        <w:trPr>
          <w:trHeight w:val="262"/>
          <w:jc w:val="center"/>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D65EF0" w14:textId="77777777" w:rsidR="00955C72" w:rsidRPr="00D02E5D" w:rsidRDefault="00955C72" w:rsidP="00492893">
            <w:pPr>
              <w:spacing w:line="240" w:lineRule="auto"/>
              <w:jc w:val="center"/>
              <w:rPr>
                <w:b/>
                <w:bCs/>
                <w:color w:val="000000" w:themeColor="text1"/>
                <w:sz w:val="16"/>
                <w:szCs w:val="16"/>
                <w:lang w:eastAsia="en-ZA"/>
              </w:rPr>
            </w:pPr>
            <w:r w:rsidRPr="00D02E5D">
              <w:rPr>
                <w:b/>
                <w:bCs/>
                <w:color w:val="000000" w:themeColor="text1"/>
                <w:sz w:val="16"/>
                <w:szCs w:val="16"/>
                <w:lang w:val="en-US" w:eastAsia="en-ZA"/>
              </w:rPr>
              <w:t xml:space="preserve">Agriculture, Land Reform and Rural Development </w:t>
            </w:r>
          </w:p>
        </w:tc>
      </w:tr>
      <w:tr w:rsidR="00955C72" w:rsidRPr="00D02E5D" w14:paraId="1BA95264" w14:textId="77777777" w:rsidTr="00955C72">
        <w:trPr>
          <w:trHeight w:val="238"/>
          <w:jc w:val="center"/>
        </w:trPr>
        <w:tc>
          <w:tcPr>
            <w:tcW w:w="2081" w:type="pct"/>
            <w:tcBorders>
              <w:top w:val="nil"/>
              <w:left w:val="single" w:sz="4" w:space="0" w:color="auto"/>
              <w:bottom w:val="single" w:sz="4" w:space="0" w:color="auto"/>
              <w:right w:val="single" w:sz="4" w:space="0" w:color="auto"/>
            </w:tcBorders>
            <w:shd w:val="clear" w:color="auto" w:fill="auto"/>
            <w:noWrap/>
            <w:vAlign w:val="bottom"/>
            <w:hideMark/>
          </w:tcPr>
          <w:p w14:paraId="511A0D81" w14:textId="77777777" w:rsidR="00955C72" w:rsidRPr="00D02E5D" w:rsidRDefault="00955C72" w:rsidP="00492893">
            <w:pPr>
              <w:spacing w:line="240" w:lineRule="auto"/>
              <w:rPr>
                <w:color w:val="000000" w:themeColor="text1"/>
                <w:sz w:val="16"/>
                <w:szCs w:val="16"/>
                <w:lang w:eastAsia="en-ZA"/>
              </w:rPr>
            </w:pPr>
            <w:r w:rsidRPr="00D02E5D">
              <w:rPr>
                <w:color w:val="000000" w:themeColor="text1"/>
                <w:sz w:val="16"/>
                <w:szCs w:val="16"/>
                <w:lang w:eastAsia="en-ZA"/>
              </w:rPr>
              <w:t>Comprehensive Agricultural Support Programme Grant (CASP)</w:t>
            </w:r>
          </w:p>
        </w:tc>
        <w:tc>
          <w:tcPr>
            <w:tcW w:w="364" w:type="pct"/>
            <w:tcBorders>
              <w:top w:val="nil"/>
              <w:left w:val="nil"/>
              <w:bottom w:val="single" w:sz="4" w:space="0" w:color="auto"/>
              <w:right w:val="single" w:sz="4" w:space="0" w:color="auto"/>
            </w:tcBorders>
            <w:shd w:val="clear" w:color="auto" w:fill="auto"/>
            <w:noWrap/>
            <w:vAlign w:val="center"/>
            <w:hideMark/>
          </w:tcPr>
          <w:p w14:paraId="6F84F02B" w14:textId="77777777" w:rsidR="00955C72" w:rsidRPr="00D02E5D" w:rsidRDefault="00955C72" w:rsidP="00492893">
            <w:pPr>
              <w:spacing w:line="240" w:lineRule="auto"/>
              <w:jc w:val="right"/>
              <w:rPr>
                <w:color w:val="000000" w:themeColor="text1"/>
                <w:sz w:val="16"/>
                <w:szCs w:val="16"/>
                <w:lang w:eastAsia="en-ZA"/>
              </w:rPr>
            </w:pPr>
            <w:r>
              <w:rPr>
                <w:color w:val="000000" w:themeColor="text1"/>
                <w:sz w:val="16"/>
                <w:szCs w:val="16"/>
                <w:lang w:eastAsia="en-ZA"/>
              </w:rPr>
              <w:t>-</w:t>
            </w:r>
            <w:r w:rsidRPr="00D02E5D">
              <w:rPr>
                <w:color w:val="000000" w:themeColor="text1"/>
                <w:sz w:val="16"/>
                <w:szCs w:val="16"/>
                <w:lang w:eastAsia="en-ZA"/>
              </w:rPr>
              <w:t> </w:t>
            </w:r>
          </w:p>
        </w:tc>
        <w:tc>
          <w:tcPr>
            <w:tcW w:w="364" w:type="pct"/>
            <w:tcBorders>
              <w:top w:val="nil"/>
              <w:left w:val="nil"/>
              <w:bottom w:val="single" w:sz="4" w:space="0" w:color="auto"/>
              <w:right w:val="single" w:sz="4" w:space="0" w:color="auto"/>
            </w:tcBorders>
            <w:shd w:val="clear" w:color="auto" w:fill="auto"/>
            <w:noWrap/>
            <w:vAlign w:val="center"/>
            <w:hideMark/>
          </w:tcPr>
          <w:p w14:paraId="59FE8773" w14:textId="77777777" w:rsidR="00955C72" w:rsidRPr="00D02E5D" w:rsidRDefault="00955C72" w:rsidP="00492893">
            <w:pPr>
              <w:spacing w:line="240" w:lineRule="auto"/>
              <w:jc w:val="right"/>
              <w:rPr>
                <w:color w:val="000000" w:themeColor="text1"/>
                <w:sz w:val="16"/>
                <w:szCs w:val="16"/>
                <w:lang w:eastAsia="en-ZA"/>
              </w:rPr>
            </w:pPr>
            <w:r w:rsidRPr="00D02E5D">
              <w:rPr>
                <w:color w:val="000000" w:themeColor="text1"/>
                <w:sz w:val="16"/>
                <w:szCs w:val="16"/>
                <w:lang w:eastAsia="en-ZA"/>
              </w:rPr>
              <w:t>88%</w:t>
            </w:r>
          </w:p>
        </w:tc>
        <w:tc>
          <w:tcPr>
            <w:tcW w:w="364" w:type="pct"/>
            <w:tcBorders>
              <w:top w:val="nil"/>
              <w:left w:val="nil"/>
              <w:bottom w:val="single" w:sz="4" w:space="0" w:color="auto"/>
              <w:right w:val="single" w:sz="4" w:space="0" w:color="auto"/>
            </w:tcBorders>
            <w:shd w:val="clear" w:color="auto" w:fill="auto"/>
            <w:noWrap/>
            <w:vAlign w:val="center"/>
            <w:hideMark/>
          </w:tcPr>
          <w:p w14:paraId="149F1AED" w14:textId="77777777" w:rsidR="00955C72" w:rsidRPr="00D02E5D" w:rsidRDefault="00955C72" w:rsidP="00492893">
            <w:pPr>
              <w:spacing w:line="240" w:lineRule="auto"/>
              <w:jc w:val="right"/>
              <w:rPr>
                <w:color w:val="000000" w:themeColor="text1"/>
                <w:sz w:val="16"/>
                <w:szCs w:val="16"/>
                <w:lang w:eastAsia="en-ZA"/>
              </w:rPr>
            </w:pPr>
            <w:r>
              <w:rPr>
                <w:color w:val="000000" w:themeColor="text1"/>
                <w:sz w:val="16"/>
                <w:szCs w:val="16"/>
                <w:lang w:eastAsia="en-ZA"/>
              </w:rPr>
              <w:t>91%</w:t>
            </w:r>
            <w:r w:rsidRPr="00D02E5D">
              <w:rPr>
                <w:color w:val="000000" w:themeColor="text1"/>
                <w:sz w:val="16"/>
                <w:szCs w:val="16"/>
                <w:lang w:eastAsia="en-ZA"/>
              </w:rPr>
              <w:t> </w:t>
            </w:r>
          </w:p>
        </w:tc>
        <w:tc>
          <w:tcPr>
            <w:tcW w:w="457" w:type="pct"/>
            <w:tcBorders>
              <w:top w:val="nil"/>
              <w:left w:val="nil"/>
              <w:bottom w:val="single" w:sz="4" w:space="0" w:color="auto"/>
              <w:right w:val="single" w:sz="4" w:space="0" w:color="auto"/>
            </w:tcBorders>
            <w:shd w:val="clear" w:color="auto" w:fill="auto"/>
            <w:vAlign w:val="center"/>
            <w:hideMark/>
          </w:tcPr>
          <w:p w14:paraId="36D8A8E6" w14:textId="77777777" w:rsidR="00955C72" w:rsidRPr="00D02E5D" w:rsidRDefault="00955C72" w:rsidP="00492893">
            <w:pPr>
              <w:spacing w:line="240" w:lineRule="auto"/>
              <w:jc w:val="center"/>
              <w:rPr>
                <w:color w:val="000000" w:themeColor="text1"/>
                <w:sz w:val="16"/>
                <w:szCs w:val="16"/>
                <w:lang w:eastAsia="en-ZA"/>
              </w:rPr>
            </w:pPr>
            <w:r w:rsidRPr="00D02E5D">
              <w:rPr>
                <w:color w:val="000000" w:themeColor="text1"/>
                <w:sz w:val="16"/>
                <w:szCs w:val="16"/>
                <w:lang w:eastAsia="en-ZA"/>
              </w:rPr>
              <w:t>1 032 853</w:t>
            </w:r>
          </w:p>
        </w:tc>
        <w:tc>
          <w:tcPr>
            <w:tcW w:w="457" w:type="pct"/>
            <w:tcBorders>
              <w:top w:val="nil"/>
              <w:left w:val="nil"/>
              <w:bottom w:val="single" w:sz="4" w:space="0" w:color="auto"/>
              <w:right w:val="single" w:sz="4" w:space="0" w:color="auto"/>
            </w:tcBorders>
            <w:shd w:val="clear" w:color="auto" w:fill="auto"/>
            <w:vAlign w:val="center"/>
            <w:hideMark/>
          </w:tcPr>
          <w:p w14:paraId="30D45F3D" w14:textId="77777777" w:rsidR="00955C72" w:rsidRPr="00D02E5D" w:rsidRDefault="00955C72" w:rsidP="00492893">
            <w:pPr>
              <w:spacing w:line="240" w:lineRule="auto"/>
              <w:jc w:val="center"/>
              <w:rPr>
                <w:color w:val="000000" w:themeColor="text1"/>
                <w:sz w:val="16"/>
                <w:szCs w:val="16"/>
                <w:lang w:eastAsia="en-ZA"/>
              </w:rPr>
            </w:pPr>
            <w:r w:rsidRPr="00D02E5D">
              <w:rPr>
                <w:color w:val="000000" w:themeColor="text1"/>
                <w:sz w:val="16"/>
                <w:szCs w:val="16"/>
                <w:lang w:eastAsia="en-ZA"/>
              </w:rPr>
              <w:t>1 120 645</w:t>
            </w:r>
          </w:p>
        </w:tc>
        <w:tc>
          <w:tcPr>
            <w:tcW w:w="457" w:type="pct"/>
            <w:tcBorders>
              <w:top w:val="nil"/>
              <w:left w:val="nil"/>
              <w:bottom w:val="single" w:sz="4" w:space="0" w:color="auto"/>
              <w:right w:val="single" w:sz="4" w:space="0" w:color="auto"/>
            </w:tcBorders>
            <w:shd w:val="clear" w:color="auto" w:fill="auto"/>
            <w:vAlign w:val="center"/>
            <w:hideMark/>
          </w:tcPr>
          <w:p w14:paraId="5E567F46" w14:textId="77777777" w:rsidR="00955C72" w:rsidRPr="00D02E5D" w:rsidRDefault="00955C72" w:rsidP="00492893">
            <w:pPr>
              <w:spacing w:line="240" w:lineRule="auto"/>
              <w:jc w:val="center"/>
              <w:rPr>
                <w:color w:val="000000" w:themeColor="text1"/>
                <w:sz w:val="16"/>
                <w:szCs w:val="16"/>
                <w:lang w:eastAsia="en-ZA"/>
              </w:rPr>
            </w:pPr>
            <w:r w:rsidRPr="00D02E5D">
              <w:rPr>
                <w:color w:val="000000" w:themeColor="text1"/>
                <w:sz w:val="16"/>
                <w:szCs w:val="16"/>
                <w:lang w:eastAsia="en-ZA"/>
              </w:rPr>
              <w:t>1 203 487</w:t>
            </w:r>
          </w:p>
        </w:tc>
        <w:tc>
          <w:tcPr>
            <w:tcW w:w="457" w:type="pct"/>
            <w:tcBorders>
              <w:top w:val="nil"/>
              <w:left w:val="nil"/>
              <w:bottom w:val="single" w:sz="4" w:space="0" w:color="auto"/>
              <w:right w:val="single" w:sz="4" w:space="0" w:color="auto"/>
            </w:tcBorders>
            <w:shd w:val="clear" w:color="auto" w:fill="auto"/>
            <w:vAlign w:val="center"/>
            <w:hideMark/>
          </w:tcPr>
          <w:p w14:paraId="375D91A6" w14:textId="77777777" w:rsidR="00955C72" w:rsidRPr="00D02E5D" w:rsidRDefault="00955C72" w:rsidP="00492893">
            <w:pPr>
              <w:spacing w:line="240" w:lineRule="auto"/>
              <w:jc w:val="center"/>
              <w:rPr>
                <w:color w:val="000000" w:themeColor="text1"/>
                <w:sz w:val="16"/>
                <w:szCs w:val="16"/>
                <w:lang w:eastAsia="en-ZA"/>
              </w:rPr>
            </w:pPr>
            <w:r w:rsidRPr="00D02E5D">
              <w:rPr>
                <w:color w:val="000000" w:themeColor="text1"/>
                <w:sz w:val="16"/>
                <w:szCs w:val="16"/>
                <w:lang w:eastAsia="en-ZA"/>
              </w:rPr>
              <w:t>1 254 142</w:t>
            </w:r>
          </w:p>
        </w:tc>
      </w:tr>
      <w:tr w:rsidR="00955C72" w:rsidRPr="00D02E5D" w14:paraId="7A674635" w14:textId="77777777" w:rsidTr="00955C72">
        <w:trPr>
          <w:trHeight w:val="262"/>
          <w:jc w:val="center"/>
        </w:trPr>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14:paraId="49CA8BF0" w14:textId="77777777" w:rsidR="00955C72" w:rsidRPr="00D02E5D" w:rsidRDefault="00955C72" w:rsidP="00492893">
            <w:pPr>
              <w:spacing w:line="240" w:lineRule="auto"/>
              <w:jc w:val="center"/>
              <w:rPr>
                <w:b/>
                <w:bCs/>
                <w:color w:val="000000" w:themeColor="text1"/>
                <w:sz w:val="16"/>
                <w:szCs w:val="16"/>
                <w:lang w:eastAsia="en-ZA"/>
              </w:rPr>
            </w:pPr>
            <w:r w:rsidRPr="00D02E5D">
              <w:rPr>
                <w:b/>
                <w:bCs/>
                <w:color w:val="000000" w:themeColor="text1"/>
                <w:sz w:val="16"/>
                <w:szCs w:val="16"/>
                <w:lang w:eastAsia="en-ZA"/>
              </w:rPr>
              <w:t xml:space="preserve">Department of Transport </w:t>
            </w:r>
          </w:p>
        </w:tc>
      </w:tr>
      <w:tr w:rsidR="00955C72" w:rsidRPr="00D02E5D" w14:paraId="40379ABD" w14:textId="77777777" w:rsidTr="00955C72">
        <w:trPr>
          <w:trHeight w:val="238"/>
          <w:jc w:val="center"/>
        </w:trPr>
        <w:tc>
          <w:tcPr>
            <w:tcW w:w="2081" w:type="pct"/>
            <w:tcBorders>
              <w:top w:val="nil"/>
              <w:left w:val="single" w:sz="4" w:space="0" w:color="auto"/>
              <w:bottom w:val="single" w:sz="4" w:space="0" w:color="auto"/>
              <w:right w:val="single" w:sz="4" w:space="0" w:color="auto"/>
            </w:tcBorders>
            <w:shd w:val="clear" w:color="auto" w:fill="auto"/>
            <w:noWrap/>
            <w:vAlign w:val="center"/>
            <w:hideMark/>
          </w:tcPr>
          <w:p w14:paraId="66FD5F28" w14:textId="77777777" w:rsidR="00955C72" w:rsidRPr="00D02E5D" w:rsidRDefault="00955C72" w:rsidP="00492893">
            <w:pPr>
              <w:spacing w:line="240" w:lineRule="auto"/>
              <w:rPr>
                <w:color w:val="000000" w:themeColor="text1"/>
                <w:sz w:val="16"/>
                <w:szCs w:val="16"/>
                <w:lang w:eastAsia="en-ZA"/>
              </w:rPr>
            </w:pPr>
            <w:r w:rsidRPr="00D02E5D">
              <w:rPr>
                <w:color w:val="000000" w:themeColor="text1"/>
                <w:sz w:val="16"/>
                <w:szCs w:val="16"/>
                <w:lang w:eastAsia="en-ZA"/>
              </w:rPr>
              <w:t xml:space="preserve">Provincial Roads Maintenance Grant: </w:t>
            </w:r>
          </w:p>
        </w:tc>
        <w:tc>
          <w:tcPr>
            <w:tcW w:w="364" w:type="pct"/>
            <w:tcBorders>
              <w:top w:val="nil"/>
              <w:left w:val="nil"/>
              <w:bottom w:val="single" w:sz="4" w:space="0" w:color="auto"/>
              <w:right w:val="single" w:sz="4" w:space="0" w:color="auto"/>
            </w:tcBorders>
            <w:shd w:val="clear" w:color="auto" w:fill="auto"/>
            <w:noWrap/>
            <w:vAlign w:val="center"/>
            <w:hideMark/>
          </w:tcPr>
          <w:p w14:paraId="21385DC5" w14:textId="77777777" w:rsidR="00955C72" w:rsidRPr="00D02E5D" w:rsidRDefault="00955C72" w:rsidP="00492893">
            <w:pPr>
              <w:spacing w:line="240" w:lineRule="auto"/>
              <w:jc w:val="right"/>
              <w:rPr>
                <w:color w:val="000000" w:themeColor="text1"/>
                <w:sz w:val="16"/>
                <w:szCs w:val="16"/>
                <w:lang w:eastAsia="en-ZA"/>
              </w:rPr>
            </w:pPr>
            <w:r>
              <w:rPr>
                <w:color w:val="000000" w:themeColor="text1"/>
                <w:sz w:val="16"/>
                <w:szCs w:val="16"/>
                <w:lang w:val="en-US" w:eastAsia="en-ZA"/>
              </w:rPr>
              <w:t>93%</w:t>
            </w:r>
          </w:p>
        </w:tc>
        <w:tc>
          <w:tcPr>
            <w:tcW w:w="364" w:type="pct"/>
            <w:tcBorders>
              <w:top w:val="nil"/>
              <w:left w:val="nil"/>
              <w:bottom w:val="single" w:sz="4" w:space="0" w:color="auto"/>
              <w:right w:val="single" w:sz="4" w:space="0" w:color="auto"/>
            </w:tcBorders>
            <w:shd w:val="clear" w:color="auto" w:fill="auto"/>
            <w:noWrap/>
            <w:vAlign w:val="center"/>
            <w:hideMark/>
          </w:tcPr>
          <w:p w14:paraId="0A72190C" w14:textId="77777777" w:rsidR="00955C72" w:rsidRPr="00D02E5D" w:rsidRDefault="00955C72" w:rsidP="00492893">
            <w:pPr>
              <w:spacing w:line="240" w:lineRule="auto"/>
              <w:jc w:val="right"/>
              <w:rPr>
                <w:color w:val="000000" w:themeColor="text1"/>
                <w:sz w:val="16"/>
                <w:szCs w:val="16"/>
                <w:lang w:eastAsia="en-ZA"/>
              </w:rPr>
            </w:pPr>
            <w:r w:rsidRPr="00D02E5D">
              <w:rPr>
                <w:color w:val="000000" w:themeColor="text1"/>
                <w:sz w:val="16"/>
                <w:szCs w:val="16"/>
                <w:lang w:val="en-US" w:eastAsia="en-ZA"/>
              </w:rPr>
              <w:t>100%</w:t>
            </w:r>
          </w:p>
        </w:tc>
        <w:tc>
          <w:tcPr>
            <w:tcW w:w="364" w:type="pct"/>
            <w:tcBorders>
              <w:top w:val="nil"/>
              <w:left w:val="nil"/>
              <w:bottom w:val="single" w:sz="4" w:space="0" w:color="auto"/>
              <w:right w:val="single" w:sz="4" w:space="0" w:color="auto"/>
            </w:tcBorders>
            <w:shd w:val="clear" w:color="auto" w:fill="auto"/>
            <w:noWrap/>
            <w:vAlign w:val="center"/>
            <w:hideMark/>
          </w:tcPr>
          <w:p w14:paraId="5637A9F7" w14:textId="77777777" w:rsidR="00955C72" w:rsidRPr="00D02E5D" w:rsidRDefault="00955C72" w:rsidP="00492893">
            <w:pPr>
              <w:spacing w:line="240" w:lineRule="auto"/>
              <w:jc w:val="right"/>
              <w:rPr>
                <w:color w:val="000000" w:themeColor="text1"/>
                <w:sz w:val="16"/>
                <w:szCs w:val="16"/>
                <w:lang w:eastAsia="en-ZA"/>
              </w:rPr>
            </w:pPr>
            <w:r>
              <w:rPr>
                <w:color w:val="000000" w:themeColor="text1"/>
                <w:sz w:val="16"/>
                <w:szCs w:val="16"/>
                <w:lang w:val="en-US" w:eastAsia="en-ZA"/>
              </w:rPr>
              <w:t>100%</w:t>
            </w:r>
          </w:p>
        </w:tc>
        <w:tc>
          <w:tcPr>
            <w:tcW w:w="457" w:type="pct"/>
            <w:tcBorders>
              <w:top w:val="nil"/>
              <w:left w:val="nil"/>
              <w:bottom w:val="single" w:sz="4" w:space="0" w:color="auto"/>
              <w:right w:val="single" w:sz="4" w:space="0" w:color="auto"/>
            </w:tcBorders>
            <w:shd w:val="clear" w:color="auto" w:fill="auto"/>
            <w:noWrap/>
            <w:hideMark/>
          </w:tcPr>
          <w:p w14:paraId="308042F2" w14:textId="77777777" w:rsidR="00955C72" w:rsidRPr="00D02E5D" w:rsidRDefault="00955C72" w:rsidP="00492893">
            <w:pPr>
              <w:spacing w:line="240" w:lineRule="auto"/>
              <w:jc w:val="center"/>
              <w:rPr>
                <w:color w:val="000000" w:themeColor="text1"/>
                <w:sz w:val="16"/>
                <w:szCs w:val="16"/>
                <w:lang w:eastAsia="en-ZA"/>
              </w:rPr>
            </w:pPr>
            <w:r w:rsidRPr="00D02E5D">
              <w:rPr>
                <w:color w:val="000000" w:themeColor="text1"/>
                <w:sz w:val="16"/>
                <w:szCs w:val="16"/>
                <w:lang w:eastAsia="en-ZA"/>
              </w:rPr>
              <w:t>10 649 325</w:t>
            </w:r>
          </w:p>
        </w:tc>
        <w:tc>
          <w:tcPr>
            <w:tcW w:w="457" w:type="pct"/>
            <w:tcBorders>
              <w:top w:val="nil"/>
              <w:left w:val="nil"/>
              <w:bottom w:val="single" w:sz="4" w:space="0" w:color="auto"/>
              <w:right w:val="single" w:sz="4" w:space="0" w:color="auto"/>
            </w:tcBorders>
            <w:shd w:val="clear" w:color="auto" w:fill="auto"/>
            <w:noWrap/>
            <w:hideMark/>
          </w:tcPr>
          <w:p w14:paraId="43950C10" w14:textId="77777777" w:rsidR="00955C72" w:rsidRPr="00D02E5D" w:rsidRDefault="00955C72" w:rsidP="00492893">
            <w:pPr>
              <w:spacing w:line="240" w:lineRule="auto"/>
              <w:jc w:val="center"/>
              <w:rPr>
                <w:color w:val="000000" w:themeColor="text1"/>
                <w:sz w:val="16"/>
                <w:szCs w:val="16"/>
                <w:lang w:eastAsia="en-ZA"/>
              </w:rPr>
            </w:pPr>
            <w:r w:rsidRPr="00D02E5D">
              <w:rPr>
                <w:color w:val="000000" w:themeColor="text1"/>
                <w:sz w:val="16"/>
                <w:szCs w:val="16"/>
                <w:lang w:eastAsia="en-ZA"/>
              </w:rPr>
              <w:t>11 593 174</w:t>
            </w:r>
          </w:p>
        </w:tc>
        <w:tc>
          <w:tcPr>
            <w:tcW w:w="457" w:type="pct"/>
            <w:tcBorders>
              <w:top w:val="nil"/>
              <w:left w:val="nil"/>
              <w:bottom w:val="single" w:sz="4" w:space="0" w:color="auto"/>
              <w:right w:val="single" w:sz="4" w:space="0" w:color="auto"/>
            </w:tcBorders>
            <w:shd w:val="clear" w:color="auto" w:fill="auto"/>
            <w:noWrap/>
            <w:hideMark/>
          </w:tcPr>
          <w:p w14:paraId="47FCACF6" w14:textId="77777777" w:rsidR="00955C72" w:rsidRPr="00D02E5D" w:rsidRDefault="00955C72" w:rsidP="00492893">
            <w:pPr>
              <w:spacing w:line="240" w:lineRule="auto"/>
              <w:jc w:val="center"/>
              <w:rPr>
                <w:color w:val="000000" w:themeColor="text1"/>
                <w:sz w:val="16"/>
                <w:szCs w:val="16"/>
                <w:lang w:eastAsia="en-ZA"/>
              </w:rPr>
            </w:pPr>
            <w:r w:rsidRPr="00D02E5D">
              <w:rPr>
                <w:color w:val="000000" w:themeColor="text1"/>
                <w:sz w:val="16"/>
                <w:szCs w:val="16"/>
                <w:lang w:eastAsia="en-ZA"/>
              </w:rPr>
              <w:t>11 937 511</w:t>
            </w:r>
          </w:p>
        </w:tc>
        <w:tc>
          <w:tcPr>
            <w:tcW w:w="457" w:type="pct"/>
            <w:tcBorders>
              <w:top w:val="nil"/>
              <w:left w:val="nil"/>
              <w:bottom w:val="single" w:sz="4" w:space="0" w:color="auto"/>
              <w:right w:val="single" w:sz="4" w:space="0" w:color="auto"/>
            </w:tcBorders>
            <w:shd w:val="clear" w:color="auto" w:fill="auto"/>
            <w:noWrap/>
            <w:hideMark/>
          </w:tcPr>
          <w:p w14:paraId="43842977" w14:textId="77777777" w:rsidR="00955C72" w:rsidRPr="00D02E5D" w:rsidRDefault="00955C72" w:rsidP="00492893">
            <w:pPr>
              <w:spacing w:line="240" w:lineRule="auto"/>
              <w:jc w:val="center"/>
              <w:rPr>
                <w:color w:val="000000" w:themeColor="text1"/>
                <w:sz w:val="16"/>
                <w:szCs w:val="16"/>
                <w:lang w:eastAsia="en-ZA"/>
              </w:rPr>
            </w:pPr>
            <w:r w:rsidRPr="00D02E5D">
              <w:rPr>
                <w:color w:val="000000" w:themeColor="text1"/>
                <w:sz w:val="16"/>
                <w:szCs w:val="16"/>
                <w:lang w:eastAsia="en-ZA"/>
              </w:rPr>
              <w:t>12 506 785</w:t>
            </w:r>
          </w:p>
        </w:tc>
      </w:tr>
      <w:tr w:rsidR="00955C72" w:rsidRPr="00D02E5D" w14:paraId="3542AAAF" w14:textId="77777777" w:rsidTr="00955C72">
        <w:trPr>
          <w:trHeight w:val="309"/>
          <w:jc w:val="center"/>
        </w:trPr>
        <w:tc>
          <w:tcPr>
            <w:tcW w:w="2081" w:type="pct"/>
            <w:tcBorders>
              <w:top w:val="nil"/>
              <w:left w:val="single" w:sz="4" w:space="0" w:color="auto"/>
              <w:bottom w:val="single" w:sz="4" w:space="0" w:color="auto"/>
              <w:right w:val="single" w:sz="4" w:space="0" w:color="auto"/>
            </w:tcBorders>
            <w:shd w:val="clear" w:color="auto" w:fill="auto"/>
            <w:noWrap/>
            <w:vAlign w:val="center"/>
            <w:hideMark/>
          </w:tcPr>
          <w:p w14:paraId="30381CB4" w14:textId="77777777" w:rsidR="00955C72" w:rsidRPr="00D02E5D" w:rsidRDefault="00955C72" w:rsidP="00492893">
            <w:pPr>
              <w:spacing w:line="240" w:lineRule="auto"/>
              <w:rPr>
                <w:color w:val="000000" w:themeColor="text1"/>
                <w:sz w:val="16"/>
                <w:szCs w:val="16"/>
                <w:lang w:eastAsia="en-ZA"/>
              </w:rPr>
            </w:pPr>
            <w:r w:rsidRPr="00D02E5D">
              <w:rPr>
                <w:color w:val="000000" w:themeColor="text1"/>
                <w:sz w:val="16"/>
                <w:szCs w:val="16"/>
                <w:lang w:eastAsia="en-ZA"/>
              </w:rPr>
              <w:t>Public Transport Network Grant</w:t>
            </w:r>
          </w:p>
        </w:tc>
        <w:tc>
          <w:tcPr>
            <w:tcW w:w="364" w:type="pct"/>
            <w:tcBorders>
              <w:top w:val="nil"/>
              <w:left w:val="nil"/>
              <w:bottom w:val="single" w:sz="4" w:space="0" w:color="auto"/>
              <w:right w:val="single" w:sz="4" w:space="0" w:color="auto"/>
            </w:tcBorders>
            <w:shd w:val="clear" w:color="auto" w:fill="auto"/>
            <w:noWrap/>
            <w:vAlign w:val="center"/>
            <w:hideMark/>
          </w:tcPr>
          <w:p w14:paraId="73B1E946" w14:textId="77777777" w:rsidR="00955C72" w:rsidRPr="00D02E5D" w:rsidRDefault="00955C72" w:rsidP="00492893">
            <w:pPr>
              <w:spacing w:line="240" w:lineRule="auto"/>
              <w:jc w:val="right"/>
              <w:rPr>
                <w:color w:val="000000" w:themeColor="text1"/>
                <w:sz w:val="16"/>
                <w:szCs w:val="16"/>
                <w:lang w:eastAsia="en-ZA"/>
              </w:rPr>
            </w:pPr>
            <w:r>
              <w:rPr>
                <w:color w:val="000000" w:themeColor="text1"/>
                <w:sz w:val="16"/>
                <w:szCs w:val="16"/>
                <w:lang w:eastAsia="en-ZA"/>
              </w:rPr>
              <w:t>93%</w:t>
            </w:r>
            <w:r w:rsidRPr="00D02E5D">
              <w:rPr>
                <w:color w:val="000000" w:themeColor="text1"/>
                <w:sz w:val="16"/>
                <w:szCs w:val="16"/>
                <w:lang w:eastAsia="en-ZA"/>
              </w:rPr>
              <w:t> </w:t>
            </w:r>
          </w:p>
        </w:tc>
        <w:tc>
          <w:tcPr>
            <w:tcW w:w="364" w:type="pct"/>
            <w:tcBorders>
              <w:top w:val="nil"/>
              <w:left w:val="nil"/>
              <w:bottom w:val="single" w:sz="4" w:space="0" w:color="auto"/>
              <w:right w:val="single" w:sz="4" w:space="0" w:color="auto"/>
            </w:tcBorders>
            <w:shd w:val="clear" w:color="auto" w:fill="auto"/>
            <w:noWrap/>
            <w:vAlign w:val="center"/>
            <w:hideMark/>
          </w:tcPr>
          <w:p w14:paraId="0B4F1200" w14:textId="77777777" w:rsidR="00955C72" w:rsidRPr="00D02E5D" w:rsidRDefault="00955C72" w:rsidP="00492893">
            <w:pPr>
              <w:spacing w:line="240" w:lineRule="auto"/>
              <w:jc w:val="right"/>
              <w:rPr>
                <w:color w:val="000000" w:themeColor="text1"/>
                <w:sz w:val="16"/>
                <w:szCs w:val="16"/>
                <w:lang w:eastAsia="en-ZA"/>
              </w:rPr>
            </w:pPr>
            <w:r>
              <w:rPr>
                <w:color w:val="000000" w:themeColor="text1"/>
                <w:sz w:val="16"/>
                <w:szCs w:val="16"/>
                <w:lang w:eastAsia="en-ZA"/>
              </w:rPr>
              <w:t>99%</w:t>
            </w:r>
            <w:r w:rsidRPr="00D02E5D">
              <w:rPr>
                <w:color w:val="000000" w:themeColor="text1"/>
                <w:sz w:val="16"/>
                <w:szCs w:val="16"/>
                <w:lang w:eastAsia="en-ZA"/>
              </w:rPr>
              <w:t> </w:t>
            </w:r>
          </w:p>
        </w:tc>
        <w:tc>
          <w:tcPr>
            <w:tcW w:w="364" w:type="pct"/>
            <w:tcBorders>
              <w:top w:val="nil"/>
              <w:left w:val="nil"/>
              <w:bottom w:val="single" w:sz="4" w:space="0" w:color="auto"/>
              <w:right w:val="single" w:sz="4" w:space="0" w:color="auto"/>
            </w:tcBorders>
            <w:shd w:val="clear" w:color="auto" w:fill="auto"/>
            <w:noWrap/>
            <w:vAlign w:val="center"/>
            <w:hideMark/>
          </w:tcPr>
          <w:p w14:paraId="73724F4E" w14:textId="77777777" w:rsidR="00955C72" w:rsidRPr="00D02E5D" w:rsidRDefault="00955C72" w:rsidP="00492893">
            <w:pPr>
              <w:spacing w:line="240" w:lineRule="auto"/>
              <w:jc w:val="right"/>
              <w:rPr>
                <w:color w:val="000000" w:themeColor="text1"/>
                <w:sz w:val="16"/>
                <w:szCs w:val="16"/>
                <w:lang w:eastAsia="en-ZA"/>
              </w:rPr>
            </w:pPr>
            <w:r>
              <w:rPr>
                <w:color w:val="000000" w:themeColor="text1"/>
                <w:sz w:val="16"/>
                <w:szCs w:val="16"/>
                <w:lang w:eastAsia="en-ZA"/>
              </w:rPr>
              <w:t>100%</w:t>
            </w:r>
            <w:r w:rsidRPr="00D02E5D">
              <w:rPr>
                <w:color w:val="000000" w:themeColor="text1"/>
                <w:sz w:val="16"/>
                <w:szCs w:val="16"/>
                <w:lang w:eastAsia="en-ZA"/>
              </w:rPr>
              <w:t> </w:t>
            </w:r>
          </w:p>
        </w:tc>
        <w:tc>
          <w:tcPr>
            <w:tcW w:w="457" w:type="pct"/>
            <w:tcBorders>
              <w:top w:val="nil"/>
              <w:left w:val="nil"/>
              <w:bottom w:val="single" w:sz="4" w:space="0" w:color="auto"/>
              <w:right w:val="single" w:sz="4" w:space="0" w:color="auto"/>
            </w:tcBorders>
            <w:shd w:val="clear" w:color="auto" w:fill="auto"/>
            <w:noWrap/>
            <w:vAlign w:val="bottom"/>
            <w:hideMark/>
          </w:tcPr>
          <w:p w14:paraId="03596437" w14:textId="77777777" w:rsidR="00955C72" w:rsidRPr="00D02E5D" w:rsidRDefault="00955C72" w:rsidP="00492893">
            <w:pPr>
              <w:spacing w:line="240" w:lineRule="auto"/>
              <w:jc w:val="center"/>
              <w:rPr>
                <w:color w:val="000000" w:themeColor="text1"/>
                <w:sz w:val="16"/>
                <w:szCs w:val="16"/>
                <w:lang w:eastAsia="en-ZA"/>
              </w:rPr>
            </w:pPr>
            <w:r w:rsidRPr="00D02E5D">
              <w:rPr>
                <w:color w:val="000000" w:themeColor="text1"/>
                <w:sz w:val="16"/>
                <w:szCs w:val="16"/>
                <w:lang w:eastAsia="en-ZA"/>
              </w:rPr>
              <w:t>6 468.2</w:t>
            </w:r>
          </w:p>
        </w:tc>
        <w:tc>
          <w:tcPr>
            <w:tcW w:w="457" w:type="pct"/>
            <w:tcBorders>
              <w:top w:val="nil"/>
              <w:left w:val="nil"/>
              <w:bottom w:val="single" w:sz="4" w:space="0" w:color="auto"/>
              <w:right w:val="single" w:sz="4" w:space="0" w:color="auto"/>
            </w:tcBorders>
            <w:shd w:val="clear" w:color="auto" w:fill="auto"/>
            <w:noWrap/>
            <w:vAlign w:val="bottom"/>
            <w:hideMark/>
          </w:tcPr>
          <w:p w14:paraId="176655A5" w14:textId="77777777" w:rsidR="00955C72" w:rsidRPr="00D02E5D" w:rsidRDefault="00955C72" w:rsidP="00492893">
            <w:pPr>
              <w:spacing w:line="240" w:lineRule="auto"/>
              <w:jc w:val="center"/>
              <w:rPr>
                <w:color w:val="000000" w:themeColor="text1"/>
                <w:sz w:val="16"/>
                <w:szCs w:val="16"/>
                <w:lang w:eastAsia="en-ZA"/>
              </w:rPr>
            </w:pPr>
            <w:r w:rsidRPr="00D02E5D">
              <w:rPr>
                <w:color w:val="000000" w:themeColor="text1"/>
                <w:sz w:val="16"/>
                <w:szCs w:val="16"/>
                <w:lang w:eastAsia="en-ZA"/>
              </w:rPr>
              <w:t>6 445.8</w:t>
            </w:r>
          </w:p>
        </w:tc>
        <w:tc>
          <w:tcPr>
            <w:tcW w:w="457" w:type="pct"/>
            <w:tcBorders>
              <w:top w:val="nil"/>
              <w:left w:val="nil"/>
              <w:bottom w:val="single" w:sz="4" w:space="0" w:color="auto"/>
              <w:right w:val="single" w:sz="4" w:space="0" w:color="auto"/>
            </w:tcBorders>
            <w:shd w:val="clear" w:color="auto" w:fill="auto"/>
            <w:noWrap/>
            <w:vAlign w:val="bottom"/>
            <w:hideMark/>
          </w:tcPr>
          <w:p w14:paraId="4BF04F3E" w14:textId="77777777" w:rsidR="00955C72" w:rsidRPr="00D02E5D" w:rsidRDefault="00955C72" w:rsidP="00492893">
            <w:pPr>
              <w:spacing w:line="240" w:lineRule="auto"/>
              <w:jc w:val="center"/>
              <w:rPr>
                <w:color w:val="000000" w:themeColor="text1"/>
                <w:sz w:val="16"/>
                <w:szCs w:val="16"/>
                <w:lang w:eastAsia="en-ZA"/>
              </w:rPr>
            </w:pPr>
            <w:r w:rsidRPr="00D02E5D">
              <w:rPr>
                <w:color w:val="000000" w:themeColor="text1"/>
                <w:sz w:val="16"/>
                <w:szCs w:val="16"/>
                <w:lang w:eastAsia="en-ZA"/>
              </w:rPr>
              <w:t>6 796.6 </w:t>
            </w:r>
          </w:p>
        </w:tc>
        <w:tc>
          <w:tcPr>
            <w:tcW w:w="457" w:type="pct"/>
            <w:tcBorders>
              <w:top w:val="nil"/>
              <w:left w:val="nil"/>
              <w:bottom w:val="single" w:sz="4" w:space="0" w:color="auto"/>
              <w:right w:val="single" w:sz="4" w:space="0" w:color="auto"/>
            </w:tcBorders>
            <w:shd w:val="clear" w:color="auto" w:fill="auto"/>
            <w:noWrap/>
            <w:vAlign w:val="bottom"/>
            <w:hideMark/>
          </w:tcPr>
          <w:p w14:paraId="5D1CCF1E" w14:textId="77777777" w:rsidR="00955C72" w:rsidRPr="00D02E5D" w:rsidRDefault="00955C72" w:rsidP="00492893">
            <w:pPr>
              <w:spacing w:line="240" w:lineRule="auto"/>
              <w:jc w:val="center"/>
              <w:rPr>
                <w:color w:val="000000" w:themeColor="text1"/>
                <w:sz w:val="16"/>
                <w:szCs w:val="16"/>
                <w:lang w:eastAsia="en-ZA"/>
              </w:rPr>
            </w:pPr>
            <w:r w:rsidRPr="00D02E5D">
              <w:rPr>
                <w:color w:val="000000" w:themeColor="text1"/>
                <w:sz w:val="16"/>
                <w:szCs w:val="16"/>
                <w:lang w:eastAsia="en-ZA"/>
              </w:rPr>
              <w:t>7 119.2 </w:t>
            </w:r>
          </w:p>
        </w:tc>
      </w:tr>
      <w:tr w:rsidR="00955C72" w:rsidRPr="00D02E5D" w14:paraId="700CA84E" w14:textId="77777777" w:rsidTr="00955C72">
        <w:trPr>
          <w:trHeight w:val="238"/>
          <w:jc w:val="center"/>
        </w:trPr>
        <w:tc>
          <w:tcPr>
            <w:tcW w:w="2081" w:type="pct"/>
            <w:tcBorders>
              <w:top w:val="nil"/>
              <w:left w:val="single" w:sz="4" w:space="0" w:color="auto"/>
              <w:bottom w:val="single" w:sz="4" w:space="0" w:color="auto"/>
              <w:right w:val="single" w:sz="4" w:space="0" w:color="auto"/>
            </w:tcBorders>
            <w:shd w:val="clear" w:color="auto" w:fill="auto"/>
            <w:noWrap/>
            <w:vAlign w:val="bottom"/>
            <w:hideMark/>
          </w:tcPr>
          <w:p w14:paraId="599ACDEB" w14:textId="77777777" w:rsidR="00955C72" w:rsidRPr="00D02E5D" w:rsidRDefault="00955C72" w:rsidP="00492893">
            <w:pPr>
              <w:spacing w:line="240" w:lineRule="auto"/>
              <w:rPr>
                <w:color w:val="000000" w:themeColor="text1"/>
                <w:sz w:val="16"/>
                <w:szCs w:val="16"/>
                <w:lang w:eastAsia="en-ZA"/>
              </w:rPr>
            </w:pPr>
            <w:r w:rsidRPr="00D02E5D">
              <w:rPr>
                <w:color w:val="000000" w:themeColor="text1"/>
                <w:sz w:val="16"/>
                <w:szCs w:val="16"/>
                <w:lang w:eastAsia="en-ZA"/>
              </w:rPr>
              <w:t>Public Transport Operations Grant</w:t>
            </w:r>
          </w:p>
        </w:tc>
        <w:tc>
          <w:tcPr>
            <w:tcW w:w="364" w:type="pct"/>
            <w:tcBorders>
              <w:top w:val="nil"/>
              <w:left w:val="nil"/>
              <w:bottom w:val="single" w:sz="4" w:space="0" w:color="auto"/>
              <w:right w:val="single" w:sz="4" w:space="0" w:color="auto"/>
            </w:tcBorders>
            <w:shd w:val="clear" w:color="auto" w:fill="auto"/>
            <w:noWrap/>
            <w:vAlign w:val="center"/>
            <w:hideMark/>
          </w:tcPr>
          <w:p w14:paraId="22DAA21D" w14:textId="77777777" w:rsidR="00955C72" w:rsidRPr="00D02E5D" w:rsidRDefault="00955C72" w:rsidP="00492893">
            <w:pPr>
              <w:spacing w:line="240" w:lineRule="auto"/>
              <w:jc w:val="right"/>
              <w:rPr>
                <w:color w:val="000000" w:themeColor="text1"/>
                <w:sz w:val="16"/>
                <w:szCs w:val="16"/>
                <w:lang w:eastAsia="en-ZA"/>
              </w:rPr>
            </w:pPr>
            <w:r w:rsidRPr="00D02E5D">
              <w:rPr>
                <w:color w:val="000000" w:themeColor="text1"/>
                <w:sz w:val="16"/>
                <w:szCs w:val="16"/>
                <w:lang w:val="en-US" w:eastAsia="en-ZA"/>
              </w:rPr>
              <w:t>-</w:t>
            </w:r>
          </w:p>
        </w:tc>
        <w:tc>
          <w:tcPr>
            <w:tcW w:w="364" w:type="pct"/>
            <w:tcBorders>
              <w:top w:val="nil"/>
              <w:left w:val="nil"/>
              <w:bottom w:val="single" w:sz="4" w:space="0" w:color="auto"/>
              <w:right w:val="single" w:sz="4" w:space="0" w:color="auto"/>
            </w:tcBorders>
            <w:shd w:val="clear" w:color="auto" w:fill="auto"/>
            <w:noWrap/>
            <w:vAlign w:val="center"/>
            <w:hideMark/>
          </w:tcPr>
          <w:p w14:paraId="388A0209" w14:textId="77777777" w:rsidR="00955C72" w:rsidRPr="00D02E5D" w:rsidRDefault="00955C72" w:rsidP="00492893">
            <w:pPr>
              <w:spacing w:line="240" w:lineRule="auto"/>
              <w:jc w:val="right"/>
              <w:rPr>
                <w:color w:val="000000" w:themeColor="text1"/>
                <w:sz w:val="16"/>
                <w:szCs w:val="16"/>
                <w:lang w:eastAsia="en-ZA"/>
              </w:rPr>
            </w:pPr>
            <w:r w:rsidRPr="00D02E5D">
              <w:rPr>
                <w:color w:val="000000" w:themeColor="text1"/>
                <w:sz w:val="16"/>
                <w:szCs w:val="16"/>
                <w:lang w:val="en-US" w:eastAsia="en-ZA"/>
              </w:rPr>
              <w:t>98%</w:t>
            </w:r>
          </w:p>
        </w:tc>
        <w:tc>
          <w:tcPr>
            <w:tcW w:w="364" w:type="pct"/>
            <w:tcBorders>
              <w:top w:val="nil"/>
              <w:left w:val="nil"/>
              <w:bottom w:val="single" w:sz="4" w:space="0" w:color="auto"/>
              <w:right w:val="single" w:sz="4" w:space="0" w:color="auto"/>
            </w:tcBorders>
            <w:shd w:val="clear" w:color="auto" w:fill="auto"/>
            <w:noWrap/>
            <w:vAlign w:val="center"/>
            <w:hideMark/>
          </w:tcPr>
          <w:p w14:paraId="217CE265" w14:textId="77777777" w:rsidR="00955C72" w:rsidRPr="00D02E5D" w:rsidRDefault="00955C72" w:rsidP="00492893">
            <w:pPr>
              <w:spacing w:line="240" w:lineRule="auto"/>
              <w:jc w:val="right"/>
              <w:rPr>
                <w:color w:val="000000" w:themeColor="text1"/>
                <w:sz w:val="16"/>
                <w:szCs w:val="16"/>
                <w:lang w:eastAsia="en-ZA"/>
              </w:rPr>
            </w:pPr>
            <w:r w:rsidRPr="00D02E5D">
              <w:rPr>
                <w:color w:val="000000" w:themeColor="text1"/>
                <w:sz w:val="16"/>
                <w:szCs w:val="16"/>
                <w:lang w:val="en-US" w:eastAsia="en-ZA"/>
              </w:rPr>
              <w:t>-</w:t>
            </w:r>
          </w:p>
        </w:tc>
        <w:tc>
          <w:tcPr>
            <w:tcW w:w="457" w:type="pct"/>
            <w:tcBorders>
              <w:top w:val="nil"/>
              <w:left w:val="nil"/>
              <w:bottom w:val="single" w:sz="4" w:space="0" w:color="auto"/>
              <w:right w:val="single" w:sz="4" w:space="0" w:color="auto"/>
            </w:tcBorders>
            <w:shd w:val="clear" w:color="auto" w:fill="auto"/>
            <w:vAlign w:val="center"/>
            <w:hideMark/>
          </w:tcPr>
          <w:p w14:paraId="4F060F56" w14:textId="77777777" w:rsidR="00955C72" w:rsidRPr="00D02E5D" w:rsidRDefault="00955C72" w:rsidP="00492893">
            <w:pPr>
              <w:spacing w:line="240" w:lineRule="auto"/>
              <w:jc w:val="center"/>
              <w:rPr>
                <w:color w:val="000000" w:themeColor="text1"/>
                <w:sz w:val="16"/>
                <w:szCs w:val="16"/>
                <w:lang w:eastAsia="en-ZA"/>
              </w:rPr>
            </w:pPr>
            <w:r w:rsidRPr="00D02E5D">
              <w:rPr>
                <w:color w:val="000000" w:themeColor="text1"/>
                <w:sz w:val="16"/>
                <w:szCs w:val="16"/>
                <w:lang w:val="en-US" w:eastAsia="en-ZA"/>
              </w:rPr>
              <w:t>6 326</w:t>
            </w:r>
          </w:p>
        </w:tc>
        <w:tc>
          <w:tcPr>
            <w:tcW w:w="457" w:type="pct"/>
            <w:tcBorders>
              <w:top w:val="nil"/>
              <w:left w:val="nil"/>
              <w:bottom w:val="single" w:sz="4" w:space="0" w:color="auto"/>
              <w:right w:val="single" w:sz="4" w:space="0" w:color="auto"/>
            </w:tcBorders>
            <w:shd w:val="clear" w:color="auto" w:fill="auto"/>
            <w:vAlign w:val="center"/>
            <w:hideMark/>
          </w:tcPr>
          <w:p w14:paraId="36873D7F" w14:textId="77777777" w:rsidR="00955C72" w:rsidRPr="00D02E5D" w:rsidRDefault="00955C72" w:rsidP="00492893">
            <w:pPr>
              <w:spacing w:line="240" w:lineRule="auto"/>
              <w:jc w:val="center"/>
              <w:rPr>
                <w:color w:val="000000" w:themeColor="text1"/>
                <w:sz w:val="16"/>
                <w:szCs w:val="16"/>
                <w:lang w:eastAsia="en-ZA"/>
              </w:rPr>
            </w:pPr>
            <w:r w:rsidRPr="00D02E5D">
              <w:rPr>
                <w:color w:val="000000" w:themeColor="text1"/>
                <w:sz w:val="16"/>
                <w:szCs w:val="16"/>
                <w:lang w:val="en-US" w:eastAsia="en-ZA"/>
              </w:rPr>
              <w:t>6 750</w:t>
            </w:r>
          </w:p>
        </w:tc>
        <w:tc>
          <w:tcPr>
            <w:tcW w:w="457" w:type="pct"/>
            <w:tcBorders>
              <w:top w:val="nil"/>
              <w:left w:val="nil"/>
              <w:bottom w:val="single" w:sz="4" w:space="0" w:color="auto"/>
              <w:right w:val="single" w:sz="4" w:space="0" w:color="auto"/>
            </w:tcBorders>
            <w:shd w:val="clear" w:color="auto" w:fill="auto"/>
            <w:vAlign w:val="center"/>
            <w:hideMark/>
          </w:tcPr>
          <w:p w14:paraId="7D4EF026" w14:textId="77777777" w:rsidR="00955C72" w:rsidRPr="00D02E5D" w:rsidRDefault="00955C72" w:rsidP="00492893">
            <w:pPr>
              <w:spacing w:line="240" w:lineRule="auto"/>
              <w:jc w:val="center"/>
              <w:rPr>
                <w:color w:val="000000" w:themeColor="text1"/>
                <w:sz w:val="16"/>
                <w:szCs w:val="16"/>
                <w:lang w:eastAsia="en-ZA"/>
              </w:rPr>
            </w:pPr>
            <w:r w:rsidRPr="00D02E5D">
              <w:rPr>
                <w:color w:val="000000" w:themeColor="text1"/>
                <w:sz w:val="16"/>
                <w:szCs w:val="16"/>
                <w:lang w:val="en-US" w:eastAsia="en-ZA"/>
              </w:rPr>
              <w:t>7 121</w:t>
            </w:r>
          </w:p>
        </w:tc>
        <w:tc>
          <w:tcPr>
            <w:tcW w:w="457" w:type="pct"/>
            <w:tcBorders>
              <w:top w:val="nil"/>
              <w:left w:val="nil"/>
              <w:bottom w:val="single" w:sz="4" w:space="0" w:color="auto"/>
              <w:right w:val="single" w:sz="4" w:space="0" w:color="auto"/>
            </w:tcBorders>
            <w:shd w:val="clear" w:color="auto" w:fill="auto"/>
            <w:vAlign w:val="center"/>
            <w:hideMark/>
          </w:tcPr>
          <w:p w14:paraId="585FD8CA" w14:textId="77777777" w:rsidR="00955C72" w:rsidRPr="00D02E5D" w:rsidRDefault="00955C72" w:rsidP="00492893">
            <w:pPr>
              <w:spacing w:line="240" w:lineRule="auto"/>
              <w:jc w:val="center"/>
              <w:rPr>
                <w:color w:val="000000" w:themeColor="text1"/>
                <w:sz w:val="16"/>
                <w:szCs w:val="16"/>
                <w:lang w:eastAsia="en-ZA"/>
              </w:rPr>
            </w:pPr>
            <w:r w:rsidRPr="00D02E5D">
              <w:rPr>
                <w:color w:val="000000" w:themeColor="text1"/>
                <w:sz w:val="16"/>
                <w:szCs w:val="16"/>
                <w:lang w:val="en-US" w:eastAsia="en-ZA"/>
              </w:rPr>
              <w:t>7 090</w:t>
            </w:r>
          </w:p>
        </w:tc>
      </w:tr>
      <w:tr w:rsidR="00955C72" w:rsidRPr="00D02E5D" w14:paraId="4299ACD9" w14:textId="77777777" w:rsidTr="00955C72">
        <w:trPr>
          <w:trHeight w:val="226"/>
          <w:jc w:val="center"/>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A199E5" w14:textId="77777777" w:rsidR="00955C72" w:rsidRPr="00D02E5D" w:rsidRDefault="00955C72" w:rsidP="00492893">
            <w:pPr>
              <w:spacing w:line="240" w:lineRule="auto"/>
              <w:jc w:val="center"/>
              <w:rPr>
                <w:b/>
                <w:bCs/>
                <w:color w:val="000000" w:themeColor="text1"/>
                <w:sz w:val="16"/>
                <w:szCs w:val="16"/>
                <w:lang w:eastAsia="en-ZA"/>
              </w:rPr>
            </w:pPr>
            <w:r w:rsidRPr="00D02E5D">
              <w:rPr>
                <w:b/>
                <w:bCs/>
                <w:color w:val="000000" w:themeColor="text1"/>
                <w:sz w:val="16"/>
                <w:szCs w:val="16"/>
                <w:lang w:val="en-US" w:eastAsia="en-ZA"/>
              </w:rPr>
              <w:t xml:space="preserve">National Treasury </w:t>
            </w:r>
          </w:p>
        </w:tc>
      </w:tr>
      <w:tr w:rsidR="00955C72" w:rsidRPr="00D02E5D" w14:paraId="48FFE761" w14:textId="77777777" w:rsidTr="00955C72">
        <w:trPr>
          <w:trHeight w:val="238"/>
          <w:jc w:val="center"/>
        </w:trPr>
        <w:tc>
          <w:tcPr>
            <w:tcW w:w="2081" w:type="pct"/>
            <w:tcBorders>
              <w:top w:val="nil"/>
              <w:left w:val="single" w:sz="4" w:space="0" w:color="auto"/>
              <w:bottom w:val="single" w:sz="4" w:space="0" w:color="auto"/>
              <w:right w:val="single" w:sz="4" w:space="0" w:color="auto"/>
            </w:tcBorders>
            <w:shd w:val="clear" w:color="auto" w:fill="auto"/>
            <w:noWrap/>
            <w:vAlign w:val="bottom"/>
            <w:hideMark/>
          </w:tcPr>
          <w:p w14:paraId="1C88E5B0" w14:textId="77777777" w:rsidR="00955C72" w:rsidRPr="00D02E5D" w:rsidRDefault="00955C72" w:rsidP="00492893">
            <w:pPr>
              <w:spacing w:line="240" w:lineRule="auto"/>
              <w:rPr>
                <w:color w:val="000000" w:themeColor="text1"/>
                <w:sz w:val="16"/>
                <w:szCs w:val="16"/>
                <w:lang w:eastAsia="en-ZA"/>
              </w:rPr>
            </w:pPr>
            <w:r w:rsidRPr="00D02E5D">
              <w:rPr>
                <w:color w:val="000000" w:themeColor="text1"/>
                <w:sz w:val="16"/>
                <w:szCs w:val="16"/>
                <w:lang w:eastAsia="en-ZA"/>
              </w:rPr>
              <w:t>Integrated City Development Grant</w:t>
            </w:r>
          </w:p>
        </w:tc>
        <w:tc>
          <w:tcPr>
            <w:tcW w:w="364" w:type="pct"/>
            <w:tcBorders>
              <w:top w:val="nil"/>
              <w:left w:val="nil"/>
              <w:bottom w:val="single" w:sz="4" w:space="0" w:color="auto"/>
              <w:right w:val="single" w:sz="4" w:space="0" w:color="auto"/>
            </w:tcBorders>
            <w:shd w:val="clear" w:color="auto" w:fill="auto"/>
            <w:noWrap/>
            <w:vAlign w:val="center"/>
            <w:hideMark/>
          </w:tcPr>
          <w:p w14:paraId="4AE05725" w14:textId="77777777" w:rsidR="00955C72" w:rsidRPr="00D02E5D" w:rsidRDefault="00955C72" w:rsidP="00492893">
            <w:pPr>
              <w:spacing w:line="240" w:lineRule="auto"/>
              <w:jc w:val="right"/>
              <w:rPr>
                <w:color w:val="000000" w:themeColor="text1"/>
                <w:sz w:val="16"/>
                <w:szCs w:val="16"/>
                <w:lang w:eastAsia="en-ZA"/>
              </w:rPr>
            </w:pPr>
            <w:r w:rsidRPr="00D02E5D">
              <w:rPr>
                <w:color w:val="000000" w:themeColor="text1"/>
                <w:sz w:val="16"/>
                <w:szCs w:val="16"/>
                <w:lang w:val="en-US" w:eastAsia="en-ZA"/>
              </w:rPr>
              <w:t>-</w:t>
            </w:r>
          </w:p>
        </w:tc>
        <w:tc>
          <w:tcPr>
            <w:tcW w:w="364" w:type="pct"/>
            <w:tcBorders>
              <w:top w:val="nil"/>
              <w:left w:val="nil"/>
              <w:bottom w:val="single" w:sz="4" w:space="0" w:color="auto"/>
              <w:right w:val="single" w:sz="4" w:space="0" w:color="auto"/>
            </w:tcBorders>
            <w:shd w:val="clear" w:color="auto" w:fill="auto"/>
            <w:noWrap/>
            <w:vAlign w:val="center"/>
            <w:hideMark/>
          </w:tcPr>
          <w:p w14:paraId="1B7C07DA" w14:textId="77777777" w:rsidR="00955C72" w:rsidRPr="00D02E5D" w:rsidRDefault="00955C72" w:rsidP="00492893">
            <w:pPr>
              <w:spacing w:line="240" w:lineRule="auto"/>
              <w:jc w:val="right"/>
              <w:rPr>
                <w:color w:val="000000" w:themeColor="text1"/>
                <w:sz w:val="16"/>
                <w:szCs w:val="16"/>
                <w:lang w:eastAsia="en-ZA"/>
              </w:rPr>
            </w:pPr>
            <w:r>
              <w:rPr>
                <w:color w:val="000000" w:themeColor="text1"/>
                <w:sz w:val="16"/>
                <w:szCs w:val="16"/>
                <w:lang w:val="en-US" w:eastAsia="en-ZA"/>
              </w:rPr>
              <w:t>100%</w:t>
            </w:r>
          </w:p>
        </w:tc>
        <w:tc>
          <w:tcPr>
            <w:tcW w:w="364" w:type="pct"/>
            <w:tcBorders>
              <w:top w:val="nil"/>
              <w:left w:val="nil"/>
              <w:bottom w:val="single" w:sz="4" w:space="0" w:color="auto"/>
              <w:right w:val="single" w:sz="4" w:space="0" w:color="auto"/>
            </w:tcBorders>
            <w:shd w:val="clear" w:color="auto" w:fill="auto"/>
            <w:noWrap/>
            <w:vAlign w:val="center"/>
            <w:hideMark/>
          </w:tcPr>
          <w:p w14:paraId="0045EEC5" w14:textId="77777777" w:rsidR="00955C72" w:rsidRPr="00D02E5D" w:rsidRDefault="00955C72" w:rsidP="00492893">
            <w:pPr>
              <w:spacing w:line="240" w:lineRule="auto"/>
              <w:jc w:val="right"/>
              <w:rPr>
                <w:color w:val="000000" w:themeColor="text1"/>
                <w:sz w:val="16"/>
                <w:szCs w:val="16"/>
                <w:lang w:eastAsia="en-ZA"/>
              </w:rPr>
            </w:pPr>
            <w:r>
              <w:rPr>
                <w:color w:val="000000" w:themeColor="text1"/>
                <w:sz w:val="16"/>
                <w:szCs w:val="16"/>
                <w:lang w:val="en-US" w:eastAsia="en-ZA"/>
              </w:rPr>
              <w:t>100%</w:t>
            </w:r>
          </w:p>
        </w:tc>
        <w:tc>
          <w:tcPr>
            <w:tcW w:w="457" w:type="pct"/>
            <w:tcBorders>
              <w:top w:val="nil"/>
              <w:left w:val="nil"/>
              <w:bottom w:val="single" w:sz="4" w:space="0" w:color="auto"/>
              <w:right w:val="single" w:sz="4" w:space="0" w:color="auto"/>
            </w:tcBorders>
            <w:shd w:val="clear" w:color="auto" w:fill="auto"/>
            <w:noWrap/>
            <w:vAlign w:val="center"/>
            <w:hideMark/>
          </w:tcPr>
          <w:p w14:paraId="15E5B45D" w14:textId="77777777" w:rsidR="00955C72" w:rsidRPr="00D02E5D" w:rsidRDefault="00955C72" w:rsidP="00492893">
            <w:pPr>
              <w:spacing w:line="240" w:lineRule="auto"/>
              <w:jc w:val="center"/>
              <w:rPr>
                <w:color w:val="000000" w:themeColor="text1"/>
                <w:sz w:val="16"/>
                <w:szCs w:val="16"/>
                <w:lang w:eastAsia="en-ZA"/>
              </w:rPr>
            </w:pPr>
            <w:r w:rsidRPr="00D02E5D">
              <w:rPr>
                <w:color w:val="000000" w:themeColor="text1"/>
                <w:sz w:val="16"/>
                <w:szCs w:val="16"/>
                <w:lang w:val="en-US" w:eastAsia="en-ZA"/>
              </w:rPr>
              <w:t>310</w:t>
            </w:r>
          </w:p>
        </w:tc>
        <w:tc>
          <w:tcPr>
            <w:tcW w:w="457" w:type="pct"/>
            <w:tcBorders>
              <w:top w:val="nil"/>
              <w:left w:val="nil"/>
              <w:bottom w:val="single" w:sz="4" w:space="0" w:color="auto"/>
              <w:right w:val="single" w:sz="4" w:space="0" w:color="auto"/>
            </w:tcBorders>
            <w:shd w:val="clear" w:color="auto" w:fill="auto"/>
            <w:noWrap/>
            <w:vAlign w:val="center"/>
            <w:hideMark/>
          </w:tcPr>
          <w:p w14:paraId="2845217D" w14:textId="77777777" w:rsidR="00955C72" w:rsidRPr="00D02E5D" w:rsidRDefault="00955C72" w:rsidP="00492893">
            <w:pPr>
              <w:spacing w:line="240" w:lineRule="auto"/>
              <w:jc w:val="center"/>
              <w:rPr>
                <w:color w:val="000000" w:themeColor="text1"/>
                <w:sz w:val="16"/>
                <w:szCs w:val="16"/>
                <w:lang w:eastAsia="en-ZA"/>
              </w:rPr>
            </w:pPr>
            <w:r w:rsidRPr="00D02E5D">
              <w:rPr>
                <w:color w:val="000000" w:themeColor="text1"/>
                <w:sz w:val="16"/>
                <w:szCs w:val="16"/>
                <w:lang w:val="en-US" w:eastAsia="en-ZA"/>
              </w:rPr>
              <w:t>317</w:t>
            </w:r>
          </w:p>
        </w:tc>
        <w:tc>
          <w:tcPr>
            <w:tcW w:w="457" w:type="pct"/>
            <w:tcBorders>
              <w:top w:val="nil"/>
              <w:left w:val="nil"/>
              <w:bottom w:val="single" w:sz="4" w:space="0" w:color="auto"/>
              <w:right w:val="single" w:sz="4" w:space="0" w:color="auto"/>
            </w:tcBorders>
            <w:shd w:val="clear" w:color="auto" w:fill="auto"/>
            <w:noWrap/>
            <w:vAlign w:val="center"/>
            <w:hideMark/>
          </w:tcPr>
          <w:p w14:paraId="7F22881D" w14:textId="77777777" w:rsidR="00955C72" w:rsidRPr="00D02E5D" w:rsidRDefault="00955C72" w:rsidP="00492893">
            <w:pPr>
              <w:spacing w:line="240" w:lineRule="auto"/>
              <w:jc w:val="center"/>
              <w:rPr>
                <w:color w:val="000000" w:themeColor="text1"/>
                <w:sz w:val="16"/>
                <w:szCs w:val="16"/>
                <w:lang w:eastAsia="en-ZA"/>
              </w:rPr>
            </w:pPr>
            <w:r w:rsidRPr="00D02E5D">
              <w:rPr>
                <w:color w:val="000000" w:themeColor="text1"/>
                <w:sz w:val="16"/>
                <w:szCs w:val="16"/>
                <w:lang w:val="en-US" w:eastAsia="en-ZA"/>
              </w:rPr>
              <w:t>341</w:t>
            </w:r>
          </w:p>
        </w:tc>
        <w:tc>
          <w:tcPr>
            <w:tcW w:w="457" w:type="pct"/>
            <w:tcBorders>
              <w:top w:val="nil"/>
              <w:left w:val="nil"/>
              <w:bottom w:val="single" w:sz="4" w:space="0" w:color="auto"/>
              <w:right w:val="single" w:sz="4" w:space="0" w:color="auto"/>
            </w:tcBorders>
            <w:shd w:val="clear" w:color="auto" w:fill="auto"/>
            <w:noWrap/>
            <w:vAlign w:val="center"/>
            <w:hideMark/>
          </w:tcPr>
          <w:p w14:paraId="6ACCAC6E" w14:textId="77777777" w:rsidR="00955C72" w:rsidRPr="00D02E5D" w:rsidRDefault="00955C72" w:rsidP="00492893">
            <w:pPr>
              <w:spacing w:line="240" w:lineRule="auto"/>
              <w:jc w:val="center"/>
              <w:rPr>
                <w:color w:val="000000" w:themeColor="text1"/>
                <w:sz w:val="16"/>
                <w:szCs w:val="16"/>
                <w:lang w:eastAsia="en-ZA"/>
              </w:rPr>
            </w:pPr>
            <w:r w:rsidRPr="00D02E5D">
              <w:rPr>
                <w:color w:val="000000" w:themeColor="text1"/>
                <w:sz w:val="16"/>
                <w:szCs w:val="16"/>
                <w:lang w:val="en-US" w:eastAsia="en-ZA"/>
              </w:rPr>
              <w:t>361</w:t>
            </w:r>
          </w:p>
        </w:tc>
      </w:tr>
      <w:tr w:rsidR="00955C72" w:rsidRPr="00D02E5D" w14:paraId="1B5E26BC" w14:textId="77777777" w:rsidTr="00955C72">
        <w:trPr>
          <w:trHeight w:val="357"/>
          <w:jc w:val="center"/>
        </w:trPr>
        <w:tc>
          <w:tcPr>
            <w:tcW w:w="2081" w:type="pct"/>
            <w:tcBorders>
              <w:top w:val="nil"/>
              <w:left w:val="single" w:sz="4" w:space="0" w:color="auto"/>
              <w:bottom w:val="single" w:sz="4" w:space="0" w:color="auto"/>
              <w:right w:val="single" w:sz="4" w:space="0" w:color="auto"/>
            </w:tcBorders>
            <w:shd w:val="clear" w:color="auto" w:fill="auto"/>
            <w:vAlign w:val="bottom"/>
            <w:hideMark/>
          </w:tcPr>
          <w:p w14:paraId="1C5C51FA" w14:textId="77777777" w:rsidR="00955C72" w:rsidRPr="00D02E5D" w:rsidRDefault="00955C72" w:rsidP="00492893">
            <w:pPr>
              <w:spacing w:line="240" w:lineRule="auto"/>
              <w:rPr>
                <w:color w:val="000000" w:themeColor="text1"/>
                <w:sz w:val="16"/>
                <w:szCs w:val="16"/>
                <w:lang w:eastAsia="en-ZA"/>
              </w:rPr>
            </w:pPr>
            <w:r w:rsidRPr="00D02E5D">
              <w:rPr>
                <w:color w:val="000000" w:themeColor="text1"/>
                <w:sz w:val="16"/>
                <w:szCs w:val="16"/>
                <w:lang w:eastAsia="en-ZA"/>
              </w:rPr>
              <w:t xml:space="preserve">Local Government Financial Management Grant </w:t>
            </w:r>
          </w:p>
        </w:tc>
        <w:tc>
          <w:tcPr>
            <w:tcW w:w="364" w:type="pct"/>
            <w:tcBorders>
              <w:top w:val="nil"/>
              <w:left w:val="nil"/>
              <w:bottom w:val="single" w:sz="4" w:space="0" w:color="auto"/>
              <w:right w:val="single" w:sz="4" w:space="0" w:color="auto"/>
            </w:tcBorders>
            <w:shd w:val="clear" w:color="auto" w:fill="auto"/>
            <w:noWrap/>
            <w:vAlign w:val="center"/>
            <w:hideMark/>
          </w:tcPr>
          <w:p w14:paraId="1CC1A037" w14:textId="77777777" w:rsidR="00955C72" w:rsidRPr="00D02E5D" w:rsidRDefault="00955C72" w:rsidP="00492893">
            <w:pPr>
              <w:spacing w:line="240" w:lineRule="auto"/>
              <w:jc w:val="right"/>
              <w:rPr>
                <w:color w:val="000000" w:themeColor="text1"/>
                <w:sz w:val="16"/>
                <w:szCs w:val="16"/>
                <w:lang w:eastAsia="en-ZA"/>
              </w:rPr>
            </w:pPr>
            <w:r w:rsidRPr="00D02E5D">
              <w:rPr>
                <w:color w:val="000000" w:themeColor="text1"/>
                <w:sz w:val="16"/>
                <w:szCs w:val="16"/>
                <w:lang w:val="en-US" w:eastAsia="en-ZA"/>
              </w:rPr>
              <w:t>-</w:t>
            </w:r>
          </w:p>
        </w:tc>
        <w:tc>
          <w:tcPr>
            <w:tcW w:w="364" w:type="pct"/>
            <w:tcBorders>
              <w:top w:val="nil"/>
              <w:left w:val="nil"/>
              <w:bottom w:val="single" w:sz="4" w:space="0" w:color="auto"/>
              <w:right w:val="single" w:sz="4" w:space="0" w:color="auto"/>
            </w:tcBorders>
            <w:shd w:val="clear" w:color="auto" w:fill="auto"/>
            <w:noWrap/>
            <w:vAlign w:val="center"/>
            <w:hideMark/>
          </w:tcPr>
          <w:p w14:paraId="4B2C20E4" w14:textId="77777777" w:rsidR="00955C72" w:rsidRPr="00D02E5D" w:rsidRDefault="00955C72" w:rsidP="00492893">
            <w:pPr>
              <w:spacing w:line="240" w:lineRule="auto"/>
              <w:jc w:val="right"/>
              <w:rPr>
                <w:color w:val="000000" w:themeColor="text1"/>
                <w:sz w:val="16"/>
                <w:szCs w:val="16"/>
                <w:lang w:eastAsia="en-ZA"/>
              </w:rPr>
            </w:pPr>
            <w:r>
              <w:rPr>
                <w:color w:val="000000" w:themeColor="text1"/>
                <w:sz w:val="16"/>
                <w:szCs w:val="16"/>
                <w:lang w:val="en-US" w:eastAsia="en-ZA"/>
              </w:rPr>
              <w:t>100%</w:t>
            </w:r>
          </w:p>
        </w:tc>
        <w:tc>
          <w:tcPr>
            <w:tcW w:w="364" w:type="pct"/>
            <w:tcBorders>
              <w:top w:val="nil"/>
              <w:left w:val="nil"/>
              <w:bottom w:val="single" w:sz="4" w:space="0" w:color="auto"/>
              <w:right w:val="single" w:sz="4" w:space="0" w:color="auto"/>
            </w:tcBorders>
            <w:shd w:val="clear" w:color="auto" w:fill="auto"/>
            <w:noWrap/>
            <w:vAlign w:val="center"/>
            <w:hideMark/>
          </w:tcPr>
          <w:p w14:paraId="76F6AC88" w14:textId="77777777" w:rsidR="00955C72" w:rsidRPr="00D02E5D" w:rsidRDefault="00955C72" w:rsidP="00492893">
            <w:pPr>
              <w:spacing w:line="240" w:lineRule="auto"/>
              <w:jc w:val="right"/>
              <w:rPr>
                <w:color w:val="000000" w:themeColor="text1"/>
                <w:sz w:val="16"/>
                <w:szCs w:val="16"/>
                <w:lang w:eastAsia="en-ZA"/>
              </w:rPr>
            </w:pPr>
            <w:r>
              <w:rPr>
                <w:color w:val="000000" w:themeColor="text1"/>
                <w:sz w:val="16"/>
                <w:szCs w:val="16"/>
                <w:lang w:val="en-US" w:eastAsia="en-ZA"/>
              </w:rPr>
              <w:t>100%</w:t>
            </w:r>
          </w:p>
        </w:tc>
        <w:tc>
          <w:tcPr>
            <w:tcW w:w="457" w:type="pct"/>
            <w:tcBorders>
              <w:top w:val="nil"/>
              <w:left w:val="nil"/>
              <w:bottom w:val="single" w:sz="4" w:space="0" w:color="auto"/>
              <w:right w:val="single" w:sz="4" w:space="0" w:color="auto"/>
            </w:tcBorders>
            <w:shd w:val="clear" w:color="auto" w:fill="auto"/>
            <w:noWrap/>
            <w:hideMark/>
          </w:tcPr>
          <w:p w14:paraId="7045D836" w14:textId="77777777" w:rsidR="00955C72" w:rsidRPr="00D02E5D" w:rsidRDefault="00955C72" w:rsidP="00492893">
            <w:pPr>
              <w:spacing w:line="240" w:lineRule="auto"/>
              <w:jc w:val="center"/>
              <w:rPr>
                <w:color w:val="000000" w:themeColor="text1"/>
                <w:sz w:val="16"/>
                <w:szCs w:val="16"/>
                <w:lang w:eastAsia="en-ZA"/>
              </w:rPr>
            </w:pPr>
            <w:r w:rsidRPr="00D02E5D">
              <w:rPr>
                <w:color w:val="000000" w:themeColor="text1"/>
                <w:sz w:val="16"/>
                <w:szCs w:val="16"/>
                <w:lang w:eastAsia="en-ZA"/>
              </w:rPr>
              <w:t>532 822</w:t>
            </w:r>
          </w:p>
        </w:tc>
        <w:tc>
          <w:tcPr>
            <w:tcW w:w="457" w:type="pct"/>
            <w:tcBorders>
              <w:top w:val="nil"/>
              <w:left w:val="nil"/>
              <w:bottom w:val="single" w:sz="4" w:space="0" w:color="auto"/>
              <w:right w:val="single" w:sz="4" w:space="0" w:color="auto"/>
            </w:tcBorders>
            <w:shd w:val="clear" w:color="auto" w:fill="auto"/>
            <w:noWrap/>
            <w:hideMark/>
          </w:tcPr>
          <w:p w14:paraId="428484BB" w14:textId="77777777" w:rsidR="00955C72" w:rsidRPr="00D02E5D" w:rsidRDefault="00955C72" w:rsidP="00492893">
            <w:pPr>
              <w:spacing w:line="240" w:lineRule="auto"/>
              <w:jc w:val="center"/>
              <w:rPr>
                <w:color w:val="000000" w:themeColor="text1"/>
                <w:sz w:val="16"/>
                <w:szCs w:val="16"/>
                <w:lang w:eastAsia="en-ZA"/>
              </w:rPr>
            </w:pPr>
            <w:r w:rsidRPr="00D02E5D">
              <w:rPr>
                <w:color w:val="000000" w:themeColor="text1"/>
                <w:sz w:val="16"/>
                <w:szCs w:val="16"/>
                <w:lang w:eastAsia="en-ZA"/>
              </w:rPr>
              <w:t>544 862</w:t>
            </w:r>
          </w:p>
        </w:tc>
        <w:tc>
          <w:tcPr>
            <w:tcW w:w="457" w:type="pct"/>
            <w:tcBorders>
              <w:top w:val="nil"/>
              <w:left w:val="nil"/>
              <w:bottom w:val="single" w:sz="4" w:space="0" w:color="auto"/>
              <w:right w:val="single" w:sz="4" w:space="0" w:color="auto"/>
            </w:tcBorders>
            <w:shd w:val="clear" w:color="auto" w:fill="auto"/>
            <w:noWrap/>
            <w:hideMark/>
          </w:tcPr>
          <w:p w14:paraId="70E4D02C" w14:textId="77777777" w:rsidR="00955C72" w:rsidRPr="00D02E5D" w:rsidRDefault="00955C72" w:rsidP="00492893">
            <w:pPr>
              <w:spacing w:line="240" w:lineRule="auto"/>
              <w:jc w:val="center"/>
              <w:rPr>
                <w:color w:val="000000" w:themeColor="text1"/>
                <w:sz w:val="16"/>
                <w:szCs w:val="16"/>
                <w:lang w:eastAsia="en-ZA"/>
              </w:rPr>
            </w:pPr>
            <w:r w:rsidRPr="00D02E5D">
              <w:rPr>
                <w:color w:val="000000" w:themeColor="text1"/>
                <w:sz w:val="16"/>
                <w:szCs w:val="16"/>
                <w:lang w:eastAsia="en-ZA"/>
              </w:rPr>
              <w:t>574 829</w:t>
            </w:r>
          </w:p>
        </w:tc>
        <w:tc>
          <w:tcPr>
            <w:tcW w:w="457" w:type="pct"/>
            <w:tcBorders>
              <w:top w:val="nil"/>
              <w:left w:val="nil"/>
              <w:bottom w:val="single" w:sz="4" w:space="0" w:color="auto"/>
              <w:right w:val="single" w:sz="4" w:space="0" w:color="auto"/>
            </w:tcBorders>
            <w:shd w:val="clear" w:color="auto" w:fill="auto"/>
            <w:noWrap/>
            <w:hideMark/>
          </w:tcPr>
          <w:p w14:paraId="15132AD0" w14:textId="77777777" w:rsidR="00955C72" w:rsidRPr="00D02E5D" w:rsidRDefault="00955C72" w:rsidP="00492893">
            <w:pPr>
              <w:spacing w:line="240" w:lineRule="auto"/>
              <w:jc w:val="center"/>
              <w:rPr>
                <w:color w:val="000000" w:themeColor="text1"/>
                <w:sz w:val="16"/>
                <w:szCs w:val="16"/>
                <w:lang w:eastAsia="en-ZA"/>
              </w:rPr>
            </w:pPr>
            <w:r w:rsidRPr="00D02E5D">
              <w:rPr>
                <w:color w:val="000000" w:themeColor="text1"/>
                <w:sz w:val="16"/>
                <w:szCs w:val="16"/>
                <w:lang w:eastAsia="en-ZA"/>
              </w:rPr>
              <w:t>596 005</w:t>
            </w:r>
          </w:p>
        </w:tc>
      </w:tr>
      <w:tr w:rsidR="00955C72" w:rsidRPr="00D02E5D" w14:paraId="00E11AB2" w14:textId="77777777" w:rsidTr="00955C72">
        <w:trPr>
          <w:trHeight w:val="238"/>
          <w:jc w:val="center"/>
        </w:trPr>
        <w:tc>
          <w:tcPr>
            <w:tcW w:w="2081" w:type="pct"/>
            <w:tcBorders>
              <w:top w:val="nil"/>
              <w:left w:val="single" w:sz="4" w:space="0" w:color="auto"/>
              <w:bottom w:val="single" w:sz="4" w:space="0" w:color="auto"/>
              <w:right w:val="single" w:sz="4" w:space="0" w:color="auto"/>
            </w:tcBorders>
            <w:shd w:val="clear" w:color="auto" w:fill="auto"/>
            <w:noWrap/>
            <w:vAlign w:val="bottom"/>
            <w:hideMark/>
          </w:tcPr>
          <w:p w14:paraId="0600C47B" w14:textId="77777777" w:rsidR="00955C72" w:rsidRPr="00D02E5D" w:rsidRDefault="00955C72" w:rsidP="00492893">
            <w:pPr>
              <w:spacing w:line="240" w:lineRule="auto"/>
              <w:rPr>
                <w:color w:val="000000" w:themeColor="text1"/>
                <w:sz w:val="16"/>
                <w:szCs w:val="16"/>
                <w:lang w:eastAsia="en-ZA"/>
              </w:rPr>
            </w:pPr>
            <w:r w:rsidRPr="00D02E5D">
              <w:rPr>
                <w:color w:val="000000" w:themeColor="text1"/>
                <w:sz w:val="16"/>
                <w:szCs w:val="16"/>
                <w:lang w:eastAsia="en-ZA"/>
              </w:rPr>
              <w:t xml:space="preserve">Infrastructure Skills Development Grant </w:t>
            </w:r>
          </w:p>
        </w:tc>
        <w:tc>
          <w:tcPr>
            <w:tcW w:w="364" w:type="pct"/>
            <w:tcBorders>
              <w:top w:val="nil"/>
              <w:left w:val="nil"/>
              <w:bottom w:val="single" w:sz="4" w:space="0" w:color="auto"/>
              <w:right w:val="single" w:sz="4" w:space="0" w:color="auto"/>
            </w:tcBorders>
            <w:shd w:val="clear" w:color="auto" w:fill="auto"/>
            <w:noWrap/>
            <w:vAlign w:val="center"/>
            <w:hideMark/>
          </w:tcPr>
          <w:p w14:paraId="667E4F6A" w14:textId="77777777" w:rsidR="00955C72" w:rsidRPr="00D02E5D" w:rsidRDefault="00955C72" w:rsidP="00492893">
            <w:pPr>
              <w:spacing w:line="240" w:lineRule="auto"/>
              <w:jc w:val="right"/>
              <w:rPr>
                <w:color w:val="000000" w:themeColor="text1"/>
                <w:sz w:val="16"/>
                <w:szCs w:val="16"/>
                <w:lang w:eastAsia="en-ZA"/>
              </w:rPr>
            </w:pPr>
            <w:r w:rsidRPr="00D02E5D">
              <w:rPr>
                <w:color w:val="000000" w:themeColor="text1"/>
                <w:sz w:val="16"/>
                <w:szCs w:val="16"/>
                <w:lang w:val="en-US" w:eastAsia="en-ZA"/>
              </w:rPr>
              <w:t>-</w:t>
            </w:r>
          </w:p>
        </w:tc>
        <w:tc>
          <w:tcPr>
            <w:tcW w:w="364" w:type="pct"/>
            <w:tcBorders>
              <w:top w:val="nil"/>
              <w:left w:val="nil"/>
              <w:bottom w:val="single" w:sz="4" w:space="0" w:color="auto"/>
              <w:right w:val="single" w:sz="4" w:space="0" w:color="auto"/>
            </w:tcBorders>
            <w:shd w:val="clear" w:color="auto" w:fill="auto"/>
            <w:noWrap/>
            <w:vAlign w:val="center"/>
            <w:hideMark/>
          </w:tcPr>
          <w:p w14:paraId="16B98035" w14:textId="77777777" w:rsidR="00955C72" w:rsidRPr="00D02E5D" w:rsidRDefault="00955C72" w:rsidP="00492893">
            <w:pPr>
              <w:spacing w:line="240" w:lineRule="auto"/>
              <w:jc w:val="right"/>
              <w:rPr>
                <w:color w:val="000000" w:themeColor="text1"/>
                <w:sz w:val="16"/>
                <w:szCs w:val="16"/>
                <w:lang w:eastAsia="en-ZA"/>
              </w:rPr>
            </w:pPr>
            <w:r>
              <w:rPr>
                <w:color w:val="000000" w:themeColor="text1"/>
                <w:sz w:val="16"/>
                <w:szCs w:val="16"/>
                <w:lang w:val="en-US" w:eastAsia="en-ZA"/>
              </w:rPr>
              <w:t>85%</w:t>
            </w:r>
          </w:p>
        </w:tc>
        <w:tc>
          <w:tcPr>
            <w:tcW w:w="364" w:type="pct"/>
            <w:tcBorders>
              <w:top w:val="nil"/>
              <w:left w:val="nil"/>
              <w:bottom w:val="single" w:sz="4" w:space="0" w:color="auto"/>
              <w:right w:val="single" w:sz="4" w:space="0" w:color="auto"/>
            </w:tcBorders>
            <w:shd w:val="clear" w:color="auto" w:fill="auto"/>
            <w:noWrap/>
            <w:vAlign w:val="center"/>
            <w:hideMark/>
          </w:tcPr>
          <w:p w14:paraId="65783DE7" w14:textId="77777777" w:rsidR="00955C72" w:rsidRPr="00D02E5D" w:rsidRDefault="00955C72" w:rsidP="00492893">
            <w:pPr>
              <w:spacing w:line="240" w:lineRule="auto"/>
              <w:jc w:val="right"/>
              <w:rPr>
                <w:color w:val="000000" w:themeColor="text1"/>
                <w:sz w:val="16"/>
                <w:szCs w:val="16"/>
                <w:lang w:eastAsia="en-ZA"/>
              </w:rPr>
            </w:pPr>
            <w:r>
              <w:rPr>
                <w:color w:val="000000" w:themeColor="text1"/>
                <w:sz w:val="16"/>
                <w:szCs w:val="16"/>
                <w:lang w:val="en-US" w:eastAsia="en-ZA"/>
              </w:rPr>
              <w:t>98%</w:t>
            </w:r>
          </w:p>
        </w:tc>
        <w:tc>
          <w:tcPr>
            <w:tcW w:w="457" w:type="pct"/>
            <w:tcBorders>
              <w:top w:val="nil"/>
              <w:left w:val="nil"/>
              <w:bottom w:val="single" w:sz="4" w:space="0" w:color="auto"/>
              <w:right w:val="single" w:sz="4" w:space="0" w:color="auto"/>
            </w:tcBorders>
            <w:shd w:val="clear" w:color="auto" w:fill="auto"/>
            <w:noWrap/>
            <w:hideMark/>
          </w:tcPr>
          <w:p w14:paraId="50EBC027" w14:textId="77777777" w:rsidR="00955C72" w:rsidRPr="00D02E5D" w:rsidRDefault="00955C72" w:rsidP="00492893">
            <w:pPr>
              <w:spacing w:line="240" w:lineRule="auto"/>
              <w:jc w:val="center"/>
              <w:rPr>
                <w:color w:val="000000" w:themeColor="text1"/>
                <w:sz w:val="16"/>
                <w:szCs w:val="16"/>
                <w:lang w:eastAsia="en-ZA"/>
              </w:rPr>
            </w:pPr>
            <w:r w:rsidRPr="00D02E5D">
              <w:rPr>
                <w:color w:val="000000" w:themeColor="text1"/>
                <w:sz w:val="16"/>
                <w:szCs w:val="16"/>
                <w:lang w:eastAsia="en-ZA"/>
              </w:rPr>
              <w:t>149 416</w:t>
            </w:r>
          </w:p>
        </w:tc>
        <w:tc>
          <w:tcPr>
            <w:tcW w:w="457" w:type="pct"/>
            <w:tcBorders>
              <w:top w:val="nil"/>
              <w:left w:val="nil"/>
              <w:bottom w:val="single" w:sz="4" w:space="0" w:color="auto"/>
              <w:right w:val="single" w:sz="4" w:space="0" w:color="auto"/>
            </w:tcBorders>
            <w:shd w:val="clear" w:color="auto" w:fill="auto"/>
            <w:noWrap/>
            <w:hideMark/>
          </w:tcPr>
          <w:p w14:paraId="7F376DF5" w14:textId="77777777" w:rsidR="00955C72" w:rsidRPr="00D02E5D" w:rsidRDefault="00955C72" w:rsidP="00492893">
            <w:pPr>
              <w:spacing w:line="240" w:lineRule="auto"/>
              <w:jc w:val="center"/>
              <w:rPr>
                <w:color w:val="000000" w:themeColor="text1"/>
                <w:sz w:val="16"/>
                <w:szCs w:val="16"/>
                <w:lang w:eastAsia="en-ZA"/>
              </w:rPr>
            </w:pPr>
            <w:r w:rsidRPr="00D02E5D">
              <w:rPr>
                <w:color w:val="000000" w:themeColor="text1"/>
                <w:sz w:val="16"/>
                <w:szCs w:val="16"/>
                <w:lang w:eastAsia="en-ZA"/>
              </w:rPr>
              <w:t>153 192</w:t>
            </w:r>
          </w:p>
        </w:tc>
        <w:tc>
          <w:tcPr>
            <w:tcW w:w="457" w:type="pct"/>
            <w:tcBorders>
              <w:top w:val="nil"/>
              <w:left w:val="nil"/>
              <w:bottom w:val="single" w:sz="4" w:space="0" w:color="auto"/>
              <w:right w:val="single" w:sz="4" w:space="0" w:color="auto"/>
            </w:tcBorders>
            <w:shd w:val="clear" w:color="auto" w:fill="auto"/>
            <w:noWrap/>
            <w:hideMark/>
          </w:tcPr>
          <w:p w14:paraId="0C824F63" w14:textId="77777777" w:rsidR="00955C72" w:rsidRPr="00D02E5D" w:rsidRDefault="00955C72" w:rsidP="00492893">
            <w:pPr>
              <w:spacing w:line="240" w:lineRule="auto"/>
              <w:jc w:val="center"/>
              <w:rPr>
                <w:color w:val="000000" w:themeColor="text1"/>
                <w:sz w:val="16"/>
                <w:szCs w:val="16"/>
                <w:lang w:eastAsia="en-ZA"/>
              </w:rPr>
            </w:pPr>
            <w:r w:rsidRPr="00D02E5D">
              <w:rPr>
                <w:color w:val="000000" w:themeColor="text1"/>
                <w:sz w:val="16"/>
                <w:szCs w:val="16"/>
                <w:lang w:eastAsia="en-ZA"/>
              </w:rPr>
              <w:t>161 618</w:t>
            </w:r>
          </w:p>
        </w:tc>
        <w:tc>
          <w:tcPr>
            <w:tcW w:w="457" w:type="pct"/>
            <w:tcBorders>
              <w:top w:val="nil"/>
              <w:left w:val="nil"/>
              <w:bottom w:val="single" w:sz="4" w:space="0" w:color="auto"/>
              <w:right w:val="single" w:sz="4" w:space="0" w:color="auto"/>
            </w:tcBorders>
            <w:shd w:val="clear" w:color="auto" w:fill="auto"/>
            <w:noWrap/>
            <w:hideMark/>
          </w:tcPr>
          <w:p w14:paraId="7E2C3458" w14:textId="77777777" w:rsidR="00955C72" w:rsidRPr="00D02E5D" w:rsidRDefault="00955C72" w:rsidP="00492893">
            <w:pPr>
              <w:spacing w:line="240" w:lineRule="auto"/>
              <w:jc w:val="center"/>
              <w:rPr>
                <w:color w:val="000000" w:themeColor="text1"/>
                <w:sz w:val="16"/>
                <w:szCs w:val="16"/>
                <w:lang w:eastAsia="en-ZA"/>
              </w:rPr>
            </w:pPr>
            <w:r w:rsidRPr="00D02E5D">
              <w:rPr>
                <w:color w:val="000000" w:themeColor="text1"/>
                <w:sz w:val="16"/>
                <w:szCs w:val="16"/>
                <w:lang w:eastAsia="en-ZA"/>
              </w:rPr>
              <w:t>167 571</w:t>
            </w:r>
          </w:p>
        </w:tc>
      </w:tr>
      <w:tr w:rsidR="00955C72" w:rsidRPr="00D02E5D" w14:paraId="7AB66ED2" w14:textId="77777777" w:rsidTr="00955C72">
        <w:trPr>
          <w:trHeight w:val="238"/>
          <w:jc w:val="center"/>
        </w:trPr>
        <w:tc>
          <w:tcPr>
            <w:tcW w:w="2081" w:type="pct"/>
            <w:tcBorders>
              <w:top w:val="nil"/>
              <w:left w:val="single" w:sz="4" w:space="0" w:color="auto"/>
              <w:bottom w:val="single" w:sz="4" w:space="0" w:color="auto"/>
              <w:right w:val="single" w:sz="4" w:space="0" w:color="auto"/>
            </w:tcBorders>
            <w:shd w:val="clear" w:color="auto" w:fill="auto"/>
            <w:noWrap/>
            <w:vAlign w:val="bottom"/>
            <w:hideMark/>
          </w:tcPr>
          <w:p w14:paraId="56C9C28E" w14:textId="77777777" w:rsidR="00955C72" w:rsidRPr="00D02E5D" w:rsidRDefault="00955C72" w:rsidP="00492893">
            <w:pPr>
              <w:spacing w:line="240" w:lineRule="auto"/>
              <w:rPr>
                <w:color w:val="000000" w:themeColor="text1"/>
                <w:sz w:val="16"/>
                <w:szCs w:val="16"/>
                <w:lang w:eastAsia="en-ZA"/>
              </w:rPr>
            </w:pPr>
            <w:r w:rsidRPr="00D02E5D">
              <w:rPr>
                <w:color w:val="000000" w:themeColor="text1"/>
                <w:sz w:val="16"/>
                <w:szCs w:val="16"/>
                <w:lang w:eastAsia="en-ZA"/>
              </w:rPr>
              <w:t xml:space="preserve">Neighbourhood Development Partnership Grant </w:t>
            </w:r>
          </w:p>
        </w:tc>
        <w:tc>
          <w:tcPr>
            <w:tcW w:w="364" w:type="pct"/>
            <w:tcBorders>
              <w:top w:val="nil"/>
              <w:left w:val="nil"/>
              <w:bottom w:val="single" w:sz="4" w:space="0" w:color="auto"/>
              <w:right w:val="single" w:sz="4" w:space="0" w:color="auto"/>
            </w:tcBorders>
            <w:shd w:val="clear" w:color="auto" w:fill="auto"/>
            <w:noWrap/>
            <w:vAlign w:val="center"/>
            <w:hideMark/>
          </w:tcPr>
          <w:p w14:paraId="15399BA7" w14:textId="77777777" w:rsidR="00955C72" w:rsidRPr="00D02E5D" w:rsidRDefault="00955C72" w:rsidP="00492893">
            <w:pPr>
              <w:spacing w:line="240" w:lineRule="auto"/>
              <w:jc w:val="right"/>
              <w:rPr>
                <w:color w:val="000000" w:themeColor="text1"/>
                <w:sz w:val="16"/>
                <w:szCs w:val="16"/>
                <w:lang w:eastAsia="en-ZA"/>
              </w:rPr>
            </w:pPr>
            <w:r w:rsidRPr="00D02E5D">
              <w:rPr>
                <w:color w:val="000000" w:themeColor="text1"/>
                <w:sz w:val="16"/>
                <w:szCs w:val="16"/>
                <w:lang w:val="en-US" w:eastAsia="en-ZA"/>
              </w:rPr>
              <w:t>-</w:t>
            </w:r>
          </w:p>
        </w:tc>
        <w:tc>
          <w:tcPr>
            <w:tcW w:w="364" w:type="pct"/>
            <w:tcBorders>
              <w:top w:val="nil"/>
              <w:left w:val="nil"/>
              <w:bottom w:val="single" w:sz="4" w:space="0" w:color="auto"/>
              <w:right w:val="single" w:sz="4" w:space="0" w:color="auto"/>
            </w:tcBorders>
            <w:shd w:val="clear" w:color="auto" w:fill="auto"/>
            <w:noWrap/>
            <w:vAlign w:val="center"/>
            <w:hideMark/>
          </w:tcPr>
          <w:p w14:paraId="5E152158" w14:textId="77777777" w:rsidR="00955C72" w:rsidRPr="00D02E5D" w:rsidRDefault="00955C72" w:rsidP="00492893">
            <w:pPr>
              <w:spacing w:line="240" w:lineRule="auto"/>
              <w:jc w:val="right"/>
              <w:rPr>
                <w:color w:val="000000" w:themeColor="text1"/>
                <w:sz w:val="16"/>
                <w:szCs w:val="16"/>
                <w:lang w:eastAsia="en-ZA"/>
              </w:rPr>
            </w:pPr>
            <w:r w:rsidRPr="00D02E5D">
              <w:rPr>
                <w:color w:val="000000" w:themeColor="text1"/>
                <w:sz w:val="16"/>
                <w:szCs w:val="16"/>
                <w:lang w:val="en-US" w:eastAsia="en-ZA"/>
              </w:rPr>
              <w:t>-</w:t>
            </w:r>
          </w:p>
        </w:tc>
        <w:tc>
          <w:tcPr>
            <w:tcW w:w="364" w:type="pct"/>
            <w:tcBorders>
              <w:top w:val="nil"/>
              <w:left w:val="nil"/>
              <w:bottom w:val="single" w:sz="4" w:space="0" w:color="auto"/>
              <w:right w:val="single" w:sz="4" w:space="0" w:color="auto"/>
            </w:tcBorders>
            <w:shd w:val="clear" w:color="auto" w:fill="auto"/>
            <w:noWrap/>
            <w:vAlign w:val="center"/>
            <w:hideMark/>
          </w:tcPr>
          <w:p w14:paraId="6BAD1857" w14:textId="77777777" w:rsidR="00955C72" w:rsidRPr="00D02E5D" w:rsidRDefault="00955C72" w:rsidP="00492893">
            <w:pPr>
              <w:spacing w:line="240" w:lineRule="auto"/>
              <w:jc w:val="right"/>
              <w:rPr>
                <w:color w:val="000000" w:themeColor="text1"/>
                <w:sz w:val="16"/>
                <w:szCs w:val="16"/>
                <w:lang w:eastAsia="en-ZA"/>
              </w:rPr>
            </w:pPr>
            <w:r>
              <w:rPr>
                <w:color w:val="000000" w:themeColor="text1"/>
                <w:sz w:val="16"/>
                <w:szCs w:val="16"/>
                <w:lang w:val="en-US" w:eastAsia="en-ZA"/>
              </w:rPr>
              <w:t>98%</w:t>
            </w:r>
          </w:p>
        </w:tc>
        <w:tc>
          <w:tcPr>
            <w:tcW w:w="457" w:type="pct"/>
            <w:tcBorders>
              <w:top w:val="nil"/>
              <w:left w:val="nil"/>
              <w:bottom w:val="single" w:sz="4" w:space="0" w:color="auto"/>
              <w:right w:val="single" w:sz="4" w:space="0" w:color="auto"/>
            </w:tcBorders>
            <w:shd w:val="clear" w:color="auto" w:fill="auto"/>
            <w:noWrap/>
            <w:hideMark/>
          </w:tcPr>
          <w:p w14:paraId="6A8BA69B" w14:textId="77777777" w:rsidR="00955C72" w:rsidRPr="00D02E5D" w:rsidRDefault="00955C72" w:rsidP="00492893">
            <w:pPr>
              <w:spacing w:line="240" w:lineRule="auto"/>
              <w:jc w:val="center"/>
              <w:rPr>
                <w:color w:val="000000" w:themeColor="text1"/>
                <w:sz w:val="16"/>
                <w:szCs w:val="16"/>
                <w:lang w:eastAsia="en-ZA"/>
              </w:rPr>
            </w:pPr>
            <w:r w:rsidRPr="00D02E5D">
              <w:rPr>
                <w:color w:val="000000" w:themeColor="text1"/>
                <w:sz w:val="16"/>
                <w:szCs w:val="16"/>
                <w:lang w:eastAsia="en-ZA"/>
              </w:rPr>
              <w:t>601 672</w:t>
            </w:r>
          </w:p>
        </w:tc>
        <w:tc>
          <w:tcPr>
            <w:tcW w:w="457" w:type="pct"/>
            <w:tcBorders>
              <w:top w:val="nil"/>
              <w:left w:val="nil"/>
              <w:bottom w:val="single" w:sz="4" w:space="0" w:color="auto"/>
              <w:right w:val="single" w:sz="4" w:space="0" w:color="auto"/>
            </w:tcBorders>
            <w:shd w:val="clear" w:color="auto" w:fill="auto"/>
            <w:noWrap/>
            <w:hideMark/>
          </w:tcPr>
          <w:p w14:paraId="0A8382D2" w14:textId="77777777" w:rsidR="00955C72" w:rsidRPr="00D02E5D" w:rsidRDefault="00955C72" w:rsidP="00492893">
            <w:pPr>
              <w:spacing w:line="240" w:lineRule="auto"/>
              <w:jc w:val="center"/>
              <w:rPr>
                <w:color w:val="000000" w:themeColor="text1"/>
                <w:sz w:val="16"/>
                <w:szCs w:val="16"/>
                <w:lang w:eastAsia="en-ZA"/>
              </w:rPr>
            </w:pPr>
            <w:r w:rsidRPr="00D02E5D">
              <w:rPr>
                <w:color w:val="000000" w:themeColor="text1"/>
                <w:sz w:val="16"/>
                <w:szCs w:val="16"/>
                <w:lang w:eastAsia="en-ZA"/>
              </w:rPr>
              <w:t>559 442</w:t>
            </w:r>
          </w:p>
        </w:tc>
        <w:tc>
          <w:tcPr>
            <w:tcW w:w="457" w:type="pct"/>
            <w:tcBorders>
              <w:top w:val="nil"/>
              <w:left w:val="nil"/>
              <w:bottom w:val="single" w:sz="4" w:space="0" w:color="auto"/>
              <w:right w:val="single" w:sz="4" w:space="0" w:color="auto"/>
            </w:tcBorders>
            <w:shd w:val="clear" w:color="auto" w:fill="auto"/>
            <w:noWrap/>
            <w:hideMark/>
          </w:tcPr>
          <w:p w14:paraId="723E6516" w14:textId="77777777" w:rsidR="00955C72" w:rsidRPr="00D02E5D" w:rsidRDefault="00955C72" w:rsidP="00492893">
            <w:pPr>
              <w:spacing w:line="240" w:lineRule="auto"/>
              <w:jc w:val="center"/>
              <w:rPr>
                <w:color w:val="000000" w:themeColor="text1"/>
                <w:sz w:val="16"/>
                <w:szCs w:val="16"/>
                <w:lang w:eastAsia="en-ZA"/>
              </w:rPr>
            </w:pPr>
            <w:r w:rsidRPr="00D02E5D">
              <w:rPr>
                <w:color w:val="000000" w:themeColor="text1"/>
                <w:sz w:val="16"/>
                <w:szCs w:val="16"/>
                <w:lang w:eastAsia="en-ZA"/>
              </w:rPr>
              <w:t>566 611</w:t>
            </w:r>
          </w:p>
        </w:tc>
        <w:tc>
          <w:tcPr>
            <w:tcW w:w="457" w:type="pct"/>
            <w:tcBorders>
              <w:top w:val="nil"/>
              <w:left w:val="nil"/>
              <w:bottom w:val="single" w:sz="4" w:space="0" w:color="auto"/>
              <w:right w:val="single" w:sz="4" w:space="0" w:color="auto"/>
            </w:tcBorders>
            <w:shd w:val="clear" w:color="auto" w:fill="auto"/>
            <w:noWrap/>
            <w:hideMark/>
          </w:tcPr>
          <w:p w14:paraId="5EB9030A" w14:textId="77777777" w:rsidR="00955C72" w:rsidRPr="00D02E5D" w:rsidRDefault="00955C72" w:rsidP="00492893">
            <w:pPr>
              <w:spacing w:line="240" w:lineRule="auto"/>
              <w:jc w:val="center"/>
              <w:rPr>
                <w:color w:val="000000" w:themeColor="text1"/>
                <w:sz w:val="16"/>
                <w:szCs w:val="16"/>
                <w:lang w:eastAsia="en-ZA"/>
              </w:rPr>
            </w:pPr>
            <w:r w:rsidRPr="00D02E5D">
              <w:rPr>
                <w:color w:val="000000" w:themeColor="text1"/>
                <w:sz w:val="16"/>
                <w:szCs w:val="16"/>
                <w:lang w:eastAsia="en-ZA"/>
              </w:rPr>
              <w:t>593 074</w:t>
            </w:r>
          </w:p>
        </w:tc>
      </w:tr>
      <w:tr w:rsidR="00955C72" w:rsidRPr="00D02E5D" w14:paraId="2D561749" w14:textId="77777777" w:rsidTr="00955C72">
        <w:trPr>
          <w:trHeight w:val="226"/>
          <w:jc w:val="center"/>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C66679" w14:textId="77777777" w:rsidR="00955C72" w:rsidRPr="00D02E5D" w:rsidRDefault="00955C72" w:rsidP="00492893">
            <w:pPr>
              <w:spacing w:line="240" w:lineRule="auto"/>
              <w:jc w:val="center"/>
              <w:rPr>
                <w:b/>
                <w:bCs/>
                <w:color w:val="000000" w:themeColor="text1"/>
                <w:sz w:val="16"/>
                <w:szCs w:val="16"/>
                <w:lang w:eastAsia="en-ZA"/>
              </w:rPr>
            </w:pPr>
            <w:r w:rsidRPr="00D02E5D">
              <w:rPr>
                <w:b/>
                <w:bCs/>
                <w:color w:val="000000" w:themeColor="text1"/>
                <w:sz w:val="16"/>
                <w:szCs w:val="16"/>
                <w:lang w:val="en-US" w:eastAsia="en-ZA"/>
              </w:rPr>
              <w:t xml:space="preserve">Department of Public Works </w:t>
            </w:r>
          </w:p>
        </w:tc>
      </w:tr>
      <w:tr w:rsidR="00955C72" w:rsidRPr="00D02E5D" w14:paraId="4E4202EF" w14:textId="77777777" w:rsidTr="00955C72">
        <w:trPr>
          <w:trHeight w:val="238"/>
          <w:jc w:val="center"/>
        </w:trPr>
        <w:tc>
          <w:tcPr>
            <w:tcW w:w="2081" w:type="pct"/>
            <w:tcBorders>
              <w:top w:val="nil"/>
              <w:left w:val="single" w:sz="4" w:space="0" w:color="auto"/>
              <w:bottom w:val="single" w:sz="4" w:space="0" w:color="auto"/>
              <w:right w:val="single" w:sz="4" w:space="0" w:color="auto"/>
            </w:tcBorders>
            <w:shd w:val="clear" w:color="auto" w:fill="auto"/>
            <w:noWrap/>
            <w:vAlign w:val="bottom"/>
            <w:hideMark/>
          </w:tcPr>
          <w:p w14:paraId="5AC81180" w14:textId="77777777" w:rsidR="00955C72" w:rsidRPr="00D02E5D" w:rsidRDefault="00955C72" w:rsidP="00492893">
            <w:pPr>
              <w:spacing w:line="240" w:lineRule="auto"/>
              <w:rPr>
                <w:color w:val="000000" w:themeColor="text1"/>
                <w:sz w:val="16"/>
                <w:szCs w:val="16"/>
                <w:lang w:eastAsia="en-ZA"/>
              </w:rPr>
            </w:pPr>
            <w:r w:rsidRPr="00D02E5D">
              <w:rPr>
                <w:color w:val="000000" w:themeColor="text1"/>
                <w:sz w:val="16"/>
                <w:szCs w:val="16"/>
                <w:lang w:eastAsia="en-ZA"/>
              </w:rPr>
              <w:t xml:space="preserve">Expanded Public Works Programme </w:t>
            </w:r>
          </w:p>
        </w:tc>
        <w:tc>
          <w:tcPr>
            <w:tcW w:w="364" w:type="pct"/>
            <w:tcBorders>
              <w:top w:val="nil"/>
              <w:left w:val="nil"/>
              <w:bottom w:val="single" w:sz="4" w:space="0" w:color="auto"/>
              <w:right w:val="single" w:sz="4" w:space="0" w:color="auto"/>
            </w:tcBorders>
            <w:shd w:val="clear" w:color="auto" w:fill="auto"/>
            <w:noWrap/>
            <w:vAlign w:val="center"/>
            <w:hideMark/>
          </w:tcPr>
          <w:p w14:paraId="48544E5D" w14:textId="77777777" w:rsidR="00955C72" w:rsidRPr="00D02E5D" w:rsidRDefault="00955C72" w:rsidP="00492893">
            <w:pPr>
              <w:spacing w:line="240" w:lineRule="auto"/>
              <w:jc w:val="right"/>
              <w:rPr>
                <w:color w:val="000000" w:themeColor="text1"/>
                <w:sz w:val="16"/>
                <w:szCs w:val="16"/>
                <w:lang w:eastAsia="en-ZA"/>
              </w:rPr>
            </w:pPr>
            <w:r w:rsidRPr="00D02E5D">
              <w:rPr>
                <w:color w:val="000000" w:themeColor="text1"/>
                <w:sz w:val="16"/>
                <w:szCs w:val="16"/>
                <w:lang w:val="en-US" w:eastAsia="en-ZA"/>
              </w:rPr>
              <w:t>_</w:t>
            </w:r>
          </w:p>
        </w:tc>
        <w:tc>
          <w:tcPr>
            <w:tcW w:w="364" w:type="pct"/>
            <w:tcBorders>
              <w:top w:val="nil"/>
              <w:left w:val="nil"/>
              <w:bottom w:val="single" w:sz="4" w:space="0" w:color="auto"/>
              <w:right w:val="single" w:sz="4" w:space="0" w:color="auto"/>
            </w:tcBorders>
            <w:shd w:val="clear" w:color="auto" w:fill="auto"/>
            <w:noWrap/>
            <w:vAlign w:val="center"/>
            <w:hideMark/>
          </w:tcPr>
          <w:p w14:paraId="654F3115" w14:textId="77777777" w:rsidR="00955C72" w:rsidRPr="00D02E5D" w:rsidRDefault="00955C72" w:rsidP="00492893">
            <w:pPr>
              <w:spacing w:line="240" w:lineRule="auto"/>
              <w:jc w:val="right"/>
              <w:rPr>
                <w:color w:val="000000" w:themeColor="text1"/>
                <w:sz w:val="16"/>
                <w:szCs w:val="16"/>
                <w:lang w:eastAsia="en-ZA"/>
              </w:rPr>
            </w:pPr>
            <w:r>
              <w:rPr>
                <w:color w:val="000000" w:themeColor="text1"/>
                <w:sz w:val="16"/>
                <w:szCs w:val="16"/>
                <w:lang w:val="en-US" w:eastAsia="en-ZA"/>
              </w:rPr>
              <w:t>97%</w:t>
            </w:r>
          </w:p>
        </w:tc>
        <w:tc>
          <w:tcPr>
            <w:tcW w:w="364" w:type="pct"/>
            <w:tcBorders>
              <w:top w:val="nil"/>
              <w:left w:val="nil"/>
              <w:bottom w:val="single" w:sz="4" w:space="0" w:color="auto"/>
              <w:right w:val="single" w:sz="4" w:space="0" w:color="auto"/>
            </w:tcBorders>
            <w:shd w:val="clear" w:color="auto" w:fill="auto"/>
            <w:noWrap/>
            <w:vAlign w:val="center"/>
            <w:hideMark/>
          </w:tcPr>
          <w:p w14:paraId="2A1AD0AA" w14:textId="77777777" w:rsidR="00955C72" w:rsidRPr="00D02E5D" w:rsidRDefault="00955C72" w:rsidP="00492893">
            <w:pPr>
              <w:spacing w:line="240" w:lineRule="auto"/>
              <w:jc w:val="center"/>
              <w:rPr>
                <w:color w:val="000000" w:themeColor="text1"/>
                <w:sz w:val="16"/>
                <w:szCs w:val="16"/>
                <w:lang w:eastAsia="en-ZA"/>
              </w:rPr>
            </w:pPr>
            <w:r>
              <w:rPr>
                <w:color w:val="000000" w:themeColor="text1"/>
                <w:sz w:val="16"/>
                <w:szCs w:val="16"/>
                <w:lang w:val="en-US" w:eastAsia="en-ZA"/>
              </w:rPr>
              <w:t>100%</w:t>
            </w:r>
          </w:p>
        </w:tc>
        <w:tc>
          <w:tcPr>
            <w:tcW w:w="457" w:type="pct"/>
            <w:tcBorders>
              <w:top w:val="nil"/>
              <w:left w:val="nil"/>
              <w:bottom w:val="single" w:sz="4" w:space="0" w:color="auto"/>
              <w:right w:val="single" w:sz="4" w:space="0" w:color="auto"/>
            </w:tcBorders>
            <w:shd w:val="clear" w:color="auto" w:fill="auto"/>
            <w:noWrap/>
            <w:vAlign w:val="center"/>
            <w:hideMark/>
          </w:tcPr>
          <w:p w14:paraId="61C3E206" w14:textId="77777777" w:rsidR="00955C72" w:rsidRPr="00D02E5D" w:rsidRDefault="00955C72" w:rsidP="00492893">
            <w:pPr>
              <w:spacing w:line="240" w:lineRule="auto"/>
              <w:jc w:val="center"/>
              <w:rPr>
                <w:color w:val="000000" w:themeColor="text1"/>
                <w:sz w:val="16"/>
                <w:szCs w:val="16"/>
                <w:lang w:eastAsia="en-ZA"/>
              </w:rPr>
            </w:pPr>
            <w:r w:rsidRPr="00D02E5D">
              <w:rPr>
                <w:color w:val="000000" w:themeColor="text1"/>
                <w:sz w:val="16"/>
                <w:szCs w:val="16"/>
                <w:lang w:val="en-US" w:eastAsia="en-ZA"/>
              </w:rPr>
              <w:t>437</w:t>
            </w:r>
          </w:p>
        </w:tc>
        <w:tc>
          <w:tcPr>
            <w:tcW w:w="457" w:type="pct"/>
            <w:tcBorders>
              <w:top w:val="nil"/>
              <w:left w:val="nil"/>
              <w:bottom w:val="single" w:sz="4" w:space="0" w:color="auto"/>
              <w:right w:val="single" w:sz="4" w:space="0" w:color="auto"/>
            </w:tcBorders>
            <w:shd w:val="clear" w:color="auto" w:fill="auto"/>
            <w:noWrap/>
            <w:vAlign w:val="center"/>
            <w:hideMark/>
          </w:tcPr>
          <w:p w14:paraId="32C2D8F9" w14:textId="77777777" w:rsidR="00955C72" w:rsidRPr="00D02E5D" w:rsidRDefault="00955C72" w:rsidP="00492893">
            <w:pPr>
              <w:spacing w:line="240" w:lineRule="auto"/>
              <w:jc w:val="center"/>
              <w:rPr>
                <w:color w:val="000000" w:themeColor="text1"/>
                <w:sz w:val="16"/>
                <w:szCs w:val="16"/>
                <w:lang w:eastAsia="en-ZA"/>
              </w:rPr>
            </w:pPr>
            <w:r w:rsidRPr="00D02E5D">
              <w:rPr>
                <w:color w:val="000000" w:themeColor="text1"/>
                <w:sz w:val="16"/>
                <w:szCs w:val="16"/>
                <w:lang w:val="en-US" w:eastAsia="en-ZA"/>
              </w:rPr>
              <w:t>421</w:t>
            </w:r>
          </w:p>
        </w:tc>
        <w:tc>
          <w:tcPr>
            <w:tcW w:w="457" w:type="pct"/>
            <w:tcBorders>
              <w:top w:val="nil"/>
              <w:left w:val="nil"/>
              <w:bottom w:val="single" w:sz="4" w:space="0" w:color="auto"/>
              <w:right w:val="single" w:sz="4" w:space="0" w:color="auto"/>
            </w:tcBorders>
            <w:shd w:val="clear" w:color="auto" w:fill="auto"/>
            <w:noWrap/>
            <w:vAlign w:val="center"/>
            <w:hideMark/>
          </w:tcPr>
          <w:p w14:paraId="780A854C" w14:textId="77777777" w:rsidR="00955C72" w:rsidRPr="00D02E5D" w:rsidRDefault="00955C72" w:rsidP="00492893">
            <w:pPr>
              <w:spacing w:line="240" w:lineRule="auto"/>
              <w:jc w:val="center"/>
              <w:rPr>
                <w:color w:val="000000" w:themeColor="text1"/>
                <w:sz w:val="16"/>
                <w:szCs w:val="16"/>
                <w:lang w:eastAsia="en-ZA"/>
              </w:rPr>
            </w:pPr>
            <w:r w:rsidRPr="00D02E5D">
              <w:rPr>
                <w:color w:val="000000" w:themeColor="text1"/>
                <w:sz w:val="16"/>
                <w:szCs w:val="16"/>
                <w:lang w:val="en-US" w:eastAsia="en-ZA"/>
              </w:rPr>
              <w:t>440</w:t>
            </w:r>
          </w:p>
        </w:tc>
        <w:tc>
          <w:tcPr>
            <w:tcW w:w="457" w:type="pct"/>
            <w:tcBorders>
              <w:top w:val="nil"/>
              <w:left w:val="nil"/>
              <w:bottom w:val="single" w:sz="4" w:space="0" w:color="auto"/>
              <w:right w:val="single" w:sz="4" w:space="0" w:color="auto"/>
            </w:tcBorders>
            <w:shd w:val="clear" w:color="auto" w:fill="auto"/>
            <w:noWrap/>
            <w:vAlign w:val="center"/>
            <w:hideMark/>
          </w:tcPr>
          <w:p w14:paraId="46A8A155" w14:textId="77777777" w:rsidR="00955C72" w:rsidRPr="00D02E5D" w:rsidRDefault="00955C72" w:rsidP="00492893">
            <w:pPr>
              <w:spacing w:line="240" w:lineRule="auto"/>
              <w:jc w:val="center"/>
              <w:rPr>
                <w:color w:val="000000" w:themeColor="text1"/>
                <w:sz w:val="16"/>
                <w:szCs w:val="16"/>
                <w:lang w:eastAsia="en-ZA"/>
              </w:rPr>
            </w:pPr>
            <w:r w:rsidRPr="00D02E5D">
              <w:rPr>
                <w:color w:val="000000" w:themeColor="text1"/>
                <w:sz w:val="16"/>
                <w:szCs w:val="16"/>
                <w:lang w:val="en-US" w:eastAsia="en-ZA"/>
              </w:rPr>
              <w:t>456</w:t>
            </w:r>
          </w:p>
        </w:tc>
      </w:tr>
      <w:tr w:rsidR="00955C72" w:rsidRPr="00D02E5D" w14:paraId="614D2265" w14:textId="77777777" w:rsidTr="00955C72">
        <w:trPr>
          <w:trHeight w:val="238"/>
          <w:jc w:val="center"/>
        </w:trPr>
        <w:tc>
          <w:tcPr>
            <w:tcW w:w="2081" w:type="pct"/>
            <w:tcBorders>
              <w:top w:val="nil"/>
              <w:left w:val="single" w:sz="4" w:space="0" w:color="auto"/>
              <w:bottom w:val="single" w:sz="4" w:space="0" w:color="auto"/>
              <w:right w:val="single" w:sz="4" w:space="0" w:color="auto"/>
            </w:tcBorders>
            <w:shd w:val="clear" w:color="auto" w:fill="auto"/>
            <w:noWrap/>
            <w:vAlign w:val="bottom"/>
            <w:hideMark/>
          </w:tcPr>
          <w:p w14:paraId="5577687C" w14:textId="77777777" w:rsidR="00955C72" w:rsidRPr="00D02E5D" w:rsidRDefault="00955C72" w:rsidP="00492893">
            <w:pPr>
              <w:spacing w:line="240" w:lineRule="auto"/>
              <w:rPr>
                <w:color w:val="000000" w:themeColor="text1"/>
                <w:sz w:val="16"/>
                <w:szCs w:val="16"/>
                <w:lang w:eastAsia="en-ZA"/>
              </w:rPr>
            </w:pPr>
            <w:r w:rsidRPr="00D02E5D">
              <w:rPr>
                <w:color w:val="000000" w:themeColor="text1"/>
                <w:sz w:val="16"/>
                <w:szCs w:val="16"/>
                <w:lang w:eastAsia="en-ZA"/>
              </w:rPr>
              <w:t xml:space="preserve">Social Sector EPWP Incentive Grant </w:t>
            </w:r>
          </w:p>
        </w:tc>
        <w:tc>
          <w:tcPr>
            <w:tcW w:w="364" w:type="pct"/>
            <w:tcBorders>
              <w:top w:val="nil"/>
              <w:left w:val="nil"/>
              <w:bottom w:val="single" w:sz="4" w:space="0" w:color="auto"/>
              <w:right w:val="single" w:sz="4" w:space="0" w:color="auto"/>
            </w:tcBorders>
            <w:shd w:val="clear" w:color="auto" w:fill="auto"/>
            <w:noWrap/>
            <w:vAlign w:val="center"/>
            <w:hideMark/>
          </w:tcPr>
          <w:p w14:paraId="60F038D5" w14:textId="77777777" w:rsidR="00955C72" w:rsidRPr="00D02E5D" w:rsidRDefault="00955C72" w:rsidP="00492893">
            <w:pPr>
              <w:spacing w:line="240" w:lineRule="auto"/>
              <w:jc w:val="right"/>
              <w:rPr>
                <w:color w:val="000000" w:themeColor="text1"/>
                <w:sz w:val="16"/>
                <w:szCs w:val="16"/>
                <w:lang w:eastAsia="en-ZA"/>
              </w:rPr>
            </w:pPr>
            <w:r w:rsidRPr="00D02E5D">
              <w:rPr>
                <w:color w:val="000000" w:themeColor="text1"/>
                <w:sz w:val="16"/>
                <w:szCs w:val="16"/>
                <w:lang w:val="en-US" w:eastAsia="en-ZA"/>
              </w:rPr>
              <w:t>_</w:t>
            </w:r>
          </w:p>
        </w:tc>
        <w:tc>
          <w:tcPr>
            <w:tcW w:w="364" w:type="pct"/>
            <w:tcBorders>
              <w:top w:val="nil"/>
              <w:left w:val="nil"/>
              <w:bottom w:val="single" w:sz="4" w:space="0" w:color="auto"/>
              <w:right w:val="single" w:sz="4" w:space="0" w:color="auto"/>
            </w:tcBorders>
            <w:shd w:val="clear" w:color="auto" w:fill="auto"/>
            <w:noWrap/>
            <w:vAlign w:val="center"/>
            <w:hideMark/>
          </w:tcPr>
          <w:p w14:paraId="7AC130C5" w14:textId="77777777" w:rsidR="00955C72" w:rsidRPr="00D02E5D" w:rsidRDefault="00955C72" w:rsidP="00492893">
            <w:pPr>
              <w:spacing w:line="240" w:lineRule="auto"/>
              <w:jc w:val="right"/>
              <w:rPr>
                <w:color w:val="000000" w:themeColor="text1"/>
                <w:sz w:val="16"/>
                <w:szCs w:val="16"/>
                <w:lang w:eastAsia="en-ZA"/>
              </w:rPr>
            </w:pPr>
            <w:r w:rsidRPr="00D02E5D">
              <w:rPr>
                <w:color w:val="000000" w:themeColor="text1"/>
                <w:sz w:val="16"/>
                <w:szCs w:val="16"/>
                <w:lang w:val="en-US" w:eastAsia="en-ZA"/>
              </w:rPr>
              <w:t>99%</w:t>
            </w:r>
          </w:p>
        </w:tc>
        <w:tc>
          <w:tcPr>
            <w:tcW w:w="364" w:type="pct"/>
            <w:tcBorders>
              <w:top w:val="nil"/>
              <w:left w:val="nil"/>
              <w:bottom w:val="single" w:sz="4" w:space="0" w:color="auto"/>
              <w:right w:val="single" w:sz="4" w:space="0" w:color="auto"/>
            </w:tcBorders>
            <w:shd w:val="clear" w:color="auto" w:fill="auto"/>
            <w:noWrap/>
            <w:vAlign w:val="center"/>
            <w:hideMark/>
          </w:tcPr>
          <w:p w14:paraId="6078FD43" w14:textId="77777777" w:rsidR="00955C72" w:rsidRPr="00D02E5D" w:rsidRDefault="00955C72" w:rsidP="00492893">
            <w:pPr>
              <w:spacing w:line="240" w:lineRule="auto"/>
              <w:jc w:val="right"/>
              <w:rPr>
                <w:color w:val="000000" w:themeColor="text1"/>
                <w:sz w:val="16"/>
                <w:szCs w:val="16"/>
                <w:lang w:eastAsia="en-ZA"/>
              </w:rPr>
            </w:pPr>
            <w:r>
              <w:rPr>
                <w:color w:val="000000" w:themeColor="text1"/>
                <w:sz w:val="16"/>
                <w:szCs w:val="16"/>
                <w:lang w:val="en-US" w:eastAsia="en-ZA"/>
              </w:rPr>
              <w:t>97%</w:t>
            </w:r>
          </w:p>
        </w:tc>
        <w:tc>
          <w:tcPr>
            <w:tcW w:w="457" w:type="pct"/>
            <w:tcBorders>
              <w:top w:val="nil"/>
              <w:left w:val="nil"/>
              <w:bottom w:val="single" w:sz="4" w:space="0" w:color="auto"/>
              <w:right w:val="single" w:sz="4" w:space="0" w:color="auto"/>
            </w:tcBorders>
            <w:shd w:val="clear" w:color="auto" w:fill="auto"/>
            <w:noWrap/>
            <w:vAlign w:val="center"/>
            <w:hideMark/>
          </w:tcPr>
          <w:p w14:paraId="1C98CB62" w14:textId="77777777" w:rsidR="00955C72" w:rsidRPr="00D02E5D" w:rsidRDefault="00955C72" w:rsidP="00492893">
            <w:pPr>
              <w:spacing w:line="240" w:lineRule="auto"/>
              <w:jc w:val="center"/>
              <w:rPr>
                <w:color w:val="000000" w:themeColor="text1"/>
                <w:sz w:val="16"/>
                <w:szCs w:val="16"/>
                <w:lang w:eastAsia="en-ZA"/>
              </w:rPr>
            </w:pPr>
            <w:r w:rsidRPr="00D02E5D">
              <w:rPr>
                <w:color w:val="000000" w:themeColor="text1"/>
                <w:sz w:val="16"/>
                <w:szCs w:val="16"/>
                <w:lang w:val="en-US" w:eastAsia="en-ZA"/>
              </w:rPr>
              <w:t>431</w:t>
            </w:r>
          </w:p>
        </w:tc>
        <w:tc>
          <w:tcPr>
            <w:tcW w:w="457" w:type="pct"/>
            <w:tcBorders>
              <w:top w:val="nil"/>
              <w:left w:val="nil"/>
              <w:bottom w:val="single" w:sz="4" w:space="0" w:color="auto"/>
              <w:right w:val="single" w:sz="4" w:space="0" w:color="auto"/>
            </w:tcBorders>
            <w:shd w:val="clear" w:color="auto" w:fill="auto"/>
            <w:noWrap/>
            <w:vAlign w:val="center"/>
            <w:hideMark/>
          </w:tcPr>
          <w:p w14:paraId="2CBF327D" w14:textId="77777777" w:rsidR="00955C72" w:rsidRPr="00D02E5D" w:rsidRDefault="00955C72" w:rsidP="00492893">
            <w:pPr>
              <w:spacing w:line="240" w:lineRule="auto"/>
              <w:jc w:val="center"/>
              <w:rPr>
                <w:color w:val="000000" w:themeColor="text1"/>
                <w:sz w:val="16"/>
                <w:szCs w:val="16"/>
                <w:lang w:eastAsia="en-ZA"/>
              </w:rPr>
            </w:pPr>
            <w:r w:rsidRPr="00D02E5D">
              <w:rPr>
                <w:color w:val="000000" w:themeColor="text1"/>
                <w:sz w:val="16"/>
                <w:szCs w:val="16"/>
                <w:lang w:val="en-US" w:eastAsia="en-ZA"/>
              </w:rPr>
              <w:t>414</w:t>
            </w:r>
          </w:p>
        </w:tc>
        <w:tc>
          <w:tcPr>
            <w:tcW w:w="457" w:type="pct"/>
            <w:tcBorders>
              <w:top w:val="nil"/>
              <w:left w:val="nil"/>
              <w:bottom w:val="single" w:sz="4" w:space="0" w:color="auto"/>
              <w:right w:val="single" w:sz="4" w:space="0" w:color="auto"/>
            </w:tcBorders>
            <w:shd w:val="clear" w:color="auto" w:fill="auto"/>
            <w:noWrap/>
            <w:vAlign w:val="center"/>
            <w:hideMark/>
          </w:tcPr>
          <w:p w14:paraId="3E00AE9E" w14:textId="77777777" w:rsidR="00955C72" w:rsidRPr="00D02E5D" w:rsidRDefault="00955C72" w:rsidP="00492893">
            <w:pPr>
              <w:spacing w:line="240" w:lineRule="auto"/>
              <w:jc w:val="center"/>
              <w:rPr>
                <w:color w:val="000000" w:themeColor="text1"/>
                <w:sz w:val="16"/>
                <w:szCs w:val="16"/>
                <w:lang w:eastAsia="en-ZA"/>
              </w:rPr>
            </w:pPr>
            <w:r w:rsidRPr="00D02E5D">
              <w:rPr>
                <w:color w:val="000000" w:themeColor="text1"/>
                <w:sz w:val="16"/>
                <w:szCs w:val="16"/>
                <w:lang w:val="en-US" w:eastAsia="en-ZA"/>
              </w:rPr>
              <w:t>432</w:t>
            </w:r>
          </w:p>
        </w:tc>
        <w:tc>
          <w:tcPr>
            <w:tcW w:w="457" w:type="pct"/>
            <w:tcBorders>
              <w:top w:val="nil"/>
              <w:left w:val="nil"/>
              <w:bottom w:val="single" w:sz="4" w:space="0" w:color="auto"/>
              <w:right w:val="single" w:sz="4" w:space="0" w:color="auto"/>
            </w:tcBorders>
            <w:shd w:val="clear" w:color="auto" w:fill="auto"/>
            <w:noWrap/>
            <w:vAlign w:val="center"/>
            <w:hideMark/>
          </w:tcPr>
          <w:p w14:paraId="3B37A8A2" w14:textId="77777777" w:rsidR="00955C72" w:rsidRPr="00D02E5D" w:rsidRDefault="00955C72" w:rsidP="00492893">
            <w:pPr>
              <w:spacing w:line="240" w:lineRule="auto"/>
              <w:jc w:val="center"/>
              <w:rPr>
                <w:color w:val="000000" w:themeColor="text1"/>
                <w:sz w:val="16"/>
                <w:szCs w:val="16"/>
                <w:lang w:eastAsia="en-ZA"/>
              </w:rPr>
            </w:pPr>
            <w:r w:rsidRPr="00D02E5D">
              <w:rPr>
                <w:color w:val="000000" w:themeColor="text1"/>
                <w:sz w:val="16"/>
                <w:szCs w:val="16"/>
                <w:lang w:val="en-US" w:eastAsia="en-ZA"/>
              </w:rPr>
              <w:t>447</w:t>
            </w:r>
          </w:p>
        </w:tc>
      </w:tr>
      <w:tr w:rsidR="00955C72" w:rsidRPr="00D02E5D" w14:paraId="5F0F3D76" w14:textId="77777777" w:rsidTr="00955C72">
        <w:trPr>
          <w:trHeight w:val="238"/>
          <w:jc w:val="center"/>
        </w:trPr>
        <w:tc>
          <w:tcPr>
            <w:tcW w:w="2081" w:type="pct"/>
            <w:tcBorders>
              <w:top w:val="nil"/>
              <w:left w:val="single" w:sz="4" w:space="0" w:color="auto"/>
              <w:bottom w:val="single" w:sz="4" w:space="0" w:color="auto"/>
              <w:right w:val="single" w:sz="4" w:space="0" w:color="auto"/>
            </w:tcBorders>
            <w:shd w:val="clear" w:color="auto" w:fill="auto"/>
            <w:noWrap/>
            <w:vAlign w:val="center"/>
            <w:hideMark/>
          </w:tcPr>
          <w:p w14:paraId="672D6AD5" w14:textId="77777777" w:rsidR="00955C72" w:rsidRPr="00D02E5D" w:rsidRDefault="00955C72" w:rsidP="00492893">
            <w:pPr>
              <w:spacing w:line="240" w:lineRule="auto"/>
              <w:rPr>
                <w:color w:val="000000" w:themeColor="text1"/>
                <w:sz w:val="16"/>
                <w:szCs w:val="16"/>
                <w:lang w:eastAsia="en-ZA"/>
              </w:rPr>
            </w:pPr>
            <w:r w:rsidRPr="00D02E5D">
              <w:rPr>
                <w:color w:val="000000" w:themeColor="text1"/>
                <w:sz w:val="16"/>
                <w:szCs w:val="16"/>
                <w:lang w:eastAsia="en-ZA"/>
              </w:rPr>
              <w:t xml:space="preserve">EPWP Integrated Grant for municipalities </w:t>
            </w:r>
          </w:p>
        </w:tc>
        <w:tc>
          <w:tcPr>
            <w:tcW w:w="364" w:type="pct"/>
            <w:tcBorders>
              <w:top w:val="nil"/>
              <w:left w:val="nil"/>
              <w:bottom w:val="single" w:sz="4" w:space="0" w:color="auto"/>
              <w:right w:val="single" w:sz="4" w:space="0" w:color="auto"/>
            </w:tcBorders>
            <w:shd w:val="clear" w:color="auto" w:fill="auto"/>
            <w:noWrap/>
            <w:vAlign w:val="center"/>
            <w:hideMark/>
          </w:tcPr>
          <w:p w14:paraId="54686E08" w14:textId="77777777" w:rsidR="00955C72" w:rsidRPr="00D02E5D" w:rsidRDefault="00955C72" w:rsidP="00492893">
            <w:pPr>
              <w:spacing w:line="240" w:lineRule="auto"/>
              <w:jc w:val="right"/>
              <w:rPr>
                <w:color w:val="000000" w:themeColor="text1"/>
                <w:sz w:val="16"/>
                <w:szCs w:val="16"/>
                <w:lang w:eastAsia="en-ZA"/>
              </w:rPr>
            </w:pPr>
            <w:r w:rsidRPr="00D02E5D">
              <w:rPr>
                <w:color w:val="000000" w:themeColor="text1"/>
                <w:sz w:val="16"/>
                <w:szCs w:val="16"/>
                <w:lang w:val="en-US" w:eastAsia="en-ZA"/>
              </w:rPr>
              <w:t>-</w:t>
            </w:r>
          </w:p>
        </w:tc>
        <w:tc>
          <w:tcPr>
            <w:tcW w:w="364" w:type="pct"/>
            <w:tcBorders>
              <w:top w:val="nil"/>
              <w:left w:val="nil"/>
              <w:bottom w:val="single" w:sz="4" w:space="0" w:color="auto"/>
              <w:right w:val="single" w:sz="4" w:space="0" w:color="auto"/>
            </w:tcBorders>
            <w:shd w:val="clear" w:color="auto" w:fill="auto"/>
            <w:noWrap/>
            <w:vAlign w:val="center"/>
            <w:hideMark/>
          </w:tcPr>
          <w:p w14:paraId="4551FE06" w14:textId="77777777" w:rsidR="00955C72" w:rsidRPr="00D02E5D" w:rsidRDefault="00955C72" w:rsidP="00492893">
            <w:pPr>
              <w:spacing w:line="240" w:lineRule="auto"/>
              <w:jc w:val="right"/>
              <w:rPr>
                <w:color w:val="000000" w:themeColor="text1"/>
                <w:sz w:val="16"/>
                <w:szCs w:val="16"/>
                <w:lang w:eastAsia="en-ZA"/>
              </w:rPr>
            </w:pPr>
            <w:r>
              <w:rPr>
                <w:color w:val="000000" w:themeColor="text1"/>
                <w:sz w:val="16"/>
                <w:szCs w:val="16"/>
                <w:lang w:val="en-US" w:eastAsia="en-ZA"/>
              </w:rPr>
              <w:t>100%</w:t>
            </w:r>
          </w:p>
        </w:tc>
        <w:tc>
          <w:tcPr>
            <w:tcW w:w="364" w:type="pct"/>
            <w:tcBorders>
              <w:top w:val="nil"/>
              <w:left w:val="nil"/>
              <w:bottom w:val="single" w:sz="4" w:space="0" w:color="auto"/>
              <w:right w:val="single" w:sz="4" w:space="0" w:color="auto"/>
            </w:tcBorders>
            <w:shd w:val="clear" w:color="auto" w:fill="auto"/>
            <w:noWrap/>
            <w:vAlign w:val="center"/>
            <w:hideMark/>
          </w:tcPr>
          <w:p w14:paraId="758B1334" w14:textId="77777777" w:rsidR="00955C72" w:rsidRPr="00D02E5D" w:rsidRDefault="00955C72" w:rsidP="00492893">
            <w:pPr>
              <w:spacing w:line="240" w:lineRule="auto"/>
              <w:jc w:val="right"/>
              <w:rPr>
                <w:color w:val="000000" w:themeColor="text1"/>
                <w:sz w:val="16"/>
                <w:szCs w:val="16"/>
                <w:lang w:eastAsia="en-ZA"/>
              </w:rPr>
            </w:pPr>
            <w:r>
              <w:rPr>
                <w:color w:val="000000" w:themeColor="text1"/>
                <w:sz w:val="16"/>
                <w:szCs w:val="16"/>
                <w:lang w:val="en-US" w:eastAsia="en-ZA"/>
              </w:rPr>
              <w:t>100%</w:t>
            </w:r>
          </w:p>
        </w:tc>
        <w:tc>
          <w:tcPr>
            <w:tcW w:w="457" w:type="pct"/>
            <w:tcBorders>
              <w:top w:val="nil"/>
              <w:left w:val="nil"/>
              <w:bottom w:val="single" w:sz="4" w:space="0" w:color="auto"/>
              <w:right w:val="single" w:sz="4" w:space="0" w:color="auto"/>
            </w:tcBorders>
            <w:shd w:val="clear" w:color="auto" w:fill="auto"/>
            <w:noWrap/>
            <w:vAlign w:val="bottom"/>
            <w:hideMark/>
          </w:tcPr>
          <w:p w14:paraId="736CA8B9" w14:textId="77777777" w:rsidR="00955C72" w:rsidRPr="00D02E5D" w:rsidRDefault="00955C72" w:rsidP="00492893">
            <w:pPr>
              <w:spacing w:line="240" w:lineRule="auto"/>
              <w:jc w:val="center"/>
              <w:rPr>
                <w:color w:val="000000" w:themeColor="text1"/>
                <w:sz w:val="16"/>
                <w:szCs w:val="16"/>
                <w:lang w:eastAsia="en-ZA"/>
              </w:rPr>
            </w:pPr>
            <w:r w:rsidRPr="00D02E5D">
              <w:rPr>
                <w:color w:val="000000" w:themeColor="text1"/>
                <w:sz w:val="16"/>
                <w:szCs w:val="16"/>
                <w:lang w:eastAsia="en-ZA"/>
              </w:rPr>
              <w:t>730 046</w:t>
            </w:r>
          </w:p>
        </w:tc>
        <w:tc>
          <w:tcPr>
            <w:tcW w:w="457" w:type="pct"/>
            <w:tcBorders>
              <w:top w:val="nil"/>
              <w:left w:val="nil"/>
              <w:bottom w:val="single" w:sz="4" w:space="0" w:color="auto"/>
              <w:right w:val="single" w:sz="4" w:space="0" w:color="auto"/>
            </w:tcBorders>
            <w:shd w:val="clear" w:color="auto" w:fill="auto"/>
            <w:noWrap/>
            <w:vAlign w:val="bottom"/>
            <w:hideMark/>
          </w:tcPr>
          <w:p w14:paraId="2A91C4B5" w14:textId="77777777" w:rsidR="00955C72" w:rsidRPr="00D02E5D" w:rsidRDefault="00955C72" w:rsidP="00492893">
            <w:pPr>
              <w:spacing w:line="240" w:lineRule="auto"/>
              <w:jc w:val="center"/>
              <w:rPr>
                <w:color w:val="000000" w:themeColor="text1"/>
                <w:sz w:val="16"/>
                <w:szCs w:val="16"/>
                <w:lang w:eastAsia="en-ZA"/>
              </w:rPr>
            </w:pPr>
            <w:r w:rsidRPr="00D02E5D">
              <w:rPr>
                <w:color w:val="000000" w:themeColor="text1"/>
                <w:sz w:val="16"/>
                <w:szCs w:val="16"/>
                <w:lang w:eastAsia="en-ZA"/>
              </w:rPr>
              <w:t>748 039</w:t>
            </w:r>
          </w:p>
        </w:tc>
        <w:tc>
          <w:tcPr>
            <w:tcW w:w="457" w:type="pct"/>
            <w:tcBorders>
              <w:top w:val="nil"/>
              <w:left w:val="nil"/>
              <w:bottom w:val="single" w:sz="4" w:space="0" w:color="auto"/>
              <w:right w:val="single" w:sz="4" w:space="0" w:color="auto"/>
            </w:tcBorders>
            <w:shd w:val="clear" w:color="auto" w:fill="auto"/>
            <w:noWrap/>
            <w:vAlign w:val="bottom"/>
            <w:hideMark/>
          </w:tcPr>
          <w:p w14:paraId="35342534" w14:textId="77777777" w:rsidR="00955C72" w:rsidRPr="00D02E5D" w:rsidRDefault="00955C72" w:rsidP="00492893">
            <w:pPr>
              <w:spacing w:line="240" w:lineRule="auto"/>
              <w:jc w:val="center"/>
              <w:rPr>
                <w:color w:val="000000" w:themeColor="text1"/>
                <w:sz w:val="16"/>
                <w:szCs w:val="16"/>
                <w:lang w:eastAsia="en-ZA"/>
              </w:rPr>
            </w:pPr>
            <w:r w:rsidRPr="00D02E5D">
              <w:rPr>
                <w:color w:val="000000" w:themeColor="text1"/>
                <w:sz w:val="16"/>
                <w:szCs w:val="16"/>
                <w:lang w:eastAsia="en-ZA"/>
              </w:rPr>
              <w:t>789 982 </w:t>
            </w:r>
          </w:p>
        </w:tc>
        <w:tc>
          <w:tcPr>
            <w:tcW w:w="457" w:type="pct"/>
            <w:tcBorders>
              <w:top w:val="nil"/>
              <w:left w:val="nil"/>
              <w:bottom w:val="single" w:sz="4" w:space="0" w:color="auto"/>
              <w:right w:val="single" w:sz="4" w:space="0" w:color="auto"/>
            </w:tcBorders>
            <w:shd w:val="clear" w:color="auto" w:fill="auto"/>
            <w:noWrap/>
            <w:vAlign w:val="bottom"/>
            <w:hideMark/>
          </w:tcPr>
          <w:p w14:paraId="2C840060" w14:textId="77777777" w:rsidR="00955C72" w:rsidRPr="00D02E5D" w:rsidRDefault="00955C72" w:rsidP="00492893">
            <w:pPr>
              <w:spacing w:line="240" w:lineRule="auto"/>
              <w:jc w:val="center"/>
              <w:rPr>
                <w:color w:val="000000" w:themeColor="text1"/>
                <w:sz w:val="16"/>
                <w:szCs w:val="16"/>
                <w:lang w:eastAsia="en-ZA"/>
              </w:rPr>
            </w:pPr>
            <w:r w:rsidRPr="00D02E5D">
              <w:rPr>
                <w:color w:val="000000" w:themeColor="text1"/>
                <w:sz w:val="16"/>
                <w:szCs w:val="16"/>
                <w:lang w:eastAsia="en-ZA"/>
              </w:rPr>
              <w:t>819 088</w:t>
            </w:r>
          </w:p>
        </w:tc>
      </w:tr>
    </w:tbl>
    <w:p w14:paraId="3120E61E" w14:textId="393D7DBC" w:rsidR="00955C72" w:rsidRDefault="00955C72" w:rsidP="009A7F2D"/>
    <w:p w14:paraId="79639D13" w14:textId="36B0A118" w:rsidR="002B79EA" w:rsidRPr="000D33E4" w:rsidRDefault="00B75110" w:rsidP="009A7F2D">
      <w:r w:rsidRPr="000D33E4">
        <w:t xml:space="preserve">The </w:t>
      </w:r>
      <w:r w:rsidR="00F37D28">
        <w:t>C</w:t>
      </w:r>
      <w:r w:rsidRPr="000D33E4">
        <w:rPr>
          <w:i/>
          <w:iCs/>
        </w:rPr>
        <w:t xml:space="preserve">omprehensive </w:t>
      </w:r>
      <w:r w:rsidR="00F37D28">
        <w:rPr>
          <w:i/>
          <w:iCs/>
        </w:rPr>
        <w:t>A</w:t>
      </w:r>
      <w:r w:rsidRPr="000D33E4">
        <w:rPr>
          <w:i/>
          <w:iCs/>
        </w:rPr>
        <w:t xml:space="preserve">gricultural </w:t>
      </w:r>
      <w:r w:rsidR="00F37D28">
        <w:rPr>
          <w:i/>
          <w:iCs/>
        </w:rPr>
        <w:t>S</w:t>
      </w:r>
      <w:r w:rsidRPr="000D33E4">
        <w:rPr>
          <w:i/>
          <w:iCs/>
        </w:rPr>
        <w:t xml:space="preserve">upport </w:t>
      </w:r>
      <w:r w:rsidR="00F37D28">
        <w:rPr>
          <w:i/>
          <w:iCs/>
        </w:rPr>
        <w:t>P</w:t>
      </w:r>
      <w:r w:rsidRPr="000D33E4">
        <w:rPr>
          <w:i/>
          <w:iCs/>
        </w:rPr>
        <w:t xml:space="preserve">rogramme </w:t>
      </w:r>
      <w:r w:rsidR="00F37D28">
        <w:rPr>
          <w:i/>
          <w:iCs/>
        </w:rPr>
        <w:t>G</w:t>
      </w:r>
      <w:r w:rsidRPr="000D33E4">
        <w:rPr>
          <w:i/>
          <w:iCs/>
        </w:rPr>
        <w:t>rant (CASP)</w:t>
      </w:r>
      <w:r w:rsidRPr="000D33E4">
        <w:t xml:space="preserve"> provides support </w:t>
      </w:r>
      <w:r w:rsidR="00F37D28">
        <w:t xml:space="preserve">for </w:t>
      </w:r>
      <w:r w:rsidRPr="000D33E4">
        <w:t xml:space="preserve">newly established and emerging farmers with </w:t>
      </w:r>
      <w:r w:rsidR="00F37D28">
        <w:t xml:space="preserve">a </w:t>
      </w:r>
      <w:r w:rsidRPr="000D33E4">
        <w:t>focus on subsistence, smallholder and previously disadvantaged farmers. Subsistence and smallholder farming play an important role in poverty alleviations especially in rural areas. Over the 2020 MTEF period, R255.1 million is reprioriti</w:t>
      </w:r>
      <w:r w:rsidR="00F37D28">
        <w:t>s</w:t>
      </w:r>
      <w:r w:rsidRPr="000D33E4">
        <w:t>ed from the grant to fund improved laboratory capacity, boarder control and inspection.</w:t>
      </w:r>
      <w:r w:rsidR="002D39CB">
        <w:t xml:space="preserve"> </w:t>
      </w:r>
      <w:r w:rsidRPr="000D33E4">
        <w:t xml:space="preserve">This grant can be </w:t>
      </w:r>
      <w:r w:rsidR="00F37D28">
        <w:t>further</w:t>
      </w:r>
      <w:r w:rsidR="00F37D28" w:rsidRPr="000D33E4">
        <w:t xml:space="preserve"> </w:t>
      </w:r>
      <w:r w:rsidRPr="000D33E4">
        <w:t xml:space="preserve">targeted to ensure </w:t>
      </w:r>
      <w:r w:rsidR="0086306A">
        <w:t xml:space="preserve">necessary </w:t>
      </w:r>
      <w:r w:rsidRPr="000D33E4">
        <w:t xml:space="preserve">support for smallholder and </w:t>
      </w:r>
      <w:r w:rsidR="00F37D28">
        <w:t>s</w:t>
      </w:r>
      <w:r w:rsidRPr="000D33E4">
        <w:t>ubsistence farmers and meet their liquidity requirements</w:t>
      </w:r>
      <w:r w:rsidR="0086306A">
        <w:t xml:space="preserve"> in m</w:t>
      </w:r>
      <w:r w:rsidRPr="000D33E4">
        <w:t xml:space="preserve">itigating the effects of Covid-19 lockdown of smallholder farmers’ access to markets and value chains. </w:t>
      </w:r>
    </w:p>
    <w:p w14:paraId="7D8DDA15" w14:textId="77777777" w:rsidR="005814C6" w:rsidRPr="000D33E4" w:rsidRDefault="005814C6" w:rsidP="005814C6">
      <w:pPr>
        <w:rPr>
          <w:rFonts w:ascii="Times" w:hAnsi="Times"/>
        </w:rPr>
      </w:pPr>
    </w:p>
    <w:p w14:paraId="4BDFC0D9" w14:textId="47980F85" w:rsidR="00B75110" w:rsidRPr="000D33E4" w:rsidRDefault="00D449D8" w:rsidP="009A7F2D">
      <w:pPr>
        <w:keepNext/>
      </w:pPr>
      <w:r>
        <w:t xml:space="preserve">The </w:t>
      </w:r>
      <w:r w:rsidR="00B75110" w:rsidRPr="000D33E4">
        <w:rPr>
          <w:i/>
          <w:iCs/>
        </w:rPr>
        <w:t xml:space="preserve">Provincial </w:t>
      </w:r>
      <w:r w:rsidR="005E472D">
        <w:rPr>
          <w:i/>
          <w:iCs/>
        </w:rPr>
        <w:t>R</w:t>
      </w:r>
      <w:r w:rsidR="00B75110" w:rsidRPr="000D33E4">
        <w:rPr>
          <w:i/>
          <w:iCs/>
        </w:rPr>
        <w:t xml:space="preserve">oads </w:t>
      </w:r>
      <w:r w:rsidR="005E472D">
        <w:rPr>
          <w:i/>
          <w:iCs/>
        </w:rPr>
        <w:t>M</w:t>
      </w:r>
      <w:r w:rsidR="00B75110" w:rsidRPr="000D33E4">
        <w:rPr>
          <w:i/>
          <w:iCs/>
        </w:rPr>
        <w:t xml:space="preserve">aintenance </w:t>
      </w:r>
      <w:r w:rsidR="005E472D">
        <w:rPr>
          <w:i/>
          <w:iCs/>
        </w:rPr>
        <w:t>G</w:t>
      </w:r>
      <w:r w:rsidR="00B75110" w:rsidRPr="000D33E4">
        <w:rPr>
          <w:i/>
          <w:iCs/>
        </w:rPr>
        <w:t xml:space="preserve">rant: </w:t>
      </w:r>
      <w:r w:rsidR="00B75110" w:rsidRPr="000D33E4">
        <w:t xml:space="preserve">The purpose of </w:t>
      </w:r>
      <w:r w:rsidR="005E472D">
        <w:t>this</w:t>
      </w:r>
      <w:r w:rsidR="00B75110" w:rsidRPr="000D33E4">
        <w:t xml:space="preserve"> grant </w:t>
      </w:r>
      <w:r w:rsidR="005E472D">
        <w:t xml:space="preserve">is to </w:t>
      </w:r>
      <w:r w:rsidR="00B75110" w:rsidRPr="000D33E4">
        <w:t xml:space="preserve">support the cost of maintaining provincial roads. The grant is specifically for </w:t>
      </w:r>
      <w:r w:rsidR="005E472D">
        <w:t xml:space="preserve">the </w:t>
      </w:r>
      <w:r w:rsidR="00B75110" w:rsidRPr="000D33E4">
        <w:t xml:space="preserve">cost of maintenance (not construction) which includes upgrading existing roads. </w:t>
      </w:r>
      <w:r w:rsidR="005E472D">
        <w:t>While t</w:t>
      </w:r>
      <w:r w:rsidR="00B75110" w:rsidRPr="000D33E4">
        <w:t>he maintenance of existing roads remain</w:t>
      </w:r>
      <w:r w:rsidR="005E472D">
        <w:t>s</w:t>
      </w:r>
      <w:r w:rsidR="00B75110" w:rsidRPr="000D33E4">
        <w:t xml:space="preserve"> important, upgrading of existing roads can be deferred. The upgrading of existing infrastructure may not be urgent during this pandemic. The grant allocation can be cut so that funds intended for upgrading of existing road infrastructure can be reallocated towards support public transport </w:t>
      </w:r>
      <w:r w:rsidR="005E472D">
        <w:t>C</w:t>
      </w:r>
      <w:r w:rsidR="00B75110" w:rsidRPr="000D33E4">
        <w:t xml:space="preserve">ovid-19 interventions.  </w:t>
      </w:r>
      <w:bookmarkStart w:id="132" w:name="_Hlk40768821"/>
    </w:p>
    <w:bookmarkEnd w:id="132"/>
    <w:p w14:paraId="61F6184D" w14:textId="77777777" w:rsidR="00B75110" w:rsidRPr="000D33E4" w:rsidRDefault="00B75110" w:rsidP="007B1E55">
      <w:pPr>
        <w:rPr>
          <w:rFonts w:ascii="Times" w:hAnsi="Times"/>
          <w:bCs/>
          <w:i/>
          <w:iCs/>
        </w:rPr>
      </w:pPr>
    </w:p>
    <w:p w14:paraId="390F2926" w14:textId="79361009" w:rsidR="00B75110" w:rsidRPr="000D33E4" w:rsidRDefault="00E827B9" w:rsidP="009A7F2D">
      <w:r>
        <w:t xml:space="preserve">The </w:t>
      </w:r>
      <w:r w:rsidR="00B75110" w:rsidRPr="000D33E4">
        <w:rPr>
          <w:i/>
          <w:iCs/>
        </w:rPr>
        <w:t xml:space="preserve">Public </w:t>
      </w:r>
      <w:r w:rsidR="005E472D">
        <w:rPr>
          <w:i/>
          <w:iCs/>
        </w:rPr>
        <w:t>T</w:t>
      </w:r>
      <w:r w:rsidR="00B75110" w:rsidRPr="000D33E4">
        <w:rPr>
          <w:i/>
          <w:iCs/>
        </w:rPr>
        <w:t xml:space="preserve">ransport </w:t>
      </w:r>
      <w:r w:rsidR="005E472D">
        <w:rPr>
          <w:i/>
          <w:iCs/>
        </w:rPr>
        <w:t>O</w:t>
      </w:r>
      <w:r w:rsidR="00B75110" w:rsidRPr="000D33E4">
        <w:rPr>
          <w:i/>
          <w:iCs/>
        </w:rPr>
        <w:t xml:space="preserve">perations </w:t>
      </w:r>
      <w:r w:rsidR="005E472D">
        <w:rPr>
          <w:i/>
          <w:iCs/>
        </w:rPr>
        <w:t>G</w:t>
      </w:r>
      <w:r w:rsidR="00B75110" w:rsidRPr="000D33E4">
        <w:rPr>
          <w:i/>
          <w:iCs/>
        </w:rPr>
        <w:t xml:space="preserve">rant: </w:t>
      </w:r>
      <w:r w:rsidR="00B75110" w:rsidRPr="000D33E4">
        <w:t xml:space="preserve">The purpose of </w:t>
      </w:r>
      <w:r w:rsidR="005E472D">
        <w:t>this</w:t>
      </w:r>
      <w:r w:rsidR="00B75110" w:rsidRPr="000D33E4">
        <w:t xml:space="preserve"> grant is to subsid</w:t>
      </w:r>
      <w:r w:rsidR="005E472D">
        <w:t>ise</w:t>
      </w:r>
      <w:r w:rsidR="00B75110" w:rsidRPr="000D33E4">
        <w:t xml:space="preserve"> commuter bus service</w:t>
      </w:r>
      <w:r w:rsidR="005E472D">
        <w:t>s</w:t>
      </w:r>
      <w:r w:rsidR="00B75110" w:rsidRPr="000D33E4">
        <w:t xml:space="preserve"> so that provinces can provide public transport services. This conditional grant, which is supplementary, is a national contribution to subsidised service contracts entered by the provincial departments of transport and public transport operators for the provision of affordable subsidised transport services. While public transport subsidies are important in reducing the cost of transport for poor commuters, there is an opportunity for slight cuts given the travel restriction</w:t>
      </w:r>
      <w:r w:rsidR="005E472D">
        <w:t>s</w:t>
      </w:r>
      <w:r w:rsidR="00B75110" w:rsidRPr="000D33E4">
        <w:t xml:space="preserve"> which are likely to be in place for a considerable time. The cuts can </w:t>
      </w:r>
      <w:r w:rsidR="005E472D">
        <w:t xml:space="preserve">be </w:t>
      </w:r>
      <w:r w:rsidR="00B75110" w:rsidRPr="000D33E4">
        <w:t xml:space="preserve">reallocated </w:t>
      </w:r>
      <w:r w:rsidR="005E472D">
        <w:t>to</w:t>
      </w:r>
      <w:r w:rsidR="005E472D" w:rsidRPr="000D33E4">
        <w:t xml:space="preserve"> </w:t>
      </w:r>
      <w:r w:rsidR="00B75110" w:rsidRPr="000D33E4">
        <w:t>ensur</w:t>
      </w:r>
      <w:r w:rsidR="005E472D">
        <w:t>e that</w:t>
      </w:r>
      <w:r w:rsidR="00B75110" w:rsidRPr="000D33E4">
        <w:t xml:space="preserve"> public transport complies with transport saniti</w:t>
      </w:r>
      <w:r w:rsidR="005E472D">
        <w:t>s</w:t>
      </w:r>
      <w:r w:rsidR="00B75110" w:rsidRPr="000D33E4">
        <w:t xml:space="preserve">ation requirements. </w:t>
      </w:r>
    </w:p>
    <w:p w14:paraId="15AA7538" w14:textId="77777777" w:rsidR="00574B46" w:rsidRPr="000D33E4" w:rsidRDefault="00574B46" w:rsidP="00574B46">
      <w:pPr>
        <w:rPr>
          <w:rFonts w:ascii="Times" w:hAnsi="Times"/>
        </w:rPr>
      </w:pPr>
    </w:p>
    <w:p w14:paraId="475F93B9" w14:textId="777813EE" w:rsidR="00B75110" w:rsidRPr="000D33E4" w:rsidRDefault="005E472D" w:rsidP="009A7F2D">
      <w:r>
        <w:t xml:space="preserve">The </w:t>
      </w:r>
      <w:r w:rsidR="00B75110" w:rsidRPr="000D33E4">
        <w:rPr>
          <w:i/>
          <w:iCs/>
        </w:rPr>
        <w:t>Public Transport Network</w:t>
      </w:r>
      <w:r>
        <w:rPr>
          <w:i/>
          <w:iCs/>
        </w:rPr>
        <w:t xml:space="preserve"> Grant</w:t>
      </w:r>
      <w:r w:rsidR="00B75110" w:rsidRPr="000D33E4">
        <w:rPr>
          <w:i/>
          <w:iCs/>
        </w:rPr>
        <w:t xml:space="preserve">: </w:t>
      </w:r>
      <w:r w:rsidR="00B75110" w:rsidRPr="000D33E4">
        <w:t xml:space="preserve">The purpose of </w:t>
      </w:r>
      <w:r>
        <w:t>this</w:t>
      </w:r>
      <w:r w:rsidR="00B75110" w:rsidRPr="000D33E4">
        <w:t xml:space="preserve"> grant is to fund the infrastructure and operations of integrated public transport networks in 13 cities across South Africa. Over the medium term, allocations to the grant are expected to increase to support planning and construction in the </w:t>
      </w:r>
      <w:r>
        <w:t>ten</w:t>
      </w:r>
      <w:r w:rsidR="00B75110" w:rsidRPr="000D33E4">
        <w:t xml:space="preserve"> cities</w:t>
      </w:r>
      <w:r>
        <w:t>,</w:t>
      </w:r>
      <w:r w:rsidR="00B75110" w:rsidRPr="000D33E4">
        <w:t xml:space="preserve"> and fund the indirect operating costs of services in Johannesburg, Nelson Mandela Bay, Ekurhuleni, Tshwane, Cape Town and George, which have begun operating rapid transit bus services on new routes. There is an opportunity for significant reprioriti</w:t>
      </w:r>
      <w:r>
        <w:t>s</w:t>
      </w:r>
      <w:r w:rsidR="00B75110" w:rsidRPr="000D33E4">
        <w:t>ation of this grant. The construction of the new bus routes can be delayed, and the funds reprioriti</w:t>
      </w:r>
      <w:r>
        <w:t>s</w:t>
      </w:r>
      <w:r w:rsidR="00B75110" w:rsidRPr="000D33E4">
        <w:t xml:space="preserve">ed towards the fight </w:t>
      </w:r>
      <w:r>
        <w:t>against</w:t>
      </w:r>
      <w:r w:rsidRPr="000D33E4">
        <w:t xml:space="preserve"> </w:t>
      </w:r>
      <w:r w:rsidR="00B75110" w:rsidRPr="000D33E4">
        <w:t xml:space="preserve">Covid-19. </w:t>
      </w:r>
    </w:p>
    <w:p w14:paraId="38B30AC1" w14:textId="77777777" w:rsidR="00B75110" w:rsidRPr="000D33E4" w:rsidRDefault="00B75110" w:rsidP="00577550">
      <w:pPr>
        <w:rPr>
          <w:rFonts w:ascii="Times" w:hAnsi="Times"/>
        </w:rPr>
      </w:pPr>
    </w:p>
    <w:p w14:paraId="573FF9EA" w14:textId="4D8D9BFA" w:rsidR="00577550" w:rsidRPr="000D33E4" w:rsidRDefault="005E472D" w:rsidP="009A7F2D">
      <w:pPr>
        <w:rPr>
          <w:i/>
        </w:rPr>
      </w:pPr>
      <w:r>
        <w:rPr>
          <w:iCs/>
        </w:rPr>
        <w:t xml:space="preserve">The </w:t>
      </w:r>
      <w:r w:rsidR="00B75110" w:rsidRPr="000D33E4">
        <w:rPr>
          <w:i/>
        </w:rPr>
        <w:t xml:space="preserve">Integrated </w:t>
      </w:r>
      <w:r>
        <w:rPr>
          <w:i/>
        </w:rPr>
        <w:t>C</w:t>
      </w:r>
      <w:r w:rsidR="00B75110" w:rsidRPr="000D33E4">
        <w:rPr>
          <w:i/>
        </w:rPr>
        <w:t xml:space="preserve">ity </w:t>
      </w:r>
      <w:r>
        <w:rPr>
          <w:i/>
        </w:rPr>
        <w:t>D</w:t>
      </w:r>
      <w:r w:rsidR="00B75110" w:rsidRPr="000D33E4">
        <w:rPr>
          <w:i/>
        </w:rPr>
        <w:t xml:space="preserve">evelopment </w:t>
      </w:r>
      <w:r>
        <w:rPr>
          <w:i/>
        </w:rPr>
        <w:t>G</w:t>
      </w:r>
      <w:r w:rsidR="00B75110" w:rsidRPr="000D33E4">
        <w:rPr>
          <w:i/>
        </w:rPr>
        <w:t>rant:</w:t>
      </w:r>
      <w:r>
        <w:rPr>
          <w:iCs/>
        </w:rPr>
        <w:t xml:space="preserve"> This</w:t>
      </w:r>
      <w:r w:rsidR="00B75110" w:rsidRPr="000D33E4">
        <w:t xml:space="preserve"> is a supplementary grant for infrastructure. Its purpose is to financially incentivi</w:t>
      </w:r>
      <w:r>
        <w:t>s</w:t>
      </w:r>
      <w:r w:rsidR="00B75110" w:rsidRPr="000D33E4">
        <w:t xml:space="preserve">e metropolitan municipalities to address compact urban spatial programmes. The grant has conditions which include allocations for programme and project preparations. </w:t>
      </w:r>
      <w:r w:rsidR="00CD65F3">
        <w:t>Over the MTEF, R1</w:t>
      </w:r>
      <w:r w:rsidR="001A1D40">
        <w:t xml:space="preserve"> </w:t>
      </w:r>
      <w:r w:rsidR="00CD65F3">
        <w:t xml:space="preserve">billion has been allocated to the grant; </w:t>
      </w:r>
      <w:r w:rsidR="007F597F">
        <w:t xml:space="preserve">R317 million in </w:t>
      </w:r>
      <w:r w:rsidR="00CD65F3">
        <w:t xml:space="preserve">2020/21, </w:t>
      </w:r>
      <w:r w:rsidR="007F597F">
        <w:t xml:space="preserve">R341 million in </w:t>
      </w:r>
      <w:r w:rsidR="00CD65F3">
        <w:t xml:space="preserve">2021/22 and </w:t>
      </w:r>
      <w:r w:rsidR="007F597F">
        <w:t xml:space="preserve">R361 million in </w:t>
      </w:r>
      <w:r w:rsidR="00CD65F3">
        <w:t>2022/23.</w:t>
      </w:r>
      <w:r w:rsidR="001A1D40">
        <w:t xml:space="preserve"> </w:t>
      </w:r>
      <w:r w:rsidR="00B75110" w:rsidRPr="000D33E4">
        <w:t>Thus</w:t>
      </w:r>
      <w:r w:rsidR="00D466F6">
        <w:t xml:space="preserve"> part of the spending on this</w:t>
      </w:r>
      <w:r>
        <w:t xml:space="preserve"> grant can be delayed</w:t>
      </w:r>
      <w:r w:rsidR="00B75110" w:rsidRPr="000D33E4">
        <w:t xml:space="preserve"> </w:t>
      </w:r>
      <w:r>
        <w:t xml:space="preserve">in the case of </w:t>
      </w:r>
      <w:r w:rsidR="00B75110" w:rsidRPr="000D33E4">
        <w:t xml:space="preserve">municipalities </w:t>
      </w:r>
      <w:r>
        <w:t>that have</w:t>
      </w:r>
      <w:r w:rsidRPr="000D33E4">
        <w:t xml:space="preserve"> </w:t>
      </w:r>
      <w:r w:rsidR="00B75110" w:rsidRPr="000D33E4">
        <w:t xml:space="preserve">not started with planning, </w:t>
      </w:r>
      <w:r>
        <w:t>and</w:t>
      </w:r>
      <w:r w:rsidR="00B75110" w:rsidRPr="000D33E4">
        <w:t xml:space="preserve"> reprio</w:t>
      </w:r>
      <w:r w:rsidR="009F7DA0">
        <w:t>ri</w:t>
      </w:r>
      <w:r w:rsidR="00B75110" w:rsidRPr="000D33E4">
        <w:t xml:space="preserve">tised for infrastructure related to </w:t>
      </w:r>
      <w:r>
        <w:t>C</w:t>
      </w:r>
      <w:r w:rsidR="00B75110" w:rsidRPr="000D33E4">
        <w:t>ovid</w:t>
      </w:r>
      <w:r>
        <w:t>-</w:t>
      </w:r>
      <w:r w:rsidR="00B75110" w:rsidRPr="000D33E4">
        <w:t>19 in the municipalities</w:t>
      </w:r>
      <w:r w:rsidR="00CD65F3">
        <w:rPr>
          <w:i/>
        </w:rPr>
        <w:t>.</w:t>
      </w:r>
    </w:p>
    <w:p w14:paraId="4C635B0D" w14:textId="77777777" w:rsidR="00577550" w:rsidRPr="000D33E4" w:rsidRDefault="00577550" w:rsidP="00577550">
      <w:pPr>
        <w:rPr>
          <w:rFonts w:ascii="Times" w:hAnsi="Times"/>
        </w:rPr>
      </w:pPr>
    </w:p>
    <w:p w14:paraId="1AA8E1C9" w14:textId="07383D85" w:rsidR="00577550" w:rsidRPr="009A7F2D" w:rsidRDefault="005E472D" w:rsidP="009A7F2D">
      <w:r>
        <w:rPr>
          <w:rFonts w:ascii="Times" w:hAnsi="Times"/>
          <w:w w:val="96"/>
        </w:rPr>
        <w:t xml:space="preserve">The </w:t>
      </w:r>
      <w:r w:rsidR="00B75110" w:rsidRPr="00D449D8">
        <w:rPr>
          <w:rFonts w:ascii="Times" w:hAnsi="Times"/>
          <w:i/>
          <w:iCs/>
        </w:rPr>
        <w:t>Neighbourhood</w:t>
      </w:r>
      <w:r w:rsidR="00B75110" w:rsidRPr="00D449D8">
        <w:rPr>
          <w:rFonts w:ascii="Times" w:hAnsi="Times"/>
          <w:i/>
          <w:iCs/>
          <w:spacing w:val="-28"/>
        </w:rPr>
        <w:t xml:space="preserve"> </w:t>
      </w:r>
      <w:r w:rsidRPr="00D449D8">
        <w:rPr>
          <w:rFonts w:ascii="Times" w:hAnsi="Times"/>
          <w:i/>
          <w:iCs/>
        </w:rPr>
        <w:t>D</w:t>
      </w:r>
      <w:r w:rsidR="00B75110" w:rsidRPr="00D449D8">
        <w:rPr>
          <w:rFonts w:ascii="Times" w:hAnsi="Times"/>
          <w:i/>
          <w:iCs/>
        </w:rPr>
        <w:t>evelopment</w:t>
      </w:r>
      <w:r w:rsidR="00B75110" w:rsidRPr="00D449D8">
        <w:rPr>
          <w:rFonts w:ascii="Times" w:hAnsi="Times"/>
          <w:i/>
          <w:iCs/>
          <w:spacing w:val="-27"/>
        </w:rPr>
        <w:t xml:space="preserve"> </w:t>
      </w:r>
      <w:r w:rsidRPr="00D449D8">
        <w:rPr>
          <w:rFonts w:ascii="Times" w:hAnsi="Times"/>
          <w:i/>
          <w:iCs/>
        </w:rPr>
        <w:t>P</w:t>
      </w:r>
      <w:r w:rsidR="00B75110" w:rsidRPr="00D449D8">
        <w:rPr>
          <w:rFonts w:ascii="Times" w:hAnsi="Times"/>
          <w:i/>
          <w:iCs/>
        </w:rPr>
        <w:t>artnership</w:t>
      </w:r>
      <w:r w:rsidR="00B75110" w:rsidRPr="00D449D8">
        <w:rPr>
          <w:rFonts w:ascii="Times" w:hAnsi="Times"/>
          <w:i/>
          <w:iCs/>
          <w:spacing w:val="-18"/>
        </w:rPr>
        <w:t xml:space="preserve"> </w:t>
      </w:r>
      <w:r w:rsidRPr="00D449D8">
        <w:rPr>
          <w:rFonts w:ascii="Times" w:hAnsi="Times"/>
          <w:i/>
          <w:iCs/>
        </w:rPr>
        <w:t>G</w:t>
      </w:r>
      <w:r w:rsidR="00B75110" w:rsidRPr="00D449D8">
        <w:rPr>
          <w:rFonts w:ascii="Times" w:hAnsi="Times"/>
          <w:i/>
          <w:iCs/>
        </w:rPr>
        <w:t>rant (capital)</w:t>
      </w:r>
      <w:r w:rsidR="00B75110" w:rsidRPr="000D33E4">
        <w:rPr>
          <w:i/>
          <w:iCs/>
          <w:spacing w:val="-7"/>
          <w:w w:val="96"/>
        </w:rPr>
        <w:t xml:space="preserve"> </w:t>
      </w:r>
      <w:r w:rsidR="00B75110" w:rsidRPr="000D33E4">
        <w:t xml:space="preserve">has a direct conditional grant and an indirect component (technical assistance). </w:t>
      </w:r>
      <w:r>
        <w:t xml:space="preserve">The grant </w:t>
      </w:r>
      <w:r w:rsidR="00B75110" w:rsidRPr="000D33E4">
        <w:t>supports</w:t>
      </w:r>
      <w:r w:rsidR="00B75110" w:rsidRPr="000D33E4">
        <w:rPr>
          <w:spacing w:val="12"/>
        </w:rPr>
        <w:t xml:space="preserve"> </w:t>
      </w:r>
      <w:r w:rsidR="00B75110" w:rsidRPr="000D33E4">
        <w:t>municipalities</w:t>
      </w:r>
      <w:r w:rsidR="00B75110" w:rsidRPr="000D33E4">
        <w:rPr>
          <w:spacing w:val="34"/>
        </w:rPr>
        <w:t xml:space="preserve"> </w:t>
      </w:r>
      <w:r>
        <w:t>to</w:t>
      </w:r>
      <w:r w:rsidR="00B75110" w:rsidRPr="000D33E4">
        <w:rPr>
          <w:spacing w:val="9"/>
        </w:rPr>
        <w:t xml:space="preserve"> </w:t>
      </w:r>
      <w:r w:rsidR="00B75110" w:rsidRPr="000D33E4">
        <w:t>develop</w:t>
      </w:r>
      <w:r w:rsidR="00B75110" w:rsidRPr="000D33E4">
        <w:rPr>
          <w:spacing w:val="35"/>
        </w:rPr>
        <w:t xml:space="preserve"> </w:t>
      </w:r>
      <w:r w:rsidR="00B75110" w:rsidRPr="000D33E4">
        <w:t>and</w:t>
      </w:r>
      <w:r w:rsidR="00B75110" w:rsidRPr="000D33E4">
        <w:rPr>
          <w:spacing w:val="7"/>
        </w:rPr>
        <w:t xml:space="preserve"> </w:t>
      </w:r>
      <w:r w:rsidR="00B75110" w:rsidRPr="000D33E4">
        <w:rPr>
          <w:w w:val="106"/>
        </w:rPr>
        <w:t xml:space="preserve">implement </w:t>
      </w:r>
      <w:r w:rsidR="00B75110" w:rsidRPr="000D33E4">
        <w:t>urban</w:t>
      </w:r>
      <w:r w:rsidR="00B75110" w:rsidRPr="000D33E4">
        <w:rPr>
          <w:spacing w:val="21"/>
        </w:rPr>
        <w:t xml:space="preserve"> </w:t>
      </w:r>
      <w:r w:rsidR="00B75110" w:rsidRPr="000D33E4">
        <w:t>network</w:t>
      </w:r>
      <w:r w:rsidR="00B75110" w:rsidRPr="000D33E4">
        <w:rPr>
          <w:spacing w:val="42"/>
        </w:rPr>
        <w:t xml:space="preserve"> </w:t>
      </w:r>
      <w:r w:rsidR="00B75110" w:rsidRPr="000D33E4">
        <w:t>plans</w:t>
      </w:r>
      <w:r>
        <w:t xml:space="preserve">, and </w:t>
      </w:r>
      <w:r w:rsidR="00B75110" w:rsidRPr="000D33E4">
        <w:t>funds</w:t>
      </w:r>
      <w:r w:rsidR="00B75110" w:rsidRPr="000D33E4">
        <w:rPr>
          <w:spacing w:val="29"/>
        </w:rPr>
        <w:t xml:space="preserve"> </w:t>
      </w:r>
      <w:r w:rsidR="00B75110" w:rsidRPr="000D33E4">
        <w:t>the</w:t>
      </w:r>
      <w:r w:rsidR="00B75110" w:rsidRPr="000D33E4">
        <w:rPr>
          <w:spacing w:val="20"/>
        </w:rPr>
        <w:t xml:space="preserve"> </w:t>
      </w:r>
      <w:r w:rsidR="00B75110" w:rsidRPr="000D33E4">
        <w:t>upgrading</w:t>
      </w:r>
      <w:r w:rsidR="00B75110" w:rsidRPr="000D33E4">
        <w:rPr>
          <w:spacing w:val="44"/>
        </w:rPr>
        <w:t xml:space="preserve"> </w:t>
      </w:r>
      <w:r w:rsidR="00B75110" w:rsidRPr="000D33E4">
        <w:t>of</w:t>
      </w:r>
      <w:r w:rsidR="00B75110" w:rsidRPr="000D33E4">
        <w:rPr>
          <w:spacing w:val="16"/>
        </w:rPr>
        <w:t xml:space="preserve"> </w:t>
      </w:r>
      <w:r w:rsidR="00B75110" w:rsidRPr="000D33E4">
        <w:t>identified</w:t>
      </w:r>
      <w:r w:rsidR="00B75110" w:rsidRPr="000D33E4">
        <w:rPr>
          <w:spacing w:val="33"/>
        </w:rPr>
        <w:t xml:space="preserve"> </w:t>
      </w:r>
      <w:r w:rsidR="00B75110" w:rsidRPr="000D33E4">
        <w:t>precincts</w:t>
      </w:r>
      <w:r w:rsidR="00B75110" w:rsidRPr="000D33E4">
        <w:rPr>
          <w:spacing w:val="36"/>
        </w:rPr>
        <w:t xml:space="preserve"> </w:t>
      </w:r>
      <w:r w:rsidR="00B75110" w:rsidRPr="000D33E4">
        <w:t>in</w:t>
      </w:r>
      <w:r w:rsidR="00B75110" w:rsidRPr="000D33E4">
        <w:rPr>
          <w:spacing w:val="9"/>
        </w:rPr>
        <w:t xml:space="preserve"> </w:t>
      </w:r>
      <w:r w:rsidR="00B75110" w:rsidRPr="000D33E4">
        <w:t>order</w:t>
      </w:r>
      <w:r w:rsidR="00B75110" w:rsidRPr="000D33E4">
        <w:rPr>
          <w:spacing w:val="33"/>
        </w:rPr>
        <w:t xml:space="preserve"> </w:t>
      </w:r>
      <w:r w:rsidR="00B75110" w:rsidRPr="000D33E4">
        <w:t>to</w:t>
      </w:r>
      <w:r w:rsidR="00B75110" w:rsidRPr="000D33E4">
        <w:rPr>
          <w:spacing w:val="17"/>
        </w:rPr>
        <w:t xml:space="preserve"> </w:t>
      </w:r>
      <w:r w:rsidR="00B75110" w:rsidRPr="000D33E4">
        <w:t>stimulate</w:t>
      </w:r>
      <w:r w:rsidR="00B75110" w:rsidRPr="000D33E4">
        <w:rPr>
          <w:spacing w:val="19"/>
        </w:rPr>
        <w:t xml:space="preserve"> </w:t>
      </w:r>
      <w:r w:rsidR="00B75110" w:rsidRPr="000D33E4">
        <w:rPr>
          <w:w w:val="106"/>
        </w:rPr>
        <w:t xml:space="preserve">third-party </w:t>
      </w:r>
      <w:r w:rsidR="00B75110" w:rsidRPr="000D33E4">
        <w:t xml:space="preserve">public </w:t>
      </w:r>
      <w:r w:rsidR="00B75110" w:rsidRPr="000D33E4">
        <w:rPr>
          <w:spacing w:val="2"/>
        </w:rPr>
        <w:t>and</w:t>
      </w:r>
      <w:r w:rsidR="00B75110" w:rsidRPr="000D33E4">
        <w:rPr>
          <w:spacing w:val="41"/>
        </w:rPr>
        <w:t xml:space="preserve"> </w:t>
      </w:r>
      <w:r w:rsidR="00B75110" w:rsidRPr="000D33E4">
        <w:t xml:space="preserve">private </w:t>
      </w:r>
      <w:r w:rsidR="00B75110" w:rsidRPr="000D33E4">
        <w:rPr>
          <w:spacing w:val="7"/>
        </w:rPr>
        <w:t>investment</w:t>
      </w:r>
      <w:r w:rsidR="00B75110" w:rsidRPr="000D33E4">
        <w:t xml:space="preserve">. </w:t>
      </w:r>
      <w:r w:rsidR="00B75110" w:rsidRPr="00D449D8">
        <w:t>In metropolitan municipalities, the focus is on</w:t>
      </w:r>
      <w:r w:rsidR="00B75110" w:rsidRPr="000D33E4">
        <w:rPr>
          <w:spacing w:val="45"/>
        </w:rPr>
        <w:t xml:space="preserve"> </w:t>
      </w:r>
      <w:r w:rsidR="00B75110" w:rsidRPr="000D33E4">
        <w:t xml:space="preserve">upgrading </w:t>
      </w:r>
      <w:r w:rsidR="00B75110" w:rsidRPr="000D33E4">
        <w:rPr>
          <w:spacing w:val="14"/>
        </w:rPr>
        <w:t>urban</w:t>
      </w:r>
      <w:r w:rsidR="00B75110" w:rsidRPr="000D33E4">
        <w:rPr>
          <w:spacing w:val="49"/>
        </w:rPr>
        <w:t xml:space="preserve"> </w:t>
      </w:r>
      <w:r w:rsidR="00B75110" w:rsidRPr="000D33E4">
        <w:t xml:space="preserve">hubs </w:t>
      </w:r>
      <w:r w:rsidR="00B75110" w:rsidRPr="000D33E4">
        <w:rPr>
          <w:spacing w:val="1"/>
        </w:rPr>
        <w:t>in</w:t>
      </w:r>
      <w:r w:rsidR="00B75110" w:rsidRPr="000D33E4">
        <w:rPr>
          <w:w w:val="111"/>
        </w:rPr>
        <w:t xml:space="preserve"> </w:t>
      </w:r>
      <w:r w:rsidR="00B75110" w:rsidRPr="000D33E4">
        <w:t>townships. The grant also has a portion to fund new projects in non-metropolitan municipalities</w:t>
      </w:r>
      <w:r>
        <w:t>. Its</w:t>
      </w:r>
      <w:r w:rsidR="00B75110" w:rsidRPr="000D33E4">
        <w:t xml:space="preserve"> framework </w:t>
      </w:r>
      <w:r>
        <w:t xml:space="preserve">states </w:t>
      </w:r>
      <w:r w:rsidR="00B75110" w:rsidRPr="000D33E4">
        <w:t xml:space="preserve">that a </w:t>
      </w:r>
      <w:r w:rsidR="00B75110" w:rsidRPr="005E472D">
        <w:t xml:space="preserve">portion </w:t>
      </w:r>
      <w:r w:rsidR="00B75110" w:rsidRPr="009A7F2D">
        <w:t xml:space="preserve">of non-metropolitan </w:t>
      </w:r>
      <w:r w:rsidR="00B75110" w:rsidRPr="005E472D">
        <w:t xml:space="preserve">municipalities has been identified </w:t>
      </w:r>
      <w:r w:rsidR="00CD65F3">
        <w:t xml:space="preserve">so </w:t>
      </w:r>
      <w:r w:rsidR="00B75110" w:rsidRPr="005E472D">
        <w:t xml:space="preserve">as </w:t>
      </w:r>
      <w:r w:rsidRPr="009A7F2D">
        <w:t>t</w:t>
      </w:r>
      <w:r w:rsidR="00B75110" w:rsidRPr="009A7F2D">
        <w:t xml:space="preserve">o </w:t>
      </w:r>
      <w:r w:rsidR="00B75110" w:rsidRPr="005E472D">
        <w:t>implement</w:t>
      </w:r>
      <w:r w:rsidR="00B75110" w:rsidRPr="009A7F2D">
        <w:t xml:space="preserve"> </w:t>
      </w:r>
      <w:r w:rsidR="00B75110" w:rsidRPr="005E472D">
        <w:t>new</w:t>
      </w:r>
      <w:r w:rsidR="00B75110" w:rsidRPr="009A7F2D">
        <w:t xml:space="preserve"> </w:t>
      </w:r>
      <w:r w:rsidR="00B75110" w:rsidRPr="005E472D">
        <w:t>projects</w:t>
      </w:r>
      <w:r w:rsidR="00B75110" w:rsidRPr="009A7F2D">
        <w:t xml:space="preserve"> to form part </w:t>
      </w:r>
      <w:r w:rsidR="00B75110" w:rsidRPr="005E472D">
        <w:t>of</w:t>
      </w:r>
      <w:r w:rsidR="00B75110" w:rsidRPr="009A7F2D">
        <w:t xml:space="preserve"> </w:t>
      </w:r>
      <w:r w:rsidR="00B75110" w:rsidRPr="005E472D">
        <w:t>this</w:t>
      </w:r>
      <w:r w:rsidR="00B75110" w:rsidRPr="009A7F2D">
        <w:t xml:space="preserve"> </w:t>
      </w:r>
      <w:r w:rsidR="00B75110" w:rsidRPr="005E472D">
        <w:t>grant funding.</w:t>
      </w:r>
      <w:r w:rsidR="00B75110" w:rsidRPr="009A7F2D">
        <w:t xml:space="preserve"> Th</w:t>
      </w:r>
      <w:r w:rsidRPr="009A7F2D">
        <w:t>is</w:t>
      </w:r>
      <w:r w:rsidR="00B75110" w:rsidRPr="009A7F2D">
        <w:t xml:space="preserve"> crea</w:t>
      </w:r>
      <w:r w:rsidRPr="009A7F2D">
        <w:t>tes</w:t>
      </w:r>
      <w:r w:rsidR="00B75110" w:rsidRPr="009A7F2D">
        <w:t xml:space="preserve"> an opportunity for the funding of this portion of the grant to be redirected to essential services </w:t>
      </w:r>
      <w:r w:rsidR="001A1D40" w:rsidRPr="009A7F2D">
        <w:t xml:space="preserve">infrastructure </w:t>
      </w:r>
      <w:r w:rsidR="001A1D40">
        <w:t>in</w:t>
      </w:r>
      <w:r w:rsidR="00CD65F3">
        <w:t xml:space="preserve"> the municipalities </w:t>
      </w:r>
      <w:r w:rsidR="00B75110" w:rsidRPr="009A7F2D">
        <w:t xml:space="preserve">in </w:t>
      </w:r>
      <w:r w:rsidR="00D449D8">
        <w:t xml:space="preserve">the </w:t>
      </w:r>
      <w:r w:rsidR="00B75110" w:rsidRPr="009A7F2D">
        <w:t xml:space="preserve">fight </w:t>
      </w:r>
      <w:r w:rsidRPr="009A7F2D">
        <w:t>against</w:t>
      </w:r>
      <w:r w:rsidR="00B75110" w:rsidRPr="009A7F2D">
        <w:t xml:space="preserve"> </w:t>
      </w:r>
      <w:r w:rsidRPr="009A7F2D">
        <w:t>C</w:t>
      </w:r>
      <w:r w:rsidR="00B75110" w:rsidRPr="009A7F2D">
        <w:t>ovid</w:t>
      </w:r>
      <w:r w:rsidRPr="009A7F2D">
        <w:t>-</w:t>
      </w:r>
      <w:r w:rsidR="00B75110" w:rsidRPr="009A7F2D">
        <w:t xml:space="preserve">19. </w:t>
      </w:r>
    </w:p>
    <w:p w14:paraId="5BEA8A40" w14:textId="77777777" w:rsidR="00577550" w:rsidRPr="000D33E4" w:rsidRDefault="00577550" w:rsidP="00577550">
      <w:pPr>
        <w:rPr>
          <w:rFonts w:ascii="Times" w:hAnsi="Times"/>
        </w:rPr>
      </w:pPr>
    </w:p>
    <w:p w14:paraId="4FC695DC" w14:textId="361B80DF" w:rsidR="00B75110" w:rsidRPr="000D33E4" w:rsidRDefault="00C13B04" w:rsidP="009A7F2D">
      <w:pPr>
        <w:rPr>
          <w:i/>
        </w:rPr>
      </w:pPr>
      <w:r w:rsidRPr="00F0690C">
        <w:t xml:space="preserve">The </w:t>
      </w:r>
      <w:r w:rsidR="00B75110" w:rsidRPr="00F0690C">
        <w:rPr>
          <w:i/>
          <w:iCs/>
        </w:rPr>
        <w:t>Local</w:t>
      </w:r>
      <w:r w:rsidR="00B75110" w:rsidRPr="00F0690C">
        <w:rPr>
          <w:i/>
          <w:iCs/>
          <w:spacing w:val="30"/>
        </w:rPr>
        <w:t xml:space="preserve"> </w:t>
      </w:r>
      <w:r w:rsidRPr="00F0690C">
        <w:rPr>
          <w:i/>
          <w:iCs/>
        </w:rPr>
        <w:t>G</w:t>
      </w:r>
      <w:r w:rsidR="00B75110" w:rsidRPr="00F0690C">
        <w:rPr>
          <w:i/>
          <w:iCs/>
        </w:rPr>
        <w:t xml:space="preserve">overnment </w:t>
      </w:r>
      <w:r w:rsidRPr="00F0690C">
        <w:rPr>
          <w:i/>
          <w:iCs/>
        </w:rPr>
        <w:t>F</w:t>
      </w:r>
      <w:r w:rsidR="00B75110" w:rsidRPr="00F0690C">
        <w:rPr>
          <w:i/>
          <w:iCs/>
        </w:rPr>
        <w:t xml:space="preserve">inancial </w:t>
      </w:r>
      <w:r w:rsidRPr="00F0690C">
        <w:rPr>
          <w:i/>
          <w:iCs/>
        </w:rPr>
        <w:t>M</w:t>
      </w:r>
      <w:r w:rsidR="00B75110" w:rsidRPr="00F0690C">
        <w:rPr>
          <w:i/>
          <w:iCs/>
        </w:rPr>
        <w:t xml:space="preserve">anagement </w:t>
      </w:r>
      <w:r w:rsidRPr="00F0690C">
        <w:rPr>
          <w:i/>
          <w:iCs/>
        </w:rPr>
        <w:t>G</w:t>
      </w:r>
      <w:r w:rsidR="00B75110" w:rsidRPr="00F0690C">
        <w:rPr>
          <w:i/>
          <w:iCs/>
        </w:rPr>
        <w:t xml:space="preserve">rant </w:t>
      </w:r>
      <w:r w:rsidRPr="00F0690C">
        <w:rPr>
          <w:i/>
          <w:iCs/>
        </w:rPr>
        <w:t>(</w:t>
      </w:r>
      <w:r w:rsidR="00B75110" w:rsidRPr="00F0690C">
        <w:rPr>
          <w:i/>
          <w:iCs/>
        </w:rPr>
        <w:t>capacity conditional grant</w:t>
      </w:r>
      <w:r w:rsidRPr="00F0690C">
        <w:t>)</w:t>
      </w:r>
      <w:r w:rsidR="00B75110" w:rsidRPr="00F0690C">
        <w:rPr>
          <w:spacing w:val="24"/>
        </w:rPr>
        <w:t xml:space="preserve"> </w:t>
      </w:r>
      <w:r w:rsidR="00B75110" w:rsidRPr="00F0690C">
        <w:t>funds</w:t>
      </w:r>
      <w:r w:rsidR="00B75110" w:rsidRPr="00F0690C">
        <w:rPr>
          <w:spacing w:val="29"/>
        </w:rPr>
        <w:t xml:space="preserve"> </w:t>
      </w:r>
      <w:r w:rsidR="00B75110" w:rsidRPr="00F0690C">
        <w:t>the</w:t>
      </w:r>
      <w:r w:rsidR="00B75110" w:rsidRPr="00F0690C">
        <w:rPr>
          <w:spacing w:val="9"/>
        </w:rPr>
        <w:t xml:space="preserve"> </w:t>
      </w:r>
      <w:r w:rsidR="00B75110" w:rsidRPr="00F0690C">
        <w:rPr>
          <w:w w:val="105"/>
        </w:rPr>
        <w:t xml:space="preserve">placement </w:t>
      </w:r>
      <w:r w:rsidR="00B75110" w:rsidRPr="00F0690C">
        <w:t>of</w:t>
      </w:r>
      <w:r w:rsidR="00B75110" w:rsidRPr="00F0690C">
        <w:rPr>
          <w:spacing w:val="13"/>
        </w:rPr>
        <w:t xml:space="preserve"> </w:t>
      </w:r>
      <w:r w:rsidR="00B75110" w:rsidRPr="00F0690C">
        <w:t>financial</w:t>
      </w:r>
      <w:r w:rsidR="00B75110" w:rsidRPr="00F0690C">
        <w:rPr>
          <w:spacing w:val="43"/>
        </w:rPr>
        <w:t xml:space="preserve"> </w:t>
      </w:r>
      <w:r w:rsidR="00B75110" w:rsidRPr="00F0690C">
        <w:t>management</w:t>
      </w:r>
      <w:r w:rsidR="00B75110" w:rsidRPr="00F0690C">
        <w:rPr>
          <w:spacing w:val="39"/>
        </w:rPr>
        <w:t xml:space="preserve"> </w:t>
      </w:r>
      <w:r w:rsidR="00B75110" w:rsidRPr="00F0690C">
        <w:t>interns</w:t>
      </w:r>
      <w:r w:rsidR="00B75110" w:rsidRPr="00F0690C">
        <w:rPr>
          <w:spacing w:val="36"/>
        </w:rPr>
        <w:t xml:space="preserve"> </w:t>
      </w:r>
      <w:r w:rsidR="00B75110" w:rsidRPr="00F0690C">
        <w:t>in</w:t>
      </w:r>
      <w:r w:rsidR="00B75110" w:rsidRPr="00F0690C">
        <w:rPr>
          <w:spacing w:val="14"/>
        </w:rPr>
        <w:t xml:space="preserve"> </w:t>
      </w:r>
      <w:r w:rsidR="00B75110" w:rsidRPr="00F0690C">
        <w:t>municipalities</w:t>
      </w:r>
      <w:r w:rsidR="00B75110" w:rsidRPr="00F0690C">
        <w:rPr>
          <w:spacing w:val="38"/>
        </w:rPr>
        <w:t xml:space="preserve"> </w:t>
      </w:r>
      <w:r w:rsidR="00B75110" w:rsidRPr="00F0690C">
        <w:t>and</w:t>
      </w:r>
      <w:r w:rsidR="00B75110" w:rsidRPr="00F0690C">
        <w:rPr>
          <w:spacing w:val="23"/>
        </w:rPr>
        <w:t xml:space="preserve"> </w:t>
      </w:r>
      <w:r w:rsidR="00B75110" w:rsidRPr="00F0690C">
        <w:t>the</w:t>
      </w:r>
      <w:r w:rsidR="00B75110" w:rsidRPr="00F0690C">
        <w:rPr>
          <w:spacing w:val="21"/>
        </w:rPr>
        <w:t xml:space="preserve"> </w:t>
      </w:r>
      <w:r w:rsidR="00B75110" w:rsidRPr="00F0690C">
        <w:t>modernisation</w:t>
      </w:r>
      <w:r w:rsidR="00B75110" w:rsidRPr="00F0690C">
        <w:rPr>
          <w:spacing w:val="40"/>
        </w:rPr>
        <w:t xml:space="preserve"> </w:t>
      </w:r>
      <w:r w:rsidR="00B75110" w:rsidRPr="00F0690C">
        <w:t>of</w:t>
      </w:r>
      <w:r w:rsidR="00B75110" w:rsidRPr="00F0690C">
        <w:rPr>
          <w:spacing w:val="14"/>
        </w:rPr>
        <w:t xml:space="preserve"> </w:t>
      </w:r>
      <w:r w:rsidR="00B75110" w:rsidRPr="00F0690C">
        <w:t>financial</w:t>
      </w:r>
      <w:r w:rsidR="00B75110" w:rsidRPr="00F0690C">
        <w:rPr>
          <w:spacing w:val="43"/>
        </w:rPr>
        <w:t xml:space="preserve"> </w:t>
      </w:r>
      <w:r w:rsidR="00B75110" w:rsidRPr="00F0690C">
        <w:t>management</w:t>
      </w:r>
      <w:r w:rsidR="00B75110" w:rsidRPr="00F0690C">
        <w:rPr>
          <w:spacing w:val="49"/>
        </w:rPr>
        <w:t xml:space="preserve"> </w:t>
      </w:r>
      <w:r w:rsidR="00B75110" w:rsidRPr="00F0690C">
        <w:rPr>
          <w:w w:val="105"/>
        </w:rPr>
        <w:t xml:space="preserve">systems. </w:t>
      </w:r>
      <w:r w:rsidR="00B75110" w:rsidRPr="00F0690C">
        <w:t>Thus the</w:t>
      </w:r>
      <w:r w:rsidR="00B75110" w:rsidRPr="00F0690C">
        <w:rPr>
          <w:spacing w:val="39"/>
        </w:rPr>
        <w:t xml:space="preserve"> </w:t>
      </w:r>
      <w:r w:rsidR="00B75110" w:rsidRPr="00F0690C">
        <w:rPr>
          <w:w w:val="107"/>
        </w:rPr>
        <w:t xml:space="preserve">grant </w:t>
      </w:r>
      <w:r w:rsidR="00B75110" w:rsidRPr="00F0690C">
        <w:t>supports</w:t>
      </w:r>
      <w:r w:rsidR="00B75110" w:rsidRPr="00F0690C">
        <w:rPr>
          <w:spacing w:val="25"/>
        </w:rPr>
        <w:t xml:space="preserve"> </w:t>
      </w:r>
      <w:r w:rsidR="00B75110" w:rsidRPr="00F0690C">
        <w:t>municipalities</w:t>
      </w:r>
      <w:r w:rsidR="00B75110" w:rsidRPr="00F0690C">
        <w:rPr>
          <w:spacing w:val="34"/>
        </w:rPr>
        <w:t xml:space="preserve"> </w:t>
      </w:r>
      <w:r w:rsidR="00B75110" w:rsidRPr="00F0690C">
        <w:t xml:space="preserve">in the </w:t>
      </w:r>
      <w:r w:rsidR="00B75110" w:rsidRPr="00F0690C">
        <w:rPr>
          <w:w w:val="105"/>
        </w:rPr>
        <w:t>implementatio</w:t>
      </w:r>
      <w:r w:rsidR="00B75110" w:rsidRPr="00F0690C">
        <w:rPr>
          <w:w w:val="106"/>
        </w:rPr>
        <w:t>n</w:t>
      </w:r>
      <w:r w:rsidR="00B75110" w:rsidRPr="00F0690C">
        <w:rPr>
          <w:spacing w:val="-22"/>
        </w:rPr>
        <w:t xml:space="preserve"> </w:t>
      </w:r>
      <w:r w:rsidR="00B75110" w:rsidRPr="00F0690C">
        <w:t>of</w:t>
      </w:r>
      <w:r w:rsidR="00B75110" w:rsidRPr="00F0690C">
        <w:rPr>
          <w:spacing w:val="5"/>
        </w:rPr>
        <w:t xml:space="preserve"> </w:t>
      </w:r>
      <w:r w:rsidR="00B75110" w:rsidRPr="00F0690C">
        <w:t>the</w:t>
      </w:r>
      <w:r w:rsidR="00B75110" w:rsidRPr="00F0690C">
        <w:rPr>
          <w:spacing w:val="5"/>
        </w:rPr>
        <w:t xml:space="preserve"> </w:t>
      </w:r>
      <w:r w:rsidR="00B75110" w:rsidRPr="00F0690C">
        <w:t>Municipal</w:t>
      </w:r>
      <w:r w:rsidR="00B75110" w:rsidRPr="00F0690C">
        <w:rPr>
          <w:spacing w:val="24"/>
        </w:rPr>
        <w:t xml:space="preserve"> </w:t>
      </w:r>
      <w:r w:rsidR="00B75110" w:rsidRPr="00F0690C">
        <w:t>Finance</w:t>
      </w:r>
      <w:r w:rsidR="00B75110" w:rsidRPr="00F0690C">
        <w:rPr>
          <w:spacing w:val="15"/>
        </w:rPr>
        <w:t xml:space="preserve"> </w:t>
      </w:r>
      <w:r w:rsidR="00B75110" w:rsidRPr="00F0690C">
        <w:t>Management</w:t>
      </w:r>
      <w:r w:rsidR="00B75110" w:rsidRPr="00F0690C">
        <w:rPr>
          <w:spacing w:val="37"/>
        </w:rPr>
        <w:t xml:space="preserve"> </w:t>
      </w:r>
      <w:r w:rsidR="00B75110" w:rsidRPr="00F0690C">
        <w:t>Act</w:t>
      </w:r>
      <w:r w:rsidR="00B75110" w:rsidRPr="00F0690C">
        <w:rPr>
          <w:spacing w:val="-1"/>
        </w:rPr>
        <w:t xml:space="preserve"> </w:t>
      </w:r>
      <w:r w:rsidR="00B75110" w:rsidRPr="00F0690C">
        <w:t>and</w:t>
      </w:r>
      <w:r w:rsidR="00B75110" w:rsidRPr="00F0690C">
        <w:rPr>
          <w:spacing w:val="-1"/>
        </w:rPr>
        <w:t xml:space="preserve"> </w:t>
      </w:r>
      <w:r w:rsidR="00B75110" w:rsidRPr="00F0690C">
        <w:t>provides</w:t>
      </w:r>
      <w:r w:rsidR="00B75110" w:rsidRPr="00F0690C">
        <w:rPr>
          <w:spacing w:val="25"/>
        </w:rPr>
        <w:t xml:space="preserve"> </w:t>
      </w:r>
      <w:r w:rsidR="00B75110" w:rsidRPr="00F0690C">
        <w:rPr>
          <w:w w:val="107"/>
        </w:rPr>
        <w:t xml:space="preserve">funds </w:t>
      </w:r>
      <w:r w:rsidR="00B75110" w:rsidRPr="00F0690C">
        <w:t>for</w:t>
      </w:r>
      <w:r w:rsidR="00B75110" w:rsidRPr="00F0690C">
        <w:rPr>
          <w:spacing w:val="25"/>
        </w:rPr>
        <w:t xml:space="preserve"> </w:t>
      </w:r>
      <w:r w:rsidR="00B75110" w:rsidRPr="00F0690C">
        <w:t>the</w:t>
      </w:r>
      <w:r w:rsidR="00B75110" w:rsidRPr="00F0690C">
        <w:rPr>
          <w:spacing w:val="1"/>
        </w:rPr>
        <w:t xml:space="preserve"> </w:t>
      </w:r>
      <w:r w:rsidR="00B75110" w:rsidRPr="00F0690C">
        <w:rPr>
          <w:w w:val="105"/>
        </w:rPr>
        <w:t>implementation</w:t>
      </w:r>
      <w:r w:rsidR="00B75110" w:rsidRPr="00F0690C">
        <w:rPr>
          <w:spacing w:val="-2"/>
          <w:w w:val="105"/>
        </w:rPr>
        <w:t xml:space="preserve"> </w:t>
      </w:r>
      <w:r w:rsidR="00B75110" w:rsidRPr="00F0690C">
        <w:t>of</w:t>
      </w:r>
      <w:r w:rsidR="00B75110" w:rsidRPr="00F0690C">
        <w:rPr>
          <w:spacing w:val="5"/>
        </w:rPr>
        <w:t xml:space="preserve"> </w:t>
      </w:r>
      <w:r w:rsidR="00B75110" w:rsidRPr="00F0690C">
        <w:t>the</w:t>
      </w:r>
      <w:r w:rsidR="00B75110" w:rsidRPr="00F0690C">
        <w:rPr>
          <w:spacing w:val="21"/>
        </w:rPr>
        <w:t xml:space="preserve"> </w:t>
      </w:r>
      <w:r w:rsidR="00B75110" w:rsidRPr="00F0690C">
        <w:t>municipal</w:t>
      </w:r>
      <w:r w:rsidR="00B75110" w:rsidRPr="00F0690C">
        <w:rPr>
          <w:spacing w:val="26"/>
        </w:rPr>
        <w:t xml:space="preserve"> </w:t>
      </w:r>
      <w:r w:rsidR="00B75110" w:rsidRPr="00F0690C">
        <w:t>standard</w:t>
      </w:r>
      <w:r w:rsidR="00B75110" w:rsidRPr="00F0690C">
        <w:rPr>
          <w:spacing w:val="36"/>
        </w:rPr>
        <w:t xml:space="preserve"> </w:t>
      </w:r>
      <w:r w:rsidR="00B75110" w:rsidRPr="00F0690C">
        <w:t>chart</w:t>
      </w:r>
      <w:r w:rsidR="00B75110" w:rsidRPr="00F0690C">
        <w:rPr>
          <w:spacing w:val="23"/>
        </w:rPr>
        <w:t xml:space="preserve"> </w:t>
      </w:r>
      <w:r w:rsidR="00B75110" w:rsidRPr="00F0690C">
        <w:t>of</w:t>
      </w:r>
      <w:r w:rsidR="00B75110" w:rsidRPr="00F0690C">
        <w:rPr>
          <w:spacing w:val="16"/>
        </w:rPr>
        <w:t xml:space="preserve"> </w:t>
      </w:r>
      <w:r w:rsidR="00B75110" w:rsidRPr="00F0690C">
        <w:rPr>
          <w:w w:val="105"/>
        </w:rPr>
        <w:t xml:space="preserve">accounts. The grant </w:t>
      </w:r>
      <w:r w:rsidRPr="00F0690C">
        <w:rPr>
          <w:w w:val="105"/>
        </w:rPr>
        <w:t xml:space="preserve">plays </w:t>
      </w:r>
      <w:r w:rsidR="00B75110" w:rsidRPr="00F0690C">
        <w:rPr>
          <w:w w:val="105"/>
        </w:rPr>
        <w:t xml:space="preserve">a critical role in making sure </w:t>
      </w:r>
      <w:r w:rsidRPr="00F0690C">
        <w:rPr>
          <w:w w:val="105"/>
        </w:rPr>
        <w:t>that</w:t>
      </w:r>
      <w:r w:rsidR="00B75110" w:rsidRPr="00F0690C">
        <w:rPr>
          <w:w w:val="105"/>
        </w:rPr>
        <w:t xml:space="preserve"> municipal finances are in line with </w:t>
      </w:r>
      <w:r w:rsidRPr="00F0690C">
        <w:rPr>
          <w:w w:val="105"/>
        </w:rPr>
        <w:t xml:space="preserve">the </w:t>
      </w:r>
      <w:r w:rsidR="00B75110" w:rsidRPr="00F0690C">
        <w:rPr>
          <w:w w:val="105"/>
        </w:rPr>
        <w:t>MFMA whil</w:t>
      </w:r>
      <w:r w:rsidRPr="00F0690C">
        <w:rPr>
          <w:w w:val="105"/>
        </w:rPr>
        <w:t>e</w:t>
      </w:r>
      <w:r w:rsidR="00B75110" w:rsidRPr="00F0690C">
        <w:rPr>
          <w:w w:val="105"/>
        </w:rPr>
        <w:t xml:space="preserve"> also recruiting graduates to assist</w:t>
      </w:r>
      <w:r w:rsidRPr="00F0690C">
        <w:rPr>
          <w:w w:val="105"/>
        </w:rPr>
        <w:t xml:space="preserve"> in the process</w:t>
      </w:r>
      <w:r w:rsidR="00B75110" w:rsidRPr="00F0690C">
        <w:rPr>
          <w:w w:val="105"/>
        </w:rPr>
        <w:t xml:space="preserve">. </w:t>
      </w:r>
      <w:r w:rsidR="00D466F6" w:rsidRPr="00F0690C">
        <w:rPr>
          <w:w w:val="105"/>
        </w:rPr>
        <w:t xml:space="preserve">The placement of interns can be delayed so that </w:t>
      </w:r>
      <w:r w:rsidR="00B75110" w:rsidRPr="00F0690C">
        <w:rPr>
          <w:w w:val="105"/>
        </w:rPr>
        <w:t xml:space="preserve">municipalities </w:t>
      </w:r>
      <w:r w:rsidR="00D466F6" w:rsidRPr="00F0690C">
        <w:rPr>
          <w:w w:val="105"/>
        </w:rPr>
        <w:t>can</w:t>
      </w:r>
      <w:r w:rsidR="002D39CB" w:rsidRPr="00F0690C">
        <w:rPr>
          <w:w w:val="105"/>
        </w:rPr>
        <w:t xml:space="preserve"> </w:t>
      </w:r>
      <w:r w:rsidR="00B75110" w:rsidRPr="00F0690C">
        <w:rPr>
          <w:w w:val="105"/>
        </w:rPr>
        <w:t xml:space="preserve">channel </w:t>
      </w:r>
      <w:r w:rsidR="00D466F6" w:rsidRPr="00F0690C">
        <w:rPr>
          <w:w w:val="105"/>
        </w:rPr>
        <w:t>such</w:t>
      </w:r>
      <w:r w:rsidR="00B75110" w:rsidRPr="00F0690C">
        <w:rPr>
          <w:w w:val="105"/>
        </w:rPr>
        <w:t xml:space="preserve"> funding to Covid</w:t>
      </w:r>
      <w:r w:rsidRPr="00F0690C">
        <w:rPr>
          <w:w w:val="105"/>
        </w:rPr>
        <w:t>-</w:t>
      </w:r>
      <w:r w:rsidR="00B75110" w:rsidRPr="00F0690C">
        <w:rPr>
          <w:w w:val="105"/>
        </w:rPr>
        <w:t>19.</w:t>
      </w:r>
      <w:r w:rsidR="00D466F6">
        <w:rPr>
          <w:w w:val="105"/>
        </w:rPr>
        <w:t xml:space="preserve"> The Commission believes there is room to reprioritise from capacity building grants, especially non-essential capacity building. </w:t>
      </w:r>
    </w:p>
    <w:p w14:paraId="1070063F" w14:textId="77777777" w:rsidR="004948B2" w:rsidRDefault="004948B2" w:rsidP="007B1E55">
      <w:pPr>
        <w:rPr>
          <w:rFonts w:ascii="Times" w:hAnsi="Times"/>
          <w:b/>
        </w:rPr>
      </w:pPr>
    </w:p>
    <w:p w14:paraId="34AC52E3" w14:textId="6C88B864" w:rsidR="00CD65F3" w:rsidRPr="00F0690C" w:rsidRDefault="00CD65F3" w:rsidP="00CD65F3">
      <w:r w:rsidRPr="008171EB">
        <w:rPr>
          <w:color w:val="242121"/>
          <w:szCs w:val="24"/>
        </w:rPr>
        <w:t>The</w:t>
      </w:r>
      <w:r w:rsidRPr="008171EB">
        <w:rPr>
          <w:color w:val="242121"/>
          <w:spacing w:val="7"/>
          <w:szCs w:val="24"/>
        </w:rPr>
        <w:t xml:space="preserve"> </w:t>
      </w:r>
      <w:r w:rsidR="00F0690C">
        <w:rPr>
          <w:i/>
          <w:iCs/>
          <w:color w:val="242121"/>
          <w:szCs w:val="24"/>
        </w:rPr>
        <w:t>I</w:t>
      </w:r>
      <w:r w:rsidRPr="008171EB">
        <w:rPr>
          <w:i/>
          <w:iCs/>
          <w:color w:val="242121"/>
          <w:szCs w:val="24"/>
        </w:rPr>
        <w:t>nfrastructure</w:t>
      </w:r>
      <w:r w:rsidRPr="008171EB">
        <w:rPr>
          <w:i/>
          <w:iCs/>
          <w:color w:val="242121"/>
          <w:spacing w:val="32"/>
          <w:szCs w:val="24"/>
        </w:rPr>
        <w:t xml:space="preserve"> </w:t>
      </w:r>
      <w:r w:rsidR="00F0690C">
        <w:rPr>
          <w:i/>
          <w:iCs/>
          <w:color w:val="242121"/>
          <w:szCs w:val="24"/>
        </w:rPr>
        <w:t>S</w:t>
      </w:r>
      <w:r w:rsidRPr="008171EB">
        <w:rPr>
          <w:i/>
          <w:iCs/>
          <w:color w:val="242121"/>
          <w:szCs w:val="24"/>
        </w:rPr>
        <w:t>kills</w:t>
      </w:r>
      <w:r w:rsidRPr="008171EB">
        <w:rPr>
          <w:i/>
          <w:iCs/>
          <w:color w:val="242121"/>
          <w:spacing w:val="21"/>
          <w:szCs w:val="24"/>
        </w:rPr>
        <w:t xml:space="preserve"> </w:t>
      </w:r>
      <w:r w:rsidR="00F0690C">
        <w:rPr>
          <w:i/>
          <w:iCs/>
          <w:color w:val="242121"/>
          <w:szCs w:val="24"/>
        </w:rPr>
        <w:t>D</w:t>
      </w:r>
      <w:r w:rsidRPr="008171EB">
        <w:rPr>
          <w:i/>
          <w:iCs/>
          <w:color w:val="242121"/>
          <w:szCs w:val="24"/>
        </w:rPr>
        <w:t>evelopment</w:t>
      </w:r>
      <w:r w:rsidRPr="008171EB">
        <w:rPr>
          <w:i/>
          <w:iCs/>
          <w:color w:val="242121"/>
          <w:spacing w:val="39"/>
          <w:szCs w:val="24"/>
        </w:rPr>
        <w:t xml:space="preserve"> </w:t>
      </w:r>
      <w:r w:rsidR="00F0690C">
        <w:rPr>
          <w:i/>
          <w:iCs/>
          <w:color w:val="242121"/>
          <w:szCs w:val="24"/>
        </w:rPr>
        <w:t>G</w:t>
      </w:r>
      <w:r w:rsidRPr="008171EB">
        <w:rPr>
          <w:i/>
          <w:iCs/>
          <w:color w:val="242121"/>
          <w:szCs w:val="24"/>
        </w:rPr>
        <w:t>rant</w:t>
      </w:r>
      <w:r w:rsidRPr="008171EB">
        <w:rPr>
          <w:i/>
          <w:iCs/>
          <w:color w:val="242121"/>
          <w:spacing w:val="5"/>
          <w:szCs w:val="24"/>
        </w:rPr>
        <w:t xml:space="preserve"> </w:t>
      </w:r>
      <w:r w:rsidRPr="008171EB">
        <w:rPr>
          <w:color w:val="242121"/>
          <w:szCs w:val="24"/>
        </w:rPr>
        <w:t>develops</w:t>
      </w:r>
      <w:r w:rsidRPr="008171EB">
        <w:rPr>
          <w:color w:val="242121"/>
          <w:spacing w:val="17"/>
          <w:szCs w:val="24"/>
        </w:rPr>
        <w:t xml:space="preserve"> </w:t>
      </w:r>
      <w:r w:rsidRPr="008171EB">
        <w:rPr>
          <w:color w:val="242121"/>
          <w:szCs w:val="24"/>
        </w:rPr>
        <w:t>capacity</w:t>
      </w:r>
      <w:r w:rsidRPr="008171EB">
        <w:rPr>
          <w:color w:val="242121"/>
          <w:spacing w:val="17"/>
          <w:szCs w:val="24"/>
        </w:rPr>
        <w:t xml:space="preserve"> </w:t>
      </w:r>
      <w:r w:rsidRPr="008171EB">
        <w:rPr>
          <w:color w:val="242121"/>
          <w:szCs w:val="24"/>
        </w:rPr>
        <w:t>within</w:t>
      </w:r>
      <w:r w:rsidRPr="008171EB">
        <w:rPr>
          <w:color w:val="242121"/>
          <w:spacing w:val="10"/>
          <w:szCs w:val="24"/>
        </w:rPr>
        <w:t xml:space="preserve"> </w:t>
      </w:r>
      <w:r w:rsidRPr="008171EB">
        <w:rPr>
          <w:color w:val="242121"/>
          <w:szCs w:val="24"/>
        </w:rPr>
        <w:t>municipalities</w:t>
      </w:r>
      <w:r w:rsidRPr="008171EB">
        <w:rPr>
          <w:color w:val="242121"/>
          <w:spacing w:val="31"/>
          <w:szCs w:val="24"/>
        </w:rPr>
        <w:t xml:space="preserve"> </w:t>
      </w:r>
      <w:r w:rsidRPr="008171EB">
        <w:rPr>
          <w:color w:val="242121"/>
          <w:szCs w:val="24"/>
        </w:rPr>
        <w:t>by</w:t>
      </w:r>
      <w:r w:rsidRPr="008171EB">
        <w:rPr>
          <w:color w:val="242121"/>
          <w:spacing w:val="2"/>
          <w:szCs w:val="24"/>
        </w:rPr>
        <w:t xml:space="preserve"> </w:t>
      </w:r>
      <w:r w:rsidRPr="008171EB">
        <w:rPr>
          <w:color w:val="242121"/>
          <w:szCs w:val="24"/>
        </w:rPr>
        <w:t>creating</w:t>
      </w:r>
      <w:r w:rsidRPr="008171EB">
        <w:rPr>
          <w:color w:val="242121"/>
          <w:spacing w:val="19"/>
          <w:szCs w:val="24"/>
        </w:rPr>
        <w:t xml:space="preserve"> </w:t>
      </w:r>
      <w:r w:rsidRPr="008171EB">
        <w:rPr>
          <w:color w:val="242121"/>
          <w:szCs w:val="24"/>
        </w:rPr>
        <w:t>a</w:t>
      </w:r>
      <w:r w:rsidRPr="008171EB">
        <w:rPr>
          <w:color w:val="242121"/>
          <w:spacing w:val="1"/>
          <w:szCs w:val="24"/>
        </w:rPr>
        <w:t xml:space="preserve"> </w:t>
      </w:r>
      <w:r w:rsidRPr="008171EB">
        <w:rPr>
          <w:color w:val="242121"/>
          <w:w w:val="105"/>
          <w:szCs w:val="24"/>
        </w:rPr>
        <w:t xml:space="preserve">sustainable </w:t>
      </w:r>
      <w:r w:rsidRPr="008171EB">
        <w:rPr>
          <w:color w:val="242121"/>
          <w:szCs w:val="24"/>
        </w:rPr>
        <w:t>pool</w:t>
      </w:r>
      <w:r w:rsidRPr="008171EB">
        <w:rPr>
          <w:color w:val="242121"/>
          <w:spacing w:val="15"/>
          <w:szCs w:val="24"/>
        </w:rPr>
        <w:t xml:space="preserve"> </w:t>
      </w:r>
      <w:r w:rsidRPr="008171EB">
        <w:rPr>
          <w:color w:val="242121"/>
          <w:szCs w:val="24"/>
        </w:rPr>
        <w:t>of</w:t>
      </w:r>
      <w:r w:rsidRPr="008171EB">
        <w:rPr>
          <w:color w:val="242121"/>
          <w:spacing w:val="19"/>
          <w:szCs w:val="24"/>
        </w:rPr>
        <w:t xml:space="preserve"> </w:t>
      </w:r>
      <w:r w:rsidRPr="008171EB">
        <w:rPr>
          <w:color w:val="242121"/>
          <w:szCs w:val="24"/>
        </w:rPr>
        <w:t>young</w:t>
      </w:r>
      <w:r w:rsidRPr="008171EB">
        <w:rPr>
          <w:color w:val="242121"/>
          <w:spacing w:val="27"/>
          <w:szCs w:val="24"/>
        </w:rPr>
        <w:t xml:space="preserve"> </w:t>
      </w:r>
      <w:r w:rsidRPr="008171EB">
        <w:rPr>
          <w:color w:val="242121"/>
          <w:szCs w:val="24"/>
        </w:rPr>
        <w:t>professionals</w:t>
      </w:r>
      <w:r w:rsidRPr="008171EB">
        <w:rPr>
          <w:color w:val="242121"/>
          <w:spacing w:val="45"/>
          <w:szCs w:val="24"/>
        </w:rPr>
        <w:t xml:space="preserve"> </w:t>
      </w:r>
      <w:r w:rsidRPr="008171EB">
        <w:rPr>
          <w:color w:val="242121"/>
          <w:szCs w:val="24"/>
        </w:rPr>
        <w:t>with</w:t>
      </w:r>
      <w:r w:rsidRPr="008171EB">
        <w:rPr>
          <w:color w:val="242121"/>
          <w:spacing w:val="22"/>
          <w:szCs w:val="24"/>
        </w:rPr>
        <w:t xml:space="preserve"> </w:t>
      </w:r>
      <w:r w:rsidRPr="00A41B9F">
        <w:rPr>
          <w:color w:val="242121"/>
          <w:szCs w:val="24"/>
        </w:rPr>
        <w:t xml:space="preserve">technical </w:t>
      </w:r>
      <w:r w:rsidRPr="00A41B9F">
        <w:rPr>
          <w:color w:val="242121"/>
          <w:spacing w:val="1"/>
          <w:szCs w:val="24"/>
        </w:rPr>
        <w:t>skills</w:t>
      </w:r>
      <w:r w:rsidRPr="008171EB">
        <w:rPr>
          <w:color w:val="242121"/>
          <w:spacing w:val="18"/>
          <w:szCs w:val="24"/>
        </w:rPr>
        <w:t xml:space="preserve"> </w:t>
      </w:r>
      <w:r w:rsidRPr="008171EB">
        <w:rPr>
          <w:color w:val="242121"/>
          <w:szCs w:val="24"/>
        </w:rPr>
        <w:t>in</w:t>
      </w:r>
      <w:r w:rsidRPr="008171EB">
        <w:rPr>
          <w:color w:val="242121"/>
          <w:spacing w:val="9"/>
          <w:szCs w:val="24"/>
        </w:rPr>
        <w:t xml:space="preserve"> </w:t>
      </w:r>
      <w:r w:rsidRPr="008171EB">
        <w:rPr>
          <w:color w:val="242121"/>
          <w:szCs w:val="24"/>
        </w:rPr>
        <w:t>areas</w:t>
      </w:r>
      <w:r w:rsidRPr="008171EB">
        <w:rPr>
          <w:color w:val="242121"/>
          <w:spacing w:val="38"/>
          <w:szCs w:val="24"/>
        </w:rPr>
        <w:t xml:space="preserve"> </w:t>
      </w:r>
      <w:r w:rsidRPr="008171EB">
        <w:rPr>
          <w:color w:val="242121"/>
          <w:szCs w:val="24"/>
        </w:rPr>
        <w:t>such</w:t>
      </w:r>
      <w:r w:rsidRPr="008171EB">
        <w:rPr>
          <w:color w:val="242121"/>
          <w:spacing w:val="14"/>
          <w:szCs w:val="24"/>
        </w:rPr>
        <w:t xml:space="preserve"> </w:t>
      </w:r>
      <w:r w:rsidRPr="008171EB">
        <w:rPr>
          <w:color w:val="242121"/>
          <w:szCs w:val="24"/>
        </w:rPr>
        <w:t>as</w:t>
      </w:r>
      <w:r w:rsidRPr="008171EB">
        <w:rPr>
          <w:color w:val="242121"/>
          <w:spacing w:val="19"/>
          <w:szCs w:val="24"/>
        </w:rPr>
        <w:t xml:space="preserve"> </w:t>
      </w:r>
      <w:r w:rsidRPr="008171EB">
        <w:rPr>
          <w:color w:val="242121"/>
          <w:szCs w:val="24"/>
        </w:rPr>
        <w:t>water,</w:t>
      </w:r>
      <w:r w:rsidRPr="008171EB">
        <w:rPr>
          <w:color w:val="242121"/>
          <w:spacing w:val="10"/>
          <w:szCs w:val="24"/>
        </w:rPr>
        <w:t xml:space="preserve"> </w:t>
      </w:r>
      <w:r w:rsidRPr="00A41B9F">
        <w:rPr>
          <w:color w:val="242121"/>
          <w:szCs w:val="24"/>
        </w:rPr>
        <w:t xml:space="preserve">electricity </w:t>
      </w:r>
      <w:r w:rsidRPr="00A41B9F">
        <w:rPr>
          <w:color w:val="242121"/>
          <w:spacing w:val="5"/>
          <w:szCs w:val="24"/>
        </w:rPr>
        <w:t>and</w:t>
      </w:r>
      <w:r w:rsidRPr="008171EB">
        <w:rPr>
          <w:color w:val="242121"/>
          <w:spacing w:val="7"/>
          <w:szCs w:val="24"/>
        </w:rPr>
        <w:t xml:space="preserve"> </w:t>
      </w:r>
      <w:r w:rsidRPr="008171EB">
        <w:rPr>
          <w:color w:val="242121"/>
          <w:w w:val="117"/>
          <w:szCs w:val="24"/>
        </w:rPr>
        <w:t>town</w:t>
      </w:r>
      <w:r w:rsidRPr="008171EB">
        <w:rPr>
          <w:color w:val="242121"/>
          <w:spacing w:val="-28"/>
          <w:w w:val="117"/>
          <w:szCs w:val="24"/>
        </w:rPr>
        <w:t xml:space="preserve"> </w:t>
      </w:r>
      <w:r w:rsidRPr="008171EB">
        <w:rPr>
          <w:color w:val="242121"/>
          <w:szCs w:val="24"/>
        </w:rPr>
        <w:t>planning</w:t>
      </w:r>
      <w:r w:rsidR="00CD11B9">
        <w:rPr>
          <w:color w:val="242121"/>
          <w:szCs w:val="24"/>
        </w:rPr>
        <w:t xml:space="preserve"> t</w:t>
      </w:r>
      <w:r w:rsidRPr="00F0690C">
        <w:rPr>
          <w:color w:val="242121"/>
          <w:szCs w:val="24"/>
        </w:rPr>
        <w:t xml:space="preserve">hus capacitating municipalities so as to improve their infrastructure delivery activities. </w:t>
      </w:r>
      <w:r w:rsidR="00D466F6" w:rsidRPr="00F0690C">
        <w:rPr>
          <w:color w:val="242121"/>
          <w:szCs w:val="24"/>
        </w:rPr>
        <w:t xml:space="preserve">As </w:t>
      </w:r>
      <w:r w:rsidR="00F0690C">
        <w:rPr>
          <w:color w:val="242121"/>
          <w:szCs w:val="24"/>
        </w:rPr>
        <w:t xml:space="preserve">with </w:t>
      </w:r>
      <w:r w:rsidR="00D466F6" w:rsidRPr="00F0690C">
        <w:rPr>
          <w:color w:val="242121"/>
          <w:szCs w:val="24"/>
        </w:rPr>
        <w:t xml:space="preserve">other capacity building grants, </w:t>
      </w:r>
      <w:r w:rsidR="006A1447" w:rsidRPr="00F0690C">
        <w:rPr>
          <w:color w:val="242121"/>
          <w:szCs w:val="24"/>
        </w:rPr>
        <w:t xml:space="preserve">a significant portion of </w:t>
      </w:r>
      <w:r w:rsidR="00D466F6" w:rsidRPr="00F0690C">
        <w:rPr>
          <w:color w:val="242121"/>
          <w:szCs w:val="24"/>
        </w:rPr>
        <w:t xml:space="preserve">this </w:t>
      </w:r>
      <w:r w:rsidRPr="00F0690C">
        <w:rPr>
          <w:color w:val="242121"/>
          <w:szCs w:val="24"/>
        </w:rPr>
        <w:t xml:space="preserve">grant can be reprioritised and be directed to municipal infrastructure delivery </w:t>
      </w:r>
      <w:r w:rsidR="00D466F6" w:rsidRPr="00F0690C">
        <w:rPr>
          <w:color w:val="242121"/>
          <w:szCs w:val="24"/>
        </w:rPr>
        <w:t>activities that are addressing C</w:t>
      </w:r>
      <w:r w:rsidRPr="00F0690C">
        <w:rPr>
          <w:color w:val="242121"/>
          <w:szCs w:val="24"/>
        </w:rPr>
        <w:t>ovid</w:t>
      </w:r>
      <w:r w:rsidR="00F0690C">
        <w:rPr>
          <w:color w:val="242121"/>
          <w:szCs w:val="24"/>
        </w:rPr>
        <w:t>-</w:t>
      </w:r>
      <w:r w:rsidRPr="00F0690C">
        <w:rPr>
          <w:color w:val="242121"/>
          <w:szCs w:val="24"/>
        </w:rPr>
        <w:t>19 challenges.</w:t>
      </w:r>
    </w:p>
    <w:p w14:paraId="51F4AA8D" w14:textId="77777777" w:rsidR="00CD65F3" w:rsidRPr="00F0690C" w:rsidRDefault="00CD65F3" w:rsidP="007B1E55">
      <w:pPr>
        <w:rPr>
          <w:rFonts w:ascii="Times" w:hAnsi="Times"/>
          <w:b/>
        </w:rPr>
      </w:pPr>
    </w:p>
    <w:p w14:paraId="53A0B0D6" w14:textId="6D8EA07C" w:rsidR="004222E6" w:rsidRPr="000D33E4" w:rsidRDefault="00B75110" w:rsidP="009A7F2D">
      <w:r w:rsidRPr="00F0690C">
        <w:t xml:space="preserve">The </w:t>
      </w:r>
      <w:r w:rsidR="00D71D8C" w:rsidRPr="00F0690C">
        <w:rPr>
          <w:i/>
          <w:iCs/>
        </w:rPr>
        <w:t>E</w:t>
      </w:r>
      <w:r w:rsidRPr="00F0690C">
        <w:rPr>
          <w:i/>
          <w:iCs/>
        </w:rPr>
        <w:t xml:space="preserve">xpanded </w:t>
      </w:r>
      <w:r w:rsidR="00D71D8C" w:rsidRPr="00F0690C">
        <w:rPr>
          <w:i/>
          <w:iCs/>
        </w:rPr>
        <w:t>P</w:t>
      </w:r>
      <w:r w:rsidRPr="00F0690C">
        <w:rPr>
          <w:i/>
          <w:iCs/>
        </w:rPr>
        <w:t xml:space="preserve">ublic </w:t>
      </w:r>
      <w:r w:rsidR="00D71D8C" w:rsidRPr="00F0690C">
        <w:rPr>
          <w:i/>
          <w:iCs/>
        </w:rPr>
        <w:t>W</w:t>
      </w:r>
      <w:r w:rsidRPr="00F0690C">
        <w:rPr>
          <w:i/>
          <w:iCs/>
        </w:rPr>
        <w:t xml:space="preserve">orks </w:t>
      </w:r>
      <w:r w:rsidR="00D71D8C" w:rsidRPr="00F0690C">
        <w:rPr>
          <w:i/>
          <w:iCs/>
        </w:rPr>
        <w:t>P</w:t>
      </w:r>
      <w:r w:rsidRPr="00F0690C">
        <w:rPr>
          <w:i/>
          <w:iCs/>
        </w:rPr>
        <w:t>rogramme (EPWP)</w:t>
      </w:r>
      <w:r w:rsidRPr="00F0690C">
        <w:t xml:space="preserve"> integrated grant for provinces</w:t>
      </w:r>
      <w:r w:rsidR="00D71D8C" w:rsidRPr="00F0690C">
        <w:t xml:space="preserve"> i</w:t>
      </w:r>
      <w:r w:rsidRPr="00F0690C">
        <w:t xml:space="preserve">s a specific purpose conditional grant. The purpose of the grant is to incentivise provincial departments to use labour-intensive methods in creating jobs in infrastructure, environmental and other projects. Grant allocations are determined upfront based on the performance of provincial departments in meeting job targets in the preceding financial year. </w:t>
      </w:r>
      <w:r w:rsidR="006A1447" w:rsidRPr="00F0690C">
        <w:t>Covid-</w:t>
      </w:r>
      <w:r w:rsidR="00CD11B9">
        <w:t>19 is causing many people to lo</w:t>
      </w:r>
      <w:r w:rsidR="006A1447" w:rsidRPr="00F0690C">
        <w:t>se their jobs and livelihoods. The Commission beli</w:t>
      </w:r>
      <w:r w:rsidR="00F0690C">
        <w:t>e</w:t>
      </w:r>
      <w:r w:rsidR="006A1447" w:rsidRPr="00F0690C">
        <w:t xml:space="preserve">ves that with Covid-19, it is important that funds should be reprioritised to </w:t>
      </w:r>
      <w:r w:rsidR="00CD11B9">
        <w:t xml:space="preserve">and within </w:t>
      </w:r>
      <w:r w:rsidR="006A1447" w:rsidRPr="00F0690C">
        <w:t>this grant.</w:t>
      </w:r>
      <w:r w:rsidR="006A1447">
        <w:t xml:space="preserve"> </w:t>
      </w:r>
    </w:p>
    <w:p w14:paraId="56ACDB35" w14:textId="77777777" w:rsidR="004222E6" w:rsidRPr="000D33E4" w:rsidRDefault="004222E6" w:rsidP="004222E6">
      <w:pPr>
        <w:rPr>
          <w:rFonts w:ascii="Times" w:hAnsi="Times"/>
        </w:rPr>
      </w:pPr>
    </w:p>
    <w:p w14:paraId="40625573" w14:textId="4145745A" w:rsidR="004222E6" w:rsidRPr="000D33E4" w:rsidRDefault="00B75110" w:rsidP="009A7F2D">
      <w:r w:rsidRPr="00F0690C">
        <w:rPr>
          <w:iCs/>
        </w:rPr>
        <w:t>The</w:t>
      </w:r>
      <w:r w:rsidRPr="00F0690C">
        <w:rPr>
          <w:i/>
          <w:spacing w:val="19"/>
        </w:rPr>
        <w:t xml:space="preserve"> </w:t>
      </w:r>
      <w:r w:rsidR="00D71D8C" w:rsidRPr="00F0690C">
        <w:rPr>
          <w:i/>
        </w:rPr>
        <w:t>S</w:t>
      </w:r>
      <w:r w:rsidRPr="00F0690C">
        <w:rPr>
          <w:i/>
        </w:rPr>
        <w:t xml:space="preserve">ocial </w:t>
      </w:r>
      <w:r w:rsidR="00D71D8C" w:rsidRPr="00F0690C">
        <w:rPr>
          <w:i/>
        </w:rPr>
        <w:t>S</w:t>
      </w:r>
      <w:r w:rsidRPr="00F0690C">
        <w:rPr>
          <w:i/>
        </w:rPr>
        <w:t>ector</w:t>
      </w:r>
      <w:r w:rsidRPr="00F0690C">
        <w:rPr>
          <w:i/>
          <w:spacing w:val="-5"/>
        </w:rPr>
        <w:t xml:space="preserve"> </w:t>
      </w:r>
      <w:r w:rsidRPr="00F0690C">
        <w:rPr>
          <w:i/>
        </w:rPr>
        <w:t xml:space="preserve">EPWP </w:t>
      </w:r>
      <w:r w:rsidR="00D71D8C" w:rsidRPr="00F0690C">
        <w:rPr>
          <w:i/>
        </w:rPr>
        <w:t>I</w:t>
      </w:r>
      <w:r w:rsidRPr="00F0690C">
        <w:rPr>
          <w:i/>
        </w:rPr>
        <w:t>ncentive</w:t>
      </w:r>
      <w:r w:rsidRPr="00F0690C">
        <w:rPr>
          <w:i/>
          <w:spacing w:val="7"/>
        </w:rPr>
        <w:t xml:space="preserve"> </w:t>
      </w:r>
      <w:r w:rsidR="00D71D8C" w:rsidRPr="00F0690C">
        <w:rPr>
          <w:i/>
        </w:rPr>
        <w:t>G</w:t>
      </w:r>
      <w:r w:rsidRPr="00F0690C">
        <w:rPr>
          <w:i/>
        </w:rPr>
        <w:t>rant</w:t>
      </w:r>
      <w:r w:rsidRPr="00F0690C">
        <w:rPr>
          <w:i/>
          <w:spacing w:val="-4"/>
        </w:rPr>
        <w:t xml:space="preserve"> </w:t>
      </w:r>
      <w:r w:rsidR="00D71D8C" w:rsidRPr="00F0690C">
        <w:rPr>
          <w:iCs/>
        </w:rPr>
        <w:t>i</w:t>
      </w:r>
      <w:r w:rsidRPr="00F0690C">
        <w:rPr>
          <w:iCs/>
        </w:rPr>
        <w:t>s</w:t>
      </w:r>
      <w:r w:rsidRPr="00F0690C">
        <w:t xml:space="preserve"> a specific purpose grant</w:t>
      </w:r>
      <w:r w:rsidR="00F0690C" w:rsidRPr="00F0690C">
        <w:rPr>
          <w:i/>
        </w:rPr>
        <w:t xml:space="preserve"> </w:t>
      </w:r>
      <w:r w:rsidR="00F0690C" w:rsidRPr="00F0690C">
        <w:rPr>
          <w:iCs/>
        </w:rPr>
        <w:t>for</w:t>
      </w:r>
      <w:r w:rsidR="00F0690C" w:rsidRPr="00F0690C">
        <w:rPr>
          <w:iCs/>
          <w:spacing w:val="1"/>
        </w:rPr>
        <w:t xml:space="preserve"> </w:t>
      </w:r>
      <w:r w:rsidR="00F0690C" w:rsidRPr="00F0690C">
        <w:rPr>
          <w:iCs/>
        </w:rPr>
        <w:t>provinces</w:t>
      </w:r>
      <w:r w:rsidRPr="00F0690C">
        <w:t>. It incentivises provincial sector departments to expand jobs in social sector programmes</w:t>
      </w:r>
      <w:r w:rsidRPr="00F0690C">
        <w:rPr>
          <w:spacing w:val="7"/>
        </w:rPr>
        <w:t xml:space="preserve"> </w:t>
      </w:r>
      <w:r w:rsidRPr="00F0690C">
        <w:t>(</w:t>
      </w:r>
      <w:r w:rsidR="00D71D8C" w:rsidRPr="00F0690C">
        <w:t>e.g.</w:t>
      </w:r>
      <w:r w:rsidRPr="00F0690C">
        <w:rPr>
          <w:spacing w:val="21"/>
        </w:rPr>
        <w:t xml:space="preserve"> </w:t>
      </w:r>
      <w:r w:rsidRPr="00F0690C">
        <w:t>home-based</w:t>
      </w:r>
      <w:r w:rsidRPr="00F0690C">
        <w:rPr>
          <w:spacing w:val="49"/>
        </w:rPr>
        <w:t xml:space="preserve"> </w:t>
      </w:r>
      <w:r w:rsidRPr="00F0690C">
        <w:t>care,</w:t>
      </w:r>
      <w:r w:rsidRPr="00F0690C">
        <w:rPr>
          <w:spacing w:val="20"/>
        </w:rPr>
        <w:t xml:space="preserve"> </w:t>
      </w:r>
      <w:r w:rsidRPr="00F0690C">
        <w:t>early</w:t>
      </w:r>
      <w:r w:rsidRPr="00F0690C">
        <w:rPr>
          <w:spacing w:val="40"/>
        </w:rPr>
        <w:t xml:space="preserve"> </w:t>
      </w:r>
      <w:r w:rsidRPr="00F0690C">
        <w:t>childhood</w:t>
      </w:r>
      <w:r w:rsidRPr="00F0690C">
        <w:rPr>
          <w:spacing w:val="34"/>
        </w:rPr>
        <w:t xml:space="preserve"> </w:t>
      </w:r>
      <w:r w:rsidRPr="00F0690C">
        <w:rPr>
          <w:w w:val="106"/>
        </w:rPr>
        <w:t xml:space="preserve">development, </w:t>
      </w:r>
      <w:r w:rsidRPr="00F0690C">
        <w:t>adult</w:t>
      </w:r>
      <w:r w:rsidRPr="00F0690C">
        <w:rPr>
          <w:spacing w:val="22"/>
        </w:rPr>
        <w:t xml:space="preserve"> </w:t>
      </w:r>
      <w:r w:rsidRPr="00F0690C">
        <w:t>literacy</w:t>
      </w:r>
      <w:r w:rsidRPr="00F0690C">
        <w:rPr>
          <w:spacing w:val="36"/>
        </w:rPr>
        <w:t xml:space="preserve"> </w:t>
      </w:r>
      <w:r w:rsidRPr="00F0690C">
        <w:t>and</w:t>
      </w:r>
      <w:r w:rsidRPr="00F0690C">
        <w:rPr>
          <w:spacing w:val="25"/>
        </w:rPr>
        <w:t xml:space="preserve"> </w:t>
      </w:r>
      <w:r w:rsidRPr="00F0690C">
        <w:rPr>
          <w:w w:val="105"/>
        </w:rPr>
        <w:t xml:space="preserve">numeracy, </w:t>
      </w:r>
      <w:r w:rsidRPr="00F0690C">
        <w:t>community</w:t>
      </w:r>
      <w:r w:rsidRPr="00F0690C">
        <w:rPr>
          <w:spacing w:val="37"/>
        </w:rPr>
        <w:t xml:space="preserve"> </w:t>
      </w:r>
      <w:r w:rsidRPr="00F0690C">
        <w:t>safety</w:t>
      </w:r>
      <w:r w:rsidRPr="00F0690C">
        <w:rPr>
          <w:spacing w:val="18"/>
        </w:rPr>
        <w:t xml:space="preserve"> </w:t>
      </w:r>
      <w:r w:rsidRPr="00F0690C">
        <w:t>and</w:t>
      </w:r>
      <w:r w:rsidRPr="00F0690C">
        <w:rPr>
          <w:spacing w:val="2"/>
        </w:rPr>
        <w:t xml:space="preserve"> </w:t>
      </w:r>
      <w:r w:rsidRPr="00F0690C">
        <w:t>security,</w:t>
      </w:r>
      <w:r w:rsidRPr="00F0690C">
        <w:rPr>
          <w:spacing w:val="16"/>
        </w:rPr>
        <w:t xml:space="preserve"> </w:t>
      </w:r>
      <w:r w:rsidRPr="00F0690C">
        <w:t>and</w:t>
      </w:r>
      <w:r w:rsidRPr="00F0690C">
        <w:rPr>
          <w:spacing w:val="3"/>
        </w:rPr>
        <w:t xml:space="preserve"> </w:t>
      </w:r>
      <w:r w:rsidRPr="00F0690C">
        <w:t>sports</w:t>
      </w:r>
      <w:r w:rsidRPr="00F0690C">
        <w:rPr>
          <w:spacing w:val="23"/>
        </w:rPr>
        <w:t xml:space="preserve"> </w:t>
      </w:r>
      <w:r w:rsidRPr="00F0690C">
        <w:t>programmes).</w:t>
      </w:r>
      <w:r w:rsidRPr="00F0690C">
        <w:rPr>
          <w:spacing w:val="31"/>
        </w:rPr>
        <w:t xml:space="preserve"> </w:t>
      </w:r>
      <w:r w:rsidR="00CD11B9">
        <w:t>These grant components</w:t>
      </w:r>
      <w:r w:rsidRPr="00F0690C">
        <w:t xml:space="preserve"> are an essential service during the </w:t>
      </w:r>
      <w:r w:rsidR="008B0F56" w:rsidRPr="00F0690C">
        <w:t>Covid</w:t>
      </w:r>
      <w:r w:rsidR="00D71D8C" w:rsidRPr="00F0690C">
        <w:t>-</w:t>
      </w:r>
      <w:r w:rsidRPr="00F0690C">
        <w:t xml:space="preserve">19 </w:t>
      </w:r>
      <w:r w:rsidR="00D71D8C" w:rsidRPr="00F0690C">
        <w:t>p</w:t>
      </w:r>
      <w:r w:rsidR="00D449D8" w:rsidRPr="00F0690C">
        <w:t>a</w:t>
      </w:r>
      <w:r w:rsidR="00D71D8C" w:rsidRPr="00F0690C">
        <w:t xml:space="preserve">ndemic </w:t>
      </w:r>
      <w:r w:rsidRPr="00F0690C">
        <w:t xml:space="preserve">and should clearly refocus in alleviating pressures </w:t>
      </w:r>
      <w:r w:rsidR="00D71D8C" w:rsidRPr="00F0690C">
        <w:t xml:space="preserve">faced by </w:t>
      </w:r>
      <w:r w:rsidRPr="00F0690C">
        <w:t>households in alleviating hunger through jobs in the sector</w:t>
      </w:r>
      <w:r w:rsidR="00D71D8C" w:rsidRPr="00F0690C">
        <w:t>s</w:t>
      </w:r>
      <w:r w:rsidRPr="00F0690C">
        <w:t xml:space="preserve"> specific</w:t>
      </w:r>
      <w:r w:rsidR="00D71D8C" w:rsidRPr="00F0690C">
        <w:t>ally</w:t>
      </w:r>
      <w:r w:rsidRPr="00F0690C">
        <w:t xml:space="preserve"> highlighted by these grants</w:t>
      </w:r>
      <w:r w:rsidR="00D71D8C" w:rsidRPr="00F0690C">
        <w:t>.</w:t>
      </w:r>
      <w:r w:rsidRPr="00F0690C">
        <w:t xml:space="preserve"> These grants can be merged into one as the</w:t>
      </w:r>
      <w:r w:rsidR="00D71D8C" w:rsidRPr="00F0690C">
        <w:t>ir</w:t>
      </w:r>
      <w:r w:rsidRPr="00F0690C">
        <w:t xml:space="preserve"> objectives are similar to the EPWP grant for municipalities which is one grant funding various components as stated above</w:t>
      </w:r>
      <w:r w:rsidR="00D71D8C" w:rsidRPr="00F0690C">
        <w:t xml:space="preserve">. </w:t>
      </w:r>
      <w:r w:rsidR="00CD65F3" w:rsidRPr="00F0690C">
        <w:t xml:space="preserve">These two grants </w:t>
      </w:r>
      <w:r w:rsidR="00CD11B9" w:rsidRPr="00F0690C">
        <w:t>(EPWP</w:t>
      </w:r>
      <w:r w:rsidR="00CD65F3" w:rsidRPr="00F0690C">
        <w:t xml:space="preserve"> for provinces as well as the</w:t>
      </w:r>
      <w:r w:rsidR="002D39CB" w:rsidRPr="00F0690C">
        <w:t xml:space="preserve"> </w:t>
      </w:r>
      <w:r w:rsidR="00CD65F3" w:rsidRPr="00F0690C">
        <w:t>Social Sector EPWP</w:t>
      </w:r>
      <w:r w:rsidR="002D39CB" w:rsidRPr="00F0690C">
        <w:t xml:space="preserve"> </w:t>
      </w:r>
      <w:r w:rsidR="00CD65F3" w:rsidRPr="00F0690C">
        <w:t>grant for provinces) tota</w:t>
      </w:r>
      <w:r w:rsidR="00F0690C">
        <w:t>l</w:t>
      </w:r>
      <w:r w:rsidR="00CD65F3" w:rsidRPr="00F0690C">
        <w:t xml:space="preserve"> R2.6 billion over the MTEF.</w:t>
      </w:r>
      <w:r w:rsidR="002D39CB" w:rsidRPr="00F0690C">
        <w:t xml:space="preserve"> </w:t>
      </w:r>
      <w:r w:rsidR="00D71D8C" w:rsidRPr="00F0690C">
        <w:t>T</w:t>
      </w:r>
      <w:r w:rsidRPr="00F0690C">
        <w:t>he merging of grants with similar purpose is in line with the Commission</w:t>
      </w:r>
      <w:r w:rsidR="00D71D8C" w:rsidRPr="00F0690C">
        <w:t>’s</w:t>
      </w:r>
      <w:r w:rsidRPr="00F0690C">
        <w:t xml:space="preserve"> recommendations </w:t>
      </w:r>
      <w:r w:rsidR="00D71D8C" w:rsidRPr="00F0690C">
        <w:t>to</w:t>
      </w:r>
      <w:r w:rsidRPr="00F0690C">
        <w:t xml:space="preserve"> streamline conditional grants with same purpose to avoid duplication and enhance effectiveness. </w:t>
      </w:r>
      <w:r w:rsidR="00CD65F3" w:rsidRPr="00F0690C">
        <w:t xml:space="preserve">The same principle has been applied below, to the EPWP grant for provinces </w:t>
      </w:r>
      <w:r w:rsidR="001A1D40" w:rsidRPr="00F0690C">
        <w:t>where the</w:t>
      </w:r>
      <w:r w:rsidR="00CD65F3" w:rsidRPr="00F0690C">
        <w:t xml:space="preserve"> grant includes labour intensive</w:t>
      </w:r>
      <w:r w:rsidR="006A1447" w:rsidRPr="00F0690C">
        <w:t xml:space="preserve"> job</w:t>
      </w:r>
      <w:r w:rsidR="00CD65F3" w:rsidRPr="00F0690C">
        <w:t xml:space="preserve"> </w:t>
      </w:r>
      <w:r w:rsidR="006A1447" w:rsidRPr="00F0690C">
        <w:t xml:space="preserve">creation </w:t>
      </w:r>
      <w:r w:rsidR="00CD65F3" w:rsidRPr="00F0690C">
        <w:t xml:space="preserve">as well as </w:t>
      </w:r>
      <w:r w:rsidR="00CD11B9">
        <w:t xml:space="preserve">focus </w:t>
      </w:r>
      <w:r w:rsidR="00CD65F3" w:rsidRPr="00F0690C">
        <w:t xml:space="preserve">on social sector programmes, </w:t>
      </w:r>
      <w:r w:rsidR="001A1D40" w:rsidRPr="00F0690C">
        <w:t>and the</w:t>
      </w:r>
      <w:r w:rsidR="00CD65F3" w:rsidRPr="00F0690C">
        <w:t xml:space="preserve"> same could be done for provinces.</w:t>
      </w:r>
    </w:p>
    <w:p w14:paraId="1774E469" w14:textId="77777777" w:rsidR="004948B2" w:rsidRPr="000D33E4" w:rsidRDefault="004948B2" w:rsidP="004948B2">
      <w:pPr>
        <w:rPr>
          <w:rFonts w:ascii="Times" w:hAnsi="Times"/>
        </w:rPr>
      </w:pPr>
    </w:p>
    <w:p w14:paraId="7A6B5C7E" w14:textId="48A67CB8" w:rsidR="00B75110" w:rsidRPr="000D33E4" w:rsidRDefault="00B75110" w:rsidP="009A7F2D">
      <w:r w:rsidRPr="000D33E4">
        <w:t xml:space="preserve">The </w:t>
      </w:r>
      <w:r w:rsidRPr="00F0690C">
        <w:rPr>
          <w:i/>
          <w:iCs/>
        </w:rPr>
        <w:t xml:space="preserve">EPWP </w:t>
      </w:r>
      <w:r w:rsidR="00F0690C" w:rsidRPr="00F0690C">
        <w:rPr>
          <w:i/>
          <w:iCs/>
        </w:rPr>
        <w:t>I</w:t>
      </w:r>
      <w:r w:rsidRPr="00F0690C">
        <w:rPr>
          <w:i/>
          <w:iCs/>
        </w:rPr>
        <w:t xml:space="preserve">ntegrated </w:t>
      </w:r>
      <w:r w:rsidR="00F0690C" w:rsidRPr="00CD11B9">
        <w:rPr>
          <w:iCs/>
        </w:rPr>
        <w:t>G</w:t>
      </w:r>
      <w:r w:rsidRPr="00CD11B9">
        <w:rPr>
          <w:iCs/>
        </w:rPr>
        <w:t>rant</w:t>
      </w:r>
      <w:r w:rsidRPr="00CD11B9">
        <w:t xml:space="preserve"> </w:t>
      </w:r>
      <w:r w:rsidRPr="00CD11B9">
        <w:rPr>
          <w:i/>
        </w:rPr>
        <w:t>for municipalities</w:t>
      </w:r>
      <w:r w:rsidR="00F040B1">
        <w:t xml:space="preserve"> i</w:t>
      </w:r>
      <w:r w:rsidRPr="000D33E4">
        <w:t>s a specific purpose grant</w:t>
      </w:r>
      <w:r w:rsidR="00F040B1">
        <w:t xml:space="preserve"> to build </w:t>
      </w:r>
      <w:r w:rsidRPr="000D33E4">
        <w:t>capacity. The purpose of the grant is to incentiv</w:t>
      </w:r>
      <w:r w:rsidR="00F040B1">
        <w:t>ise</w:t>
      </w:r>
      <w:r w:rsidRPr="000D33E4">
        <w:t xml:space="preserve"> municipalities to create jobs by using labour intensive methods (roads and building maintenance, basic services infrastructure such as water and sanitation reticulation, social and economic infrastructure, tourism, cultural industries, social services programmes, community safety programmes, waste management and parks</w:t>
      </w:r>
      <w:r w:rsidR="00F040B1">
        <w:t>)</w:t>
      </w:r>
      <w:r w:rsidRPr="000D33E4">
        <w:t xml:space="preserve">. Thus, the allocation of the grant is based on labour intensive jobs created and performance. Some components of the grant can be reprioritised such as tourism and cultural services given the restrictions </w:t>
      </w:r>
      <w:r w:rsidR="00F040B1">
        <w:t>on the</w:t>
      </w:r>
      <w:r w:rsidRPr="000D33E4">
        <w:t xml:space="preserve"> movement of people and social gatherings </w:t>
      </w:r>
      <w:r w:rsidR="00CD65F3">
        <w:t xml:space="preserve">with jobs </w:t>
      </w:r>
      <w:r w:rsidRPr="000D33E4">
        <w:t xml:space="preserve">reprioritised to the essential services of water and sanitation reticulation for hygiene </w:t>
      </w:r>
      <w:r w:rsidR="00CD65F3">
        <w:t>especially in hot spot areas including</w:t>
      </w:r>
      <w:r w:rsidRPr="000D33E4">
        <w:t xml:space="preserve"> refocus on awareness campaigns </w:t>
      </w:r>
      <w:r w:rsidR="00F040B1">
        <w:t>of</w:t>
      </w:r>
      <w:r w:rsidRPr="000D33E4">
        <w:t xml:space="preserve"> the impact of Covid-19.</w:t>
      </w:r>
      <w:r w:rsidR="002D39CB">
        <w:t xml:space="preserve"> </w:t>
      </w:r>
      <w:r w:rsidRPr="000D33E4">
        <w:t xml:space="preserve"> </w:t>
      </w:r>
    </w:p>
    <w:p w14:paraId="03C85180" w14:textId="77777777" w:rsidR="00B75110" w:rsidRPr="000D33E4" w:rsidRDefault="00B75110" w:rsidP="00556D9C">
      <w:pPr>
        <w:rPr>
          <w:rFonts w:ascii="Times" w:eastAsia="+mn-ea" w:hAnsi="Times"/>
        </w:rPr>
      </w:pPr>
    </w:p>
    <w:p w14:paraId="41028594" w14:textId="77777777" w:rsidR="00B75110" w:rsidRPr="000D33E4" w:rsidRDefault="00B75110" w:rsidP="00D3497A">
      <w:pPr>
        <w:ind w:left="360"/>
        <w:rPr>
          <w:rFonts w:ascii="Times" w:eastAsia="+mn-ea" w:hAnsi="Times"/>
          <w:szCs w:val="24"/>
        </w:rPr>
      </w:pPr>
    </w:p>
    <w:p w14:paraId="18CB43ED" w14:textId="77777777" w:rsidR="00333FC2" w:rsidRPr="000D33E4" w:rsidRDefault="00333FC2">
      <w:pPr>
        <w:rPr>
          <w:rFonts w:ascii="Times" w:hAnsi="Times"/>
        </w:rPr>
      </w:pPr>
      <w:r w:rsidRPr="000D33E4">
        <w:rPr>
          <w:rFonts w:ascii="Times" w:hAnsi="Times"/>
        </w:rPr>
        <w:br w:type="page"/>
      </w:r>
    </w:p>
    <w:p w14:paraId="48F9A7AD" w14:textId="77777777" w:rsidR="00952224" w:rsidRPr="000D33E4" w:rsidRDefault="00556D9C" w:rsidP="00B4512F">
      <w:pPr>
        <w:pStyle w:val="IntenseQuote"/>
      </w:pPr>
      <w:bookmarkStart w:id="133" w:name="_Toc42211930"/>
      <w:bookmarkStart w:id="134" w:name="_Toc276383175"/>
      <w:r>
        <w:t>Section 6: Concluding remarks</w:t>
      </w:r>
      <w:bookmarkEnd w:id="133"/>
    </w:p>
    <w:bookmarkEnd w:id="134"/>
    <w:p w14:paraId="2CA263C0" w14:textId="77777777" w:rsidR="00753925" w:rsidRPr="000D33E4" w:rsidRDefault="00753925" w:rsidP="009A7F2D">
      <w:pPr>
        <w:ind w:left="567"/>
      </w:pPr>
    </w:p>
    <w:p w14:paraId="472C8B26" w14:textId="6309A8ED" w:rsidR="0071546B" w:rsidRPr="0071546B" w:rsidRDefault="0071546B" w:rsidP="0071546B">
      <w:pPr>
        <w:rPr>
          <w:rFonts w:ascii="Times" w:hAnsi="Times"/>
          <w:szCs w:val="24"/>
        </w:rPr>
      </w:pPr>
      <w:r w:rsidRPr="0071546B">
        <w:rPr>
          <w:rFonts w:ascii="Times" w:hAnsi="Times"/>
          <w:szCs w:val="24"/>
        </w:rPr>
        <w:t xml:space="preserve">The 2020 Budget was crafted in very difficult circumstances characterised by rapidly weakening economic growth. This poor growth trajectory has forced average incomes to diminish at an accelerated pace, pushing many South Africans into abject poverty. By the close of 2019 the economy had slipped into a technical recession, the second in a decade. In the new year, the economy continued to face severe global and domestic headwinds that weighed down any prospects for a turnaround in the short term. Since the 2020 Budget, the economy has suffered from two other setbacks: it lost its </w:t>
      </w:r>
      <w:r w:rsidR="006E783C">
        <w:rPr>
          <w:rFonts w:ascii="Times" w:hAnsi="Times"/>
          <w:szCs w:val="24"/>
        </w:rPr>
        <w:t>last investment grade rating as</w:t>
      </w:r>
      <w:r w:rsidRPr="0071546B">
        <w:rPr>
          <w:rFonts w:ascii="Times" w:hAnsi="Times"/>
          <w:szCs w:val="24"/>
        </w:rPr>
        <w:t xml:space="preserve"> </w:t>
      </w:r>
      <w:r w:rsidRPr="0071546B">
        <w:rPr>
          <w:rFonts w:ascii="Times" w:hAnsi="Times"/>
          <w:spacing w:val="3"/>
          <w:szCs w:val="24"/>
          <w:shd w:val="clear" w:color="auto" w:fill="FFFFFF"/>
        </w:rPr>
        <w:t xml:space="preserve">the </w:t>
      </w:r>
      <w:r w:rsidRPr="0071546B">
        <w:rPr>
          <w:rFonts w:ascii="Times" w:hAnsi="Times" w:cs="Arial"/>
          <w:color w:val="222222"/>
          <w:szCs w:val="24"/>
          <w:shd w:val="clear" w:color="auto" w:fill="FFFFFF"/>
        </w:rPr>
        <w:t xml:space="preserve">Covid-19 pandemic reached the shores of </w:t>
      </w:r>
      <w:r w:rsidR="006E783C">
        <w:rPr>
          <w:rFonts w:ascii="Times" w:hAnsi="Times" w:cs="Arial"/>
          <w:color w:val="222222"/>
          <w:szCs w:val="24"/>
          <w:shd w:val="clear" w:color="auto" w:fill="FFFFFF"/>
        </w:rPr>
        <w:t>the country</w:t>
      </w:r>
      <w:r w:rsidRPr="0071546B">
        <w:rPr>
          <w:rFonts w:ascii="Times" w:hAnsi="Times" w:cs="Arial"/>
          <w:color w:val="222222"/>
          <w:szCs w:val="24"/>
          <w:shd w:val="clear" w:color="auto" w:fill="FFFFFF"/>
        </w:rPr>
        <w:t xml:space="preserve">. Covid-19 </w:t>
      </w:r>
      <w:r w:rsidR="00CD11B9">
        <w:rPr>
          <w:rFonts w:ascii="Times" w:hAnsi="Times" w:cs="Arial"/>
          <w:color w:val="222222"/>
          <w:szCs w:val="24"/>
          <w:shd w:val="clear" w:color="auto" w:fill="FFFFFF"/>
        </w:rPr>
        <w:t xml:space="preserve">and the necessitated </w:t>
      </w:r>
      <w:r w:rsidRPr="0071546B">
        <w:rPr>
          <w:rFonts w:ascii="Times" w:hAnsi="Times" w:cs="Arial"/>
          <w:color w:val="222222"/>
          <w:szCs w:val="24"/>
          <w:shd w:val="clear" w:color="auto" w:fill="FFFFFF"/>
        </w:rPr>
        <w:t>has spread aggressively across the country causing unprecedented carnage to the economy, as it has stalled most economic activity. The g</w:t>
      </w:r>
      <w:r w:rsidRPr="0071546B">
        <w:rPr>
          <w:rFonts w:ascii="Times" w:hAnsi="Times"/>
          <w:szCs w:val="24"/>
        </w:rPr>
        <w:t xml:space="preserve">overnment has been forced to make stark choices between protecting lives on the one hand, and livelihoods and the economy on the other. It is in the context of Covid-19 that the SCoA requested a briefing from the Commission on the financial and fiscal implications of the pandemic. The request is also in anticipation of an adjustment budget being presented in the near future. </w:t>
      </w:r>
    </w:p>
    <w:p w14:paraId="12E31343" w14:textId="77777777" w:rsidR="0071546B" w:rsidRPr="0071546B" w:rsidRDefault="0071546B" w:rsidP="0071546B">
      <w:pPr>
        <w:rPr>
          <w:rFonts w:ascii="Times" w:hAnsi="Times"/>
          <w:szCs w:val="24"/>
        </w:rPr>
      </w:pPr>
    </w:p>
    <w:p w14:paraId="2C66BEBE" w14:textId="77777777" w:rsidR="0071546B" w:rsidRPr="0071546B" w:rsidRDefault="0071546B" w:rsidP="0071546B">
      <w:pPr>
        <w:rPr>
          <w:rFonts w:ascii="Times" w:hAnsi="Times"/>
          <w:szCs w:val="24"/>
        </w:rPr>
      </w:pPr>
      <w:r w:rsidRPr="0071546B">
        <w:rPr>
          <w:rFonts w:ascii="Times" w:hAnsi="Times"/>
          <w:szCs w:val="24"/>
        </w:rPr>
        <w:t xml:space="preserve">The submission focused on four thematic areas: </w:t>
      </w:r>
    </w:p>
    <w:p w14:paraId="7CB04AD9" w14:textId="77777777" w:rsidR="0071546B" w:rsidRPr="0071546B" w:rsidRDefault="0071546B" w:rsidP="0071546B">
      <w:pPr>
        <w:numPr>
          <w:ilvl w:val="0"/>
          <w:numId w:val="19"/>
        </w:numPr>
        <w:rPr>
          <w:rFonts w:ascii="Times" w:hAnsi="Times"/>
          <w:color w:val="000000" w:themeColor="text1"/>
        </w:rPr>
      </w:pPr>
      <w:r w:rsidRPr="0071546B">
        <w:rPr>
          <w:rFonts w:ascii="Times" w:hAnsi="Times"/>
          <w:color w:val="000000" w:themeColor="text1"/>
        </w:rPr>
        <w:t>Assessment of macroeconomic and fiscal outlook;</w:t>
      </w:r>
    </w:p>
    <w:p w14:paraId="12346025" w14:textId="77777777" w:rsidR="0071546B" w:rsidRPr="0071546B" w:rsidRDefault="0071546B" w:rsidP="0071546B">
      <w:pPr>
        <w:numPr>
          <w:ilvl w:val="0"/>
          <w:numId w:val="19"/>
        </w:numPr>
        <w:rPr>
          <w:rFonts w:ascii="Times" w:hAnsi="Times"/>
          <w:color w:val="000000" w:themeColor="text1"/>
        </w:rPr>
      </w:pPr>
      <w:r w:rsidRPr="0071546B">
        <w:rPr>
          <w:rFonts w:ascii="Times" w:hAnsi="Times"/>
          <w:color w:val="000000" w:themeColor="text1"/>
        </w:rPr>
        <w:t>Assessment of the revenue and expenditure proposals as contained in the 2020 Budget;</w:t>
      </w:r>
    </w:p>
    <w:p w14:paraId="7E5921E9" w14:textId="77777777" w:rsidR="0071546B" w:rsidRPr="0071546B" w:rsidRDefault="0071546B" w:rsidP="0071546B">
      <w:pPr>
        <w:numPr>
          <w:ilvl w:val="0"/>
          <w:numId w:val="19"/>
        </w:numPr>
        <w:rPr>
          <w:rFonts w:ascii="Times" w:hAnsi="Times"/>
          <w:color w:val="000000" w:themeColor="text1"/>
        </w:rPr>
      </w:pPr>
      <w:r w:rsidRPr="0071546B">
        <w:rPr>
          <w:rFonts w:ascii="Times" w:hAnsi="Times"/>
          <w:color w:val="000000" w:themeColor="text1"/>
        </w:rPr>
        <w:t>Assessment of government’s fiscal and monetary responses to Covid-19 on growth and transformation; and</w:t>
      </w:r>
    </w:p>
    <w:p w14:paraId="3C76E9DF" w14:textId="1F1B3864" w:rsidR="0071546B" w:rsidRPr="0071546B" w:rsidRDefault="0071546B" w:rsidP="0071546B">
      <w:pPr>
        <w:numPr>
          <w:ilvl w:val="0"/>
          <w:numId w:val="19"/>
        </w:numPr>
        <w:rPr>
          <w:rFonts w:ascii="Times" w:hAnsi="Times"/>
          <w:color w:val="000000" w:themeColor="text1"/>
        </w:rPr>
      </w:pPr>
      <w:r w:rsidRPr="0071546B">
        <w:rPr>
          <w:rFonts w:ascii="Times" w:hAnsi="Times"/>
          <w:color w:val="000000" w:themeColor="text1"/>
        </w:rPr>
        <w:t>Reprioritisation for Covid-19 pandemic</w:t>
      </w:r>
      <w:r w:rsidR="00CD11B9" w:rsidRPr="0071546B">
        <w:rPr>
          <w:rFonts w:ascii="Times" w:hAnsi="Times"/>
          <w:color w:val="000000" w:themeColor="text1"/>
        </w:rPr>
        <w:t>.</w:t>
      </w:r>
    </w:p>
    <w:p w14:paraId="38F6DE2A" w14:textId="5216A3A4" w:rsidR="0071546B" w:rsidRPr="0071546B" w:rsidRDefault="0071546B" w:rsidP="0071546B">
      <w:pPr>
        <w:rPr>
          <w:rFonts w:ascii="Times" w:hAnsi="Times"/>
          <w:szCs w:val="24"/>
        </w:rPr>
      </w:pPr>
      <w:r w:rsidRPr="0071546B">
        <w:rPr>
          <w:rFonts w:ascii="Times" w:hAnsi="Times"/>
          <w:szCs w:val="24"/>
        </w:rPr>
        <w:t>On the macroeconomic and fiscal out</w:t>
      </w:r>
      <w:r w:rsidR="00CD11B9">
        <w:rPr>
          <w:rFonts w:ascii="Times" w:hAnsi="Times"/>
          <w:szCs w:val="24"/>
        </w:rPr>
        <w:t>look, the Commission underscores</w:t>
      </w:r>
      <w:r w:rsidRPr="0071546B">
        <w:rPr>
          <w:rFonts w:ascii="Times" w:hAnsi="Times"/>
          <w:szCs w:val="24"/>
        </w:rPr>
        <w:t xml:space="preserve"> the importance of ramping up public health expenditure to cope with the surging need for health services and to slow the spread of the virus. Macroeconomic policy, especially in the context of Covid-19, should curb economic losses, safeguard the most vulnerable groups, and ensure a rapid economic growth rebound as the pandemic fades. Policy should target measures that ease business and household liquidity restrictions. At a more pragmatic level, policy should first focus on reprioritising public sector functions by reorganising the state through restructuring programmes found to have irregularities, fraud and corruption, tackling inefficiencies in essential services delivery, reviewing and rationalising non-essential public service functions, and diverting resources to essential services. Macroeconomic policy should also </w:t>
      </w:r>
      <w:r w:rsidR="00CD11B9">
        <w:rPr>
          <w:rFonts w:ascii="Times" w:hAnsi="Times"/>
          <w:szCs w:val="24"/>
        </w:rPr>
        <w:t xml:space="preserve">begin to </w:t>
      </w:r>
      <w:r w:rsidRPr="0071546B">
        <w:rPr>
          <w:rFonts w:ascii="Times" w:hAnsi="Times"/>
          <w:szCs w:val="24"/>
        </w:rPr>
        <w:t xml:space="preserve">reprioritise economic development by reorganising market industries and market productivity by reorganising incentives. </w:t>
      </w:r>
    </w:p>
    <w:p w14:paraId="71B5B60A" w14:textId="77777777" w:rsidR="0071546B" w:rsidRPr="0071546B" w:rsidRDefault="0071546B" w:rsidP="0071546B">
      <w:pPr>
        <w:rPr>
          <w:rFonts w:ascii="Times" w:hAnsi="Times"/>
          <w:szCs w:val="24"/>
        </w:rPr>
      </w:pPr>
      <w:r w:rsidRPr="0071546B">
        <w:rPr>
          <w:rFonts w:ascii="Times" w:hAnsi="Times"/>
          <w:szCs w:val="24"/>
        </w:rPr>
        <w:t xml:space="preserve"> </w:t>
      </w:r>
    </w:p>
    <w:p w14:paraId="63159418" w14:textId="77777777" w:rsidR="0071546B" w:rsidRPr="0071546B" w:rsidRDefault="0071546B" w:rsidP="0071546B">
      <w:pPr>
        <w:rPr>
          <w:rFonts w:ascii="Times" w:hAnsi="Times"/>
          <w:szCs w:val="24"/>
        </w:rPr>
      </w:pPr>
      <w:r w:rsidRPr="0071546B">
        <w:rPr>
          <w:rFonts w:ascii="Times" w:hAnsi="Times"/>
          <w:szCs w:val="24"/>
        </w:rPr>
        <w:t>Regarding revenue and expenditure proposals as contained in the 2020 Budget, the Commission underscores the following key points:</w:t>
      </w:r>
    </w:p>
    <w:p w14:paraId="4DDF3D4D" w14:textId="77777777" w:rsidR="0071546B" w:rsidRPr="0071546B" w:rsidRDefault="0071546B" w:rsidP="0071546B">
      <w:pPr>
        <w:numPr>
          <w:ilvl w:val="0"/>
          <w:numId w:val="19"/>
        </w:numPr>
        <w:ind w:left="567" w:hanging="578"/>
        <w:rPr>
          <w:rFonts w:ascii="Times" w:hAnsi="Times"/>
          <w:color w:val="000000" w:themeColor="text1"/>
        </w:rPr>
      </w:pPr>
      <w:r w:rsidRPr="0071546B">
        <w:rPr>
          <w:rFonts w:ascii="Times" w:hAnsi="Times"/>
          <w:color w:val="000000" w:themeColor="text1"/>
        </w:rPr>
        <w:t>From a functional perspective, the Commission notes the shift from a purely “social sector” focus over the 2016/17 to 2019/20 period to greater emphasis on economic development, community development and social development over the next three years. The Commission welcomes this approach as it will ensure a combination of financing to ensure on the one hand, provision of a safety net to the poor (social security grants and basic services) alongside interventions to grow the economy;</w:t>
      </w:r>
    </w:p>
    <w:p w14:paraId="083F91FC" w14:textId="77777777" w:rsidR="0071546B" w:rsidRPr="0071546B" w:rsidRDefault="0071546B" w:rsidP="0071546B">
      <w:pPr>
        <w:numPr>
          <w:ilvl w:val="0"/>
          <w:numId w:val="19"/>
        </w:numPr>
        <w:ind w:left="567" w:hanging="578"/>
        <w:rPr>
          <w:rFonts w:ascii="Times" w:hAnsi="Times"/>
          <w:color w:val="000000" w:themeColor="text1"/>
        </w:rPr>
      </w:pPr>
      <w:r w:rsidRPr="0071546B">
        <w:rPr>
          <w:rFonts w:ascii="Times" w:hAnsi="Times"/>
          <w:color w:val="000000" w:themeColor="text1"/>
        </w:rPr>
        <w:t>The rapid growth in debt service costs outstrips and crowds out spending on all aspects of government service delivery programmes. Projections indicate that by the end of the 2020 MTEF period, spending on debt service costs will exceed spending on health and community development;</w:t>
      </w:r>
    </w:p>
    <w:p w14:paraId="09D03051" w14:textId="511932A7" w:rsidR="0071546B" w:rsidRPr="0071546B" w:rsidRDefault="0071546B" w:rsidP="0071546B">
      <w:pPr>
        <w:numPr>
          <w:ilvl w:val="0"/>
          <w:numId w:val="19"/>
        </w:numPr>
        <w:ind w:left="567" w:hanging="578"/>
        <w:rPr>
          <w:rFonts w:ascii="Times" w:hAnsi="Times"/>
          <w:color w:val="000000" w:themeColor="text1"/>
        </w:rPr>
      </w:pPr>
      <w:r w:rsidRPr="0071546B">
        <w:rPr>
          <w:rFonts w:ascii="Times" w:hAnsi="Times"/>
          <w:color w:val="000000" w:themeColor="text1"/>
        </w:rPr>
        <w:t>The assessment of spending by economic classification highlights government’s attempts to rein in spending o</w:t>
      </w:r>
      <w:r w:rsidR="0050294E">
        <w:rPr>
          <w:rFonts w:ascii="Times" w:hAnsi="Times"/>
          <w:color w:val="000000" w:themeColor="text1"/>
        </w:rPr>
        <w:t>n personnel while at the same time</w:t>
      </w:r>
      <w:r w:rsidRPr="0071546B">
        <w:rPr>
          <w:rFonts w:ascii="Times" w:hAnsi="Times"/>
          <w:color w:val="000000" w:themeColor="text1"/>
        </w:rPr>
        <w:t xml:space="preserve"> </w:t>
      </w:r>
      <w:r w:rsidR="0050294E">
        <w:rPr>
          <w:rFonts w:ascii="Times" w:hAnsi="Times"/>
          <w:color w:val="000000" w:themeColor="text1"/>
        </w:rPr>
        <w:t>increasing</w:t>
      </w:r>
      <w:r w:rsidRPr="0071546B">
        <w:rPr>
          <w:rFonts w:ascii="Times" w:hAnsi="Times"/>
          <w:color w:val="000000" w:themeColor="text1"/>
        </w:rPr>
        <w:t xml:space="preserve"> spending on capital. However the extent to which reductions in the wage bill can be effected and, if achieved, the effect it will have, especially within personnel intensive provincial departments like education and health, caused the Commission to raise the wage bill as a key risk within the 2020 Budget. In addition the Commission also raised the issue of fairness in terms of placing the burden of achieving consolidation solely on public servants;</w:t>
      </w:r>
    </w:p>
    <w:p w14:paraId="12DA36A5" w14:textId="5678891F" w:rsidR="0071546B" w:rsidRPr="0071546B" w:rsidRDefault="0071546B" w:rsidP="0071546B">
      <w:pPr>
        <w:numPr>
          <w:ilvl w:val="0"/>
          <w:numId w:val="19"/>
        </w:numPr>
        <w:ind w:left="567" w:hanging="578"/>
        <w:rPr>
          <w:rFonts w:ascii="Times" w:hAnsi="Times"/>
          <w:color w:val="000000" w:themeColor="text1"/>
        </w:rPr>
      </w:pPr>
      <w:r w:rsidRPr="0071546B">
        <w:rPr>
          <w:rFonts w:ascii="Times" w:hAnsi="Times"/>
          <w:color w:val="000000" w:themeColor="text1"/>
        </w:rPr>
        <w:t xml:space="preserve">The analysis by vote highlights that there are certain votes which over the period reviewed can be categorised into those that are relatively protected versus those that seem to be under pressure (reductions). The current strained economic environment calls for careful prioritisation to ensure that all resources, big or small, are allocated in the best possible way. </w:t>
      </w:r>
    </w:p>
    <w:p w14:paraId="586F19A7" w14:textId="77777777" w:rsidR="0071546B" w:rsidRPr="0071546B" w:rsidRDefault="0071546B" w:rsidP="0071546B">
      <w:pPr>
        <w:rPr>
          <w:rFonts w:ascii="Times" w:hAnsi="Times"/>
          <w:szCs w:val="24"/>
        </w:rPr>
      </w:pPr>
    </w:p>
    <w:p w14:paraId="393800F9" w14:textId="3A92B0C7" w:rsidR="0071546B" w:rsidRPr="0071546B" w:rsidRDefault="0071546B" w:rsidP="0071546B">
      <w:pPr>
        <w:rPr>
          <w:szCs w:val="24"/>
        </w:rPr>
      </w:pPr>
      <w:r w:rsidRPr="0071546B">
        <w:rPr>
          <w:szCs w:val="24"/>
        </w:rPr>
        <w:t xml:space="preserve">On government’s fiscal and monetary responses to Covid-19, the Commission commends government for launching a formidable intervention programme (10% of GDP), and a programme that protects life, livelihoods and the economy. Although </w:t>
      </w:r>
      <w:r w:rsidRPr="0071546B">
        <w:t xml:space="preserve">the gamut of government’s fiscal and monetary response package can be classified as “gap filling” or relief rather than stimulus, the </w:t>
      </w:r>
      <w:r w:rsidRPr="0071546B">
        <w:rPr>
          <w:szCs w:val="24"/>
        </w:rPr>
        <w:t>Commission commends the immediate response by government to cushion businesses and households from the i</w:t>
      </w:r>
      <w:r w:rsidR="003B0339">
        <w:rPr>
          <w:szCs w:val="24"/>
        </w:rPr>
        <w:t>mpact of the lockdown. T</w:t>
      </w:r>
      <w:r w:rsidRPr="0071546B">
        <w:rPr>
          <w:szCs w:val="24"/>
        </w:rPr>
        <w:t xml:space="preserve">he </w:t>
      </w:r>
      <w:r w:rsidR="003B0339">
        <w:rPr>
          <w:szCs w:val="24"/>
        </w:rPr>
        <w:t>Commission would like to underscore the following key points</w:t>
      </w:r>
      <w:r w:rsidRPr="0071546B">
        <w:rPr>
          <w:szCs w:val="24"/>
        </w:rPr>
        <w:t xml:space="preserve">: </w:t>
      </w:r>
    </w:p>
    <w:p w14:paraId="3683EC7C" w14:textId="77777777" w:rsidR="0060042E" w:rsidRDefault="0071546B" w:rsidP="0060042E">
      <w:pPr>
        <w:numPr>
          <w:ilvl w:val="0"/>
          <w:numId w:val="26"/>
        </w:numPr>
        <w:ind w:left="567" w:hanging="567"/>
        <w:rPr>
          <w:rFonts w:ascii="Times" w:hAnsi="Times"/>
          <w:szCs w:val="24"/>
          <w:lang w:val="en-GB"/>
        </w:rPr>
      </w:pPr>
      <w:r w:rsidRPr="0071546B">
        <w:rPr>
          <w:rFonts w:ascii="Times" w:hAnsi="Times"/>
          <w:szCs w:val="24"/>
        </w:rPr>
        <w:t xml:space="preserve">The Commission is of the view that government’s fiscal and monetary responses are targeted at policy areas proven to reduce economic distress. The scale of certain programmes need to be increased for maximum impact. </w:t>
      </w:r>
      <w:r w:rsidR="003B0339">
        <w:rPr>
          <w:rFonts w:ascii="Times" w:hAnsi="Times"/>
          <w:szCs w:val="24"/>
        </w:rPr>
        <w:t>The health sector which is reeling under immense pressure due to Covid-19 and it is therefore crucial that support for this sector is informed by proper costing for maximum impact.</w:t>
      </w:r>
    </w:p>
    <w:p w14:paraId="31189338" w14:textId="2CCE4C19" w:rsidR="0071546B" w:rsidRPr="0060042E" w:rsidRDefault="008D7F61" w:rsidP="0071546B">
      <w:pPr>
        <w:numPr>
          <w:ilvl w:val="0"/>
          <w:numId w:val="19"/>
        </w:numPr>
        <w:ind w:left="567" w:hanging="567"/>
        <w:rPr>
          <w:rFonts w:ascii="Times" w:hAnsi="Times"/>
          <w:color w:val="000000" w:themeColor="text1"/>
          <w:lang w:val="en-GB" w:eastAsia="en-GB"/>
        </w:rPr>
      </w:pPr>
      <w:r>
        <w:rPr>
          <w:rFonts w:ascii="Times" w:hAnsi="Times"/>
          <w:color w:val="000000" w:themeColor="text1"/>
        </w:rPr>
        <w:t>Only R95 billion</w:t>
      </w:r>
      <w:r w:rsidR="003B0339">
        <w:rPr>
          <w:rFonts w:ascii="Times" w:hAnsi="Times"/>
          <w:color w:val="000000" w:themeColor="text1"/>
        </w:rPr>
        <w:t xml:space="preserve"> could be considered </w:t>
      </w:r>
      <w:r w:rsidR="0071546B" w:rsidRPr="0071546B">
        <w:rPr>
          <w:rFonts w:ascii="Times" w:hAnsi="Times"/>
          <w:color w:val="000000" w:themeColor="text1"/>
        </w:rPr>
        <w:t xml:space="preserve">a fiscal stimulus. This means that the Covid-19 stimulus falls far short of the expected </w:t>
      </w:r>
      <w:r w:rsidR="0050294E">
        <w:rPr>
          <w:rFonts w:ascii="Times" w:hAnsi="Times"/>
          <w:color w:val="000000" w:themeColor="text1"/>
        </w:rPr>
        <w:t xml:space="preserve">positive </w:t>
      </w:r>
      <w:r w:rsidR="0071546B" w:rsidRPr="0071546B">
        <w:rPr>
          <w:rFonts w:ascii="Times" w:hAnsi="Times"/>
          <w:color w:val="000000" w:themeColor="text1"/>
        </w:rPr>
        <w:t xml:space="preserve">shock </w:t>
      </w:r>
      <w:r w:rsidR="0050294E">
        <w:rPr>
          <w:rFonts w:ascii="Times" w:hAnsi="Times"/>
          <w:color w:val="000000" w:themeColor="text1"/>
        </w:rPr>
        <w:t>for</w:t>
      </w:r>
      <w:r w:rsidR="0071546B" w:rsidRPr="0071546B">
        <w:rPr>
          <w:rFonts w:ascii="Times" w:hAnsi="Times"/>
          <w:color w:val="000000" w:themeColor="text1"/>
        </w:rPr>
        <w:t xml:space="preserve"> the economy.  GDP growth in </w:t>
      </w:r>
      <w:r w:rsidR="003B0339" w:rsidRPr="0071546B">
        <w:rPr>
          <w:rFonts w:ascii="Times" w:hAnsi="Times"/>
          <w:color w:val="000000" w:themeColor="text1"/>
        </w:rPr>
        <w:t>2020 will</w:t>
      </w:r>
      <w:r w:rsidR="0071546B" w:rsidRPr="0071546B">
        <w:rPr>
          <w:rFonts w:ascii="Times" w:hAnsi="Times"/>
          <w:color w:val="000000" w:themeColor="text1"/>
        </w:rPr>
        <w:t xml:space="preserve"> contract significantly (between -5.4 per cent to -20.4 per cent). Fiscal and monetary support must therefore be commensurate with the magnitude of the forecasted economic contraction.  </w:t>
      </w:r>
      <w:r w:rsidR="0071546B" w:rsidRPr="0071546B">
        <w:rPr>
          <w:rFonts w:ascii="Times" w:hAnsi="Times"/>
          <w:color w:val="000000" w:themeColor="text1"/>
          <w:kern w:val="24"/>
          <w:lang w:eastAsia="en-GB"/>
        </w:rPr>
        <w:t xml:space="preserve">The R95 billion earmarked for business support, job creation and protection is not adequate given the scale of projected job losses. </w:t>
      </w:r>
      <w:r w:rsidR="0071546B" w:rsidRPr="0071546B">
        <w:rPr>
          <w:rFonts w:ascii="Times" w:hAnsi="Times"/>
          <w:color w:val="000000" w:themeColor="text1"/>
        </w:rPr>
        <w:t>The projected employment losses</w:t>
      </w:r>
      <w:r w:rsidR="00A5021B">
        <w:rPr>
          <w:rStyle w:val="FootnoteReference"/>
          <w:rFonts w:ascii="Times" w:hAnsi="Times"/>
          <w:color w:val="000000" w:themeColor="text1"/>
        </w:rPr>
        <w:footnoteReference w:id="11"/>
      </w:r>
      <w:r w:rsidR="0071546B" w:rsidRPr="0071546B">
        <w:rPr>
          <w:rFonts w:ascii="Times" w:hAnsi="Times"/>
          <w:color w:val="000000" w:themeColor="text1"/>
        </w:rPr>
        <w:t xml:space="preserve"> suggest that the social security package may be insufficient to deal with the magnitude of the crisis. </w:t>
      </w:r>
      <w:r w:rsidR="0071546B" w:rsidRPr="0071546B">
        <w:rPr>
          <w:rFonts w:ascii="Times" w:hAnsi="Times"/>
          <w:color w:val="000000" w:themeColor="text1"/>
          <w:kern w:val="24"/>
          <w:lang w:eastAsia="en-GB"/>
        </w:rPr>
        <w:t xml:space="preserve">During the pre-COVID-19, the </w:t>
      </w:r>
      <w:r w:rsidR="003B0339">
        <w:rPr>
          <w:rFonts w:ascii="Times" w:hAnsi="Times"/>
          <w:color w:val="000000" w:themeColor="text1"/>
          <w:kern w:val="24"/>
          <w:lang w:eastAsia="en-GB"/>
        </w:rPr>
        <w:t xml:space="preserve">economy was already plagued </w:t>
      </w:r>
      <w:r w:rsidR="0060042E">
        <w:rPr>
          <w:rFonts w:ascii="Times" w:hAnsi="Times"/>
          <w:color w:val="000000" w:themeColor="text1"/>
          <w:kern w:val="24"/>
          <w:lang w:eastAsia="en-GB"/>
        </w:rPr>
        <w:t xml:space="preserve">by </w:t>
      </w:r>
      <w:r w:rsidR="0060042E" w:rsidRPr="0071546B">
        <w:rPr>
          <w:rFonts w:ascii="Times" w:hAnsi="Times"/>
          <w:color w:val="000000" w:themeColor="text1"/>
          <w:kern w:val="24"/>
          <w:lang w:eastAsia="en-GB"/>
        </w:rPr>
        <w:t>very</w:t>
      </w:r>
      <w:r w:rsidR="003B0339" w:rsidRPr="0071546B">
        <w:rPr>
          <w:rFonts w:ascii="Times" w:hAnsi="Times"/>
          <w:color w:val="000000" w:themeColor="text1"/>
          <w:kern w:val="24"/>
          <w:lang w:eastAsia="en-GB"/>
        </w:rPr>
        <w:t xml:space="preserve"> high</w:t>
      </w:r>
      <w:r w:rsidR="0071546B" w:rsidRPr="0071546B">
        <w:rPr>
          <w:rFonts w:ascii="Times" w:hAnsi="Times"/>
          <w:color w:val="000000" w:themeColor="text1"/>
          <w:kern w:val="24"/>
          <w:lang w:eastAsia="en-GB"/>
        </w:rPr>
        <w:t xml:space="preserve"> unemployment rate</w:t>
      </w:r>
      <w:r w:rsidR="003B0339">
        <w:rPr>
          <w:rFonts w:ascii="Times" w:hAnsi="Times"/>
          <w:color w:val="000000" w:themeColor="text1"/>
          <w:kern w:val="24"/>
          <w:lang w:eastAsia="en-GB"/>
        </w:rPr>
        <w:t>s</w:t>
      </w:r>
      <w:r w:rsidR="0071546B" w:rsidRPr="0071546B">
        <w:rPr>
          <w:rFonts w:ascii="Times" w:hAnsi="Times"/>
          <w:color w:val="000000" w:themeColor="text1"/>
          <w:kern w:val="24"/>
          <w:lang w:eastAsia="en-GB"/>
        </w:rPr>
        <w:t xml:space="preserve"> with more than half (56.4 per cent) of young </w:t>
      </w:r>
      <w:r w:rsidR="003B0339" w:rsidRPr="0071546B">
        <w:rPr>
          <w:rFonts w:ascii="Times" w:hAnsi="Times"/>
          <w:color w:val="000000" w:themeColor="text1"/>
          <w:kern w:val="24"/>
          <w:lang w:eastAsia="en-GB"/>
        </w:rPr>
        <w:t>people aged</w:t>
      </w:r>
      <w:r w:rsidR="0071546B" w:rsidRPr="0071546B">
        <w:rPr>
          <w:rFonts w:ascii="Times" w:hAnsi="Times"/>
          <w:color w:val="000000" w:themeColor="text1"/>
          <w:kern w:val="24"/>
          <w:lang w:eastAsia="en-GB"/>
        </w:rPr>
        <w:t xml:space="preserve"> 15-24 years jobless.</w:t>
      </w:r>
      <w:r w:rsidR="0071546B" w:rsidRPr="0071546B">
        <w:rPr>
          <w:rFonts w:ascii="Times" w:hAnsi="Times"/>
          <w:color w:val="000000" w:themeColor="text1"/>
        </w:rPr>
        <w:t xml:space="preserve"> </w:t>
      </w:r>
    </w:p>
    <w:p w14:paraId="0EA799AB" w14:textId="77777777" w:rsidR="0060042E" w:rsidRDefault="0060042E" w:rsidP="0060042E">
      <w:pPr>
        <w:numPr>
          <w:ilvl w:val="0"/>
          <w:numId w:val="19"/>
        </w:numPr>
        <w:rPr>
          <w:rFonts w:ascii="Times" w:hAnsi="Times"/>
          <w:szCs w:val="24"/>
          <w:lang w:val="en-GB"/>
        </w:rPr>
      </w:pPr>
      <w:r w:rsidRPr="0071546B">
        <w:rPr>
          <w:rFonts w:ascii="Times" w:hAnsi="Times"/>
          <w:color w:val="000000" w:themeColor="text1"/>
        </w:rPr>
        <w:t>It is imperative that both the fiscal and monetary responses comply with revenue sharing principles outlined in section 214 a-j of the Constitution – particularly, in respect to equity. The fiscal and monetary response must be distributed equitably across the sub national governments and business sector. In this regard, the Commission recommends that the health and municipal allocations, in particular, should be distributed equitably across provinces and municipalities, using either the respective equitable share formulae or temporary conditional grant allocations on the basis of Covid-19 case load.</w:t>
      </w:r>
    </w:p>
    <w:p w14:paraId="1174C659" w14:textId="3143DFD6" w:rsidR="0060042E" w:rsidRDefault="0060042E" w:rsidP="0060042E">
      <w:pPr>
        <w:numPr>
          <w:ilvl w:val="0"/>
          <w:numId w:val="19"/>
        </w:numPr>
        <w:rPr>
          <w:rFonts w:ascii="Times" w:hAnsi="Times"/>
          <w:szCs w:val="24"/>
          <w:lang w:val="en-GB"/>
        </w:rPr>
      </w:pPr>
      <w:r w:rsidRPr="0060042E">
        <w:rPr>
          <w:rFonts w:ascii="Times" w:hAnsi="Times"/>
          <w:color w:val="000000" w:themeColor="text1"/>
        </w:rPr>
        <w:t>The</w:t>
      </w:r>
      <w:r w:rsidRPr="0071546B">
        <w:rPr>
          <w:rFonts w:ascii="Times" w:hAnsi="Times"/>
          <w:color w:val="000000" w:themeColor="text1"/>
        </w:rPr>
        <w:t xml:space="preserve"> Commission believes that government should consider its total balance sheet in supporting an economy that is on the brink of collapsing. Assets on the national balance sheet include the Public Investment Corporation (PIC), Government Employees Pension Fund (GEPF), Unemployment Insurance Fund (UIF), the National Revenue Fund, and SARB foreign exchange reserves</w:t>
      </w:r>
      <w:r>
        <w:rPr>
          <w:rFonts w:ascii="Times" w:hAnsi="Times"/>
          <w:color w:val="000000" w:themeColor="text1"/>
        </w:rPr>
        <w:t xml:space="preserve">. </w:t>
      </w:r>
    </w:p>
    <w:p w14:paraId="16D4862A" w14:textId="42AD67D2" w:rsidR="0071546B" w:rsidRPr="0071546B" w:rsidRDefault="0071546B" w:rsidP="0060042E">
      <w:pPr>
        <w:numPr>
          <w:ilvl w:val="0"/>
          <w:numId w:val="19"/>
        </w:numPr>
        <w:rPr>
          <w:rFonts w:ascii="Times" w:hAnsi="Times"/>
          <w:szCs w:val="24"/>
          <w:lang w:val="en-GB"/>
        </w:rPr>
      </w:pPr>
      <w:r w:rsidRPr="0071546B">
        <w:rPr>
          <w:rFonts w:ascii="Times" w:hAnsi="Times"/>
          <w:color w:val="000000" w:themeColor="text1"/>
          <w:szCs w:val="24"/>
        </w:rPr>
        <w:t>The Commission is of the view that a</w:t>
      </w:r>
      <w:r w:rsidRPr="0071546B">
        <w:rPr>
          <w:rFonts w:ascii="Times" w:hAnsi="Times"/>
          <w:color w:val="000000" w:themeColor="text1"/>
        </w:rPr>
        <w:t xml:space="preserve"> more aggressive bond purchase programme by SARB is feasible and warranted as it would substantially strengthen the liquidity in the markets. </w:t>
      </w:r>
    </w:p>
    <w:p w14:paraId="6DB479A5" w14:textId="77777777" w:rsidR="0071546B" w:rsidRPr="0071546B" w:rsidRDefault="0071546B" w:rsidP="0071546B"/>
    <w:p w14:paraId="3FABA82D" w14:textId="1516748B" w:rsidR="0071546B" w:rsidRPr="0071546B" w:rsidRDefault="0071546B" w:rsidP="0071546B">
      <w:pPr>
        <w:rPr>
          <w:rFonts w:eastAsiaTheme="minorEastAsia"/>
          <w:lang w:eastAsia="en-GB"/>
        </w:rPr>
      </w:pPr>
      <w:r w:rsidRPr="0071546B">
        <w:t>The</w:t>
      </w:r>
      <w:r w:rsidR="00357CF2">
        <w:t xml:space="preserve"> Commission further implores</w:t>
      </w:r>
      <w:r w:rsidRPr="0071546B">
        <w:t xml:space="preserve"> government to start planning for the post Co</w:t>
      </w:r>
      <w:r w:rsidR="0050294E">
        <w:t>vid-19 recovery phase, as it will</w:t>
      </w:r>
      <w:r w:rsidRPr="0071546B">
        <w:t xml:space="preserve"> be required to implement </w:t>
      </w:r>
      <w:r w:rsidR="00357CF2">
        <w:t xml:space="preserve">a </w:t>
      </w:r>
      <w:r w:rsidRPr="0071546B">
        <w:t>fiscal stimulus package to boost consumption and investment. The expectation is that the fiscal space will be limited to stimulate the economy and get a V-shaped recovery. In the absence of a fiscal space for a robust fiscal and monetary stimulus the government will need to focus more on structural transformation by improving education completion rates and outcomes, reskilling the unemployed, reorienting higher education towards digital skills, strengthening manufacturing capabilities. Additional reform measures should include the following</w:t>
      </w:r>
      <w:r w:rsidRPr="0071546B">
        <w:rPr>
          <w:rFonts w:eastAsiaTheme="minorEastAsia"/>
          <w:lang w:eastAsia="en-GB"/>
        </w:rPr>
        <w:t xml:space="preserve">: </w:t>
      </w:r>
    </w:p>
    <w:p w14:paraId="375F9C4B" w14:textId="77777777" w:rsidR="0071546B" w:rsidRPr="0071546B" w:rsidRDefault="0071546B" w:rsidP="0071546B">
      <w:pPr>
        <w:numPr>
          <w:ilvl w:val="0"/>
          <w:numId w:val="24"/>
        </w:numPr>
        <w:tabs>
          <w:tab w:val="num" w:pos="720"/>
        </w:tabs>
        <w:ind w:left="567" w:hanging="567"/>
        <w:rPr>
          <w:rFonts w:ascii="Times" w:hAnsi="Times"/>
          <w:color w:val="000000" w:themeColor="text1"/>
        </w:rPr>
      </w:pPr>
      <w:r w:rsidRPr="0071546B">
        <w:rPr>
          <w:rFonts w:ascii="Times" w:hAnsi="Times"/>
          <w:color w:val="000000" w:themeColor="text1"/>
        </w:rPr>
        <w:t>Fighting corruption and improving governance;</w:t>
      </w:r>
    </w:p>
    <w:p w14:paraId="69FBA9D5" w14:textId="77777777" w:rsidR="0071546B" w:rsidRPr="0071546B" w:rsidRDefault="0071546B" w:rsidP="0071546B">
      <w:pPr>
        <w:numPr>
          <w:ilvl w:val="0"/>
          <w:numId w:val="24"/>
        </w:numPr>
        <w:tabs>
          <w:tab w:val="num" w:pos="720"/>
        </w:tabs>
        <w:ind w:left="567" w:hanging="567"/>
        <w:rPr>
          <w:rFonts w:ascii="Times" w:hAnsi="Times"/>
          <w:color w:val="000000" w:themeColor="text1"/>
        </w:rPr>
      </w:pPr>
      <w:r w:rsidRPr="0071546B">
        <w:rPr>
          <w:rFonts w:ascii="Times" w:hAnsi="Times"/>
          <w:color w:val="000000" w:themeColor="text1"/>
        </w:rPr>
        <w:t>Limiting tertiary education subsidies to only poor households;</w:t>
      </w:r>
    </w:p>
    <w:p w14:paraId="76AF403E" w14:textId="77777777" w:rsidR="0071546B" w:rsidRPr="0071546B" w:rsidRDefault="0071546B" w:rsidP="0071546B">
      <w:pPr>
        <w:numPr>
          <w:ilvl w:val="0"/>
          <w:numId w:val="24"/>
        </w:numPr>
        <w:tabs>
          <w:tab w:val="num" w:pos="720"/>
        </w:tabs>
        <w:ind w:left="567" w:hanging="567"/>
        <w:rPr>
          <w:rFonts w:ascii="Times" w:hAnsi="Times"/>
          <w:color w:val="000000" w:themeColor="text1"/>
        </w:rPr>
      </w:pPr>
      <w:r w:rsidRPr="0071546B">
        <w:rPr>
          <w:rFonts w:ascii="Times" w:hAnsi="Times"/>
          <w:color w:val="000000" w:themeColor="text1"/>
        </w:rPr>
        <w:t>Reducing high levels of concentration in the economy;</w:t>
      </w:r>
    </w:p>
    <w:p w14:paraId="3C4091FF" w14:textId="77777777" w:rsidR="0071546B" w:rsidRPr="0071546B" w:rsidRDefault="0071546B" w:rsidP="0071546B">
      <w:pPr>
        <w:numPr>
          <w:ilvl w:val="0"/>
          <w:numId w:val="24"/>
        </w:numPr>
        <w:tabs>
          <w:tab w:val="num" w:pos="720"/>
        </w:tabs>
        <w:ind w:left="567" w:hanging="567"/>
        <w:rPr>
          <w:rFonts w:ascii="Times" w:hAnsi="Times"/>
          <w:b/>
          <w:bCs/>
          <w:color w:val="000000" w:themeColor="text1"/>
          <w:szCs w:val="24"/>
        </w:rPr>
      </w:pPr>
      <w:r w:rsidRPr="0071546B">
        <w:rPr>
          <w:rFonts w:ascii="Times" w:hAnsi="Times"/>
          <w:color w:val="000000" w:themeColor="text1"/>
        </w:rPr>
        <w:t xml:space="preserve">Improving land reform and agriculture for food security; </w:t>
      </w:r>
    </w:p>
    <w:p w14:paraId="142DA6B3" w14:textId="77777777" w:rsidR="0071546B" w:rsidRPr="0071546B" w:rsidRDefault="0071546B" w:rsidP="0071546B">
      <w:pPr>
        <w:numPr>
          <w:ilvl w:val="0"/>
          <w:numId w:val="24"/>
        </w:numPr>
        <w:tabs>
          <w:tab w:val="num" w:pos="720"/>
        </w:tabs>
        <w:ind w:left="567" w:hanging="567"/>
        <w:rPr>
          <w:rFonts w:ascii="Times" w:hAnsi="Times"/>
          <w:b/>
          <w:bCs/>
          <w:color w:val="000000" w:themeColor="text1"/>
          <w:szCs w:val="24"/>
        </w:rPr>
      </w:pPr>
      <w:r w:rsidRPr="0071546B">
        <w:rPr>
          <w:rFonts w:ascii="Times" w:hAnsi="Times"/>
          <w:color w:val="000000" w:themeColor="text1"/>
        </w:rPr>
        <w:t xml:space="preserve">Reducing the cost of broadband and assignment of high-demand spectrum; </w:t>
      </w:r>
    </w:p>
    <w:p w14:paraId="3660EA4F" w14:textId="3BF7EF6F" w:rsidR="0071546B" w:rsidRPr="0071546B" w:rsidRDefault="0071546B" w:rsidP="0071546B">
      <w:pPr>
        <w:numPr>
          <w:ilvl w:val="0"/>
          <w:numId w:val="24"/>
        </w:numPr>
        <w:tabs>
          <w:tab w:val="num" w:pos="720"/>
        </w:tabs>
        <w:ind w:left="567" w:hanging="567"/>
        <w:rPr>
          <w:rFonts w:ascii="Times" w:hAnsi="Times"/>
          <w:b/>
          <w:bCs/>
          <w:color w:val="000000" w:themeColor="text1"/>
          <w:szCs w:val="24"/>
        </w:rPr>
      </w:pPr>
      <w:r w:rsidRPr="0071546B">
        <w:rPr>
          <w:rFonts w:ascii="Times" w:hAnsi="Times"/>
          <w:color w:val="000000" w:themeColor="text1"/>
        </w:rPr>
        <w:t xml:space="preserve">Strengthening </w:t>
      </w:r>
      <w:r w:rsidR="00B50984">
        <w:rPr>
          <w:rFonts w:ascii="Times" w:hAnsi="Times"/>
          <w:color w:val="000000" w:themeColor="text1"/>
        </w:rPr>
        <w:t xml:space="preserve">the </w:t>
      </w:r>
      <w:r w:rsidRPr="0071546B">
        <w:rPr>
          <w:rFonts w:ascii="Times" w:hAnsi="Times"/>
          <w:color w:val="000000" w:themeColor="text1"/>
        </w:rPr>
        <w:t>capacity of State</w:t>
      </w:r>
      <w:r w:rsidR="00B50984">
        <w:rPr>
          <w:rFonts w:ascii="Times" w:hAnsi="Times"/>
          <w:color w:val="000000" w:themeColor="text1"/>
        </w:rPr>
        <w:t xml:space="preserve"> (efficiencies</w:t>
      </w:r>
      <w:r w:rsidR="0050294E">
        <w:rPr>
          <w:rFonts w:ascii="Times" w:hAnsi="Times"/>
          <w:color w:val="000000" w:themeColor="text1"/>
        </w:rPr>
        <w:t>)</w:t>
      </w:r>
      <w:r w:rsidRPr="0071546B">
        <w:rPr>
          <w:rFonts w:ascii="Times" w:hAnsi="Times"/>
          <w:color w:val="000000" w:themeColor="text1"/>
        </w:rPr>
        <w:t xml:space="preserve">; </w:t>
      </w:r>
    </w:p>
    <w:p w14:paraId="3F09A4E7" w14:textId="3360C2AD" w:rsidR="0071546B" w:rsidRPr="0071546B" w:rsidRDefault="0071546B" w:rsidP="0071546B">
      <w:pPr>
        <w:numPr>
          <w:ilvl w:val="0"/>
          <w:numId w:val="24"/>
        </w:numPr>
        <w:tabs>
          <w:tab w:val="num" w:pos="720"/>
        </w:tabs>
        <w:ind w:left="567" w:hanging="567"/>
        <w:rPr>
          <w:rFonts w:ascii="Times" w:hAnsi="Times"/>
          <w:b/>
          <w:bCs/>
          <w:color w:val="000000" w:themeColor="text1"/>
          <w:szCs w:val="24"/>
        </w:rPr>
      </w:pPr>
      <w:r w:rsidRPr="0071546B">
        <w:rPr>
          <w:rFonts w:ascii="Times" w:hAnsi="Times"/>
          <w:color w:val="000000" w:themeColor="text1"/>
        </w:rPr>
        <w:t>Reviewing of “means tests”</w:t>
      </w:r>
      <w:r w:rsidR="0050294E" w:rsidRPr="0050294E">
        <w:rPr>
          <w:rFonts w:ascii="Times" w:hAnsi="Times"/>
          <w:color w:val="000000" w:themeColor="text1"/>
        </w:rPr>
        <w:t xml:space="preserve"> </w:t>
      </w:r>
      <w:r w:rsidR="0050294E" w:rsidRPr="0071546B">
        <w:rPr>
          <w:rFonts w:ascii="Times" w:hAnsi="Times"/>
          <w:color w:val="000000" w:themeColor="text1"/>
        </w:rPr>
        <w:t>”</w:t>
      </w:r>
      <w:r w:rsidR="0050294E">
        <w:rPr>
          <w:rFonts w:ascii="Times" w:hAnsi="Times"/>
          <w:color w:val="000000" w:themeColor="text1"/>
        </w:rPr>
        <w:t>/eligibility criteria for support programs</w:t>
      </w:r>
      <w:r w:rsidRPr="0071546B">
        <w:rPr>
          <w:rFonts w:ascii="Times" w:hAnsi="Times"/>
          <w:color w:val="000000" w:themeColor="text1"/>
        </w:rPr>
        <w:t xml:space="preserve"> across the board.</w:t>
      </w:r>
    </w:p>
    <w:p w14:paraId="70080157" w14:textId="77777777" w:rsidR="0071546B" w:rsidRPr="0071546B" w:rsidRDefault="0071546B" w:rsidP="0071546B">
      <w:pPr>
        <w:rPr>
          <w:rFonts w:ascii="Times" w:hAnsi="Times"/>
          <w:szCs w:val="24"/>
        </w:rPr>
      </w:pPr>
    </w:p>
    <w:p w14:paraId="7E28551F" w14:textId="405B601D" w:rsidR="0071546B" w:rsidRPr="0071546B" w:rsidRDefault="0071546B" w:rsidP="0071546B">
      <w:pPr>
        <w:tabs>
          <w:tab w:val="num" w:pos="720"/>
          <w:tab w:val="num" w:pos="1440"/>
        </w:tabs>
      </w:pPr>
      <w:r w:rsidRPr="0071546B">
        <w:rPr>
          <w:rFonts w:ascii="Times" w:eastAsia="+mn-ea" w:hAnsi="Times"/>
          <w:szCs w:val="24"/>
        </w:rPr>
        <w:t xml:space="preserve">Finally, the submission grappled with the </w:t>
      </w:r>
      <w:r w:rsidR="00357CF2">
        <w:rPr>
          <w:rFonts w:ascii="Times" w:eastAsia="+mn-ea" w:hAnsi="Times"/>
          <w:szCs w:val="24"/>
        </w:rPr>
        <w:t xml:space="preserve">reprioritisation issue. Where will the R130 billion be reprioritised from to fight the pandemic? </w:t>
      </w:r>
      <w:r w:rsidRPr="0071546B">
        <w:rPr>
          <w:rFonts w:ascii="Times" w:eastAsia="+mn-ea" w:hAnsi="Times"/>
          <w:szCs w:val="24"/>
        </w:rPr>
        <w:t xml:space="preserve">After looking at government as a whole, and noting areas that could be reprioritised, the Commission also noted that the process should be guided by a set of consistent, albeit flexible, principles. </w:t>
      </w:r>
      <w:r w:rsidRPr="0071546B">
        <w:rPr>
          <w:rFonts w:ascii="Times" w:eastAsia="+mn-ea" w:hAnsi="Times"/>
          <w:szCs w:val="24"/>
          <w:lang w:val="en-US"/>
        </w:rPr>
        <w:t>The Commission scrutinised each vote, functional category or grant on the basis of the following six key factors</w:t>
      </w:r>
      <w:r w:rsidRPr="0071546B">
        <w:t>:</w:t>
      </w:r>
    </w:p>
    <w:p w14:paraId="6C568377" w14:textId="77777777" w:rsidR="0071546B" w:rsidRPr="0071546B" w:rsidRDefault="0071546B" w:rsidP="0071546B">
      <w:pPr>
        <w:numPr>
          <w:ilvl w:val="0"/>
          <w:numId w:val="24"/>
        </w:numPr>
        <w:tabs>
          <w:tab w:val="num" w:pos="720"/>
        </w:tabs>
        <w:ind w:left="567" w:hanging="567"/>
        <w:rPr>
          <w:rFonts w:ascii="Times" w:hAnsi="Times"/>
          <w:color w:val="000000" w:themeColor="text1"/>
        </w:rPr>
      </w:pPr>
      <w:r w:rsidRPr="0071546B">
        <w:rPr>
          <w:rFonts w:ascii="Times" w:hAnsi="Times"/>
          <w:i/>
          <w:color w:val="000000" w:themeColor="text1"/>
        </w:rPr>
        <w:t>Rights based approach:</w:t>
      </w:r>
      <w:r w:rsidRPr="0071546B">
        <w:rPr>
          <w:rFonts w:ascii="Times" w:hAnsi="Times"/>
          <w:color w:val="000000" w:themeColor="text1"/>
        </w:rPr>
        <w:t xml:space="preserve"> Spending that protects the basic rights of people should be protected  (e.g. spending on basic services: water and sanitation, refuse removal);</w:t>
      </w:r>
    </w:p>
    <w:p w14:paraId="4DFE5A26" w14:textId="77777777" w:rsidR="0071546B" w:rsidRPr="0071546B" w:rsidRDefault="0071546B" w:rsidP="0071546B">
      <w:pPr>
        <w:numPr>
          <w:ilvl w:val="0"/>
          <w:numId w:val="24"/>
        </w:numPr>
        <w:tabs>
          <w:tab w:val="num" w:pos="720"/>
        </w:tabs>
        <w:ind w:left="567" w:hanging="567"/>
        <w:rPr>
          <w:rFonts w:ascii="Times" w:hAnsi="Times"/>
          <w:color w:val="000000" w:themeColor="text1"/>
        </w:rPr>
      </w:pPr>
      <w:r w:rsidRPr="0071546B">
        <w:rPr>
          <w:rFonts w:ascii="Times" w:hAnsi="Times"/>
          <w:i/>
          <w:color w:val="000000" w:themeColor="text1"/>
        </w:rPr>
        <w:t>Equity and fairness:</w:t>
      </w:r>
      <w:r w:rsidRPr="0071546B">
        <w:rPr>
          <w:rFonts w:ascii="Times" w:hAnsi="Times"/>
          <w:color w:val="000000" w:themeColor="text1"/>
        </w:rPr>
        <w:t xml:space="preserve"> Reprioritising should ensure there is spatial, vertical and horizontal  equity and fairness;</w:t>
      </w:r>
    </w:p>
    <w:p w14:paraId="31D54FA1" w14:textId="77777777" w:rsidR="0071546B" w:rsidRPr="0071546B" w:rsidRDefault="0071546B" w:rsidP="0071546B">
      <w:pPr>
        <w:numPr>
          <w:ilvl w:val="0"/>
          <w:numId w:val="24"/>
        </w:numPr>
        <w:tabs>
          <w:tab w:val="num" w:pos="720"/>
        </w:tabs>
        <w:ind w:left="567" w:hanging="567"/>
        <w:rPr>
          <w:rFonts w:ascii="Times" w:hAnsi="Times"/>
          <w:color w:val="000000" w:themeColor="text1"/>
        </w:rPr>
      </w:pPr>
      <w:r w:rsidRPr="0071546B">
        <w:rPr>
          <w:rFonts w:ascii="Times" w:hAnsi="Times"/>
          <w:i/>
          <w:color w:val="000000" w:themeColor="text1"/>
        </w:rPr>
        <w:t>Spending performance:</w:t>
      </w:r>
      <w:r w:rsidRPr="0071546B">
        <w:rPr>
          <w:rFonts w:ascii="Times" w:hAnsi="Times"/>
          <w:color w:val="000000" w:themeColor="text1"/>
        </w:rPr>
        <w:t xml:space="preserve"> Reprioritising should target consistent underperformance without any basis;</w:t>
      </w:r>
    </w:p>
    <w:p w14:paraId="5F5C9593" w14:textId="77777777" w:rsidR="0071546B" w:rsidRPr="0071546B" w:rsidRDefault="0071546B" w:rsidP="0071546B">
      <w:pPr>
        <w:numPr>
          <w:ilvl w:val="0"/>
          <w:numId w:val="24"/>
        </w:numPr>
        <w:tabs>
          <w:tab w:val="num" w:pos="720"/>
        </w:tabs>
        <w:ind w:left="567" w:hanging="567"/>
        <w:rPr>
          <w:rFonts w:ascii="Times" w:hAnsi="Times"/>
          <w:color w:val="000000" w:themeColor="text1"/>
        </w:rPr>
      </w:pPr>
      <w:r w:rsidRPr="0071546B">
        <w:rPr>
          <w:rFonts w:ascii="Times" w:hAnsi="Times"/>
          <w:i/>
          <w:color w:val="000000" w:themeColor="text1"/>
        </w:rPr>
        <w:t>Impact:</w:t>
      </w:r>
      <w:r w:rsidRPr="0071546B">
        <w:rPr>
          <w:rFonts w:ascii="Times" w:hAnsi="Times"/>
          <w:color w:val="000000" w:themeColor="text1"/>
        </w:rPr>
        <w:t xml:space="preserve"> Reprioritising spending should have the least impact on people’s livelihoods and the economy;</w:t>
      </w:r>
    </w:p>
    <w:p w14:paraId="7DE30A2E" w14:textId="59222C24" w:rsidR="0071546B" w:rsidRPr="0071546B" w:rsidRDefault="0071546B" w:rsidP="0071546B">
      <w:pPr>
        <w:numPr>
          <w:ilvl w:val="0"/>
          <w:numId w:val="24"/>
        </w:numPr>
        <w:tabs>
          <w:tab w:val="num" w:pos="720"/>
        </w:tabs>
        <w:ind w:left="567" w:hanging="567"/>
        <w:rPr>
          <w:rFonts w:ascii="Times" w:hAnsi="Times"/>
          <w:color w:val="000000" w:themeColor="text1"/>
          <w:lang w:val="en-GB" w:eastAsia="en-GB"/>
        </w:rPr>
      </w:pPr>
      <w:r w:rsidRPr="0071546B">
        <w:rPr>
          <w:rFonts w:ascii="Times" w:hAnsi="Times"/>
          <w:i/>
          <w:color w:val="000000" w:themeColor="text1"/>
        </w:rPr>
        <w:t>Spending composition:</w:t>
      </w:r>
      <w:r w:rsidRPr="0071546B">
        <w:rPr>
          <w:rFonts w:ascii="Times" w:hAnsi="Times"/>
          <w:color w:val="000000" w:themeColor="text1"/>
        </w:rPr>
        <w:t xml:space="preserve"> </w:t>
      </w:r>
      <w:r w:rsidRPr="0071546B">
        <w:rPr>
          <w:rFonts w:ascii="Times" w:eastAsia="+mn-ea" w:hAnsi="Times"/>
          <w:color w:val="000000" w:themeColor="text1"/>
        </w:rPr>
        <w:t xml:space="preserve">In determining where to prioritise, decision makers need to distinguish between essential departments or items of spending relative to non-essential. Essential spending is classified as (a) those departments/items of spending that relate directly to fighting Covid-19; (b) those departments/items of spending that assist in providing social relief to poor and vulnerable households; and (c) those department/items of spending that are essential to </w:t>
      </w:r>
      <w:r w:rsidR="00A1705E">
        <w:rPr>
          <w:rFonts w:ascii="Times" w:eastAsia="+mn-ea" w:hAnsi="Times"/>
          <w:color w:val="000000" w:themeColor="text1"/>
        </w:rPr>
        <w:t>igniting economic growth</w:t>
      </w:r>
      <w:r w:rsidRPr="0071546B">
        <w:rPr>
          <w:rFonts w:ascii="Times" w:eastAsia="+mn-ea" w:hAnsi="Times"/>
          <w:color w:val="000000" w:themeColor="text1"/>
        </w:rPr>
        <w:t xml:space="preserve"> and directing government coordination, planning and spending during this time. Thus n</w:t>
      </w:r>
      <w:r w:rsidRPr="0071546B">
        <w:rPr>
          <w:rFonts w:ascii="Times" w:eastAsia="+mn-ea" w:hAnsi="Times"/>
          <w:color w:val="000000" w:themeColor="text1"/>
          <w:lang w:val="en-US"/>
        </w:rPr>
        <w:t xml:space="preserve">on-essential departments/items of spending should be subjected to relatively more aggressive reprioritisation. The Commission identified a number of areas for reprioritization; </w:t>
      </w:r>
    </w:p>
    <w:p w14:paraId="0A0A887E" w14:textId="77777777" w:rsidR="0071546B" w:rsidRPr="0071546B" w:rsidRDefault="0071546B" w:rsidP="0071546B">
      <w:pPr>
        <w:numPr>
          <w:ilvl w:val="0"/>
          <w:numId w:val="24"/>
        </w:numPr>
        <w:tabs>
          <w:tab w:val="num" w:pos="720"/>
        </w:tabs>
        <w:ind w:left="567" w:hanging="567"/>
        <w:rPr>
          <w:rFonts w:ascii="Times" w:hAnsi="Times"/>
          <w:color w:val="000000" w:themeColor="text1"/>
          <w:lang w:val="en-GB" w:eastAsia="en-GB"/>
        </w:rPr>
      </w:pPr>
      <w:r w:rsidRPr="0071546B">
        <w:rPr>
          <w:rFonts w:ascii="Times" w:hAnsi="Times"/>
          <w:i/>
          <w:color w:val="000000" w:themeColor="text1"/>
          <w:lang w:val="en-GB" w:eastAsia="en-GB"/>
        </w:rPr>
        <w:t>High perennial growth:</w:t>
      </w:r>
      <w:r w:rsidRPr="0071546B">
        <w:rPr>
          <w:rFonts w:ascii="Times" w:hAnsi="Times"/>
          <w:color w:val="000000" w:themeColor="text1"/>
          <w:lang w:val="en-GB" w:eastAsia="en-GB"/>
        </w:rPr>
        <w:t xml:space="preserve"> The Commission looked at historical growth in allocations. In the Commission’s view, where growth was excessive in the past, the concerned spending item becomes a good candidate for moderation. </w:t>
      </w:r>
    </w:p>
    <w:p w14:paraId="5122EDF7" w14:textId="77777777" w:rsidR="0071546B" w:rsidRPr="0071546B" w:rsidRDefault="0071546B" w:rsidP="0071546B">
      <w:pPr>
        <w:rPr>
          <w:rFonts w:ascii="Times" w:hAnsi="Times"/>
          <w:color w:val="000000" w:themeColor="text1"/>
        </w:rPr>
      </w:pPr>
    </w:p>
    <w:p w14:paraId="2798430E" w14:textId="544879F2" w:rsidR="00357CF2" w:rsidRPr="00D61344" w:rsidRDefault="00357CF2" w:rsidP="00357CF2">
      <w:pPr>
        <w:rPr>
          <w:rFonts w:eastAsia="Calibri"/>
          <w:bCs/>
          <w:szCs w:val="24"/>
        </w:rPr>
      </w:pPr>
      <w:r>
        <w:rPr>
          <w:rFonts w:eastAsia="Calibri"/>
          <w:bCs/>
          <w:szCs w:val="24"/>
        </w:rPr>
        <w:t>The Commission noted that the following areas present opportunities for</w:t>
      </w:r>
      <w:r w:rsidRPr="00D61344">
        <w:rPr>
          <w:rFonts w:eastAsia="Calibri"/>
          <w:bCs/>
          <w:szCs w:val="24"/>
        </w:rPr>
        <w:t xml:space="preserve"> reprioritisation:</w:t>
      </w:r>
    </w:p>
    <w:p w14:paraId="1F77B55B" w14:textId="30C33955" w:rsidR="00357CF2" w:rsidRPr="00357CF2" w:rsidRDefault="00357CF2" w:rsidP="00D43FBD">
      <w:pPr>
        <w:pStyle w:val="ListParagraph"/>
        <w:rPr>
          <w:rFonts w:eastAsia="Calibri"/>
          <w:lang w:val="en-US"/>
        </w:rPr>
      </w:pPr>
      <w:r w:rsidRPr="00357CF2">
        <w:rPr>
          <w:rFonts w:eastAsia="Calibri"/>
          <w:lang w:val="en-US"/>
        </w:rPr>
        <w:t>Government should determine essential department</w:t>
      </w:r>
      <w:r w:rsidR="0050294E">
        <w:rPr>
          <w:rFonts w:eastAsia="Calibri"/>
          <w:lang w:val="en-US"/>
        </w:rPr>
        <w:t>s</w:t>
      </w:r>
      <w:r w:rsidRPr="00357CF2">
        <w:rPr>
          <w:rFonts w:eastAsia="Calibri"/>
          <w:lang w:val="en-US"/>
        </w:rPr>
        <w:t xml:space="preserve"> from non-essential ones with the latter being subjecte</w:t>
      </w:r>
      <w:r w:rsidR="0050294E">
        <w:rPr>
          <w:rFonts w:eastAsia="Calibri"/>
          <w:lang w:val="en-US"/>
        </w:rPr>
        <w:t>d to more aggressive reprioritis</w:t>
      </w:r>
      <w:r w:rsidRPr="00357CF2">
        <w:rPr>
          <w:rFonts w:eastAsia="Calibri"/>
          <w:lang w:val="en-US"/>
        </w:rPr>
        <w:t xml:space="preserve">ation. Even within priority departments, there may be space to reduce spending and reprioritise funds. </w:t>
      </w:r>
    </w:p>
    <w:p w14:paraId="4E75307C" w14:textId="77777777" w:rsidR="00357CF2" w:rsidRPr="00527642" w:rsidRDefault="00357CF2" w:rsidP="00357CF2">
      <w:pPr>
        <w:pStyle w:val="ListParagraph"/>
        <w:rPr>
          <w:rFonts w:eastAsia="Calibri"/>
          <w:lang w:val="en-US"/>
        </w:rPr>
      </w:pPr>
      <w:r w:rsidRPr="00527642">
        <w:rPr>
          <w:rFonts w:eastAsia="Calibri"/>
        </w:rPr>
        <w:t xml:space="preserve">Government needs to reprioritise </w:t>
      </w:r>
      <w:r w:rsidRPr="00527642">
        <w:rPr>
          <w:rFonts w:eastAsia="Calibri"/>
          <w:iCs/>
          <w:lang w:val="en-US"/>
        </w:rPr>
        <w:t>public sector infrastructure spending</w:t>
      </w:r>
      <w:r w:rsidRPr="00527642">
        <w:rPr>
          <w:rFonts w:eastAsia="Calibri"/>
          <w:lang w:val="en-US"/>
        </w:rPr>
        <w:t xml:space="preserve"> by postponing infrastructure projects that are still at a pre-feasibility stage and are not directly related to the infrastructure needed for Covid-19. Investment in new infrastructure that is not related to Covid-19 imperatives can be postponed. The reprioritisation should however be done with caution, as delaying the implementation of some of the infrastructure projects will result in an increase in service delivery backlogs and future costs</w:t>
      </w:r>
      <w:r>
        <w:rPr>
          <w:rFonts w:eastAsia="Calibri"/>
          <w:lang w:val="en-US"/>
        </w:rPr>
        <w:t>;</w:t>
      </w:r>
    </w:p>
    <w:p w14:paraId="00D1E961" w14:textId="3B861AE6" w:rsidR="00357CF2" w:rsidRPr="00D553A1" w:rsidRDefault="00357CF2" w:rsidP="00357CF2">
      <w:pPr>
        <w:pStyle w:val="ListParagraph"/>
        <w:rPr>
          <w:rFonts w:eastAsia="Calibri"/>
          <w:lang w:val="en-US"/>
        </w:rPr>
      </w:pPr>
      <w:r w:rsidRPr="00D553A1">
        <w:rPr>
          <w:rFonts w:eastAsia="Calibri"/>
          <w:lang w:val="en-US"/>
        </w:rPr>
        <w:t>Similarly on infrastructure, reprioritisation of spending on existing infrastructure is possible but is recommended with caution as deferral of such spending can lead to degradation of existing ass</w:t>
      </w:r>
      <w:r>
        <w:rPr>
          <w:rFonts w:eastAsia="Calibri"/>
          <w:lang w:val="en-US"/>
        </w:rPr>
        <w:t>ets. If this option is selected</w:t>
      </w:r>
      <w:r w:rsidRPr="00D553A1">
        <w:rPr>
          <w:rFonts w:eastAsia="Calibri"/>
          <w:lang w:val="en-US"/>
        </w:rPr>
        <w:t>, it should be based on sound data and information regarding the condition of the asset or asset lifecycle data</w:t>
      </w:r>
      <w:r>
        <w:rPr>
          <w:rFonts w:eastAsia="Calibri"/>
          <w:lang w:val="en-US"/>
        </w:rPr>
        <w:t>;</w:t>
      </w:r>
    </w:p>
    <w:p w14:paraId="0FF2EA09" w14:textId="77777777" w:rsidR="00357CF2" w:rsidRPr="00D553A1" w:rsidRDefault="00357CF2" w:rsidP="00357CF2">
      <w:pPr>
        <w:pStyle w:val="ListParagraph"/>
        <w:rPr>
          <w:rFonts w:eastAsia="Calibri"/>
          <w:lang w:val="en-US"/>
        </w:rPr>
      </w:pPr>
      <w:r w:rsidRPr="00D553A1">
        <w:rPr>
          <w:rFonts w:eastAsia="Calibri"/>
          <w:lang w:val="en-US"/>
        </w:rPr>
        <w:t>G</w:t>
      </w:r>
      <w:r w:rsidRPr="00D553A1">
        <w:rPr>
          <w:rFonts w:eastAsia="Calibri"/>
          <w:iCs/>
          <w:lang w:val="en-US"/>
        </w:rPr>
        <w:t xml:space="preserve">overnment expenditure </w:t>
      </w:r>
      <w:r w:rsidRPr="00D553A1">
        <w:rPr>
          <w:rFonts w:eastAsia="Calibri"/>
          <w:lang w:val="en-US"/>
        </w:rPr>
        <w:t>on goods and services that are not critical for service delivery provides more room for reprioritisation of spending. During this time of restriction, expenditure on goods and service</w:t>
      </w:r>
      <w:r>
        <w:rPr>
          <w:rFonts w:eastAsia="Calibri"/>
          <w:lang w:val="en-US"/>
        </w:rPr>
        <w:t>s</w:t>
      </w:r>
      <w:r w:rsidRPr="00D553A1">
        <w:rPr>
          <w:rFonts w:eastAsia="Calibri"/>
          <w:lang w:val="en-US"/>
        </w:rPr>
        <w:t xml:space="preserve"> which are not essential can be cut. Government demand for non-essential goods and services is likely to decrease, resulting in underspending</w:t>
      </w:r>
      <w:r>
        <w:rPr>
          <w:rFonts w:eastAsia="Calibri"/>
          <w:lang w:val="en-US"/>
        </w:rPr>
        <w:t>;</w:t>
      </w:r>
    </w:p>
    <w:p w14:paraId="75090CCC" w14:textId="77777777" w:rsidR="00357CF2" w:rsidRPr="00D553A1" w:rsidRDefault="00357CF2" w:rsidP="00357CF2">
      <w:pPr>
        <w:pStyle w:val="ListParagraph"/>
        <w:rPr>
          <w:rFonts w:eastAsia="Calibri"/>
          <w:lang w:val="en-US"/>
        </w:rPr>
      </w:pPr>
      <w:r w:rsidRPr="00D553A1">
        <w:rPr>
          <w:rFonts w:eastAsia="Calibri"/>
          <w:lang w:val="en-US"/>
        </w:rPr>
        <w:t>Restrictions on public gatherings are likely to result in less spending on non-essential items such as venue booking, catering etc</w:t>
      </w:r>
      <w:r>
        <w:rPr>
          <w:rFonts w:eastAsia="Calibri"/>
          <w:lang w:val="en-US"/>
        </w:rPr>
        <w:t>;</w:t>
      </w:r>
    </w:p>
    <w:p w14:paraId="773CD5EB" w14:textId="77777777" w:rsidR="00357CF2" w:rsidRPr="00D553A1" w:rsidRDefault="00357CF2" w:rsidP="00357CF2">
      <w:pPr>
        <w:pStyle w:val="ListParagraph"/>
        <w:rPr>
          <w:rFonts w:eastAsia="Calibri"/>
          <w:lang w:val="en-US"/>
        </w:rPr>
      </w:pPr>
      <w:r w:rsidRPr="00D553A1">
        <w:rPr>
          <w:rFonts w:eastAsia="Calibri"/>
          <w:iCs/>
          <w:lang w:val="en-US"/>
        </w:rPr>
        <w:t>T</w:t>
      </w:r>
      <w:r w:rsidRPr="00D553A1">
        <w:rPr>
          <w:rFonts w:eastAsia="Calibri"/>
          <w:lang w:val="en-US"/>
        </w:rPr>
        <w:t>raining and development which is critical for service delivery must be undertaken, while training and development expenditure that is not essential for service delivery and/or fighting Covid-19 should be deferred</w:t>
      </w:r>
      <w:r>
        <w:rPr>
          <w:rFonts w:eastAsia="Calibri"/>
          <w:lang w:val="en-US"/>
        </w:rPr>
        <w:t>;</w:t>
      </w:r>
    </w:p>
    <w:p w14:paraId="73E79EDD" w14:textId="77777777" w:rsidR="00357CF2" w:rsidRPr="00D553A1" w:rsidRDefault="00357CF2" w:rsidP="00357CF2">
      <w:pPr>
        <w:pStyle w:val="ListParagraph"/>
        <w:rPr>
          <w:rFonts w:eastAsia="Calibri"/>
          <w:lang w:val="en-US"/>
        </w:rPr>
      </w:pPr>
      <w:r w:rsidRPr="00D553A1">
        <w:rPr>
          <w:rFonts w:eastAsia="Calibri"/>
          <w:iCs/>
          <w:lang w:val="en-US"/>
        </w:rPr>
        <w:t xml:space="preserve">Travel and subsistence </w:t>
      </w:r>
      <w:r w:rsidRPr="00D553A1">
        <w:rPr>
          <w:rFonts w:eastAsia="Calibri"/>
          <w:lang w:val="en-US"/>
        </w:rPr>
        <w:t>for government should be limited to essential government work related to fighting the virus. But reprioritisation from travel and subsistence from those departments considered as non-essential in the fight against Covid-19 is necessary</w:t>
      </w:r>
      <w:r>
        <w:rPr>
          <w:rFonts w:eastAsia="Calibri"/>
          <w:lang w:val="en-US"/>
        </w:rPr>
        <w:t>; and</w:t>
      </w:r>
    </w:p>
    <w:p w14:paraId="17C6864A" w14:textId="1820FB66" w:rsidR="00357CF2" w:rsidRDefault="00357CF2" w:rsidP="00357CF2">
      <w:pPr>
        <w:pStyle w:val="ListParagraph"/>
        <w:rPr>
          <w:rFonts w:eastAsia="Calibri"/>
          <w:lang w:val="en-US"/>
        </w:rPr>
      </w:pPr>
      <w:r w:rsidRPr="00D553A1">
        <w:rPr>
          <w:rFonts w:eastAsia="Calibri"/>
          <w:iCs/>
          <w:lang w:val="en-US"/>
        </w:rPr>
        <w:t xml:space="preserve">Catering and non-essential events </w:t>
      </w:r>
      <w:r w:rsidRPr="00D553A1">
        <w:rPr>
          <w:rFonts w:eastAsia="Calibri"/>
          <w:lang w:val="en-US"/>
        </w:rPr>
        <w:t>can be postponed since the lockdown restrictions limit unnecessary public gatherings. Reprioritising funds from non-essential catering and events is unlikely to have an</w:t>
      </w:r>
      <w:r w:rsidR="0050294E">
        <w:rPr>
          <w:rFonts w:eastAsia="Calibri"/>
          <w:lang w:val="en-US"/>
        </w:rPr>
        <w:t xml:space="preserve"> adverse</w:t>
      </w:r>
      <w:r w:rsidRPr="00D553A1">
        <w:rPr>
          <w:rFonts w:eastAsia="Calibri"/>
          <w:lang w:val="en-US"/>
        </w:rPr>
        <w:t xml:space="preserve"> impact on service delivery. </w:t>
      </w:r>
    </w:p>
    <w:p w14:paraId="1083D3BB" w14:textId="77777777" w:rsidR="004B131C" w:rsidRPr="004B131C" w:rsidRDefault="004B131C" w:rsidP="004B131C">
      <w:pPr>
        <w:rPr>
          <w:rFonts w:eastAsia="Calibri"/>
          <w:lang w:val="en-US"/>
        </w:rPr>
      </w:pPr>
    </w:p>
    <w:p w14:paraId="361A7E0E" w14:textId="55008F24" w:rsidR="00357CF2" w:rsidRPr="00DF2F49" w:rsidRDefault="00DF2F49" w:rsidP="00357CF2">
      <w:pPr>
        <w:spacing w:line="240" w:lineRule="auto"/>
        <w:rPr>
          <w:rFonts w:eastAsia="+mn-ea"/>
          <w:color w:val="000000"/>
          <w:szCs w:val="24"/>
          <w:lang w:val="en-US"/>
        </w:rPr>
      </w:pPr>
      <w:r w:rsidRPr="00DF2F49">
        <w:rPr>
          <w:rFonts w:eastAsia="+mn-ea"/>
          <w:color w:val="000000"/>
          <w:szCs w:val="24"/>
          <w:lang w:val="en-US"/>
        </w:rPr>
        <w:t>On conditional grants, and following the criteria above</w:t>
      </w:r>
      <w:r w:rsidR="0050294E">
        <w:rPr>
          <w:rFonts w:eastAsia="+mn-ea"/>
          <w:color w:val="000000"/>
          <w:szCs w:val="24"/>
          <w:lang w:val="en-US"/>
        </w:rPr>
        <w:t xml:space="preserve"> that also do apply to government department programmes and entities</w:t>
      </w:r>
      <w:r w:rsidRPr="00DF2F49">
        <w:rPr>
          <w:rFonts w:eastAsia="+mn-ea"/>
          <w:color w:val="000000"/>
          <w:szCs w:val="24"/>
          <w:lang w:val="en-US"/>
        </w:rPr>
        <w:t xml:space="preserve">, the Commission has identified 23 grants where there is room for reprioritisation </w:t>
      </w:r>
      <w:r w:rsidR="0050294E">
        <w:rPr>
          <w:rFonts w:eastAsia="+mn-ea"/>
          <w:color w:val="000000"/>
          <w:szCs w:val="24"/>
          <w:lang w:val="en-US"/>
        </w:rPr>
        <w:t>towards addressing the pandemic</w:t>
      </w:r>
      <w:r w:rsidRPr="00DF2F49">
        <w:rPr>
          <w:rFonts w:eastAsia="+mn-ea"/>
          <w:color w:val="000000"/>
          <w:szCs w:val="24"/>
          <w:lang w:val="en-US"/>
        </w:rPr>
        <w:t xml:space="preserve">. These grants cut across all functional categories and across the provincial and local spheres.  </w:t>
      </w:r>
    </w:p>
    <w:p w14:paraId="440FEC4E" w14:textId="2B631CDD" w:rsidR="0071546B" w:rsidRDefault="0071546B" w:rsidP="0071546B">
      <w:pPr>
        <w:rPr>
          <w:rFonts w:ascii="Times" w:hAnsi="Times"/>
          <w:color w:val="000000" w:themeColor="text1"/>
        </w:rPr>
      </w:pPr>
    </w:p>
    <w:p w14:paraId="145725DA" w14:textId="7520409B" w:rsidR="0050294E" w:rsidRDefault="0050294E" w:rsidP="0071546B">
      <w:pPr>
        <w:rPr>
          <w:rFonts w:eastAsia="+mn-ea"/>
          <w:color w:val="000000"/>
          <w:szCs w:val="24"/>
          <w:lang w:val="en-US"/>
        </w:rPr>
      </w:pPr>
      <w:r>
        <w:rPr>
          <w:rFonts w:eastAsia="+mn-ea"/>
          <w:color w:val="000000"/>
          <w:szCs w:val="24"/>
          <w:lang w:val="en-US"/>
        </w:rPr>
        <w:t>Finally, the Commission advises that the adjustments budget once tabled, be passed as soon as is possible, in order to give government institutions certainty regarding their budget baselines and for them to be able to plan accordingly for service delivery against both decreases and increases in spending areas.</w:t>
      </w:r>
    </w:p>
    <w:p w14:paraId="715B75DD" w14:textId="336EC8FB" w:rsidR="0050294E" w:rsidRDefault="0050294E" w:rsidP="0071546B">
      <w:pPr>
        <w:rPr>
          <w:rFonts w:eastAsia="+mn-ea"/>
          <w:color w:val="000000"/>
          <w:szCs w:val="24"/>
          <w:lang w:val="en-US"/>
        </w:rPr>
      </w:pPr>
    </w:p>
    <w:p w14:paraId="3C211E6C" w14:textId="21BD2B84" w:rsidR="0050294E" w:rsidRDefault="0050294E" w:rsidP="0071546B">
      <w:pPr>
        <w:rPr>
          <w:rFonts w:eastAsia="+mn-ea"/>
          <w:color w:val="000000"/>
          <w:szCs w:val="24"/>
          <w:lang w:val="en-US"/>
        </w:rPr>
      </w:pPr>
    </w:p>
    <w:p w14:paraId="713B28D1" w14:textId="77777777" w:rsidR="0050294E" w:rsidRPr="0071546B" w:rsidRDefault="0050294E" w:rsidP="0071546B">
      <w:pPr>
        <w:rPr>
          <w:rFonts w:ascii="Times" w:hAnsi="Times"/>
          <w:color w:val="000000" w:themeColor="text1"/>
        </w:rPr>
      </w:pPr>
    </w:p>
    <w:p w14:paraId="31E9426E" w14:textId="77777777" w:rsidR="0071546B" w:rsidRPr="0071546B" w:rsidRDefault="0071546B" w:rsidP="0071546B">
      <w:pPr>
        <w:rPr>
          <w:rFonts w:ascii="Times" w:hAnsi="Times"/>
          <w:color w:val="000000" w:themeColor="text1"/>
        </w:rPr>
      </w:pPr>
    </w:p>
    <w:p w14:paraId="5CA6447C" w14:textId="77777777" w:rsidR="0071546B" w:rsidRPr="0071546B" w:rsidRDefault="0071546B" w:rsidP="0071546B">
      <w:pPr>
        <w:rPr>
          <w:rFonts w:ascii="Times" w:hAnsi="Times"/>
          <w:color w:val="000000" w:themeColor="text1"/>
        </w:rPr>
      </w:pPr>
      <w:r w:rsidRPr="0071546B">
        <w:rPr>
          <w:rFonts w:ascii="Times" w:hAnsi="Times"/>
          <w:color w:val="000000" w:themeColor="text1"/>
        </w:rPr>
        <w:t>For and on behalf of the Financial and Fiscal Commission</w:t>
      </w:r>
    </w:p>
    <w:p w14:paraId="719E30AC" w14:textId="77777777" w:rsidR="0071546B" w:rsidRPr="0071546B" w:rsidRDefault="0071546B" w:rsidP="0071546B"/>
    <w:p w14:paraId="5CBE1857" w14:textId="77777777" w:rsidR="0071546B" w:rsidRPr="0071546B" w:rsidRDefault="0071546B" w:rsidP="0071546B"/>
    <w:p w14:paraId="03B8A424" w14:textId="77777777" w:rsidR="0071546B" w:rsidRPr="0071546B" w:rsidRDefault="0071546B" w:rsidP="0071546B"/>
    <w:p w14:paraId="5D7DA715" w14:textId="77777777" w:rsidR="0071546B" w:rsidRPr="0071546B" w:rsidRDefault="0071546B" w:rsidP="0071546B"/>
    <w:p w14:paraId="387FBEB3" w14:textId="77777777" w:rsidR="0071546B" w:rsidRPr="0071546B" w:rsidRDefault="0071546B" w:rsidP="0071546B">
      <w:pPr>
        <w:rPr>
          <w:b/>
          <w:bCs/>
        </w:rPr>
      </w:pPr>
      <w:r w:rsidRPr="0071546B">
        <w:rPr>
          <w:b/>
          <w:bCs/>
        </w:rPr>
        <w:t>Professor Daniel Plaatjies</w:t>
      </w:r>
    </w:p>
    <w:p w14:paraId="17C3AC5A" w14:textId="77777777" w:rsidR="0071546B" w:rsidRPr="0071546B" w:rsidRDefault="0071546B" w:rsidP="0071546B">
      <w:pPr>
        <w:rPr>
          <w:b/>
          <w:bCs/>
        </w:rPr>
      </w:pPr>
      <w:r w:rsidRPr="0071546B">
        <w:rPr>
          <w:b/>
          <w:bCs/>
        </w:rPr>
        <w:t>Chairperson: Financial and Fiscal Commission</w:t>
      </w:r>
    </w:p>
    <w:p w14:paraId="48B7AB92" w14:textId="77777777" w:rsidR="0071546B" w:rsidRPr="0071546B" w:rsidRDefault="0071546B" w:rsidP="0071546B">
      <w:pPr>
        <w:rPr>
          <w:rFonts w:ascii="Times" w:hAnsi="Times"/>
          <w:color w:val="FF0000"/>
        </w:rPr>
      </w:pPr>
    </w:p>
    <w:p w14:paraId="61C43120" w14:textId="77777777" w:rsidR="00B04AD5" w:rsidRPr="000D33E4" w:rsidRDefault="00B04AD5" w:rsidP="0071546B">
      <w:pPr>
        <w:rPr>
          <w:rFonts w:ascii="Times" w:hAnsi="Times"/>
          <w:color w:val="FF0000"/>
        </w:rPr>
      </w:pPr>
    </w:p>
    <w:sectPr w:rsidR="00B04AD5" w:rsidRPr="000D33E4" w:rsidSect="009067EC">
      <w:pgSz w:w="11906" w:h="16838" w:code="9"/>
      <w:pgMar w:top="1440" w:right="1134" w:bottom="1440" w:left="1134" w:header="709" w:footer="709" w:gutter="0"/>
      <w:pgNumType w:start="1"/>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7381DA" w16cex:dateUtc="2020-05-23T09:04:00Z"/>
  <w16cex:commentExtensible w16cex:durableId="227382E4" w16cex:dateUtc="2020-05-23T09:09:00Z"/>
  <w16cex:commentExtensible w16cex:durableId="22738450" w16cex:dateUtc="2020-05-23T09:15:00Z"/>
  <w16cex:commentExtensible w16cex:durableId="22738576" w16cex:dateUtc="2020-05-23T09:20:00Z"/>
  <w16cex:commentExtensible w16cex:durableId="227385A2" w16cex:dateUtc="2020-05-23T09:21:00Z"/>
  <w16cex:commentExtensible w16cex:durableId="2273868A" w16cex:dateUtc="2020-05-23T09:24:00Z"/>
  <w16cex:commentExtensible w16cex:durableId="22738CFC" w16cex:dateUtc="2020-05-23T09:52:00Z"/>
  <w16cex:commentExtensible w16cex:durableId="22739013" w16cex:dateUtc="2020-05-23T10:05:00Z"/>
  <w16cex:commentExtensible w16cex:durableId="2273910C" w16cex:dateUtc="2020-05-23T10:09:00Z"/>
  <w16cex:commentExtensible w16cex:durableId="227393EA" w16cex:dateUtc="2020-05-23T10:22:00Z"/>
  <w16cex:commentExtensible w16cex:durableId="22739759" w16cex:dateUtc="2020-05-23T10:36:00Z"/>
  <w16cex:commentExtensible w16cex:durableId="227397DF" w16cex:dateUtc="2020-05-23T10:38:00Z"/>
  <w16cex:commentExtensible w16cex:durableId="227399A4" w16cex:dateUtc="2020-05-23T10: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EFF0964" w16cid:durableId="22754EC8"/>
  <w16cid:commentId w16cid:paraId="70B14495" w16cid:durableId="22754EC9"/>
  <w16cid:commentId w16cid:paraId="11BEE3C5" w16cid:durableId="22754ECA"/>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54C3A8" w14:textId="77777777" w:rsidR="00977063" w:rsidRDefault="00977063" w:rsidP="00171865">
      <w:r>
        <w:separator/>
      </w:r>
    </w:p>
  </w:endnote>
  <w:endnote w:type="continuationSeparator" w:id="0">
    <w:p w14:paraId="0DF438E6" w14:textId="77777777" w:rsidR="00977063" w:rsidRDefault="00977063" w:rsidP="001718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n-ea">
    <w:panose1 w:val="00000000000000000000"/>
    <w:charset w:val="00"/>
    <w:family w:val="roman"/>
    <w:notTrueType/>
    <w:pitch w:val="default"/>
  </w:font>
  <w:font w:name="SegoeUI">
    <w:altName w:val="Segoe UI"/>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273060201"/>
      <w:docPartObj>
        <w:docPartGallery w:val="Page Numbers (Bottom of Page)"/>
        <w:docPartUnique/>
      </w:docPartObj>
    </w:sdtPr>
    <w:sdtEndPr>
      <w:rPr>
        <w:rStyle w:val="PageNumber"/>
      </w:rPr>
    </w:sdtEndPr>
    <w:sdtContent>
      <w:p w14:paraId="2440518E" w14:textId="77777777" w:rsidR="00E06F06" w:rsidRDefault="00E06F06" w:rsidP="0070266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285704E" w14:textId="77777777" w:rsidR="00E06F06" w:rsidRDefault="00E06F06">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457559700"/>
      <w:docPartObj>
        <w:docPartGallery w:val="Page Numbers (Bottom of Page)"/>
        <w:docPartUnique/>
      </w:docPartObj>
    </w:sdtPr>
    <w:sdtEndPr>
      <w:rPr>
        <w:rStyle w:val="PageNumber"/>
      </w:rPr>
    </w:sdtEndPr>
    <w:sdtContent>
      <w:p w14:paraId="74989168" w14:textId="621CE40C" w:rsidR="00E06F06" w:rsidRDefault="00E06F06" w:rsidP="0070266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BD1E60">
          <w:rPr>
            <w:rStyle w:val="PageNumber"/>
            <w:noProof/>
          </w:rPr>
          <w:t>3</w:t>
        </w:r>
        <w:r>
          <w:rPr>
            <w:rStyle w:val="PageNumber"/>
          </w:rPr>
          <w:fldChar w:fldCharType="end"/>
        </w:r>
      </w:p>
    </w:sdtContent>
  </w:sdt>
  <w:p w14:paraId="1C0F3A38" w14:textId="77777777" w:rsidR="00E06F06" w:rsidRDefault="00E06F0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0C09EF" w14:textId="77777777" w:rsidR="00977063" w:rsidRDefault="00977063" w:rsidP="00171865">
      <w:r>
        <w:separator/>
      </w:r>
    </w:p>
  </w:footnote>
  <w:footnote w:type="continuationSeparator" w:id="0">
    <w:p w14:paraId="5DB21838" w14:textId="77777777" w:rsidR="00977063" w:rsidRDefault="00977063" w:rsidP="00171865">
      <w:r>
        <w:continuationSeparator/>
      </w:r>
    </w:p>
  </w:footnote>
  <w:footnote w:id="1">
    <w:p w14:paraId="067B22FD" w14:textId="77777777" w:rsidR="00E06F06" w:rsidRPr="008B0F56" w:rsidRDefault="00E06F06" w:rsidP="00D5507E">
      <w:pPr>
        <w:pStyle w:val="FootnoteText"/>
        <w:rPr>
          <w:lang w:val="en-US"/>
        </w:rPr>
      </w:pPr>
      <w:r w:rsidRPr="008B0F56">
        <w:rPr>
          <w:rStyle w:val="FootnoteReference"/>
        </w:rPr>
        <w:footnoteRef/>
      </w:r>
      <w:r w:rsidRPr="008B0F56">
        <w:t xml:space="preserve"> </w:t>
      </w:r>
      <w:r w:rsidRPr="008B0F56">
        <w:rPr>
          <w:lang w:val="en-US"/>
        </w:rPr>
        <w:t xml:space="preserve">See IMF </w:t>
      </w:r>
      <w:r w:rsidRPr="008B0F56">
        <w:t>World Economic Outlook, April 2020</w:t>
      </w:r>
    </w:p>
  </w:footnote>
  <w:footnote w:id="2">
    <w:p w14:paraId="3CFA0699" w14:textId="3E5E39EE" w:rsidR="00E06F06" w:rsidRPr="009A7F2D" w:rsidRDefault="00E06F06" w:rsidP="00BA44C6">
      <w:pPr>
        <w:pStyle w:val="FootnoteText"/>
        <w:rPr>
          <w:i/>
          <w:iCs/>
          <w:lang w:val="en-US"/>
        </w:rPr>
      </w:pPr>
      <w:r w:rsidRPr="009A7F2D">
        <w:rPr>
          <w:rStyle w:val="FootnoteReference"/>
          <w:i/>
          <w:iCs/>
        </w:rPr>
        <w:footnoteRef/>
      </w:r>
      <w:r w:rsidRPr="009A7F2D">
        <w:rPr>
          <w:i/>
          <w:iCs/>
        </w:rPr>
        <w:t xml:space="preserve"> </w:t>
      </w:r>
      <w:r>
        <w:rPr>
          <w:i/>
          <w:iCs/>
          <w:lang w:val="en-US"/>
        </w:rPr>
        <w:t>Op cit</w:t>
      </w:r>
    </w:p>
  </w:footnote>
  <w:footnote w:id="3">
    <w:p w14:paraId="5EDBE862" w14:textId="713C13A3" w:rsidR="00E06F06" w:rsidRPr="00330CE5" w:rsidRDefault="00E06F06" w:rsidP="00BA44C6">
      <w:pPr>
        <w:pStyle w:val="FootnoteText"/>
        <w:rPr>
          <w:lang w:val="en-US"/>
        </w:rPr>
      </w:pPr>
      <w:r>
        <w:rPr>
          <w:rStyle w:val="FootnoteReference"/>
        </w:rPr>
        <w:footnoteRef/>
      </w:r>
      <w:r>
        <w:t xml:space="preserve"> </w:t>
      </w:r>
      <w:r>
        <w:rPr>
          <w:i/>
          <w:iCs/>
          <w:lang w:val="en-US"/>
        </w:rPr>
        <w:t>Op cit</w:t>
      </w:r>
    </w:p>
  </w:footnote>
  <w:footnote w:id="4">
    <w:p w14:paraId="356ED869" w14:textId="77777777" w:rsidR="00E06F06" w:rsidRPr="0030744A" w:rsidRDefault="00E06F06" w:rsidP="00BA44C6">
      <w:pPr>
        <w:pStyle w:val="FootnoteText"/>
        <w:rPr>
          <w:lang w:val="en-US"/>
        </w:rPr>
      </w:pPr>
      <w:r>
        <w:rPr>
          <w:rStyle w:val="FootnoteReference"/>
        </w:rPr>
        <w:footnoteRef/>
      </w:r>
      <w:r>
        <w:t xml:space="preserve"> </w:t>
      </w:r>
      <w:r>
        <w:rPr>
          <w:lang w:val="en-US"/>
        </w:rPr>
        <w:t>See Statistics South Africa Gross Domestic Product (GDP), Q4 2019</w:t>
      </w:r>
    </w:p>
  </w:footnote>
  <w:footnote w:id="5">
    <w:p w14:paraId="1D2BC665" w14:textId="745DD6A1" w:rsidR="00E06F06" w:rsidRPr="000436AB" w:rsidRDefault="00E06F06">
      <w:pPr>
        <w:pStyle w:val="FootnoteText"/>
        <w:rPr>
          <w:lang w:val="en-US"/>
        </w:rPr>
      </w:pPr>
      <w:r>
        <w:rPr>
          <w:rStyle w:val="FootnoteReference"/>
        </w:rPr>
        <w:footnoteRef/>
      </w:r>
      <w:r>
        <w:t xml:space="preserve"> </w:t>
      </w:r>
      <w:r>
        <w:rPr>
          <w:lang w:val="en-US"/>
        </w:rPr>
        <w:t>See Statement by SARS Commissioner dated 5 May, 2020</w:t>
      </w:r>
    </w:p>
  </w:footnote>
  <w:footnote w:id="6">
    <w:p w14:paraId="787101B1" w14:textId="77777777" w:rsidR="00E06F06" w:rsidRDefault="00E06F06" w:rsidP="002817C2">
      <w:pPr>
        <w:pStyle w:val="FootnoteText"/>
      </w:pPr>
      <w:r>
        <w:rPr>
          <w:rStyle w:val="FootnoteReference"/>
        </w:rPr>
        <w:footnoteRef/>
      </w:r>
      <w:r>
        <w:t xml:space="preserve"> Bond repurchasing is part of open market monetary policy operations to regulate the supply of money in the economy. </w:t>
      </w:r>
    </w:p>
  </w:footnote>
  <w:footnote w:id="7">
    <w:p w14:paraId="225AE36E" w14:textId="2C5EAE6A" w:rsidR="00E06F06" w:rsidRPr="001D1CE8" w:rsidRDefault="00E06F06" w:rsidP="00977DF6">
      <w:pPr>
        <w:spacing w:line="240" w:lineRule="auto"/>
        <w:rPr>
          <w:lang w:val="en-US"/>
        </w:rPr>
      </w:pPr>
      <w:r>
        <w:rPr>
          <w:rStyle w:val="FootnoteReference"/>
        </w:rPr>
        <w:footnoteRef/>
      </w:r>
      <w:r>
        <w:t xml:space="preserve"> </w:t>
      </w:r>
      <w:r w:rsidRPr="00977DF6">
        <w:rPr>
          <w:sz w:val="20"/>
          <w:szCs w:val="18"/>
          <w:lang w:val="en-US"/>
        </w:rPr>
        <w:t xml:space="preserve">See Donaldson, A. 2020. </w:t>
      </w:r>
      <w:r w:rsidRPr="00977DF6">
        <w:rPr>
          <w:i/>
          <w:iCs/>
          <w:sz w:val="20"/>
          <w:szCs w:val="18"/>
        </w:rPr>
        <w:t>Monetary management, financial markets and public debt</w:t>
      </w:r>
      <w:r w:rsidRPr="00977DF6">
        <w:rPr>
          <w:sz w:val="20"/>
          <w:szCs w:val="18"/>
        </w:rPr>
        <w:t xml:space="preserve">. </w:t>
      </w:r>
      <w:r w:rsidRPr="00977DF6">
        <w:rPr>
          <w:sz w:val="20"/>
          <w:szCs w:val="18"/>
          <w:lang w:val="en-US"/>
        </w:rPr>
        <w:t xml:space="preserve">Covid-19 Economic Ideas. </w:t>
      </w:r>
      <w:hyperlink r:id="rId1" w:history="1">
        <w:r w:rsidRPr="00977DF6">
          <w:rPr>
            <w:rStyle w:val="Hyperlink"/>
            <w:color w:val="4681BD" w:themeColor="accent1"/>
            <w:sz w:val="20"/>
            <w:szCs w:val="18"/>
          </w:rPr>
          <w:t>https://covid19economicideas.org/2020/04/09/monetary-management-financial-markets-and-public-debt-responding-to-covid-19-and-the-economic-standstill/</w:t>
        </w:r>
      </w:hyperlink>
    </w:p>
  </w:footnote>
  <w:footnote w:id="8">
    <w:p w14:paraId="13D3BDD1" w14:textId="5BA80015" w:rsidR="00E06F06" w:rsidRPr="00F8347B" w:rsidRDefault="00E06F06" w:rsidP="00977DF6">
      <w:pPr>
        <w:pStyle w:val="FootnoteText"/>
        <w:spacing w:line="240" w:lineRule="auto"/>
        <w:rPr>
          <w:lang w:val="en-US"/>
        </w:rPr>
      </w:pPr>
      <w:r>
        <w:rPr>
          <w:rStyle w:val="FootnoteReference"/>
        </w:rPr>
        <w:footnoteRef/>
      </w:r>
      <w:r>
        <w:t xml:space="preserve"> </w:t>
      </w:r>
      <w:r>
        <w:rPr>
          <w:lang w:val="en-US"/>
        </w:rPr>
        <w:t xml:space="preserve">See Statistics South Africa. 2017. </w:t>
      </w:r>
      <w:r w:rsidRPr="00977DF6">
        <w:rPr>
          <w:i/>
          <w:iCs/>
        </w:rPr>
        <w:t>Poverty Trends in South Africa</w:t>
      </w:r>
      <w:r>
        <w:t>: An examination of absolute poverty in South Africa between 2006 and 2015. Pretoria, Government Printing Works.</w:t>
      </w:r>
    </w:p>
  </w:footnote>
  <w:footnote w:id="9">
    <w:p w14:paraId="3D25C003" w14:textId="4755F498" w:rsidR="00E06F06" w:rsidRDefault="00E06F06" w:rsidP="003414B8">
      <w:pPr>
        <w:pStyle w:val="FootnoteText"/>
      </w:pPr>
      <w:r>
        <w:rPr>
          <w:rStyle w:val="FootnoteReference"/>
        </w:rPr>
        <w:footnoteRef/>
      </w:r>
      <w:r>
        <w:t xml:space="preserve"> </w:t>
      </w:r>
      <w:r>
        <w:rPr>
          <w:lang w:val="en-US"/>
        </w:rPr>
        <w:t xml:space="preserve">See </w:t>
      </w:r>
      <w:r w:rsidRPr="00065C2F">
        <w:t>International Monetary Fund. 2014. “Fiscal Policy and Income Inequality.” IMF Policy Paper</w:t>
      </w:r>
      <w:r>
        <w:t>.</w:t>
      </w:r>
      <w:r w:rsidRPr="00065C2F">
        <w:t xml:space="preserve"> Washington, DC</w:t>
      </w:r>
      <w:r>
        <w:t>: IMF</w:t>
      </w:r>
      <w:r w:rsidRPr="00065C2F">
        <w:t xml:space="preserve">. </w:t>
      </w:r>
    </w:p>
    <w:p w14:paraId="6C43F8B2" w14:textId="77777777" w:rsidR="00E06F06" w:rsidRPr="00065C2F" w:rsidRDefault="00E06F06" w:rsidP="003414B8">
      <w:pPr>
        <w:pStyle w:val="FootnoteText"/>
        <w:rPr>
          <w:lang w:val="en-US"/>
        </w:rPr>
      </w:pPr>
    </w:p>
  </w:footnote>
  <w:footnote w:id="10">
    <w:p w14:paraId="02751F24" w14:textId="20BB26B3" w:rsidR="00E06F06" w:rsidRPr="00D66FD0" w:rsidRDefault="00E06F06" w:rsidP="00C557D4">
      <w:pPr>
        <w:pStyle w:val="FootnoteText"/>
        <w:ind w:left="113" w:hanging="113"/>
        <w:rPr>
          <w:color w:val="000000" w:themeColor="text1"/>
        </w:rPr>
      </w:pPr>
      <w:r>
        <w:rPr>
          <w:rStyle w:val="FootnoteReference"/>
        </w:rPr>
        <w:footnoteRef/>
      </w:r>
      <w:r>
        <w:t xml:space="preserve"> </w:t>
      </w:r>
      <w:r w:rsidRPr="00D66FD0">
        <w:rPr>
          <w:color w:val="000000" w:themeColor="text1"/>
        </w:rPr>
        <w:t>The Commission notes that some have been released in response to Covid-19</w:t>
      </w:r>
    </w:p>
  </w:footnote>
  <w:footnote w:id="11">
    <w:p w14:paraId="57D7D1CC" w14:textId="70911B71" w:rsidR="00E06F06" w:rsidRPr="0060042E" w:rsidRDefault="00E06F06">
      <w:pPr>
        <w:pStyle w:val="FootnoteText"/>
        <w:rPr>
          <w:color w:val="000000" w:themeColor="text1"/>
        </w:rPr>
      </w:pPr>
      <w:r>
        <w:rPr>
          <w:rStyle w:val="FootnoteReference"/>
        </w:rPr>
        <w:footnoteRef/>
      </w:r>
      <w:r>
        <w:t xml:space="preserve"> In its presentation to  Joint Standing Committee and Select Committee on Finance and Appropriations on 30 April 2020, NT indicated that from a different perspective, the employment impacts that could be realised range between approx. 690 000 and 1.79 million full-time equivalent (FTE) jobs loses. </w:t>
      </w:r>
      <w:r w:rsidRPr="0060042E">
        <w:rPr>
          <w:color w:val="333333"/>
          <w:shd w:val="clear" w:color="auto" w:fill="FFFFFF"/>
        </w:rPr>
        <w:t xml:space="preserve">Dondo Mogajane, the National Treasury’s director-general, </w:t>
      </w:r>
      <w:r>
        <w:rPr>
          <w:color w:val="333333"/>
          <w:shd w:val="clear" w:color="auto" w:fill="FFFFFF"/>
        </w:rPr>
        <w:t>noted</w:t>
      </w:r>
      <w:r w:rsidRPr="0060042E">
        <w:rPr>
          <w:color w:val="333333"/>
          <w:shd w:val="clear" w:color="auto" w:fill="FFFFFF"/>
        </w:rPr>
        <w:t xml:space="preserve"> that the country’s unemployment rate could</w:t>
      </w:r>
      <w:r>
        <w:rPr>
          <w:rFonts w:ascii="Helvetica" w:hAnsi="Helvetica"/>
          <w:color w:val="333333"/>
          <w:sz w:val="27"/>
          <w:szCs w:val="27"/>
          <w:shd w:val="clear" w:color="auto" w:fill="FFFFFF"/>
        </w:rPr>
        <w:t xml:space="preserve"> </w:t>
      </w:r>
      <w:r w:rsidRPr="0060042E">
        <w:rPr>
          <w:color w:val="000000" w:themeColor="text1"/>
          <w:shd w:val="clear" w:color="auto" w:fill="FFFFFF"/>
        </w:rPr>
        <w:t>reach as high as 40% 4 May 2020 on 702. Nedbank forecasts that 1.6 million jobs will be shed in the country in 2020</w:t>
      </w:r>
      <w:r>
        <w:rPr>
          <w:color w:val="000000" w:themeColor="text1"/>
          <w:shd w:val="clear" w:color="auto" w:fill="FFFFFF"/>
        </w:rPr>
        <w:t xml:space="preserve"> compared to between 800,000-</w:t>
      </w:r>
      <w:r w:rsidRPr="0060042E">
        <w:rPr>
          <w:color w:val="000000" w:themeColor="text1"/>
          <w:shd w:val="clear" w:color="auto" w:fill="FFFFFF"/>
        </w:rPr>
        <w:t xml:space="preserve"> 900,000 jobs lost after </w:t>
      </w:r>
      <w:r>
        <w:rPr>
          <w:color w:val="000000" w:themeColor="text1"/>
          <w:shd w:val="clear" w:color="auto" w:fill="FFFFFF"/>
        </w:rPr>
        <w:t xml:space="preserve">in the 2009 global </w:t>
      </w:r>
      <w:r w:rsidRPr="0060042E">
        <w:rPr>
          <w:color w:val="000000" w:themeColor="text1"/>
          <w:shd w:val="clear" w:color="auto" w:fill="FFFFFF"/>
        </w:rPr>
        <w:t>financial recession</w:t>
      </w:r>
      <w:r>
        <w:rPr>
          <w:color w:val="000000" w:themeColor="text1"/>
          <w:shd w:val="clear" w:color="auto" w:fill="FFFFFF"/>
        </w:rPr>
        <w:t xml:space="preserve">. </w:t>
      </w:r>
      <w:r w:rsidRPr="0060042E">
        <w:rPr>
          <w:color w:val="000000" w:themeColor="text1"/>
          <w:shd w:val="clear" w:color="auto" w:fill="FFFFFF"/>
        </w:rPr>
        <w:t xml:space="preserve"> Business for SA </w:t>
      </w:r>
      <w:r>
        <w:rPr>
          <w:color w:val="000000" w:themeColor="text1"/>
          <w:shd w:val="clear" w:color="auto" w:fill="FFFFFF"/>
        </w:rPr>
        <w:t xml:space="preserve">on </w:t>
      </w:r>
      <w:r w:rsidRPr="0060042E">
        <w:rPr>
          <w:color w:val="000000" w:themeColor="text1"/>
          <w:shd w:val="clear" w:color="auto" w:fill="FFFFFF"/>
        </w:rPr>
        <w:t>6 May 2020</w:t>
      </w:r>
      <w:r>
        <w:rPr>
          <w:color w:val="000000" w:themeColor="text1"/>
          <w:shd w:val="clear" w:color="auto" w:fill="FFFFFF"/>
        </w:rPr>
        <w:t>, noted that between one</w:t>
      </w:r>
      <w:r w:rsidRPr="0060042E">
        <w:rPr>
          <w:color w:val="000000" w:themeColor="text1"/>
          <w:shd w:val="clear" w:color="auto" w:fill="FFFFFF"/>
        </w:rPr>
        <w:t xml:space="preserve"> million and four million formal and informal sector jobs are at risk</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DEE12A" w14:textId="3C5A4356" w:rsidR="00E06F06" w:rsidRDefault="00E06F06" w:rsidP="00BC2256">
    <w:pPr>
      <w:pStyle w:val="Header"/>
      <w:tabs>
        <w:tab w:val="clear" w:pos="4513"/>
        <w:tab w:val="clear" w:pos="9026"/>
        <w:tab w:val="left" w:pos="3876"/>
      </w:tabs>
    </w:pPr>
    <w:r>
      <w:rPr>
        <w:noProof/>
        <w:lang w:eastAsia="en-ZA"/>
      </w:rPr>
      <mc:AlternateContent>
        <mc:Choice Requires="wps">
          <w:drawing>
            <wp:anchor distT="0" distB="0" distL="0" distR="0" simplePos="0" relativeHeight="251658240" behindDoc="1" locked="0" layoutInCell="0" allowOverlap="1" wp14:anchorId="2F2E9695" wp14:editId="295394AB">
              <wp:simplePos x="0" y="0"/>
              <wp:positionH relativeFrom="margin">
                <wp:posOffset>-194310</wp:posOffset>
              </wp:positionH>
              <wp:positionV relativeFrom="page">
                <wp:posOffset>418648</wp:posOffset>
              </wp:positionV>
              <wp:extent cx="9190800" cy="396000"/>
              <wp:effectExtent l="0" t="0" r="0" b="10795"/>
              <wp:wrapTight wrapText="bothSides">
                <wp:wrapPolygon edited="0">
                  <wp:start x="149" y="0"/>
                  <wp:lineTo x="149" y="21496"/>
                  <wp:lineTo x="21431" y="21496"/>
                  <wp:lineTo x="21431" y="0"/>
                  <wp:lineTo x="149" y="0"/>
                </wp:wrapPolygon>
              </wp:wrapTight>
              <wp:docPr id="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90800" cy="396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48D580" w14:textId="57B08DAE" w:rsidR="00E06F06" w:rsidRPr="00273367" w:rsidRDefault="00E06F06" w:rsidP="001C61D7">
                          <w:pPr>
                            <w:pStyle w:val="Title"/>
                            <w:spacing w:after="0"/>
                            <w:rPr>
                              <w:rFonts w:ascii="Times" w:hAnsi="Times"/>
                              <w:color w:val="004C45" w:themeColor="text2"/>
                              <w:spacing w:val="0"/>
                              <w:sz w:val="16"/>
                              <w:szCs w:val="20"/>
                            </w:rPr>
                          </w:pPr>
                          <w:r w:rsidRPr="00273367">
                            <w:rPr>
                              <w:rFonts w:ascii="Times" w:hAnsi="Times"/>
                              <w:i/>
                              <w:iCs/>
                              <w:color w:val="004C45" w:themeColor="text2"/>
                              <w:spacing w:val="0"/>
                              <w:sz w:val="18"/>
                              <w:szCs w:val="20"/>
                            </w:rPr>
                            <w:t xml:space="preserve">Financial and Fiscal Commission: </w:t>
                          </w:r>
                          <w:r w:rsidRPr="00273367">
                            <w:rPr>
                              <w:rFonts w:ascii="Times" w:hAnsi="Times"/>
                              <w:color w:val="004C45" w:themeColor="text2"/>
                              <w:spacing w:val="0"/>
                              <w:sz w:val="18"/>
                              <w:szCs w:val="20"/>
                            </w:rPr>
                            <w:t>Briefing to the S</w:t>
                          </w:r>
                          <w:r>
                            <w:rPr>
                              <w:rFonts w:ascii="Times" w:hAnsi="Times"/>
                              <w:color w:val="004C45" w:themeColor="text2"/>
                              <w:spacing w:val="0"/>
                              <w:sz w:val="18"/>
                              <w:szCs w:val="20"/>
                            </w:rPr>
                            <w:t>elect</w:t>
                          </w:r>
                          <w:r w:rsidRPr="00273367">
                            <w:rPr>
                              <w:rFonts w:ascii="Times" w:hAnsi="Times"/>
                              <w:color w:val="004C45" w:themeColor="text2"/>
                              <w:spacing w:val="0"/>
                              <w:sz w:val="18"/>
                              <w:szCs w:val="20"/>
                            </w:rPr>
                            <w:t xml:space="preserve"> Committee on Appropriations on </w:t>
                          </w:r>
                          <w:r w:rsidRPr="00273367">
                            <w:rPr>
                              <w:rFonts w:ascii="Times" w:hAnsi="Times"/>
                              <w:bCs/>
                              <w:color w:val="004C45" w:themeColor="text2"/>
                              <w:spacing w:val="0"/>
                              <w:sz w:val="18"/>
                              <w:szCs w:val="20"/>
                            </w:rPr>
                            <w:t xml:space="preserve">the financial and fiscal </w:t>
                          </w:r>
                          <w:r w:rsidRPr="00273367">
                            <w:rPr>
                              <w:rFonts w:ascii="Times" w:hAnsi="Times"/>
                              <w:bCs/>
                              <w:color w:val="004C45" w:themeColor="text2"/>
                              <w:spacing w:val="0"/>
                              <w:sz w:val="16"/>
                              <w:szCs w:val="20"/>
                            </w:rPr>
                            <w:t>impact of Covid-19</w:t>
                          </w:r>
                        </w:p>
                        <w:p w14:paraId="4C337960" w14:textId="77777777" w:rsidR="00E06F06" w:rsidRPr="00F6149D" w:rsidRDefault="00E06F06">
                          <w:pPr>
                            <w:rPr>
                              <w:color w:val="26724C"/>
                            </w:rPr>
                          </w:pPr>
                        </w:p>
                      </w:txbxContent>
                    </wps:txbx>
                    <wps:bodyPr rot="0" vert="horz" wrap="square" lIns="9144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2F2E9695" id="_x0000_t202" coordsize="21600,21600" o:spt="202" path="m,l,21600r21600,l21600,xe">
              <v:stroke joinstyle="miter"/>
              <v:path gradientshapeok="t" o:connecttype="rect"/>
            </v:shapetype>
            <v:shape id="Text Box 1" o:spid="_x0000_s1026" type="#_x0000_t202" style="position:absolute;left:0;text-align:left;margin-left:-15.3pt;margin-top:32.95pt;width:723.7pt;height:31.2pt;z-index:-251658240;visibility:visible;mso-wrap-style:square;mso-width-percent:0;mso-height-percent:0;mso-wrap-distance-left:0;mso-wrap-distance-top:0;mso-wrap-distance-right:0;mso-wrap-distance-bottom:0;mso-position-horizontal:absolute;mso-position-horizontal-relative:margin;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8/TsgIAALMFAAAOAAAAZHJzL2Uyb0RvYy54bWysVO1umzAU/T9p72D5PwVSJw2opGpDmCZ1&#10;H1K7B3CMCdbAZrYT6Kq9+65Nvtpp0rSNH5Z9fX3uxznc65uhbdCOayOUzHB8EWHEJVOlkJsMf3ks&#10;gjlGxlJZ0kZJnuEnbvDN4u2b675L+UTVqim5RgAiTdp3Ga6t7dIwNKzmLTUXquMSLiulW2rhqDdh&#10;qWkP6G0TTqJoFvZKl51WjBsD1ny8xAuPX1Wc2U9VZbhFTYYhN+tX7de1W8PFNU03mna1YPs06F9k&#10;0VIhIegRKqeWoq0Wv0C1gmllVGUvmGpDVVWCcV8DVBNHr6p5qGnHfS3QHNMd22T+Hyz7uPuskSgz&#10;nGAkaQsUPfLBojs1oNh1p+9MCk4PHbjZAczAsq/UdPeKfTVIqmVN5Ybfaq36mtMSsvMvw7OnI45x&#10;IOv+gyohDN1a5YGGSreuddAMBOjA0tORGZcKA2MSJ9E8gisGd5fJLII9JBfS9PC608a+46pFbpNh&#10;Dcx7dLq7N3Z0Pbi4YFIVomk8+418YQDM0QKx4am7c1l4Mp+TKFnNV3MSkMlsFZAoz4PbYkmCWRFf&#10;TfPLfLnM4x8ubkzSWpQlly7MQVgx+TPi9hIfJXGUllGNKB2cS8nozXrZaLSjIOzCf/uGnLmFL9Pw&#10;/YJaXpUUT0h0N0mCYja/CkhBpkFyFc2DKE7uoNEkIXnxsqR7Ifm/l4R6oHU6mY5i+m1twPSJ7LPa&#10;aNoKC6OjEW2GQRp7J5o6Ca5k6am1VDTj/qwVLv1TK4DuA9FesE6jo1rtsB4Axal4rconkK5WoCwQ&#10;Icw72NRKf8eoh9mRYfNtSzXHqHkvQf5JTIgbNv4AG31uXR+sVDKAyDCzGqPxsLTjaNp2WmxqiDH+&#10;alLdws9SCa/jUz5QhDvAZPDl7KeYGz3nZ+91mrWLnwAAAP//AwBQSwMEFAAGAAgAAAAhAO6t5Kfi&#10;AAAACwEAAA8AAABkcnMvZG93bnJldi54bWxMj8FOwkAQhu8mvsNmTLwY2C2FBmu3xJBg9AgCkdvS&#10;Hdvq7mzTXaC+vctJbzOZL/98f7EYrGFn7H3rSEIyFsCQKqdbqiVs31ejOTAfFGllHKGEH/SwKG9v&#10;CpVrd6E1njehZjGEfK4kNCF0Oee+atAqP3YdUrx9ut6qENe+5rpXlxhuDZ8IkXGrWoofGtXhssHq&#10;e3OyEsw+PfDdbinobZW8HGbr14+vh6mU93fD8xOwgEP4g+GqH9WhjE5HdyLtmZEwSkUWUQnZ7BHY&#10;FZgmWSxzjNNkngIvC/6/Q/kLAAD//wMAUEsBAi0AFAAGAAgAAAAhALaDOJL+AAAA4QEAABMAAAAA&#10;AAAAAAAAAAAAAAAAAFtDb250ZW50X1R5cGVzXS54bWxQSwECLQAUAAYACAAAACEAOP0h/9YAAACU&#10;AQAACwAAAAAAAAAAAAAAAAAvAQAAX3JlbHMvLnJlbHNQSwECLQAUAAYACAAAACEAwW/P07ICAACz&#10;BQAADgAAAAAAAAAAAAAAAAAuAgAAZHJzL2Uyb0RvYy54bWxQSwECLQAUAAYACAAAACEA7q3kp+IA&#10;AAALAQAADwAAAAAAAAAAAAAAAAAMBQAAZHJzL2Rvd25yZXYueG1sUEsFBgAAAAAEAAQA8wAAABsG&#10;AAAAAA==&#10;" o:allowincell="f" filled="f" stroked="f">
              <v:textbox inset=",0,,0">
                <w:txbxContent>
                  <w:p w14:paraId="7348D580" w14:textId="57B08DAE" w:rsidR="00E06F06" w:rsidRPr="00273367" w:rsidRDefault="00E06F06" w:rsidP="001C61D7">
                    <w:pPr>
                      <w:pStyle w:val="Title"/>
                      <w:spacing w:after="0"/>
                      <w:rPr>
                        <w:rFonts w:ascii="Times" w:hAnsi="Times"/>
                        <w:color w:val="004C45" w:themeColor="text2"/>
                        <w:spacing w:val="0"/>
                        <w:sz w:val="16"/>
                        <w:szCs w:val="20"/>
                      </w:rPr>
                    </w:pPr>
                    <w:r w:rsidRPr="00273367">
                      <w:rPr>
                        <w:rFonts w:ascii="Times" w:hAnsi="Times"/>
                        <w:i/>
                        <w:iCs/>
                        <w:color w:val="004C45" w:themeColor="text2"/>
                        <w:spacing w:val="0"/>
                        <w:sz w:val="18"/>
                        <w:szCs w:val="20"/>
                      </w:rPr>
                      <w:t xml:space="preserve">Financial and Fiscal Commission: </w:t>
                    </w:r>
                    <w:r w:rsidRPr="00273367">
                      <w:rPr>
                        <w:rFonts w:ascii="Times" w:hAnsi="Times"/>
                        <w:color w:val="004C45" w:themeColor="text2"/>
                        <w:spacing w:val="0"/>
                        <w:sz w:val="18"/>
                        <w:szCs w:val="20"/>
                      </w:rPr>
                      <w:t>Briefing to the S</w:t>
                    </w:r>
                    <w:r>
                      <w:rPr>
                        <w:rFonts w:ascii="Times" w:hAnsi="Times"/>
                        <w:color w:val="004C45" w:themeColor="text2"/>
                        <w:spacing w:val="0"/>
                        <w:sz w:val="18"/>
                        <w:szCs w:val="20"/>
                      </w:rPr>
                      <w:t>elect</w:t>
                    </w:r>
                    <w:r w:rsidRPr="00273367">
                      <w:rPr>
                        <w:rFonts w:ascii="Times" w:hAnsi="Times"/>
                        <w:color w:val="004C45" w:themeColor="text2"/>
                        <w:spacing w:val="0"/>
                        <w:sz w:val="18"/>
                        <w:szCs w:val="20"/>
                      </w:rPr>
                      <w:t xml:space="preserve"> Committee on Appropriations on </w:t>
                    </w:r>
                    <w:r w:rsidRPr="00273367">
                      <w:rPr>
                        <w:rFonts w:ascii="Times" w:hAnsi="Times"/>
                        <w:bCs/>
                        <w:color w:val="004C45" w:themeColor="text2"/>
                        <w:spacing w:val="0"/>
                        <w:sz w:val="18"/>
                        <w:szCs w:val="20"/>
                      </w:rPr>
                      <w:t xml:space="preserve">the financial and fiscal </w:t>
                    </w:r>
                    <w:r w:rsidRPr="00273367">
                      <w:rPr>
                        <w:rFonts w:ascii="Times" w:hAnsi="Times"/>
                        <w:bCs/>
                        <w:color w:val="004C45" w:themeColor="text2"/>
                        <w:spacing w:val="0"/>
                        <w:sz w:val="16"/>
                        <w:szCs w:val="20"/>
                      </w:rPr>
                      <w:t>impact of Covid-19</w:t>
                    </w:r>
                  </w:p>
                  <w:p w14:paraId="4C337960" w14:textId="77777777" w:rsidR="00E06F06" w:rsidRPr="00F6149D" w:rsidRDefault="00E06F06">
                    <w:pPr>
                      <w:rPr>
                        <w:color w:val="26724C"/>
                      </w:rPr>
                    </w:pPr>
                  </w:p>
                </w:txbxContent>
              </v:textbox>
              <w10:wrap type="tight" anchorx="margin" anchory="page"/>
            </v:shape>
          </w:pict>
        </mc:Fallback>
      </mc:AlternateContent>
    </w: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35FC4"/>
    <w:multiLevelType w:val="hybridMultilevel"/>
    <w:tmpl w:val="0D480320"/>
    <w:lvl w:ilvl="0" w:tplc="5D38C61E">
      <w:start w:val="1"/>
      <w:numFmt w:val="bullet"/>
      <w:lvlText w:val=""/>
      <w:lvlJc w:val="left"/>
      <w:pPr>
        <w:ind w:left="1151" w:hanging="360"/>
      </w:pPr>
      <w:rPr>
        <w:rFonts w:ascii="Symbol" w:hAnsi="Symbol" w:hint="default"/>
      </w:rPr>
    </w:lvl>
    <w:lvl w:ilvl="1" w:tplc="04090003" w:tentative="1">
      <w:start w:val="1"/>
      <w:numFmt w:val="bullet"/>
      <w:lvlText w:val="o"/>
      <w:lvlJc w:val="left"/>
      <w:pPr>
        <w:ind w:left="1871" w:hanging="360"/>
      </w:pPr>
      <w:rPr>
        <w:rFonts w:ascii="Courier New" w:hAnsi="Courier New" w:cs="Courier New" w:hint="default"/>
      </w:rPr>
    </w:lvl>
    <w:lvl w:ilvl="2" w:tplc="04090005" w:tentative="1">
      <w:start w:val="1"/>
      <w:numFmt w:val="bullet"/>
      <w:lvlText w:val=""/>
      <w:lvlJc w:val="left"/>
      <w:pPr>
        <w:ind w:left="2591" w:hanging="360"/>
      </w:pPr>
      <w:rPr>
        <w:rFonts w:ascii="Wingdings" w:hAnsi="Wingdings" w:hint="default"/>
      </w:rPr>
    </w:lvl>
    <w:lvl w:ilvl="3" w:tplc="04090001" w:tentative="1">
      <w:start w:val="1"/>
      <w:numFmt w:val="bullet"/>
      <w:lvlText w:val=""/>
      <w:lvlJc w:val="left"/>
      <w:pPr>
        <w:ind w:left="3311" w:hanging="360"/>
      </w:pPr>
      <w:rPr>
        <w:rFonts w:ascii="Symbol" w:hAnsi="Symbol" w:hint="default"/>
      </w:rPr>
    </w:lvl>
    <w:lvl w:ilvl="4" w:tplc="04090003" w:tentative="1">
      <w:start w:val="1"/>
      <w:numFmt w:val="bullet"/>
      <w:lvlText w:val="o"/>
      <w:lvlJc w:val="left"/>
      <w:pPr>
        <w:ind w:left="4031" w:hanging="360"/>
      </w:pPr>
      <w:rPr>
        <w:rFonts w:ascii="Courier New" w:hAnsi="Courier New" w:cs="Courier New" w:hint="default"/>
      </w:rPr>
    </w:lvl>
    <w:lvl w:ilvl="5" w:tplc="04090005" w:tentative="1">
      <w:start w:val="1"/>
      <w:numFmt w:val="bullet"/>
      <w:lvlText w:val=""/>
      <w:lvlJc w:val="left"/>
      <w:pPr>
        <w:ind w:left="4751" w:hanging="360"/>
      </w:pPr>
      <w:rPr>
        <w:rFonts w:ascii="Wingdings" w:hAnsi="Wingdings" w:hint="default"/>
      </w:rPr>
    </w:lvl>
    <w:lvl w:ilvl="6" w:tplc="04090001" w:tentative="1">
      <w:start w:val="1"/>
      <w:numFmt w:val="bullet"/>
      <w:lvlText w:val=""/>
      <w:lvlJc w:val="left"/>
      <w:pPr>
        <w:ind w:left="5471" w:hanging="360"/>
      </w:pPr>
      <w:rPr>
        <w:rFonts w:ascii="Symbol" w:hAnsi="Symbol" w:hint="default"/>
      </w:rPr>
    </w:lvl>
    <w:lvl w:ilvl="7" w:tplc="04090003" w:tentative="1">
      <w:start w:val="1"/>
      <w:numFmt w:val="bullet"/>
      <w:lvlText w:val="o"/>
      <w:lvlJc w:val="left"/>
      <w:pPr>
        <w:ind w:left="6191" w:hanging="360"/>
      </w:pPr>
      <w:rPr>
        <w:rFonts w:ascii="Courier New" w:hAnsi="Courier New" w:cs="Courier New" w:hint="default"/>
      </w:rPr>
    </w:lvl>
    <w:lvl w:ilvl="8" w:tplc="04090005" w:tentative="1">
      <w:start w:val="1"/>
      <w:numFmt w:val="bullet"/>
      <w:lvlText w:val=""/>
      <w:lvlJc w:val="left"/>
      <w:pPr>
        <w:ind w:left="6911" w:hanging="360"/>
      </w:pPr>
      <w:rPr>
        <w:rFonts w:ascii="Wingdings" w:hAnsi="Wingdings" w:hint="default"/>
      </w:rPr>
    </w:lvl>
  </w:abstractNum>
  <w:abstractNum w:abstractNumId="1" w15:restartNumberingAfterBreak="0">
    <w:nsid w:val="078A6590"/>
    <w:multiLevelType w:val="hybridMultilevel"/>
    <w:tmpl w:val="166A286A"/>
    <w:lvl w:ilvl="0" w:tplc="1C090001">
      <w:start w:val="1"/>
      <w:numFmt w:val="bullet"/>
      <w:lvlText w:val=""/>
      <w:lvlJc w:val="left"/>
      <w:pPr>
        <w:ind w:left="1377" w:hanging="360"/>
      </w:pPr>
      <w:rPr>
        <w:rFonts w:ascii="Symbol" w:hAnsi="Symbol" w:hint="default"/>
      </w:rPr>
    </w:lvl>
    <w:lvl w:ilvl="1" w:tplc="1C090003" w:tentative="1">
      <w:start w:val="1"/>
      <w:numFmt w:val="bullet"/>
      <w:lvlText w:val="o"/>
      <w:lvlJc w:val="left"/>
      <w:pPr>
        <w:ind w:left="2097" w:hanging="360"/>
      </w:pPr>
      <w:rPr>
        <w:rFonts w:ascii="Courier New" w:hAnsi="Courier New" w:cs="Courier New" w:hint="default"/>
      </w:rPr>
    </w:lvl>
    <w:lvl w:ilvl="2" w:tplc="1C090005" w:tentative="1">
      <w:start w:val="1"/>
      <w:numFmt w:val="bullet"/>
      <w:lvlText w:val=""/>
      <w:lvlJc w:val="left"/>
      <w:pPr>
        <w:ind w:left="2817" w:hanging="360"/>
      </w:pPr>
      <w:rPr>
        <w:rFonts w:ascii="Wingdings" w:hAnsi="Wingdings" w:hint="default"/>
      </w:rPr>
    </w:lvl>
    <w:lvl w:ilvl="3" w:tplc="1C090001" w:tentative="1">
      <w:start w:val="1"/>
      <w:numFmt w:val="bullet"/>
      <w:lvlText w:val=""/>
      <w:lvlJc w:val="left"/>
      <w:pPr>
        <w:ind w:left="3537" w:hanging="360"/>
      </w:pPr>
      <w:rPr>
        <w:rFonts w:ascii="Symbol" w:hAnsi="Symbol" w:hint="default"/>
      </w:rPr>
    </w:lvl>
    <w:lvl w:ilvl="4" w:tplc="1C090003" w:tentative="1">
      <w:start w:val="1"/>
      <w:numFmt w:val="bullet"/>
      <w:lvlText w:val="o"/>
      <w:lvlJc w:val="left"/>
      <w:pPr>
        <w:ind w:left="4257" w:hanging="360"/>
      </w:pPr>
      <w:rPr>
        <w:rFonts w:ascii="Courier New" w:hAnsi="Courier New" w:cs="Courier New" w:hint="default"/>
      </w:rPr>
    </w:lvl>
    <w:lvl w:ilvl="5" w:tplc="1C090005" w:tentative="1">
      <w:start w:val="1"/>
      <w:numFmt w:val="bullet"/>
      <w:lvlText w:val=""/>
      <w:lvlJc w:val="left"/>
      <w:pPr>
        <w:ind w:left="4977" w:hanging="360"/>
      </w:pPr>
      <w:rPr>
        <w:rFonts w:ascii="Wingdings" w:hAnsi="Wingdings" w:hint="default"/>
      </w:rPr>
    </w:lvl>
    <w:lvl w:ilvl="6" w:tplc="1C090001" w:tentative="1">
      <w:start w:val="1"/>
      <w:numFmt w:val="bullet"/>
      <w:lvlText w:val=""/>
      <w:lvlJc w:val="left"/>
      <w:pPr>
        <w:ind w:left="5697" w:hanging="360"/>
      </w:pPr>
      <w:rPr>
        <w:rFonts w:ascii="Symbol" w:hAnsi="Symbol" w:hint="default"/>
      </w:rPr>
    </w:lvl>
    <w:lvl w:ilvl="7" w:tplc="1C090003" w:tentative="1">
      <w:start w:val="1"/>
      <w:numFmt w:val="bullet"/>
      <w:lvlText w:val="o"/>
      <w:lvlJc w:val="left"/>
      <w:pPr>
        <w:ind w:left="6417" w:hanging="360"/>
      </w:pPr>
      <w:rPr>
        <w:rFonts w:ascii="Courier New" w:hAnsi="Courier New" w:cs="Courier New" w:hint="default"/>
      </w:rPr>
    </w:lvl>
    <w:lvl w:ilvl="8" w:tplc="1C090005" w:tentative="1">
      <w:start w:val="1"/>
      <w:numFmt w:val="bullet"/>
      <w:lvlText w:val=""/>
      <w:lvlJc w:val="left"/>
      <w:pPr>
        <w:ind w:left="7137" w:hanging="360"/>
      </w:pPr>
      <w:rPr>
        <w:rFonts w:ascii="Wingdings" w:hAnsi="Wingdings" w:hint="default"/>
      </w:rPr>
    </w:lvl>
  </w:abstractNum>
  <w:abstractNum w:abstractNumId="2" w15:restartNumberingAfterBreak="0">
    <w:nsid w:val="081C3C34"/>
    <w:multiLevelType w:val="hybridMultilevel"/>
    <w:tmpl w:val="EC9803DA"/>
    <w:lvl w:ilvl="0" w:tplc="A93CE2AA">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96306F"/>
    <w:multiLevelType w:val="hybridMultilevel"/>
    <w:tmpl w:val="6BC49612"/>
    <w:lvl w:ilvl="0" w:tplc="AD08AD9A">
      <w:start w:val="1"/>
      <w:numFmt w:val="bullet"/>
      <w:lvlText w:val=""/>
      <w:lvlJc w:val="left"/>
      <w:pPr>
        <w:ind w:left="1716" w:hanging="360"/>
      </w:pPr>
      <w:rPr>
        <w:rFonts w:ascii="Symbol" w:hAnsi="Symbol" w:hint="default"/>
      </w:rPr>
    </w:lvl>
    <w:lvl w:ilvl="1" w:tplc="04090003" w:tentative="1">
      <w:start w:val="1"/>
      <w:numFmt w:val="bullet"/>
      <w:lvlText w:val="o"/>
      <w:lvlJc w:val="left"/>
      <w:pPr>
        <w:ind w:left="2436" w:hanging="360"/>
      </w:pPr>
      <w:rPr>
        <w:rFonts w:ascii="Courier New" w:hAnsi="Courier New" w:cs="Courier New" w:hint="default"/>
      </w:rPr>
    </w:lvl>
    <w:lvl w:ilvl="2" w:tplc="04090005" w:tentative="1">
      <w:start w:val="1"/>
      <w:numFmt w:val="bullet"/>
      <w:lvlText w:val=""/>
      <w:lvlJc w:val="left"/>
      <w:pPr>
        <w:ind w:left="3156" w:hanging="360"/>
      </w:pPr>
      <w:rPr>
        <w:rFonts w:ascii="Wingdings" w:hAnsi="Wingdings" w:hint="default"/>
      </w:rPr>
    </w:lvl>
    <w:lvl w:ilvl="3" w:tplc="04090001" w:tentative="1">
      <w:start w:val="1"/>
      <w:numFmt w:val="bullet"/>
      <w:lvlText w:val=""/>
      <w:lvlJc w:val="left"/>
      <w:pPr>
        <w:ind w:left="3876" w:hanging="360"/>
      </w:pPr>
      <w:rPr>
        <w:rFonts w:ascii="Symbol" w:hAnsi="Symbol" w:hint="default"/>
      </w:rPr>
    </w:lvl>
    <w:lvl w:ilvl="4" w:tplc="04090003" w:tentative="1">
      <w:start w:val="1"/>
      <w:numFmt w:val="bullet"/>
      <w:lvlText w:val="o"/>
      <w:lvlJc w:val="left"/>
      <w:pPr>
        <w:ind w:left="4596" w:hanging="360"/>
      </w:pPr>
      <w:rPr>
        <w:rFonts w:ascii="Courier New" w:hAnsi="Courier New" w:cs="Courier New" w:hint="default"/>
      </w:rPr>
    </w:lvl>
    <w:lvl w:ilvl="5" w:tplc="04090005" w:tentative="1">
      <w:start w:val="1"/>
      <w:numFmt w:val="bullet"/>
      <w:lvlText w:val=""/>
      <w:lvlJc w:val="left"/>
      <w:pPr>
        <w:ind w:left="5316" w:hanging="360"/>
      </w:pPr>
      <w:rPr>
        <w:rFonts w:ascii="Wingdings" w:hAnsi="Wingdings" w:hint="default"/>
      </w:rPr>
    </w:lvl>
    <w:lvl w:ilvl="6" w:tplc="04090001" w:tentative="1">
      <w:start w:val="1"/>
      <w:numFmt w:val="bullet"/>
      <w:lvlText w:val=""/>
      <w:lvlJc w:val="left"/>
      <w:pPr>
        <w:ind w:left="6036" w:hanging="360"/>
      </w:pPr>
      <w:rPr>
        <w:rFonts w:ascii="Symbol" w:hAnsi="Symbol" w:hint="default"/>
      </w:rPr>
    </w:lvl>
    <w:lvl w:ilvl="7" w:tplc="04090003" w:tentative="1">
      <w:start w:val="1"/>
      <w:numFmt w:val="bullet"/>
      <w:lvlText w:val="o"/>
      <w:lvlJc w:val="left"/>
      <w:pPr>
        <w:ind w:left="6756" w:hanging="360"/>
      </w:pPr>
      <w:rPr>
        <w:rFonts w:ascii="Courier New" w:hAnsi="Courier New" w:cs="Courier New" w:hint="default"/>
      </w:rPr>
    </w:lvl>
    <w:lvl w:ilvl="8" w:tplc="04090005" w:tentative="1">
      <w:start w:val="1"/>
      <w:numFmt w:val="bullet"/>
      <w:lvlText w:val=""/>
      <w:lvlJc w:val="left"/>
      <w:pPr>
        <w:ind w:left="7476" w:hanging="360"/>
      </w:pPr>
      <w:rPr>
        <w:rFonts w:ascii="Wingdings" w:hAnsi="Wingdings" w:hint="default"/>
      </w:rPr>
    </w:lvl>
  </w:abstractNum>
  <w:abstractNum w:abstractNumId="4" w15:restartNumberingAfterBreak="0">
    <w:nsid w:val="116D30F7"/>
    <w:multiLevelType w:val="hybridMultilevel"/>
    <w:tmpl w:val="095A13B2"/>
    <w:lvl w:ilvl="0" w:tplc="06BA7A4E">
      <w:start w:val="1"/>
      <w:numFmt w:val="bullet"/>
      <w:lvlText w:val="•"/>
      <w:lvlJc w:val="left"/>
      <w:pPr>
        <w:tabs>
          <w:tab w:val="num" w:pos="720"/>
        </w:tabs>
        <w:ind w:left="720" w:hanging="360"/>
      </w:pPr>
      <w:rPr>
        <w:rFonts w:ascii="Arial" w:hAnsi="Arial" w:hint="default"/>
      </w:rPr>
    </w:lvl>
    <w:lvl w:ilvl="1" w:tplc="E974869E" w:tentative="1">
      <w:start w:val="1"/>
      <w:numFmt w:val="bullet"/>
      <w:lvlText w:val="•"/>
      <w:lvlJc w:val="left"/>
      <w:pPr>
        <w:tabs>
          <w:tab w:val="num" w:pos="1440"/>
        </w:tabs>
        <w:ind w:left="1440" w:hanging="360"/>
      </w:pPr>
      <w:rPr>
        <w:rFonts w:ascii="Arial" w:hAnsi="Arial" w:hint="default"/>
      </w:rPr>
    </w:lvl>
    <w:lvl w:ilvl="2" w:tplc="D5687C78" w:tentative="1">
      <w:start w:val="1"/>
      <w:numFmt w:val="bullet"/>
      <w:lvlText w:val="•"/>
      <w:lvlJc w:val="left"/>
      <w:pPr>
        <w:tabs>
          <w:tab w:val="num" w:pos="2160"/>
        </w:tabs>
        <w:ind w:left="2160" w:hanging="360"/>
      </w:pPr>
      <w:rPr>
        <w:rFonts w:ascii="Arial" w:hAnsi="Arial" w:hint="default"/>
      </w:rPr>
    </w:lvl>
    <w:lvl w:ilvl="3" w:tplc="AE8EFF38" w:tentative="1">
      <w:start w:val="1"/>
      <w:numFmt w:val="bullet"/>
      <w:lvlText w:val="•"/>
      <w:lvlJc w:val="left"/>
      <w:pPr>
        <w:tabs>
          <w:tab w:val="num" w:pos="2880"/>
        </w:tabs>
        <w:ind w:left="2880" w:hanging="360"/>
      </w:pPr>
      <w:rPr>
        <w:rFonts w:ascii="Arial" w:hAnsi="Arial" w:hint="default"/>
      </w:rPr>
    </w:lvl>
    <w:lvl w:ilvl="4" w:tplc="D1E86BBE" w:tentative="1">
      <w:start w:val="1"/>
      <w:numFmt w:val="bullet"/>
      <w:lvlText w:val="•"/>
      <w:lvlJc w:val="left"/>
      <w:pPr>
        <w:tabs>
          <w:tab w:val="num" w:pos="3600"/>
        </w:tabs>
        <w:ind w:left="3600" w:hanging="360"/>
      </w:pPr>
      <w:rPr>
        <w:rFonts w:ascii="Arial" w:hAnsi="Arial" w:hint="default"/>
      </w:rPr>
    </w:lvl>
    <w:lvl w:ilvl="5" w:tplc="DE6A0ADE" w:tentative="1">
      <w:start w:val="1"/>
      <w:numFmt w:val="bullet"/>
      <w:lvlText w:val="•"/>
      <w:lvlJc w:val="left"/>
      <w:pPr>
        <w:tabs>
          <w:tab w:val="num" w:pos="4320"/>
        </w:tabs>
        <w:ind w:left="4320" w:hanging="360"/>
      </w:pPr>
      <w:rPr>
        <w:rFonts w:ascii="Arial" w:hAnsi="Arial" w:hint="default"/>
      </w:rPr>
    </w:lvl>
    <w:lvl w:ilvl="6" w:tplc="40B02B88" w:tentative="1">
      <w:start w:val="1"/>
      <w:numFmt w:val="bullet"/>
      <w:lvlText w:val="•"/>
      <w:lvlJc w:val="left"/>
      <w:pPr>
        <w:tabs>
          <w:tab w:val="num" w:pos="5040"/>
        </w:tabs>
        <w:ind w:left="5040" w:hanging="360"/>
      </w:pPr>
      <w:rPr>
        <w:rFonts w:ascii="Arial" w:hAnsi="Arial" w:hint="default"/>
      </w:rPr>
    </w:lvl>
    <w:lvl w:ilvl="7" w:tplc="52367B48" w:tentative="1">
      <w:start w:val="1"/>
      <w:numFmt w:val="bullet"/>
      <w:lvlText w:val="•"/>
      <w:lvlJc w:val="left"/>
      <w:pPr>
        <w:tabs>
          <w:tab w:val="num" w:pos="5760"/>
        </w:tabs>
        <w:ind w:left="5760" w:hanging="360"/>
      </w:pPr>
      <w:rPr>
        <w:rFonts w:ascii="Arial" w:hAnsi="Arial" w:hint="default"/>
      </w:rPr>
    </w:lvl>
    <w:lvl w:ilvl="8" w:tplc="FB7C688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35D79D4"/>
    <w:multiLevelType w:val="multilevel"/>
    <w:tmpl w:val="7C8C8656"/>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i w:val="0"/>
        <w:color w:val="auto"/>
        <w:sz w:val="24"/>
        <w:szCs w:val="24"/>
      </w:rPr>
    </w:lvl>
    <w:lvl w:ilvl="2">
      <w:start w:val="1"/>
      <w:numFmt w:val="bullet"/>
      <w:lvlText w:val=""/>
      <w:lvlJc w:val="left"/>
      <w:pPr>
        <w:ind w:left="1355" w:hanging="504"/>
      </w:pPr>
      <w:rPr>
        <w:rFonts w:ascii="Symbol" w:hAnsi="Symbol" w:hint="default"/>
        <w:b w:val="0"/>
        <w:sz w:val="24"/>
      </w:rPr>
    </w:lvl>
    <w:lvl w:ilvl="3">
      <w:start w:val="1"/>
      <w:numFmt w:val="lowerLetter"/>
      <w:lvlText w:val="%4."/>
      <w:lvlJc w:val="left"/>
      <w:pPr>
        <w:ind w:left="1728" w:hanging="648"/>
      </w:pPr>
      <w:rPr>
        <w:rFonts w:hint="default"/>
        <w:sz w:val="24"/>
        <w:szCs w:val="24"/>
      </w:rPr>
    </w:lvl>
    <w:lvl w:ilvl="4">
      <w:start w:val="1"/>
      <w:numFmt w:val="lowerRoman"/>
      <w:lvlText w:val="%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6" w15:restartNumberingAfterBreak="0">
    <w:nsid w:val="14C57C8B"/>
    <w:multiLevelType w:val="hybridMultilevel"/>
    <w:tmpl w:val="A1A60E60"/>
    <w:lvl w:ilvl="0" w:tplc="E16EE6DA">
      <w:start w:val="1"/>
      <w:numFmt w:val="bullet"/>
      <w:lvlText w:val=""/>
      <w:lvlJc w:val="left"/>
      <w:pPr>
        <w:ind w:left="1490" w:hanging="360"/>
      </w:pPr>
      <w:rPr>
        <w:rFonts w:ascii="Symbol" w:hAnsi="Symbol" w:hint="default"/>
      </w:rPr>
    </w:lvl>
    <w:lvl w:ilvl="1" w:tplc="04090003" w:tentative="1">
      <w:start w:val="1"/>
      <w:numFmt w:val="bullet"/>
      <w:lvlText w:val="o"/>
      <w:lvlJc w:val="left"/>
      <w:pPr>
        <w:ind w:left="2210" w:hanging="360"/>
      </w:pPr>
      <w:rPr>
        <w:rFonts w:ascii="Courier New" w:hAnsi="Courier New" w:cs="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7" w15:restartNumberingAfterBreak="0">
    <w:nsid w:val="14E3030D"/>
    <w:multiLevelType w:val="hybridMultilevel"/>
    <w:tmpl w:val="7CA895B6"/>
    <w:lvl w:ilvl="0" w:tplc="426CBB38">
      <w:start w:val="1"/>
      <w:numFmt w:val="bullet"/>
      <w:lvlText w:val=""/>
      <w:lvlJc w:val="left"/>
      <w:pPr>
        <w:ind w:left="2913" w:hanging="360"/>
      </w:pPr>
      <w:rPr>
        <w:rFonts w:ascii="Symbol" w:hAnsi="Symbol" w:hint="default"/>
      </w:rPr>
    </w:lvl>
    <w:lvl w:ilvl="1" w:tplc="08090003">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8" w15:restartNumberingAfterBreak="0">
    <w:nsid w:val="1A8B70D0"/>
    <w:multiLevelType w:val="hybridMultilevel"/>
    <w:tmpl w:val="FAB48A66"/>
    <w:lvl w:ilvl="0" w:tplc="A93CE2AA">
      <w:start w:val="4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24E290C"/>
    <w:multiLevelType w:val="hybridMultilevel"/>
    <w:tmpl w:val="514C4312"/>
    <w:lvl w:ilvl="0" w:tplc="9CAE4A1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9035BD"/>
    <w:multiLevelType w:val="hybridMultilevel"/>
    <w:tmpl w:val="FAAAEC2C"/>
    <w:lvl w:ilvl="0" w:tplc="1C02F0E0">
      <w:start w:val="1"/>
      <w:numFmt w:val="bullet"/>
      <w:lvlText w:val=""/>
      <w:lvlJc w:val="left"/>
      <w:pPr>
        <w:ind w:left="720" w:hanging="360"/>
      </w:pPr>
      <w:rPr>
        <w:rFonts w:ascii="Symbol" w:hAnsi="Symbol" w:hint="default"/>
      </w:rPr>
    </w:lvl>
    <w:lvl w:ilvl="1" w:tplc="08090003" w:tentative="1">
      <w:start w:val="1"/>
      <w:numFmt w:val="bullet"/>
      <w:lvlText w:val="o"/>
      <w:lvlJc w:val="left"/>
      <w:pPr>
        <w:ind w:left="665" w:hanging="360"/>
      </w:pPr>
      <w:rPr>
        <w:rFonts w:ascii="Courier New" w:hAnsi="Courier New" w:cs="Courier New" w:hint="default"/>
      </w:rPr>
    </w:lvl>
    <w:lvl w:ilvl="2" w:tplc="08090005" w:tentative="1">
      <w:start w:val="1"/>
      <w:numFmt w:val="bullet"/>
      <w:lvlText w:val=""/>
      <w:lvlJc w:val="left"/>
      <w:pPr>
        <w:ind w:left="1385" w:hanging="360"/>
      </w:pPr>
      <w:rPr>
        <w:rFonts w:ascii="Wingdings" w:hAnsi="Wingdings" w:hint="default"/>
      </w:rPr>
    </w:lvl>
    <w:lvl w:ilvl="3" w:tplc="08090001" w:tentative="1">
      <w:start w:val="1"/>
      <w:numFmt w:val="bullet"/>
      <w:lvlText w:val=""/>
      <w:lvlJc w:val="left"/>
      <w:pPr>
        <w:ind w:left="2105" w:hanging="360"/>
      </w:pPr>
      <w:rPr>
        <w:rFonts w:ascii="Symbol" w:hAnsi="Symbol" w:hint="default"/>
      </w:rPr>
    </w:lvl>
    <w:lvl w:ilvl="4" w:tplc="08090003" w:tentative="1">
      <w:start w:val="1"/>
      <w:numFmt w:val="bullet"/>
      <w:lvlText w:val="o"/>
      <w:lvlJc w:val="left"/>
      <w:pPr>
        <w:ind w:left="2825" w:hanging="360"/>
      </w:pPr>
      <w:rPr>
        <w:rFonts w:ascii="Courier New" w:hAnsi="Courier New" w:cs="Courier New" w:hint="default"/>
      </w:rPr>
    </w:lvl>
    <w:lvl w:ilvl="5" w:tplc="08090005" w:tentative="1">
      <w:start w:val="1"/>
      <w:numFmt w:val="bullet"/>
      <w:lvlText w:val=""/>
      <w:lvlJc w:val="left"/>
      <w:pPr>
        <w:ind w:left="3545" w:hanging="360"/>
      </w:pPr>
      <w:rPr>
        <w:rFonts w:ascii="Wingdings" w:hAnsi="Wingdings" w:hint="default"/>
      </w:rPr>
    </w:lvl>
    <w:lvl w:ilvl="6" w:tplc="08090001" w:tentative="1">
      <w:start w:val="1"/>
      <w:numFmt w:val="bullet"/>
      <w:lvlText w:val=""/>
      <w:lvlJc w:val="left"/>
      <w:pPr>
        <w:ind w:left="4265" w:hanging="360"/>
      </w:pPr>
      <w:rPr>
        <w:rFonts w:ascii="Symbol" w:hAnsi="Symbol" w:hint="default"/>
      </w:rPr>
    </w:lvl>
    <w:lvl w:ilvl="7" w:tplc="08090003" w:tentative="1">
      <w:start w:val="1"/>
      <w:numFmt w:val="bullet"/>
      <w:lvlText w:val="o"/>
      <w:lvlJc w:val="left"/>
      <w:pPr>
        <w:ind w:left="4985" w:hanging="360"/>
      </w:pPr>
      <w:rPr>
        <w:rFonts w:ascii="Courier New" w:hAnsi="Courier New" w:cs="Courier New" w:hint="default"/>
      </w:rPr>
    </w:lvl>
    <w:lvl w:ilvl="8" w:tplc="08090005" w:tentative="1">
      <w:start w:val="1"/>
      <w:numFmt w:val="bullet"/>
      <w:lvlText w:val=""/>
      <w:lvlJc w:val="left"/>
      <w:pPr>
        <w:ind w:left="5705" w:hanging="360"/>
      </w:pPr>
      <w:rPr>
        <w:rFonts w:ascii="Wingdings" w:hAnsi="Wingdings" w:hint="default"/>
      </w:rPr>
    </w:lvl>
  </w:abstractNum>
  <w:abstractNum w:abstractNumId="11" w15:restartNumberingAfterBreak="0">
    <w:nsid w:val="3B5A3DE5"/>
    <w:multiLevelType w:val="hybridMultilevel"/>
    <w:tmpl w:val="94342840"/>
    <w:lvl w:ilvl="0" w:tplc="6C5EDAA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C0E1534"/>
    <w:multiLevelType w:val="hybridMultilevel"/>
    <w:tmpl w:val="292A895E"/>
    <w:lvl w:ilvl="0" w:tplc="5FDABD40">
      <w:start w:val="1"/>
      <w:numFmt w:val="bullet"/>
      <w:lvlText w:val="o"/>
      <w:lvlJc w:val="left"/>
      <w:pPr>
        <w:tabs>
          <w:tab w:val="num" w:pos="720"/>
        </w:tabs>
        <w:ind w:left="720" w:hanging="360"/>
      </w:pPr>
      <w:rPr>
        <w:rFonts w:ascii="Courier New" w:hAnsi="Courier New" w:hint="default"/>
      </w:rPr>
    </w:lvl>
    <w:lvl w:ilvl="1" w:tplc="E942131A">
      <w:start w:val="1"/>
      <w:numFmt w:val="bullet"/>
      <w:lvlText w:val="o"/>
      <w:lvlJc w:val="left"/>
      <w:pPr>
        <w:tabs>
          <w:tab w:val="num" w:pos="1440"/>
        </w:tabs>
        <w:ind w:left="1440" w:hanging="360"/>
      </w:pPr>
      <w:rPr>
        <w:rFonts w:ascii="Courier New" w:hAnsi="Courier New" w:hint="default"/>
      </w:rPr>
    </w:lvl>
    <w:lvl w:ilvl="2" w:tplc="35124818" w:tentative="1">
      <w:start w:val="1"/>
      <w:numFmt w:val="bullet"/>
      <w:lvlText w:val="o"/>
      <w:lvlJc w:val="left"/>
      <w:pPr>
        <w:tabs>
          <w:tab w:val="num" w:pos="2160"/>
        </w:tabs>
        <w:ind w:left="2160" w:hanging="360"/>
      </w:pPr>
      <w:rPr>
        <w:rFonts w:ascii="Courier New" w:hAnsi="Courier New" w:hint="default"/>
      </w:rPr>
    </w:lvl>
    <w:lvl w:ilvl="3" w:tplc="16BEB406" w:tentative="1">
      <w:start w:val="1"/>
      <w:numFmt w:val="bullet"/>
      <w:lvlText w:val="o"/>
      <w:lvlJc w:val="left"/>
      <w:pPr>
        <w:tabs>
          <w:tab w:val="num" w:pos="2880"/>
        </w:tabs>
        <w:ind w:left="2880" w:hanging="360"/>
      </w:pPr>
      <w:rPr>
        <w:rFonts w:ascii="Courier New" w:hAnsi="Courier New" w:hint="default"/>
      </w:rPr>
    </w:lvl>
    <w:lvl w:ilvl="4" w:tplc="E34C6D44" w:tentative="1">
      <w:start w:val="1"/>
      <w:numFmt w:val="bullet"/>
      <w:lvlText w:val="o"/>
      <w:lvlJc w:val="left"/>
      <w:pPr>
        <w:tabs>
          <w:tab w:val="num" w:pos="3600"/>
        </w:tabs>
        <w:ind w:left="3600" w:hanging="360"/>
      </w:pPr>
      <w:rPr>
        <w:rFonts w:ascii="Courier New" w:hAnsi="Courier New" w:hint="default"/>
      </w:rPr>
    </w:lvl>
    <w:lvl w:ilvl="5" w:tplc="60EE1BA0" w:tentative="1">
      <w:start w:val="1"/>
      <w:numFmt w:val="bullet"/>
      <w:lvlText w:val="o"/>
      <w:lvlJc w:val="left"/>
      <w:pPr>
        <w:tabs>
          <w:tab w:val="num" w:pos="4320"/>
        </w:tabs>
        <w:ind w:left="4320" w:hanging="360"/>
      </w:pPr>
      <w:rPr>
        <w:rFonts w:ascii="Courier New" w:hAnsi="Courier New" w:hint="default"/>
      </w:rPr>
    </w:lvl>
    <w:lvl w:ilvl="6" w:tplc="24DC76F2" w:tentative="1">
      <w:start w:val="1"/>
      <w:numFmt w:val="bullet"/>
      <w:lvlText w:val="o"/>
      <w:lvlJc w:val="left"/>
      <w:pPr>
        <w:tabs>
          <w:tab w:val="num" w:pos="5040"/>
        </w:tabs>
        <w:ind w:left="5040" w:hanging="360"/>
      </w:pPr>
      <w:rPr>
        <w:rFonts w:ascii="Courier New" w:hAnsi="Courier New" w:hint="default"/>
      </w:rPr>
    </w:lvl>
    <w:lvl w:ilvl="7" w:tplc="826E1D44" w:tentative="1">
      <w:start w:val="1"/>
      <w:numFmt w:val="bullet"/>
      <w:lvlText w:val="o"/>
      <w:lvlJc w:val="left"/>
      <w:pPr>
        <w:tabs>
          <w:tab w:val="num" w:pos="5760"/>
        </w:tabs>
        <w:ind w:left="5760" w:hanging="360"/>
      </w:pPr>
      <w:rPr>
        <w:rFonts w:ascii="Courier New" w:hAnsi="Courier New" w:hint="default"/>
      </w:rPr>
    </w:lvl>
    <w:lvl w:ilvl="8" w:tplc="4274E390" w:tentative="1">
      <w:start w:val="1"/>
      <w:numFmt w:val="bullet"/>
      <w:lvlText w:val="o"/>
      <w:lvlJc w:val="left"/>
      <w:pPr>
        <w:tabs>
          <w:tab w:val="num" w:pos="6480"/>
        </w:tabs>
        <w:ind w:left="6480" w:hanging="360"/>
      </w:pPr>
      <w:rPr>
        <w:rFonts w:ascii="Courier New" w:hAnsi="Courier New" w:hint="default"/>
      </w:rPr>
    </w:lvl>
  </w:abstractNum>
  <w:abstractNum w:abstractNumId="13" w15:restartNumberingAfterBreak="0">
    <w:nsid w:val="3F0726DD"/>
    <w:multiLevelType w:val="hybridMultilevel"/>
    <w:tmpl w:val="2DF43B50"/>
    <w:lvl w:ilvl="0" w:tplc="FD1A8D12">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845A36"/>
    <w:multiLevelType w:val="hybridMultilevel"/>
    <w:tmpl w:val="86AE5364"/>
    <w:lvl w:ilvl="0" w:tplc="426CBB38">
      <w:start w:val="1"/>
      <w:numFmt w:val="bullet"/>
      <w:lvlText w:val=""/>
      <w:lvlJc w:val="left"/>
      <w:pPr>
        <w:ind w:left="2913" w:hanging="360"/>
      </w:pPr>
      <w:rPr>
        <w:rFonts w:ascii="Symbol" w:hAnsi="Symbol" w:hint="default"/>
      </w:rPr>
    </w:lvl>
    <w:lvl w:ilvl="1" w:tplc="8A844A76">
      <w:start w:val="1"/>
      <w:numFmt w:val="bullet"/>
      <w:lvlText w:val=""/>
      <w:lvlJc w:val="left"/>
      <w:pPr>
        <w:ind w:left="2858" w:hanging="360"/>
      </w:pPr>
      <w:rPr>
        <w:rFonts w:ascii="Symbol" w:hAnsi="Symbol"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5" w15:restartNumberingAfterBreak="0">
    <w:nsid w:val="44217A61"/>
    <w:multiLevelType w:val="hybridMultilevel"/>
    <w:tmpl w:val="4AB2E9FE"/>
    <w:lvl w:ilvl="0" w:tplc="426CBB38">
      <w:start w:val="1"/>
      <w:numFmt w:val="bullet"/>
      <w:lvlText w:val=""/>
      <w:lvlJc w:val="left"/>
      <w:pPr>
        <w:ind w:left="2913" w:hanging="360"/>
      </w:pPr>
      <w:rPr>
        <w:rFonts w:ascii="Symbol" w:hAnsi="Symbol" w:hint="default"/>
      </w:rPr>
    </w:lvl>
    <w:lvl w:ilvl="1" w:tplc="04090001">
      <w:start w:val="1"/>
      <w:numFmt w:val="bullet"/>
      <w:lvlText w:val=""/>
      <w:lvlJc w:val="left"/>
      <w:pPr>
        <w:ind w:left="2858" w:hanging="360"/>
      </w:pPr>
      <w:rPr>
        <w:rFonts w:ascii="Symbol" w:hAnsi="Symbol"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6" w15:restartNumberingAfterBreak="0">
    <w:nsid w:val="4CA06552"/>
    <w:multiLevelType w:val="hybridMultilevel"/>
    <w:tmpl w:val="1CB263E6"/>
    <w:lvl w:ilvl="0" w:tplc="001CAC22">
      <w:start w:val="1"/>
      <w:numFmt w:val="bullet"/>
      <w:pStyle w:val="ListParagraph"/>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6177CFD"/>
    <w:multiLevelType w:val="hybridMultilevel"/>
    <w:tmpl w:val="01CC4BA0"/>
    <w:lvl w:ilvl="0" w:tplc="A93CE2A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6D31F9F"/>
    <w:multiLevelType w:val="hybridMultilevel"/>
    <w:tmpl w:val="8876AA06"/>
    <w:lvl w:ilvl="0" w:tplc="274865FA">
      <w:start w:val="1"/>
      <w:numFmt w:val="bullet"/>
      <w:lvlText w:val="•"/>
      <w:lvlJc w:val="left"/>
      <w:pPr>
        <w:tabs>
          <w:tab w:val="num" w:pos="720"/>
        </w:tabs>
        <w:ind w:left="720" w:hanging="360"/>
      </w:pPr>
      <w:rPr>
        <w:rFonts w:ascii="Arial" w:hAnsi="Arial" w:hint="default"/>
      </w:rPr>
    </w:lvl>
    <w:lvl w:ilvl="1" w:tplc="9E7CA0BC" w:tentative="1">
      <w:start w:val="1"/>
      <w:numFmt w:val="bullet"/>
      <w:lvlText w:val="•"/>
      <w:lvlJc w:val="left"/>
      <w:pPr>
        <w:tabs>
          <w:tab w:val="num" w:pos="1440"/>
        </w:tabs>
        <w:ind w:left="1440" w:hanging="360"/>
      </w:pPr>
      <w:rPr>
        <w:rFonts w:ascii="Arial" w:hAnsi="Arial" w:hint="default"/>
      </w:rPr>
    </w:lvl>
    <w:lvl w:ilvl="2" w:tplc="F3BAC032" w:tentative="1">
      <w:start w:val="1"/>
      <w:numFmt w:val="bullet"/>
      <w:lvlText w:val="•"/>
      <w:lvlJc w:val="left"/>
      <w:pPr>
        <w:tabs>
          <w:tab w:val="num" w:pos="2160"/>
        </w:tabs>
        <w:ind w:left="2160" w:hanging="360"/>
      </w:pPr>
      <w:rPr>
        <w:rFonts w:ascii="Arial" w:hAnsi="Arial" w:hint="default"/>
      </w:rPr>
    </w:lvl>
    <w:lvl w:ilvl="3" w:tplc="B464EA1E" w:tentative="1">
      <w:start w:val="1"/>
      <w:numFmt w:val="bullet"/>
      <w:lvlText w:val="•"/>
      <w:lvlJc w:val="left"/>
      <w:pPr>
        <w:tabs>
          <w:tab w:val="num" w:pos="2880"/>
        </w:tabs>
        <w:ind w:left="2880" w:hanging="360"/>
      </w:pPr>
      <w:rPr>
        <w:rFonts w:ascii="Arial" w:hAnsi="Arial" w:hint="default"/>
      </w:rPr>
    </w:lvl>
    <w:lvl w:ilvl="4" w:tplc="17B60CF4" w:tentative="1">
      <w:start w:val="1"/>
      <w:numFmt w:val="bullet"/>
      <w:lvlText w:val="•"/>
      <w:lvlJc w:val="left"/>
      <w:pPr>
        <w:tabs>
          <w:tab w:val="num" w:pos="3600"/>
        </w:tabs>
        <w:ind w:left="3600" w:hanging="360"/>
      </w:pPr>
      <w:rPr>
        <w:rFonts w:ascii="Arial" w:hAnsi="Arial" w:hint="default"/>
      </w:rPr>
    </w:lvl>
    <w:lvl w:ilvl="5" w:tplc="4D925D20" w:tentative="1">
      <w:start w:val="1"/>
      <w:numFmt w:val="bullet"/>
      <w:lvlText w:val="•"/>
      <w:lvlJc w:val="left"/>
      <w:pPr>
        <w:tabs>
          <w:tab w:val="num" w:pos="4320"/>
        </w:tabs>
        <w:ind w:left="4320" w:hanging="360"/>
      </w:pPr>
      <w:rPr>
        <w:rFonts w:ascii="Arial" w:hAnsi="Arial" w:hint="default"/>
      </w:rPr>
    </w:lvl>
    <w:lvl w:ilvl="6" w:tplc="3244D026" w:tentative="1">
      <w:start w:val="1"/>
      <w:numFmt w:val="bullet"/>
      <w:lvlText w:val="•"/>
      <w:lvlJc w:val="left"/>
      <w:pPr>
        <w:tabs>
          <w:tab w:val="num" w:pos="5040"/>
        </w:tabs>
        <w:ind w:left="5040" w:hanging="360"/>
      </w:pPr>
      <w:rPr>
        <w:rFonts w:ascii="Arial" w:hAnsi="Arial" w:hint="default"/>
      </w:rPr>
    </w:lvl>
    <w:lvl w:ilvl="7" w:tplc="FA147F62" w:tentative="1">
      <w:start w:val="1"/>
      <w:numFmt w:val="bullet"/>
      <w:lvlText w:val="•"/>
      <w:lvlJc w:val="left"/>
      <w:pPr>
        <w:tabs>
          <w:tab w:val="num" w:pos="5760"/>
        </w:tabs>
        <w:ind w:left="5760" w:hanging="360"/>
      </w:pPr>
      <w:rPr>
        <w:rFonts w:ascii="Arial" w:hAnsi="Arial" w:hint="default"/>
      </w:rPr>
    </w:lvl>
    <w:lvl w:ilvl="8" w:tplc="68E8F8C4"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5D2053AA"/>
    <w:multiLevelType w:val="hybridMultilevel"/>
    <w:tmpl w:val="27006DE8"/>
    <w:lvl w:ilvl="0" w:tplc="F88830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225D4D"/>
    <w:multiLevelType w:val="hybridMultilevel"/>
    <w:tmpl w:val="2E0E55AA"/>
    <w:lvl w:ilvl="0" w:tplc="C3124650">
      <w:start w:val="1"/>
      <w:numFmt w:val="bullet"/>
      <w:lvlText w:val="o"/>
      <w:lvlJc w:val="left"/>
      <w:pPr>
        <w:tabs>
          <w:tab w:val="num" w:pos="720"/>
        </w:tabs>
        <w:ind w:left="720" w:hanging="360"/>
      </w:pPr>
      <w:rPr>
        <w:rFonts w:ascii="Courier New" w:hAnsi="Courier New" w:hint="default"/>
      </w:rPr>
    </w:lvl>
    <w:lvl w:ilvl="1" w:tplc="ECD439CC" w:tentative="1">
      <w:start w:val="1"/>
      <w:numFmt w:val="bullet"/>
      <w:lvlText w:val="o"/>
      <w:lvlJc w:val="left"/>
      <w:pPr>
        <w:tabs>
          <w:tab w:val="num" w:pos="1440"/>
        </w:tabs>
        <w:ind w:left="1440" w:hanging="360"/>
      </w:pPr>
      <w:rPr>
        <w:rFonts w:ascii="Courier New" w:hAnsi="Courier New" w:hint="default"/>
      </w:rPr>
    </w:lvl>
    <w:lvl w:ilvl="2" w:tplc="A622F9F4">
      <w:start w:val="1"/>
      <w:numFmt w:val="bullet"/>
      <w:lvlText w:val="o"/>
      <w:lvlJc w:val="left"/>
      <w:pPr>
        <w:tabs>
          <w:tab w:val="num" w:pos="2160"/>
        </w:tabs>
        <w:ind w:left="2160" w:hanging="360"/>
      </w:pPr>
      <w:rPr>
        <w:rFonts w:ascii="Courier New" w:hAnsi="Courier New" w:hint="default"/>
      </w:rPr>
    </w:lvl>
    <w:lvl w:ilvl="3" w:tplc="AE821C94" w:tentative="1">
      <w:start w:val="1"/>
      <w:numFmt w:val="bullet"/>
      <w:lvlText w:val="o"/>
      <w:lvlJc w:val="left"/>
      <w:pPr>
        <w:tabs>
          <w:tab w:val="num" w:pos="2880"/>
        </w:tabs>
        <w:ind w:left="2880" w:hanging="360"/>
      </w:pPr>
      <w:rPr>
        <w:rFonts w:ascii="Courier New" w:hAnsi="Courier New" w:hint="default"/>
      </w:rPr>
    </w:lvl>
    <w:lvl w:ilvl="4" w:tplc="DFF4373A" w:tentative="1">
      <w:start w:val="1"/>
      <w:numFmt w:val="bullet"/>
      <w:lvlText w:val="o"/>
      <w:lvlJc w:val="left"/>
      <w:pPr>
        <w:tabs>
          <w:tab w:val="num" w:pos="3600"/>
        </w:tabs>
        <w:ind w:left="3600" w:hanging="360"/>
      </w:pPr>
      <w:rPr>
        <w:rFonts w:ascii="Courier New" w:hAnsi="Courier New" w:hint="default"/>
      </w:rPr>
    </w:lvl>
    <w:lvl w:ilvl="5" w:tplc="0FF8E52E" w:tentative="1">
      <w:start w:val="1"/>
      <w:numFmt w:val="bullet"/>
      <w:lvlText w:val="o"/>
      <w:lvlJc w:val="left"/>
      <w:pPr>
        <w:tabs>
          <w:tab w:val="num" w:pos="4320"/>
        </w:tabs>
        <w:ind w:left="4320" w:hanging="360"/>
      </w:pPr>
      <w:rPr>
        <w:rFonts w:ascii="Courier New" w:hAnsi="Courier New" w:hint="default"/>
      </w:rPr>
    </w:lvl>
    <w:lvl w:ilvl="6" w:tplc="CC348532" w:tentative="1">
      <w:start w:val="1"/>
      <w:numFmt w:val="bullet"/>
      <w:lvlText w:val="o"/>
      <w:lvlJc w:val="left"/>
      <w:pPr>
        <w:tabs>
          <w:tab w:val="num" w:pos="5040"/>
        </w:tabs>
        <w:ind w:left="5040" w:hanging="360"/>
      </w:pPr>
      <w:rPr>
        <w:rFonts w:ascii="Courier New" w:hAnsi="Courier New" w:hint="default"/>
      </w:rPr>
    </w:lvl>
    <w:lvl w:ilvl="7" w:tplc="6614721E" w:tentative="1">
      <w:start w:val="1"/>
      <w:numFmt w:val="bullet"/>
      <w:lvlText w:val="o"/>
      <w:lvlJc w:val="left"/>
      <w:pPr>
        <w:tabs>
          <w:tab w:val="num" w:pos="5760"/>
        </w:tabs>
        <w:ind w:left="5760" w:hanging="360"/>
      </w:pPr>
      <w:rPr>
        <w:rFonts w:ascii="Courier New" w:hAnsi="Courier New" w:hint="default"/>
      </w:rPr>
    </w:lvl>
    <w:lvl w:ilvl="8" w:tplc="77649534" w:tentative="1">
      <w:start w:val="1"/>
      <w:numFmt w:val="bullet"/>
      <w:lvlText w:val="o"/>
      <w:lvlJc w:val="left"/>
      <w:pPr>
        <w:tabs>
          <w:tab w:val="num" w:pos="6480"/>
        </w:tabs>
        <w:ind w:left="6480" w:hanging="360"/>
      </w:pPr>
      <w:rPr>
        <w:rFonts w:ascii="Courier New" w:hAnsi="Courier New" w:hint="default"/>
      </w:rPr>
    </w:lvl>
  </w:abstractNum>
  <w:abstractNum w:abstractNumId="21" w15:restartNumberingAfterBreak="0">
    <w:nsid w:val="750C2497"/>
    <w:multiLevelType w:val="multilevel"/>
    <w:tmpl w:val="BC464F3C"/>
    <w:styleLink w:val="List0"/>
    <w:lvl w:ilvl="0">
      <w:start w:val="1"/>
      <w:numFmt w:val="decimal"/>
      <w:lvlText w:val="%1."/>
      <w:lvlJc w:val="left"/>
      <w:pPr>
        <w:tabs>
          <w:tab w:val="num" w:pos="567"/>
        </w:tabs>
        <w:ind w:left="567" w:hanging="567"/>
      </w:pPr>
      <w:rPr>
        <w:position w:val="0"/>
        <w:sz w:val="24"/>
        <w:szCs w:val="24"/>
      </w:rPr>
    </w:lvl>
    <w:lvl w:ilvl="1">
      <w:start w:val="1"/>
      <w:numFmt w:val="lowerLetter"/>
      <w:lvlText w:val="%2."/>
      <w:lvlJc w:val="left"/>
      <w:pPr>
        <w:tabs>
          <w:tab w:val="num" w:pos="2215"/>
        </w:tabs>
        <w:ind w:left="2215" w:hanging="360"/>
      </w:pPr>
      <w:rPr>
        <w:position w:val="0"/>
        <w:sz w:val="24"/>
        <w:szCs w:val="24"/>
      </w:rPr>
    </w:lvl>
    <w:lvl w:ilvl="2">
      <w:start w:val="1"/>
      <w:numFmt w:val="lowerRoman"/>
      <w:lvlText w:val="%3."/>
      <w:lvlJc w:val="left"/>
      <w:pPr>
        <w:tabs>
          <w:tab w:val="num" w:pos="2935"/>
        </w:tabs>
        <w:ind w:left="2935" w:hanging="296"/>
      </w:pPr>
      <w:rPr>
        <w:position w:val="0"/>
        <w:sz w:val="24"/>
        <w:szCs w:val="24"/>
      </w:rPr>
    </w:lvl>
    <w:lvl w:ilvl="3">
      <w:start w:val="1"/>
      <w:numFmt w:val="decimal"/>
      <w:lvlText w:val="%4."/>
      <w:lvlJc w:val="left"/>
      <w:pPr>
        <w:tabs>
          <w:tab w:val="num" w:pos="3655"/>
        </w:tabs>
        <w:ind w:left="3655" w:hanging="360"/>
      </w:pPr>
      <w:rPr>
        <w:position w:val="0"/>
        <w:sz w:val="24"/>
        <w:szCs w:val="24"/>
      </w:rPr>
    </w:lvl>
    <w:lvl w:ilvl="4">
      <w:start w:val="1"/>
      <w:numFmt w:val="lowerLetter"/>
      <w:lvlText w:val="%5."/>
      <w:lvlJc w:val="left"/>
      <w:pPr>
        <w:tabs>
          <w:tab w:val="num" w:pos="4375"/>
        </w:tabs>
        <w:ind w:left="4375" w:hanging="360"/>
      </w:pPr>
      <w:rPr>
        <w:position w:val="0"/>
        <w:sz w:val="24"/>
        <w:szCs w:val="24"/>
      </w:rPr>
    </w:lvl>
    <w:lvl w:ilvl="5">
      <w:start w:val="1"/>
      <w:numFmt w:val="lowerRoman"/>
      <w:lvlText w:val="%6."/>
      <w:lvlJc w:val="left"/>
      <w:pPr>
        <w:tabs>
          <w:tab w:val="num" w:pos="5095"/>
        </w:tabs>
        <w:ind w:left="5095" w:hanging="296"/>
      </w:pPr>
      <w:rPr>
        <w:position w:val="0"/>
        <w:sz w:val="24"/>
        <w:szCs w:val="24"/>
      </w:rPr>
    </w:lvl>
    <w:lvl w:ilvl="6">
      <w:start w:val="1"/>
      <w:numFmt w:val="decimal"/>
      <w:lvlText w:val="%7."/>
      <w:lvlJc w:val="left"/>
      <w:pPr>
        <w:tabs>
          <w:tab w:val="num" w:pos="5815"/>
        </w:tabs>
        <w:ind w:left="5815" w:hanging="360"/>
      </w:pPr>
      <w:rPr>
        <w:position w:val="0"/>
        <w:sz w:val="24"/>
        <w:szCs w:val="24"/>
      </w:rPr>
    </w:lvl>
    <w:lvl w:ilvl="7">
      <w:start w:val="1"/>
      <w:numFmt w:val="lowerLetter"/>
      <w:lvlText w:val="%8."/>
      <w:lvlJc w:val="left"/>
      <w:pPr>
        <w:tabs>
          <w:tab w:val="num" w:pos="6535"/>
        </w:tabs>
        <w:ind w:left="6535" w:hanging="360"/>
      </w:pPr>
      <w:rPr>
        <w:position w:val="0"/>
        <w:sz w:val="24"/>
        <w:szCs w:val="24"/>
      </w:rPr>
    </w:lvl>
    <w:lvl w:ilvl="8">
      <w:start w:val="1"/>
      <w:numFmt w:val="lowerRoman"/>
      <w:lvlText w:val="%9."/>
      <w:lvlJc w:val="left"/>
      <w:pPr>
        <w:tabs>
          <w:tab w:val="num" w:pos="7255"/>
        </w:tabs>
        <w:ind w:left="7255" w:hanging="296"/>
      </w:pPr>
      <w:rPr>
        <w:position w:val="0"/>
        <w:sz w:val="24"/>
        <w:szCs w:val="24"/>
      </w:rPr>
    </w:lvl>
  </w:abstractNum>
  <w:abstractNum w:abstractNumId="22" w15:restartNumberingAfterBreak="0">
    <w:nsid w:val="76A021B4"/>
    <w:multiLevelType w:val="hybridMultilevel"/>
    <w:tmpl w:val="A1605D22"/>
    <w:lvl w:ilvl="0" w:tplc="52E8009C">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7823173C"/>
    <w:multiLevelType w:val="multilevel"/>
    <w:tmpl w:val="3C724DF2"/>
    <w:styleLink w:val="List1"/>
    <w:lvl w:ilvl="0">
      <w:start w:val="1"/>
      <w:numFmt w:val="decimal"/>
      <w:lvlText w:val="%1."/>
      <w:lvlJc w:val="left"/>
      <w:pPr>
        <w:tabs>
          <w:tab w:val="num" w:pos="1495"/>
        </w:tabs>
        <w:ind w:left="1495" w:hanging="360"/>
      </w:pPr>
      <w:rPr>
        <w:position w:val="0"/>
        <w:sz w:val="24"/>
        <w:szCs w:val="24"/>
      </w:rPr>
    </w:lvl>
    <w:lvl w:ilvl="1">
      <w:numFmt w:val="bullet"/>
      <w:lvlText w:val="•"/>
      <w:lvlJc w:val="left"/>
      <w:pPr>
        <w:tabs>
          <w:tab w:val="num" w:pos="2215"/>
        </w:tabs>
        <w:ind w:left="2215" w:hanging="360"/>
      </w:pPr>
      <w:rPr>
        <w:position w:val="0"/>
        <w:sz w:val="22"/>
        <w:szCs w:val="22"/>
      </w:rPr>
    </w:lvl>
    <w:lvl w:ilvl="2">
      <w:start w:val="1"/>
      <w:numFmt w:val="lowerRoman"/>
      <w:lvlText w:val="%3."/>
      <w:lvlJc w:val="left"/>
      <w:pPr>
        <w:tabs>
          <w:tab w:val="num" w:pos="2935"/>
        </w:tabs>
        <w:ind w:left="2935" w:hanging="296"/>
      </w:pPr>
      <w:rPr>
        <w:position w:val="0"/>
        <w:sz w:val="24"/>
        <w:szCs w:val="24"/>
      </w:rPr>
    </w:lvl>
    <w:lvl w:ilvl="3">
      <w:start w:val="1"/>
      <w:numFmt w:val="decimal"/>
      <w:lvlText w:val="%4."/>
      <w:lvlJc w:val="left"/>
      <w:pPr>
        <w:tabs>
          <w:tab w:val="num" w:pos="3655"/>
        </w:tabs>
        <w:ind w:left="3655" w:hanging="360"/>
      </w:pPr>
      <w:rPr>
        <w:position w:val="0"/>
        <w:sz w:val="24"/>
        <w:szCs w:val="24"/>
      </w:rPr>
    </w:lvl>
    <w:lvl w:ilvl="4">
      <w:start w:val="1"/>
      <w:numFmt w:val="lowerLetter"/>
      <w:lvlText w:val="%5."/>
      <w:lvlJc w:val="left"/>
      <w:pPr>
        <w:tabs>
          <w:tab w:val="num" w:pos="4375"/>
        </w:tabs>
        <w:ind w:left="4375" w:hanging="360"/>
      </w:pPr>
      <w:rPr>
        <w:position w:val="0"/>
        <w:sz w:val="24"/>
        <w:szCs w:val="24"/>
      </w:rPr>
    </w:lvl>
    <w:lvl w:ilvl="5">
      <w:start w:val="1"/>
      <w:numFmt w:val="lowerRoman"/>
      <w:lvlText w:val="%6."/>
      <w:lvlJc w:val="left"/>
      <w:pPr>
        <w:tabs>
          <w:tab w:val="num" w:pos="5095"/>
        </w:tabs>
        <w:ind w:left="5095" w:hanging="296"/>
      </w:pPr>
      <w:rPr>
        <w:position w:val="0"/>
        <w:sz w:val="24"/>
        <w:szCs w:val="24"/>
      </w:rPr>
    </w:lvl>
    <w:lvl w:ilvl="6">
      <w:start w:val="1"/>
      <w:numFmt w:val="decimal"/>
      <w:lvlText w:val="%7."/>
      <w:lvlJc w:val="left"/>
      <w:pPr>
        <w:tabs>
          <w:tab w:val="num" w:pos="5815"/>
        </w:tabs>
        <w:ind w:left="5815" w:hanging="360"/>
      </w:pPr>
      <w:rPr>
        <w:position w:val="0"/>
        <w:sz w:val="24"/>
        <w:szCs w:val="24"/>
      </w:rPr>
    </w:lvl>
    <w:lvl w:ilvl="7">
      <w:start w:val="1"/>
      <w:numFmt w:val="lowerLetter"/>
      <w:lvlText w:val="%8."/>
      <w:lvlJc w:val="left"/>
      <w:pPr>
        <w:tabs>
          <w:tab w:val="num" w:pos="6535"/>
        </w:tabs>
        <w:ind w:left="6535" w:hanging="360"/>
      </w:pPr>
      <w:rPr>
        <w:position w:val="0"/>
        <w:sz w:val="24"/>
        <w:szCs w:val="24"/>
      </w:rPr>
    </w:lvl>
    <w:lvl w:ilvl="8">
      <w:start w:val="1"/>
      <w:numFmt w:val="lowerRoman"/>
      <w:lvlText w:val="%9."/>
      <w:lvlJc w:val="left"/>
      <w:pPr>
        <w:tabs>
          <w:tab w:val="num" w:pos="7255"/>
        </w:tabs>
        <w:ind w:left="7255" w:hanging="296"/>
      </w:pPr>
      <w:rPr>
        <w:position w:val="0"/>
        <w:sz w:val="24"/>
        <w:szCs w:val="24"/>
      </w:rPr>
    </w:lvl>
  </w:abstractNum>
  <w:abstractNum w:abstractNumId="24" w15:restartNumberingAfterBreak="0">
    <w:nsid w:val="7B12397B"/>
    <w:multiLevelType w:val="hybridMultilevel"/>
    <w:tmpl w:val="AE2EA370"/>
    <w:lvl w:ilvl="0" w:tplc="697292FC">
      <w:start w:val="1"/>
      <w:numFmt w:val="bullet"/>
      <w:lvlText w:val="•"/>
      <w:lvlJc w:val="left"/>
      <w:pPr>
        <w:tabs>
          <w:tab w:val="num" w:pos="720"/>
        </w:tabs>
        <w:ind w:left="720" w:hanging="360"/>
      </w:pPr>
      <w:rPr>
        <w:rFonts w:ascii="Arial" w:hAnsi="Arial" w:hint="default"/>
      </w:rPr>
    </w:lvl>
    <w:lvl w:ilvl="1" w:tplc="41829B6A">
      <w:numFmt w:val="bullet"/>
      <w:lvlText w:val="–"/>
      <w:lvlJc w:val="left"/>
      <w:pPr>
        <w:tabs>
          <w:tab w:val="num" w:pos="1440"/>
        </w:tabs>
        <w:ind w:left="1440" w:hanging="360"/>
      </w:pPr>
      <w:rPr>
        <w:rFonts w:ascii="Arial" w:hAnsi="Arial" w:hint="default"/>
      </w:rPr>
    </w:lvl>
    <w:lvl w:ilvl="2" w:tplc="D6AC21AA" w:tentative="1">
      <w:start w:val="1"/>
      <w:numFmt w:val="bullet"/>
      <w:lvlText w:val="•"/>
      <w:lvlJc w:val="left"/>
      <w:pPr>
        <w:tabs>
          <w:tab w:val="num" w:pos="2160"/>
        </w:tabs>
        <w:ind w:left="2160" w:hanging="360"/>
      </w:pPr>
      <w:rPr>
        <w:rFonts w:ascii="Arial" w:hAnsi="Arial" w:hint="default"/>
      </w:rPr>
    </w:lvl>
    <w:lvl w:ilvl="3" w:tplc="C374F172" w:tentative="1">
      <w:start w:val="1"/>
      <w:numFmt w:val="bullet"/>
      <w:lvlText w:val="•"/>
      <w:lvlJc w:val="left"/>
      <w:pPr>
        <w:tabs>
          <w:tab w:val="num" w:pos="2880"/>
        </w:tabs>
        <w:ind w:left="2880" w:hanging="360"/>
      </w:pPr>
      <w:rPr>
        <w:rFonts w:ascii="Arial" w:hAnsi="Arial" w:hint="default"/>
      </w:rPr>
    </w:lvl>
    <w:lvl w:ilvl="4" w:tplc="53AC4C34" w:tentative="1">
      <w:start w:val="1"/>
      <w:numFmt w:val="bullet"/>
      <w:lvlText w:val="•"/>
      <w:lvlJc w:val="left"/>
      <w:pPr>
        <w:tabs>
          <w:tab w:val="num" w:pos="3600"/>
        </w:tabs>
        <w:ind w:left="3600" w:hanging="360"/>
      </w:pPr>
      <w:rPr>
        <w:rFonts w:ascii="Arial" w:hAnsi="Arial" w:hint="default"/>
      </w:rPr>
    </w:lvl>
    <w:lvl w:ilvl="5" w:tplc="B88C6C2C" w:tentative="1">
      <w:start w:val="1"/>
      <w:numFmt w:val="bullet"/>
      <w:lvlText w:val="•"/>
      <w:lvlJc w:val="left"/>
      <w:pPr>
        <w:tabs>
          <w:tab w:val="num" w:pos="4320"/>
        </w:tabs>
        <w:ind w:left="4320" w:hanging="360"/>
      </w:pPr>
      <w:rPr>
        <w:rFonts w:ascii="Arial" w:hAnsi="Arial" w:hint="default"/>
      </w:rPr>
    </w:lvl>
    <w:lvl w:ilvl="6" w:tplc="63E23F3C" w:tentative="1">
      <w:start w:val="1"/>
      <w:numFmt w:val="bullet"/>
      <w:lvlText w:val="•"/>
      <w:lvlJc w:val="left"/>
      <w:pPr>
        <w:tabs>
          <w:tab w:val="num" w:pos="5040"/>
        </w:tabs>
        <w:ind w:left="5040" w:hanging="360"/>
      </w:pPr>
      <w:rPr>
        <w:rFonts w:ascii="Arial" w:hAnsi="Arial" w:hint="default"/>
      </w:rPr>
    </w:lvl>
    <w:lvl w:ilvl="7" w:tplc="61DCBB66" w:tentative="1">
      <w:start w:val="1"/>
      <w:numFmt w:val="bullet"/>
      <w:lvlText w:val="•"/>
      <w:lvlJc w:val="left"/>
      <w:pPr>
        <w:tabs>
          <w:tab w:val="num" w:pos="5760"/>
        </w:tabs>
        <w:ind w:left="5760" w:hanging="360"/>
      </w:pPr>
      <w:rPr>
        <w:rFonts w:ascii="Arial" w:hAnsi="Arial" w:hint="default"/>
      </w:rPr>
    </w:lvl>
    <w:lvl w:ilvl="8" w:tplc="A80C6BF0"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7CA33A12"/>
    <w:multiLevelType w:val="hybridMultilevel"/>
    <w:tmpl w:val="15664F6E"/>
    <w:lvl w:ilvl="0" w:tplc="04090001">
      <w:start w:val="1"/>
      <w:numFmt w:val="bullet"/>
      <w:lvlText w:val=""/>
      <w:lvlJc w:val="left"/>
      <w:pPr>
        <w:ind w:left="812" w:hanging="360"/>
      </w:pPr>
      <w:rPr>
        <w:rFonts w:ascii="Symbol" w:hAnsi="Symbol" w:hint="default"/>
      </w:rPr>
    </w:lvl>
    <w:lvl w:ilvl="1" w:tplc="04090003" w:tentative="1">
      <w:start w:val="1"/>
      <w:numFmt w:val="bullet"/>
      <w:lvlText w:val="o"/>
      <w:lvlJc w:val="left"/>
      <w:pPr>
        <w:ind w:left="1532" w:hanging="360"/>
      </w:pPr>
      <w:rPr>
        <w:rFonts w:ascii="Courier New" w:hAnsi="Courier New" w:cs="Courier New" w:hint="default"/>
      </w:rPr>
    </w:lvl>
    <w:lvl w:ilvl="2" w:tplc="04090005" w:tentative="1">
      <w:start w:val="1"/>
      <w:numFmt w:val="bullet"/>
      <w:lvlText w:val=""/>
      <w:lvlJc w:val="left"/>
      <w:pPr>
        <w:ind w:left="2252" w:hanging="360"/>
      </w:pPr>
      <w:rPr>
        <w:rFonts w:ascii="Wingdings" w:hAnsi="Wingdings" w:hint="default"/>
      </w:rPr>
    </w:lvl>
    <w:lvl w:ilvl="3" w:tplc="04090001" w:tentative="1">
      <w:start w:val="1"/>
      <w:numFmt w:val="bullet"/>
      <w:lvlText w:val=""/>
      <w:lvlJc w:val="left"/>
      <w:pPr>
        <w:ind w:left="2972" w:hanging="360"/>
      </w:pPr>
      <w:rPr>
        <w:rFonts w:ascii="Symbol" w:hAnsi="Symbol" w:hint="default"/>
      </w:rPr>
    </w:lvl>
    <w:lvl w:ilvl="4" w:tplc="04090003" w:tentative="1">
      <w:start w:val="1"/>
      <w:numFmt w:val="bullet"/>
      <w:lvlText w:val="o"/>
      <w:lvlJc w:val="left"/>
      <w:pPr>
        <w:ind w:left="3692" w:hanging="360"/>
      </w:pPr>
      <w:rPr>
        <w:rFonts w:ascii="Courier New" w:hAnsi="Courier New" w:cs="Courier New" w:hint="default"/>
      </w:rPr>
    </w:lvl>
    <w:lvl w:ilvl="5" w:tplc="04090005" w:tentative="1">
      <w:start w:val="1"/>
      <w:numFmt w:val="bullet"/>
      <w:lvlText w:val=""/>
      <w:lvlJc w:val="left"/>
      <w:pPr>
        <w:ind w:left="4412" w:hanging="360"/>
      </w:pPr>
      <w:rPr>
        <w:rFonts w:ascii="Wingdings" w:hAnsi="Wingdings" w:hint="default"/>
      </w:rPr>
    </w:lvl>
    <w:lvl w:ilvl="6" w:tplc="04090001" w:tentative="1">
      <w:start w:val="1"/>
      <w:numFmt w:val="bullet"/>
      <w:lvlText w:val=""/>
      <w:lvlJc w:val="left"/>
      <w:pPr>
        <w:ind w:left="5132" w:hanging="360"/>
      </w:pPr>
      <w:rPr>
        <w:rFonts w:ascii="Symbol" w:hAnsi="Symbol" w:hint="default"/>
      </w:rPr>
    </w:lvl>
    <w:lvl w:ilvl="7" w:tplc="04090003" w:tentative="1">
      <w:start w:val="1"/>
      <w:numFmt w:val="bullet"/>
      <w:lvlText w:val="o"/>
      <w:lvlJc w:val="left"/>
      <w:pPr>
        <w:ind w:left="5852" w:hanging="360"/>
      </w:pPr>
      <w:rPr>
        <w:rFonts w:ascii="Courier New" w:hAnsi="Courier New" w:cs="Courier New" w:hint="default"/>
      </w:rPr>
    </w:lvl>
    <w:lvl w:ilvl="8" w:tplc="04090005" w:tentative="1">
      <w:start w:val="1"/>
      <w:numFmt w:val="bullet"/>
      <w:lvlText w:val=""/>
      <w:lvlJc w:val="left"/>
      <w:pPr>
        <w:ind w:left="6572" w:hanging="360"/>
      </w:pPr>
      <w:rPr>
        <w:rFonts w:ascii="Wingdings" w:hAnsi="Wingdings" w:hint="default"/>
      </w:rPr>
    </w:lvl>
  </w:abstractNum>
  <w:abstractNum w:abstractNumId="26" w15:restartNumberingAfterBreak="0">
    <w:nsid w:val="7ED45A30"/>
    <w:multiLevelType w:val="hybridMultilevel"/>
    <w:tmpl w:val="5FA017F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3"/>
  </w:num>
  <w:num w:numId="3">
    <w:abstractNumId w:val="0"/>
  </w:num>
  <w:num w:numId="4">
    <w:abstractNumId w:val="6"/>
  </w:num>
  <w:num w:numId="5">
    <w:abstractNumId w:val="21"/>
  </w:num>
  <w:num w:numId="6">
    <w:abstractNumId w:val="23"/>
  </w:num>
  <w:num w:numId="7">
    <w:abstractNumId w:val="1"/>
  </w:num>
  <w:num w:numId="8">
    <w:abstractNumId w:val="7"/>
  </w:num>
  <w:num w:numId="9">
    <w:abstractNumId w:val="2"/>
  </w:num>
  <w:num w:numId="10">
    <w:abstractNumId w:val="8"/>
  </w:num>
  <w:num w:numId="11">
    <w:abstractNumId w:val="17"/>
  </w:num>
  <w:num w:numId="12">
    <w:abstractNumId w:val="14"/>
  </w:num>
  <w:num w:numId="13">
    <w:abstractNumId w:val="15"/>
  </w:num>
  <w:num w:numId="14">
    <w:abstractNumId w:val="9"/>
  </w:num>
  <w:num w:numId="15">
    <w:abstractNumId w:val="26"/>
  </w:num>
  <w:num w:numId="16">
    <w:abstractNumId w:val="20"/>
  </w:num>
  <w:num w:numId="17">
    <w:abstractNumId w:val="12"/>
  </w:num>
  <w:num w:numId="18">
    <w:abstractNumId w:val="13"/>
  </w:num>
  <w:num w:numId="19">
    <w:abstractNumId w:val="10"/>
  </w:num>
  <w:num w:numId="20">
    <w:abstractNumId w:val="5"/>
  </w:num>
  <w:num w:numId="21">
    <w:abstractNumId w:val="19"/>
  </w:num>
  <w:num w:numId="22">
    <w:abstractNumId w:val="11"/>
  </w:num>
  <w:num w:numId="23">
    <w:abstractNumId w:val="16"/>
  </w:num>
  <w:num w:numId="24">
    <w:abstractNumId w:val="22"/>
  </w:num>
  <w:num w:numId="25">
    <w:abstractNumId w:val="4"/>
  </w:num>
  <w:num w:numId="26">
    <w:abstractNumId w:val="24"/>
  </w:num>
  <w:num w:numId="27">
    <w:abstractNumId w:val="1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113"/>
  <w:doNotHyphenateCaps/>
  <w:drawingGridHorizontalSpacing w:val="11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2BD"/>
    <w:rsid w:val="00001032"/>
    <w:rsid w:val="00001B85"/>
    <w:rsid w:val="0000237A"/>
    <w:rsid w:val="00002C58"/>
    <w:rsid w:val="00005714"/>
    <w:rsid w:val="000065D0"/>
    <w:rsid w:val="0000793E"/>
    <w:rsid w:val="00007BFA"/>
    <w:rsid w:val="00010A33"/>
    <w:rsid w:val="00010B55"/>
    <w:rsid w:val="00010E0F"/>
    <w:rsid w:val="0001173C"/>
    <w:rsid w:val="00011AA3"/>
    <w:rsid w:val="000127DB"/>
    <w:rsid w:val="00013831"/>
    <w:rsid w:val="000139AF"/>
    <w:rsid w:val="00017A71"/>
    <w:rsid w:val="0002016E"/>
    <w:rsid w:val="000209B1"/>
    <w:rsid w:val="00020E57"/>
    <w:rsid w:val="00021019"/>
    <w:rsid w:val="0002194F"/>
    <w:rsid w:val="00021D97"/>
    <w:rsid w:val="00022372"/>
    <w:rsid w:val="00027697"/>
    <w:rsid w:val="00031134"/>
    <w:rsid w:val="000321F9"/>
    <w:rsid w:val="00033CDE"/>
    <w:rsid w:val="0003485C"/>
    <w:rsid w:val="00034D5D"/>
    <w:rsid w:val="0003600A"/>
    <w:rsid w:val="00036326"/>
    <w:rsid w:val="00036828"/>
    <w:rsid w:val="00037A7F"/>
    <w:rsid w:val="00037B51"/>
    <w:rsid w:val="00041370"/>
    <w:rsid w:val="000417A9"/>
    <w:rsid w:val="0004235F"/>
    <w:rsid w:val="00042A07"/>
    <w:rsid w:val="000436AB"/>
    <w:rsid w:val="0005077F"/>
    <w:rsid w:val="00051058"/>
    <w:rsid w:val="000518ED"/>
    <w:rsid w:val="000519E4"/>
    <w:rsid w:val="00052CCA"/>
    <w:rsid w:val="00054795"/>
    <w:rsid w:val="00055267"/>
    <w:rsid w:val="000554F2"/>
    <w:rsid w:val="00055732"/>
    <w:rsid w:val="00055956"/>
    <w:rsid w:val="00055FD6"/>
    <w:rsid w:val="0005726A"/>
    <w:rsid w:val="00060A77"/>
    <w:rsid w:val="00061591"/>
    <w:rsid w:val="000615D6"/>
    <w:rsid w:val="00061E3F"/>
    <w:rsid w:val="00061E91"/>
    <w:rsid w:val="000622CD"/>
    <w:rsid w:val="00063F12"/>
    <w:rsid w:val="0006413D"/>
    <w:rsid w:val="00064ECB"/>
    <w:rsid w:val="00065BF4"/>
    <w:rsid w:val="00065D86"/>
    <w:rsid w:val="0006604C"/>
    <w:rsid w:val="00066534"/>
    <w:rsid w:val="000679EC"/>
    <w:rsid w:val="00070C2D"/>
    <w:rsid w:val="00071B8F"/>
    <w:rsid w:val="00071E23"/>
    <w:rsid w:val="00072983"/>
    <w:rsid w:val="00073CEF"/>
    <w:rsid w:val="000771DC"/>
    <w:rsid w:val="00077530"/>
    <w:rsid w:val="000803E8"/>
    <w:rsid w:val="00080F33"/>
    <w:rsid w:val="0008168B"/>
    <w:rsid w:val="0008283B"/>
    <w:rsid w:val="00082B67"/>
    <w:rsid w:val="0008466A"/>
    <w:rsid w:val="00084EE6"/>
    <w:rsid w:val="00085C92"/>
    <w:rsid w:val="00086F6A"/>
    <w:rsid w:val="000871AD"/>
    <w:rsid w:val="000873D7"/>
    <w:rsid w:val="00087B3F"/>
    <w:rsid w:val="00087BB4"/>
    <w:rsid w:val="0009059F"/>
    <w:rsid w:val="0009090B"/>
    <w:rsid w:val="00090F1B"/>
    <w:rsid w:val="000916B2"/>
    <w:rsid w:val="00091897"/>
    <w:rsid w:val="00093EFF"/>
    <w:rsid w:val="00095BF6"/>
    <w:rsid w:val="0009717C"/>
    <w:rsid w:val="000972A3"/>
    <w:rsid w:val="00097A3B"/>
    <w:rsid w:val="000A0357"/>
    <w:rsid w:val="000A078F"/>
    <w:rsid w:val="000A1433"/>
    <w:rsid w:val="000A144A"/>
    <w:rsid w:val="000A1755"/>
    <w:rsid w:val="000A1806"/>
    <w:rsid w:val="000A2F12"/>
    <w:rsid w:val="000A41FE"/>
    <w:rsid w:val="000A47F4"/>
    <w:rsid w:val="000A4FCE"/>
    <w:rsid w:val="000A5760"/>
    <w:rsid w:val="000A581F"/>
    <w:rsid w:val="000A6E43"/>
    <w:rsid w:val="000A6ED0"/>
    <w:rsid w:val="000A77E8"/>
    <w:rsid w:val="000B19A3"/>
    <w:rsid w:val="000B282C"/>
    <w:rsid w:val="000B2949"/>
    <w:rsid w:val="000B5CB3"/>
    <w:rsid w:val="000B612B"/>
    <w:rsid w:val="000B657F"/>
    <w:rsid w:val="000C09B6"/>
    <w:rsid w:val="000C105C"/>
    <w:rsid w:val="000C172B"/>
    <w:rsid w:val="000C2EE2"/>
    <w:rsid w:val="000C3C7F"/>
    <w:rsid w:val="000C3D3B"/>
    <w:rsid w:val="000C4B87"/>
    <w:rsid w:val="000C68B7"/>
    <w:rsid w:val="000C6C96"/>
    <w:rsid w:val="000C75FC"/>
    <w:rsid w:val="000D07FD"/>
    <w:rsid w:val="000D081A"/>
    <w:rsid w:val="000D1940"/>
    <w:rsid w:val="000D2517"/>
    <w:rsid w:val="000D31FA"/>
    <w:rsid w:val="000D32B9"/>
    <w:rsid w:val="000D33E4"/>
    <w:rsid w:val="000D41AB"/>
    <w:rsid w:val="000D4A5C"/>
    <w:rsid w:val="000D4AAA"/>
    <w:rsid w:val="000D4D8F"/>
    <w:rsid w:val="000D5D8D"/>
    <w:rsid w:val="000D6D26"/>
    <w:rsid w:val="000D74C0"/>
    <w:rsid w:val="000E18E6"/>
    <w:rsid w:val="000E1A8E"/>
    <w:rsid w:val="000E3CD8"/>
    <w:rsid w:val="000E3CE1"/>
    <w:rsid w:val="000E4AB9"/>
    <w:rsid w:val="000E5565"/>
    <w:rsid w:val="000E6324"/>
    <w:rsid w:val="000E64EE"/>
    <w:rsid w:val="000E6536"/>
    <w:rsid w:val="000E659F"/>
    <w:rsid w:val="000E65BD"/>
    <w:rsid w:val="000E73AF"/>
    <w:rsid w:val="000E7B6C"/>
    <w:rsid w:val="000F00AF"/>
    <w:rsid w:val="000F05BF"/>
    <w:rsid w:val="000F0A66"/>
    <w:rsid w:val="000F28B3"/>
    <w:rsid w:val="000F3542"/>
    <w:rsid w:val="000F7BC5"/>
    <w:rsid w:val="001001BB"/>
    <w:rsid w:val="0010027E"/>
    <w:rsid w:val="0010081F"/>
    <w:rsid w:val="00100920"/>
    <w:rsid w:val="00101594"/>
    <w:rsid w:val="0010243D"/>
    <w:rsid w:val="00102BD5"/>
    <w:rsid w:val="00102F59"/>
    <w:rsid w:val="00104203"/>
    <w:rsid w:val="00104FD9"/>
    <w:rsid w:val="00105D03"/>
    <w:rsid w:val="001063A0"/>
    <w:rsid w:val="001063C5"/>
    <w:rsid w:val="00106BF8"/>
    <w:rsid w:val="00106FF3"/>
    <w:rsid w:val="00107ECC"/>
    <w:rsid w:val="001129D9"/>
    <w:rsid w:val="001129E9"/>
    <w:rsid w:val="00112B20"/>
    <w:rsid w:val="001141B3"/>
    <w:rsid w:val="001164E0"/>
    <w:rsid w:val="00116F90"/>
    <w:rsid w:val="0012021D"/>
    <w:rsid w:val="001202B0"/>
    <w:rsid w:val="001209D1"/>
    <w:rsid w:val="00121572"/>
    <w:rsid w:val="00121E5A"/>
    <w:rsid w:val="00122C44"/>
    <w:rsid w:val="00122F95"/>
    <w:rsid w:val="00123703"/>
    <w:rsid w:val="00124A82"/>
    <w:rsid w:val="0012628D"/>
    <w:rsid w:val="0012630E"/>
    <w:rsid w:val="00127EB6"/>
    <w:rsid w:val="00130497"/>
    <w:rsid w:val="00130553"/>
    <w:rsid w:val="001306F3"/>
    <w:rsid w:val="00130CFA"/>
    <w:rsid w:val="00131D0E"/>
    <w:rsid w:val="001331AD"/>
    <w:rsid w:val="001336F4"/>
    <w:rsid w:val="00133FD4"/>
    <w:rsid w:val="001342BB"/>
    <w:rsid w:val="00136A93"/>
    <w:rsid w:val="001402AC"/>
    <w:rsid w:val="0014164A"/>
    <w:rsid w:val="00141810"/>
    <w:rsid w:val="00141970"/>
    <w:rsid w:val="0014200E"/>
    <w:rsid w:val="00142683"/>
    <w:rsid w:val="00142B80"/>
    <w:rsid w:val="00143CFA"/>
    <w:rsid w:val="00144808"/>
    <w:rsid w:val="00144D78"/>
    <w:rsid w:val="00146EB2"/>
    <w:rsid w:val="001478A2"/>
    <w:rsid w:val="001505DB"/>
    <w:rsid w:val="00151835"/>
    <w:rsid w:val="0015192E"/>
    <w:rsid w:val="001534F0"/>
    <w:rsid w:val="0015397A"/>
    <w:rsid w:val="00154BF3"/>
    <w:rsid w:val="00154CA9"/>
    <w:rsid w:val="0015596C"/>
    <w:rsid w:val="00156125"/>
    <w:rsid w:val="00156BFB"/>
    <w:rsid w:val="001577A6"/>
    <w:rsid w:val="00160EE8"/>
    <w:rsid w:val="001626CB"/>
    <w:rsid w:val="00162E2C"/>
    <w:rsid w:val="00163338"/>
    <w:rsid w:val="00163A4D"/>
    <w:rsid w:val="00163CC7"/>
    <w:rsid w:val="00164F57"/>
    <w:rsid w:val="00165313"/>
    <w:rsid w:val="001653C5"/>
    <w:rsid w:val="001653FA"/>
    <w:rsid w:val="001664A7"/>
    <w:rsid w:val="001665B3"/>
    <w:rsid w:val="001667A7"/>
    <w:rsid w:val="00166E25"/>
    <w:rsid w:val="0016711F"/>
    <w:rsid w:val="001677BF"/>
    <w:rsid w:val="001702E8"/>
    <w:rsid w:val="00170D70"/>
    <w:rsid w:val="00171133"/>
    <w:rsid w:val="00171322"/>
    <w:rsid w:val="0017161E"/>
    <w:rsid w:val="00171865"/>
    <w:rsid w:val="001718AC"/>
    <w:rsid w:val="0017293E"/>
    <w:rsid w:val="00175019"/>
    <w:rsid w:val="00175321"/>
    <w:rsid w:val="00180101"/>
    <w:rsid w:val="00180A5E"/>
    <w:rsid w:val="00180C07"/>
    <w:rsid w:val="001814AD"/>
    <w:rsid w:val="00181963"/>
    <w:rsid w:val="001825AD"/>
    <w:rsid w:val="00186113"/>
    <w:rsid w:val="00186598"/>
    <w:rsid w:val="001868B9"/>
    <w:rsid w:val="001869B9"/>
    <w:rsid w:val="00186AD0"/>
    <w:rsid w:val="00187A0D"/>
    <w:rsid w:val="001905EA"/>
    <w:rsid w:val="00190C57"/>
    <w:rsid w:val="00196B22"/>
    <w:rsid w:val="00197CBA"/>
    <w:rsid w:val="001A0105"/>
    <w:rsid w:val="001A1ACF"/>
    <w:rsid w:val="001A1D40"/>
    <w:rsid w:val="001A2EBE"/>
    <w:rsid w:val="001A2F80"/>
    <w:rsid w:val="001A3D8E"/>
    <w:rsid w:val="001A4639"/>
    <w:rsid w:val="001A49D5"/>
    <w:rsid w:val="001A5239"/>
    <w:rsid w:val="001A5ED4"/>
    <w:rsid w:val="001A6918"/>
    <w:rsid w:val="001A6EEC"/>
    <w:rsid w:val="001A764E"/>
    <w:rsid w:val="001B0661"/>
    <w:rsid w:val="001B4862"/>
    <w:rsid w:val="001B4C41"/>
    <w:rsid w:val="001B4DBC"/>
    <w:rsid w:val="001B535E"/>
    <w:rsid w:val="001B6CA2"/>
    <w:rsid w:val="001B6F7F"/>
    <w:rsid w:val="001B6F81"/>
    <w:rsid w:val="001B70DB"/>
    <w:rsid w:val="001C00C5"/>
    <w:rsid w:val="001C1419"/>
    <w:rsid w:val="001C1BC9"/>
    <w:rsid w:val="001C1BCB"/>
    <w:rsid w:val="001C3EE3"/>
    <w:rsid w:val="001C41D1"/>
    <w:rsid w:val="001C44D8"/>
    <w:rsid w:val="001C5957"/>
    <w:rsid w:val="001C5ED8"/>
    <w:rsid w:val="001C61D7"/>
    <w:rsid w:val="001C63B0"/>
    <w:rsid w:val="001C6A74"/>
    <w:rsid w:val="001C757F"/>
    <w:rsid w:val="001C7DFE"/>
    <w:rsid w:val="001C7E4F"/>
    <w:rsid w:val="001D006A"/>
    <w:rsid w:val="001D131B"/>
    <w:rsid w:val="001D1A3E"/>
    <w:rsid w:val="001D3052"/>
    <w:rsid w:val="001D34A8"/>
    <w:rsid w:val="001D3E7D"/>
    <w:rsid w:val="001D479C"/>
    <w:rsid w:val="001D533A"/>
    <w:rsid w:val="001E04F9"/>
    <w:rsid w:val="001E09FC"/>
    <w:rsid w:val="001E0B25"/>
    <w:rsid w:val="001E0E8F"/>
    <w:rsid w:val="001E1D4B"/>
    <w:rsid w:val="001E2E20"/>
    <w:rsid w:val="001E2F69"/>
    <w:rsid w:val="001E37D7"/>
    <w:rsid w:val="001E526F"/>
    <w:rsid w:val="001E60A7"/>
    <w:rsid w:val="001E6BCE"/>
    <w:rsid w:val="001F074F"/>
    <w:rsid w:val="001F1043"/>
    <w:rsid w:val="001F1195"/>
    <w:rsid w:val="001F12A6"/>
    <w:rsid w:val="001F2E28"/>
    <w:rsid w:val="001F4C46"/>
    <w:rsid w:val="001F4D15"/>
    <w:rsid w:val="001F5170"/>
    <w:rsid w:val="001F53E5"/>
    <w:rsid w:val="001F5772"/>
    <w:rsid w:val="001F5DE2"/>
    <w:rsid w:val="001F607B"/>
    <w:rsid w:val="001F608F"/>
    <w:rsid w:val="001F7176"/>
    <w:rsid w:val="00200249"/>
    <w:rsid w:val="0020036E"/>
    <w:rsid w:val="00201C61"/>
    <w:rsid w:val="00203226"/>
    <w:rsid w:val="0020436A"/>
    <w:rsid w:val="0020441A"/>
    <w:rsid w:val="002054B3"/>
    <w:rsid w:val="00205BD6"/>
    <w:rsid w:val="00205DCE"/>
    <w:rsid w:val="00205F9E"/>
    <w:rsid w:val="00206718"/>
    <w:rsid w:val="00206C37"/>
    <w:rsid w:val="0021015E"/>
    <w:rsid w:val="002103BC"/>
    <w:rsid w:val="002127D8"/>
    <w:rsid w:val="00212BE1"/>
    <w:rsid w:val="00213C93"/>
    <w:rsid w:val="00214B7A"/>
    <w:rsid w:val="00214BA1"/>
    <w:rsid w:val="00215A50"/>
    <w:rsid w:val="00215FAB"/>
    <w:rsid w:val="0022149C"/>
    <w:rsid w:val="00221892"/>
    <w:rsid w:val="00222E05"/>
    <w:rsid w:val="0022400D"/>
    <w:rsid w:val="002240A2"/>
    <w:rsid w:val="00225A7F"/>
    <w:rsid w:val="002261FA"/>
    <w:rsid w:val="00226B5C"/>
    <w:rsid w:val="00230EC3"/>
    <w:rsid w:val="0023141E"/>
    <w:rsid w:val="00231835"/>
    <w:rsid w:val="00231C92"/>
    <w:rsid w:val="00232BC6"/>
    <w:rsid w:val="00233255"/>
    <w:rsid w:val="00233852"/>
    <w:rsid w:val="00233A77"/>
    <w:rsid w:val="00234717"/>
    <w:rsid w:val="00235218"/>
    <w:rsid w:val="00235728"/>
    <w:rsid w:val="00235B2D"/>
    <w:rsid w:val="00236439"/>
    <w:rsid w:val="00236C51"/>
    <w:rsid w:val="00236FE2"/>
    <w:rsid w:val="002370B4"/>
    <w:rsid w:val="00237E70"/>
    <w:rsid w:val="00240F85"/>
    <w:rsid w:val="00241883"/>
    <w:rsid w:val="00241B29"/>
    <w:rsid w:val="00241C5A"/>
    <w:rsid w:val="00243C62"/>
    <w:rsid w:val="0024433E"/>
    <w:rsid w:val="002444DF"/>
    <w:rsid w:val="002453AE"/>
    <w:rsid w:val="00245596"/>
    <w:rsid w:val="002463C0"/>
    <w:rsid w:val="0024725E"/>
    <w:rsid w:val="0025007B"/>
    <w:rsid w:val="00251446"/>
    <w:rsid w:val="00251534"/>
    <w:rsid w:val="00251B58"/>
    <w:rsid w:val="0025285E"/>
    <w:rsid w:val="00253108"/>
    <w:rsid w:val="002558C6"/>
    <w:rsid w:val="00255F34"/>
    <w:rsid w:val="00256498"/>
    <w:rsid w:val="00256AB6"/>
    <w:rsid w:val="00256F1E"/>
    <w:rsid w:val="00257B53"/>
    <w:rsid w:val="00260783"/>
    <w:rsid w:val="00260A2C"/>
    <w:rsid w:val="00260A56"/>
    <w:rsid w:val="00260D12"/>
    <w:rsid w:val="00261D45"/>
    <w:rsid w:val="002628FB"/>
    <w:rsid w:val="00263173"/>
    <w:rsid w:val="00263C5D"/>
    <w:rsid w:val="00264ED7"/>
    <w:rsid w:val="00266EEA"/>
    <w:rsid w:val="00267648"/>
    <w:rsid w:val="00270193"/>
    <w:rsid w:val="0027087C"/>
    <w:rsid w:val="00271EF1"/>
    <w:rsid w:val="00273367"/>
    <w:rsid w:val="002735CD"/>
    <w:rsid w:val="00274455"/>
    <w:rsid w:val="00274762"/>
    <w:rsid w:val="00275519"/>
    <w:rsid w:val="0027623F"/>
    <w:rsid w:val="00277EB4"/>
    <w:rsid w:val="00277EDD"/>
    <w:rsid w:val="0028060E"/>
    <w:rsid w:val="00280A6C"/>
    <w:rsid w:val="00280AA4"/>
    <w:rsid w:val="00280B2F"/>
    <w:rsid w:val="00280BC8"/>
    <w:rsid w:val="00280C8A"/>
    <w:rsid w:val="002817C2"/>
    <w:rsid w:val="0028207E"/>
    <w:rsid w:val="00282BCD"/>
    <w:rsid w:val="002834B9"/>
    <w:rsid w:val="002834E6"/>
    <w:rsid w:val="00283891"/>
    <w:rsid w:val="002838B7"/>
    <w:rsid w:val="002847EE"/>
    <w:rsid w:val="0028575E"/>
    <w:rsid w:val="00285C41"/>
    <w:rsid w:val="002873A8"/>
    <w:rsid w:val="0028745C"/>
    <w:rsid w:val="002875D3"/>
    <w:rsid w:val="0028781C"/>
    <w:rsid w:val="002906BC"/>
    <w:rsid w:val="002921CB"/>
    <w:rsid w:val="002927BD"/>
    <w:rsid w:val="00292DA7"/>
    <w:rsid w:val="0029322E"/>
    <w:rsid w:val="0029576C"/>
    <w:rsid w:val="00295BD7"/>
    <w:rsid w:val="00295D2D"/>
    <w:rsid w:val="002960FD"/>
    <w:rsid w:val="00297210"/>
    <w:rsid w:val="00297308"/>
    <w:rsid w:val="002A0CB2"/>
    <w:rsid w:val="002A1122"/>
    <w:rsid w:val="002A2088"/>
    <w:rsid w:val="002A26D7"/>
    <w:rsid w:val="002A3D2B"/>
    <w:rsid w:val="002A5CAB"/>
    <w:rsid w:val="002A7550"/>
    <w:rsid w:val="002B02A5"/>
    <w:rsid w:val="002B0B8C"/>
    <w:rsid w:val="002B0D6D"/>
    <w:rsid w:val="002B1F4D"/>
    <w:rsid w:val="002B2619"/>
    <w:rsid w:val="002B341A"/>
    <w:rsid w:val="002B55AB"/>
    <w:rsid w:val="002B69A3"/>
    <w:rsid w:val="002B6BE7"/>
    <w:rsid w:val="002B71A6"/>
    <w:rsid w:val="002B749B"/>
    <w:rsid w:val="002B79EA"/>
    <w:rsid w:val="002B7A4C"/>
    <w:rsid w:val="002C0857"/>
    <w:rsid w:val="002C1738"/>
    <w:rsid w:val="002C2A63"/>
    <w:rsid w:val="002C2FC5"/>
    <w:rsid w:val="002C3FFB"/>
    <w:rsid w:val="002C4C79"/>
    <w:rsid w:val="002C5076"/>
    <w:rsid w:val="002C523F"/>
    <w:rsid w:val="002C55B5"/>
    <w:rsid w:val="002C6B60"/>
    <w:rsid w:val="002C7175"/>
    <w:rsid w:val="002C71C9"/>
    <w:rsid w:val="002C7B81"/>
    <w:rsid w:val="002D1A25"/>
    <w:rsid w:val="002D25A7"/>
    <w:rsid w:val="002D359A"/>
    <w:rsid w:val="002D39CB"/>
    <w:rsid w:val="002D3CF5"/>
    <w:rsid w:val="002D4C2F"/>
    <w:rsid w:val="002D57AE"/>
    <w:rsid w:val="002D5E17"/>
    <w:rsid w:val="002D69A1"/>
    <w:rsid w:val="002D6B48"/>
    <w:rsid w:val="002E0FE0"/>
    <w:rsid w:val="002E195E"/>
    <w:rsid w:val="002E256D"/>
    <w:rsid w:val="002E36FB"/>
    <w:rsid w:val="002E410E"/>
    <w:rsid w:val="002E4E61"/>
    <w:rsid w:val="002E666A"/>
    <w:rsid w:val="002E705E"/>
    <w:rsid w:val="002E76DF"/>
    <w:rsid w:val="002F067E"/>
    <w:rsid w:val="002F0CF3"/>
    <w:rsid w:val="002F0E62"/>
    <w:rsid w:val="002F21DC"/>
    <w:rsid w:val="002F389F"/>
    <w:rsid w:val="002F3D3C"/>
    <w:rsid w:val="002F4927"/>
    <w:rsid w:val="002F4C9A"/>
    <w:rsid w:val="002F593D"/>
    <w:rsid w:val="002F675A"/>
    <w:rsid w:val="002F75E2"/>
    <w:rsid w:val="003004D2"/>
    <w:rsid w:val="00300554"/>
    <w:rsid w:val="00301577"/>
    <w:rsid w:val="00304512"/>
    <w:rsid w:val="00304576"/>
    <w:rsid w:val="00305071"/>
    <w:rsid w:val="003073B4"/>
    <w:rsid w:val="003103A3"/>
    <w:rsid w:val="003108BC"/>
    <w:rsid w:val="00311635"/>
    <w:rsid w:val="00311941"/>
    <w:rsid w:val="003126C9"/>
    <w:rsid w:val="0031274B"/>
    <w:rsid w:val="003134B2"/>
    <w:rsid w:val="00314D1F"/>
    <w:rsid w:val="00317B48"/>
    <w:rsid w:val="00317F2B"/>
    <w:rsid w:val="00320635"/>
    <w:rsid w:val="00320A42"/>
    <w:rsid w:val="00320E0F"/>
    <w:rsid w:val="00321EA8"/>
    <w:rsid w:val="003226DA"/>
    <w:rsid w:val="003232B4"/>
    <w:rsid w:val="00323922"/>
    <w:rsid w:val="00324A8C"/>
    <w:rsid w:val="00324CBD"/>
    <w:rsid w:val="00324DC4"/>
    <w:rsid w:val="00325542"/>
    <w:rsid w:val="003257FC"/>
    <w:rsid w:val="00325845"/>
    <w:rsid w:val="00325A05"/>
    <w:rsid w:val="0032651D"/>
    <w:rsid w:val="00326EE7"/>
    <w:rsid w:val="00327404"/>
    <w:rsid w:val="00327ED6"/>
    <w:rsid w:val="00333060"/>
    <w:rsid w:val="003331DD"/>
    <w:rsid w:val="003334F8"/>
    <w:rsid w:val="00333C36"/>
    <w:rsid w:val="00333FC2"/>
    <w:rsid w:val="00334128"/>
    <w:rsid w:val="00334698"/>
    <w:rsid w:val="00334F21"/>
    <w:rsid w:val="00335C5D"/>
    <w:rsid w:val="00335DF4"/>
    <w:rsid w:val="00335FF9"/>
    <w:rsid w:val="003366E3"/>
    <w:rsid w:val="00336C2A"/>
    <w:rsid w:val="00336F3A"/>
    <w:rsid w:val="00337C5E"/>
    <w:rsid w:val="003414B8"/>
    <w:rsid w:val="00342369"/>
    <w:rsid w:val="00342DDF"/>
    <w:rsid w:val="003446AA"/>
    <w:rsid w:val="003451AA"/>
    <w:rsid w:val="00347E08"/>
    <w:rsid w:val="0035298A"/>
    <w:rsid w:val="00352E25"/>
    <w:rsid w:val="00354349"/>
    <w:rsid w:val="00354FD4"/>
    <w:rsid w:val="00355C5A"/>
    <w:rsid w:val="00356C31"/>
    <w:rsid w:val="00357CF2"/>
    <w:rsid w:val="0036019A"/>
    <w:rsid w:val="003601CB"/>
    <w:rsid w:val="00360FC0"/>
    <w:rsid w:val="00361610"/>
    <w:rsid w:val="00362410"/>
    <w:rsid w:val="00362A30"/>
    <w:rsid w:val="003636BB"/>
    <w:rsid w:val="00365441"/>
    <w:rsid w:val="00371982"/>
    <w:rsid w:val="00371DC6"/>
    <w:rsid w:val="0037413B"/>
    <w:rsid w:val="00375ABE"/>
    <w:rsid w:val="00375F5F"/>
    <w:rsid w:val="0037618D"/>
    <w:rsid w:val="003773C9"/>
    <w:rsid w:val="00380409"/>
    <w:rsid w:val="003811B1"/>
    <w:rsid w:val="00381D1F"/>
    <w:rsid w:val="00382056"/>
    <w:rsid w:val="00382145"/>
    <w:rsid w:val="00382AC9"/>
    <w:rsid w:val="00383D04"/>
    <w:rsid w:val="00384298"/>
    <w:rsid w:val="00384800"/>
    <w:rsid w:val="00384BAB"/>
    <w:rsid w:val="00385C34"/>
    <w:rsid w:val="00385D9A"/>
    <w:rsid w:val="00386873"/>
    <w:rsid w:val="00390B26"/>
    <w:rsid w:val="00390E7E"/>
    <w:rsid w:val="00390F01"/>
    <w:rsid w:val="00391393"/>
    <w:rsid w:val="00391630"/>
    <w:rsid w:val="00391B3D"/>
    <w:rsid w:val="00392FC9"/>
    <w:rsid w:val="003937D6"/>
    <w:rsid w:val="00393986"/>
    <w:rsid w:val="0039463C"/>
    <w:rsid w:val="00394FA8"/>
    <w:rsid w:val="00395FF8"/>
    <w:rsid w:val="003964EA"/>
    <w:rsid w:val="0039678C"/>
    <w:rsid w:val="00396A19"/>
    <w:rsid w:val="00396ED2"/>
    <w:rsid w:val="00397A7D"/>
    <w:rsid w:val="003A027B"/>
    <w:rsid w:val="003A206E"/>
    <w:rsid w:val="003A2B7C"/>
    <w:rsid w:val="003A33BB"/>
    <w:rsid w:val="003A3977"/>
    <w:rsid w:val="003A3B77"/>
    <w:rsid w:val="003A3F58"/>
    <w:rsid w:val="003A427D"/>
    <w:rsid w:val="003A4F4B"/>
    <w:rsid w:val="003A5575"/>
    <w:rsid w:val="003B0339"/>
    <w:rsid w:val="003B1791"/>
    <w:rsid w:val="003B3B73"/>
    <w:rsid w:val="003B4A26"/>
    <w:rsid w:val="003B5FF2"/>
    <w:rsid w:val="003B6329"/>
    <w:rsid w:val="003C1F33"/>
    <w:rsid w:val="003C1FB2"/>
    <w:rsid w:val="003C20A6"/>
    <w:rsid w:val="003C2140"/>
    <w:rsid w:val="003C2759"/>
    <w:rsid w:val="003C2CDD"/>
    <w:rsid w:val="003C3764"/>
    <w:rsid w:val="003C38EF"/>
    <w:rsid w:val="003C4A0F"/>
    <w:rsid w:val="003C4E68"/>
    <w:rsid w:val="003C5010"/>
    <w:rsid w:val="003C52E1"/>
    <w:rsid w:val="003C65B5"/>
    <w:rsid w:val="003D08CC"/>
    <w:rsid w:val="003D1915"/>
    <w:rsid w:val="003D3109"/>
    <w:rsid w:val="003D49F4"/>
    <w:rsid w:val="003D5941"/>
    <w:rsid w:val="003D5A8F"/>
    <w:rsid w:val="003D5C39"/>
    <w:rsid w:val="003D6CF0"/>
    <w:rsid w:val="003D7687"/>
    <w:rsid w:val="003D7808"/>
    <w:rsid w:val="003D7897"/>
    <w:rsid w:val="003D7BE3"/>
    <w:rsid w:val="003E0683"/>
    <w:rsid w:val="003E1ABC"/>
    <w:rsid w:val="003E416D"/>
    <w:rsid w:val="003E47A3"/>
    <w:rsid w:val="003E5D89"/>
    <w:rsid w:val="003E6E06"/>
    <w:rsid w:val="003E73DE"/>
    <w:rsid w:val="003E7913"/>
    <w:rsid w:val="003F00F4"/>
    <w:rsid w:val="003F065A"/>
    <w:rsid w:val="003F0B2D"/>
    <w:rsid w:val="003F10B9"/>
    <w:rsid w:val="003F1B94"/>
    <w:rsid w:val="003F1F6E"/>
    <w:rsid w:val="003F2C6D"/>
    <w:rsid w:val="003F50F1"/>
    <w:rsid w:val="003F55D5"/>
    <w:rsid w:val="003F7ED3"/>
    <w:rsid w:val="00400050"/>
    <w:rsid w:val="00402439"/>
    <w:rsid w:val="00402822"/>
    <w:rsid w:val="00402A48"/>
    <w:rsid w:val="004033A1"/>
    <w:rsid w:val="0040465F"/>
    <w:rsid w:val="00404E88"/>
    <w:rsid w:val="004057F2"/>
    <w:rsid w:val="00405F36"/>
    <w:rsid w:val="00410BF8"/>
    <w:rsid w:val="00411176"/>
    <w:rsid w:val="004115E7"/>
    <w:rsid w:val="00411C3C"/>
    <w:rsid w:val="00412E1E"/>
    <w:rsid w:val="0041512C"/>
    <w:rsid w:val="004159A4"/>
    <w:rsid w:val="00420E1B"/>
    <w:rsid w:val="004222E6"/>
    <w:rsid w:val="00425BCA"/>
    <w:rsid w:val="004311F1"/>
    <w:rsid w:val="0043186C"/>
    <w:rsid w:val="004318A5"/>
    <w:rsid w:val="00432067"/>
    <w:rsid w:val="004338BF"/>
    <w:rsid w:val="00434B34"/>
    <w:rsid w:val="00434FDB"/>
    <w:rsid w:val="00435785"/>
    <w:rsid w:val="004358C3"/>
    <w:rsid w:val="004359A4"/>
    <w:rsid w:val="00435F17"/>
    <w:rsid w:val="00436330"/>
    <w:rsid w:val="004367B6"/>
    <w:rsid w:val="004367C7"/>
    <w:rsid w:val="00440DFF"/>
    <w:rsid w:val="00441208"/>
    <w:rsid w:val="0044169C"/>
    <w:rsid w:val="0044177B"/>
    <w:rsid w:val="00442971"/>
    <w:rsid w:val="00443263"/>
    <w:rsid w:val="0044597E"/>
    <w:rsid w:val="00446C65"/>
    <w:rsid w:val="00447476"/>
    <w:rsid w:val="004501B4"/>
    <w:rsid w:val="004503B7"/>
    <w:rsid w:val="00450FFE"/>
    <w:rsid w:val="004513B8"/>
    <w:rsid w:val="00453ED3"/>
    <w:rsid w:val="00454230"/>
    <w:rsid w:val="00455265"/>
    <w:rsid w:val="00456D9F"/>
    <w:rsid w:val="004578F5"/>
    <w:rsid w:val="00460551"/>
    <w:rsid w:val="00460D01"/>
    <w:rsid w:val="00461B4A"/>
    <w:rsid w:val="004625F2"/>
    <w:rsid w:val="00463E45"/>
    <w:rsid w:val="00466C96"/>
    <w:rsid w:val="004671CD"/>
    <w:rsid w:val="00467321"/>
    <w:rsid w:val="004675F5"/>
    <w:rsid w:val="00470E05"/>
    <w:rsid w:val="004714DE"/>
    <w:rsid w:val="00471832"/>
    <w:rsid w:val="00471F28"/>
    <w:rsid w:val="00474C73"/>
    <w:rsid w:val="00474C95"/>
    <w:rsid w:val="00475952"/>
    <w:rsid w:val="004762DF"/>
    <w:rsid w:val="00477AB8"/>
    <w:rsid w:val="00481120"/>
    <w:rsid w:val="004811FC"/>
    <w:rsid w:val="00481DF2"/>
    <w:rsid w:val="00482178"/>
    <w:rsid w:val="0048285C"/>
    <w:rsid w:val="00482E6A"/>
    <w:rsid w:val="0048415B"/>
    <w:rsid w:val="00486028"/>
    <w:rsid w:val="00486261"/>
    <w:rsid w:val="00486B94"/>
    <w:rsid w:val="00487463"/>
    <w:rsid w:val="00491624"/>
    <w:rsid w:val="004926E5"/>
    <w:rsid w:val="00492893"/>
    <w:rsid w:val="00494351"/>
    <w:rsid w:val="004948B2"/>
    <w:rsid w:val="0049546A"/>
    <w:rsid w:val="004955CB"/>
    <w:rsid w:val="00495C9D"/>
    <w:rsid w:val="00496710"/>
    <w:rsid w:val="00497B70"/>
    <w:rsid w:val="00497CD0"/>
    <w:rsid w:val="004A28E1"/>
    <w:rsid w:val="004A3C5E"/>
    <w:rsid w:val="004A4D22"/>
    <w:rsid w:val="004A5FB1"/>
    <w:rsid w:val="004A61BB"/>
    <w:rsid w:val="004B0D1F"/>
    <w:rsid w:val="004B105E"/>
    <w:rsid w:val="004B131C"/>
    <w:rsid w:val="004B2D64"/>
    <w:rsid w:val="004B3EF8"/>
    <w:rsid w:val="004B4581"/>
    <w:rsid w:val="004B550C"/>
    <w:rsid w:val="004B5740"/>
    <w:rsid w:val="004B599B"/>
    <w:rsid w:val="004B5C9B"/>
    <w:rsid w:val="004B5E98"/>
    <w:rsid w:val="004B7197"/>
    <w:rsid w:val="004B7A23"/>
    <w:rsid w:val="004C0341"/>
    <w:rsid w:val="004C49EB"/>
    <w:rsid w:val="004C569A"/>
    <w:rsid w:val="004C6514"/>
    <w:rsid w:val="004C6B42"/>
    <w:rsid w:val="004C75B3"/>
    <w:rsid w:val="004C79CA"/>
    <w:rsid w:val="004D0766"/>
    <w:rsid w:val="004D1B20"/>
    <w:rsid w:val="004D2FF2"/>
    <w:rsid w:val="004D45C0"/>
    <w:rsid w:val="004D4A9C"/>
    <w:rsid w:val="004D5FC4"/>
    <w:rsid w:val="004E071E"/>
    <w:rsid w:val="004E0BF4"/>
    <w:rsid w:val="004E0C97"/>
    <w:rsid w:val="004E11CA"/>
    <w:rsid w:val="004E1793"/>
    <w:rsid w:val="004E1982"/>
    <w:rsid w:val="004E2884"/>
    <w:rsid w:val="004E2EE6"/>
    <w:rsid w:val="004E3352"/>
    <w:rsid w:val="004E348E"/>
    <w:rsid w:val="004E47CB"/>
    <w:rsid w:val="004E523D"/>
    <w:rsid w:val="004E54B9"/>
    <w:rsid w:val="004E5DB9"/>
    <w:rsid w:val="004E6057"/>
    <w:rsid w:val="004E6CFA"/>
    <w:rsid w:val="004E7099"/>
    <w:rsid w:val="004E711C"/>
    <w:rsid w:val="004E752D"/>
    <w:rsid w:val="004F04BF"/>
    <w:rsid w:val="004F0E22"/>
    <w:rsid w:val="004F2251"/>
    <w:rsid w:val="004F2E5C"/>
    <w:rsid w:val="004F379B"/>
    <w:rsid w:val="004F495B"/>
    <w:rsid w:val="004F4B67"/>
    <w:rsid w:val="004F6217"/>
    <w:rsid w:val="004F6B7D"/>
    <w:rsid w:val="004F6D22"/>
    <w:rsid w:val="004F73B4"/>
    <w:rsid w:val="00500403"/>
    <w:rsid w:val="00500C9C"/>
    <w:rsid w:val="0050118D"/>
    <w:rsid w:val="00502528"/>
    <w:rsid w:val="0050294E"/>
    <w:rsid w:val="00504D9B"/>
    <w:rsid w:val="00504F3C"/>
    <w:rsid w:val="00504FFC"/>
    <w:rsid w:val="00505768"/>
    <w:rsid w:val="005065C1"/>
    <w:rsid w:val="00506CD5"/>
    <w:rsid w:val="00510386"/>
    <w:rsid w:val="00510733"/>
    <w:rsid w:val="00511720"/>
    <w:rsid w:val="005119BC"/>
    <w:rsid w:val="00512169"/>
    <w:rsid w:val="00514AFF"/>
    <w:rsid w:val="00514B9C"/>
    <w:rsid w:val="00516DB7"/>
    <w:rsid w:val="00517B6E"/>
    <w:rsid w:val="00517FA4"/>
    <w:rsid w:val="005200FC"/>
    <w:rsid w:val="00520164"/>
    <w:rsid w:val="00520B85"/>
    <w:rsid w:val="00521962"/>
    <w:rsid w:val="005230D7"/>
    <w:rsid w:val="00524292"/>
    <w:rsid w:val="0052432E"/>
    <w:rsid w:val="00524539"/>
    <w:rsid w:val="00525130"/>
    <w:rsid w:val="00526340"/>
    <w:rsid w:val="00526D7D"/>
    <w:rsid w:val="005272B8"/>
    <w:rsid w:val="00527642"/>
    <w:rsid w:val="0052796F"/>
    <w:rsid w:val="00527FA7"/>
    <w:rsid w:val="0053133E"/>
    <w:rsid w:val="00533BB9"/>
    <w:rsid w:val="00533F05"/>
    <w:rsid w:val="005375A6"/>
    <w:rsid w:val="00537841"/>
    <w:rsid w:val="00537D23"/>
    <w:rsid w:val="0054037B"/>
    <w:rsid w:val="0054049F"/>
    <w:rsid w:val="005405BF"/>
    <w:rsid w:val="005410FA"/>
    <w:rsid w:val="0054122E"/>
    <w:rsid w:val="005428F0"/>
    <w:rsid w:val="005437B8"/>
    <w:rsid w:val="00543EF2"/>
    <w:rsid w:val="00545049"/>
    <w:rsid w:val="00545EF5"/>
    <w:rsid w:val="005472D8"/>
    <w:rsid w:val="00547302"/>
    <w:rsid w:val="00547E94"/>
    <w:rsid w:val="005504A7"/>
    <w:rsid w:val="00550824"/>
    <w:rsid w:val="005521C9"/>
    <w:rsid w:val="005523FB"/>
    <w:rsid w:val="00552F83"/>
    <w:rsid w:val="005547F6"/>
    <w:rsid w:val="00554D57"/>
    <w:rsid w:val="00555804"/>
    <w:rsid w:val="00556D9C"/>
    <w:rsid w:val="00556FA5"/>
    <w:rsid w:val="0055754E"/>
    <w:rsid w:val="0055757B"/>
    <w:rsid w:val="0056094B"/>
    <w:rsid w:val="00562986"/>
    <w:rsid w:val="0056381C"/>
    <w:rsid w:val="00563E1B"/>
    <w:rsid w:val="00564B22"/>
    <w:rsid w:val="005650BC"/>
    <w:rsid w:val="00565B62"/>
    <w:rsid w:val="005665C4"/>
    <w:rsid w:val="00566E4B"/>
    <w:rsid w:val="0056779E"/>
    <w:rsid w:val="0057212D"/>
    <w:rsid w:val="00573BB6"/>
    <w:rsid w:val="00574B46"/>
    <w:rsid w:val="005752C4"/>
    <w:rsid w:val="00576F43"/>
    <w:rsid w:val="0057721E"/>
    <w:rsid w:val="00577550"/>
    <w:rsid w:val="00581102"/>
    <w:rsid w:val="00581287"/>
    <w:rsid w:val="005814C6"/>
    <w:rsid w:val="005835CC"/>
    <w:rsid w:val="0058482C"/>
    <w:rsid w:val="0058710A"/>
    <w:rsid w:val="00587897"/>
    <w:rsid w:val="00591B87"/>
    <w:rsid w:val="00592B8C"/>
    <w:rsid w:val="005930AA"/>
    <w:rsid w:val="005934D0"/>
    <w:rsid w:val="005942FF"/>
    <w:rsid w:val="0059500F"/>
    <w:rsid w:val="005A139A"/>
    <w:rsid w:val="005A2515"/>
    <w:rsid w:val="005A3154"/>
    <w:rsid w:val="005A38CF"/>
    <w:rsid w:val="005A3DD7"/>
    <w:rsid w:val="005A4066"/>
    <w:rsid w:val="005A490E"/>
    <w:rsid w:val="005A5AA5"/>
    <w:rsid w:val="005A63B6"/>
    <w:rsid w:val="005A7F51"/>
    <w:rsid w:val="005B0F72"/>
    <w:rsid w:val="005B1594"/>
    <w:rsid w:val="005B1922"/>
    <w:rsid w:val="005B1D20"/>
    <w:rsid w:val="005B1E89"/>
    <w:rsid w:val="005B2441"/>
    <w:rsid w:val="005B2DB2"/>
    <w:rsid w:val="005B39A6"/>
    <w:rsid w:val="005B5876"/>
    <w:rsid w:val="005B5E70"/>
    <w:rsid w:val="005B6ECD"/>
    <w:rsid w:val="005B7153"/>
    <w:rsid w:val="005C0FC1"/>
    <w:rsid w:val="005C12F8"/>
    <w:rsid w:val="005C31EC"/>
    <w:rsid w:val="005C395F"/>
    <w:rsid w:val="005C3D29"/>
    <w:rsid w:val="005C486F"/>
    <w:rsid w:val="005C7057"/>
    <w:rsid w:val="005C7E1B"/>
    <w:rsid w:val="005D0AD9"/>
    <w:rsid w:val="005D1263"/>
    <w:rsid w:val="005D304F"/>
    <w:rsid w:val="005D3CF2"/>
    <w:rsid w:val="005D3F0C"/>
    <w:rsid w:val="005D44F5"/>
    <w:rsid w:val="005E04A8"/>
    <w:rsid w:val="005E1C15"/>
    <w:rsid w:val="005E4308"/>
    <w:rsid w:val="005E438B"/>
    <w:rsid w:val="005E472D"/>
    <w:rsid w:val="005E4F71"/>
    <w:rsid w:val="005E5395"/>
    <w:rsid w:val="005E57A4"/>
    <w:rsid w:val="005E5FCD"/>
    <w:rsid w:val="005E6461"/>
    <w:rsid w:val="005E68C7"/>
    <w:rsid w:val="005E7D82"/>
    <w:rsid w:val="005F107E"/>
    <w:rsid w:val="005F1355"/>
    <w:rsid w:val="005F2D88"/>
    <w:rsid w:val="005F3243"/>
    <w:rsid w:val="005F3733"/>
    <w:rsid w:val="005F45D2"/>
    <w:rsid w:val="005F4C3B"/>
    <w:rsid w:val="005F6AA7"/>
    <w:rsid w:val="005F71EB"/>
    <w:rsid w:val="005F78EC"/>
    <w:rsid w:val="0060042E"/>
    <w:rsid w:val="006005B1"/>
    <w:rsid w:val="0060185D"/>
    <w:rsid w:val="0060313A"/>
    <w:rsid w:val="006039A8"/>
    <w:rsid w:val="00605120"/>
    <w:rsid w:val="00605234"/>
    <w:rsid w:val="00606D89"/>
    <w:rsid w:val="00607D3F"/>
    <w:rsid w:val="0061003A"/>
    <w:rsid w:val="00610571"/>
    <w:rsid w:val="006106BF"/>
    <w:rsid w:val="00610D2A"/>
    <w:rsid w:val="006111B1"/>
    <w:rsid w:val="006115B5"/>
    <w:rsid w:val="006129ED"/>
    <w:rsid w:val="006142F1"/>
    <w:rsid w:val="00614F07"/>
    <w:rsid w:val="00615BD3"/>
    <w:rsid w:val="00616FD3"/>
    <w:rsid w:val="00617F15"/>
    <w:rsid w:val="00620354"/>
    <w:rsid w:val="00620501"/>
    <w:rsid w:val="006215F6"/>
    <w:rsid w:val="00621D71"/>
    <w:rsid w:val="00621FDF"/>
    <w:rsid w:val="006228E3"/>
    <w:rsid w:val="00623B15"/>
    <w:rsid w:val="00624279"/>
    <w:rsid w:val="00626265"/>
    <w:rsid w:val="00626CC4"/>
    <w:rsid w:val="00626E61"/>
    <w:rsid w:val="00627CF5"/>
    <w:rsid w:val="00630CBA"/>
    <w:rsid w:val="00630EEF"/>
    <w:rsid w:val="006310BA"/>
    <w:rsid w:val="0063126C"/>
    <w:rsid w:val="00631E40"/>
    <w:rsid w:val="0063285A"/>
    <w:rsid w:val="00632CE5"/>
    <w:rsid w:val="00633931"/>
    <w:rsid w:val="00633F47"/>
    <w:rsid w:val="00634B47"/>
    <w:rsid w:val="0063608D"/>
    <w:rsid w:val="0064107F"/>
    <w:rsid w:val="00641911"/>
    <w:rsid w:val="00643E3C"/>
    <w:rsid w:val="006440E8"/>
    <w:rsid w:val="00645E36"/>
    <w:rsid w:val="00645EEF"/>
    <w:rsid w:val="00645EF5"/>
    <w:rsid w:val="00646930"/>
    <w:rsid w:val="0065112A"/>
    <w:rsid w:val="0065220B"/>
    <w:rsid w:val="00652354"/>
    <w:rsid w:val="00652561"/>
    <w:rsid w:val="00652A9D"/>
    <w:rsid w:val="006532DD"/>
    <w:rsid w:val="0065362A"/>
    <w:rsid w:val="00656ACB"/>
    <w:rsid w:val="00656C24"/>
    <w:rsid w:val="00660229"/>
    <w:rsid w:val="00660D86"/>
    <w:rsid w:val="00660E34"/>
    <w:rsid w:val="00663EC2"/>
    <w:rsid w:val="0066514B"/>
    <w:rsid w:val="006651DB"/>
    <w:rsid w:val="00666086"/>
    <w:rsid w:val="0066657A"/>
    <w:rsid w:val="00666C04"/>
    <w:rsid w:val="00667480"/>
    <w:rsid w:val="006676F3"/>
    <w:rsid w:val="006706E1"/>
    <w:rsid w:val="00670708"/>
    <w:rsid w:val="0067075D"/>
    <w:rsid w:val="006713CD"/>
    <w:rsid w:val="00671E2F"/>
    <w:rsid w:val="0067348A"/>
    <w:rsid w:val="00674834"/>
    <w:rsid w:val="00675040"/>
    <w:rsid w:val="00675A43"/>
    <w:rsid w:val="00675CE0"/>
    <w:rsid w:val="00675F16"/>
    <w:rsid w:val="00676979"/>
    <w:rsid w:val="00677CE8"/>
    <w:rsid w:val="0068081D"/>
    <w:rsid w:val="006809B0"/>
    <w:rsid w:val="00681FF9"/>
    <w:rsid w:val="00682632"/>
    <w:rsid w:val="00682C5D"/>
    <w:rsid w:val="0068315E"/>
    <w:rsid w:val="00683809"/>
    <w:rsid w:val="00684D38"/>
    <w:rsid w:val="00686725"/>
    <w:rsid w:val="00686C07"/>
    <w:rsid w:val="0068734A"/>
    <w:rsid w:val="006878E6"/>
    <w:rsid w:val="0069002F"/>
    <w:rsid w:val="0069096F"/>
    <w:rsid w:val="00690FC7"/>
    <w:rsid w:val="0069111B"/>
    <w:rsid w:val="006916E9"/>
    <w:rsid w:val="00691B1D"/>
    <w:rsid w:val="006924A4"/>
    <w:rsid w:val="0069364B"/>
    <w:rsid w:val="00694681"/>
    <w:rsid w:val="00694E38"/>
    <w:rsid w:val="00695277"/>
    <w:rsid w:val="006960B9"/>
    <w:rsid w:val="006965BC"/>
    <w:rsid w:val="00697C09"/>
    <w:rsid w:val="006A0362"/>
    <w:rsid w:val="006A06C0"/>
    <w:rsid w:val="006A08EE"/>
    <w:rsid w:val="006A0A2B"/>
    <w:rsid w:val="006A1447"/>
    <w:rsid w:val="006A148B"/>
    <w:rsid w:val="006A1B93"/>
    <w:rsid w:val="006A2172"/>
    <w:rsid w:val="006A233B"/>
    <w:rsid w:val="006A3122"/>
    <w:rsid w:val="006A384C"/>
    <w:rsid w:val="006A3EAB"/>
    <w:rsid w:val="006A41BE"/>
    <w:rsid w:val="006A435E"/>
    <w:rsid w:val="006A48BE"/>
    <w:rsid w:val="006A4A10"/>
    <w:rsid w:val="006A4E36"/>
    <w:rsid w:val="006A5A77"/>
    <w:rsid w:val="006A5F67"/>
    <w:rsid w:val="006A6148"/>
    <w:rsid w:val="006B05D4"/>
    <w:rsid w:val="006B0C4D"/>
    <w:rsid w:val="006B1603"/>
    <w:rsid w:val="006B1785"/>
    <w:rsid w:val="006B315E"/>
    <w:rsid w:val="006B33CA"/>
    <w:rsid w:val="006B3AE3"/>
    <w:rsid w:val="006B4238"/>
    <w:rsid w:val="006B5F4E"/>
    <w:rsid w:val="006C0222"/>
    <w:rsid w:val="006C05D4"/>
    <w:rsid w:val="006C101C"/>
    <w:rsid w:val="006C1A43"/>
    <w:rsid w:val="006C4534"/>
    <w:rsid w:val="006C4622"/>
    <w:rsid w:val="006C47FD"/>
    <w:rsid w:val="006C552A"/>
    <w:rsid w:val="006C56B0"/>
    <w:rsid w:val="006C64EA"/>
    <w:rsid w:val="006C671F"/>
    <w:rsid w:val="006C6A48"/>
    <w:rsid w:val="006C6D37"/>
    <w:rsid w:val="006C7C45"/>
    <w:rsid w:val="006D0253"/>
    <w:rsid w:val="006D0563"/>
    <w:rsid w:val="006D072B"/>
    <w:rsid w:val="006D1250"/>
    <w:rsid w:val="006D1271"/>
    <w:rsid w:val="006D3CBD"/>
    <w:rsid w:val="006D453D"/>
    <w:rsid w:val="006D6AFA"/>
    <w:rsid w:val="006D6D01"/>
    <w:rsid w:val="006D6E73"/>
    <w:rsid w:val="006D74B3"/>
    <w:rsid w:val="006E049B"/>
    <w:rsid w:val="006E2094"/>
    <w:rsid w:val="006E3653"/>
    <w:rsid w:val="006E37D5"/>
    <w:rsid w:val="006E3B2D"/>
    <w:rsid w:val="006E55A9"/>
    <w:rsid w:val="006E5D86"/>
    <w:rsid w:val="006E5F28"/>
    <w:rsid w:val="006E6677"/>
    <w:rsid w:val="006E783C"/>
    <w:rsid w:val="006E7BA4"/>
    <w:rsid w:val="006E7C81"/>
    <w:rsid w:val="006E7D2A"/>
    <w:rsid w:val="006F2105"/>
    <w:rsid w:val="006F2C42"/>
    <w:rsid w:val="006F33D2"/>
    <w:rsid w:val="006F4506"/>
    <w:rsid w:val="006F5D8B"/>
    <w:rsid w:val="006F63D0"/>
    <w:rsid w:val="00700033"/>
    <w:rsid w:val="00700C9C"/>
    <w:rsid w:val="00702661"/>
    <w:rsid w:val="00702E30"/>
    <w:rsid w:val="00702F9F"/>
    <w:rsid w:val="00703FF9"/>
    <w:rsid w:val="00704548"/>
    <w:rsid w:val="007046EA"/>
    <w:rsid w:val="00704DCB"/>
    <w:rsid w:val="007060E0"/>
    <w:rsid w:val="00706BFC"/>
    <w:rsid w:val="007076A9"/>
    <w:rsid w:val="00707722"/>
    <w:rsid w:val="00710522"/>
    <w:rsid w:val="00710EDF"/>
    <w:rsid w:val="00711076"/>
    <w:rsid w:val="00711905"/>
    <w:rsid w:val="00713104"/>
    <w:rsid w:val="0071546B"/>
    <w:rsid w:val="0071604F"/>
    <w:rsid w:val="00716CEC"/>
    <w:rsid w:val="007173B8"/>
    <w:rsid w:val="00720B99"/>
    <w:rsid w:val="00720C54"/>
    <w:rsid w:val="00720F87"/>
    <w:rsid w:val="00721222"/>
    <w:rsid w:val="007249AA"/>
    <w:rsid w:val="00726E3E"/>
    <w:rsid w:val="00727B77"/>
    <w:rsid w:val="00727C78"/>
    <w:rsid w:val="00730DD5"/>
    <w:rsid w:val="00730E0F"/>
    <w:rsid w:val="00730F9C"/>
    <w:rsid w:val="007315F8"/>
    <w:rsid w:val="00731995"/>
    <w:rsid w:val="00732C67"/>
    <w:rsid w:val="00735DED"/>
    <w:rsid w:val="0073731A"/>
    <w:rsid w:val="00741573"/>
    <w:rsid w:val="00741C64"/>
    <w:rsid w:val="00741CE0"/>
    <w:rsid w:val="00741D22"/>
    <w:rsid w:val="00742DD0"/>
    <w:rsid w:val="007441BF"/>
    <w:rsid w:val="0074427F"/>
    <w:rsid w:val="00744F38"/>
    <w:rsid w:val="00746221"/>
    <w:rsid w:val="00746E7E"/>
    <w:rsid w:val="007478A5"/>
    <w:rsid w:val="00751D6C"/>
    <w:rsid w:val="00752679"/>
    <w:rsid w:val="00753470"/>
    <w:rsid w:val="00753925"/>
    <w:rsid w:val="00754550"/>
    <w:rsid w:val="00754D2F"/>
    <w:rsid w:val="00755DCB"/>
    <w:rsid w:val="00756BAF"/>
    <w:rsid w:val="00756C68"/>
    <w:rsid w:val="00757652"/>
    <w:rsid w:val="007601F7"/>
    <w:rsid w:val="00761308"/>
    <w:rsid w:val="00761AC2"/>
    <w:rsid w:val="007625CB"/>
    <w:rsid w:val="007637C8"/>
    <w:rsid w:val="00763DCC"/>
    <w:rsid w:val="0076452F"/>
    <w:rsid w:val="0076487E"/>
    <w:rsid w:val="00764AAC"/>
    <w:rsid w:val="00765484"/>
    <w:rsid w:val="007669B7"/>
    <w:rsid w:val="00766AEB"/>
    <w:rsid w:val="0077038A"/>
    <w:rsid w:val="00770462"/>
    <w:rsid w:val="00770B90"/>
    <w:rsid w:val="007730B5"/>
    <w:rsid w:val="007741FE"/>
    <w:rsid w:val="007750F7"/>
    <w:rsid w:val="00776156"/>
    <w:rsid w:val="00777221"/>
    <w:rsid w:val="0077722E"/>
    <w:rsid w:val="00777849"/>
    <w:rsid w:val="00777FE7"/>
    <w:rsid w:val="007807C0"/>
    <w:rsid w:val="00781159"/>
    <w:rsid w:val="00781AB7"/>
    <w:rsid w:val="007820E3"/>
    <w:rsid w:val="007826BE"/>
    <w:rsid w:val="00785D6B"/>
    <w:rsid w:val="00786854"/>
    <w:rsid w:val="00786EB4"/>
    <w:rsid w:val="00787C25"/>
    <w:rsid w:val="007903FB"/>
    <w:rsid w:val="0079159E"/>
    <w:rsid w:val="00791A75"/>
    <w:rsid w:val="00794952"/>
    <w:rsid w:val="00794AF4"/>
    <w:rsid w:val="007960C3"/>
    <w:rsid w:val="007968BE"/>
    <w:rsid w:val="007974AA"/>
    <w:rsid w:val="007976BA"/>
    <w:rsid w:val="00797D4D"/>
    <w:rsid w:val="00797DEF"/>
    <w:rsid w:val="007A2841"/>
    <w:rsid w:val="007A3FF3"/>
    <w:rsid w:val="007A4771"/>
    <w:rsid w:val="007A4D54"/>
    <w:rsid w:val="007A4F25"/>
    <w:rsid w:val="007A543B"/>
    <w:rsid w:val="007A5DC9"/>
    <w:rsid w:val="007A6EB0"/>
    <w:rsid w:val="007A7599"/>
    <w:rsid w:val="007A77A8"/>
    <w:rsid w:val="007A79E5"/>
    <w:rsid w:val="007B0C6D"/>
    <w:rsid w:val="007B115D"/>
    <w:rsid w:val="007B1D2D"/>
    <w:rsid w:val="007B1E55"/>
    <w:rsid w:val="007B4E43"/>
    <w:rsid w:val="007B4E80"/>
    <w:rsid w:val="007B61CA"/>
    <w:rsid w:val="007B76D2"/>
    <w:rsid w:val="007C0136"/>
    <w:rsid w:val="007C0AA9"/>
    <w:rsid w:val="007C2AE4"/>
    <w:rsid w:val="007C2DA9"/>
    <w:rsid w:val="007C2F07"/>
    <w:rsid w:val="007C308C"/>
    <w:rsid w:val="007C33E6"/>
    <w:rsid w:val="007C3792"/>
    <w:rsid w:val="007C3E16"/>
    <w:rsid w:val="007C4C40"/>
    <w:rsid w:val="007C5590"/>
    <w:rsid w:val="007C5C80"/>
    <w:rsid w:val="007C7FA6"/>
    <w:rsid w:val="007D0FC4"/>
    <w:rsid w:val="007D241C"/>
    <w:rsid w:val="007D2C5C"/>
    <w:rsid w:val="007D2D07"/>
    <w:rsid w:val="007D2FD9"/>
    <w:rsid w:val="007D524E"/>
    <w:rsid w:val="007D56E5"/>
    <w:rsid w:val="007D6F71"/>
    <w:rsid w:val="007E0494"/>
    <w:rsid w:val="007E0522"/>
    <w:rsid w:val="007E12B9"/>
    <w:rsid w:val="007E2874"/>
    <w:rsid w:val="007E2EED"/>
    <w:rsid w:val="007E361D"/>
    <w:rsid w:val="007E3804"/>
    <w:rsid w:val="007E3898"/>
    <w:rsid w:val="007E4A3F"/>
    <w:rsid w:val="007E4D6C"/>
    <w:rsid w:val="007E5756"/>
    <w:rsid w:val="007E5C2B"/>
    <w:rsid w:val="007E67AD"/>
    <w:rsid w:val="007E6F04"/>
    <w:rsid w:val="007E7B61"/>
    <w:rsid w:val="007E7E61"/>
    <w:rsid w:val="007F1161"/>
    <w:rsid w:val="007F12D8"/>
    <w:rsid w:val="007F2DBE"/>
    <w:rsid w:val="007F3BAA"/>
    <w:rsid w:val="007F3D2A"/>
    <w:rsid w:val="007F47D7"/>
    <w:rsid w:val="007F4958"/>
    <w:rsid w:val="007F597F"/>
    <w:rsid w:val="008000BC"/>
    <w:rsid w:val="00801F51"/>
    <w:rsid w:val="0080370B"/>
    <w:rsid w:val="00804472"/>
    <w:rsid w:val="00804D34"/>
    <w:rsid w:val="008053EA"/>
    <w:rsid w:val="00807110"/>
    <w:rsid w:val="00807F6D"/>
    <w:rsid w:val="00812250"/>
    <w:rsid w:val="008129C2"/>
    <w:rsid w:val="00812E75"/>
    <w:rsid w:val="00813160"/>
    <w:rsid w:val="00813BF7"/>
    <w:rsid w:val="00813FFD"/>
    <w:rsid w:val="008150E1"/>
    <w:rsid w:val="00815452"/>
    <w:rsid w:val="00815B2D"/>
    <w:rsid w:val="00815EE0"/>
    <w:rsid w:val="0081691E"/>
    <w:rsid w:val="00817623"/>
    <w:rsid w:val="008179B1"/>
    <w:rsid w:val="00822E84"/>
    <w:rsid w:val="00825BC5"/>
    <w:rsid w:val="008268F1"/>
    <w:rsid w:val="0082722E"/>
    <w:rsid w:val="008274E3"/>
    <w:rsid w:val="00827629"/>
    <w:rsid w:val="0082772C"/>
    <w:rsid w:val="00827BEE"/>
    <w:rsid w:val="00827D8A"/>
    <w:rsid w:val="0083024E"/>
    <w:rsid w:val="008306EF"/>
    <w:rsid w:val="00830C58"/>
    <w:rsid w:val="00830CE2"/>
    <w:rsid w:val="00830E97"/>
    <w:rsid w:val="00831656"/>
    <w:rsid w:val="0083260E"/>
    <w:rsid w:val="00834036"/>
    <w:rsid w:val="00834A18"/>
    <w:rsid w:val="00834A2B"/>
    <w:rsid w:val="00835259"/>
    <w:rsid w:val="008375EE"/>
    <w:rsid w:val="008400DA"/>
    <w:rsid w:val="00840370"/>
    <w:rsid w:val="00840735"/>
    <w:rsid w:val="00840A14"/>
    <w:rsid w:val="00840F39"/>
    <w:rsid w:val="008417A3"/>
    <w:rsid w:val="00842000"/>
    <w:rsid w:val="00843A6C"/>
    <w:rsid w:val="00843FB2"/>
    <w:rsid w:val="008440A5"/>
    <w:rsid w:val="00844195"/>
    <w:rsid w:val="0084466A"/>
    <w:rsid w:val="00845D68"/>
    <w:rsid w:val="008462D6"/>
    <w:rsid w:val="008472BE"/>
    <w:rsid w:val="00850D9F"/>
    <w:rsid w:val="00851777"/>
    <w:rsid w:val="008525E0"/>
    <w:rsid w:val="008538D0"/>
    <w:rsid w:val="00853BCD"/>
    <w:rsid w:val="00854B24"/>
    <w:rsid w:val="0085507E"/>
    <w:rsid w:val="00855C36"/>
    <w:rsid w:val="00855F20"/>
    <w:rsid w:val="00860F2C"/>
    <w:rsid w:val="00861213"/>
    <w:rsid w:val="00861DC9"/>
    <w:rsid w:val="00861EB8"/>
    <w:rsid w:val="008626CB"/>
    <w:rsid w:val="0086274F"/>
    <w:rsid w:val="0086277E"/>
    <w:rsid w:val="0086306A"/>
    <w:rsid w:val="00864512"/>
    <w:rsid w:val="00864F7A"/>
    <w:rsid w:val="00865195"/>
    <w:rsid w:val="008654A2"/>
    <w:rsid w:val="008654D5"/>
    <w:rsid w:val="00867019"/>
    <w:rsid w:val="00870357"/>
    <w:rsid w:val="00871C23"/>
    <w:rsid w:val="008725E5"/>
    <w:rsid w:val="008743DB"/>
    <w:rsid w:val="00874C8B"/>
    <w:rsid w:val="00875B61"/>
    <w:rsid w:val="008761DE"/>
    <w:rsid w:val="0087664F"/>
    <w:rsid w:val="00876A7A"/>
    <w:rsid w:val="00876C79"/>
    <w:rsid w:val="008777AC"/>
    <w:rsid w:val="008777D0"/>
    <w:rsid w:val="0088380C"/>
    <w:rsid w:val="00884487"/>
    <w:rsid w:val="008845DF"/>
    <w:rsid w:val="00884982"/>
    <w:rsid w:val="0089067A"/>
    <w:rsid w:val="00891155"/>
    <w:rsid w:val="0089265F"/>
    <w:rsid w:val="0089289D"/>
    <w:rsid w:val="00893B99"/>
    <w:rsid w:val="00894C8A"/>
    <w:rsid w:val="0089564F"/>
    <w:rsid w:val="00896251"/>
    <w:rsid w:val="00896B01"/>
    <w:rsid w:val="008A0570"/>
    <w:rsid w:val="008A0BAB"/>
    <w:rsid w:val="008A0C2C"/>
    <w:rsid w:val="008A0DBB"/>
    <w:rsid w:val="008A1510"/>
    <w:rsid w:val="008A2A7B"/>
    <w:rsid w:val="008A37AC"/>
    <w:rsid w:val="008A38C8"/>
    <w:rsid w:val="008A3B2A"/>
    <w:rsid w:val="008A3F67"/>
    <w:rsid w:val="008A54A0"/>
    <w:rsid w:val="008A7767"/>
    <w:rsid w:val="008B06E9"/>
    <w:rsid w:val="008B0809"/>
    <w:rsid w:val="008B0F56"/>
    <w:rsid w:val="008B2AC9"/>
    <w:rsid w:val="008B32F6"/>
    <w:rsid w:val="008B46CA"/>
    <w:rsid w:val="008B6B97"/>
    <w:rsid w:val="008B73F1"/>
    <w:rsid w:val="008B770F"/>
    <w:rsid w:val="008C0B94"/>
    <w:rsid w:val="008C16BB"/>
    <w:rsid w:val="008C2501"/>
    <w:rsid w:val="008C2803"/>
    <w:rsid w:val="008C3C83"/>
    <w:rsid w:val="008C485C"/>
    <w:rsid w:val="008C52C5"/>
    <w:rsid w:val="008C759E"/>
    <w:rsid w:val="008C7D0A"/>
    <w:rsid w:val="008D1E94"/>
    <w:rsid w:val="008D2609"/>
    <w:rsid w:val="008D2D88"/>
    <w:rsid w:val="008D2E80"/>
    <w:rsid w:val="008D3700"/>
    <w:rsid w:val="008D61E1"/>
    <w:rsid w:val="008D7F61"/>
    <w:rsid w:val="008E0252"/>
    <w:rsid w:val="008E2019"/>
    <w:rsid w:val="008E3926"/>
    <w:rsid w:val="008E501C"/>
    <w:rsid w:val="008E5B54"/>
    <w:rsid w:val="008E6811"/>
    <w:rsid w:val="008E6E7D"/>
    <w:rsid w:val="008E71F4"/>
    <w:rsid w:val="008E7283"/>
    <w:rsid w:val="008E758B"/>
    <w:rsid w:val="008E7CF4"/>
    <w:rsid w:val="008F0034"/>
    <w:rsid w:val="008F122A"/>
    <w:rsid w:val="008F200B"/>
    <w:rsid w:val="008F2834"/>
    <w:rsid w:val="008F2A2D"/>
    <w:rsid w:val="008F2D09"/>
    <w:rsid w:val="008F3032"/>
    <w:rsid w:val="008F35D4"/>
    <w:rsid w:val="008F5B0A"/>
    <w:rsid w:val="008F5C6E"/>
    <w:rsid w:val="008F696B"/>
    <w:rsid w:val="008F7033"/>
    <w:rsid w:val="008F71D0"/>
    <w:rsid w:val="008F76A6"/>
    <w:rsid w:val="00900BB3"/>
    <w:rsid w:val="00901CEC"/>
    <w:rsid w:val="00902A6F"/>
    <w:rsid w:val="009031A6"/>
    <w:rsid w:val="009051FB"/>
    <w:rsid w:val="00905220"/>
    <w:rsid w:val="009053B3"/>
    <w:rsid w:val="00905D08"/>
    <w:rsid w:val="009067EC"/>
    <w:rsid w:val="00911B20"/>
    <w:rsid w:val="00912AA5"/>
    <w:rsid w:val="0091423B"/>
    <w:rsid w:val="00914D5E"/>
    <w:rsid w:val="00915654"/>
    <w:rsid w:val="009175BE"/>
    <w:rsid w:val="0092005C"/>
    <w:rsid w:val="00921B82"/>
    <w:rsid w:val="00922613"/>
    <w:rsid w:val="009228EF"/>
    <w:rsid w:val="00923208"/>
    <w:rsid w:val="00924280"/>
    <w:rsid w:val="009245A8"/>
    <w:rsid w:val="00925BC6"/>
    <w:rsid w:val="00927D9F"/>
    <w:rsid w:val="0093112C"/>
    <w:rsid w:val="009314F6"/>
    <w:rsid w:val="0093158B"/>
    <w:rsid w:val="009335B1"/>
    <w:rsid w:val="009336E1"/>
    <w:rsid w:val="00933723"/>
    <w:rsid w:val="00933798"/>
    <w:rsid w:val="00933A01"/>
    <w:rsid w:val="009346C9"/>
    <w:rsid w:val="0093495B"/>
    <w:rsid w:val="00934C5D"/>
    <w:rsid w:val="00935963"/>
    <w:rsid w:val="0093681F"/>
    <w:rsid w:val="00936C53"/>
    <w:rsid w:val="009376F0"/>
    <w:rsid w:val="00940995"/>
    <w:rsid w:val="00943ACA"/>
    <w:rsid w:val="0094426F"/>
    <w:rsid w:val="00944D8A"/>
    <w:rsid w:val="00944DD7"/>
    <w:rsid w:val="00944F5F"/>
    <w:rsid w:val="00944F78"/>
    <w:rsid w:val="00945BD6"/>
    <w:rsid w:val="00946E5D"/>
    <w:rsid w:val="00946EE6"/>
    <w:rsid w:val="00947775"/>
    <w:rsid w:val="00947DC3"/>
    <w:rsid w:val="009504E4"/>
    <w:rsid w:val="00950E7F"/>
    <w:rsid w:val="00951215"/>
    <w:rsid w:val="00952224"/>
    <w:rsid w:val="00953492"/>
    <w:rsid w:val="00954F95"/>
    <w:rsid w:val="00955C72"/>
    <w:rsid w:val="00957919"/>
    <w:rsid w:val="00957D57"/>
    <w:rsid w:val="009604A3"/>
    <w:rsid w:val="00960E1A"/>
    <w:rsid w:val="00961917"/>
    <w:rsid w:val="00961BB1"/>
    <w:rsid w:val="009640B4"/>
    <w:rsid w:val="009652FE"/>
    <w:rsid w:val="009653E2"/>
    <w:rsid w:val="009669CE"/>
    <w:rsid w:val="00966BCD"/>
    <w:rsid w:val="00970CE8"/>
    <w:rsid w:val="00971AE3"/>
    <w:rsid w:val="00971C75"/>
    <w:rsid w:val="009721EB"/>
    <w:rsid w:val="00972A8B"/>
    <w:rsid w:val="00974DE9"/>
    <w:rsid w:val="0097546C"/>
    <w:rsid w:val="009762AB"/>
    <w:rsid w:val="00976720"/>
    <w:rsid w:val="00977063"/>
    <w:rsid w:val="00977BBD"/>
    <w:rsid w:val="00977DF6"/>
    <w:rsid w:val="00980E81"/>
    <w:rsid w:val="00981C48"/>
    <w:rsid w:val="009822D5"/>
    <w:rsid w:val="00982D7F"/>
    <w:rsid w:val="00983084"/>
    <w:rsid w:val="0098365C"/>
    <w:rsid w:val="0098388D"/>
    <w:rsid w:val="00983E42"/>
    <w:rsid w:val="00984516"/>
    <w:rsid w:val="00984D2B"/>
    <w:rsid w:val="009851F8"/>
    <w:rsid w:val="009852C7"/>
    <w:rsid w:val="00986F01"/>
    <w:rsid w:val="0098700B"/>
    <w:rsid w:val="009879FD"/>
    <w:rsid w:val="00987BED"/>
    <w:rsid w:val="00987C8C"/>
    <w:rsid w:val="00987F01"/>
    <w:rsid w:val="00990FAA"/>
    <w:rsid w:val="0099107A"/>
    <w:rsid w:val="00991853"/>
    <w:rsid w:val="00991BD4"/>
    <w:rsid w:val="00993033"/>
    <w:rsid w:val="009930D8"/>
    <w:rsid w:val="009939FA"/>
    <w:rsid w:val="00993CE6"/>
    <w:rsid w:val="009946A0"/>
    <w:rsid w:val="00995764"/>
    <w:rsid w:val="00996023"/>
    <w:rsid w:val="009962BB"/>
    <w:rsid w:val="009975DF"/>
    <w:rsid w:val="00997EB3"/>
    <w:rsid w:val="009A0ED6"/>
    <w:rsid w:val="009A1175"/>
    <w:rsid w:val="009A11F9"/>
    <w:rsid w:val="009A27BE"/>
    <w:rsid w:val="009A297C"/>
    <w:rsid w:val="009A3009"/>
    <w:rsid w:val="009A3428"/>
    <w:rsid w:val="009A507B"/>
    <w:rsid w:val="009A5094"/>
    <w:rsid w:val="009A6ED0"/>
    <w:rsid w:val="009A7F2D"/>
    <w:rsid w:val="009B1A2F"/>
    <w:rsid w:val="009B1F37"/>
    <w:rsid w:val="009B254A"/>
    <w:rsid w:val="009B2CEB"/>
    <w:rsid w:val="009B481D"/>
    <w:rsid w:val="009B56B1"/>
    <w:rsid w:val="009B679D"/>
    <w:rsid w:val="009B6958"/>
    <w:rsid w:val="009B69B0"/>
    <w:rsid w:val="009B6BAA"/>
    <w:rsid w:val="009C2651"/>
    <w:rsid w:val="009C3B34"/>
    <w:rsid w:val="009C454B"/>
    <w:rsid w:val="009C5F03"/>
    <w:rsid w:val="009C64F0"/>
    <w:rsid w:val="009C70E9"/>
    <w:rsid w:val="009D0997"/>
    <w:rsid w:val="009D0D6C"/>
    <w:rsid w:val="009D141E"/>
    <w:rsid w:val="009D19EE"/>
    <w:rsid w:val="009D20A5"/>
    <w:rsid w:val="009D3BFF"/>
    <w:rsid w:val="009D40A9"/>
    <w:rsid w:val="009D4367"/>
    <w:rsid w:val="009D4ABC"/>
    <w:rsid w:val="009D5C22"/>
    <w:rsid w:val="009D6211"/>
    <w:rsid w:val="009D69F0"/>
    <w:rsid w:val="009D7333"/>
    <w:rsid w:val="009D7B97"/>
    <w:rsid w:val="009E0480"/>
    <w:rsid w:val="009E1B2A"/>
    <w:rsid w:val="009E1B7D"/>
    <w:rsid w:val="009E1DB3"/>
    <w:rsid w:val="009E2EA2"/>
    <w:rsid w:val="009E36F2"/>
    <w:rsid w:val="009E3D0D"/>
    <w:rsid w:val="009E3E9B"/>
    <w:rsid w:val="009E661D"/>
    <w:rsid w:val="009E6BFA"/>
    <w:rsid w:val="009E6D0B"/>
    <w:rsid w:val="009E6F21"/>
    <w:rsid w:val="009F0A72"/>
    <w:rsid w:val="009F1AB9"/>
    <w:rsid w:val="009F1E06"/>
    <w:rsid w:val="009F1E4E"/>
    <w:rsid w:val="009F22A3"/>
    <w:rsid w:val="009F2F75"/>
    <w:rsid w:val="009F3036"/>
    <w:rsid w:val="009F44A1"/>
    <w:rsid w:val="009F4C62"/>
    <w:rsid w:val="009F4E3C"/>
    <w:rsid w:val="009F727F"/>
    <w:rsid w:val="009F7DA0"/>
    <w:rsid w:val="00A00FC0"/>
    <w:rsid w:val="00A018F5"/>
    <w:rsid w:val="00A01FB8"/>
    <w:rsid w:val="00A021A4"/>
    <w:rsid w:val="00A04035"/>
    <w:rsid w:val="00A054E3"/>
    <w:rsid w:val="00A055B9"/>
    <w:rsid w:val="00A0703A"/>
    <w:rsid w:val="00A10E47"/>
    <w:rsid w:val="00A1140A"/>
    <w:rsid w:val="00A12266"/>
    <w:rsid w:val="00A12604"/>
    <w:rsid w:val="00A12773"/>
    <w:rsid w:val="00A12ED2"/>
    <w:rsid w:val="00A12F46"/>
    <w:rsid w:val="00A1625A"/>
    <w:rsid w:val="00A1705E"/>
    <w:rsid w:val="00A176A8"/>
    <w:rsid w:val="00A2081A"/>
    <w:rsid w:val="00A209ED"/>
    <w:rsid w:val="00A20CF2"/>
    <w:rsid w:val="00A20DB6"/>
    <w:rsid w:val="00A20F74"/>
    <w:rsid w:val="00A2140A"/>
    <w:rsid w:val="00A21D70"/>
    <w:rsid w:val="00A21D8F"/>
    <w:rsid w:val="00A22213"/>
    <w:rsid w:val="00A22A10"/>
    <w:rsid w:val="00A245FE"/>
    <w:rsid w:val="00A2483F"/>
    <w:rsid w:val="00A249F9"/>
    <w:rsid w:val="00A24D8C"/>
    <w:rsid w:val="00A25790"/>
    <w:rsid w:val="00A25E11"/>
    <w:rsid w:val="00A27A63"/>
    <w:rsid w:val="00A306CE"/>
    <w:rsid w:val="00A30981"/>
    <w:rsid w:val="00A30FA8"/>
    <w:rsid w:val="00A318BD"/>
    <w:rsid w:val="00A31EA1"/>
    <w:rsid w:val="00A32C04"/>
    <w:rsid w:val="00A34890"/>
    <w:rsid w:val="00A35696"/>
    <w:rsid w:val="00A36AC5"/>
    <w:rsid w:val="00A420F7"/>
    <w:rsid w:val="00A4296F"/>
    <w:rsid w:val="00A43677"/>
    <w:rsid w:val="00A437B1"/>
    <w:rsid w:val="00A448DF"/>
    <w:rsid w:val="00A47F5D"/>
    <w:rsid w:val="00A5021B"/>
    <w:rsid w:val="00A50668"/>
    <w:rsid w:val="00A51D7C"/>
    <w:rsid w:val="00A53E10"/>
    <w:rsid w:val="00A55479"/>
    <w:rsid w:val="00A569C4"/>
    <w:rsid w:val="00A57BC2"/>
    <w:rsid w:val="00A608AE"/>
    <w:rsid w:val="00A60BE2"/>
    <w:rsid w:val="00A61D49"/>
    <w:rsid w:val="00A62E09"/>
    <w:rsid w:val="00A654D9"/>
    <w:rsid w:val="00A65818"/>
    <w:rsid w:val="00A65CAC"/>
    <w:rsid w:val="00A663DA"/>
    <w:rsid w:val="00A70EB0"/>
    <w:rsid w:val="00A7192C"/>
    <w:rsid w:val="00A73B80"/>
    <w:rsid w:val="00A73E5A"/>
    <w:rsid w:val="00A747E0"/>
    <w:rsid w:val="00A74E60"/>
    <w:rsid w:val="00A7611D"/>
    <w:rsid w:val="00A7629B"/>
    <w:rsid w:val="00A76356"/>
    <w:rsid w:val="00A80B0A"/>
    <w:rsid w:val="00A828F2"/>
    <w:rsid w:val="00A83795"/>
    <w:rsid w:val="00A84424"/>
    <w:rsid w:val="00A85DCE"/>
    <w:rsid w:val="00A86357"/>
    <w:rsid w:val="00A87203"/>
    <w:rsid w:val="00A87760"/>
    <w:rsid w:val="00A87990"/>
    <w:rsid w:val="00A879D2"/>
    <w:rsid w:val="00A907A0"/>
    <w:rsid w:val="00A90AC8"/>
    <w:rsid w:val="00A90DC1"/>
    <w:rsid w:val="00A90F54"/>
    <w:rsid w:val="00A94E90"/>
    <w:rsid w:val="00A95B95"/>
    <w:rsid w:val="00A96D1C"/>
    <w:rsid w:val="00AA1B4E"/>
    <w:rsid w:val="00AA1B9B"/>
    <w:rsid w:val="00AA1E3C"/>
    <w:rsid w:val="00AA1FB2"/>
    <w:rsid w:val="00AA4307"/>
    <w:rsid w:val="00AA4BCF"/>
    <w:rsid w:val="00AA577F"/>
    <w:rsid w:val="00AA6339"/>
    <w:rsid w:val="00AB0D1C"/>
    <w:rsid w:val="00AB1205"/>
    <w:rsid w:val="00AB3A41"/>
    <w:rsid w:val="00AB3BB2"/>
    <w:rsid w:val="00AB3BEB"/>
    <w:rsid w:val="00AB3CF6"/>
    <w:rsid w:val="00AB4044"/>
    <w:rsid w:val="00AB4D03"/>
    <w:rsid w:val="00AC085F"/>
    <w:rsid w:val="00AC0E04"/>
    <w:rsid w:val="00AC2117"/>
    <w:rsid w:val="00AC2A8F"/>
    <w:rsid w:val="00AC2E04"/>
    <w:rsid w:val="00AC3076"/>
    <w:rsid w:val="00AC3333"/>
    <w:rsid w:val="00AC3348"/>
    <w:rsid w:val="00AC3F6A"/>
    <w:rsid w:val="00AC412F"/>
    <w:rsid w:val="00AC7AB7"/>
    <w:rsid w:val="00AD00B3"/>
    <w:rsid w:val="00AD22A5"/>
    <w:rsid w:val="00AD258A"/>
    <w:rsid w:val="00AD72C5"/>
    <w:rsid w:val="00AE0101"/>
    <w:rsid w:val="00AE05B0"/>
    <w:rsid w:val="00AE1704"/>
    <w:rsid w:val="00AE3C11"/>
    <w:rsid w:val="00AE47D4"/>
    <w:rsid w:val="00AE498D"/>
    <w:rsid w:val="00AF2520"/>
    <w:rsid w:val="00AF4B67"/>
    <w:rsid w:val="00AF695D"/>
    <w:rsid w:val="00AF69EB"/>
    <w:rsid w:val="00B0089A"/>
    <w:rsid w:val="00B013FE"/>
    <w:rsid w:val="00B016FC"/>
    <w:rsid w:val="00B0247D"/>
    <w:rsid w:val="00B02E06"/>
    <w:rsid w:val="00B03364"/>
    <w:rsid w:val="00B036F9"/>
    <w:rsid w:val="00B04287"/>
    <w:rsid w:val="00B04AD5"/>
    <w:rsid w:val="00B051F6"/>
    <w:rsid w:val="00B05F92"/>
    <w:rsid w:val="00B10AE9"/>
    <w:rsid w:val="00B113FC"/>
    <w:rsid w:val="00B11402"/>
    <w:rsid w:val="00B11D59"/>
    <w:rsid w:val="00B14C9D"/>
    <w:rsid w:val="00B15421"/>
    <w:rsid w:val="00B1607B"/>
    <w:rsid w:val="00B16B62"/>
    <w:rsid w:val="00B17380"/>
    <w:rsid w:val="00B1785F"/>
    <w:rsid w:val="00B21615"/>
    <w:rsid w:val="00B21CF8"/>
    <w:rsid w:val="00B22694"/>
    <w:rsid w:val="00B230AF"/>
    <w:rsid w:val="00B234AC"/>
    <w:rsid w:val="00B23511"/>
    <w:rsid w:val="00B236C8"/>
    <w:rsid w:val="00B23E1D"/>
    <w:rsid w:val="00B23F35"/>
    <w:rsid w:val="00B24D18"/>
    <w:rsid w:val="00B2522C"/>
    <w:rsid w:val="00B2524C"/>
    <w:rsid w:val="00B25FD7"/>
    <w:rsid w:val="00B264F1"/>
    <w:rsid w:val="00B27308"/>
    <w:rsid w:val="00B27E9D"/>
    <w:rsid w:val="00B30A0C"/>
    <w:rsid w:val="00B31110"/>
    <w:rsid w:val="00B35D10"/>
    <w:rsid w:val="00B373B7"/>
    <w:rsid w:val="00B4098A"/>
    <w:rsid w:val="00B42E33"/>
    <w:rsid w:val="00B43853"/>
    <w:rsid w:val="00B43E97"/>
    <w:rsid w:val="00B4512F"/>
    <w:rsid w:val="00B45163"/>
    <w:rsid w:val="00B4578D"/>
    <w:rsid w:val="00B459EB"/>
    <w:rsid w:val="00B463D3"/>
    <w:rsid w:val="00B47E56"/>
    <w:rsid w:val="00B50984"/>
    <w:rsid w:val="00B516DF"/>
    <w:rsid w:val="00B5225B"/>
    <w:rsid w:val="00B52D4B"/>
    <w:rsid w:val="00B52EA6"/>
    <w:rsid w:val="00B53451"/>
    <w:rsid w:val="00B544D2"/>
    <w:rsid w:val="00B5681F"/>
    <w:rsid w:val="00B56AEA"/>
    <w:rsid w:val="00B56F1D"/>
    <w:rsid w:val="00B574D6"/>
    <w:rsid w:val="00B57A84"/>
    <w:rsid w:val="00B6110B"/>
    <w:rsid w:val="00B62345"/>
    <w:rsid w:val="00B62D96"/>
    <w:rsid w:val="00B64C70"/>
    <w:rsid w:val="00B65AD5"/>
    <w:rsid w:val="00B6643B"/>
    <w:rsid w:val="00B66557"/>
    <w:rsid w:val="00B66DFD"/>
    <w:rsid w:val="00B6753C"/>
    <w:rsid w:val="00B711C7"/>
    <w:rsid w:val="00B72A34"/>
    <w:rsid w:val="00B73239"/>
    <w:rsid w:val="00B74B4F"/>
    <w:rsid w:val="00B7510A"/>
    <w:rsid w:val="00B75110"/>
    <w:rsid w:val="00B767AE"/>
    <w:rsid w:val="00B80436"/>
    <w:rsid w:val="00B80F34"/>
    <w:rsid w:val="00B812C0"/>
    <w:rsid w:val="00B81F3F"/>
    <w:rsid w:val="00B8203D"/>
    <w:rsid w:val="00B826E6"/>
    <w:rsid w:val="00B82EEE"/>
    <w:rsid w:val="00B82F61"/>
    <w:rsid w:val="00B8362A"/>
    <w:rsid w:val="00B846FC"/>
    <w:rsid w:val="00B8559A"/>
    <w:rsid w:val="00B90869"/>
    <w:rsid w:val="00B9112E"/>
    <w:rsid w:val="00B91336"/>
    <w:rsid w:val="00B920F4"/>
    <w:rsid w:val="00B941F2"/>
    <w:rsid w:val="00B94CD7"/>
    <w:rsid w:val="00B957C5"/>
    <w:rsid w:val="00B960F4"/>
    <w:rsid w:val="00B962EC"/>
    <w:rsid w:val="00B97886"/>
    <w:rsid w:val="00B97D22"/>
    <w:rsid w:val="00BA0D07"/>
    <w:rsid w:val="00BA1FD8"/>
    <w:rsid w:val="00BA2CFE"/>
    <w:rsid w:val="00BA44C6"/>
    <w:rsid w:val="00BA4635"/>
    <w:rsid w:val="00BA4686"/>
    <w:rsid w:val="00BA54E7"/>
    <w:rsid w:val="00BA581E"/>
    <w:rsid w:val="00BA5DFC"/>
    <w:rsid w:val="00BA665E"/>
    <w:rsid w:val="00BB009A"/>
    <w:rsid w:val="00BB00F2"/>
    <w:rsid w:val="00BB0C26"/>
    <w:rsid w:val="00BB154E"/>
    <w:rsid w:val="00BB1B60"/>
    <w:rsid w:val="00BB2B1D"/>
    <w:rsid w:val="00BB3C5D"/>
    <w:rsid w:val="00BB4762"/>
    <w:rsid w:val="00BB5DEB"/>
    <w:rsid w:val="00BB742F"/>
    <w:rsid w:val="00BB7628"/>
    <w:rsid w:val="00BB7920"/>
    <w:rsid w:val="00BB7F14"/>
    <w:rsid w:val="00BC1B44"/>
    <w:rsid w:val="00BC1D21"/>
    <w:rsid w:val="00BC2256"/>
    <w:rsid w:val="00BC2492"/>
    <w:rsid w:val="00BC469E"/>
    <w:rsid w:val="00BC73BE"/>
    <w:rsid w:val="00BC7E6C"/>
    <w:rsid w:val="00BD0CC0"/>
    <w:rsid w:val="00BD0D79"/>
    <w:rsid w:val="00BD1E60"/>
    <w:rsid w:val="00BD35BF"/>
    <w:rsid w:val="00BD424C"/>
    <w:rsid w:val="00BD63D1"/>
    <w:rsid w:val="00BD7117"/>
    <w:rsid w:val="00BD773E"/>
    <w:rsid w:val="00BD79F2"/>
    <w:rsid w:val="00BD7AD4"/>
    <w:rsid w:val="00BE02A7"/>
    <w:rsid w:val="00BE02B1"/>
    <w:rsid w:val="00BE0B99"/>
    <w:rsid w:val="00BE13CE"/>
    <w:rsid w:val="00BE221C"/>
    <w:rsid w:val="00BE27D4"/>
    <w:rsid w:val="00BE2E63"/>
    <w:rsid w:val="00BE4330"/>
    <w:rsid w:val="00BE694D"/>
    <w:rsid w:val="00BE6B6F"/>
    <w:rsid w:val="00BE6C51"/>
    <w:rsid w:val="00BF0325"/>
    <w:rsid w:val="00BF132F"/>
    <w:rsid w:val="00BF2855"/>
    <w:rsid w:val="00BF338D"/>
    <w:rsid w:val="00BF33D0"/>
    <w:rsid w:val="00BF478A"/>
    <w:rsid w:val="00BF47DD"/>
    <w:rsid w:val="00BF63B3"/>
    <w:rsid w:val="00BF70E0"/>
    <w:rsid w:val="00BF748F"/>
    <w:rsid w:val="00BF7885"/>
    <w:rsid w:val="00C006DD"/>
    <w:rsid w:val="00C007F2"/>
    <w:rsid w:val="00C04692"/>
    <w:rsid w:val="00C05862"/>
    <w:rsid w:val="00C066B0"/>
    <w:rsid w:val="00C06B7D"/>
    <w:rsid w:val="00C07793"/>
    <w:rsid w:val="00C10DE9"/>
    <w:rsid w:val="00C10F41"/>
    <w:rsid w:val="00C10FE2"/>
    <w:rsid w:val="00C11195"/>
    <w:rsid w:val="00C112E7"/>
    <w:rsid w:val="00C12B1F"/>
    <w:rsid w:val="00C13271"/>
    <w:rsid w:val="00C13B04"/>
    <w:rsid w:val="00C142E4"/>
    <w:rsid w:val="00C14407"/>
    <w:rsid w:val="00C14BE0"/>
    <w:rsid w:val="00C15DE5"/>
    <w:rsid w:val="00C20A99"/>
    <w:rsid w:val="00C227D7"/>
    <w:rsid w:val="00C23F20"/>
    <w:rsid w:val="00C24164"/>
    <w:rsid w:val="00C2422A"/>
    <w:rsid w:val="00C2443F"/>
    <w:rsid w:val="00C273F1"/>
    <w:rsid w:val="00C27BA3"/>
    <w:rsid w:val="00C27C57"/>
    <w:rsid w:val="00C312BF"/>
    <w:rsid w:val="00C31DEE"/>
    <w:rsid w:val="00C3298C"/>
    <w:rsid w:val="00C330D1"/>
    <w:rsid w:val="00C33AFF"/>
    <w:rsid w:val="00C33B99"/>
    <w:rsid w:val="00C34115"/>
    <w:rsid w:val="00C3438D"/>
    <w:rsid w:val="00C345C9"/>
    <w:rsid w:val="00C3579E"/>
    <w:rsid w:val="00C35F52"/>
    <w:rsid w:val="00C35F55"/>
    <w:rsid w:val="00C3768D"/>
    <w:rsid w:val="00C407E2"/>
    <w:rsid w:val="00C407F5"/>
    <w:rsid w:val="00C41364"/>
    <w:rsid w:val="00C428B8"/>
    <w:rsid w:val="00C43443"/>
    <w:rsid w:val="00C46863"/>
    <w:rsid w:val="00C4720A"/>
    <w:rsid w:val="00C47385"/>
    <w:rsid w:val="00C4785E"/>
    <w:rsid w:val="00C52C46"/>
    <w:rsid w:val="00C52EBD"/>
    <w:rsid w:val="00C5324D"/>
    <w:rsid w:val="00C53FCC"/>
    <w:rsid w:val="00C54615"/>
    <w:rsid w:val="00C5474A"/>
    <w:rsid w:val="00C54843"/>
    <w:rsid w:val="00C54A72"/>
    <w:rsid w:val="00C5543F"/>
    <w:rsid w:val="00C557D4"/>
    <w:rsid w:val="00C55C44"/>
    <w:rsid w:val="00C56A17"/>
    <w:rsid w:val="00C56A9B"/>
    <w:rsid w:val="00C60A60"/>
    <w:rsid w:val="00C61FAD"/>
    <w:rsid w:val="00C624AF"/>
    <w:rsid w:val="00C667CC"/>
    <w:rsid w:val="00C67E13"/>
    <w:rsid w:val="00C7014F"/>
    <w:rsid w:val="00C723A8"/>
    <w:rsid w:val="00C73572"/>
    <w:rsid w:val="00C739E4"/>
    <w:rsid w:val="00C7619C"/>
    <w:rsid w:val="00C76E32"/>
    <w:rsid w:val="00C7772C"/>
    <w:rsid w:val="00C77BF2"/>
    <w:rsid w:val="00C806D3"/>
    <w:rsid w:val="00C80AEF"/>
    <w:rsid w:val="00C82A1A"/>
    <w:rsid w:val="00C83492"/>
    <w:rsid w:val="00C856CB"/>
    <w:rsid w:val="00C86986"/>
    <w:rsid w:val="00C86C2E"/>
    <w:rsid w:val="00C8730E"/>
    <w:rsid w:val="00C875E9"/>
    <w:rsid w:val="00C87C52"/>
    <w:rsid w:val="00C914B0"/>
    <w:rsid w:val="00C91C0E"/>
    <w:rsid w:val="00C92B03"/>
    <w:rsid w:val="00C92C5D"/>
    <w:rsid w:val="00C92DF5"/>
    <w:rsid w:val="00C93F52"/>
    <w:rsid w:val="00C97524"/>
    <w:rsid w:val="00C97B3B"/>
    <w:rsid w:val="00CA15EB"/>
    <w:rsid w:val="00CA2419"/>
    <w:rsid w:val="00CA2BE9"/>
    <w:rsid w:val="00CA33F6"/>
    <w:rsid w:val="00CA3479"/>
    <w:rsid w:val="00CA4586"/>
    <w:rsid w:val="00CA4670"/>
    <w:rsid w:val="00CA47EA"/>
    <w:rsid w:val="00CA4C24"/>
    <w:rsid w:val="00CA6FDE"/>
    <w:rsid w:val="00CA7D17"/>
    <w:rsid w:val="00CA7D3D"/>
    <w:rsid w:val="00CA7FA0"/>
    <w:rsid w:val="00CB159D"/>
    <w:rsid w:val="00CB1F2A"/>
    <w:rsid w:val="00CB2975"/>
    <w:rsid w:val="00CB2DC3"/>
    <w:rsid w:val="00CB39D9"/>
    <w:rsid w:val="00CB3C2C"/>
    <w:rsid w:val="00CB4815"/>
    <w:rsid w:val="00CB48DA"/>
    <w:rsid w:val="00CB5682"/>
    <w:rsid w:val="00CB582B"/>
    <w:rsid w:val="00CB645A"/>
    <w:rsid w:val="00CB7F8D"/>
    <w:rsid w:val="00CC0DE6"/>
    <w:rsid w:val="00CC2DA9"/>
    <w:rsid w:val="00CC3054"/>
    <w:rsid w:val="00CC311B"/>
    <w:rsid w:val="00CC3348"/>
    <w:rsid w:val="00CC3DBA"/>
    <w:rsid w:val="00CC4CE8"/>
    <w:rsid w:val="00CC559D"/>
    <w:rsid w:val="00CC5A79"/>
    <w:rsid w:val="00CC63EF"/>
    <w:rsid w:val="00CC643A"/>
    <w:rsid w:val="00CC7D8F"/>
    <w:rsid w:val="00CD060C"/>
    <w:rsid w:val="00CD11B9"/>
    <w:rsid w:val="00CD2FEE"/>
    <w:rsid w:val="00CD3594"/>
    <w:rsid w:val="00CD513F"/>
    <w:rsid w:val="00CD65F3"/>
    <w:rsid w:val="00CD736F"/>
    <w:rsid w:val="00CD7857"/>
    <w:rsid w:val="00CD7BE0"/>
    <w:rsid w:val="00CE0235"/>
    <w:rsid w:val="00CE077C"/>
    <w:rsid w:val="00CE0912"/>
    <w:rsid w:val="00CE12F6"/>
    <w:rsid w:val="00CE186E"/>
    <w:rsid w:val="00CE1D06"/>
    <w:rsid w:val="00CE1E7F"/>
    <w:rsid w:val="00CE5382"/>
    <w:rsid w:val="00CE574A"/>
    <w:rsid w:val="00CE5ADF"/>
    <w:rsid w:val="00CE6BE3"/>
    <w:rsid w:val="00CE7A55"/>
    <w:rsid w:val="00CF04CE"/>
    <w:rsid w:val="00CF054B"/>
    <w:rsid w:val="00CF1301"/>
    <w:rsid w:val="00CF19E7"/>
    <w:rsid w:val="00CF26B1"/>
    <w:rsid w:val="00CF3B35"/>
    <w:rsid w:val="00CF3FCD"/>
    <w:rsid w:val="00CF4318"/>
    <w:rsid w:val="00CF74F7"/>
    <w:rsid w:val="00CF7886"/>
    <w:rsid w:val="00CF7A01"/>
    <w:rsid w:val="00CF7E7E"/>
    <w:rsid w:val="00D00A94"/>
    <w:rsid w:val="00D00E61"/>
    <w:rsid w:val="00D027FD"/>
    <w:rsid w:val="00D03CD1"/>
    <w:rsid w:val="00D044C8"/>
    <w:rsid w:val="00D050D2"/>
    <w:rsid w:val="00D057AF"/>
    <w:rsid w:val="00D106DF"/>
    <w:rsid w:val="00D107B7"/>
    <w:rsid w:val="00D1095D"/>
    <w:rsid w:val="00D126B8"/>
    <w:rsid w:val="00D12D60"/>
    <w:rsid w:val="00D147DB"/>
    <w:rsid w:val="00D1481C"/>
    <w:rsid w:val="00D162A7"/>
    <w:rsid w:val="00D20F58"/>
    <w:rsid w:val="00D213AF"/>
    <w:rsid w:val="00D227F2"/>
    <w:rsid w:val="00D22AA9"/>
    <w:rsid w:val="00D23028"/>
    <w:rsid w:val="00D23E00"/>
    <w:rsid w:val="00D2420F"/>
    <w:rsid w:val="00D24C68"/>
    <w:rsid w:val="00D2596E"/>
    <w:rsid w:val="00D2613E"/>
    <w:rsid w:val="00D26FD3"/>
    <w:rsid w:val="00D26FF7"/>
    <w:rsid w:val="00D27B2D"/>
    <w:rsid w:val="00D312C2"/>
    <w:rsid w:val="00D312D3"/>
    <w:rsid w:val="00D33144"/>
    <w:rsid w:val="00D33305"/>
    <w:rsid w:val="00D336FC"/>
    <w:rsid w:val="00D3497A"/>
    <w:rsid w:val="00D3776B"/>
    <w:rsid w:val="00D37C78"/>
    <w:rsid w:val="00D37EC1"/>
    <w:rsid w:val="00D37F04"/>
    <w:rsid w:val="00D41A15"/>
    <w:rsid w:val="00D43FBD"/>
    <w:rsid w:val="00D44759"/>
    <w:rsid w:val="00D449D8"/>
    <w:rsid w:val="00D4513B"/>
    <w:rsid w:val="00D466F6"/>
    <w:rsid w:val="00D4701F"/>
    <w:rsid w:val="00D508B6"/>
    <w:rsid w:val="00D54010"/>
    <w:rsid w:val="00D5507E"/>
    <w:rsid w:val="00D553A1"/>
    <w:rsid w:val="00D55AF4"/>
    <w:rsid w:val="00D55B92"/>
    <w:rsid w:val="00D564CB"/>
    <w:rsid w:val="00D57597"/>
    <w:rsid w:val="00D57DFA"/>
    <w:rsid w:val="00D60D6D"/>
    <w:rsid w:val="00D61344"/>
    <w:rsid w:val="00D61DAE"/>
    <w:rsid w:val="00D62E6F"/>
    <w:rsid w:val="00D63D6A"/>
    <w:rsid w:val="00D642BD"/>
    <w:rsid w:val="00D66168"/>
    <w:rsid w:val="00D668F3"/>
    <w:rsid w:val="00D66A12"/>
    <w:rsid w:val="00D66FD0"/>
    <w:rsid w:val="00D70A32"/>
    <w:rsid w:val="00D70AA1"/>
    <w:rsid w:val="00D71D8C"/>
    <w:rsid w:val="00D72B5E"/>
    <w:rsid w:val="00D72C9C"/>
    <w:rsid w:val="00D74AE5"/>
    <w:rsid w:val="00D74DC3"/>
    <w:rsid w:val="00D75D6B"/>
    <w:rsid w:val="00D763E6"/>
    <w:rsid w:val="00D764E2"/>
    <w:rsid w:val="00D76BBD"/>
    <w:rsid w:val="00D76ED5"/>
    <w:rsid w:val="00D77106"/>
    <w:rsid w:val="00D776EB"/>
    <w:rsid w:val="00D820CD"/>
    <w:rsid w:val="00D8271D"/>
    <w:rsid w:val="00D8333F"/>
    <w:rsid w:val="00D854C8"/>
    <w:rsid w:val="00D85F0F"/>
    <w:rsid w:val="00D867CB"/>
    <w:rsid w:val="00D86C21"/>
    <w:rsid w:val="00D87A6B"/>
    <w:rsid w:val="00D90E41"/>
    <w:rsid w:val="00D9169F"/>
    <w:rsid w:val="00D916AC"/>
    <w:rsid w:val="00D916B4"/>
    <w:rsid w:val="00D94F5E"/>
    <w:rsid w:val="00D959C2"/>
    <w:rsid w:val="00D966F0"/>
    <w:rsid w:val="00DA0002"/>
    <w:rsid w:val="00DA06B8"/>
    <w:rsid w:val="00DA0B2F"/>
    <w:rsid w:val="00DA1875"/>
    <w:rsid w:val="00DA2CB4"/>
    <w:rsid w:val="00DA30EA"/>
    <w:rsid w:val="00DA3EB6"/>
    <w:rsid w:val="00DA480F"/>
    <w:rsid w:val="00DA54CD"/>
    <w:rsid w:val="00DA67C4"/>
    <w:rsid w:val="00DA72E1"/>
    <w:rsid w:val="00DA774B"/>
    <w:rsid w:val="00DA7AA8"/>
    <w:rsid w:val="00DB167A"/>
    <w:rsid w:val="00DB26C8"/>
    <w:rsid w:val="00DB3578"/>
    <w:rsid w:val="00DB38C4"/>
    <w:rsid w:val="00DB5878"/>
    <w:rsid w:val="00DB7201"/>
    <w:rsid w:val="00DB768B"/>
    <w:rsid w:val="00DB7792"/>
    <w:rsid w:val="00DC056D"/>
    <w:rsid w:val="00DC2B00"/>
    <w:rsid w:val="00DC48BA"/>
    <w:rsid w:val="00DC4EED"/>
    <w:rsid w:val="00DC62BC"/>
    <w:rsid w:val="00DC6A1A"/>
    <w:rsid w:val="00DC7547"/>
    <w:rsid w:val="00DC78AB"/>
    <w:rsid w:val="00DC7FF8"/>
    <w:rsid w:val="00DD1496"/>
    <w:rsid w:val="00DD4F6F"/>
    <w:rsid w:val="00DD5CDB"/>
    <w:rsid w:val="00DD7615"/>
    <w:rsid w:val="00DD7B74"/>
    <w:rsid w:val="00DE02FF"/>
    <w:rsid w:val="00DE04B8"/>
    <w:rsid w:val="00DE0765"/>
    <w:rsid w:val="00DE07CA"/>
    <w:rsid w:val="00DE0F2D"/>
    <w:rsid w:val="00DE180A"/>
    <w:rsid w:val="00DE2733"/>
    <w:rsid w:val="00DE2E01"/>
    <w:rsid w:val="00DE4215"/>
    <w:rsid w:val="00DE5A65"/>
    <w:rsid w:val="00DE5A92"/>
    <w:rsid w:val="00DE66CC"/>
    <w:rsid w:val="00DF0261"/>
    <w:rsid w:val="00DF0510"/>
    <w:rsid w:val="00DF0799"/>
    <w:rsid w:val="00DF0D2D"/>
    <w:rsid w:val="00DF1528"/>
    <w:rsid w:val="00DF245E"/>
    <w:rsid w:val="00DF2F49"/>
    <w:rsid w:val="00DF4605"/>
    <w:rsid w:val="00DF462E"/>
    <w:rsid w:val="00DF52DC"/>
    <w:rsid w:val="00DF5AC6"/>
    <w:rsid w:val="00DF5E42"/>
    <w:rsid w:val="00DF709D"/>
    <w:rsid w:val="00DF7D90"/>
    <w:rsid w:val="00E00DB3"/>
    <w:rsid w:val="00E021A2"/>
    <w:rsid w:val="00E02FB3"/>
    <w:rsid w:val="00E0363F"/>
    <w:rsid w:val="00E0369F"/>
    <w:rsid w:val="00E03831"/>
    <w:rsid w:val="00E0486F"/>
    <w:rsid w:val="00E04A56"/>
    <w:rsid w:val="00E04AB0"/>
    <w:rsid w:val="00E0572D"/>
    <w:rsid w:val="00E06CBD"/>
    <w:rsid w:val="00E06F06"/>
    <w:rsid w:val="00E07059"/>
    <w:rsid w:val="00E07E14"/>
    <w:rsid w:val="00E1031B"/>
    <w:rsid w:val="00E11396"/>
    <w:rsid w:val="00E1191C"/>
    <w:rsid w:val="00E156EF"/>
    <w:rsid w:val="00E157AC"/>
    <w:rsid w:val="00E15F14"/>
    <w:rsid w:val="00E164DB"/>
    <w:rsid w:val="00E164EB"/>
    <w:rsid w:val="00E17C41"/>
    <w:rsid w:val="00E20152"/>
    <w:rsid w:val="00E23CB8"/>
    <w:rsid w:val="00E253F2"/>
    <w:rsid w:val="00E26B81"/>
    <w:rsid w:val="00E27DE1"/>
    <w:rsid w:val="00E300CB"/>
    <w:rsid w:val="00E30408"/>
    <w:rsid w:val="00E30C6C"/>
    <w:rsid w:val="00E312F7"/>
    <w:rsid w:val="00E313FB"/>
    <w:rsid w:val="00E3228D"/>
    <w:rsid w:val="00E32DC0"/>
    <w:rsid w:val="00E35373"/>
    <w:rsid w:val="00E36314"/>
    <w:rsid w:val="00E366B0"/>
    <w:rsid w:val="00E3727B"/>
    <w:rsid w:val="00E40550"/>
    <w:rsid w:val="00E40FB3"/>
    <w:rsid w:val="00E41832"/>
    <w:rsid w:val="00E4196F"/>
    <w:rsid w:val="00E43E15"/>
    <w:rsid w:val="00E444BC"/>
    <w:rsid w:val="00E45380"/>
    <w:rsid w:val="00E45EFB"/>
    <w:rsid w:val="00E466C3"/>
    <w:rsid w:val="00E472B2"/>
    <w:rsid w:val="00E478A8"/>
    <w:rsid w:val="00E50A24"/>
    <w:rsid w:val="00E50F18"/>
    <w:rsid w:val="00E51A8E"/>
    <w:rsid w:val="00E51FB0"/>
    <w:rsid w:val="00E52002"/>
    <w:rsid w:val="00E526E0"/>
    <w:rsid w:val="00E53471"/>
    <w:rsid w:val="00E53943"/>
    <w:rsid w:val="00E54DD8"/>
    <w:rsid w:val="00E5543B"/>
    <w:rsid w:val="00E55B54"/>
    <w:rsid w:val="00E55C87"/>
    <w:rsid w:val="00E55D14"/>
    <w:rsid w:val="00E56534"/>
    <w:rsid w:val="00E566D9"/>
    <w:rsid w:val="00E56745"/>
    <w:rsid w:val="00E57FC2"/>
    <w:rsid w:val="00E615E7"/>
    <w:rsid w:val="00E61938"/>
    <w:rsid w:val="00E621D1"/>
    <w:rsid w:val="00E62652"/>
    <w:rsid w:val="00E63059"/>
    <w:rsid w:val="00E630ED"/>
    <w:rsid w:val="00E639DA"/>
    <w:rsid w:val="00E648C1"/>
    <w:rsid w:val="00E65B7D"/>
    <w:rsid w:val="00E66899"/>
    <w:rsid w:val="00E66CFB"/>
    <w:rsid w:val="00E67557"/>
    <w:rsid w:val="00E679CF"/>
    <w:rsid w:val="00E67CFF"/>
    <w:rsid w:val="00E705E7"/>
    <w:rsid w:val="00E70629"/>
    <w:rsid w:val="00E71659"/>
    <w:rsid w:val="00E72F6F"/>
    <w:rsid w:val="00E74106"/>
    <w:rsid w:val="00E747E2"/>
    <w:rsid w:val="00E75007"/>
    <w:rsid w:val="00E75686"/>
    <w:rsid w:val="00E76669"/>
    <w:rsid w:val="00E76E05"/>
    <w:rsid w:val="00E80144"/>
    <w:rsid w:val="00E80A22"/>
    <w:rsid w:val="00E80E51"/>
    <w:rsid w:val="00E812CA"/>
    <w:rsid w:val="00E812F1"/>
    <w:rsid w:val="00E827B9"/>
    <w:rsid w:val="00E85261"/>
    <w:rsid w:val="00E871D1"/>
    <w:rsid w:val="00E90245"/>
    <w:rsid w:val="00E90E6E"/>
    <w:rsid w:val="00E91A7B"/>
    <w:rsid w:val="00E91A96"/>
    <w:rsid w:val="00E91B1A"/>
    <w:rsid w:val="00E91CB0"/>
    <w:rsid w:val="00E9465B"/>
    <w:rsid w:val="00E949BF"/>
    <w:rsid w:val="00E94C5B"/>
    <w:rsid w:val="00E97593"/>
    <w:rsid w:val="00EA0B83"/>
    <w:rsid w:val="00EA2211"/>
    <w:rsid w:val="00EA2795"/>
    <w:rsid w:val="00EA39B0"/>
    <w:rsid w:val="00EA3DF4"/>
    <w:rsid w:val="00EA3FDB"/>
    <w:rsid w:val="00EA4B64"/>
    <w:rsid w:val="00EA5698"/>
    <w:rsid w:val="00EA72C4"/>
    <w:rsid w:val="00EA774A"/>
    <w:rsid w:val="00EA7FC7"/>
    <w:rsid w:val="00EB249D"/>
    <w:rsid w:val="00EB3561"/>
    <w:rsid w:val="00EB4D4E"/>
    <w:rsid w:val="00EB571E"/>
    <w:rsid w:val="00EB5B22"/>
    <w:rsid w:val="00EB7304"/>
    <w:rsid w:val="00EB7C6F"/>
    <w:rsid w:val="00EC09F9"/>
    <w:rsid w:val="00EC0B3D"/>
    <w:rsid w:val="00EC1326"/>
    <w:rsid w:val="00EC1D65"/>
    <w:rsid w:val="00EC30E0"/>
    <w:rsid w:val="00EC3C62"/>
    <w:rsid w:val="00EC50FB"/>
    <w:rsid w:val="00EC551C"/>
    <w:rsid w:val="00EC6CD5"/>
    <w:rsid w:val="00ED0E53"/>
    <w:rsid w:val="00ED118B"/>
    <w:rsid w:val="00ED2399"/>
    <w:rsid w:val="00ED3DB9"/>
    <w:rsid w:val="00ED514A"/>
    <w:rsid w:val="00ED5AA4"/>
    <w:rsid w:val="00ED5ADB"/>
    <w:rsid w:val="00ED5D3B"/>
    <w:rsid w:val="00ED63CC"/>
    <w:rsid w:val="00ED6670"/>
    <w:rsid w:val="00ED7B2B"/>
    <w:rsid w:val="00ED7C64"/>
    <w:rsid w:val="00EE072D"/>
    <w:rsid w:val="00EE0B12"/>
    <w:rsid w:val="00EE3D57"/>
    <w:rsid w:val="00EE61BD"/>
    <w:rsid w:val="00EE79BD"/>
    <w:rsid w:val="00EE7B08"/>
    <w:rsid w:val="00EF0894"/>
    <w:rsid w:val="00EF1B3C"/>
    <w:rsid w:val="00EF35FC"/>
    <w:rsid w:val="00EF3BBB"/>
    <w:rsid w:val="00EF454B"/>
    <w:rsid w:val="00EF5B3C"/>
    <w:rsid w:val="00EF5F22"/>
    <w:rsid w:val="00EF7873"/>
    <w:rsid w:val="00F0067C"/>
    <w:rsid w:val="00F01619"/>
    <w:rsid w:val="00F01C29"/>
    <w:rsid w:val="00F02B21"/>
    <w:rsid w:val="00F02E77"/>
    <w:rsid w:val="00F03928"/>
    <w:rsid w:val="00F040B1"/>
    <w:rsid w:val="00F043A7"/>
    <w:rsid w:val="00F04E30"/>
    <w:rsid w:val="00F05C72"/>
    <w:rsid w:val="00F06205"/>
    <w:rsid w:val="00F0690C"/>
    <w:rsid w:val="00F0696E"/>
    <w:rsid w:val="00F07A53"/>
    <w:rsid w:val="00F07D40"/>
    <w:rsid w:val="00F1017C"/>
    <w:rsid w:val="00F1042D"/>
    <w:rsid w:val="00F10A1C"/>
    <w:rsid w:val="00F11007"/>
    <w:rsid w:val="00F12C22"/>
    <w:rsid w:val="00F132E9"/>
    <w:rsid w:val="00F13376"/>
    <w:rsid w:val="00F13D96"/>
    <w:rsid w:val="00F146DD"/>
    <w:rsid w:val="00F1634A"/>
    <w:rsid w:val="00F179A2"/>
    <w:rsid w:val="00F17CB0"/>
    <w:rsid w:val="00F21421"/>
    <w:rsid w:val="00F22D9A"/>
    <w:rsid w:val="00F2482F"/>
    <w:rsid w:val="00F24B10"/>
    <w:rsid w:val="00F25C37"/>
    <w:rsid w:val="00F25D8D"/>
    <w:rsid w:val="00F278AF"/>
    <w:rsid w:val="00F279B3"/>
    <w:rsid w:val="00F27BFC"/>
    <w:rsid w:val="00F30EE8"/>
    <w:rsid w:val="00F3416A"/>
    <w:rsid w:val="00F35551"/>
    <w:rsid w:val="00F35766"/>
    <w:rsid w:val="00F35833"/>
    <w:rsid w:val="00F36167"/>
    <w:rsid w:val="00F378E1"/>
    <w:rsid w:val="00F37D28"/>
    <w:rsid w:val="00F37F69"/>
    <w:rsid w:val="00F4001A"/>
    <w:rsid w:val="00F4067E"/>
    <w:rsid w:val="00F40DD5"/>
    <w:rsid w:val="00F414FC"/>
    <w:rsid w:val="00F415F4"/>
    <w:rsid w:val="00F41F6C"/>
    <w:rsid w:val="00F4322F"/>
    <w:rsid w:val="00F43943"/>
    <w:rsid w:val="00F43ADA"/>
    <w:rsid w:val="00F443DA"/>
    <w:rsid w:val="00F44C05"/>
    <w:rsid w:val="00F455C0"/>
    <w:rsid w:val="00F473C6"/>
    <w:rsid w:val="00F4795D"/>
    <w:rsid w:val="00F47A8A"/>
    <w:rsid w:val="00F50315"/>
    <w:rsid w:val="00F50C46"/>
    <w:rsid w:val="00F51323"/>
    <w:rsid w:val="00F52DE2"/>
    <w:rsid w:val="00F534FA"/>
    <w:rsid w:val="00F53BFB"/>
    <w:rsid w:val="00F53EC0"/>
    <w:rsid w:val="00F53FEA"/>
    <w:rsid w:val="00F54598"/>
    <w:rsid w:val="00F5528C"/>
    <w:rsid w:val="00F568A3"/>
    <w:rsid w:val="00F56CBA"/>
    <w:rsid w:val="00F605DF"/>
    <w:rsid w:val="00F607B4"/>
    <w:rsid w:val="00F60A5C"/>
    <w:rsid w:val="00F61282"/>
    <w:rsid w:val="00F6149D"/>
    <w:rsid w:val="00F61C40"/>
    <w:rsid w:val="00F625C8"/>
    <w:rsid w:val="00F62C4E"/>
    <w:rsid w:val="00F6339B"/>
    <w:rsid w:val="00F63640"/>
    <w:rsid w:val="00F64731"/>
    <w:rsid w:val="00F648C5"/>
    <w:rsid w:val="00F6642D"/>
    <w:rsid w:val="00F66DBA"/>
    <w:rsid w:val="00F71E5C"/>
    <w:rsid w:val="00F729D4"/>
    <w:rsid w:val="00F73A3F"/>
    <w:rsid w:val="00F740CD"/>
    <w:rsid w:val="00F741F4"/>
    <w:rsid w:val="00F74269"/>
    <w:rsid w:val="00F74BEF"/>
    <w:rsid w:val="00F75065"/>
    <w:rsid w:val="00F7516E"/>
    <w:rsid w:val="00F763C0"/>
    <w:rsid w:val="00F804C9"/>
    <w:rsid w:val="00F805CE"/>
    <w:rsid w:val="00F80780"/>
    <w:rsid w:val="00F81ADB"/>
    <w:rsid w:val="00F824F0"/>
    <w:rsid w:val="00F82F06"/>
    <w:rsid w:val="00F83052"/>
    <w:rsid w:val="00F84DCD"/>
    <w:rsid w:val="00F850E1"/>
    <w:rsid w:val="00F85391"/>
    <w:rsid w:val="00F91887"/>
    <w:rsid w:val="00F926E7"/>
    <w:rsid w:val="00F92A1A"/>
    <w:rsid w:val="00F92BB6"/>
    <w:rsid w:val="00F92FD2"/>
    <w:rsid w:val="00F9362D"/>
    <w:rsid w:val="00F937CC"/>
    <w:rsid w:val="00F9541D"/>
    <w:rsid w:val="00F95450"/>
    <w:rsid w:val="00F95B5A"/>
    <w:rsid w:val="00F95E59"/>
    <w:rsid w:val="00F968C0"/>
    <w:rsid w:val="00F96D82"/>
    <w:rsid w:val="00F97256"/>
    <w:rsid w:val="00F978E0"/>
    <w:rsid w:val="00FA0808"/>
    <w:rsid w:val="00FA1BEA"/>
    <w:rsid w:val="00FA1C5C"/>
    <w:rsid w:val="00FA2802"/>
    <w:rsid w:val="00FA2B73"/>
    <w:rsid w:val="00FA385A"/>
    <w:rsid w:val="00FA49C8"/>
    <w:rsid w:val="00FA5757"/>
    <w:rsid w:val="00FA6D15"/>
    <w:rsid w:val="00FA6E90"/>
    <w:rsid w:val="00FB0AA2"/>
    <w:rsid w:val="00FB0BF3"/>
    <w:rsid w:val="00FB196D"/>
    <w:rsid w:val="00FB1BF0"/>
    <w:rsid w:val="00FB2116"/>
    <w:rsid w:val="00FB234E"/>
    <w:rsid w:val="00FB2DDA"/>
    <w:rsid w:val="00FB3004"/>
    <w:rsid w:val="00FB458E"/>
    <w:rsid w:val="00FB4705"/>
    <w:rsid w:val="00FB5E34"/>
    <w:rsid w:val="00FB65D0"/>
    <w:rsid w:val="00FB65F0"/>
    <w:rsid w:val="00FB6890"/>
    <w:rsid w:val="00FB70A8"/>
    <w:rsid w:val="00FB79B4"/>
    <w:rsid w:val="00FB7F7F"/>
    <w:rsid w:val="00FC027B"/>
    <w:rsid w:val="00FC1CDA"/>
    <w:rsid w:val="00FC2951"/>
    <w:rsid w:val="00FC2AB5"/>
    <w:rsid w:val="00FC5394"/>
    <w:rsid w:val="00FC54A9"/>
    <w:rsid w:val="00FC57A7"/>
    <w:rsid w:val="00FC5ACB"/>
    <w:rsid w:val="00FC5DCD"/>
    <w:rsid w:val="00FC5E07"/>
    <w:rsid w:val="00FC603B"/>
    <w:rsid w:val="00FC6289"/>
    <w:rsid w:val="00FC64FC"/>
    <w:rsid w:val="00FD0808"/>
    <w:rsid w:val="00FD0881"/>
    <w:rsid w:val="00FD20DB"/>
    <w:rsid w:val="00FD30B8"/>
    <w:rsid w:val="00FD5189"/>
    <w:rsid w:val="00FD5B01"/>
    <w:rsid w:val="00FD6930"/>
    <w:rsid w:val="00FD69E0"/>
    <w:rsid w:val="00FD6D3A"/>
    <w:rsid w:val="00FD7A46"/>
    <w:rsid w:val="00FE02B1"/>
    <w:rsid w:val="00FE1818"/>
    <w:rsid w:val="00FE2008"/>
    <w:rsid w:val="00FE35A3"/>
    <w:rsid w:val="00FE35A9"/>
    <w:rsid w:val="00FE519F"/>
    <w:rsid w:val="00FE635A"/>
    <w:rsid w:val="00FE66F1"/>
    <w:rsid w:val="00FE750A"/>
    <w:rsid w:val="00FE7681"/>
    <w:rsid w:val="00FF035A"/>
    <w:rsid w:val="00FF326B"/>
    <w:rsid w:val="00FF3AFA"/>
    <w:rsid w:val="00FF4A46"/>
    <w:rsid w:val="00FF4CA7"/>
    <w:rsid w:val="00FF52C0"/>
    <w:rsid w:val="00FF5A5F"/>
    <w:rsid w:val="00FF5D89"/>
    <w:rsid w:val="00FF6344"/>
    <w:rsid w:val="00FF66F7"/>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FBB7318"/>
  <w15:docId w15:val="{CF9A16B5-546C-44C1-AB2F-7226DB60C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ZA" w:eastAsia="en-ZA" w:bidi="ar-SA"/>
      </w:rPr>
    </w:rPrDefault>
    <w:pPrDefault>
      <w:pPr>
        <w:jc w:val="both"/>
      </w:pPr>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1832"/>
    <w:pPr>
      <w:spacing w:line="276" w:lineRule="auto"/>
    </w:pPr>
    <w:rPr>
      <w:sz w:val="24"/>
      <w:lang w:eastAsia="en-US"/>
    </w:rPr>
  </w:style>
  <w:style w:type="paragraph" w:styleId="Heading1">
    <w:name w:val="heading 1"/>
    <w:basedOn w:val="Normal"/>
    <w:next w:val="Normal"/>
    <w:link w:val="Heading1Char"/>
    <w:autoRedefine/>
    <w:uiPriority w:val="99"/>
    <w:qFormat/>
    <w:rsid w:val="00327ED6"/>
    <w:pPr>
      <w:keepNext/>
      <w:keepLines/>
      <w:outlineLvl w:val="0"/>
    </w:pPr>
    <w:rPr>
      <w:rFonts w:ascii="Times" w:hAnsi="Times"/>
      <w:b/>
      <w:bCs/>
      <w:color w:val="004C45" w:themeColor="text2"/>
      <w:sz w:val="26"/>
    </w:rPr>
  </w:style>
  <w:style w:type="paragraph" w:styleId="Heading2">
    <w:name w:val="heading 2"/>
    <w:basedOn w:val="Normal"/>
    <w:next w:val="Normal"/>
    <w:link w:val="Heading2Char"/>
    <w:autoRedefine/>
    <w:uiPriority w:val="99"/>
    <w:qFormat/>
    <w:rsid w:val="00382145"/>
    <w:pPr>
      <w:keepNext/>
      <w:keepLines/>
      <w:spacing w:before="200"/>
      <w:outlineLvl w:val="1"/>
    </w:pPr>
    <w:rPr>
      <w:rFonts w:ascii="Times" w:hAnsi="Times"/>
      <w:b/>
      <w:bCs/>
      <w:color w:val="004C45" w:themeColor="text2"/>
      <w:szCs w:val="26"/>
    </w:rPr>
  </w:style>
  <w:style w:type="paragraph" w:styleId="Heading3">
    <w:name w:val="heading 3"/>
    <w:basedOn w:val="Normal"/>
    <w:next w:val="Normal"/>
    <w:link w:val="Heading3Char"/>
    <w:autoRedefine/>
    <w:unhideWhenUsed/>
    <w:qFormat/>
    <w:locked/>
    <w:rsid w:val="00FB6890"/>
    <w:pPr>
      <w:keepNext/>
      <w:keepLines/>
      <w:spacing w:before="40"/>
      <w:outlineLvl w:val="2"/>
    </w:pPr>
    <w:rPr>
      <w:rFonts w:ascii="Times" w:eastAsiaTheme="majorEastAsia" w:hAnsi="Times" w:cstheme="majorBidi"/>
      <w:b/>
      <w:color w:val="004C45" w:themeColor="text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27ED6"/>
    <w:rPr>
      <w:rFonts w:ascii="Times" w:hAnsi="Times"/>
      <w:b/>
      <w:bCs/>
      <w:color w:val="004C45" w:themeColor="text2"/>
      <w:sz w:val="26"/>
      <w:lang w:eastAsia="en-US"/>
    </w:rPr>
  </w:style>
  <w:style w:type="character" w:customStyle="1" w:styleId="Heading2Char">
    <w:name w:val="Heading 2 Char"/>
    <w:basedOn w:val="DefaultParagraphFont"/>
    <w:link w:val="Heading2"/>
    <w:uiPriority w:val="99"/>
    <w:locked/>
    <w:rsid w:val="00382145"/>
    <w:rPr>
      <w:rFonts w:ascii="Times" w:hAnsi="Times"/>
      <w:b/>
      <w:bCs/>
      <w:color w:val="004C45" w:themeColor="text2"/>
      <w:sz w:val="24"/>
      <w:szCs w:val="26"/>
      <w:lang w:eastAsia="en-US"/>
    </w:rPr>
  </w:style>
  <w:style w:type="paragraph" w:styleId="BalloonText">
    <w:name w:val="Balloon Text"/>
    <w:basedOn w:val="Normal"/>
    <w:link w:val="BalloonTextChar"/>
    <w:uiPriority w:val="99"/>
    <w:semiHidden/>
    <w:rsid w:val="00D642B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642BD"/>
    <w:rPr>
      <w:rFonts w:ascii="Tahoma" w:hAnsi="Tahoma" w:cs="Tahoma"/>
      <w:sz w:val="16"/>
      <w:szCs w:val="16"/>
    </w:rPr>
  </w:style>
  <w:style w:type="paragraph" w:styleId="Title">
    <w:name w:val="Title"/>
    <w:basedOn w:val="Normal"/>
    <w:next w:val="Normal"/>
    <w:link w:val="TitleChar"/>
    <w:uiPriority w:val="99"/>
    <w:qFormat/>
    <w:rsid w:val="00D642BD"/>
    <w:pPr>
      <w:pBdr>
        <w:bottom w:val="single" w:sz="8" w:space="4" w:color="339966"/>
      </w:pBdr>
      <w:spacing w:after="300"/>
    </w:pPr>
    <w:rPr>
      <w:color w:val="000000"/>
      <w:spacing w:val="5"/>
      <w:kern w:val="28"/>
      <w:sz w:val="52"/>
      <w:szCs w:val="52"/>
    </w:rPr>
  </w:style>
  <w:style w:type="character" w:customStyle="1" w:styleId="TitleChar">
    <w:name w:val="Title Char"/>
    <w:basedOn w:val="DefaultParagraphFont"/>
    <w:link w:val="Title"/>
    <w:uiPriority w:val="99"/>
    <w:locked/>
    <w:rsid w:val="00D642BD"/>
    <w:rPr>
      <w:rFonts w:ascii="Times New Roman" w:hAnsi="Times New Roman" w:cs="Times New Roman"/>
      <w:color w:val="000000"/>
      <w:spacing w:val="5"/>
      <w:kern w:val="28"/>
      <w:sz w:val="52"/>
      <w:szCs w:val="52"/>
    </w:rPr>
  </w:style>
  <w:style w:type="paragraph" w:styleId="Subtitle">
    <w:name w:val="Subtitle"/>
    <w:basedOn w:val="Normal"/>
    <w:next w:val="Normal"/>
    <w:link w:val="SubtitleChar"/>
    <w:uiPriority w:val="99"/>
    <w:qFormat/>
    <w:rsid w:val="00D642BD"/>
    <w:pPr>
      <w:numPr>
        <w:ilvl w:val="1"/>
      </w:numPr>
    </w:pPr>
    <w:rPr>
      <w:i/>
      <w:iCs/>
      <w:color w:val="339966"/>
      <w:spacing w:val="15"/>
      <w:szCs w:val="24"/>
    </w:rPr>
  </w:style>
  <w:style w:type="character" w:customStyle="1" w:styleId="SubtitleChar">
    <w:name w:val="Subtitle Char"/>
    <w:basedOn w:val="DefaultParagraphFont"/>
    <w:link w:val="Subtitle"/>
    <w:uiPriority w:val="99"/>
    <w:locked/>
    <w:rsid w:val="00D642BD"/>
    <w:rPr>
      <w:rFonts w:ascii="Times New Roman" w:hAnsi="Times New Roman" w:cs="Times New Roman"/>
      <w:i/>
      <w:iCs/>
      <w:color w:val="339966"/>
      <w:spacing w:val="15"/>
      <w:sz w:val="24"/>
      <w:szCs w:val="24"/>
    </w:rPr>
  </w:style>
  <w:style w:type="character" w:styleId="SubtleEmphasis">
    <w:name w:val="Subtle Emphasis"/>
    <w:basedOn w:val="DefaultParagraphFont"/>
    <w:uiPriority w:val="99"/>
    <w:qFormat/>
    <w:rsid w:val="00D642BD"/>
    <w:rPr>
      <w:rFonts w:cs="Times New Roman"/>
      <w:i/>
      <w:iCs/>
      <w:color w:val="808080"/>
    </w:rPr>
  </w:style>
  <w:style w:type="paragraph" w:styleId="Header">
    <w:name w:val="header"/>
    <w:basedOn w:val="Normal"/>
    <w:link w:val="HeaderChar"/>
    <w:uiPriority w:val="99"/>
    <w:rsid w:val="00171865"/>
    <w:pPr>
      <w:tabs>
        <w:tab w:val="center" w:pos="4513"/>
        <w:tab w:val="right" w:pos="9026"/>
      </w:tabs>
    </w:pPr>
  </w:style>
  <w:style w:type="character" w:customStyle="1" w:styleId="HeaderChar">
    <w:name w:val="Header Char"/>
    <w:basedOn w:val="DefaultParagraphFont"/>
    <w:link w:val="Header"/>
    <w:uiPriority w:val="99"/>
    <w:locked/>
    <w:rsid w:val="00171865"/>
    <w:rPr>
      <w:rFonts w:cs="Times New Roman"/>
    </w:rPr>
  </w:style>
  <w:style w:type="paragraph" w:styleId="Footer">
    <w:name w:val="footer"/>
    <w:basedOn w:val="Normal"/>
    <w:link w:val="FooterChar"/>
    <w:uiPriority w:val="99"/>
    <w:rsid w:val="00171865"/>
    <w:pPr>
      <w:tabs>
        <w:tab w:val="center" w:pos="4513"/>
        <w:tab w:val="right" w:pos="9026"/>
      </w:tabs>
    </w:pPr>
  </w:style>
  <w:style w:type="character" w:customStyle="1" w:styleId="FooterChar">
    <w:name w:val="Footer Char"/>
    <w:basedOn w:val="DefaultParagraphFont"/>
    <w:link w:val="Footer"/>
    <w:uiPriority w:val="99"/>
    <w:locked/>
    <w:rsid w:val="00171865"/>
    <w:rPr>
      <w:rFonts w:cs="Times New Roman"/>
    </w:rPr>
  </w:style>
  <w:style w:type="paragraph" w:styleId="ListParagraph">
    <w:name w:val="List Paragraph"/>
    <w:basedOn w:val="Normal"/>
    <w:next w:val="Normal"/>
    <w:link w:val="ListParagraphChar"/>
    <w:autoRedefine/>
    <w:uiPriority w:val="34"/>
    <w:qFormat/>
    <w:rsid w:val="00B62345"/>
    <w:pPr>
      <w:numPr>
        <w:numId w:val="23"/>
      </w:numPr>
      <w:ind w:left="567" w:hanging="567"/>
    </w:pPr>
    <w:rPr>
      <w:rFonts w:ascii="Times" w:hAnsi="Times"/>
      <w:color w:val="000000" w:themeColor="text1"/>
    </w:rPr>
  </w:style>
  <w:style w:type="paragraph" w:styleId="TOCHeading">
    <w:name w:val="TOC Heading"/>
    <w:basedOn w:val="Heading1"/>
    <w:next w:val="Normal"/>
    <w:uiPriority w:val="99"/>
    <w:qFormat/>
    <w:rsid w:val="00453ED3"/>
    <w:pPr>
      <w:outlineLvl w:val="9"/>
    </w:pPr>
    <w:rPr>
      <w:lang w:val="en-US"/>
    </w:rPr>
  </w:style>
  <w:style w:type="paragraph" w:styleId="TOC1">
    <w:name w:val="toc 1"/>
    <w:basedOn w:val="Normal"/>
    <w:next w:val="Normal"/>
    <w:autoRedefine/>
    <w:uiPriority w:val="39"/>
    <w:rsid w:val="00496710"/>
    <w:pPr>
      <w:tabs>
        <w:tab w:val="left" w:pos="284"/>
        <w:tab w:val="right" w:leader="dot" w:pos="9016"/>
      </w:tabs>
      <w:ind w:left="284" w:hanging="284"/>
    </w:pPr>
  </w:style>
  <w:style w:type="character" w:styleId="Hyperlink">
    <w:name w:val="Hyperlink"/>
    <w:basedOn w:val="DefaultParagraphFont"/>
    <w:uiPriority w:val="99"/>
    <w:rsid w:val="00453ED3"/>
    <w:rPr>
      <w:rFonts w:cs="Times New Roman"/>
      <w:color w:val="00CC00"/>
      <w:u w:val="single"/>
    </w:rPr>
  </w:style>
  <w:style w:type="paragraph" w:styleId="TOC2">
    <w:name w:val="toc 2"/>
    <w:basedOn w:val="Normal"/>
    <w:next w:val="Normal"/>
    <w:autoRedefine/>
    <w:uiPriority w:val="39"/>
    <w:rsid w:val="00496710"/>
    <w:pPr>
      <w:ind w:left="221"/>
    </w:pPr>
    <w:rPr>
      <w:lang w:val="en-US"/>
    </w:rPr>
  </w:style>
  <w:style w:type="paragraph" w:styleId="TOC3">
    <w:name w:val="toc 3"/>
    <w:basedOn w:val="Normal"/>
    <w:next w:val="Normal"/>
    <w:autoRedefine/>
    <w:uiPriority w:val="39"/>
    <w:rsid w:val="00E06CBD"/>
    <w:pPr>
      <w:ind w:left="442"/>
    </w:pPr>
    <w:rPr>
      <w:lang w:val="en-US"/>
    </w:rPr>
  </w:style>
  <w:style w:type="character" w:styleId="CommentReference">
    <w:name w:val="annotation reference"/>
    <w:basedOn w:val="DefaultParagraphFont"/>
    <w:uiPriority w:val="99"/>
    <w:semiHidden/>
    <w:rsid w:val="0067075D"/>
    <w:rPr>
      <w:rFonts w:cs="Times New Roman"/>
      <w:sz w:val="16"/>
      <w:szCs w:val="16"/>
    </w:rPr>
  </w:style>
  <w:style w:type="paragraph" w:styleId="CommentText">
    <w:name w:val="annotation text"/>
    <w:basedOn w:val="Normal"/>
    <w:link w:val="CommentTextChar"/>
    <w:uiPriority w:val="99"/>
    <w:rsid w:val="0067075D"/>
    <w:rPr>
      <w:sz w:val="20"/>
      <w:szCs w:val="20"/>
    </w:rPr>
  </w:style>
  <w:style w:type="character" w:customStyle="1" w:styleId="CommentTextChar">
    <w:name w:val="Comment Text Char"/>
    <w:basedOn w:val="DefaultParagraphFont"/>
    <w:link w:val="CommentText"/>
    <w:uiPriority w:val="99"/>
    <w:locked/>
    <w:rsid w:val="00C11195"/>
    <w:rPr>
      <w:rFonts w:cs="Times New Roman"/>
      <w:sz w:val="20"/>
      <w:szCs w:val="20"/>
      <w:lang w:eastAsia="en-US"/>
    </w:rPr>
  </w:style>
  <w:style w:type="paragraph" w:styleId="CommentSubject">
    <w:name w:val="annotation subject"/>
    <w:basedOn w:val="CommentText"/>
    <w:next w:val="CommentText"/>
    <w:link w:val="CommentSubjectChar"/>
    <w:uiPriority w:val="99"/>
    <w:semiHidden/>
    <w:rsid w:val="0067075D"/>
    <w:rPr>
      <w:b/>
      <w:bCs/>
    </w:rPr>
  </w:style>
  <w:style w:type="character" w:customStyle="1" w:styleId="CommentSubjectChar">
    <w:name w:val="Comment Subject Char"/>
    <w:basedOn w:val="CommentTextChar"/>
    <w:link w:val="CommentSubject"/>
    <w:uiPriority w:val="99"/>
    <w:semiHidden/>
    <w:locked/>
    <w:rsid w:val="00C11195"/>
    <w:rPr>
      <w:rFonts w:cs="Times New Roman"/>
      <w:b/>
      <w:bCs/>
      <w:sz w:val="20"/>
      <w:szCs w:val="20"/>
      <w:lang w:eastAsia="en-US"/>
    </w:rPr>
  </w:style>
  <w:style w:type="paragraph" w:styleId="NormalWeb">
    <w:name w:val="Normal (Web)"/>
    <w:basedOn w:val="Normal"/>
    <w:uiPriority w:val="99"/>
    <w:rsid w:val="0093495B"/>
    <w:pPr>
      <w:spacing w:before="100" w:beforeAutospacing="1" w:after="100" w:afterAutospacing="1"/>
    </w:pPr>
    <w:rPr>
      <w:szCs w:val="24"/>
      <w:lang w:val="en-GB" w:eastAsia="en-GB"/>
    </w:rPr>
  </w:style>
  <w:style w:type="paragraph" w:styleId="FootnoteText">
    <w:name w:val="footnote text"/>
    <w:aliases w:val="Footnote Text1,fn,Footnote Text Char Char,Footnote Text Char Char Char Char,Note de bas de page Car Car,Note de bas de page1 Car Car Car,Note de bas de page Car Car Car,Note de bas de page1 Car Car Car Car Car Car Car Car,Car,Car Car Car"/>
    <w:basedOn w:val="Normal"/>
    <w:link w:val="FootnoteTextChar"/>
    <w:uiPriority w:val="99"/>
    <w:rsid w:val="00C80AEF"/>
    <w:rPr>
      <w:sz w:val="20"/>
      <w:szCs w:val="20"/>
    </w:rPr>
  </w:style>
  <w:style w:type="character" w:customStyle="1" w:styleId="FootnoteTextChar">
    <w:name w:val="Footnote Text Char"/>
    <w:aliases w:val="Footnote Text1 Char,fn Char,Footnote Text Char Char Char,Footnote Text Char Char Char Char Char,Note de bas de page Car Car Char,Note de bas de page1 Car Car Car Char,Note de bas de page Car Car Car Char,Car Char,Car Car Car Char"/>
    <w:basedOn w:val="DefaultParagraphFont"/>
    <w:link w:val="FootnoteText"/>
    <w:uiPriority w:val="99"/>
    <w:locked/>
    <w:rsid w:val="00C80AEF"/>
    <w:rPr>
      <w:rFonts w:cs="Times New Roman"/>
      <w:sz w:val="20"/>
      <w:szCs w:val="20"/>
      <w:lang w:eastAsia="en-US"/>
    </w:rPr>
  </w:style>
  <w:style w:type="character" w:styleId="FootnoteReference">
    <w:name w:val="footnote reference"/>
    <w:aliases w:val="SUPERS,ftref,Footnote Reference Number,Style 6,Char Char Char Char Car Char,16 Point,Superscript 6 Point,Footnote Reference_LVL6,Footnote Reference_LVL61,Footnote Reference_LVL62,Footnote Reference_LVL63,Footnote Reference_LVL64"/>
    <w:basedOn w:val="DefaultParagraphFont"/>
    <w:uiPriority w:val="99"/>
    <w:rsid w:val="00C80AEF"/>
    <w:rPr>
      <w:rFonts w:cs="Times New Roman"/>
      <w:vertAlign w:val="superscript"/>
    </w:rPr>
  </w:style>
  <w:style w:type="paragraph" w:customStyle="1" w:styleId="Char1">
    <w:name w:val="Char1"/>
    <w:basedOn w:val="Normal"/>
    <w:uiPriority w:val="99"/>
    <w:rsid w:val="00442971"/>
    <w:pPr>
      <w:spacing w:after="160" w:line="240" w:lineRule="exact"/>
    </w:pPr>
    <w:rPr>
      <w:rFonts w:ascii="Verdana" w:hAnsi="Verdana" w:cs="Verdana"/>
      <w:sz w:val="20"/>
      <w:szCs w:val="20"/>
      <w:lang w:val="en-US"/>
    </w:rPr>
  </w:style>
  <w:style w:type="paragraph" w:customStyle="1" w:styleId="default">
    <w:name w:val="default"/>
    <w:basedOn w:val="Normal"/>
    <w:uiPriority w:val="99"/>
    <w:rsid w:val="00B22694"/>
    <w:pPr>
      <w:spacing w:before="100" w:beforeAutospacing="1" w:after="100" w:afterAutospacing="1"/>
    </w:pPr>
    <w:rPr>
      <w:szCs w:val="24"/>
      <w:lang w:eastAsia="en-ZA"/>
    </w:rPr>
  </w:style>
  <w:style w:type="table" w:customStyle="1" w:styleId="LightShading1">
    <w:name w:val="Light Shading1"/>
    <w:uiPriority w:val="99"/>
    <w:rsid w:val="00B22694"/>
    <w:rPr>
      <w:rFonts w:ascii="Calibri" w:hAnsi="Calibri" w:cs="Calibri"/>
      <w:color w:val="000000"/>
      <w:sz w:val="20"/>
      <w:szCs w:val="2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paragraph" w:customStyle="1" w:styleId="Default0">
    <w:name w:val="Default"/>
    <w:rsid w:val="009762AB"/>
    <w:pPr>
      <w:autoSpaceDE w:val="0"/>
      <w:autoSpaceDN w:val="0"/>
      <w:adjustRightInd w:val="0"/>
    </w:pPr>
    <w:rPr>
      <w:rFonts w:ascii="Arial" w:hAnsi="Arial" w:cs="Arial"/>
      <w:color w:val="000000"/>
      <w:sz w:val="24"/>
      <w:szCs w:val="24"/>
      <w:lang w:val="en-GB" w:eastAsia="en-GB"/>
    </w:rPr>
  </w:style>
  <w:style w:type="paragraph" w:styleId="Caption">
    <w:name w:val="caption"/>
    <w:aliases w:val="Caption Char Char Char,Caption Char Char,Map"/>
    <w:basedOn w:val="Normal"/>
    <w:next w:val="Normal"/>
    <w:link w:val="CaptionChar"/>
    <w:uiPriority w:val="35"/>
    <w:qFormat/>
    <w:locked/>
    <w:rsid w:val="00B23511"/>
    <w:rPr>
      <w:b/>
      <w:bCs/>
      <w:sz w:val="20"/>
      <w:szCs w:val="20"/>
    </w:rPr>
  </w:style>
  <w:style w:type="table" w:styleId="LightShading-Accent3">
    <w:name w:val="Light Shading Accent 3"/>
    <w:basedOn w:val="TableNormal"/>
    <w:uiPriority w:val="99"/>
    <w:rsid w:val="008D2E80"/>
    <w:rPr>
      <w:color w:val="76923C"/>
      <w:sz w:val="20"/>
      <w:szCs w:val="20"/>
    </w:rPr>
    <w:tblPr>
      <w:tblStyleRowBandSize w:val="1"/>
      <w:tblStyleColBandSize w:val="1"/>
      <w:tblBorders>
        <w:top w:val="single" w:sz="8" w:space="0" w:color="9BBB59"/>
        <w:bottom w:val="single" w:sz="8" w:space="0" w:color="9BBB59"/>
      </w:tblBorders>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character" w:styleId="IntenseEmphasis">
    <w:name w:val="Intense Emphasis"/>
    <w:basedOn w:val="DefaultParagraphFont"/>
    <w:uiPriority w:val="21"/>
    <w:qFormat/>
    <w:rsid w:val="001F5170"/>
    <w:rPr>
      <w:rFonts w:cs="Times New Roman"/>
      <w:b/>
      <w:bCs/>
      <w:i/>
      <w:iCs/>
      <w:color w:val="72A376"/>
    </w:rPr>
  </w:style>
  <w:style w:type="character" w:styleId="Emphasis">
    <w:name w:val="Emphasis"/>
    <w:basedOn w:val="DefaultParagraphFont"/>
    <w:uiPriority w:val="20"/>
    <w:qFormat/>
    <w:locked/>
    <w:rsid w:val="001F5170"/>
    <w:rPr>
      <w:rFonts w:cs="Times New Roman"/>
      <w:i/>
      <w:iCs/>
    </w:rPr>
  </w:style>
  <w:style w:type="table" w:styleId="MediumShading1-Accent3">
    <w:name w:val="Medium Shading 1 Accent 3"/>
    <w:basedOn w:val="TableNormal"/>
    <w:uiPriority w:val="99"/>
    <w:rsid w:val="00B17380"/>
    <w:rPr>
      <w:rFonts w:ascii="Calibri" w:hAnsi="Calibri"/>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pPr>
      <w:rPr>
        <w:rFonts w:cs="Times New Roman"/>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pPr>
      <w:rPr>
        <w:rFonts w:cs="Times New Roman"/>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6EED5"/>
      </w:tcPr>
    </w:tblStylePr>
    <w:tblStylePr w:type="band1Horz">
      <w:rPr>
        <w:rFonts w:cs="Times New Roman"/>
      </w:rPr>
      <w:tblPr/>
      <w:tcPr>
        <w:tcBorders>
          <w:insideH w:val="nil"/>
          <w:insideV w:val="nil"/>
        </w:tcBorders>
        <w:shd w:val="clear" w:color="auto" w:fill="E6EED5"/>
      </w:tcPr>
    </w:tblStylePr>
    <w:tblStylePr w:type="band2Horz">
      <w:rPr>
        <w:rFonts w:cs="Times New Roman"/>
      </w:rPr>
      <w:tblPr/>
      <w:tcPr>
        <w:tcBorders>
          <w:insideH w:val="nil"/>
          <w:insideV w:val="nil"/>
        </w:tcBorders>
      </w:tcPr>
    </w:tblStylePr>
  </w:style>
  <w:style w:type="table" w:styleId="MediumList1-Accent3">
    <w:name w:val="Medium List 1 Accent 3"/>
    <w:basedOn w:val="TableNormal"/>
    <w:uiPriority w:val="65"/>
    <w:rsid w:val="009053B3"/>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004C45"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LightList-Accent3">
    <w:name w:val="Light List Accent 3"/>
    <w:basedOn w:val="TableNormal"/>
    <w:uiPriority w:val="61"/>
    <w:rsid w:val="009053B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MediumGrid3-Accent3">
    <w:name w:val="Medium Grid 3 Accent 3"/>
    <w:basedOn w:val="TableNormal"/>
    <w:uiPriority w:val="69"/>
    <w:rsid w:val="006E37D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TableGrid">
    <w:name w:val="Table Grid"/>
    <w:basedOn w:val="TableNormal"/>
    <w:locked/>
    <w:rsid w:val="006E37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List2-Accent3">
    <w:name w:val="Medium List 2 Accent 3"/>
    <w:basedOn w:val="TableNormal"/>
    <w:uiPriority w:val="66"/>
    <w:rsid w:val="006E37D5"/>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paragraph" w:styleId="TableofFigures">
    <w:name w:val="table of figures"/>
    <w:basedOn w:val="Normal"/>
    <w:next w:val="Normal"/>
    <w:uiPriority w:val="99"/>
    <w:unhideWhenUsed/>
    <w:rsid w:val="00FC57A7"/>
  </w:style>
  <w:style w:type="table" w:customStyle="1" w:styleId="MediumList1-Accent11">
    <w:name w:val="Medium List 1 - Accent 11"/>
    <w:basedOn w:val="TableNormal"/>
    <w:uiPriority w:val="65"/>
    <w:rsid w:val="00A245FE"/>
    <w:rPr>
      <w:rFonts w:asciiTheme="minorHAnsi" w:eastAsiaTheme="minorHAnsi" w:hAnsiTheme="minorHAnsi" w:cstheme="minorBidi"/>
      <w:color w:val="000000" w:themeColor="text1"/>
      <w:lang w:eastAsia="en-US"/>
    </w:rPr>
    <w:tblPr>
      <w:tblStyleRowBandSize w:val="1"/>
      <w:tblStyleColBandSize w:val="1"/>
      <w:tblBorders>
        <w:top w:val="single" w:sz="8" w:space="0" w:color="4681BD" w:themeColor="accent1"/>
        <w:bottom w:val="single" w:sz="8" w:space="0" w:color="4681BD" w:themeColor="accent1"/>
      </w:tblBorders>
    </w:tblPr>
    <w:tblStylePr w:type="firstRow">
      <w:rPr>
        <w:rFonts w:asciiTheme="majorHAnsi" w:eastAsiaTheme="majorEastAsia" w:hAnsiTheme="majorHAnsi" w:cstheme="majorBidi"/>
      </w:rPr>
      <w:tblPr/>
      <w:tcPr>
        <w:tcBorders>
          <w:top w:val="nil"/>
          <w:bottom w:val="single" w:sz="8" w:space="0" w:color="4681BD" w:themeColor="accent1"/>
        </w:tcBorders>
      </w:tcPr>
    </w:tblStylePr>
    <w:tblStylePr w:type="lastRow">
      <w:rPr>
        <w:b/>
        <w:bCs/>
        <w:color w:val="004C45" w:themeColor="text2"/>
      </w:rPr>
      <w:tblPr/>
      <w:tcPr>
        <w:tcBorders>
          <w:top w:val="single" w:sz="8" w:space="0" w:color="4681BD" w:themeColor="accent1"/>
          <w:bottom w:val="single" w:sz="8" w:space="0" w:color="4681BD" w:themeColor="accent1"/>
        </w:tcBorders>
      </w:tcPr>
    </w:tblStylePr>
    <w:tblStylePr w:type="firstCol">
      <w:rPr>
        <w:b/>
        <w:bCs/>
      </w:rPr>
    </w:tblStylePr>
    <w:tblStylePr w:type="lastCol">
      <w:rPr>
        <w:b/>
        <w:bCs/>
      </w:rPr>
      <w:tblPr/>
      <w:tcPr>
        <w:tcBorders>
          <w:top w:val="single" w:sz="8" w:space="0" w:color="4681BD" w:themeColor="accent1"/>
          <w:bottom w:val="single" w:sz="8" w:space="0" w:color="4681BD" w:themeColor="accent1"/>
        </w:tcBorders>
      </w:tcPr>
    </w:tblStylePr>
    <w:tblStylePr w:type="band1Vert">
      <w:tblPr/>
      <w:tcPr>
        <w:shd w:val="clear" w:color="auto" w:fill="D1DFEE" w:themeFill="accent1" w:themeFillTint="3F"/>
      </w:tcPr>
    </w:tblStylePr>
    <w:tblStylePr w:type="band1Horz">
      <w:tblPr/>
      <w:tcPr>
        <w:shd w:val="clear" w:color="auto" w:fill="D1DFEE" w:themeFill="accent1" w:themeFillTint="3F"/>
      </w:tcPr>
    </w:tblStylePr>
  </w:style>
  <w:style w:type="table" w:styleId="GridTable2-Accent3">
    <w:name w:val="Grid Table 2 Accent 3"/>
    <w:basedOn w:val="TableNormal"/>
    <w:uiPriority w:val="47"/>
    <w:rsid w:val="00F0696E"/>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1Light-Accent3">
    <w:name w:val="Grid Table 1 Light Accent 3"/>
    <w:basedOn w:val="TableNormal"/>
    <w:uiPriority w:val="46"/>
    <w:rsid w:val="009A0ED6"/>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character" w:customStyle="1" w:styleId="ListParagraphChar">
    <w:name w:val="List Paragraph Char"/>
    <w:link w:val="ListParagraph"/>
    <w:uiPriority w:val="34"/>
    <w:locked/>
    <w:rsid w:val="00B62345"/>
    <w:rPr>
      <w:rFonts w:ascii="Times" w:hAnsi="Times"/>
      <w:color w:val="000000" w:themeColor="text1"/>
      <w:sz w:val="24"/>
      <w:lang w:eastAsia="en-US"/>
    </w:rPr>
  </w:style>
  <w:style w:type="paragraph" w:styleId="NoSpacing">
    <w:name w:val="No Spacing"/>
    <w:link w:val="NoSpacingChar"/>
    <w:uiPriority w:val="1"/>
    <w:qFormat/>
    <w:rsid w:val="005A3154"/>
    <w:rPr>
      <w:rFonts w:asciiTheme="minorHAnsi" w:eastAsiaTheme="minorHAnsi" w:hAnsiTheme="minorHAnsi" w:cstheme="minorBidi"/>
      <w:lang w:val="en-US" w:eastAsia="en-US"/>
    </w:rPr>
  </w:style>
  <w:style w:type="character" w:customStyle="1" w:styleId="NoSpacingChar">
    <w:name w:val="No Spacing Char"/>
    <w:basedOn w:val="DefaultParagraphFont"/>
    <w:link w:val="NoSpacing"/>
    <w:uiPriority w:val="1"/>
    <w:rsid w:val="005A3154"/>
    <w:rPr>
      <w:rFonts w:asciiTheme="minorHAnsi" w:eastAsiaTheme="minorHAnsi" w:hAnsiTheme="minorHAnsi" w:cstheme="minorBidi"/>
      <w:lang w:val="en-US" w:eastAsia="en-US"/>
    </w:rPr>
  </w:style>
  <w:style w:type="paragraph" w:styleId="PlainText">
    <w:name w:val="Plain Text"/>
    <w:basedOn w:val="Normal"/>
    <w:link w:val="PlainTextChar"/>
    <w:uiPriority w:val="99"/>
    <w:semiHidden/>
    <w:unhideWhenUsed/>
    <w:rsid w:val="00BB3C5D"/>
    <w:rPr>
      <w:rFonts w:ascii="Calibri" w:eastAsiaTheme="minorHAnsi" w:hAnsi="Calibri" w:cstheme="minorBidi"/>
      <w:szCs w:val="21"/>
    </w:rPr>
  </w:style>
  <w:style w:type="character" w:customStyle="1" w:styleId="PlainTextChar">
    <w:name w:val="Plain Text Char"/>
    <w:basedOn w:val="DefaultParagraphFont"/>
    <w:link w:val="PlainText"/>
    <w:uiPriority w:val="99"/>
    <w:semiHidden/>
    <w:rsid w:val="00BB3C5D"/>
    <w:rPr>
      <w:rFonts w:ascii="Calibri" w:eastAsiaTheme="minorHAnsi" w:hAnsi="Calibri" w:cstheme="minorBidi"/>
      <w:szCs w:val="21"/>
      <w:lang w:eastAsia="en-US"/>
    </w:rPr>
  </w:style>
  <w:style w:type="character" w:customStyle="1" w:styleId="CaptionChar">
    <w:name w:val="Caption Char"/>
    <w:aliases w:val="Caption Char Char Char Char,Caption Char Char Char1,Map Char"/>
    <w:basedOn w:val="DefaultParagraphFont"/>
    <w:link w:val="Caption"/>
    <w:uiPriority w:val="35"/>
    <w:locked/>
    <w:rsid w:val="00BA44C6"/>
    <w:rPr>
      <w:b/>
      <w:bCs/>
      <w:sz w:val="20"/>
      <w:szCs w:val="20"/>
      <w:lang w:eastAsia="en-US"/>
    </w:rPr>
  </w:style>
  <w:style w:type="table" w:customStyle="1" w:styleId="GridTable1Light-Accent31">
    <w:name w:val="Grid Table 1 Light - Accent 31"/>
    <w:basedOn w:val="TableNormal"/>
    <w:uiPriority w:val="46"/>
    <w:rsid w:val="00BA44C6"/>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A907A0"/>
    <w:rPr>
      <w:rFonts w:asciiTheme="minorHAnsi" w:eastAsiaTheme="minorHAnsi" w:hAnsiTheme="minorHAnsi" w:cstheme="minorBidi"/>
      <w:lang w:val="en-US" w:eastAsia="en-US"/>
    </w:r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character" w:customStyle="1" w:styleId="highlight">
    <w:name w:val="highlight"/>
    <w:basedOn w:val="DefaultParagraphFont"/>
    <w:rsid w:val="00E313FB"/>
  </w:style>
  <w:style w:type="paragraph" w:styleId="IntenseQuote">
    <w:name w:val="Intense Quote"/>
    <w:basedOn w:val="Normal"/>
    <w:next w:val="Normal"/>
    <w:link w:val="IntenseQuoteChar"/>
    <w:autoRedefine/>
    <w:uiPriority w:val="30"/>
    <w:qFormat/>
    <w:rsid w:val="00B4512F"/>
    <w:pPr>
      <w:pBdr>
        <w:top w:val="single" w:sz="4" w:space="10" w:color="004C45" w:themeColor="text2"/>
        <w:bottom w:val="single" w:sz="4" w:space="10" w:color="004C45" w:themeColor="text2"/>
      </w:pBdr>
      <w:spacing w:before="360" w:after="360" w:line="240" w:lineRule="auto"/>
      <w:ind w:right="864"/>
      <w:jc w:val="center"/>
      <w:outlineLvl w:val="0"/>
    </w:pPr>
    <w:rPr>
      <w:rFonts w:ascii="Times" w:hAnsi="Times"/>
      <w:bCs/>
      <w:color w:val="004C45" w:themeColor="text2"/>
      <w:sz w:val="52"/>
      <w:szCs w:val="52"/>
    </w:rPr>
  </w:style>
  <w:style w:type="character" w:customStyle="1" w:styleId="IntenseQuoteChar">
    <w:name w:val="Intense Quote Char"/>
    <w:basedOn w:val="DefaultParagraphFont"/>
    <w:link w:val="IntenseQuote"/>
    <w:uiPriority w:val="30"/>
    <w:rsid w:val="00B4512F"/>
    <w:rPr>
      <w:rFonts w:ascii="Times" w:hAnsi="Times"/>
      <w:bCs/>
      <w:color w:val="004C45" w:themeColor="text2"/>
      <w:sz w:val="52"/>
      <w:szCs w:val="52"/>
      <w:lang w:eastAsia="en-US"/>
    </w:rPr>
  </w:style>
  <w:style w:type="paragraph" w:customStyle="1" w:styleId="Body">
    <w:name w:val="Body"/>
    <w:rsid w:val="00E53471"/>
    <w:pPr>
      <w:pBdr>
        <w:top w:val="nil"/>
        <w:left w:val="nil"/>
        <w:bottom w:val="nil"/>
        <w:right w:val="nil"/>
        <w:between w:val="nil"/>
        <w:bar w:val="nil"/>
      </w:pBdr>
      <w:spacing w:after="200" w:line="276" w:lineRule="auto"/>
    </w:pPr>
    <w:rPr>
      <w:rFonts w:ascii="Calibri" w:eastAsia="Calibri" w:hAnsi="Calibri" w:cs="Calibri"/>
      <w:color w:val="000000"/>
      <w:u w:color="000000"/>
      <w:bdr w:val="nil"/>
    </w:rPr>
  </w:style>
  <w:style w:type="numbering" w:customStyle="1" w:styleId="List0">
    <w:name w:val="List 0"/>
    <w:basedOn w:val="NoList"/>
    <w:rsid w:val="00E53471"/>
    <w:pPr>
      <w:numPr>
        <w:numId w:val="5"/>
      </w:numPr>
    </w:pPr>
  </w:style>
  <w:style w:type="numbering" w:customStyle="1" w:styleId="List1">
    <w:name w:val="List 1"/>
    <w:basedOn w:val="NoList"/>
    <w:rsid w:val="00E53471"/>
    <w:pPr>
      <w:numPr>
        <w:numId w:val="6"/>
      </w:numPr>
    </w:pPr>
  </w:style>
  <w:style w:type="character" w:customStyle="1" w:styleId="Heading3Char">
    <w:name w:val="Heading 3 Char"/>
    <w:basedOn w:val="DefaultParagraphFont"/>
    <w:link w:val="Heading3"/>
    <w:rsid w:val="00FB6890"/>
    <w:rPr>
      <w:rFonts w:ascii="Times" w:eastAsiaTheme="majorEastAsia" w:hAnsi="Times" w:cstheme="majorBidi"/>
      <w:b/>
      <w:color w:val="004C45" w:themeColor="text2"/>
      <w:sz w:val="24"/>
      <w:szCs w:val="24"/>
      <w:lang w:eastAsia="en-US"/>
    </w:rPr>
  </w:style>
  <w:style w:type="paragraph" w:styleId="Revision">
    <w:name w:val="Revision"/>
    <w:hidden/>
    <w:uiPriority w:val="99"/>
    <w:semiHidden/>
    <w:rsid w:val="00D37C78"/>
    <w:pPr>
      <w:jc w:val="left"/>
    </w:pPr>
    <w:rPr>
      <w:lang w:eastAsia="en-US"/>
    </w:rPr>
  </w:style>
  <w:style w:type="character" w:styleId="PageNumber">
    <w:name w:val="page number"/>
    <w:basedOn w:val="DefaultParagraphFont"/>
    <w:uiPriority w:val="99"/>
    <w:semiHidden/>
    <w:unhideWhenUsed/>
    <w:rsid w:val="00E45380"/>
  </w:style>
  <w:style w:type="paragraph" w:customStyle="1" w:styleId="Listof">
    <w:name w:val="List of"/>
    <w:basedOn w:val="Heading3"/>
    <w:qFormat/>
    <w:rsid w:val="001F2E28"/>
    <w:pPr>
      <w:spacing w:line="360" w:lineRule="auto"/>
      <w:outlineLvl w:val="1"/>
    </w:pPr>
    <w:rPr>
      <w:rFonts w:asciiTheme="minorHAnsi" w:hAnsiTheme="minorHAnsi"/>
      <w:i/>
      <w:color w:val="26724C"/>
    </w:rPr>
  </w:style>
  <w:style w:type="character" w:styleId="Strong">
    <w:name w:val="Strong"/>
    <w:basedOn w:val="DefaultParagraphFont"/>
    <w:uiPriority w:val="22"/>
    <w:qFormat/>
    <w:locked/>
    <w:rsid w:val="001F2E28"/>
    <w:rPr>
      <w:b/>
      <w:bCs/>
    </w:rPr>
  </w:style>
  <w:style w:type="character" w:customStyle="1" w:styleId="sdzsvb">
    <w:name w:val="sdzsvb"/>
    <w:basedOn w:val="DefaultParagraphFont"/>
    <w:rsid w:val="001F2E28"/>
  </w:style>
  <w:style w:type="table" w:styleId="GridTable4-Accent3">
    <w:name w:val="Grid Table 4 Accent 3"/>
    <w:basedOn w:val="TableNormal"/>
    <w:uiPriority w:val="49"/>
    <w:rsid w:val="00492893"/>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GridLight">
    <w:name w:val="Grid Table Light"/>
    <w:basedOn w:val="TableNormal"/>
    <w:uiPriority w:val="40"/>
    <w:rsid w:val="0049289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67725">
      <w:bodyDiv w:val="1"/>
      <w:marLeft w:val="0"/>
      <w:marRight w:val="0"/>
      <w:marTop w:val="0"/>
      <w:marBottom w:val="0"/>
      <w:divBdr>
        <w:top w:val="none" w:sz="0" w:space="0" w:color="auto"/>
        <w:left w:val="none" w:sz="0" w:space="0" w:color="auto"/>
        <w:bottom w:val="none" w:sz="0" w:space="0" w:color="auto"/>
        <w:right w:val="none" w:sz="0" w:space="0" w:color="auto"/>
      </w:divBdr>
    </w:div>
    <w:div w:id="62683182">
      <w:bodyDiv w:val="1"/>
      <w:marLeft w:val="0"/>
      <w:marRight w:val="0"/>
      <w:marTop w:val="0"/>
      <w:marBottom w:val="0"/>
      <w:divBdr>
        <w:top w:val="none" w:sz="0" w:space="0" w:color="auto"/>
        <w:left w:val="none" w:sz="0" w:space="0" w:color="auto"/>
        <w:bottom w:val="none" w:sz="0" w:space="0" w:color="auto"/>
        <w:right w:val="none" w:sz="0" w:space="0" w:color="auto"/>
      </w:divBdr>
    </w:div>
    <w:div w:id="76634731">
      <w:bodyDiv w:val="1"/>
      <w:marLeft w:val="0"/>
      <w:marRight w:val="0"/>
      <w:marTop w:val="0"/>
      <w:marBottom w:val="0"/>
      <w:divBdr>
        <w:top w:val="none" w:sz="0" w:space="0" w:color="auto"/>
        <w:left w:val="none" w:sz="0" w:space="0" w:color="auto"/>
        <w:bottom w:val="none" w:sz="0" w:space="0" w:color="auto"/>
        <w:right w:val="none" w:sz="0" w:space="0" w:color="auto"/>
      </w:divBdr>
    </w:div>
    <w:div w:id="76903058">
      <w:bodyDiv w:val="1"/>
      <w:marLeft w:val="0"/>
      <w:marRight w:val="0"/>
      <w:marTop w:val="0"/>
      <w:marBottom w:val="0"/>
      <w:divBdr>
        <w:top w:val="none" w:sz="0" w:space="0" w:color="auto"/>
        <w:left w:val="none" w:sz="0" w:space="0" w:color="auto"/>
        <w:bottom w:val="none" w:sz="0" w:space="0" w:color="auto"/>
        <w:right w:val="none" w:sz="0" w:space="0" w:color="auto"/>
      </w:divBdr>
    </w:div>
    <w:div w:id="225266524">
      <w:bodyDiv w:val="1"/>
      <w:marLeft w:val="0"/>
      <w:marRight w:val="0"/>
      <w:marTop w:val="0"/>
      <w:marBottom w:val="0"/>
      <w:divBdr>
        <w:top w:val="none" w:sz="0" w:space="0" w:color="auto"/>
        <w:left w:val="none" w:sz="0" w:space="0" w:color="auto"/>
        <w:bottom w:val="none" w:sz="0" w:space="0" w:color="auto"/>
        <w:right w:val="none" w:sz="0" w:space="0" w:color="auto"/>
      </w:divBdr>
    </w:div>
    <w:div w:id="330766574">
      <w:bodyDiv w:val="1"/>
      <w:marLeft w:val="0"/>
      <w:marRight w:val="0"/>
      <w:marTop w:val="0"/>
      <w:marBottom w:val="0"/>
      <w:divBdr>
        <w:top w:val="none" w:sz="0" w:space="0" w:color="auto"/>
        <w:left w:val="none" w:sz="0" w:space="0" w:color="auto"/>
        <w:bottom w:val="none" w:sz="0" w:space="0" w:color="auto"/>
        <w:right w:val="none" w:sz="0" w:space="0" w:color="auto"/>
      </w:divBdr>
    </w:div>
    <w:div w:id="380398238">
      <w:bodyDiv w:val="1"/>
      <w:marLeft w:val="0"/>
      <w:marRight w:val="0"/>
      <w:marTop w:val="0"/>
      <w:marBottom w:val="0"/>
      <w:divBdr>
        <w:top w:val="none" w:sz="0" w:space="0" w:color="auto"/>
        <w:left w:val="none" w:sz="0" w:space="0" w:color="auto"/>
        <w:bottom w:val="none" w:sz="0" w:space="0" w:color="auto"/>
        <w:right w:val="none" w:sz="0" w:space="0" w:color="auto"/>
      </w:divBdr>
      <w:divsChild>
        <w:div w:id="1745687210">
          <w:marLeft w:val="1886"/>
          <w:marRight w:val="0"/>
          <w:marTop w:val="0"/>
          <w:marBottom w:val="0"/>
          <w:divBdr>
            <w:top w:val="none" w:sz="0" w:space="0" w:color="auto"/>
            <w:left w:val="none" w:sz="0" w:space="0" w:color="auto"/>
            <w:bottom w:val="none" w:sz="0" w:space="0" w:color="auto"/>
            <w:right w:val="none" w:sz="0" w:space="0" w:color="auto"/>
          </w:divBdr>
        </w:div>
      </w:divsChild>
    </w:div>
    <w:div w:id="424347464">
      <w:bodyDiv w:val="1"/>
      <w:marLeft w:val="0"/>
      <w:marRight w:val="0"/>
      <w:marTop w:val="0"/>
      <w:marBottom w:val="0"/>
      <w:divBdr>
        <w:top w:val="none" w:sz="0" w:space="0" w:color="auto"/>
        <w:left w:val="none" w:sz="0" w:space="0" w:color="auto"/>
        <w:bottom w:val="none" w:sz="0" w:space="0" w:color="auto"/>
        <w:right w:val="none" w:sz="0" w:space="0" w:color="auto"/>
      </w:divBdr>
    </w:div>
    <w:div w:id="437918482">
      <w:bodyDiv w:val="1"/>
      <w:marLeft w:val="0"/>
      <w:marRight w:val="0"/>
      <w:marTop w:val="0"/>
      <w:marBottom w:val="0"/>
      <w:divBdr>
        <w:top w:val="none" w:sz="0" w:space="0" w:color="auto"/>
        <w:left w:val="none" w:sz="0" w:space="0" w:color="auto"/>
        <w:bottom w:val="none" w:sz="0" w:space="0" w:color="auto"/>
        <w:right w:val="none" w:sz="0" w:space="0" w:color="auto"/>
      </w:divBdr>
    </w:div>
    <w:div w:id="483860651">
      <w:bodyDiv w:val="1"/>
      <w:marLeft w:val="0"/>
      <w:marRight w:val="0"/>
      <w:marTop w:val="0"/>
      <w:marBottom w:val="0"/>
      <w:divBdr>
        <w:top w:val="none" w:sz="0" w:space="0" w:color="auto"/>
        <w:left w:val="none" w:sz="0" w:space="0" w:color="auto"/>
        <w:bottom w:val="none" w:sz="0" w:space="0" w:color="auto"/>
        <w:right w:val="none" w:sz="0" w:space="0" w:color="auto"/>
      </w:divBdr>
    </w:div>
    <w:div w:id="494879289">
      <w:bodyDiv w:val="1"/>
      <w:marLeft w:val="0"/>
      <w:marRight w:val="0"/>
      <w:marTop w:val="0"/>
      <w:marBottom w:val="0"/>
      <w:divBdr>
        <w:top w:val="none" w:sz="0" w:space="0" w:color="auto"/>
        <w:left w:val="none" w:sz="0" w:space="0" w:color="auto"/>
        <w:bottom w:val="none" w:sz="0" w:space="0" w:color="auto"/>
        <w:right w:val="none" w:sz="0" w:space="0" w:color="auto"/>
      </w:divBdr>
    </w:div>
    <w:div w:id="505290590">
      <w:bodyDiv w:val="1"/>
      <w:marLeft w:val="0"/>
      <w:marRight w:val="0"/>
      <w:marTop w:val="0"/>
      <w:marBottom w:val="0"/>
      <w:divBdr>
        <w:top w:val="none" w:sz="0" w:space="0" w:color="auto"/>
        <w:left w:val="none" w:sz="0" w:space="0" w:color="auto"/>
        <w:bottom w:val="none" w:sz="0" w:space="0" w:color="auto"/>
        <w:right w:val="none" w:sz="0" w:space="0" w:color="auto"/>
      </w:divBdr>
    </w:div>
    <w:div w:id="559946498">
      <w:bodyDiv w:val="1"/>
      <w:marLeft w:val="0"/>
      <w:marRight w:val="0"/>
      <w:marTop w:val="0"/>
      <w:marBottom w:val="0"/>
      <w:divBdr>
        <w:top w:val="none" w:sz="0" w:space="0" w:color="auto"/>
        <w:left w:val="none" w:sz="0" w:space="0" w:color="auto"/>
        <w:bottom w:val="none" w:sz="0" w:space="0" w:color="auto"/>
        <w:right w:val="none" w:sz="0" w:space="0" w:color="auto"/>
      </w:divBdr>
    </w:div>
    <w:div w:id="689720835">
      <w:bodyDiv w:val="1"/>
      <w:marLeft w:val="0"/>
      <w:marRight w:val="0"/>
      <w:marTop w:val="0"/>
      <w:marBottom w:val="0"/>
      <w:divBdr>
        <w:top w:val="none" w:sz="0" w:space="0" w:color="auto"/>
        <w:left w:val="none" w:sz="0" w:space="0" w:color="auto"/>
        <w:bottom w:val="none" w:sz="0" w:space="0" w:color="auto"/>
        <w:right w:val="none" w:sz="0" w:space="0" w:color="auto"/>
      </w:divBdr>
    </w:div>
    <w:div w:id="802502220">
      <w:bodyDiv w:val="1"/>
      <w:marLeft w:val="0"/>
      <w:marRight w:val="0"/>
      <w:marTop w:val="0"/>
      <w:marBottom w:val="0"/>
      <w:divBdr>
        <w:top w:val="none" w:sz="0" w:space="0" w:color="auto"/>
        <w:left w:val="none" w:sz="0" w:space="0" w:color="auto"/>
        <w:bottom w:val="none" w:sz="0" w:space="0" w:color="auto"/>
        <w:right w:val="none" w:sz="0" w:space="0" w:color="auto"/>
      </w:divBdr>
    </w:div>
    <w:div w:id="812482398">
      <w:bodyDiv w:val="1"/>
      <w:marLeft w:val="0"/>
      <w:marRight w:val="0"/>
      <w:marTop w:val="0"/>
      <w:marBottom w:val="0"/>
      <w:divBdr>
        <w:top w:val="none" w:sz="0" w:space="0" w:color="auto"/>
        <w:left w:val="none" w:sz="0" w:space="0" w:color="auto"/>
        <w:bottom w:val="none" w:sz="0" w:space="0" w:color="auto"/>
        <w:right w:val="none" w:sz="0" w:space="0" w:color="auto"/>
      </w:divBdr>
      <w:divsChild>
        <w:div w:id="768696010">
          <w:marLeft w:val="547"/>
          <w:marRight w:val="0"/>
          <w:marTop w:val="115"/>
          <w:marBottom w:val="0"/>
          <w:divBdr>
            <w:top w:val="none" w:sz="0" w:space="0" w:color="auto"/>
            <w:left w:val="none" w:sz="0" w:space="0" w:color="auto"/>
            <w:bottom w:val="none" w:sz="0" w:space="0" w:color="auto"/>
            <w:right w:val="none" w:sz="0" w:space="0" w:color="auto"/>
          </w:divBdr>
        </w:div>
        <w:div w:id="2008048685">
          <w:marLeft w:val="547"/>
          <w:marRight w:val="0"/>
          <w:marTop w:val="115"/>
          <w:marBottom w:val="0"/>
          <w:divBdr>
            <w:top w:val="none" w:sz="0" w:space="0" w:color="auto"/>
            <w:left w:val="none" w:sz="0" w:space="0" w:color="auto"/>
            <w:bottom w:val="none" w:sz="0" w:space="0" w:color="auto"/>
            <w:right w:val="none" w:sz="0" w:space="0" w:color="auto"/>
          </w:divBdr>
        </w:div>
        <w:div w:id="872885225">
          <w:marLeft w:val="547"/>
          <w:marRight w:val="0"/>
          <w:marTop w:val="115"/>
          <w:marBottom w:val="0"/>
          <w:divBdr>
            <w:top w:val="none" w:sz="0" w:space="0" w:color="auto"/>
            <w:left w:val="none" w:sz="0" w:space="0" w:color="auto"/>
            <w:bottom w:val="none" w:sz="0" w:space="0" w:color="auto"/>
            <w:right w:val="none" w:sz="0" w:space="0" w:color="auto"/>
          </w:divBdr>
        </w:div>
      </w:divsChild>
    </w:div>
    <w:div w:id="819469695">
      <w:bodyDiv w:val="1"/>
      <w:marLeft w:val="0"/>
      <w:marRight w:val="0"/>
      <w:marTop w:val="0"/>
      <w:marBottom w:val="0"/>
      <w:divBdr>
        <w:top w:val="none" w:sz="0" w:space="0" w:color="auto"/>
        <w:left w:val="none" w:sz="0" w:space="0" w:color="auto"/>
        <w:bottom w:val="none" w:sz="0" w:space="0" w:color="auto"/>
        <w:right w:val="none" w:sz="0" w:space="0" w:color="auto"/>
      </w:divBdr>
      <w:divsChild>
        <w:div w:id="475148920">
          <w:marLeft w:val="1166"/>
          <w:marRight w:val="0"/>
          <w:marTop w:val="0"/>
          <w:marBottom w:val="0"/>
          <w:divBdr>
            <w:top w:val="none" w:sz="0" w:space="0" w:color="auto"/>
            <w:left w:val="none" w:sz="0" w:space="0" w:color="auto"/>
            <w:bottom w:val="none" w:sz="0" w:space="0" w:color="auto"/>
            <w:right w:val="none" w:sz="0" w:space="0" w:color="auto"/>
          </w:divBdr>
        </w:div>
      </w:divsChild>
    </w:div>
    <w:div w:id="918713933">
      <w:bodyDiv w:val="1"/>
      <w:marLeft w:val="0"/>
      <w:marRight w:val="0"/>
      <w:marTop w:val="0"/>
      <w:marBottom w:val="0"/>
      <w:divBdr>
        <w:top w:val="none" w:sz="0" w:space="0" w:color="auto"/>
        <w:left w:val="none" w:sz="0" w:space="0" w:color="auto"/>
        <w:bottom w:val="none" w:sz="0" w:space="0" w:color="auto"/>
        <w:right w:val="none" w:sz="0" w:space="0" w:color="auto"/>
      </w:divBdr>
      <w:divsChild>
        <w:div w:id="1099453190">
          <w:marLeft w:val="1166"/>
          <w:marRight w:val="0"/>
          <w:marTop w:val="86"/>
          <w:marBottom w:val="0"/>
          <w:divBdr>
            <w:top w:val="none" w:sz="0" w:space="0" w:color="auto"/>
            <w:left w:val="none" w:sz="0" w:space="0" w:color="auto"/>
            <w:bottom w:val="none" w:sz="0" w:space="0" w:color="auto"/>
            <w:right w:val="none" w:sz="0" w:space="0" w:color="auto"/>
          </w:divBdr>
        </w:div>
        <w:div w:id="172115186">
          <w:marLeft w:val="1166"/>
          <w:marRight w:val="0"/>
          <w:marTop w:val="86"/>
          <w:marBottom w:val="0"/>
          <w:divBdr>
            <w:top w:val="none" w:sz="0" w:space="0" w:color="auto"/>
            <w:left w:val="none" w:sz="0" w:space="0" w:color="auto"/>
            <w:bottom w:val="none" w:sz="0" w:space="0" w:color="auto"/>
            <w:right w:val="none" w:sz="0" w:space="0" w:color="auto"/>
          </w:divBdr>
        </w:div>
        <w:div w:id="1907766037">
          <w:marLeft w:val="1166"/>
          <w:marRight w:val="0"/>
          <w:marTop w:val="86"/>
          <w:marBottom w:val="0"/>
          <w:divBdr>
            <w:top w:val="none" w:sz="0" w:space="0" w:color="auto"/>
            <w:left w:val="none" w:sz="0" w:space="0" w:color="auto"/>
            <w:bottom w:val="none" w:sz="0" w:space="0" w:color="auto"/>
            <w:right w:val="none" w:sz="0" w:space="0" w:color="auto"/>
          </w:divBdr>
        </w:div>
      </w:divsChild>
    </w:div>
    <w:div w:id="1080323392">
      <w:bodyDiv w:val="1"/>
      <w:marLeft w:val="0"/>
      <w:marRight w:val="0"/>
      <w:marTop w:val="0"/>
      <w:marBottom w:val="0"/>
      <w:divBdr>
        <w:top w:val="none" w:sz="0" w:space="0" w:color="auto"/>
        <w:left w:val="none" w:sz="0" w:space="0" w:color="auto"/>
        <w:bottom w:val="none" w:sz="0" w:space="0" w:color="auto"/>
        <w:right w:val="none" w:sz="0" w:space="0" w:color="auto"/>
      </w:divBdr>
    </w:div>
    <w:div w:id="1111974550">
      <w:bodyDiv w:val="1"/>
      <w:marLeft w:val="0"/>
      <w:marRight w:val="0"/>
      <w:marTop w:val="0"/>
      <w:marBottom w:val="0"/>
      <w:divBdr>
        <w:top w:val="none" w:sz="0" w:space="0" w:color="auto"/>
        <w:left w:val="none" w:sz="0" w:space="0" w:color="auto"/>
        <w:bottom w:val="none" w:sz="0" w:space="0" w:color="auto"/>
        <w:right w:val="none" w:sz="0" w:space="0" w:color="auto"/>
      </w:divBdr>
    </w:div>
    <w:div w:id="1115520597">
      <w:bodyDiv w:val="1"/>
      <w:marLeft w:val="0"/>
      <w:marRight w:val="0"/>
      <w:marTop w:val="0"/>
      <w:marBottom w:val="0"/>
      <w:divBdr>
        <w:top w:val="none" w:sz="0" w:space="0" w:color="auto"/>
        <w:left w:val="none" w:sz="0" w:space="0" w:color="auto"/>
        <w:bottom w:val="none" w:sz="0" w:space="0" w:color="auto"/>
        <w:right w:val="none" w:sz="0" w:space="0" w:color="auto"/>
      </w:divBdr>
    </w:div>
    <w:div w:id="1215657643">
      <w:bodyDiv w:val="1"/>
      <w:marLeft w:val="0"/>
      <w:marRight w:val="0"/>
      <w:marTop w:val="0"/>
      <w:marBottom w:val="0"/>
      <w:divBdr>
        <w:top w:val="none" w:sz="0" w:space="0" w:color="auto"/>
        <w:left w:val="none" w:sz="0" w:space="0" w:color="auto"/>
        <w:bottom w:val="none" w:sz="0" w:space="0" w:color="auto"/>
        <w:right w:val="none" w:sz="0" w:space="0" w:color="auto"/>
      </w:divBdr>
    </w:div>
    <w:div w:id="1287002259">
      <w:bodyDiv w:val="1"/>
      <w:marLeft w:val="0"/>
      <w:marRight w:val="0"/>
      <w:marTop w:val="0"/>
      <w:marBottom w:val="0"/>
      <w:divBdr>
        <w:top w:val="none" w:sz="0" w:space="0" w:color="auto"/>
        <w:left w:val="none" w:sz="0" w:space="0" w:color="auto"/>
        <w:bottom w:val="none" w:sz="0" w:space="0" w:color="auto"/>
        <w:right w:val="none" w:sz="0" w:space="0" w:color="auto"/>
      </w:divBdr>
    </w:div>
    <w:div w:id="1409621416">
      <w:bodyDiv w:val="1"/>
      <w:marLeft w:val="0"/>
      <w:marRight w:val="0"/>
      <w:marTop w:val="0"/>
      <w:marBottom w:val="0"/>
      <w:divBdr>
        <w:top w:val="none" w:sz="0" w:space="0" w:color="auto"/>
        <w:left w:val="none" w:sz="0" w:space="0" w:color="auto"/>
        <w:bottom w:val="none" w:sz="0" w:space="0" w:color="auto"/>
        <w:right w:val="none" w:sz="0" w:space="0" w:color="auto"/>
      </w:divBdr>
    </w:div>
    <w:div w:id="1443956627">
      <w:bodyDiv w:val="1"/>
      <w:marLeft w:val="0"/>
      <w:marRight w:val="0"/>
      <w:marTop w:val="0"/>
      <w:marBottom w:val="0"/>
      <w:divBdr>
        <w:top w:val="none" w:sz="0" w:space="0" w:color="auto"/>
        <w:left w:val="none" w:sz="0" w:space="0" w:color="auto"/>
        <w:bottom w:val="none" w:sz="0" w:space="0" w:color="auto"/>
        <w:right w:val="none" w:sz="0" w:space="0" w:color="auto"/>
      </w:divBdr>
    </w:div>
    <w:div w:id="1627201756">
      <w:bodyDiv w:val="1"/>
      <w:marLeft w:val="0"/>
      <w:marRight w:val="0"/>
      <w:marTop w:val="0"/>
      <w:marBottom w:val="0"/>
      <w:divBdr>
        <w:top w:val="none" w:sz="0" w:space="0" w:color="auto"/>
        <w:left w:val="none" w:sz="0" w:space="0" w:color="auto"/>
        <w:bottom w:val="none" w:sz="0" w:space="0" w:color="auto"/>
        <w:right w:val="none" w:sz="0" w:space="0" w:color="auto"/>
      </w:divBdr>
    </w:div>
    <w:div w:id="1720666226">
      <w:bodyDiv w:val="1"/>
      <w:marLeft w:val="0"/>
      <w:marRight w:val="0"/>
      <w:marTop w:val="0"/>
      <w:marBottom w:val="0"/>
      <w:divBdr>
        <w:top w:val="none" w:sz="0" w:space="0" w:color="auto"/>
        <w:left w:val="none" w:sz="0" w:space="0" w:color="auto"/>
        <w:bottom w:val="none" w:sz="0" w:space="0" w:color="auto"/>
        <w:right w:val="none" w:sz="0" w:space="0" w:color="auto"/>
      </w:divBdr>
    </w:div>
    <w:div w:id="1739009724">
      <w:bodyDiv w:val="1"/>
      <w:marLeft w:val="0"/>
      <w:marRight w:val="0"/>
      <w:marTop w:val="0"/>
      <w:marBottom w:val="0"/>
      <w:divBdr>
        <w:top w:val="none" w:sz="0" w:space="0" w:color="auto"/>
        <w:left w:val="none" w:sz="0" w:space="0" w:color="auto"/>
        <w:bottom w:val="none" w:sz="0" w:space="0" w:color="auto"/>
        <w:right w:val="none" w:sz="0" w:space="0" w:color="auto"/>
      </w:divBdr>
    </w:div>
    <w:div w:id="1782332768">
      <w:bodyDiv w:val="1"/>
      <w:marLeft w:val="0"/>
      <w:marRight w:val="0"/>
      <w:marTop w:val="0"/>
      <w:marBottom w:val="0"/>
      <w:divBdr>
        <w:top w:val="none" w:sz="0" w:space="0" w:color="auto"/>
        <w:left w:val="none" w:sz="0" w:space="0" w:color="auto"/>
        <w:bottom w:val="none" w:sz="0" w:space="0" w:color="auto"/>
        <w:right w:val="none" w:sz="0" w:space="0" w:color="auto"/>
      </w:divBdr>
    </w:div>
    <w:div w:id="1783570968">
      <w:bodyDiv w:val="1"/>
      <w:marLeft w:val="0"/>
      <w:marRight w:val="0"/>
      <w:marTop w:val="0"/>
      <w:marBottom w:val="0"/>
      <w:divBdr>
        <w:top w:val="none" w:sz="0" w:space="0" w:color="auto"/>
        <w:left w:val="none" w:sz="0" w:space="0" w:color="auto"/>
        <w:bottom w:val="none" w:sz="0" w:space="0" w:color="auto"/>
        <w:right w:val="none" w:sz="0" w:space="0" w:color="auto"/>
      </w:divBdr>
    </w:div>
    <w:div w:id="1788818887">
      <w:bodyDiv w:val="1"/>
      <w:marLeft w:val="0"/>
      <w:marRight w:val="0"/>
      <w:marTop w:val="0"/>
      <w:marBottom w:val="0"/>
      <w:divBdr>
        <w:top w:val="none" w:sz="0" w:space="0" w:color="auto"/>
        <w:left w:val="none" w:sz="0" w:space="0" w:color="auto"/>
        <w:bottom w:val="none" w:sz="0" w:space="0" w:color="auto"/>
        <w:right w:val="none" w:sz="0" w:space="0" w:color="auto"/>
      </w:divBdr>
    </w:div>
    <w:div w:id="1868832256">
      <w:bodyDiv w:val="1"/>
      <w:marLeft w:val="0"/>
      <w:marRight w:val="0"/>
      <w:marTop w:val="0"/>
      <w:marBottom w:val="0"/>
      <w:divBdr>
        <w:top w:val="none" w:sz="0" w:space="0" w:color="auto"/>
        <w:left w:val="none" w:sz="0" w:space="0" w:color="auto"/>
        <w:bottom w:val="none" w:sz="0" w:space="0" w:color="auto"/>
        <w:right w:val="none" w:sz="0" w:space="0" w:color="auto"/>
      </w:divBdr>
    </w:div>
    <w:div w:id="2022002638">
      <w:marLeft w:val="0"/>
      <w:marRight w:val="0"/>
      <w:marTop w:val="0"/>
      <w:marBottom w:val="0"/>
      <w:divBdr>
        <w:top w:val="none" w:sz="0" w:space="0" w:color="auto"/>
        <w:left w:val="none" w:sz="0" w:space="0" w:color="auto"/>
        <w:bottom w:val="none" w:sz="0" w:space="0" w:color="auto"/>
        <w:right w:val="none" w:sz="0" w:space="0" w:color="auto"/>
      </w:divBdr>
    </w:div>
    <w:div w:id="2022002639">
      <w:marLeft w:val="0"/>
      <w:marRight w:val="0"/>
      <w:marTop w:val="0"/>
      <w:marBottom w:val="0"/>
      <w:divBdr>
        <w:top w:val="none" w:sz="0" w:space="0" w:color="auto"/>
        <w:left w:val="none" w:sz="0" w:space="0" w:color="auto"/>
        <w:bottom w:val="none" w:sz="0" w:space="0" w:color="auto"/>
        <w:right w:val="none" w:sz="0" w:space="0" w:color="auto"/>
      </w:divBdr>
    </w:div>
    <w:div w:id="2022002640">
      <w:marLeft w:val="0"/>
      <w:marRight w:val="0"/>
      <w:marTop w:val="0"/>
      <w:marBottom w:val="0"/>
      <w:divBdr>
        <w:top w:val="none" w:sz="0" w:space="0" w:color="auto"/>
        <w:left w:val="none" w:sz="0" w:space="0" w:color="auto"/>
        <w:bottom w:val="none" w:sz="0" w:space="0" w:color="auto"/>
        <w:right w:val="none" w:sz="0" w:space="0" w:color="auto"/>
      </w:divBdr>
    </w:div>
    <w:div w:id="2022002641">
      <w:marLeft w:val="0"/>
      <w:marRight w:val="0"/>
      <w:marTop w:val="0"/>
      <w:marBottom w:val="0"/>
      <w:divBdr>
        <w:top w:val="none" w:sz="0" w:space="0" w:color="auto"/>
        <w:left w:val="none" w:sz="0" w:space="0" w:color="auto"/>
        <w:bottom w:val="none" w:sz="0" w:space="0" w:color="auto"/>
        <w:right w:val="none" w:sz="0" w:space="0" w:color="auto"/>
      </w:divBdr>
    </w:div>
    <w:div w:id="202200264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2.xml"/><Relationship Id="rId18" Type="http://schemas.openxmlformats.org/officeDocument/2006/relationships/chart" Target="charts/chart7.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hart" Target="charts/chart10.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chart" Target="charts/chart6.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chart" Target="charts/chart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chart" Target="charts/chart13.xml"/><Relationship Id="rId5" Type="http://schemas.openxmlformats.org/officeDocument/2006/relationships/webSettings" Target="webSettings.xml"/><Relationship Id="rId15" Type="http://schemas.openxmlformats.org/officeDocument/2006/relationships/chart" Target="charts/chart4.xml"/><Relationship Id="rId23" Type="http://schemas.openxmlformats.org/officeDocument/2006/relationships/chart" Target="charts/chart12.xml"/><Relationship Id="rId10" Type="http://schemas.openxmlformats.org/officeDocument/2006/relationships/footer" Target="footer1.xml"/><Relationship Id="rId19" Type="http://schemas.openxmlformats.org/officeDocument/2006/relationships/chart" Target="charts/chart8.xml"/><Relationship Id="rId31"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hart" Target="charts/chart3.xml"/><Relationship Id="rId22" Type="http://schemas.openxmlformats.org/officeDocument/2006/relationships/chart" Target="charts/chart11.xml"/><Relationship Id="rId27" Type="http://schemas.microsoft.com/office/2016/09/relationships/commentsIds" Target="commentsIds.xml"/></Relationships>
</file>

<file path=word/_rels/footnotes.xml.rels><?xml version="1.0" encoding="UTF-8" standalone="yes"?>
<Relationships xmlns="http://schemas.openxmlformats.org/package/2006/relationships"><Relationship Id="rId1" Type="http://schemas.openxmlformats.org/officeDocument/2006/relationships/hyperlink" Target="https://covid19economicideas.org/2020/04/09/monetary-management-financial-markets-and-public-debt-responding-to-covid-19-and-the-economic-standstill/"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_rels/chart10.xml.rels><?xml version="1.0" encoding="UTF-8" standalone="yes"?>
<Relationships xmlns="http://schemas.openxmlformats.org/package/2006/relationships"><Relationship Id="rId3" Type="http://schemas.openxmlformats.org/officeDocument/2006/relationships/oleObject" Target="file:///D:\Users\Sasha\Documents\NBAU\1_2020\Budget%202020\For%20Response%20to%20DoR%202020_Expenditure.xlsx" TargetMode="External"/><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oleObject" Target="../embeddings/oleObject1.bin"/><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oleObject" Target="file:///C:\Users\Thando\Documents\Macro%20covid-19%20graphs.xlsx" TargetMode="External"/><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oleObject" Target="file:///D:\Users\Sasha\Desktop\for%2026May2020\WORKING%20DOCUMENTS\Database_26May2020%20_.xlsx" TargetMode="External"/><Relationship Id="rId2" Type="http://schemas.microsoft.com/office/2011/relationships/chartColorStyle" Target="colors13.xml"/><Relationship Id="rId1" Type="http://schemas.microsoft.com/office/2011/relationships/chartStyle" Target="style13.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Thando\Documents\Macro%20covid-19%20graphs.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Thando\Documents\Macro%20covid-19%20graphs.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package" Target="../embeddings/Microsoft_Excel_Worksheet1.xlsx"/></Relationships>
</file>

<file path=word/charts/_rels/chart5.xml.rels><?xml version="1.0" encoding="UTF-8" standalone="yes"?>
<Relationships xmlns="http://schemas.openxmlformats.org/package/2006/relationships"><Relationship Id="rId3" Type="http://schemas.openxmlformats.org/officeDocument/2006/relationships/oleObject" Target="file:///C:\Users\Thando\Documents\Macro%20covid-19%20graphs.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package" Target="../embeddings/Microsoft_Excel_Worksheet2.xlsx"/></Relationships>
</file>

<file path=word/charts/_rels/chart7.xml.rels><?xml version="1.0" encoding="UTF-8" standalone="yes"?>
<Relationships xmlns="http://schemas.openxmlformats.org/package/2006/relationships"><Relationship Id="rId3" Type="http://schemas.openxmlformats.org/officeDocument/2006/relationships/oleObject" Target="Book7"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8.xml"/><Relationship Id="rId1" Type="http://schemas.microsoft.com/office/2011/relationships/chartStyle" Target="style8.xml"/><Relationship Id="rId4" Type="http://schemas.openxmlformats.org/officeDocument/2006/relationships/oleObject" Target="file:///C:\Users\Thando\Documents\Macro%20covid-19%20graphs.xlsx" TargetMode="External"/></Relationships>
</file>

<file path=word/charts/_rels/chart9.xml.rels><?xml version="1.0" encoding="UTF-8" standalone="yes"?>
<Relationships xmlns="http://schemas.openxmlformats.org/package/2006/relationships"><Relationship Id="rId3" Type="http://schemas.openxmlformats.org/officeDocument/2006/relationships/oleObject" Target="file:///D:\Users\Sasha\Documents\NBAU\1_2020\Budget%202020\For%20Response%20to%20DoR%202020_Expenditure.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Sheet1!$F$23</c:f>
              <c:strCache>
                <c:ptCount val="1"/>
                <c:pt idx="0">
                  <c:v>2019</c:v>
                </c:pt>
              </c:strCache>
            </c:strRef>
          </c:tx>
          <c:spPr>
            <a:solidFill>
              <a:srgbClr val="4680BD"/>
            </a:solidFill>
            <a:ln>
              <a:noFill/>
            </a:ln>
            <a:effectLst/>
          </c:spPr>
          <c:invertIfNegative val="0"/>
          <c:cat>
            <c:strRef>
              <c:f>Sheet1!$E$24:$E$28</c:f>
              <c:strCache>
                <c:ptCount val="5"/>
                <c:pt idx="0">
                  <c:v>Global</c:v>
                </c:pt>
                <c:pt idx="1">
                  <c:v>United States</c:v>
                </c:pt>
                <c:pt idx="2">
                  <c:v>China</c:v>
                </c:pt>
                <c:pt idx="3">
                  <c:v>Euro</c:v>
                </c:pt>
                <c:pt idx="4">
                  <c:v>United Kingdom</c:v>
                </c:pt>
              </c:strCache>
            </c:strRef>
          </c:cat>
          <c:val>
            <c:numRef>
              <c:f>Sheet1!$F$24:$F$28</c:f>
              <c:numCache>
                <c:formatCode>General</c:formatCode>
                <c:ptCount val="5"/>
                <c:pt idx="0">
                  <c:v>2.9</c:v>
                </c:pt>
                <c:pt idx="1">
                  <c:v>2.2999999999999998</c:v>
                </c:pt>
                <c:pt idx="2">
                  <c:v>6.1</c:v>
                </c:pt>
                <c:pt idx="3">
                  <c:v>1.2</c:v>
                </c:pt>
                <c:pt idx="4">
                  <c:v>1.4</c:v>
                </c:pt>
              </c:numCache>
            </c:numRef>
          </c:val>
          <c:extLst>
            <c:ext xmlns:c16="http://schemas.microsoft.com/office/drawing/2014/chart" uri="{C3380CC4-5D6E-409C-BE32-E72D297353CC}">
              <c16:uniqueId val="{00000000-CF5B-438E-A575-53D1BACF3CC8}"/>
            </c:ext>
          </c:extLst>
        </c:ser>
        <c:ser>
          <c:idx val="1"/>
          <c:order val="1"/>
          <c:tx>
            <c:strRef>
              <c:f>Sheet1!$G$23</c:f>
              <c:strCache>
                <c:ptCount val="1"/>
                <c:pt idx="0">
                  <c:v>2020e</c:v>
                </c:pt>
              </c:strCache>
            </c:strRef>
          </c:tx>
          <c:spPr>
            <a:solidFill>
              <a:srgbClr val="C0504D"/>
            </a:solidFill>
            <a:ln>
              <a:noFill/>
            </a:ln>
            <a:effectLst/>
          </c:spPr>
          <c:invertIfNegative val="0"/>
          <c:cat>
            <c:strRef>
              <c:f>Sheet1!$E$24:$E$28</c:f>
              <c:strCache>
                <c:ptCount val="5"/>
                <c:pt idx="0">
                  <c:v>Global</c:v>
                </c:pt>
                <c:pt idx="1">
                  <c:v>United States</c:v>
                </c:pt>
                <c:pt idx="2">
                  <c:v>China</c:v>
                </c:pt>
                <c:pt idx="3">
                  <c:v>Euro</c:v>
                </c:pt>
                <c:pt idx="4">
                  <c:v>United Kingdom</c:v>
                </c:pt>
              </c:strCache>
            </c:strRef>
          </c:cat>
          <c:val>
            <c:numRef>
              <c:f>Sheet1!$G$24:$G$28</c:f>
              <c:numCache>
                <c:formatCode>General</c:formatCode>
                <c:ptCount val="5"/>
                <c:pt idx="0">
                  <c:v>-3</c:v>
                </c:pt>
                <c:pt idx="1">
                  <c:v>-5.9</c:v>
                </c:pt>
                <c:pt idx="2">
                  <c:v>1.2</c:v>
                </c:pt>
                <c:pt idx="3">
                  <c:v>-7.5</c:v>
                </c:pt>
                <c:pt idx="4">
                  <c:v>-6.5</c:v>
                </c:pt>
              </c:numCache>
            </c:numRef>
          </c:val>
          <c:extLst>
            <c:ext xmlns:c16="http://schemas.microsoft.com/office/drawing/2014/chart" uri="{C3380CC4-5D6E-409C-BE32-E72D297353CC}">
              <c16:uniqueId val="{00000001-CF5B-438E-A575-53D1BACF3CC8}"/>
            </c:ext>
          </c:extLst>
        </c:ser>
        <c:ser>
          <c:idx val="2"/>
          <c:order val="2"/>
          <c:tx>
            <c:strRef>
              <c:f>Sheet1!$H$23</c:f>
              <c:strCache>
                <c:ptCount val="1"/>
                <c:pt idx="0">
                  <c:v>2021e</c:v>
                </c:pt>
              </c:strCache>
            </c:strRef>
          </c:tx>
          <c:spPr>
            <a:solidFill>
              <a:srgbClr val="9BBB59"/>
            </a:solidFill>
            <a:ln>
              <a:noFill/>
            </a:ln>
            <a:effectLst/>
          </c:spPr>
          <c:invertIfNegative val="0"/>
          <c:cat>
            <c:strRef>
              <c:f>Sheet1!$E$24:$E$28</c:f>
              <c:strCache>
                <c:ptCount val="5"/>
                <c:pt idx="0">
                  <c:v>Global</c:v>
                </c:pt>
                <c:pt idx="1">
                  <c:v>United States</c:v>
                </c:pt>
                <c:pt idx="2">
                  <c:v>China</c:v>
                </c:pt>
                <c:pt idx="3">
                  <c:v>Euro</c:v>
                </c:pt>
                <c:pt idx="4">
                  <c:v>United Kingdom</c:v>
                </c:pt>
              </c:strCache>
            </c:strRef>
          </c:cat>
          <c:val>
            <c:numRef>
              <c:f>Sheet1!$H$24:$H$28</c:f>
              <c:numCache>
                <c:formatCode>General</c:formatCode>
                <c:ptCount val="5"/>
                <c:pt idx="0">
                  <c:v>5.8</c:v>
                </c:pt>
                <c:pt idx="1">
                  <c:v>4.7</c:v>
                </c:pt>
                <c:pt idx="2">
                  <c:v>9.1999999999999993</c:v>
                </c:pt>
                <c:pt idx="3">
                  <c:v>4.7</c:v>
                </c:pt>
                <c:pt idx="4">
                  <c:v>4</c:v>
                </c:pt>
              </c:numCache>
            </c:numRef>
          </c:val>
          <c:extLst>
            <c:ext xmlns:c16="http://schemas.microsoft.com/office/drawing/2014/chart" uri="{C3380CC4-5D6E-409C-BE32-E72D297353CC}">
              <c16:uniqueId val="{00000002-CF5B-438E-A575-53D1BACF3CC8}"/>
            </c:ext>
          </c:extLst>
        </c:ser>
        <c:dLbls>
          <c:showLegendKey val="0"/>
          <c:showVal val="0"/>
          <c:showCatName val="0"/>
          <c:showSerName val="0"/>
          <c:showPercent val="0"/>
          <c:showBubbleSize val="0"/>
        </c:dLbls>
        <c:gapWidth val="219"/>
        <c:overlap val="-27"/>
        <c:axId val="187829184"/>
        <c:axId val="405487376"/>
      </c:barChart>
      <c:catAx>
        <c:axId val="18782918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pitchFamily="2" charset="0"/>
                <a:ea typeface="+mn-ea"/>
                <a:cs typeface="+mn-cs"/>
              </a:defRPr>
            </a:pPr>
            <a:endParaRPr lang="en-US"/>
          </a:p>
        </c:txPr>
        <c:crossAx val="405487376"/>
        <c:crosses val="autoZero"/>
        <c:auto val="1"/>
        <c:lblAlgn val="ctr"/>
        <c:lblOffset val="100"/>
        <c:noMultiLvlLbl val="0"/>
      </c:catAx>
      <c:valAx>
        <c:axId val="405487376"/>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ZA" sz="900">
                    <a:latin typeface="Times" pitchFamily="2" charset="0"/>
                  </a:rPr>
                  <a:t>Percentage</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pitchFamily="2" charset="0"/>
                <a:ea typeface="+mn-ea"/>
                <a:cs typeface="+mn-cs"/>
              </a:defRPr>
            </a:pPr>
            <a:endParaRPr lang="en-US"/>
          </a:p>
        </c:txPr>
        <c:crossAx val="18782918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pitchFamily="2" charset="0"/>
              <a:ea typeface="+mn-ea"/>
              <a:cs typeface="+mn-cs"/>
            </a:defRPr>
          </a:pPr>
          <a:endParaRPr lang="en-US"/>
        </a:p>
      </c:txPr>
    </c:legend>
    <c:plotVisOnly val="1"/>
    <c:dispBlanksAs val="gap"/>
    <c:showDLblsOverMax val="0"/>
  </c:chart>
  <c:spPr>
    <a:solidFill>
      <a:schemeClr val="bg1"/>
    </a:solidFill>
    <a:ln w="9525" cap="flat" cmpd="sng" algn="ctr">
      <a:solidFill>
        <a:srgbClr val="000000"/>
      </a:solidFill>
      <a:round/>
    </a:ln>
    <a:effectLst/>
  </c:spPr>
  <c:txPr>
    <a:bodyPr/>
    <a:lstStyle/>
    <a:p>
      <a:pPr>
        <a:defRPr/>
      </a:pPr>
      <a:endParaRPr lang="en-US"/>
    </a:p>
  </c:txPr>
  <c:externalData r:id="rId4">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82756567193824E-2"/>
          <c:y val="5.0925925925925923E-2"/>
          <c:w val="0.8981403059911629"/>
          <c:h val="0.80198490813648293"/>
        </c:manualLayout>
      </c:layout>
      <c:barChart>
        <c:barDir val="col"/>
        <c:grouping val="clustered"/>
        <c:varyColors val="0"/>
        <c:ser>
          <c:idx val="0"/>
          <c:order val="0"/>
          <c:tx>
            <c:strRef>
              <c:f>'1Exp by function'!$O$139</c:f>
              <c:strCache>
                <c:ptCount val="1"/>
                <c:pt idx="0">
                  <c:v>Real Annual Average Growth Rate:2016/17-2019/20</c:v>
                </c:pt>
              </c:strCache>
            </c:strRef>
          </c:tx>
          <c:spPr>
            <a:solidFill>
              <a:schemeClr val="accent1"/>
            </a:solidFill>
            <a:ln>
              <a:noFill/>
            </a:ln>
            <a:effectLst/>
          </c:spPr>
          <c:invertIfNegative val="0"/>
          <c:dLbls>
            <c:dLbl>
              <c:idx val="3"/>
              <c:layout>
                <c:manualLayout>
                  <c:x val="-2.0571898786257972E-3"/>
                  <c:y val="0.13695787507781704"/>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CD8D-4D00-BB96-9A4B17776ED6}"/>
                </c:ext>
              </c:extLst>
            </c:dLbl>
            <c:dLbl>
              <c:idx val="4"/>
              <c:layout>
                <c:manualLayout>
                  <c:x val="-6.171569635877467E-3"/>
                  <c:y val="7.7334560610479247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CD8D-4D00-BB96-9A4B17776ED6}"/>
                </c:ext>
              </c:extLst>
            </c:dLbl>
            <c:dLbl>
              <c:idx val="6"/>
              <c:layout>
                <c:manualLayout>
                  <c:x val="-4.1143797572515944E-3"/>
                  <c:y val="1.1574377855545976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CD8D-4D00-BB96-9A4B17776ED6}"/>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'1Exp by function'!$N$140:$N$147</c:f>
              <c:strCache>
                <c:ptCount val="8"/>
                <c:pt idx="0">
                  <c:v>Learning and culture</c:v>
                </c:pt>
                <c:pt idx="1">
                  <c:v>Health</c:v>
                </c:pt>
                <c:pt idx="2">
                  <c:v>Social development</c:v>
                </c:pt>
                <c:pt idx="3">
                  <c:v>Community development</c:v>
                </c:pt>
                <c:pt idx="4">
                  <c:v>Economic development</c:v>
                </c:pt>
                <c:pt idx="5">
                  <c:v>Peace and security</c:v>
                </c:pt>
                <c:pt idx="6">
                  <c:v>General public services</c:v>
                </c:pt>
                <c:pt idx="7">
                  <c:v>Debt-service costs</c:v>
                </c:pt>
              </c:strCache>
            </c:strRef>
          </c:cat>
          <c:val>
            <c:numRef>
              <c:f>'1Exp by function'!$O$140:$O$147</c:f>
              <c:numCache>
                <c:formatCode>0.0%</c:formatCode>
                <c:ptCount val="8"/>
                <c:pt idx="0">
                  <c:v>4.566088447575134E-2</c:v>
                </c:pt>
                <c:pt idx="1">
                  <c:v>3.3427443679310054E-2</c:v>
                </c:pt>
                <c:pt idx="2">
                  <c:v>4.5115326819535229E-2</c:v>
                </c:pt>
                <c:pt idx="3">
                  <c:v>-8.9859059487593651E-3</c:v>
                </c:pt>
                <c:pt idx="4">
                  <c:v>-3.3644850375433855E-3</c:v>
                </c:pt>
                <c:pt idx="5">
                  <c:v>5.1825534522815797E-3</c:v>
                </c:pt>
                <c:pt idx="6">
                  <c:v>-1.3178286718679266E-2</c:v>
                </c:pt>
                <c:pt idx="7">
                  <c:v>7.002501383024029E-2</c:v>
                </c:pt>
              </c:numCache>
            </c:numRef>
          </c:val>
          <c:extLst>
            <c:ext xmlns:c16="http://schemas.microsoft.com/office/drawing/2014/chart" uri="{C3380CC4-5D6E-409C-BE32-E72D297353CC}">
              <c16:uniqueId val="{00000004-CD8D-4D00-BB96-9A4B17776ED6}"/>
            </c:ext>
          </c:extLst>
        </c:ser>
        <c:ser>
          <c:idx val="1"/>
          <c:order val="1"/>
          <c:tx>
            <c:strRef>
              <c:f>'1Exp by function'!$P$139</c:f>
              <c:strCache>
                <c:ptCount val="1"/>
                <c:pt idx="0">
                  <c:v>Real Annual Average Growth Rate:2019/20-2022/23</c:v>
                </c:pt>
              </c:strCache>
            </c:strRef>
          </c:tx>
          <c:spPr>
            <a:solidFill>
              <a:schemeClr val="accent2"/>
            </a:solidFill>
            <a:ln>
              <a:noFill/>
            </a:ln>
            <a:effectLst/>
          </c:spPr>
          <c:invertIfNegative val="0"/>
          <c:dLbls>
            <c:dLbl>
              <c:idx val="0"/>
              <c:layout>
                <c:manualLayout>
                  <c:x val="4.3915334487735422E-3"/>
                  <c:y val="0.1080584889536661"/>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CD8D-4D00-BB96-9A4B17776ED6}"/>
                </c:ext>
              </c:extLst>
            </c:dLbl>
            <c:dLbl>
              <c:idx val="1"/>
              <c:layout>
                <c:manualLayout>
                  <c:x val="9.3370681605975288E-3"/>
                  <c:y val="-8.4875562720133283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CD8D-4D00-BB96-9A4B17776ED6}"/>
                </c:ext>
              </c:extLst>
            </c:dLbl>
            <c:dLbl>
              <c:idx val="2"/>
              <c:layout>
                <c:manualLayout>
                  <c:x val="9.3370681605975722E-3"/>
                  <c:y val="-4.629629629629714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CD8D-4D00-BB96-9A4B17776ED6}"/>
                </c:ext>
              </c:extLst>
            </c:dLbl>
            <c:dLbl>
              <c:idx val="4"/>
              <c:layout>
                <c:manualLayout>
                  <c:x val="0"/>
                  <c:y val="4.629629629629629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CD8D-4D00-BB96-9A4B17776ED6}"/>
                </c:ext>
              </c:extLst>
            </c:dLbl>
            <c:dLbl>
              <c:idx val="5"/>
              <c:layout>
                <c:manualLayout>
                  <c:x val="4.1143797572515944E-3"/>
                  <c:y val="3.539661708953047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CD8D-4D00-BB96-9A4B17776ED6}"/>
                </c:ext>
              </c:extLst>
            </c:dLbl>
            <c:dLbl>
              <c:idx val="6"/>
              <c:layout>
                <c:manualLayout>
                  <c:x val="3.3248723975333161E-3"/>
                  <c:y val="0.12689321958847286"/>
                </c:manualLayout>
              </c:layout>
              <c:spPr>
                <a:noFill/>
                <a:ln>
                  <a:noFill/>
                </a:ln>
                <a:effectLst/>
              </c:spPr>
              <c:txPr>
                <a:bodyPr rot="0" spcFirstLastPara="1" vertOverflow="ellipsis" vert="horz" wrap="square" lIns="38100" tIns="19050" rIns="38100" bIns="19050" anchor="ctr" anchorCtr="1">
                  <a:noAutofit/>
                </a:bodyPr>
                <a:lstStyle/>
                <a:p>
                  <a:pPr>
                    <a:defRPr sz="8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extLst>
                <c:ext xmlns:c15="http://schemas.microsoft.com/office/drawing/2012/chart" uri="{CE6537A1-D6FC-4f65-9D91-7224C49458BB}">
                  <c15:layout>
                    <c:manualLayout>
                      <c:w val="5.2108619625591442E-2"/>
                      <c:h val="5.0632911392405056E-2"/>
                    </c:manualLayout>
                  </c15:layout>
                </c:ext>
                <c:ext xmlns:c16="http://schemas.microsoft.com/office/drawing/2014/chart" uri="{C3380CC4-5D6E-409C-BE32-E72D297353CC}">
                  <c16:uniqueId val="{0000000A-CD8D-4D00-BB96-9A4B17776ED6}"/>
                </c:ext>
              </c:extLst>
            </c:dLbl>
            <c:dLbl>
              <c:idx val="7"/>
              <c:layout>
                <c:manualLayout>
                  <c:x val="2.334267040149393E-3"/>
                  <c:y val="1.388888888888886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CD8D-4D00-BB96-9A4B17776ED6}"/>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'1Exp by function'!$N$140:$N$147</c:f>
              <c:strCache>
                <c:ptCount val="8"/>
                <c:pt idx="0">
                  <c:v>Learning and culture</c:v>
                </c:pt>
                <c:pt idx="1">
                  <c:v>Health</c:v>
                </c:pt>
                <c:pt idx="2">
                  <c:v>Social development</c:v>
                </c:pt>
                <c:pt idx="3">
                  <c:v>Community development</c:v>
                </c:pt>
                <c:pt idx="4">
                  <c:v>Economic development</c:v>
                </c:pt>
                <c:pt idx="5">
                  <c:v>Peace and security</c:v>
                </c:pt>
                <c:pt idx="6">
                  <c:v>General public services</c:v>
                </c:pt>
                <c:pt idx="7">
                  <c:v>Debt-service costs</c:v>
                </c:pt>
              </c:strCache>
            </c:strRef>
          </c:cat>
          <c:val>
            <c:numRef>
              <c:f>'1Exp by function'!$P$140:$P$147</c:f>
              <c:numCache>
                <c:formatCode>0.0%</c:formatCode>
                <c:ptCount val="8"/>
                <c:pt idx="0">
                  <c:v>-4.922339331704495E-3</c:v>
                </c:pt>
                <c:pt idx="1">
                  <c:v>5.1107802563628013E-3</c:v>
                </c:pt>
                <c:pt idx="2">
                  <c:v>1.5978574533648482E-2</c:v>
                </c:pt>
                <c:pt idx="3">
                  <c:v>1.6647829782239887E-2</c:v>
                </c:pt>
                <c:pt idx="4">
                  <c:v>1.9571074985367476E-2</c:v>
                </c:pt>
                <c:pt idx="5">
                  <c:v>-2.2496256104951096E-2</c:v>
                </c:pt>
                <c:pt idx="6">
                  <c:v>-7.725516946918809E-3</c:v>
                </c:pt>
                <c:pt idx="7">
                  <c:v>7.3903467016547708E-2</c:v>
                </c:pt>
              </c:numCache>
            </c:numRef>
          </c:val>
          <c:extLst>
            <c:ext xmlns:c16="http://schemas.microsoft.com/office/drawing/2014/chart" uri="{C3380CC4-5D6E-409C-BE32-E72D297353CC}">
              <c16:uniqueId val="{0000000C-CD8D-4D00-BB96-9A4B17776ED6}"/>
            </c:ext>
          </c:extLst>
        </c:ser>
        <c:dLbls>
          <c:showLegendKey val="0"/>
          <c:showVal val="0"/>
          <c:showCatName val="0"/>
          <c:showSerName val="0"/>
          <c:showPercent val="0"/>
          <c:showBubbleSize val="0"/>
        </c:dLbls>
        <c:gapWidth val="219"/>
        <c:overlap val="-27"/>
        <c:axId val="407028992"/>
        <c:axId val="407029552"/>
      </c:barChart>
      <c:catAx>
        <c:axId val="407028992"/>
        <c:scaling>
          <c:orientation val="minMax"/>
        </c:scaling>
        <c:delete val="0"/>
        <c:axPos val="b"/>
        <c:numFmt formatCode="General" sourceLinked="1"/>
        <c:majorTickMark val="none"/>
        <c:minorTickMark val="none"/>
        <c:tickLblPos val="high"/>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407029552"/>
        <c:crosses val="autoZero"/>
        <c:auto val="1"/>
        <c:lblAlgn val="ctr"/>
        <c:lblOffset val="50"/>
        <c:noMultiLvlLbl val="0"/>
      </c:catAx>
      <c:valAx>
        <c:axId val="407029552"/>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4070289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rgbClr val="000000"/>
      </a:solidFill>
      <a:round/>
    </a:ln>
    <a:effectLst/>
  </c:spPr>
  <c:txPr>
    <a:bodyPr/>
    <a:lstStyle/>
    <a:p>
      <a:pPr>
        <a:defRPr sz="800">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325197204600436"/>
          <c:y val="7.6708507670850773E-2"/>
          <c:w val="0.88100353852529567"/>
          <c:h val="0.7191178247070581"/>
        </c:manualLayout>
      </c:layout>
      <c:barChart>
        <c:barDir val="col"/>
        <c:grouping val="clustered"/>
        <c:varyColors val="0"/>
        <c:ser>
          <c:idx val="0"/>
          <c:order val="0"/>
          <c:tx>
            <c:strRef>
              <c:f>Data!$C$4</c:f>
              <c:strCache>
                <c:ptCount val="1"/>
                <c:pt idx="0">
                  <c:v>0,8</c:v>
                </c:pt>
              </c:strCache>
            </c:strRef>
          </c:tx>
          <c:spPr>
            <a:solidFill>
              <a:schemeClr val="accent1"/>
            </a:solidFill>
            <a:ln>
              <a:noFill/>
            </a:ln>
            <a:effectLst/>
          </c:spPr>
          <c:invertIfNegative val="0"/>
          <c:dPt>
            <c:idx val="14"/>
            <c:invertIfNegative val="0"/>
            <c:bubble3D val="0"/>
            <c:spPr>
              <a:solidFill>
                <a:schemeClr val="accent2"/>
              </a:solidFill>
              <a:ln>
                <a:noFill/>
              </a:ln>
              <a:effectLst/>
            </c:spPr>
            <c:extLst>
              <c:ext xmlns:c16="http://schemas.microsoft.com/office/drawing/2014/chart" uri="{C3380CC4-5D6E-409C-BE32-E72D297353CC}">
                <c16:uniqueId val="{00000001-461C-42DB-ACCB-65FAFF6D1E03}"/>
              </c:ext>
            </c:extLst>
          </c:dPt>
          <c:cat>
            <c:strRef>
              <c:f>Data!$B$5:$B$23</c:f>
              <c:strCache>
                <c:ptCount val="17"/>
                <c:pt idx="0">
                  <c:v>South Korea</c:v>
                </c:pt>
                <c:pt idx="1">
                  <c:v>Argentina</c:v>
                </c:pt>
                <c:pt idx="2">
                  <c:v>Italy</c:v>
                </c:pt>
                <c:pt idx="3">
                  <c:v>Turkey</c:v>
                </c:pt>
                <c:pt idx="4">
                  <c:v>China</c:v>
                </c:pt>
                <c:pt idx="5">
                  <c:v>Indonesia</c:v>
                </c:pt>
                <c:pt idx="6">
                  <c:v>Saudi Arabia</c:v>
                </c:pt>
                <c:pt idx="7">
                  <c:v>Russia</c:v>
                </c:pt>
                <c:pt idx="8">
                  <c:v>European Union</c:v>
                </c:pt>
                <c:pt idx="9">
                  <c:v>Germany</c:v>
                </c:pt>
                <c:pt idx="10">
                  <c:v>France</c:v>
                </c:pt>
                <c:pt idx="11">
                  <c:v>Brazil</c:v>
                </c:pt>
                <c:pt idx="12">
                  <c:v>Canada</c:v>
                </c:pt>
                <c:pt idx="13">
                  <c:v>Australia</c:v>
                </c:pt>
                <c:pt idx="14">
                  <c:v>South Africa</c:v>
                </c:pt>
                <c:pt idx="15">
                  <c:v>United States</c:v>
                </c:pt>
                <c:pt idx="16">
                  <c:v>Japan</c:v>
                </c:pt>
              </c:strCache>
            </c:strRef>
          </c:cat>
          <c:val>
            <c:numRef>
              <c:f>Data!$C$5:$C$23</c:f>
              <c:numCache>
                <c:formatCode>#,##0.##</c:formatCode>
                <c:ptCount val="19"/>
                <c:pt idx="0">
                  <c:v>0.8</c:v>
                </c:pt>
                <c:pt idx="1">
                  <c:v>1.2</c:v>
                </c:pt>
                <c:pt idx="2">
                  <c:v>1.4</c:v>
                </c:pt>
                <c:pt idx="3">
                  <c:v>1.5</c:v>
                </c:pt>
                <c:pt idx="4">
                  <c:v>2.5</c:v>
                </c:pt>
                <c:pt idx="5">
                  <c:v>2.6</c:v>
                </c:pt>
                <c:pt idx="6">
                  <c:v>2.8</c:v>
                </c:pt>
                <c:pt idx="7" formatCode="#,##0">
                  <c:v>3</c:v>
                </c:pt>
                <c:pt idx="8" formatCode="#,##0">
                  <c:v>4</c:v>
                </c:pt>
                <c:pt idx="9">
                  <c:v>4.9000000000000004</c:v>
                </c:pt>
                <c:pt idx="10" formatCode="#,##0">
                  <c:v>5</c:v>
                </c:pt>
                <c:pt idx="11">
                  <c:v>6.5</c:v>
                </c:pt>
                <c:pt idx="12">
                  <c:v>8.4</c:v>
                </c:pt>
                <c:pt idx="13">
                  <c:v>9.9</c:v>
                </c:pt>
                <c:pt idx="14">
                  <c:v>10</c:v>
                </c:pt>
                <c:pt idx="15" formatCode="#,##0">
                  <c:v>11</c:v>
                </c:pt>
                <c:pt idx="16" formatCode="#,##0">
                  <c:v>20</c:v>
                </c:pt>
              </c:numCache>
            </c:numRef>
          </c:val>
          <c:extLst>
            <c:ext xmlns:c16="http://schemas.microsoft.com/office/drawing/2014/chart" uri="{C3380CC4-5D6E-409C-BE32-E72D297353CC}">
              <c16:uniqueId val="{00000002-461C-42DB-ACCB-65FAFF6D1E03}"/>
            </c:ext>
          </c:extLst>
        </c:ser>
        <c:dLbls>
          <c:showLegendKey val="0"/>
          <c:showVal val="0"/>
          <c:showCatName val="0"/>
          <c:showSerName val="0"/>
          <c:showPercent val="0"/>
          <c:showBubbleSize val="0"/>
        </c:dLbls>
        <c:gapWidth val="219"/>
        <c:overlap val="-27"/>
        <c:axId val="56341424"/>
        <c:axId val="56341984"/>
      </c:barChart>
      <c:catAx>
        <c:axId val="563414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5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56341984"/>
        <c:crosses val="autoZero"/>
        <c:auto val="1"/>
        <c:lblAlgn val="ctr"/>
        <c:lblOffset val="100"/>
        <c:noMultiLvlLbl val="0"/>
      </c:catAx>
      <c:valAx>
        <c:axId val="5634198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ZA"/>
                  <a:t>Percentage</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56341424"/>
        <c:crosses val="autoZero"/>
        <c:crossBetween val="between"/>
      </c:valAx>
      <c:spPr>
        <a:noFill/>
        <a:ln>
          <a:noFill/>
        </a:ln>
        <a:effectLst/>
      </c:spPr>
    </c:plotArea>
    <c:plotVisOnly val="1"/>
    <c:dispBlanksAs val="gap"/>
    <c:showDLblsOverMax val="0"/>
  </c:chart>
  <c:spPr>
    <a:solidFill>
      <a:schemeClr val="bg1"/>
    </a:solidFill>
    <a:ln w="9525" cap="flat" cmpd="sng" algn="ctr">
      <a:solidFill>
        <a:srgbClr val="000000"/>
      </a:solid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2056946829014798E-2"/>
          <c:y val="3.2407407407407406E-2"/>
          <c:w val="0.90496895124951482"/>
          <c:h val="0.71276684164479442"/>
        </c:manualLayout>
      </c:layout>
      <c:lineChart>
        <c:grouping val="standard"/>
        <c:varyColors val="0"/>
        <c:ser>
          <c:idx val="0"/>
          <c:order val="0"/>
          <c:tx>
            <c:strRef>
              <c:f>Sheet1!$B$182</c:f>
              <c:strCache>
                <c:ptCount val="1"/>
                <c:pt idx="0">
                  <c:v>Unemployment rate (narrow)</c:v>
                </c:pt>
              </c:strCache>
            </c:strRef>
          </c:tx>
          <c:spPr>
            <a:ln w="28575" cap="rnd">
              <a:solidFill>
                <a:schemeClr val="accent1"/>
              </a:solidFill>
              <a:round/>
            </a:ln>
            <a:effectLst/>
          </c:spPr>
          <c:marker>
            <c:symbol val="none"/>
          </c:marker>
          <c:dLbls>
            <c:dLbl>
              <c:idx val="0"/>
              <c:layout>
                <c:manualLayout>
                  <c:x val="-5.6390977443609019E-2"/>
                  <c:y val="2.314814814814814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1052-BA43-AD6C-EEC30EEC8D06}"/>
                </c:ext>
              </c:extLst>
            </c:dLbl>
            <c:dLbl>
              <c:idx val="1"/>
              <c:delete val="1"/>
              <c:extLst>
                <c:ext xmlns:c15="http://schemas.microsoft.com/office/drawing/2012/chart" uri="{CE6537A1-D6FC-4f65-9D91-7224C49458BB}"/>
                <c:ext xmlns:c16="http://schemas.microsoft.com/office/drawing/2014/chart" uri="{C3380CC4-5D6E-409C-BE32-E72D297353CC}">
                  <c16:uniqueId val="{00000021-F23A-4109-82B0-B351A3CC3341}"/>
                </c:ext>
              </c:extLst>
            </c:dLbl>
            <c:dLbl>
              <c:idx val="2"/>
              <c:delete val="1"/>
              <c:extLst>
                <c:ext xmlns:c15="http://schemas.microsoft.com/office/drawing/2012/chart" uri="{CE6537A1-D6FC-4f65-9D91-7224C49458BB}"/>
                <c:ext xmlns:c16="http://schemas.microsoft.com/office/drawing/2014/chart" uri="{C3380CC4-5D6E-409C-BE32-E72D297353CC}">
                  <c16:uniqueId val="{00000020-F23A-4109-82B0-B351A3CC3341}"/>
                </c:ext>
              </c:extLst>
            </c:dLbl>
            <c:dLbl>
              <c:idx val="3"/>
              <c:delete val="1"/>
              <c:extLst>
                <c:ext xmlns:c15="http://schemas.microsoft.com/office/drawing/2012/chart" uri="{CE6537A1-D6FC-4f65-9D91-7224C49458BB}"/>
                <c:ext xmlns:c16="http://schemas.microsoft.com/office/drawing/2014/chart" uri="{C3380CC4-5D6E-409C-BE32-E72D297353CC}">
                  <c16:uniqueId val="{0000001F-F23A-4109-82B0-B351A3CC3341}"/>
                </c:ext>
              </c:extLst>
            </c:dLbl>
            <c:dLbl>
              <c:idx val="4"/>
              <c:delete val="1"/>
              <c:extLst>
                <c:ext xmlns:c15="http://schemas.microsoft.com/office/drawing/2012/chart" uri="{CE6537A1-D6FC-4f65-9D91-7224C49458BB}"/>
                <c:ext xmlns:c16="http://schemas.microsoft.com/office/drawing/2014/chart" uri="{C3380CC4-5D6E-409C-BE32-E72D297353CC}">
                  <c16:uniqueId val="{0000001E-F23A-4109-82B0-B351A3CC3341}"/>
                </c:ext>
              </c:extLst>
            </c:dLbl>
            <c:dLbl>
              <c:idx val="5"/>
              <c:delete val="1"/>
              <c:extLst>
                <c:ext xmlns:c15="http://schemas.microsoft.com/office/drawing/2012/chart" uri="{CE6537A1-D6FC-4f65-9D91-7224C49458BB}"/>
                <c:ext xmlns:c16="http://schemas.microsoft.com/office/drawing/2014/chart" uri="{C3380CC4-5D6E-409C-BE32-E72D297353CC}">
                  <c16:uniqueId val="{0000001D-F23A-4109-82B0-B351A3CC3341}"/>
                </c:ext>
              </c:extLst>
            </c:dLbl>
            <c:dLbl>
              <c:idx val="6"/>
              <c:delete val="1"/>
              <c:extLst>
                <c:ext xmlns:c15="http://schemas.microsoft.com/office/drawing/2012/chart" uri="{CE6537A1-D6FC-4f65-9D91-7224C49458BB}"/>
                <c:ext xmlns:c16="http://schemas.microsoft.com/office/drawing/2014/chart" uri="{C3380CC4-5D6E-409C-BE32-E72D297353CC}">
                  <c16:uniqueId val="{0000001C-F23A-4109-82B0-B351A3CC3341}"/>
                </c:ext>
              </c:extLst>
            </c:dLbl>
            <c:dLbl>
              <c:idx val="7"/>
              <c:delete val="1"/>
              <c:extLst>
                <c:ext xmlns:c15="http://schemas.microsoft.com/office/drawing/2012/chart" uri="{CE6537A1-D6FC-4f65-9D91-7224C49458BB}"/>
                <c:ext xmlns:c16="http://schemas.microsoft.com/office/drawing/2014/chart" uri="{C3380CC4-5D6E-409C-BE32-E72D297353CC}">
                  <c16:uniqueId val="{0000001B-F23A-4109-82B0-B351A3CC3341}"/>
                </c:ext>
              </c:extLst>
            </c:dLbl>
            <c:dLbl>
              <c:idx val="8"/>
              <c:delete val="1"/>
              <c:extLst>
                <c:ext xmlns:c15="http://schemas.microsoft.com/office/drawing/2012/chart" uri="{CE6537A1-D6FC-4f65-9D91-7224C49458BB}"/>
                <c:ext xmlns:c16="http://schemas.microsoft.com/office/drawing/2014/chart" uri="{C3380CC4-5D6E-409C-BE32-E72D297353CC}">
                  <c16:uniqueId val="{0000001A-F23A-4109-82B0-B351A3CC3341}"/>
                </c:ext>
              </c:extLst>
            </c:dLbl>
            <c:dLbl>
              <c:idx val="9"/>
              <c:delete val="1"/>
              <c:extLst>
                <c:ext xmlns:c15="http://schemas.microsoft.com/office/drawing/2012/chart" uri="{CE6537A1-D6FC-4f65-9D91-7224C49458BB}"/>
                <c:ext xmlns:c16="http://schemas.microsoft.com/office/drawing/2014/chart" uri="{C3380CC4-5D6E-409C-BE32-E72D297353CC}">
                  <c16:uniqueId val="{00000019-F23A-4109-82B0-B351A3CC3341}"/>
                </c:ext>
              </c:extLst>
            </c:dLbl>
            <c:dLbl>
              <c:idx val="10"/>
              <c:delete val="1"/>
              <c:extLst>
                <c:ext xmlns:c15="http://schemas.microsoft.com/office/drawing/2012/chart" uri="{CE6537A1-D6FC-4f65-9D91-7224C49458BB}"/>
                <c:ext xmlns:c16="http://schemas.microsoft.com/office/drawing/2014/chart" uri="{C3380CC4-5D6E-409C-BE32-E72D297353CC}">
                  <c16:uniqueId val="{00000018-F23A-4109-82B0-B351A3CC3341}"/>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pitchFamily="2"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Sheet1!$C$181:$N$181</c:f>
              <c:numCache>
                <c:formatCode>General</c:formatCode>
                <c:ptCount val="12"/>
                <c:pt idx="0">
                  <c:v>2008</c:v>
                </c:pt>
                <c:pt idx="1">
                  <c:v>2009</c:v>
                </c:pt>
                <c:pt idx="2">
                  <c:v>2010</c:v>
                </c:pt>
                <c:pt idx="3">
                  <c:v>2011</c:v>
                </c:pt>
                <c:pt idx="4">
                  <c:v>2012</c:v>
                </c:pt>
                <c:pt idx="5">
                  <c:v>2013</c:v>
                </c:pt>
                <c:pt idx="6">
                  <c:v>2014</c:v>
                </c:pt>
                <c:pt idx="7">
                  <c:v>2015</c:v>
                </c:pt>
                <c:pt idx="8">
                  <c:v>2016</c:v>
                </c:pt>
                <c:pt idx="9">
                  <c:v>2017</c:v>
                </c:pt>
                <c:pt idx="10">
                  <c:v>2018</c:v>
                </c:pt>
                <c:pt idx="11">
                  <c:v>2019</c:v>
                </c:pt>
              </c:numCache>
            </c:numRef>
          </c:cat>
          <c:val>
            <c:numRef>
              <c:f>Sheet1!$C$182:$N$182</c:f>
              <c:numCache>
                <c:formatCode>General</c:formatCode>
                <c:ptCount val="12"/>
                <c:pt idx="0">
                  <c:v>22.5</c:v>
                </c:pt>
                <c:pt idx="1">
                  <c:v>23.7</c:v>
                </c:pt>
                <c:pt idx="2">
                  <c:v>24.9</c:v>
                </c:pt>
                <c:pt idx="3">
                  <c:v>24.8</c:v>
                </c:pt>
                <c:pt idx="4">
                  <c:v>24.9</c:v>
                </c:pt>
                <c:pt idx="5">
                  <c:v>24.7</c:v>
                </c:pt>
                <c:pt idx="6">
                  <c:v>25.1</c:v>
                </c:pt>
                <c:pt idx="7">
                  <c:v>25.3</c:v>
                </c:pt>
                <c:pt idx="8">
                  <c:v>26.7</c:v>
                </c:pt>
                <c:pt idx="9">
                  <c:v>27.5</c:v>
                </c:pt>
                <c:pt idx="10">
                  <c:v>27.2</c:v>
                </c:pt>
                <c:pt idx="11">
                  <c:v>29</c:v>
                </c:pt>
              </c:numCache>
            </c:numRef>
          </c:val>
          <c:smooth val="0"/>
          <c:extLst>
            <c:ext xmlns:c16="http://schemas.microsoft.com/office/drawing/2014/chart" uri="{C3380CC4-5D6E-409C-BE32-E72D297353CC}">
              <c16:uniqueId val="{00000000-F23A-4109-82B0-B351A3CC3341}"/>
            </c:ext>
          </c:extLst>
        </c:ser>
        <c:ser>
          <c:idx val="1"/>
          <c:order val="1"/>
          <c:tx>
            <c:strRef>
              <c:f>Sheet1!$B$183</c:f>
              <c:strCache>
                <c:ptCount val="1"/>
                <c:pt idx="0">
                  <c:v>Unemployment rate (Broad)</c:v>
                </c:pt>
              </c:strCache>
            </c:strRef>
          </c:tx>
          <c:spPr>
            <a:ln w="28575" cap="rnd">
              <a:solidFill>
                <a:schemeClr val="accent2"/>
              </a:solidFill>
              <a:round/>
            </a:ln>
            <a:effectLst/>
          </c:spPr>
          <c:marker>
            <c:symbol val="none"/>
          </c:marker>
          <c:dLbls>
            <c:dLbl>
              <c:idx val="0"/>
              <c:layout>
                <c:manualLayout>
                  <c:x val="-5.2213868003341678E-2"/>
                  <c:y val="-2.314814814814823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1052-BA43-AD6C-EEC30EEC8D06}"/>
                </c:ext>
              </c:extLst>
            </c:dLbl>
            <c:dLbl>
              <c:idx val="1"/>
              <c:delete val="1"/>
              <c:extLst>
                <c:ext xmlns:c15="http://schemas.microsoft.com/office/drawing/2012/chart" uri="{CE6537A1-D6FC-4f65-9D91-7224C49458BB}"/>
                <c:ext xmlns:c16="http://schemas.microsoft.com/office/drawing/2014/chart" uri="{C3380CC4-5D6E-409C-BE32-E72D297353CC}">
                  <c16:uniqueId val="{0000000E-F23A-4109-82B0-B351A3CC3341}"/>
                </c:ext>
              </c:extLst>
            </c:dLbl>
            <c:dLbl>
              <c:idx val="2"/>
              <c:delete val="1"/>
              <c:extLst>
                <c:ext xmlns:c15="http://schemas.microsoft.com/office/drawing/2012/chart" uri="{CE6537A1-D6FC-4f65-9D91-7224C49458BB}"/>
                <c:ext xmlns:c16="http://schemas.microsoft.com/office/drawing/2014/chart" uri="{C3380CC4-5D6E-409C-BE32-E72D297353CC}">
                  <c16:uniqueId val="{0000000F-F23A-4109-82B0-B351A3CC3341}"/>
                </c:ext>
              </c:extLst>
            </c:dLbl>
            <c:dLbl>
              <c:idx val="3"/>
              <c:delete val="1"/>
              <c:extLst>
                <c:ext xmlns:c15="http://schemas.microsoft.com/office/drawing/2012/chart" uri="{CE6537A1-D6FC-4f65-9D91-7224C49458BB}"/>
                <c:ext xmlns:c16="http://schemas.microsoft.com/office/drawing/2014/chart" uri="{C3380CC4-5D6E-409C-BE32-E72D297353CC}">
                  <c16:uniqueId val="{00000010-F23A-4109-82B0-B351A3CC3341}"/>
                </c:ext>
              </c:extLst>
            </c:dLbl>
            <c:dLbl>
              <c:idx val="4"/>
              <c:delete val="1"/>
              <c:extLst>
                <c:ext xmlns:c15="http://schemas.microsoft.com/office/drawing/2012/chart" uri="{CE6537A1-D6FC-4f65-9D91-7224C49458BB}"/>
                <c:ext xmlns:c16="http://schemas.microsoft.com/office/drawing/2014/chart" uri="{C3380CC4-5D6E-409C-BE32-E72D297353CC}">
                  <c16:uniqueId val="{00000011-F23A-4109-82B0-B351A3CC3341}"/>
                </c:ext>
              </c:extLst>
            </c:dLbl>
            <c:dLbl>
              <c:idx val="5"/>
              <c:delete val="1"/>
              <c:extLst>
                <c:ext xmlns:c15="http://schemas.microsoft.com/office/drawing/2012/chart" uri="{CE6537A1-D6FC-4f65-9D91-7224C49458BB}"/>
                <c:ext xmlns:c16="http://schemas.microsoft.com/office/drawing/2014/chart" uri="{C3380CC4-5D6E-409C-BE32-E72D297353CC}">
                  <c16:uniqueId val="{00000012-F23A-4109-82B0-B351A3CC3341}"/>
                </c:ext>
              </c:extLst>
            </c:dLbl>
            <c:dLbl>
              <c:idx val="6"/>
              <c:delete val="1"/>
              <c:extLst>
                <c:ext xmlns:c15="http://schemas.microsoft.com/office/drawing/2012/chart" uri="{CE6537A1-D6FC-4f65-9D91-7224C49458BB}"/>
                <c:ext xmlns:c16="http://schemas.microsoft.com/office/drawing/2014/chart" uri="{C3380CC4-5D6E-409C-BE32-E72D297353CC}">
                  <c16:uniqueId val="{00000013-F23A-4109-82B0-B351A3CC3341}"/>
                </c:ext>
              </c:extLst>
            </c:dLbl>
            <c:dLbl>
              <c:idx val="7"/>
              <c:delete val="1"/>
              <c:extLst>
                <c:ext xmlns:c15="http://schemas.microsoft.com/office/drawing/2012/chart" uri="{CE6537A1-D6FC-4f65-9D91-7224C49458BB}"/>
                <c:ext xmlns:c16="http://schemas.microsoft.com/office/drawing/2014/chart" uri="{C3380CC4-5D6E-409C-BE32-E72D297353CC}">
                  <c16:uniqueId val="{00000014-F23A-4109-82B0-B351A3CC3341}"/>
                </c:ext>
              </c:extLst>
            </c:dLbl>
            <c:dLbl>
              <c:idx val="8"/>
              <c:delete val="1"/>
              <c:extLst>
                <c:ext xmlns:c15="http://schemas.microsoft.com/office/drawing/2012/chart" uri="{CE6537A1-D6FC-4f65-9D91-7224C49458BB}"/>
                <c:ext xmlns:c16="http://schemas.microsoft.com/office/drawing/2014/chart" uri="{C3380CC4-5D6E-409C-BE32-E72D297353CC}">
                  <c16:uniqueId val="{00000015-F23A-4109-82B0-B351A3CC3341}"/>
                </c:ext>
              </c:extLst>
            </c:dLbl>
            <c:dLbl>
              <c:idx val="9"/>
              <c:delete val="1"/>
              <c:extLst>
                <c:ext xmlns:c15="http://schemas.microsoft.com/office/drawing/2012/chart" uri="{CE6537A1-D6FC-4f65-9D91-7224C49458BB}"/>
                <c:ext xmlns:c16="http://schemas.microsoft.com/office/drawing/2014/chart" uri="{C3380CC4-5D6E-409C-BE32-E72D297353CC}">
                  <c16:uniqueId val="{00000016-F23A-4109-82B0-B351A3CC3341}"/>
                </c:ext>
              </c:extLst>
            </c:dLbl>
            <c:dLbl>
              <c:idx val="10"/>
              <c:delete val="1"/>
              <c:extLst>
                <c:ext xmlns:c15="http://schemas.microsoft.com/office/drawing/2012/chart" uri="{CE6537A1-D6FC-4f65-9D91-7224C49458BB}"/>
                <c:ext xmlns:c16="http://schemas.microsoft.com/office/drawing/2014/chart" uri="{C3380CC4-5D6E-409C-BE32-E72D297353CC}">
                  <c16:uniqueId val="{00000017-F23A-4109-82B0-B351A3CC3341}"/>
                </c:ext>
              </c:extLst>
            </c:dLbl>
            <c:dLbl>
              <c:idx val="11"/>
              <c:layout>
                <c:manualLayout>
                  <c:x val="-2.0885547201338205E-3"/>
                  <c:y val="-1.851851851851851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1052-BA43-AD6C-EEC30EEC8D06}"/>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pitchFamily="2"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Sheet1!$C$181:$N$181</c:f>
              <c:numCache>
                <c:formatCode>General</c:formatCode>
                <c:ptCount val="12"/>
                <c:pt idx="0">
                  <c:v>2008</c:v>
                </c:pt>
                <c:pt idx="1">
                  <c:v>2009</c:v>
                </c:pt>
                <c:pt idx="2">
                  <c:v>2010</c:v>
                </c:pt>
                <c:pt idx="3">
                  <c:v>2011</c:v>
                </c:pt>
                <c:pt idx="4">
                  <c:v>2012</c:v>
                </c:pt>
                <c:pt idx="5">
                  <c:v>2013</c:v>
                </c:pt>
                <c:pt idx="6">
                  <c:v>2014</c:v>
                </c:pt>
                <c:pt idx="7">
                  <c:v>2015</c:v>
                </c:pt>
                <c:pt idx="8">
                  <c:v>2016</c:v>
                </c:pt>
                <c:pt idx="9">
                  <c:v>2017</c:v>
                </c:pt>
                <c:pt idx="10">
                  <c:v>2018</c:v>
                </c:pt>
                <c:pt idx="11">
                  <c:v>2019</c:v>
                </c:pt>
              </c:numCache>
            </c:numRef>
          </c:cat>
          <c:val>
            <c:numRef>
              <c:f>Sheet1!$C$183:$N$183</c:f>
              <c:numCache>
                <c:formatCode>General</c:formatCode>
                <c:ptCount val="12"/>
                <c:pt idx="0">
                  <c:v>29.7</c:v>
                </c:pt>
                <c:pt idx="1">
                  <c:v>32.4</c:v>
                </c:pt>
                <c:pt idx="2">
                  <c:v>35.4</c:v>
                </c:pt>
                <c:pt idx="3">
                  <c:v>35.6</c:v>
                </c:pt>
                <c:pt idx="4">
                  <c:v>35.6</c:v>
                </c:pt>
                <c:pt idx="5">
                  <c:v>35.299999999999997</c:v>
                </c:pt>
                <c:pt idx="6">
                  <c:v>35.299999999999997</c:v>
                </c:pt>
                <c:pt idx="7">
                  <c:v>34.799999999999997</c:v>
                </c:pt>
                <c:pt idx="8">
                  <c:v>36.1</c:v>
                </c:pt>
                <c:pt idx="9">
                  <c:v>36.5</c:v>
                </c:pt>
                <c:pt idx="10">
                  <c:v>37.200000000000003</c:v>
                </c:pt>
                <c:pt idx="11">
                  <c:v>38.5</c:v>
                </c:pt>
              </c:numCache>
            </c:numRef>
          </c:val>
          <c:smooth val="0"/>
          <c:extLst>
            <c:ext xmlns:c16="http://schemas.microsoft.com/office/drawing/2014/chart" uri="{C3380CC4-5D6E-409C-BE32-E72D297353CC}">
              <c16:uniqueId val="{00000001-F23A-4109-82B0-B351A3CC3341}"/>
            </c:ext>
          </c:extLst>
        </c:ser>
        <c:ser>
          <c:idx val="2"/>
          <c:order val="2"/>
          <c:tx>
            <c:strRef>
              <c:f>Sheet1!$B$184</c:f>
              <c:strCache>
                <c:ptCount val="1"/>
                <c:pt idx="0">
                  <c:v>Youth Unemployment rate 15-24 years</c:v>
                </c:pt>
              </c:strCache>
            </c:strRef>
          </c:tx>
          <c:spPr>
            <a:ln w="28575" cap="rnd">
              <a:solidFill>
                <a:schemeClr val="accent3"/>
              </a:solidFill>
              <a:round/>
            </a:ln>
            <a:effectLst/>
          </c:spPr>
          <c:marker>
            <c:symbol val="none"/>
          </c:marker>
          <c:dLbls>
            <c:dLbl>
              <c:idx val="0"/>
              <c:layout>
                <c:manualLayout>
                  <c:x val="-6.2656641604010022E-3"/>
                  <c:y val="2.314814814814814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1052-BA43-AD6C-EEC30EEC8D06}"/>
                </c:ext>
              </c:extLst>
            </c:dLbl>
            <c:dLbl>
              <c:idx val="1"/>
              <c:delete val="1"/>
              <c:extLst>
                <c:ext xmlns:c15="http://schemas.microsoft.com/office/drawing/2012/chart" uri="{CE6537A1-D6FC-4f65-9D91-7224C49458BB}"/>
                <c:ext xmlns:c16="http://schemas.microsoft.com/office/drawing/2014/chart" uri="{C3380CC4-5D6E-409C-BE32-E72D297353CC}">
                  <c16:uniqueId val="{0000000D-F23A-4109-82B0-B351A3CC3341}"/>
                </c:ext>
              </c:extLst>
            </c:dLbl>
            <c:dLbl>
              <c:idx val="2"/>
              <c:delete val="1"/>
              <c:extLst>
                <c:ext xmlns:c15="http://schemas.microsoft.com/office/drawing/2012/chart" uri="{CE6537A1-D6FC-4f65-9D91-7224C49458BB}"/>
                <c:ext xmlns:c16="http://schemas.microsoft.com/office/drawing/2014/chart" uri="{C3380CC4-5D6E-409C-BE32-E72D297353CC}">
                  <c16:uniqueId val="{0000000C-F23A-4109-82B0-B351A3CC3341}"/>
                </c:ext>
              </c:extLst>
            </c:dLbl>
            <c:dLbl>
              <c:idx val="3"/>
              <c:delete val="1"/>
              <c:extLst>
                <c:ext xmlns:c15="http://schemas.microsoft.com/office/drawing/2012/chart" uri="{CE6537A1-D6FC-4f65-9D91-7224C49458BB}"/>
                <c:ext xmlns:c16="http://schemas.microsoft.com/office/drawing/2014/chart" uri="{C3380CC4-5D6E-409C-BE32-E72D297353CC}">
                  <c16:uniqueId val="{0000000B-F23A-4109-82B0-B351A3CC3341}"/>
                </c:ext>
              </c:extLst>
            </c:dLbl>
            <c:dLbl>
              <c:idx val="4"/>
              <c:delete val="1"/>
              <c:extLst>
                <c:ext xmlns:c15="http://schemas.microsoft.com/office/drawing/2012/chart" uri="{CE6537A1-D6FC-4f65-9D91-7224C49458BB}"/>
                <c:ext xmlns:c16="http://schemas.microsoft.com/office/drawing/2014/chart" uri="{C3380CC4-5D6E-409C-BE32-E72D297353CC}">
                  <c16:uniqueId val="{0000000A-F23A-4109-82B0-B351A3CC3341}"/>
                </c:ext>
              </c:extLst>
            </c:dLbl>
            <c:dLbl>
              <c:idx val="5"/>
              <c:delete val="1"/>
              <c:extLst>
                <c:ext xmlns:c15="http://schemas.microsoft.com/office/drawing/2012/chart" uri="{CE6537A1-D6FC-4f65-9D91-7224C49458BB}"/>
                <c:ext xmlns:c16="http://schemas.microsoft.com/office/drawing/2014/chart" uri="{C3380CC4-5D6E-409C-BE32-E72D297353CC}">
                  <c16:uniqueId val="{00000009-F23A-4109-82B0-B351A3CC3341}"/>
                </c:ext>
              </c:extLst>
            </c:dLbl>
            <c:dLbl>
              <c:idx val="6"/>
              <c:delete val="1"/>
              <c:extLst>
                <c:ext xmlns:c15="http://schemas.microsoft.com/office/drawing/2012/chart" uri="{CE6537A1-D6FC-4f65-9D91-7224C49458BB}"/>
                <c:ext xmlns:c16="http://schemas.microsoft.com/office/drawing/2014/chart" uri="{C3380CC4-5D6E-409C-BE32-E72D297353CC}">
                  <c16:uniqueId val="{00000008-F23A-4109-82B0-B351A3CC3341}"/>
                </c:ext>
              </c:extLst>
            </c:dLbl>
            <c:dLbl>
              <c:idx val="7"/>
              <c:delete val="1"/>
              <c:extLst>
                <c:ext xmlns:c15="http://schemas.microsoft.com/office/drawing/2012/chart" uri="{CE6537A1-D6FC-4f65-9D91-7224C49458BB}"/>
                <c:ext xmlns:c16="http://schemas.microsoft.com/office/drawing/2014/chart" uri="{C3380CC4-5D6E-409C-BE32-E72D297353CC}">
                  <c16:uniqueId val="{00000007-F23A-4109-82B0-B351A3CC3341}"/>
                </c:ext>
              </c:extLst>
            </c:dLbl>
            <c:dLbl>
              <c:idx val="8"/>
              <c:delete val="1"/>
              <c:extLst>
                <c:ext xmlns:c15="http://schemas.microsoft.com/office/drawing/2012/chart" uri="{CE6537A1-D6FC-4f65-9D91-7224C49458BB}"/>
                <c:ext xmlns:c16="http://schemas.microsoft.com/office/drawing/2014/chart" uri="{C3380CC4-5D6E-409C-BE32-E72D297353CC}">
                  <c16:uniqueId val="{00000006-F23A-4109-82B0-B351A3CC3341}"/>
                </c:ext>
              </c:extLst>
            </c:dLbl>
            <c:dLbl>
              <c:idx val="9"/>
              <c:delete val="1"/>
              <c:extLst>
                <c:ext xmlns:c15="http://schemas.microsoft.com/office/drawing/2012/chart" uri="{CE6537A1-D6FC-4f65-9D91-7224C49458BB}"/>
                <c:ext xmlns:c16="http://schemas.microsoft.com/office/drawing/2014/chart" uri="{C3380CC4-5D6E-409C-BE32-E72D297353CC}">
                  <c16:uniqueId val="{00000005-F23A-4109-82B0-B351A3CC3341}"/>
                </c:ext>
              </c:extLst>
            </c:dLbl>
            <c:dLbl>
              <c:idx val="10"/>
              <c:delete val="1"/>
              <c:extLst>
                <c:ext xmlns:c15="http://schemas.microsoft.com/office/drawing/2012/chart" uri="{CE6537A1-D6FC-4f65-9D91-7224C49458BB}"/>
                <c:ext xmlns:c16="http://schemas.microsoft.com/office/drawing/2014/chart" uri="{C3380CC4-5D6E-409C-BE32-E72D297353CC}">
                  <c16:uniqueId val="{00000004-F23A-4109-82B0-B351A3CC3341}"/>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pitchFamily="2"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Sheet1!$C$181:$N$181</c:f>
              <c:numCache>
                <c:formatCode>General</c:formatCode>
                <c:ptCount val="12"/>
                <c:pt idx="0">
                  <c:v>2008</c:v>
                </c:pt>
                <c:pt idx="1">
                  <c:v>2009</c:v>
                </c:pt>
                <c:pt idx="2">
                  <c:v>2010</c:v>
                </c:pt>
                <c:pt idx="3">
                  <c:v>2011</c:v>
                </c:pt>
                <c:pt idx="4">
                  <c:v>2012</c:v>
                </c:pt>
                <c:pt idx="5">
                  <c:v>2013</c:v>
                </c:pt>
                <c:pt idx="6">
                  <c:v>2014</c:v>
                </c:pt>
                <c:pt idx="7">
                  <c:v>2015</c:v>
                </c:pt>
                <c:pt idx="8">
                  <c:v>2016</c:v>
                </c:pt>
                <c:pt idx="9">
                  <c:v>2017</c:v>
                </c:pt>
                <c:pt idx="10">
                  <c:v>2018</c:v>
                </c:pt>
                <c:pt idx="11">
                  <c:v>2019</c:v>
                </c:pt>
              </c:numCache>
            </c:numRef>
          </c:cat>
          <c:val>
            <c:numRef>
              <c:f>Sheet1!$C$184:$N$184</c:f>
              <c:numCache>
                <c:formatCode>General</c:formatCode>
                <c:ptCount val="12"/>
                <c:pt idx="0">
                  <c:v>45.6</c:v>
                </c:pt>
                <c:pt idx="1">
                  <c:v>48.3</c:v>
                </c:pt>
                <c:pt idx="2">
                  <c:v>51.2</c:v>
                </c:pt>
                <c:pt idx="3">
                  <c:v>50.3</c:v>
                </c:pt>
                <c:pt idx="4">
                  <c:v>51.7</c:v>
                </c:pt>
                <c:pt idx="5">
                  <c:v>51.4</c:v>
                </c:pt>
                <c:pt idx="6">
                  <c:v>51.3</c:v>
                </c:pt>
                <c:pt idx="7">
                  <c:v>50.1</c:v>
                </c:pt>
                <c:pt idx="8">
                  <c:v>53.3</c:v>
                </c:pt>
                <c:pt idx="9">
                  <c:v>53.4</c:v>
                </c:pt>
                <c:pt idx="10">
                  <c:v>53.7</c:v>
                </c:pt>
                <c:pt idx="11">
                  <c:v>56.4</c:v>
                </c:pt>
              </c:numCache>
            </c:numRef>
          </c:val>
          <c:smooth val="0"/>
          <c:extLst>
            <c:ext xmlns:c16="http://schemas.microsoft.com/office/drawing/2014/chart" uri="{C3380CC4-5D6E-409C-BE32-E72D297353CC}">
              <c16:uniqueId val="{00000002-F23A-4109-82B0-B351A3CC3341}"/>
            </c:ext>
          </c:extLst>
        </c:ser>
        <c:ser>
          <c:idx val="3"/>
          <c:order val="3"/>
          <c:tx>
            <c:strRef>
              <c:f>Sheet1!$B$185</c:f>
              <c:strCache>
                <c:ptCount val="1"/>
                <c:pt idx="0">
                  <c:v>Youth Unemployment rate 25-34 years</c:v>
                </c:pt>
              </c:strCache>
            </c:strRef>
          </c:tx>
          <c:spPr>
            <a:ln w="28575" cap="rnd">
              <a:solidFill>
                <a:schemeClr val="accent4"/>
              </a:solidFill>
              <a:round/>
            </a:ln>
            <a:effectLst/>
          </c:spPr>
          <c:marker>
            <c:symbol val="none"/>
          </c:marker>
          <c:dLbls>
            <c:dLbl>
              <c:idx val="0"/>
              <c:layout>
                <c:manualLayout>
                  <c:x val="-5.6390977443609033E-2"/>
                  <c:y val="8.4875562720133283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1052-BA43-AD6C-EEC30EEC8D06}"/>
                </c:ext>
              </c:extLst>
            </c:dLbl>
            <c:dLbl>
              <c:idx val="1"/>
              <c:delete val="1"/>
              <c:extLst>
                <c:ext xmlns:c15="http://schemas.microsoft.com/office/drawing/2012/chart" uri="{CE6537A1-D6FC-4f65-9D91-7224C49458BB}"/>
                <c:ext xmlns:c16="http://schemas.microsoft.com/office/drawing/2014/chart" uri="{C3380CC4-5D6E-409C-BE32-E72D297353CC}">
                  <c16:uniqueId val="{00000022-F23A-4109-82B0-B351A3CC3341}"/>
                </c:ext>
              </c:extLst>
            </c:dLbl>
            <c:dLbl>
              <c:idx val="2"/>
              <c:delete val="1"/>
              <c:extLst>
                <c:ext xmlns:c15="http://schemas.microsoft.com/office/drawing/2012/chart" uri="{CE6537A1-D6FC-4f65-9D91-7224C49458BB}"/>
                <c:ext xmlns:c16="http://schemas.microsoft.com/office/drawing/2014/chart" uri="{C3380CC4-5D6E-409C-BE32-E72D297353CC}">
                  <c16:uniqueId val="{00000023-F23A-4109-82B0-B351A3CC3341}"/>
                </c:ext>
              </c:extLst>
            </c:dLbl>
            <c:dLbl>
              <c:idx val="3"/>
              <c:delete val="1"/>
              <c:extLst>
                <c:ext xmlns:c15="http://schemas.microsoft.com/office/drawing/2012/chart" uri="{CE6537A1-D6FC-4f65-9D91-7224C49458BB}"/>
                <c:ext xmlns:c16="http://schemas.microsoft.com/office/drawing/2014/chart" uri="{C3380CC4-5D6E-409C-BE32-E72D297353CC}">
                  <c16:uniqueId val="{00000024-F23A-4109-82B0-B351A3CC3341}"/>
                </c:ext>
              </c:extLst>
            </c:dLbl>
            <c:dLbl>
              <c:idx val="4"/>
              <c:delete val="1"/>
              <c:extLst>
                <c:ext xmlns:c15="http://schemas.microsoft.com/office/drawing/2012/chart" uri="{CE6537A1-D6FC-4f65-9D91-7224C49458BB}"/>
                <c:ext xmlns:c16="http://schemas.microsoft.com/office/drawing/2014/chart" uri="{C3380CC4-5D6E-409C-BE32-E72D297353CC}">
                  <c16:uniqueId val="{00000025-F23A-4109-82B0-B351A3CC3341}"/>
                </c:ext>
              </c:extLst>
            </c:dLbl>
            <c:dLbl>
              <c:idx val="5"/>
              <c:delete val="1"/>
              <c:extLst>
                <c:ext xmlns:c15="http://schemas.microsoft.com/office/drawing/2012/chart" uri="{CE6537A1-D6FC-4f65-9D91-7224C49458BB}"/>
                <c:ext xmlns:c16="http://schemas.microsoft.com/office/drawing/2014/chart" uri="{C3380CC4-5D6E-409C-BE32-E72D297353CC}">
                  <c16:uniqueId val="{00000026-F23A-4109-82B0-B351A3CC3341}"/>
                </c:ext>
              </c:extLst>
            </c:dLbl>
            <c:dLbl>
              <c:idx val="6"/>
              <c:delete val="1"/>
              <c:extLst>
                <c:ext xmlns:c15="http://schemas.microsoft.com/office/drawing/2012/chart" uri="{CE6537A1-D6FC-4f65-9D91-7224C49458BB}"/>
                <c:ext xmlns:c16="http://schemas.microsoft.com/office/drawing/2014/chart" uri="{C3380CC4-5D6E-409C-BE32-E72D297353CC}">
                  <c16:uniqueId val="{00000027-F23A-4109-82B0-B351A3CC3341}"/>
                </c:ext>
              </c:extLst>
            </c:dLbl>
            <c:dLbl>
              <c:idx val="7"/>
              <c:delete val="1"/>
              <c:extLst>
                <c:ext xmlns:c15="http://schemas.microsoft.com/office/drawing/2012/chart" uri="{CE6537A1-D6FC-4f65-9D91-7224C49458BB}"/>
                <c:ext xmlns:c16="http://schemas.microsoft.com/office/drawing/2014/chart" uri="{C3380CC4-5D6E-409C-BE32-E72D297353CC}">
                  <c16:uniqueId val="{00000028-F23A-4109-82B0-B351A3CC3341}"/>
                </c:ext>
              </c:extLst>
            </c:dLbl>
            <c:dLbl>
              <c:idx val="8"/>
              <c:delete val="1"/>
              <c:extLst>
                <c:ext xmlns:c15="http://schemas.microsoft.com/office/drawing/2012/chart" uri="{CE6537A1-D6FC-4f65-9D91-7224C49458BB}"/>
                <c:ext xmlns:c16="http://schemas.microsoft.com/office/drawing/2014/chart" uri="{C3380CC4-5D6E-409C-BE32-E72D297353CC}">
                  <c16:uniqueId val="{00000029-F23A-4109-82B0-B351A3CC3341}"/>
                </c:ext>
              </c:extLst>
            </c:dLbl>
            <c:dLbl>
              <c:idx val="9"/>
              <c:delete val="1"/>
              <c:extLst>
                <c:ext xmlns:c15="http://schemas.microsoft.com/office/drawing/2012/chart" uri="{CE6537A1-D6FC-4f65-9D91-7224C49458BB}"/>
                <c:ext xmlns:c16="http://schemas.microsoft.com/office/drawing/2014/chart" uri="{C3380CC4-5D6E-409C-BE32-E72D297353CC}">
                  <c16:uniqueId val="{0000002A-F23A-4109-82B0-B351A3CC3341}"/>
                </c:ext>
              </c:extLst>
            </c:dLbl>
            <c:dLbl>
              <c:idx val="10"/>
              <c:delete val="1"/>
              <c:extLst>
                <c:ext xmlns:c15="http://schemas.microsoft.com/office/drawing/2012/chart" uri="{CE6537A1-D6FC-4f65-9D91-7224C49458BB}"/>
                <c:ext xmlns:c16="http://schemas.microsoft.com/office/drawing/2014/chart" uri="{C3380CC4-5D6E-409C-BE32-E72D297353CC}">
                  <c16:uniqueId val="{0000002B-F23A-4109-82B0-B351A3CC3341}"/>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pitchFamily="2"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Sheet1!$C$181:$N$181</c:f>
              <c:numCache>
                <c:formatCode>General</c:formatCode>
                <c:ptCount val="12"/>
                <c:pt idx="0">
                  <c:v>2008</c:v>
                </c:pt>
                <c:pt idx="1">
                  <c:v>2009</c:v>
                </c:pt>
                <c:pt idx="2">
                  <c:v>2010</c:v>
                </c:pt>
                <c:pt idx="3">
                  <c:v>2011</c:v>
                </c:pt>
                <c:pt idx="4">
                  <c:v>2012</c:v>
                </c:pt>
                <c:pt idx="5">
                  <c:v>2013</c:v>
                </c:pt>
                <c:pt idx="6">
                  <c:v>2014</c:v>
                </c:pt>
                <c:pt idx="7">
                  <c:v>2015</c:v>
                </c:pt>
                <c:pt idx="8">
                  <c:v>2016</c:v>
                </c:pt>
                <c:pt idx="9">
                  <c:v>2017</c:v>
                </c:pt>
                <c:pt idx="10">
                  <c:v>2018</c:v>
                </c:pt>
                <c:pt idx="11">
                  <c:v>2019</c:v>
                </c:pt>
              </c:numCache>
            </c:numRef>
          </c:cat>
          <c:val>
            <c:numRef>
              <c:f>Sheet1!$C$185:$N$185</c:f>
              <c:numCache>
                <c:formatCode>General</c:formatCode>
                <c:ptCount val="12"/>
                <c:pt idx="0">
                  <c:v>25.8</c:v>
                </c:pt>
                <c:pt idx="1">
                  <c:v>28.1</c:v>
                </c:pt>
                <c:pt idx="2">
                  <c:v>29.3</c:v>
                </c:pt>
                <c:pt idx="3">
                  <c:v>29.9</c:v>
                </c:pt>
                <c:pt idx="4">
                  <c:v>29.6</c:v>
                </c:pt>
                <c:pt idx="5">
                  <c:v>29.1</c:v>
                </c:pt>
                <c:pt idx="6">
                  <c:v>30.1</c:v>
                </c:pt>
                <c:pt idx="7">
                  <c:v>30.2</c:v>
                </c:pt>
                <c:pt idx="8">
                  <c:v>31.7</c:v>
                </c:pt>
                <c:pt idx="9">
                  <c:v>33.1</c:v>
                </c:pt>
                <c:pt idx="10">
                  <c:v>33.6</c:v>
                </c:pt>
                <c:pt idx="11">
                  <c:v>35.6</c:v>
                </c:pt>
              </c:numCache>
            </c:numRef>
          </c:val>
          <c:smooth val="0"/>
          <c:extLst>
            <c:ext xmlns:c16="http://schemas.microsoft.com/office/drawing/2014/chart" uri="{C3380CC4-5D6E-409C-BE32-E72D297353CC}">
              <c16:uniqueId val="{00000003-F23A-4109-82B0-B351A3CC3341}"/>
            </c:ext>
          </c:extLst>
        </c:ser>
        <c:dLbls>
          <c:showLegendKey val="0"/>
          <c:showVal val="0"/>
          <c:showCatName val="0"/>
          <c:showSerName val="0"/>
          <c:showPercent val="0"/>
          <c:showBubbleSize val="0"/>
        </c:dLbls>
        <c:smooth val="0"/>
        <c:axId val="997882255"/>
        <c:axId val="676103903"/>
      </c:lineChart>
      <c:catAx>
        <c:axId val="99788225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676103903"/>
        <c:crosses val="autoZero"/>
        <c:auto val="1"/>
        <c:lblAlgn val="ctr"/>
        <c:lblOffset val="100"/>
        <c:noMultiLvlLbl val="0"/>
      </c:catAx>
      <c:valAx>
        <c:axId val="676103903"/>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GB" sz="900">
                    <a:latin typeface="Times New Roman" panose="02020603050405020304" pitchFamily="18" charset="0"/>
                    <a:cs typeface="Times New Roman" panose="02020603050405020304" pitchFamily="18" charset="0"/>
                  </a:rPr>
                  <a:t>Perecntages</a:t>
                </a:r>
              </a:p>
            </c:rich>
          </c:tx>
          <c:overlay val="0"/>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997882255"/>
        <c:crosses val="autoZero"/>
        <c:crossBetween val="between"/>
      </c:valAx>
      <c:spPr>
        <a:noFill/>
        <a:ln>
          <a:noFill/>
        </a:ln>
        <a:effectLst/>
      </c:spPr>
    </c:plotArea>
    <c:legend>
      <c:legendPos val="b"/>
      <c:layout>
        <c:manualLayout>
          <c:xMode val="edge"/>
          <c:yMode val="edge"/>
          <c:x val="3.9649977963280895E-2"/>
          <c:y val="0.82291557305336838"/>
          <c:w val="0.87266328551036387"/>
          <c:h val="0.14930664916885389"/>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rgbClr val="000000"/>
      </a:solidFill>
      <a:round/>
    </a:ln>
    <a:effectLst/>
  </c:spPr>
  <c:txPr>
    <a:bodyPr/>
    <a:lstStyle/>
    <a:p>
      <a:pPr>
        <a:defRPr/>
      </a:pPr>
      <a:endParaRPr lang="en-US"/>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'Infrastructure_by Vote'!$I$95</c:f>
              <c:strCache>
                <c:ptCount val="1"/>
                <c:pt idx="0">
                  <c:v>2020/21</c:v>
                </c:pt>
              </c:strCache>
            </c:strRef>
          </c:tx>
          <c:spPr>
            <a:solidFill>
              <a:schemeClr val="accent1"/>
            </a:solidFill>
            <a:ln>
              <a:noFill/>
            </a:ln>
            <a:effectLst/>
          </c:spPr>
          <c:invertIfNegative val="0"/>
          <c:cat>
            <c:strRef>
              <c:f>'Infrastructure_by Vote'!$H$96:$H$102</c:f>
              <c:strCache>
                <c:ptCount val="7"/>
                <c:pt idx="0">
                  <c:v>Learning and culture</c:v>
                </c:pt>
                <c:pt idx="1">
                  <c:v>Health</c:v>
                </c:pt>
                <c:pt idx="2">
                  <c:v>Social development</c:v>
                </c:pt>
                <c:pt idx="3">
                  <c:v>Community development</c:v>
                </c:pt>
                <c:pt idx="4">
                  <c:v>Economic development</c:v>
                </c:pt>
                <c:pt idx="5">
                  <c:v>Peace and security</c:v>
                </c:pt>
                <c:pt idx="6">
                  <c:v>General public services</c:v>
                </c:pt>
              </c:strCache>
            </c:strRef>
          </c:cat>
          <c:val>
            <c:numRef>
              <c:f>'Infrastructure_by Vote'!$I$96:$I$102</c:f>
              <c:numCache>
                <c:formatCode>_(* #,##0.0;_*\ \-#,##0.0;_(* "–"_);_(@_)</c:formatCode>
                <c:ptCount val="7"/>
                <c:pt idx="0" formatCode="_(* #,##0.00_);_(* \(#,##0.00\);_(* &quot;-&quot;??_);_(@_)">
                  <c:v>18145.768</c:v>
                </c:pt>
                <c:pt idx="1">
                  <c:v>7684.7950000000001</c:v>
                </c:pt>
                <c:pt idx="2" formatCode="_(* #,##0.00_);_(* \(#,##0.00\);_(* &quot;-&quot;??_);_(@_)">
                  <c:v>0</c:v>
                </c:pt>
                <c:pt idx="3" formatCode="_(* #,##0.00_);_(* \(#,##0.00\);_(* &quot;-&quot;??_);_(@_)">
                  <c:v>57186.676999999996</c:v>
                </c:pt>
                <c:pt idx="4" formatCode="_(* #,##0.00_);_(* \(#,##0.00\);_(* &quot;-&quot;??_);_(@_)">
                  <c:v>49564.121000000006</c:v>
                </c:pt>
                <c:pt idx="5" formatCode="_(* #,##0.00_);_(* \(#,##0.00\);_(* &quot;-&quot;??_);_(@_)">
                  <c:v>3270.7939999999999</c:v>
                </c:pt>
                <c:pt idx="6" formatCode="_(* #,##0.00_);_(* \(#,##0.00\);_(* &quot;-&quot;??_);_(@_)">
                  <c:v>244.11100000000002</c:v>
                </c:pt>
              </c:numCache>
            </c:numRef>
          </c:val>
          <c:extLst>
            <c:ext xmlns:c16="http://schemas.microsoft.com/office/drawing/2014/chart" uri="{C3380CC4-5D6E-409C-BE32-E72D297353CC}">
              <c16:uniqueId val="{00000000-EF89-421E-A167-4C5CFCED7ED8}"/>
            </c:ext>
          </c:extLst>
        </c:ser>
        <c:ser>
          <c:idx val="1"/>
          <c:order val="1"/>
          <c:tx>
            <c:strRef>
              <c:f>'Infrastructure_by Vote'!$J$95</c:f>
              <c:strCache>
                <c:ptCount val="1"/>
                <c:pt idx="0">
                  <c:v>2021/22</c:v>
                </c:pt>
              </c:strCache>
            </c:strRef>
          </c:tx>
          <c:spPr>
            <a:solidFill>
              <a:schemeClr val="accent2"/>
            </a:solidFill>
            <a:ln>
              <a:noFill/>
            </a:ln>
            <a:effectLst/>
          </c:spPr>
          <c:invertIfNegative val="0"/>
          <c:cat>
            <c:strRef>
              <c:f>'Infrastructure_by Vote'!$H$96:$H$102</c:f>
              <c:strCache>
                <c:ptCount val="7"/>
                <c:pt idx="0">
                  <c:v>Learning and culture</c:v>
                </c:pt>
                <c:pt idx="1">
                  <c:v>Health</c:v>
                </c:pt>
                <c:pt idx="2">
                  <c:v>Social development</c:v>
                </c:pt>
                <c:pt idx="3">
                  <c:v>Community development</c:v>
                </c:pt>
                <c:pt idx="4">
                  <c:v>Economic development</c:v>
                </c:pt>
                <c:pt idx="5">
                  <c:v>Peace and security</c:v>
                </c:pt>
                <c:pt idx="6">
                  <c:v>General public services</c:v>
                </c:pt>
              </c:strCache>
            </c:strRef>
          </c:cat>
          <c:val>
            <c:numRef>
              <c:f>'Infrastructure_by Vote'!$J$96:$J$102</c:f>
              <c:numCache>
                <c:formatCode>_(* #,##0.0;_*\ \-#,##0.0;_(* "–"_);_(@_)</c:formatCode>
                <c:ptCount val="7"/>
                <c:pt idx="0" formatCode="_(* #,##0.00_);_(* \(#,##0.00\);_(* &quot;-&quot;??_);_(@_)">
                  <c:v>19520.136000000002</c:v>
                </c:pt>
                <c:pt idx="1">
                  <c:v>8120.6440000000002</c:v>
                </c:pt>
                <c:pt idx="2" formatCode="_(* #,##0.00_);_(* \(#,##0.00\);_(* &quot;-&quot;??_);_(@_)">
                  <c:v>0</c:v>
                </c:pt>
                <c:pt idx="3" formatCode="_(* #,##0.00_);_(* \(#,##0.00\);_(* &quot;-&quot;??_);_(@_)">
                  <c:v>59107.057999999997</c:v>
                </c:pt>
                <c:pt idx="4" formatCode="_(* #,##0.00_);_(* \(#,##0.00\);_(* &quot;-&quot;??_);_(@_)">
                  <c:v>54570.181000000004</c:v>
                </c:pt>
                <c:pt idx="5" formatCode="_(* #,##0.00_);_(* \(#,##0.00\);_(* &quot;-&quot;??_);_(@_)">
                  <c:v>3545.1330000000003</c:v>
                </c:pt>
                <c:pt idx="6" formatCode="_(* #,##0.00_);_(* \(#,##0.00\);_(* &quot;-&quot;??_);_(@_)">
                  <c:v>262.93700000000001</c:v>
                </c:pt>
              </c:numCache>
            </c:numRef>
          </c:val>
          <c:extLst>
            <c:ext xmlns:c16="http://schemas.microsoft.com/office/drawing/2014/chart" uri="{C3380CC4-5D6E-409C-BE32-E72D297353CC}">
              <c16:uniqueId val="{00000001-EF89-421E-A167-4C5CFCED7ED8}"/>
            </c:ext>
          </c:extLst>
        </c:ser>
        <c:ser>
          <c:idx val="2"/>
          <c:order val="2"/>
          <c:tx>
            <c:strRef>
              <c:f>'Infrastructure_by Vote'!$K$95</c:f>
              <c:strCache>
                <c:ptCount val="1"/>
                <c:pt idx="0">
                  <c:v>2022/23</c:v>
                </c:pt>
              </c:strCache>
            </c:strRef>
          </c:tx>
          <c:spPr>
            <a:solidFill>
              <a:schemeClr val="accent3"/>
            </a:solidFill>
            <a:ln>
              <a:noFill/>
            </a:ln>
            <a:effectLst/>
          </c:spPr>
          <c:invertIfNegative val="0"/>
          <c:cat>
            <c:strRef>
              <c:f>'Infrastructure_by Vote'!$H$96:$H$102</c:f>
              <c:strCache>
                <c:ptCount val="7"/>
                <c:pt idx="0">
                  <c:v>Learning and culture</c:v>
                </c:pt>
                <c:pt idx="1">
                  <c:v>Health</c:v>
                </c:pt>
                <c:pt idx="2">
                  <c:v>Social development</c:v>
                </c:pt>
                <c:pt idx="3">
                  <c:v>Community development</c:v>
                </c:pt>
                <c:pt idx="4">
                  <c:v>Economic development</c:v>
                </c:pt>
                <c:pt idx="5">
                  <c:v>Peace and security</c:v>
                </c:pt>
                <c:pt idx="6">
                  <c:v>General public services</c:v>
                </c:pt>
              </c:strCache>
            </c:strRef>
          </c:cat>
          <c:val>
            <c:numRef>
              <c:f>'Infrastructure_by Vote'!$K$96:$K$102</c:f>
              <c:numCache>
                <c:formatCode>_(* #,##0.0;_*\ \-#,##0.0;_(* "–"_);_(@_)</c:formatCode>
                <c:ptCount val="7"/>
                <c:pt idx="0" formatCode="_(* #,##0.00_);_(* \(#,##0.00\);_(* &quot;-&quot;??_);_(@_)">
                  <c:v>20412.835999999999</c:v>
                </c:pt>
                <c:pt idx="1">
                  <c:v>8610.2690000000002</c:v>
                </c:pt>
                <c:pt idx="2" formatCode="_(* #,##0.00_);_(* \(#,##0.00\);_(* &quot;-&quot;??_);_(@_)">
                  <c:v>0</c:v>
                </c:pt>
                <c:pt idx="3" formatCode="_(* #,##0.00_);_(* \(#,##0.00\);_(* &quot;-&quot;??_);_(@_)">
                  <c:v>61446.706999999995</c:v>
                </c:pt>
                <c:pt idx="4" formatCode="_(* #,##0.00_);_(* \(#,##0.00\);_(* &quot;-&quot;??_);_(@_)">
                  <c:v>58124.718000000001</c:v>
                </c:pt>
                <c:pt idx="5" formatCode="_(* #,##0.00_);_(* \(#,##0.00\);_(* &quot;-&quot;??_);_(@_)">
                  <c:v>3314.5810000000006</c:v>
                </c:pt>
                <c:pt idx="6" formatCode="_(* #,##0.00_);_(* \(#,##0.00\);_(* &quot;-&quot;??_);_(@_)">
                  <c:v>278.48299999999995</c:v>
                </c:pt>
              </c:numCache>
            </c:numRef>
          </c:val>
          <c:extLst>
            <c:ext xmlns:c16="http://schemas.microsoft.com/office/drawing/2014/chart" uri="{C3380CC4-5D6E-409C-BE32-E72D297353CC}">
              <c16:uniqueId val="{00000002-EF89-421E-A167-4C5CFCED7ED8}"/>
            </c:ext>
          </c:extLst>
        </c:ser>
        <c:dLbls>
          <c:showLegendKey val="0"/>
          <c:showVal val="0"/>
          <c:showCatName val="0"/>
          <c:showSerName val="0"/>
          <c:showPercent val="0"/>
          <c:showBubbleSize val="0"/>
        </c:dLbls>
        <c:gapWidth val="219"/>
        <c:overlap val="-27"/>
        <c:axId val="509949312"/>
        <c:axId val="509949872"/>
      </c:barChart>
      <c:catAx>
        <c:axId val="5099493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pitchFamily="2" charset="0"/>
                <a:ea typeface="+mn-ea"/>
                <a:cs typeface="+mn-cs"/>
              </a:defRPr>
            </a:pPr>
            <a:endParaRPr lang="en-US"/>
          </a:p>
        </c:txPr>
        <c:crossAx val="509949872"/>
        <c:crosses val="autoZero"/>
        <c:auto val="1"/>
        <c:lblAlgn val="ctr"/>
        <c:lblOffset val="100"/>
        <c:noMultiLvlLbl val="0"/>
      </c:catAx>
      <c:valAx>
        <c:axId val="509949872"/>
        <c:scaling>
          <c:orientation val="minMax"/>
        </c:scaling>
        <c:delete val="0"/>
        <c:axPos val="l"/>
        <c:majorGridlines>
          <c:spPr>
            <a:ln w="9525" cap="flat" cmpd="sng" algn="ctr">
              <a:solidFill>
                <a:schemeClr val="tx1">
                  <a:lumMod val="15000"/>
                  <a:lumOff val="85000"/>
                </a:schemeClr>
              </a:solidFill>
              <a:round/>
            </a:ln>
            <a:effectLst/>
          </c:spPr>
        </c:majorGridlines>
        <c:numFmt formatCode="_(* #,##0.00_);_(* \(#,##0.00\);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pitchFamily="2" charset="0"/>
                <a:ea typeface="+mn-ea"/>
                <a:cs typeface="+mn-cs"/>
              </a:defRPr>
            </a:pPr>
            <a:endParaRPr lang="en-US"/>
          </a:p>
        </c:txPr>
        <c:crossAx val="5099493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pitchFamily="2" charset="0"/>
              <a:ea typeface="+mn-ea"/>
              <a:cs typeface="+mn-cs"/>
            </a:defRPr>
          </a:pPr>
          <a:endParaRPr lang="en-US"/>
        </a:p>
      </c:txPr>
    </c:legend>
    <c:plotVisOnly val="1"/>
    <c:dispBlanksAs val="gap"/>
    <c:showDLblsOverMax val="0"/>
  </c:chart>
  <c:spPr>
    <a:solidFill>
      <a:schemeClr val="bg1"/>
    </a:solidFill>
    <a:ln w="9525" cap="flat" cmpd="sng" algn="ctr">
      <a:solidFill>
        <a:srgbClr val="000000"/>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cat>
            <c:strRef>
              <c:f>Sheet1!$G$35:$G$49</c:f>
              <c:strCache>
                <c:ptCount val="15"/>
                <c:pt idx="0">
                  <c:v>2016Q2</c:v>
                </c:pt>
                <c:pt idx="1">
                  <c:v>2016Q3</c:v>
                </c:pt>
                <c:pt idx="2">
                  <c:v>2016Q4</c:v>
                </c:pt>
                <c:pt idx="3">
                  <c:v>2017Q1</c:v>
                </c:pt>
                <c:pt idx="4">
                  <c:v>2017Q2</c:v>
                </c:pt>
                <c:pt idx="5">
                  <c:v>2017Q3</c:v>
                </c:pt>
                <c:pt idx="6">
                  <c:v>2017Q4</c:v>
                </c:pt>
                <c:pt idx="7">
                  <c:v>2018Q1</c:v>
                </c:pt>
                <c:pt idx="8">
                  <c:v>2018Q2</c:v>
                </c:pt>
                <c:pt idx="9">
                  <c:v>2018Q3</c:v>
                </c:pt>
                <c:pt idx="10">
                  <c:v>2018Q4</c:v>
                </c:pt>
                <c:pt idx="11">
                  <c:v>2019Q1</c:v>
                </c:pt>
                <c:pt idx="12">
                  <c:v>2019Q2</c:v>
                </c:pt>
                <c:pt idx="13">
                  <c:v>2019Q3</c:v>
                </c:pt>
                <c:pt idx="14">
                  <c:v>2019Q4</c:v>
                </c:pt>
              </c:strCache>
            </c:strRef>
          </c:cat>
          <c:val>
            <c:numRef>
              <c:f>Sheet1!$H$35:$H$49</c:f>
              <c:numCache>
                <c:formatCode>General</c:formatCode>
                <c:ptCount val="15"/>
                <c:pt idx="0">
                  <c:v>3.2</c:v>
                </c:pt>
                <c:pt idx="1">
                  <c:v>0.9</c:v>
                </c:pt>
                <c:pt idx="2">
                  <c:v>0.3</c:v>
                </c:pt>
                <c:pt idx="3">
                  <c:v>-0.3</c:v>
                </c:pt>
                <c:pt idx="4">
                  <c:v>3</c:v>
                </c:pt>
                <c:pt idx="5">
                  <c:v>2.8</c:v>
                </c:pt>
                <c:pt idx="6">
                  <c:v>3.4</c:v>
                </c:pt>
                <c:pt idx="7">
                  <c:v>-2.7</c:v>
                </c:pt>
                <c:pt idx="8">
                  <c:v>-0.5</c:v>
                </c:pt>
                <c:pt idx="9">
                  <c:v>2.6</c:v>
                </c:pt>
                <c:pt idx="10">
                  <c:v>1.4</c:v>
                </c:pt>
                <c:pt idx="11">
                  <c:v>-3.2</c:v>
                </c:pt>
                <c:pt idx="12">
                  <c:v>3.3</c:v>
                </c:pt>
                <c:pt idx="13">
                  <c:v>-0.8</c:v>
                </c:pt>
                <c:pt idx="14">
                  <c:v>-1.4</c:v>
                </c:pt>
              </c:numCache>
            </c:numRef>
          </c:val>
          <c:extLst>
            <c:ext xmlns:c16="http://schemas.microsoft.com/office/drawing/2014/chart" uri="{C3380CC4-5D6E-409C-BE32-E72D297353CC}">
              <c16:uniqueId val="{00000000-13EB-4590-A7BA-84331C10FF0F}"/>
            </c:ext>
          </c:extLst>
        </c:ser>
        <c:dLbls>
          <c:showLegendKey val="0"/>
          <c:showVal val="0"/>
          <c:showCatName val="0"/>
          <c:showSerName val="0"/>
          <c:showPercent val="0"/>
          <c:showBubbleSize val="0"/>
        </c:dLbls>
        <c:gapWidth val="219"/>
        <c:overlap val="-27"/>
        <c:axId val="275983664"/>
        <c:axId val="439673008"/>
      </c:barChart>
      <c:catAx>
        <c:axId val="275983664"/>
        <c:scaling>
          <c:orientation val="minMax"/>
        </c:scaling>
        <c:delete val="0"/>
        <c:axPos val="b"/>
        <c:numFmt formatCode="General" sourceLinked="1"/>
        <c:majorTickMark val="none"/>
        <c:minorTickMark val="none"/>
        <c:tickLblPos val="high"/>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900" b="0" i="0" u="none" strike="noStrike" kern="1200" baseline="0">
                <a:solidFill>
                  <a:schemeClr val="tx1">
                    <a:lumMod val="65000"/>
                    <a:lumOff val="35000"/>
                  </a:schemeClr>
                </a:solidFill>
                <a:latin typeface="Times" pitchFamily="2" charset="0"/>
                <a:ea typeface="+mn-ea"/>
                <a:cs typeface="+mn-cs"/>
              </a:defRPr>
            </a:pPr>
            <a:endParaRPr lang="en-US"/>
          </a:p>
        </c:txPr>
        <c:crossAx val="439673008"/>
        <c:crosses val="autoZero"/>
        <c:auto val="1"/>
        <c:lblAlgn val="ctr"/>
        <c:lblOffset val="100"/>
        <c:noMultiLvlLbl val="0"/>
      </c:catAx>
      <c:valAx>
        <c:axId val="43967300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pitchFamily="2" charset="0"/>
                    <a:ea typeface="+mn-ea"/>
                    <a:cs typeface="+mn-cs"/>
                  </a:defRPr>
                </a:pPr>
                <a:r>
                  <a:rPr lang="en-ZA">
                    <a:latin typeface="Times" pitchFamily="2" charset="0"/>
                  </a:rPr>
                  <a:t>Percentage</a:t>
                </a:r>
                <a:r>
                  <a:rPr lang="en-ZA" baseline="0">
                    <a:latin typeface="Times" pitchFamily="2" charset="0"/>
                  </a:rPr>
                  <a:t> </a:t>
                </a:r>
                <a:endParaRPr lang="en-ZA">
                  <a:latin typeface="Times" pitchFamily="2" charset="0"/>
                </a:endParaRP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pitchFamily="2" charset="0"/>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75983664"/>
        <c:crosses val="autoZero"/>
        <c:crossBetween val="between"/>
      </c:valAx>
      <c:spPr>
        <a:noFill/>
        <a:ln>
          <a:noFill/>
        </a:ln>
        <a:effectLst/>
      </c:spPr>
    </c:plotArea>
    <c:plotVisOnly val="1"/>
    <c:dispBlanksAs val="gap"/>
    <c:showDLblsOverMax val="0"/>
  </c:chart>
  <c:spPr>
    <a:solidFill>
      <a:schemeClr val="bg1"/>
    </a:solidFill>
    <a:ln w="9525" cap="flat" cmpd="sng" algn="ctr">
      <a:solidFill>
        <a:srgbClr val="000000"/>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9712565525409593E-2"/>
          <c:y val="7.6423519976669588E-2"/>
          <c:w val="0.91243228127124776"/>
          <c:h val="0.89814814814814814"/>
        </c:manualLayout>
      </c:layout>
      <c:barChart>
        <c:barDir val="col"/>
        <c:grouping val="clustered"/>
        <c:varyColors val="0"/>
        <c:ser>
          <c:idx val="0"/>
          <c:order val="0"/>
          <c:tx>
            <c:strRef>
              <c:f>Sheet1!$C$5</c:f>
              <c:strCache>
                <c:ptCount val="1"/>
                <c:pt idx="0">
                  <c:v>2020</c:v>
                </c:pt>
              </c:strCache>
            </c:strRef>
          </c:tx>
          <c:spPr>
            <a:solidFill>
              <a:schemeClr val="accent1"/>
            </a:solidFill>
            <a:ln>
              <a:noFill/>
            </a:ln>
            <a:effectLst/>
          </c:spPr>
          <c:invertIfNegative val="0"/>
          <c:dPt>
            <c:idx val="0"/>
            <c:invertIfNegative val="0"/>
            <c:bubble3D val="0"/>
            <c:spPr>
              <a:solidFill>
                <a:schemeClr val="accent6">
                  <a:lumMod val="60000"/>
                  <a:lumOff val="40000"/>
                </a:schemeClr>
              </a:solidFill>
              <a:ln>
                <a:noFill/>
              </a:ln>
              <a:effectLst/>
            </c:spPr>
            <c:extLst>
              <c:ext xmlns:c16="http://schemas.microsoft.com/office/drawing/2014/chart" uri="{C3380CC4-5D6E-409C-BE32-E72D297353CC}">
                <c16:uniqueId val="{00000001-356A-4D95-BB25-13BF842A2DE9}"/>
              </c:ext>
            </c:extLst>
          </c:dPt>
          <c:dPt>
            <c:idx val="1"/>
            <c:invertIfNegative val="0"/>
            <c:bubble3D val="0"/>
            <c:spPr>
              <a:solidFill>
                <a:srgbClr val="92D050"/>
              </a:solidFill>
              <a:ln>
                <a:noFill/>
              </a:ln>
              <a:effectLst/>
            </c:spPr>
            <c:extLst>
              <c:ext xmlns:c16="http://schemas.microsoft.com/office/drawing/2014/chart" uri="{C3380CC4-5D6E-409C-BE32-E72D297353CC}">
                <c16:uniqueId val="{00000002-356A-4D95-BB25-13BF842A2DE9}"/>
              </c:ext>
            </c:extLst>
          </c:dPt>
          <c:dPt>
            <c:idx val="2"/>
            <c:invertIfNegative val="0"/>
            <c:bubble3D val="0"/>
            <c:spPr>
              <a:solidFill>
                <a:schemeClr val="accent6">
                  <a:lumMod val="75000"/>
                </a:schemeClr>
              </a:solidFill>
              <a:ln>
                <a:noFill/>
              </a:ln>
              <a:effectLst/>
            </c:spPr>
            <c:extLst>
              <c:ext xmlns:c16="http://schemas.microsoft.com/office/drawing/2014/chart" uri="{C3380CC4-5D6E-409C-BE32-E72D297353CC}">
                <c16:uniqueId val="{00000003-356A-4D95-BB25-13BF842A2DE9}"/>
              </c:ext>
            </c:extLst>
          </c:dPt>
          <c:dPt>
            <c:idx val="3"/>
            <c:invertIfNegative val="0"/>
            <c:bubble3D val="0"/>
            <c:spPr>
              <a:solidFill>
                <a:schemeClr val="accent3">
                  <a:lumMod val="75000"/>
                </a:schemeClr>
              </a:solidFill>
              <a:ln>
                <a:noFill/>
              </a:ln>
              <a:effectLst/>
            </c:spPr>
            <c:extLst>
              <c:ext xmlns:c16="http://schemas.microsoft.com/office/drawing/2014/chart" uri="{C3380CC4-5D6E-409C-BE32-E72D297353CC}">
                <c16:uniqueId val="{00000004-356A-4D95-BB25-13BF842A2DE9}"/>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Times" pitchFamily="2" charset="0"/>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Sheet1!$B$6:$B$10</c:f>
              <c:strCache>
                <c:ptCount val="5"/>
                <c:pt idx="0">
                  <c:v>National Treasury*</c:v>
                </c:pt>
                <c:pt idx="1">
                  <c:v>SARB</c:v>
                </c:pt>
                <c:pt idx="2">
                  <c:v>IMF</c:v>
                </c:pt>
                <c:pt idx="3">
                  <c:v>PwC*</c:v>
                </c:pt>
                <c:pt idx="4">
                  <c:v>McKinsey &amp; Company*</c:v>
                </c:pt>
              </c:strCache>
            </c:strRef>
          </c:cat>
          <c:val>
            <c:numRef>
              <c:f>Sheet1!$C$6:$C$10</c:f>
              <c:numCache>
                <c:formatCode>General</c:formatCode>
                <c:ptCount val="5"/>
                <c:pt idx="0">
                  <c:v>-16.100000000000001</c:v>
                </c:pt>
                <c:pt idx="1">
                  <c:v>-6.1</c:v>
                </c:pt>
                <c:pt idx="2">
                  <c:v>-5.8</c:v>
                </c:pt>
                <c:pt idx="3">
                  <c:v>-20.399999999999999</c:v>
                </c:pt>
                <c:pt idx="4">
                  <c:v>-8.3000000000000007</c:v>
                </c:pt>
              </c:numCache>
            </c:numRef>
          </c:val>
          <c:extLst>
            <c:ext xmlns:c16="http://schemas.microsoft.com/office/drawing/2014/chart" uri="{C3380CC4-5D6E-409C-BE32-E72D297353CC}">
              <c16:uniqueId val="{00000000-356A-4D95-BB25-13BF842A2DE9}"/>
            </c:ext>
          </c:extLst>
        </c:ser>
        <c:dLbls>
          <c:showLegendKey val="0"/>
          <c:showVal val="0"/>
          <c:showCatName val="0"/>
          <c:showSerName val="0"/>
          <c:showPercent val="0"/>
          <c:showBubbleSize val="0"/>
        </c:dLbls>
        <c:gapWidth val="219"/>
        <c:overlap val="-27"/>
        <c:axId val="439675248"/>
        <c:axId val="439675808"/>
      </c:barChart>
      <c:catAx>
        <c:axId val="439675248"/>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Times" pitchFamily="2" charset="0"/>
                <a:ea typeface="+mn-ea"/>
                <a:cs typeface="+mn-cs"/>
              </a:defRPr>
            </a:pPr>
            <a:endParaRPr lang="en-US"/>
          </a:p>
        </c:txPr>
        <c:crossAx val="439675808"/>
        <c:crosses val="autoZero"/>
        <c:auto val="1"/>
        <c:lblAlgn val="ctr"/>
        <c:lblOffset val="100"/>
        <c:noMultiLvlLbl val="0"/>
      </c:catAx>
      <c:valAx>
        <c:axId val="43967580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pitchFamily="2" charset="0"/>
                <a:ea typeface="+mn-ea"/>
                <a:cs typeface="+mn-cs"/>
              </a:defRPr>
            </a:pPr>
            <a:endParaRPr lang="en-US"/>
          </a:p>
        </c:txPr>
        <c:crossAx val="439675248"/>
        <c:crosses val="autoZero"/>
        <c:crossBetween val="between"/>
      </c:valAx>
      <c:spPr>
        <a:noFill/>
        <a:ln>
          <a:noFill/>
        </a:ln>
        <a:effectLst/>
      </c:spPr>
    </c:plotArea>
    <c:plotVisOnly val="1"/>
    <c:dispBlanksAs val="gap"/>
    <c:showDLblsOverMax val="0"/>
  </c:chart>
  <c:spPr>
    <a:solidFill>
      <a:schemeClr val="bg1"/>
    </a:solidFill>
    <a:ln w="9525" cap="flat" cmpd="sng" algn="ctr">
      <a:solidFill>
        <a:srgbClr val="000000"/>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Sheet1!$G$49</c:f>
              <c:strCache>
                <c:ptCount val="1"/>
                <c:pt idx="0">
                  <c:v>Budget 2019</c:v>
                </c:pt>
              </c:strCache>
            </c:strRef>
          </c:tx>
          <c:spPr>
            <a:solidFill>
              <a:srgbClr val="4681BD"/>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pitchFamily="2" charset="0"/>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Sheet1!$F$50:$F$54</c:f>
              <c:strCache>
                <c:ptCount val="5"/>
                <c:pt idx="0">
                  <c:v>2018/19</c:v>
                </c:pt>
                <c:pt idx="1">
                  <c:v>2019/20e</c:v>
                </c:pt>
                <c:pt idx="2">
                  <c:v>2020/21f</c:v>
                </c:pt>
                <c:pt idx="3">
                  <c:v>2021/22f</c:v>
                </c:pt>
                <c:pt idx="4">
                  <c:v>2022/23f</c:v>
                </c:pt>
              </c:strCache>
            </c:strRef>
          </c:cat>
          <c:val>
            <c:numRef>
              <c:f>Sheet1!$G$50:$G$54</c:f>
              <c:numCache>
                <c:formatCode>General</c:formatCode>
                <c:ptCount val="5"/>
                <c:pt idx="0">
                  <c:v>-4.2</c:v>
                </c:pt>
                <c:pt idx="1">
                  <c:v>-4.5</c:v>
                </c:pt>
                <c:pt idx="2">
                  <c:v>-4.3</c:v>
                </c:pt>
                <c:pt idx="3">
                  <c:v>-4</c:v>
                </c:pt>
              </c:numCache>
            </c:numRef>
          </c:val>
          <c:extLst>
            <c:ext xmlns:c16="http://schemas.microsoft.com/office/drawing/2014/chart" uri="{C3380CC4-5D6E-409C-BE32-E72D297353CC}">
              <c16:uniqueId val="{00000000-20C6-4023-8CB9-5E366EA2A2F8}"/>
            </c:ext>
          </c:extLst>
        </c:ser>
        <c:ser>
          <c:idx val="1"/>
          <c:order val="1"/>
          <c:tx>
            <c:strRef>
              <c:f>Sheet1!$H$49</c:f>
              <c:strCache>
                <c:ptCount val="1"/>
                <c:pt idx="0">
                  <c:v>MTBPS 2019</c:v>
                </c:pt>
              </c:strCache>
            </c:strRef>
          </c:tx>
          <c:spPr>
            <a:solidFill>
              <a:srgbClr val="C0504D"/>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pitchFamily="2" charset="0"/>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Sheet1!$F$50:$F$54</c:f>
              <c:strCache>
                <c:ptCount val="5"/>
                <c:pt idx="0">
                  <c:v>2018/19</c:v>
                </c:pt>
                <c:pt idx="1">
                  <c:v>2019/20e</c:v>
                </c:pt>
                <c:pt idx="2">
                  <c:v>2020/21f</c:v>
                </c:pt>
                <c:pt idx="3">
                  <c:v>2021/22f</c:v>
                </c:pt>
                <c:pt idx="4">
                  <c:v>2022/23f</c:v>
                </c:pt>
              </c:strCache>
            </c:strRef>
          </c:cat>
          <c:val>
            <c:numRef>
              <c:f>Sheet1!$H$50:$H$54</c:f>
              <c:numCache>
                <c:formatCode>General</c:formatCode>
                <c:ptCount val="5"/>
                <c:pt idx="0">
                  <c:v>-4.2</c:v>
                </c:pt>
                <c:pt idx="1">
                  <c:v>-5.9</c:v>
                </c:pt>
                <c:pt idx="2">
                  <c:v>-6.5</c:v>
                </c:pt>
                <c:pt idx="3">
                  <c:v>-6.2</c:v>
                </c:pt>
                <c:pt idx="4">
                  <c:v>-5.9</c:v>
                </c:pt>
              </c:numCache>
            </c:numRef>
          </c:val>
          <c:extLst>
            <c:ext xmlns:c16="http://schemas.microsoft.com/office/drawing/2014/chart" uri="{C3380CC4-5D6E-409C-BE32-E72D297353CC}">
              <c16:uniqueId val="{00000001-20C6-4023-8CB9-5E366EA2A2F8}"/>
            </c:ext>
          </c:extLst>
        </c:ser>
        <c:ser>
          <c:idx val="2"/>
          <c:order val="2"/>
          <c:tx>
            <c:strRef>
              <c:f>Sheet1!$I$49</c:f>
              <c:strCache>
                <c:ptCount val="1"/>
                <c:pt idx="0">
                  <c:v>Budget 2020</c:v>
                </c:pt>
              </c:strCache>
            </c:strRef>
          </c:tx>
          <c:spPr>
            <a:solidFill>
              <a:srgbClr val="9BBB59"/>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pitchFamily="2" charset="0"/>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Sheet1!$F$50:$F$54</c:f>
              <c:strCache>
                <c:ptCount val="5"/>
                <c:pt idx="0">
                  <c:v>2018/19</c:v>
                </c:pt>
                <c:pt idx="1">
                  <c:v>2019/20e</c:v>
                </c:pt>
                <c:pt idx="2">
                  <c:v>2020/21f</c:v>
                </c:pt>
                <c:pt idx="3">
                  <c:v>2021/22f</c:v>
                </c:pt>
                <c:pt idx="4">
                  <c:v>2022/23f</c:v>
                </c:pt>
              </c:strCache>
            </c:strRef>
          </c:cat>
          <c:val>
            <c:numRef>
              <c:f>Sheet1!$I$50:$I$54</c:f>
              <c:numCache>
                <c:formatCode>General</c:formatCode>
                <c:ptCount val="5"/>
                <c:pt idx="0">
                  <c:v>-4.2</c:v>
                </c:pt>
                <c:pt idx="1">
                  <c:v>-6.3</c:v>
                </c:pt>
                <c:pt idx="2">
                  <c:v>-6.8</c:v>
                </c:pt>
                <c:pt idx="3">
                  <c:v>-6.2</c:v>
                </c:pt>
                <c:pt idx="4">
                  <c:v>-5.7</c:v>
                </c:pt>
              </c:numCache>
            </c:numRef>
          </c:val>
          <c:extLst>
            <c:ext xmlns:c16="http://schemas.microsoft.com/office/drawing/2014/chart" uri="{C3380CC4-5D6E-409C-BE32-E72D297353CC}">
              <c16:uniqueId val="{00000002-20C6-4023-8CB9-5E366EA2A2F8}"/>
            </c:ext>
          </c:extLst>
        </c:ser>
        <c:dLbls>
          <c:showLegendKey val="0"/>
          <c:showVal val="0"/>
          <c:showCatName val="0"/>
          <c:showSerName val="0"/>
          <c:showPercent val="0"/>
          <c:showBubbleSize val="0"/>
        </c:dLbls>
        <c:gapWidth val="219"/>
        <c:overlap val="-27"/>
        <c:axId val="56357216"/>
        <c:axId val="56357776"/>
      </c:barChart>
      <c:catAx>
        <c:axId val="5635721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high"/>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pitchFamily="2" charset="0"/>
                <a:ea typeface="+mn-ea"/>
                <a:cs typeface="+mn-cs"/>
              </a:defRPr>
            </a:pPr>
            <a:endParaRPr lang="en-US"/>
          </a:p>
        </c:txPr>
        <c:crossAx val="56357776"/>
        <c:crosses val="autoZero"/>
        <c:auto val="1"/>
        <c:lblAlgn val="ctr"/>
        <c:lblOffset val="100"/>
        <c:noMultiLvlLbl val="0"/>
      </c:catAx>
      <c:valAx>
        <c:axId val="56357776"/>
        <c:scaling>
          <c:orientation val="minMax"/>
        </c:scaling>
        <c:delete val="0"/>
        <c:axPos val="l"/>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Times" pitchFamily="2" charset="0"/>
                    <a:ea typeface="+mn-ea"/>
                    <a:cs typeface="+mn-cs"/>
                  </a:defRPr>
                </a:pPr>
                <a:r>
                  <a:rPr lang="en-ZA" sz="900">
                    <a:latin typeface="Times" pitchFamily="2" charset="0"/>
                  </a:rPr>
                  <a:t>Perentages </a:t>
                </a:r>
              </a:p>
            </c:rich>
          </c:tx>
          <c:overlay val="0"/>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Times" pitchFamily="2" charset="0"/>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63572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pitchFamily="2" charset="0"/>
              <a:ea typeface="+mn-ea"/>
              <a:cs typeface="+mn-cs"/>
            </a:defRPr>
          </a:pPr>
          <a:endParaRPr lang="en-US"/>
        </a:p>
      </c:txPr>
    </c:legend>
    <c:plotVisOnly val="1"/>
    <c:dispBlanksAs val="gap"/>
    <c:showDLblsOverMax val="0"/>
  </c:chart>
  <c:spPr>
    <a:solidFill>
      <a:schemeClr val="bg1"/>
    </a:solidFill>
    <a:ln w="9525" cap="flat" cmpd="sng" algn="ctr">
      <a:solidFill>
        <a:srgbClr val="000000"/>
      </a:solidFill>
      <a:round/>
    </a:ln>
    <a:effectLst/>
  </c:spPr>
  <c:txPr>
    <a:bodyPr/>
    <a:lstStyle/>
    <a:p>
      <a:pPr>
        <a:defRPr/>
      </a:pPr>
      <a:endParaRPr lang="en-US"/>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Sheet1!$H$60</c:f>
              <c:strCache>
                <c:ptCount val="1"/>
                <c:pt idx="0">
                  <c:v>Budget 2020</c:v>
                </c:pt>
              </c:strCache>
            </c:strRef>
          </c:tx>
          <c:spPr>
            <a:ln w="28575" cap="rnd">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ln>
                      <a:noFill/>
                    </a:ln>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Sheet1!$G$61:$G$64</c:f>
              <c:numCache>
                <c:formatCode>General</c:formatCode>
                <c:ptCount val="4"/>
                <c:pt idx="0">
                  <c:v>2018</c:v>
                </c:pt>
                <c:pt idx="1">
                  <c:v>2019</c:v>
                </c:pt>
                <c:pt idx="2">
                  <c:v>2020</c:v>
                </c:pt>
                <c:pt idx="3">
                  <c:v>2021</c:v>
                </c:pt>
              </c:numCache>
            </c:numRef>
          </c:cat>
          <c:val>
            <c:numRef>
              <c:f>Sheet1!$H$61:$H$64</c:f>
              <c:numCache>
                <c:formatCode>General</c:formatCode>
                <c:ptCount val="4"/>
                <c:pt idx="0">
                  <c:v>-4.2</c:v>
                </c:pt>
                <c:pt idx="1">
                  <c:v>-6.3</c:v>
                </c:pt>
                <c:pt idx="2">
                  <c:v>-6.8</c:v>
                </c:pt>
                <c:pt idx="3">
                  <c:v>-6.2</c:v>
                </c:pt>
              </c:numCache>
            </c:numRef>
          </c:val>
          <c:smooth val="0"/>
          <c:extLst>
            <c:ext xmlns:c16="http://schemas.microsoft.com/office/drawing/2014/chart" uri="{C3380CC4-5D6E-409C-BE32-E72D297353CC}">
              <c16:uniqueId val="{00000000-4FC2-45FD-9646-C5EA8B7F2BCF}"/>
            </c:ext>
          </c:extLst>
        </c:ser>
        <c:ser>
          <c:idx val="1"/>
          <c:order val="1"/>
          <c:tx>
            <c:strRef>
              <c:f>Sheet1!$I$60</c:f>
              <c:strCache>
                <c:ptCount val="1"/>
                <c:pt idx="0">
                  <c:v>IMF (Covid-19 impact)</c:v>
                </c:pt>
              </c:strCache>
            </c:strRef>
          </c:tx>
          <c:spPr>
            <a:ln w="28575" cap="rnd">
              <a:solidFill>
                <a:schemeClr val="accent2"/>
              </a:solidFill>
              <a:round/>
            </a:ln>
            <a:effectLst/>
          </c:spPr>
          <c:marker>
            <c:symbol val="none"/>
          </c:marker>
          <c:dLbls>
            <c:dLbl>
              <c:idx val="0"/>
              <c:delete val="1"/>
              <c:extLst>
                <c:ext xmlns:c15="http://schemas.microsoft.com/office/drawing/2012/chart" uri="{CE6537A1-D6FC-4f65-9D91-7224C49458BB}"/>
                <c:ext xmlns:c16="http://schemas.microsoft.com/office/drawing/2014/chart" uri="{C3380CC4-5D6E-409C-BE32-E72D297353CC}">
                  <c16:uniqueId val="{00000001-4094-4F29-8DD3-7B7F0600C8CF}"/>
                </c:ext>
              </c:extLst>
            </c:dLbl>
            <c:dLbl>
              <c:idx val="1"/>
              <c:delete val="1"/>
              <c:extLst>
                <c:ext xmlns:c15="http://schemas.microsoft.com/office/drawing/2012/chart" uri="{CE6537A1-D6FC-4f65-9D91-7224C49458BB}"/>
                <c:ext xmlns:c16="http://schemas.microsoft.com/office/drawing/2014/chart" uri="{C3380CC4-5D6E-409C-BE32-E72D297353CC}">
                  <c16:uniqueId val="{00000000-4094-4F29-8DD3-7B7F0600C8CF}"/>
                </c:ext>
              </c:extLst>
            </c:dLbl>
            <c:spPr>
              <a:noFill/>
              <a:ln>
                <a:noFill/>
              </a:ln>
              <a:effectLst/>
            </c:spPr>
            <c:txPr>
              <a:bodyPr rot="0" spcFirstLastPara="1" vertOverflow="ellipsis" vert="horz" wrap="square" anchor="ctr" anchorCtr="1"/>
              <a:lstStyle/>
              <a:p>
                <a:pPr>
                  <a:defRPr sz="900" b="0" i="0" u="none" strike="noStrike" kern="1200" baseline="0">
                    <a:ln>
                      <a:noFill/>
                    </a:ln>
                    <a:solidFill>
                      <a:schemeClr val="tx1">
                        <a:lumMod val="75000"/>
                        <a:lumOff val="25000"/>
                      </a:schemeClr>
                    </a:solidFill>
                    <a:latin typeface="Times" pitchFamily="2" charset="0"/>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Sheet1!$G$61:$G$64</c:f>
              <c:numCache>
                <c:formatCode>General</c:formatCode>
                <c:ptCount val="4"/>
                <c:pt idx="0">
                  <c:v>2018</c:v>
                </c:pt>
                <c:pt idx="1">
                  <c:v>2019</c:v>
                </c:pt>
                <c:pt idx="2">
                  <c:v>2020</c:v>
                </c:pt>
                <c:pt idx="3">
                  <c:v>2021</c:v>
                </c:pt>
              </c:numCache>
            </c:numRef>
          </c:cat>
          <c:val>
            <c:numRef>
              <c:f>Sheet1!$I$61:$I$64</c:f>
              <c:numCache>
                <c:formatCode>General</c:formatCode>
                <c:ptCount val="4"/>
                <c:pt idx="0">
                  <c:v>-4.0999999999999996</c:v>
                </c:pt>
                <c:pt idx="1">
                  <c:v>-6.3</c:v>
                </c:pt>
                <c:pt idx="2">
                  <c:v>-13.3</c:v>
                </c:pt>
                <c:pt idx="3">
                  <c:v>-12.7</c:v>
                </c:pt>
              </c:numCache>
            </c:numRef>
          </c:val>
          <c:smooth val="0"/>
          <c:extLst>
            <c:ext xmlns:c16="http://schemas.microsoft.com/office/drawing/2014/chart" uri="{C3380CC4-5D6E-409C-BE32-E72D297353CC}">
              <c16:uniqueId val="{00000001-4FC2-45FD-9646-C5EA8B7F2BCF}"/>
            </c:ext>
          </c:extLst>
        </c:ser>
        <c:dLbls>
          <c:showLegendKey val="0"/>
          <c:showVal val="0"/>
          <c:showCatName val="0"/>
          <c:showSerName val="0"/>
          <c:showPercent val="0"/>
          <c:showBubbleSize val="0"/>
        </c:dLbls>
        <c:smooth val="0"/>
        <c:axId val="407635968"/>
        <c:axId val="407636528"/>
      </c:lineChart>
      <c:catAx>
        <c:axId val="4076359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lumMod val="65000"/>
                    <a:lumOff val="35000"/>
                  </a:schemeClr>
                </a:solidFill>
                <a:latin typeface="+mn-lt"/>
                <a:ea typeface="+mn-ea"/>
                <a:cs typeface="+mn-cs"/>
              </a:defRPr>
            </a:pPr>
            <a:endParaRPr lang="en-US"/>
          </a:p>
        </c:txPr>
        <c:crossAx val="407636528"/>
        <c:crosses val="autoZero"/>
        <c:auto val="1"/>
        <c:lblAlgn val="ctr"/>
        <c:lblOffset val="100"/>
        <c:noMultiLvlLbl val="0"/>
      </c:catAx>
      <c:valAx>
        <c:axId val="40763652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lumMod val="65000"/>
                        <a:lumOff val="35000"/>
                      </a:schemeClr>
                    </a:solidFill>
                    <a:latin typeface="+mn-lt"/>
                    <a:ea typeface="+mn-ea"/>
                    <a:cs typeface="+mn-cs"/>
                  </a:defRPr>
                </a:pPr>
                <a:r>
                  <a:rPr lang="en-GB" sz="900" b="0">
                    <a:solidFill>
                      <a:schemeClr val="tx1"/>
                    </a:solidFill>
                    <a:latin typeface="Times New Roman" panose="02020603050405020304" pitchFamily="18" charset="0"/>
                    <a:cs typeface="Times New Roman" panose="02020603050405020304" pitchFamily="18" charset="0"/>
                  </a:rPr>
                  <a:t>Percentage</a:t>
                </a:r>
                <a:endParaRPr lang="en-GB" b="0">
                  <a:solidFill>
                    <a:schemeClr val="tx1"/>
                  </a:solidFill>
                  <a:latin typeface="Times New Roman" panose="02020603050405020304" pitchFamily="18" charset="0"/>
                  <a:cs typeface="Times New Roman" panose="02020603050405020304" pitchFamily="18" charset="0"/>
                </a:endParaRPr>
              </a:p>
            </c:rich>
          </c:tx>
          <c:overlay val="0"/>
          <c:spPr>
            <a:noFill/>
            <a:ln>
              <a:noFill/>
            </a:ln>
            <a:effectLst/>
          </c:spPr>
          <c:txPr>
            <a:bodyPr rot="-5400000" spcFirstLastPara="1" vertOverflow="ellipsis" vert="horz" wrap="square" anchor="ctr" anchorCtr="1"/>
            <a:lstStyle/>
            <a:p>
              <a:pPr>
                <a:defRPr sz="1000" b="0" i="0" u="none" strike="noStrike" kern="1200" baseline="0">
                  <a:ln>
                    <a:noFill/>
                  </a:ln>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lumMod val="65000"/>
                    <a:lumOff val="35000"/>
                  </a:schemeClr>
                </a:solidFill>
                <a:latin typeface="Times" pitchFamily="2" charset="0"/>
                <a:ea typeface="+mn-ea"/>
                <a:cs typeface="+mn-cs"/>
              </a:defRPr>
            </a:pPr>
            <a:endParaRPr lang="en-US"/>
          </a:p>
        </c:txPr>
        <c:crossAx val="4076359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ln>
                <a:noFill/>
              </a:ln>
              <a:solidFill>
                <a:schemeClr val="tx1">
                  <a:lumMod val="65000"/>
                  <a:lumOff val="35000"/>
                </a:schemeClr>
              </a:solidFill>
              <a:latin typeface="Times" pitchFamily="2" charset="0"/>
              <a:ea typeface="+mn-ea"/>
              <a:cs typeface="+mn-cs"/>
            </a:defRPr>
          </a:pPr>
          <a:endParaRPr lang="en-US"/>
        </a:p>
      </c:txPr>
    </c:legend>
    <c:plotVisOnly val="1"/>
    <c:dispBlanksAs val="gap"/>
    <c:showDLblsOverMax val="0"/>
  </c:chart>
  <c:spPr>
    <a:solidFill>
      <a:schemeClr val="bg1"/>
    </a:solidFill>
    <a:ln w="9525" cap="flat" cmpd="sng" algn="ctr">
      <a:solidFill>
        <a:srgbClr val="000000"/>
      </a:solidFill>
      <a:round/>
    </a:ln>
    <a:effectLst/>
  </c:spPr>
  <c:txPr>
    <a:bodyPr/>
    <a:lstStyle/>
    <a:p>
      <a:pPr>
        <a:defRPr>
          <a:ln>
            <a:noFill/>
          </a:ln>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Sheet1!$G$88</c:f>
              <c:strCache>
                <c:ptCount val="1"/>
                <c:pt idx="0">
                  <c:v>Budget 2019</c:v>
                </c:pt>
              </c:strCache>
            </c:strRef>
          </c:tx>
          <c:spPr>
            <a:ln w="28575" cap="rnd">
              <a:solidFill>
                <a:schemeClr val="accent1"/>
              </a:solidFill>
              <a:round/>
            </a:ln>
            <a:effectLst/>
          </c:spPr>
          <c:marker>
            <c:symbol val="none"/>
          </c:marker>
          <c:cat>
            <c:strRef>
              <c:f>Sheet1!$F$89:$F$96</c:f>
              <c:strCache>
                <c:ptCount val="8"/>
                <c:pt idx="0">
                  <c:v>2015/16</c:v>
                </c:pt>
                <c:pt idx="1">
                  <c:v>2016/17</c:v>
                </c:pt>
                <c:pt idx="2">
                  <c:v>2017/18</c:v>
                </c:pt>
                <c:pt idx="3">
                  <c:v>2018/19</c:v>
                </c:pt>
                <c:pt idx="4">
                  <c:v>2019/20</c:v>
                </c:pt>
                <c:pt idx="5">
                  <c:v>2020/21</c:v>
                </c:pt>
                <c:pt idx="6">
                  <c:v>2021/22</c:v>
                </c:pt>
                <c:pt idx="7">
                  <c:v>2022/23</c:v>
                </c:pt>
              </c:strCache>
            </c:strRef>
          </c:cat>
          <c:val>
            <c:numRef>
              <c:f>Sheet1!$G$89:$G$96</c:f>
              <c:numCache>
                <c:formatCode>General</c:formatCode>
                <c:ptCount val="8"/>
                <c:pt idx="0">
                  <c:v>48.9</c:v>
                </c:pt>
                <c:pt idx="1">
                  <c:v>50.6</c:v>
                </c:pt>
                <c:pt idx="2">
                  <c:v>52.7</c:v>
                </c:pt>
                <c:pt idx="3">
                  <c:v>55.6</c:v>
                </c:pt>
                <c:pt idx="4">
                  <c:v>56.2</c:v>
                </c:pt>
                <c:pt idx="5">
                  <c:v>57.8</c:v>
                </c:pt>
                <c:pt idx="6">
                  <c:v>58.9</c:v>
                </c:pt>
              </c:numCache>
            </c:numRef>
          </c:val>
          <c:smooth val="0"/>
          <c:extLst>
            <c:ext xmlns:c16="http://schemas.microsoft.com/office/drawing/2014/chart" uri="{C3380CC4-5D6E-409C-BE32-E72D297353CC}">
              <c16:uniqueId val="{00000000-9BC6-4A29-838F-26C884E8D759}"/>
            </c:ext>
          </c:extLst>
        </c:ser>
        <c:ser>
          <c:idx val="1"/>
          <c:order val="1"/>
          <c:tx>
            <c:strRef>
              <c:f>Sheet1!$H$88</c:f>
              <c:strCache>
                <c:ptCount val="1"/>
                <c:pt idx="0">
                  <c:v>Budget 2020</c:v>
                </c:pt>
              </c:strCache>
            </c:strRef>
          </c:tx>
          <c:spPr>
            <a:ln w="28575" cap="rnd">
              <a:solidFill>
                <a:schemeClr val="accent2"/>
              </a:solidFill>
              <a:round/>
            </a:ln>
            <a:effectLst/>
          </c:spPr>
          <c:marker>
            <c:symbol val="none"/>
          </c:marker>
          <c:cat>
            <c:strRef>
              <c:f>Sheet1!$F$89:$F$96</c:f>
              <c:strCache>
                <c:ptCount val="8"/>
                <c:pt idx="0">
                  <c:v>2015/16</c:v>
                </c:pt>
                <c:pt idx="1">
                  <c:v>2016/17</c:v>
                </c:pt>
                <c:pt idx="2">
                  <c:v>2017/18</c:v>
                </c:pt>
                <c:pt idx="3">
                  <c:v>2018/19</c:v>
                </c:pt>
                <c:pt idx="4">
                  <c:v>2019/20</c:v>
                </c:pt>
                <c:pt idx="5">
                  <c:v>2020/21</c:v>
                </c:pt>
                <c:pt idx="6">
                  <c:v>2021/22</c:v>
                </c:pt>
                <c:pt idx="7">
                  <c:v>2022/23</c:v>
                </c:pt>
              </c:strCache>
            </c:strRef>
          </c:cat>
          <c:val>
            <c:numRef>
              <c:f>Sheet1!$H$89:$H$96</c:f>
              <c:numCache>
                <c:formatCode>General</c:formatCode>
                <c:ptCount val="8"/>
                <c:pt idx="0">
                  <c:v>48.9</c:v>
                </c:pt>
                <c:pt idx="1">
                  <c:v>50.5</c:v>
                </c:pt>
                <c:pt idx="2">
                  <c:v>53</c:v>
                </c:pt>
                <c:pt idx="3">
                  <c:v>56.7</c:v>
                </c:pt>
                <c:pt idx="4">
                  <c:v>61.6</c:v>
                </c:pt>
                <c:pt idx="5">
                  <c:v>65.599999999999994</c:v>
                </c:pt>
                <c:pt idx="6">
                  <c:v>69.099999999999994</c:v>
                </c:pt>
                <c:pt idx="7">
                  <c:v>71.599999999999994</c:v>
                </c:pt>
              </c:numCache>
            </c:numRef>
          </c:val>
          <c:smooth val="0"/>
          <c:extLst>
            <c:ext xmlns:c16="http://schemas.microsoft.com/office/drawing/2014/chart" uri="{C3380CC4-5D6E-409C-BE32-E72D297353CC}">
              <c16:uniqueId val="{00000001-9BC6-4A29-838F-26C884E8D759}"/>
            </c:ext>
          </c:extLst>
        </c:ser>
        <c:dLbls>
          <c:showLegendKey val="0"/>
          <c:showVal val="0"/>
          <c:showCatName val="0"/>
          <c:showSerName val="0"/>
          <c:showPercent val="0"/>
          <c:showBubbleSize val="0"/>
        </c:dLbls>
        <c:smooth val="0"/>
        <c:axId val="268410656"/>
        <c:axId val="268411216"/>
      </c:lineChart>
      <c:catAx>
        <c:axId val="2684106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pitchFamily="2" charset="0"/>
                <a:ea typeface="+mn-ea"/>
                <a:cs typeface="+mn-cs"/>
              </a:defRPr>
            </a:pPr>
            <a:endParaRPr lang="en-US"/>
          </a:p>
        </c:txPr>
        <c:crossAx val="268411216"/>
        <c:crosses val="autoZero"/>
        <c:auto val="1"/>
        <c:lblAlgn val="ctr"/>
        <c:lblOffset val="100"/>
        <c:noMultiLvlLbl val="0"/>
      </c:catAx>
      <c:valAx>
        <c:axId val="26841121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pitchFamily="2" charset="0"/>
                    <a:ea typeface="+mn-ea"/>
                    <a:cs typeface="+mn-cs"/>
                  </a:defRPr>
                </a:pPr>
                <a:r>
                  <a:rPr lang="en-ZA">
                    <a:latin typeface="Times" pitchFamily="2" charset="0"/>
                  </a:rPr>
                  <a:t>Percentage</a:t>
                </a:r>
                <a:r>
                  <a:rPr lang="en-ZA" baseline="0">
                    <a:latin typeface="Times" pitchFamily="2" charset="0"/>
                  </a:rPr>
                  <a:t> </a:t>
                </a:r>
                <a:endParaRPr lang="en-ZA">
                  <a:latin typeface="Times" pitchFamily="2" charset="0"/>
                </a:endParaRP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pitchFamily="2" charset="0"/>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pitchFamily="2" charset="0"/>
                <a:ea typeface="+mn-ea"/>
                <a:cs typeface="+mn-cs"/>
              </a:defRPr>
            </a:pPr>
            <a:endParaRPr lang="en-US"/>
          </a:p>
        </c:txPr>
        <c:crossAx val="2684106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pitchFamily="2" charset="0"/>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rgbClr val="000000"/>
      </a:solidFill>
      <a:round/>
    </a:ln>
    <a:effectLst/>
  </c:spPr>
  <c:txPr>
    <a:bodyPr/>
    <a:lstStyle/>
    <a:p>
      <a:pPr>
        <a:defRPr/>
      </a:pPr>
      <a:endParaRPr lang="en-US"/>
    </a:p>
  </c:txPr>
  <c:externalData r:id="rId4">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200618240223364"/>
          <c:y val="0.1399425287356322"/>
          <c:w val="0.85859535536348319"/>
          <c:h val="0.75719825514768413"/>
        </c:manualLayout>
      </c:layout>
      <c:lineChart>
        <c:grouping val="standard"/>
        <c:varyColors val="0"/>
        <c:ser>
          <c:idx val="0"/>
          <c:order val="0"/>
          <c:tx>
            <c:strRef>
              <c:f>Sheet5!$C$1</c:f>
              <c:strCache>
                <c:ptCount val="1"/>
                <c:pt idx="0">
                  <c:v>Budget 2020</c:v>
                </c:pt>
              </c:strCache>
            </c:strRef>
          </c:tx>
          <c:spPr>
            <a:ln w="28575" cap="rnd">
              <a:solidFill>
                <a:schemeClr val="accent1"/>
              </a:solidFill>
              <a:round/>
            </a:ln>
            <a:effectLst/>
          </c:spPr>
          <c:marker>
            <c:symbol val="none"/>
          </c:marker>
          <c:dLbls>
            <c:dLbl>
              <c:idx val="0"/>
              <c:delete val="1"/>
              <c:extLst>
                <c:ext xmlns:c15="http://schemas.microsoft.com/office/drawing/2012/chart" uri="{CE6537A1-D6FC-4f65-9D91-7224C49458BB}"/>
                <c:ext xmlns:c16="http://schemas.microsoft.com/office/drawing/2014/chart" uri="{C3380CC4-5D6E-409C-BE32-E72D297353CC}">
                  <c16:uniqueId val="{00000000-3EB2-4BD5-9FE3-A7CDA2E89B46}"/>
                </c:ext>
              </c:extLst>
            </c:dLbl>
            <c:dLbl>
              <c:idx val="1"/>
              <c:delete val="1"/>
              <c:extLst>
                <c:ext xmlns:c15="http://schemas.microsoft.com/office/drawing/2012/chart" uri="{CE6537A1-D6FC-4f65-9D91-7224C49458BB}"/>
                <c:ext xmlns:c16="http://schemas.microsoft.com/office/drawing/2014/chart" uri="{C3380CC4-5D6E-409C-BE32-E72D297353CC}">
                  <c16:uniqueId val="{00000001-3EB2-4BD5-9FE3-A7CDA2E89B46}"/>
                </c:ext>
              </c:extLst>
            </c:dLbl>
            <c:dLbl>
              <c:idx val="2"/>
              <c:delete val="1"/>
              <c:extLst>
                <c:ext xmlns:c15="http://schemas.microsoft.com/office/drawing/2012/chart" uri="{CE6537A1-D6FC-4f65-9D91-7224C49458BB}"/>
                <c:ext xmlns:c16="http://schemas.microsoft.com/office/drawing/2014/chart" uri="{C3380CC4-5D6E-409C-BE32-E72D297353CC}">
                  <c16:uniqueId val="{00000002-3EB2-4BD5-9FE3-A7CDA2E89B46}"/>
                </c:ext>
              </c:extLst>
            </c:dLbl>
            <c:dLbl>
              <c:idx val="3"/>
              <c:layout>
                <c:manualLayout>
                  <c:x val="-2.2614201718679332E-3"/>
                  <c:y val="4.926108374384229E-2"/>
                </c:manualLayout>
              </c:layout>
              <c:showLegendKey val="0"/>
              <c:showVal val="0"/>
              <c:showCatName val="0"/>
              <c:showSerName val="1"/>
              <c:showPercent val="0"/>
              <c:showBubbleSize val="0"/>
              <c:extLst>
                <c:ext xmlns:c15="http://schemas.microsoft.com/office/drawing/2012/chart" uri="{CE6537A1-D6FC-4f65-9D91-7224C49458BB}"/>
                <c:ext xmlns:c16="http://schemas.microsoft.com/office/drawing/2014/chart" uri="{C3380CC4-5D6E-409C-BE32-E72D297353CC}">
                  <c16:uniqueId val="{00000003-3EB2-4BD5-9FE3-A7CDA2E89B46}"/>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0"/>
            <c:showCatName val="0"/>
            <c:showSerName val="1"/>
            <c:showPercent val="0"/>
            <c:showBubbleSize val="0"/>
            <c:showLeaderLines val="0"/>
            <c:extLst>
              <c:ext xmlns:c15="http://schemas.microsoft.com/office/drawing/2012/chart" uri="{CE6537A1-D6FC-4f65-9D91-7224C49458BB}">
                <c15:showLeaderLines val="0"/>
              </c:ext>
            </c:extLst>
          </c:dLbls>
          <c:cat>
            <c:numRef>
              <c:f>Sheet5!$B$2:$B$5</c:f>
              <c:numCache>
                <c:formatCode>General</c:formatCode>
                <c:ptCount val="4"/>
                <c:pt idx="0">
                  <c:v>2018</c:v>
                </c:pt>
                <c:pt idx="1">
                  <c:v>2019</c:v>
                </c:pt>
                <c:pt idx="2">
                  <c:v>2020</c:v>
                </c:pt>
                <c:pt idx="3">
                  <c:v>2021</c:v>
                </c:pt>
              </c:numCache>
            </c:numRef>
          </c:cat>
          <c:val>
            <c:numRef>
              <c:f>Sheet5!$C$2:$C$5</c:f>
              <c:numCache>
                <c:formatCode>General</c:formatCode>
                <c:ptCount val="4"/>
                <c:pt idx="0">
                  <c:v>56.7</c:v>
                </c:pt>
                <c:pt idx="1">
                  <c:v>62.2</c:v>
                </c:pt>
                <c:pt idx="2">
                  <c:v>65.599999999999994</c:v>
                </c:pt>
                <c:pt idx="3">
                  <c:v>69.099999999999994</c:v>
                </c:pt>
              </c:numCache>
            </c:numRef>
          </c:val>
          <c:smooth val="0"/>
          <c:extLst>
            <c:ext xmlns:c16="http://schemas.microsoft.com/office/drawing/2014/chart" uri="{C3380CC4-5D6E-409C-BE32-E72D297353CC}">
              <c16:uniqueId val="{00000004-3EB2-4BD5-9FE3-A7CDA2E89B46}"/>
            </c:ext>
          </c:extLst>
        </c:ser>
        <c:ser>
          <c:idx val="1"/>
          <c:order val="1"/>
          <c:tx>
            <c:strRef>
              <c:f>Sheet5!$D$1</c:f>
              <c:strCache>
                <c:ptCount val="1"/>
                <c:pt idx="0">
                  <c:v>IMF (Covid-19 Impact)</c:v>
                </c:pt>
              </c:strCache>
            </c:strRef>
          </c:tx>
          <c:spPr>
            <a:ln w="28575" cap="rnd">
              <a:solidFill>
                <a:schemeClr val="accent2"/>
              </a:solidFill>
              <a:round/>
            </a:ln>
            <a:effectLst/>
          </c:spPr>
          <c:marker>
            <c:symbol val="none"/>
          </c:marker>
          <c:dPt>
            <c:idx val="2"/>
            <c:marker>
              <c:symbol val="none"/>
            </c:marker>
            <c:bubble3D val="0"/>
            <c:spPr>
              <a:ln w="28575" cap="rnd">
                <a:solidFill>
                  <a:srgbClr val="92D050"/>
                </a:solidFill>
                <a:round/>
              </a:ln>
              <a:effectLst/>
            </c:spPr>
            <c:extLst>
              <c:ext xmlns:c16="http://schemas.microsoft.com/office/drawing/2014/chart" uri="{C3380CC4-5D6E-409C-BE32-E72D297353CC}">
                <c16:uniqueId val="{00000006-3EB2-4BD5-9FE3-A7CDA2E89B46}"/>
              </c:ext>
            </c:extLst>
          </c:dPt>
          <c:dPt>
            <c:idx val="3"/>
            <c:marker>
              <c:symbol val="none"/>
            </c:marker>
            <c:bubble3D val="0"/>
            <c:spPr>
              <a:ln w="28575" cap="rnd">
                <a:solidFill>
                  <a:srgbClr val="00B050"/>
                </a:solidFill>
                <a:round/>
              </a:ln>
              <a:effectLst/>
            </c:spPr>
            <c:extLst>
              <c:ext xmlns:c16="http://schemas.microsoft.com/office/drawing/2014/chart" uri="{C3380CC4-5D6E-409C-BE32-E72D297353CC}">
                <c16:uniqueId val="{00000008-3EB2-4BD5-9FE3-A7CDA2E89B46}"/>
              </c:ext>
            </c:extLst>
          </c:dPt>
          <c:dLbls>
            <c:dLbl>
              <c:idx val="0"/>
              <c:delete val="1"/>
              <c:extLst>
                <c:ext xmlns:c15="http://schemas.microsoft.com/office/drawing/2012/chart" uri="{CE6537A1-D6FC-4f65-9D91-7224C49458BB}"/>
                <c:ext xmlns:c16="http://schemas.microsoft.com/office/drawing/2014/chart" uri="{C3380CC4-5D6E-409C-BE32-E72D297353CC}">
                  <c16:uniqueId val="{00000009-3EB2-4BD5-9FE3-A7CDA2E89B46}"/>
                </c:ext>
              </c:extLst>
            </c:dLbl>
            <c:dLbl>
              <c:idx val="1"/>
              <c:delete val="1"/>
              <c:extLst>
                <c:ext xmlns:c15="http://schemas.microsoft.com/office/drawing/2012/chart" uri="{CE6537A1-D6FC-4f65-9D91-7224C49458BB}"/>
                <c:ext xmlns:c16="http://schemas.microsoft.com/office/drawing/2014/chart" uri="{C3380CC4-5D6E-409C-BE32-E72D297353CC}">
                  <c16:uniqueId val="{0000000A-3EB2-4BD5-9FE3-A7CDA2E89B46}"/>
                </c:ext>
              </c:extLst>
            </c:dLbl>
            <c:dLbl>
              <c:idx val="2"/>
              <c:delete val="1"/>
              <c:extLst>
                <c:ext xmlns:c15="http://schemas.microsoft.com/office/drawing/2012/chart" uri="{CE6537A1-D6FC-4f65-9D91-7224C49458BB}"/>
                <c:ext xmlns:c16="http://schemas.microsoft.com/office/drawing/2014/chart" uri="{C3380CC4-5D6E-409C-BE32-E72D297353CC}">
                  <c16:uniqueId val="{00000006-3EB2-4BD5-9FE3-A7CDA2E89B46}"/>
                </c:ext>
              </c:extLst>
            </c:dLbl>
            <c:dLbl>
              <c:idx val="3"/>
              <c:layout>
                <c:manualLayout>
                  <c:x val="0"/>
                  <c:y val="-2.3474178403755867E-2"/>
                </c:manualLayout>
              </c:layout>
              <c:showLegendKey val="0"/>
              <c:showVal val="0"/>
              <c:showCatName val="0"/>
              <c:showSerName val="1"/>
              <c:showPercent val="0"/>
              <c:showBubbleSize val="0"/>
              <c:extLst>
                <c:ext xmlns:c15="http://schemas.microsoft.com/office/drawing/2012/chart" uri="{CE6537A1-D6FC-4f65-9D91-7224C49458BB}"/>
                <c:ext xmlns:c16="http://schemas.microsoft.com/office/drawing/2014/chart" uri="{C3380CC4-5D6E-409C-BE32-E72D297353CC}">
                  <c16:uniqueId val="{00000008-3EB2-4BD5-9FE3-A7CDA2E89B46}"/>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0"/>
            <c:showCatName val="0"/>
            <c:showSerName val="1"/>
            <c:showPercent val="0"/>
            <c:showBubbleSize val="0"/>
            <c:showLeaderLines val="0"/>
            <c:extLst>
              <c:ext xmlns:c15="http://schemas.microsoft.com/office/drawing/2012/chart" uri="{CE6537A1-D6FC-4f65-9D91-7224C49458BB}">
                <c15:showLeaderLines val="0"/>
              </c:ext>
            </c:extLst>
          </c:dLbls>
          <c:cat>
            <c:numRef>
              <c:f>Sheet5!$B$2:$B$5</c:f>
              <c:numCache>
                <c:formatCode>General</c:formatCode>
                <c:ptCount val="4"/>
                <c:pt idx="0">
                  <c:v>2018</c:v>
                </c:pt>
                <c:pt idx="1">
                  <c:v>2019</c:v>
                </c:pt>
                <c:pt idx="2">
                  <c:v>2020</c:v>
                </c:pt>
                <c:pt idx="3">
                  <c:v>2021</c:v>
                </c:pt>
              </c:numCache>
            </c:numRef>
          </c:cat>
          <c:val>
            <c:numRef>
              <c:f>Sheet5!$D$2:$D$5</c:f>
              <c:numCache>
                <c:formatCode>General</c:formatCode>
                <c:ptCount val="4"/>
                <c:pt idx="0">
                  <c:v>56.7</c:v>
                </c:pt>
                <c:pt idx="1">
                  <c:v>62.2</c:v>
                </c:pt>
                <c:pt idx="2">
                  <c:v>77.400000000000006</c:v>
                </c:pt>
                <c:pt idx="3">
                  <c:v>85.6</c:v>
                </c:pt>
              </c:numCache>
            </c:numRef>
          </c:val>
          <c:smooth val="0"/>
          <c:extLst>
            <c:ext xmlns:c16="http://schemas.microsoft.com/office/drawing/2014/chart" uri="{C3380CC4-5D6E-409C-BE32-E72D297353CC}">
              <c16:uniqueId val="{0000000B-3EB2-4BD5-9FE3-A7CDA2E89B46}"/>
            </c:ext>
          </c:extLst>
        </c:ser>
        <c:dLbls>
          <c:showLegendKey val="0"/>
          <c:showVal val="0"/>
          <c:showCatName val="0"/>
          <c:showSerName val="0"/>
          <c:showPercent val="0"/>
          <c:showBubbleSize val="0"/>
        </c:dLbls>
        <c:smooth val="0"/>
        <c:axId val="824223568"/>
        <c:axId val="824224400"/>
      </c:lineChart>
      <c:catAx>
        <c:axId val="8242235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824224400"/>
        <c:crosses val="autoZero"/>
        <c:auto val="1"/>
        <c:lblAlgn val="ctr"/>
        <c:lblOffset val="100"/>
        <c:noMultiLvlLbl val="0"/>
      </c:catAx>
      <c:valAx>
        <c:axId val="82422440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latin typeface="Times New Roman" panose="02020603050405020304" pitchFamily="18" charset="0"/>
                    <a:cs typeface="Times New Roman" panose="02020603050405020304" pitchFamily="18" charset="0"/>
                  </a:rPr>
                  <a:t>Percentages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824223568"/>
        <c:crosses val="autoZero"/>
        <c:crossBetween val="between"/>
      </c:valAx>
      <c:spPr>
        <a:noFill/>
        <a:ln>
          <a:noFill/>
        </a:ln>
        <a:effectLst/>
      </c:spPr>
    </c:plotArea>
    <c:plotVisOnly val="1"/>
    <c:dispBlanksAs val="gap"/>
    <c:showDLblsOverMax val="0"/>
  </c:chart>
  <c:spPr>
    <a:solidFill>
      <a:schemeClr val="bg1"/>
    </a:solidFill>
    <a:ln w="9525" cap="flat" cmpd="sng" algn="ctr">
      <a:solidFill>
        <a:srgbClr val="000000"/>
      </a:solid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spPr>
            <a:solidFill>
              <a:schemeClr val="accent1"/>
            </a:solidFill>
            <a:ln>
              <a:noFill/>
            </a:ln>
            <a:effectLst/>
          </c:spPr>
          <c:invertIfNegative val="0"/>
          <c:dPt>
            <c:idx val="0"/>
            <c:invertIfNegative val="0"/>
            <c:bubble3D val="0"/>
            <c:spPr>
              <a:solidFill>
                <a:srgbClr val="004C45">
                  <a:lumMod val="75000"/>
                  <a:lumOff val="25000"/>
                </a:srgbClr>
              </a:solidFill>
              <a:ln>
                <a:noFill/>
              </a:ln>
              <a:effectLst/>
            </c:spPr>
            <c:extLst>
              <c:ext xmlns:c16="http://schemas.microsoft.com/office/drawing/2014/chart" uri="{C3380CC4-5D6E-409C-BE32-E72D297353CC}">
                <c16:uniqueId val="{00000000-F6BB-4DA9-A4C3-1CCE97E6F37C}"/>
              </c:ext>
            </c:extLst>
          </c:dPt>
          <c:dPt>
            <c:idx val="1"/>
            <c:invertIfNegative val="0"/>
            <c:bubble3D val="0"/>
            <c:spPr>
              <a:solidFill>
                <a:srgbClr val="C0504D">
                  <a:lumMod val="75000"/>
                </a:srgbClr>
              </a:solidFill>
              <a:ln>
                <a:noFill/>
              </a:ln>
              <a:effectLst/>
            </c:spPr>
            <c:extLst>
              <c:ext xmlns:c16="http://schemas.microsoft.com/office/drawing/2014/chart" uri="{C3380CC4-5D6E-409C-BE32-E72D297353CC}">
                <c16:uniqueId val="{00000001-F6BB-4DA9-A4C3-1CCE97E6F37C}"/>
              </c:ext>
            </c:extLst>
          </c:dPt>
          <c:dPt>
            <c:idx val="2"/>
            <c:invertIfNegative val="0"/>
            <c:bubble3D val="0"/>
            <c:spPr>
              <a:solidFill>
                <a:srgbClr val="F79646">
                  <a:lumMod val="75000"/>
                </a:srgbClr>
              </a:solidFill>
              <a:ln>
                <a:noFill/>
              </a:ln>
              <a:effectLst/>
            </c:spPr>
            <c:extLst>
              <c:ext xmlns:c16="http://schemas.microsoft.com/office/drawing/2014/chart" uri="{C3380CC4-5D6E-409C-BE32-E72D297353CC}">
                <c16:uniqueId val="{00000002-F6BB-4DA9-A4C3-1CCE97E6F37C}"/>
              </c:ext>
            </c:extLst>
          </c:dPt>
          <c:dPt>
            <c:idx val="3"/>
            <c:invertIfNegative val="0"/>
            <c:bubble3D val="0"/>
            <c:spPr>
              <a:solidFill>
                <a:srgbClr val="004C45">
                  <a:lumMod val="50000"/>
                  <a:lumOff val="50000"/>
                </a:srgbClr>
              </a:solidFill>
              <a:ln>
                <a:noFill/>
              </a:ln>
              <a:effectLst/>
            </c:spPr>
            <c:extLst>
              <c:ext xmlns:c16="http://schemas.microsoft.com/office/drawing/2014/chart" uri="{C3380CC4-5D6E-409C-BE32-E72D297353CC}">
                <c16:uniqueId val="{00000003-F6BB-4DA9-A4C3-1CCE97E6F37C}"/>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pitchFamily="2" charset="0"/>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Sheet1!$F$120:$F$124</c:f>
              <c:strCache>
                <c:ptCount val="5"/>
                <c:pt idx="0">
                  <c:v>PAYE</c:v>
                </c:pt>
                <c:pt idx="1">
                  <c:v>VAT</c:v>
                </c:pt>
                <c:pt idx="2">
                  <c:v>Corporate Tax</c:v>
                </c:pt>
                <c:pt idx="3">
                  <c:v>Import Tax</c:v>
                </c:pt>
                <c:pt idx="4">
                  <c:v>Specific Excise Duties</c:v>
                </c:pt>
              </c:strCache>
            </c:strRef>
          </c:cat>
          <c:val>
            <c:numRef>
              <c:f>Sheet1!$G$120:$G$124</c:f>
              <c:numCache>
                <c:formatCode>General</c:formatCode>
                <c:ptCount val="5"/>
                <c:pt idx="0">
                  <c:v>-5.2</c:v>
                </c:pt>
                <c:pt idx="1">
                  <c:v>-4.3</c:v>
                </c:pt>
                <c:pt idx="2">
                  <c:v>-55.5</c:v>
                </c:pt>
                <c:pt idx="3">
                  <c:v>-19.7</c:v>
                </c:pt>
                <c:pt idx="4">
                  <c:v>-54.7</c:v>
                </c:pt>
              </c:numCache>
            </c:numRef>
          </c:val>
          <c:extLst>
            <c:ext xmlns:c16="http://schemas.microsoft.com/office/drawing/2014/chart" uri="{C3380CC4-5D6E-409C-BE32-E72D297353CC}">
              <c16:uniqueId val="{00000000-D39B-4B9F-AD3E-D8BFC2D28A4E}"/>
            </c:ext>
          </c:extLst>
        </c:ser>
        <c:dLbls>
          <c:dLblPos val="outEnd"/>
          <c:showLegendKey val="0"/>
          <c:showVal val="1"/>
          <c:showCatName val="0"/>
          <c:showSerName val="0"/>
          <c:showPercent val="0"/>
          <c:showBubbleSize val="0"/>
        </c:dLbls>
        <c:gapWidth val="26"/>
        <c:overlap val="58"/>
        <c:axId val="402445344"/>
        <c:axId val="402445904"/>
      </c:barChart>
      <c:catAx>
        <c:axId val="402445344"/>
        <c:scaling>
          <c:orientation val="minMax"/>
        </c:scaling>
        <c:delete val="0"/>
        <c:axPos val="l"/>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402445904"/>
        <c:crosses val="autoZero"/>
        <c:auto val="1"/>
        <c:lblAlgn val="ctr"/>
        <c:lblOffset val="100"/>
        <c:noMultiLvlLbl val="0"/>
      </c:catAx>
      <c:valAx>
        <c:axId val="402445904"/>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Times" pitchFamily="2" charset="0"/>
                    <a:ea typeface="+mn-ea"/>
                    <a:cs typeface="+mn-cs"/>
                  </a:defRPr>
                </a:pPr>
                <a:r>
                  <a:rPr lang="en-ZA">
                    <a:latin typeface="Times" pitchFamily="2" charset="0"/>
                  </a:rPr>
                  <a:t>Percentage</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Times" pitchFamily="2" charset="0"/>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pitchFamily="2" charset="0"/>
                <a:ea typeface="+mn-ea"/>
                <a:cs typeface="+mn-cs"/>
              </a:defRPr>
            </a:pPr>
            <a:endParaRPr lang="en-US"/>
          </a:p>
        </c:txPr>
        <c:crossAx val="402445344"/>
        <c:crosses val="autoZero"/>
        <c:crossBetween val="between"/>
      </c:valAx>
      <c:spPr>
        <a:noFill/>
        <a:ln>
          <a:noFill/>
        </a:ln>
        <a:effectLst/>
      </c:spPr>
    </c:plotArea>
    <c:plotVisOnly val="1"/>
    <c:dispBlanksAs val="gap"/>
    <c:showDLblsOverMax val="0"/>
  </c:chart>
  <c:spPr>
    <a:solidFill>
      <a:schemeClr val="bg1"/>
    </a:solidFill>
    <a:ln w="9525" cap="flat" cmpd="sng" algn="ctr">
      <a:solidFill>
        <a:srgbClr val="000000"/>
      </a:solidFill>
      <a:round/>
    </a:ln>
    <a:effectLst/>
  </c:spPr>
  <c:txPr>
    <a:bodyPr/>
    <a:lstStyle/>
    <a:p>
      <a:pPr>
        <a:defRPr/>
      </a:pPr>
      <a:endParaRPr lang="en-US"/>
    </a:p>
  </c:txPr>
  <c:externalData r:id="rId4">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'1Exp by function'!$O$157</c:f>
              <c:strCache>
                <c:ptCount val="1"/>
                <c:pt idx="0">
                  <c:v>2016/17</c:v>
                </c:pt>
              </c:strCache>
            </c:strRef>
          </c:tx>
          <c:spPr>
            <a:solidFill>
              <a:schemeClr val="accent1"/>
            </a:solidFill>
            <a:ln>
              <a:noFill/>
            </a:ln>
            <a:effectLst/>
          </c:spPr>
          <c:invertIfNegative val="0"/>
          <c:cat>
            <c:strRef>
              <c:f>'1Exp by function'!$N$158:$N$166</c:f>
              <c:strCache>
                <c:ptCount val="8"/>
                <c:pt idx="0">
                  <c:v>Learning and culture</c:v>
                </c:pt>
                <c:pt idx="1">
                  <c:v>Health</c:v>
                </c:pt>
                <c:pt idx="2">
                  <c:v>Social development</c:v>
                </c:pt>
                <c:pt idx="3">
                  <c:v>Community development</c:v>
                </c:pt>
                <c:pt idx="4">
                  <c:v>Economic development</c:v>
                </c:pt>
                <c:pt idx="5">
                  <c:v>Peace and security</c:v>
                </c:pt>
                <c:pt idx="6">
                  <c:v>General public services</c:v>
                </c:pt>
                <c:pt idx="7">
                  <c:v>Debt-service costs</c:v>
                </c:pt>
              </c:strCache>
            </c:strRef>
          </c:cat>
          <c:val>
            <c:numRef>
              <c:f>'1Exp by function'!$O$158:$O$166</c:f>
              <c:numCache>
                <c:formatCode>_(* #,##0.0___);_*\ \-#,##0.0___);_(* "–"_____);_(@___)</c:formatCode>
                <c:ptCount val="9"/>
                <c:pt idx="0">
                  <c:v>295.25900000000001</c:v>
                </c:pt>
                <c:pt idx="1">
                  <c:v>176.07</c:v>
                </c:pt>
                <c:pt idx="2">
                  <c:v>218.17400000000001</c:v>
                </c:pt>
                <c:pt idx="3">
                  <c:v>181.40899999999999</c:v>
                </c:pt>
                <c:pt idx="4">
                  <c:v>175.90799999999999</c:v>
                </c:pt>
                <c:pt idx="5">
                  <c:v>184.78399999999999</c:v>
                </c:pt>
                <c:pt idx="6">
                  <c:v>60.435000000000002</c:v>
                </c:pt>
                <c:pt idx="7">
                  <c:v>146.49700000000001</c:v>
                </c:pt>
              </c:numCache>
            </c:numRef>
          </c:val>
          <c:extLst>
            <c:ext xmlns:c16="http://schemas.microsoft.com/office/drawing/2014/chart" uri="{C3380CC4-5D6E-409C-BE32-E72D297353CC}">
              <c16:uniqueId val="{00000000-F12F-44B4-B05B-E8F3EE068CD5}"/>
            </c:ext>
          </c:extLst>
        </c:ser>
        <c:ser>
          <c:idx val="1"/>
          <c:order val="1"/>
          <c:tx>
            <c:strRef>
              <c:f>'1Exp by function'!$P$157</c:f>
              <c:strCache>
                <c:ptCount val="1"/>
                <c:pt idx="0">
                  <c:v>2017/18</c:v>
                </c:pt>
              </c:strCache>
            </c:strRef>
          </c:tx>
          <c:spPr>
            <a:solidFill>
              <a:schemeClr val="accent2"/>
            </a:solidFill>
            <a:ln>
              <a:noFill/>
            </a:ln>
            <a:effectLst/>
          </c:spPr>
          <c:invertIfNegative val="0"/>
          <c:cat>
            <c:strRef>
              <c:f>'1Exp by function'!$N$158:$N$166</c:f>
              <c:strCache>
                <c:ptCount val="8"/>
                <c:pt idx="0">
                  <c:v>Learning and culture</c:v>
                </c:pt>
                <c:pt idx="1">
                  <c:v>Health</c:v>
                </c:pt>
                <c:pt idx="2">
                  <c:v>Social development</c:v>
                </c:pt>
                <c:pt idx="3">
                  <c:v>Community development</c:v>
                </c:pt>
                <c:pt idx="4">
                  <c:v>Economic development</c:v>
                </c:pt>
                <c:pt idx="5">
                  <c:v>Peace and security</c:v>
                </c:pt>
                <c:pt idx="6">
                  <c:v>General public services</c:v>
                </c:pt>
                <c:pt idx="7">
                  <c:v>Debt-service costs</c:v>
                </c:pt>
              </c:strCache>
            </c:strRef>
          </c:cat>
          <c:val>
            <c:numRef>
              <c:f>'1Exp by function'!$P$158:$P$166</c:f>
              <c:numCache>
                <c:formatCode>_(* #,##0.0___);_*\ \-#,##0.0___);_(* "–"_____);_(@___)</c:formatCode>
                <c:ptCount val="9"/>
                <c:pt idx="0">
                  <c:v>322.86099999999999</c:v>
                </c:pt>
                <c:pt idx="1">
                  <c:v>191.595</c:v>
                </c:pt>
                <c:pt idx="2">
                  <c:v>234.50700000000001</c:v>
                </c:pt>
                <c:pt idx="3">
                  <c:v>176.28700000000001</c:v>
                </c:pt>
                <c:pt idx="4">
                  <c:v>181.19200000000001</c:v>
                </c:pt>
                <c:pt idx="5">
                  <c:v>194.703</c:v>
                </c:pt>
                <c:pt idx="6">
                  <c:v>65.430999999999997</c:v>
                </c:pt>
                <c:pt idx="7">
                  <c:v>162.64500000000001</c:v>
                </c:pt>
              </c:numCache>
            </c:numRef>
          </c:val>
          <c:extLst>
            <c:ext xmlns:c16="http://schemas.microsoft.com/office/drawing/2014/chart" uri="{C3380CC4-5D6E-409C-BE32-E72D297353CC}">
              <c16:uniqueId val="{00000001-F12F-44B4-B05B-E8F3EE068CD5}"/>
            </c:ext>
          </c:extLst>
        </c:ser>
        <c:ser>
          <c:idx val="2"/>
          <c:order val="2"/>
          <c:tx>
            <c:strRef>
              <c:f>'1Exp by function'!$Q$157</c:f>
              <c:strCache>
                <c:ptCount val="1"/>
                <c:pt idx="0">
                  <c:v>2018/19</c:v>
                </c:pt>
              </c:strCache>
            </c:strRef>
          </c:tx>
          <c:spPr>
            <a:solidFill>
              <a:schemeClr val="accent3"/>
            </a:solidFill>
            <a:ln>
              <a:noFill/>
            </a:ln>
            <a:effectLst/>
          </c:spPr>
          <c:invertIfNegative val="0"/>
          <c:cat>
            <c:strRef>
              <c:f>'1Exp by function'!$N$158:$N$166</c:f>
              <c:strCache>
                <c:ptCount val="8"/>
                <c:pt idx="0">
                  <c:v>Learning and culture</c:v>
                </c:pt>
                <c:pt idx="1">
                  <c:v>Health</c:v>
                </c:pt>
                <c:pt idx="2">
                  <c:v>Social development</c:v>
                </c:pt>
                <c:pt idx="3">
                  <c:v>Community development</c:v>
                </c:pt>
                <c:pt idx="4">
                  <c:v>Economic development</c:v>
                </c:pt>
                <c:pt idx="5">
                  <c:v>Peace and security</c:v>
                </c:pt>
                <c:pt idx="6">
                  <c:v>General public services</c:v>
                </c:pt>
                <c:pt idx="7">
                  <c:v>Debt-service costs</c:v>
                </c:pt>
              </c:strCache>
            </c:strRef>
          </c:cat>
          <c:val>
            <c:numRef>
              <c:f>'1Exp by function'!$Q$158:$Q$166</c:f>
              <c:numCache>
                <c:formatCode>_(* #,##0.0_);_*\ \-#,##0.0_);_(* "–"_);_(@_)</c:formatCode>
                <c:ptCount val="9"/>
                <c:pt idx="0">
                  <c:v>348.7</c:v>
                </c:pt>
                <c:pt idx="1">
                  <c:v>209.7</c:v>
                </c:pt>
                <c:pt idx="2">
                  <c:v>254.1</c:v>
                </c:pt>
                <c:pt idx="3">
                  <c:v>187.7</c:v>
                </c:pt>
                <c:pt idx="4">
                  <c:v>192.3</c:v>
                </c:pt>
                <c:pt idx="5">
                  <c:v>198.2</c:v>
                </c:pt>
                <c:pt idx="6">
                  <c:v>64.400000000000006</c:v>
                </c:pt>
                <c:pt idx="7">
                  <c:v>181.8</c:v>
                </c:pt>
              </c:numCache>
            </c:numRef>
          </c:val>
          <c:extLst>
            <c:ext xmlns:c16="http://schemas.microsoft.com/office/drawing/2014/chart" uri="{C3380CC4-5D6E-409C-BE32-E72D297353CC}">
              <c16:uniqueId val="{00000002-F12F-44B4-B05B-E8F3EE068CD5}"/>
            </c:ext>
          </c:extLst>
        </c:ser>
        <c:ser>
          <c:idx val="3"/>
          <c:order val="3"/>
          <c:tx>
            <c:strRef>
              <c:f>'1Exp by function'!$R$157</c:f>
              <c:strCache>
                <c:ptCount val="1"/>
                <c:pt idx="0">
                  <c:v>  2019/20</c:v>
                </c:pt>
              </c:strCache>
            </c:strRef>
          </c:tx>
          <c:spPr>
            <a:solidFill>
              <a:schemeClr val="accent4"/>
            </a:solidFill>
            <a:ln>
              <a:noFill/>
            </a:ln>
            <a:effectLst/>
          </c:spPr>
          <c:invertIfNegative val="0"/>
          <c:cat>
            <c:strRef>
              <c:f>'1Exp by function'!$N$158:$N$166</c:f>
              <c:strCache>
                <c:ptCount val="8"/>
                <c:pt idx="0">
                  <c:v>Learning and culture</c:v>
                </c:pt>
                <c:pt idx="1">
                  <c:v>Health</c:v>
                </c:pt>
                <c:pt idx="2">
                  <c:v>Social development</c:v>
                </c:pt>
                <c:pt idx="3">
                  <c:v>Community development</c:v>
                </c:pt>
                <c:pt idx="4">
                  <c:v>Economic development</c:v>
                </c:pt>
                <c:pt idx="5">
                  <c:v>Peace and security</c:v>
                </c:pt>
                <c:pt idx="6">
                  <c:v>General public services</c:v>
                </c:pt>
                <c:pt idx="7">
                  <c:v>Debt-service costs</c:v>
                </c:pt>
              </c:strCache>
            </c:strRef>
          </c:cat>
          <c:val>
            <c:numRef>
              <c:f>'1Exp by function'!$R$158:$R$166</c:f>
              <c:numCache>
                <c:formatCode>_(* #,##0.0_);_*\ \-#,##0.0_);_(* "–"_);_(@_)</c:formatCode>
                <c:ptCount val="9"/>
                <c:pt idx="0">
                  <c:v>385.59339599999998</c:v>
                </c:pt>
                <c:pt idx="1">
                  <c:v>221.962287</c:v>
                </c:pt>
                <c:pt idx="2">
                  <c:v>284.47853299999997</c:v>
                </c:pt>
                <c:pt idx="3">
                  <c:v>201.67505199999999</c:v>
                </c:pt>
                <c:pt idx="4">
                  <c:v>198.90629300000001</c:v>
                </c:pt>
                <c:pt idx="5">
                  <c:v>214.364589</c:v>
                </c:pt>
                <c:pt idx="6">
                  <c:v>66.337403999999992</c:v>
                </c:pt>
                <c:pt idx="7">
                  <c:v>205.004964</c:v>
                </c:pt>
              </c:numCache>
            </c:numRef>
          </c:val>
          <c:extLst>
            <c:ext xmlns:c16="http://schemas.microsoft.com/office/drawing/2014/chart" uri="{C3380CC4-5D6E-409C-BE32-E72D297353CC}">
              <c16:uniqueId val="{00000003-F12F-44B4-B05B-E8F3EE068CD5}"/>
            </c:ext>
          </c:extLst>
        </c:ser>
        <c:ser>
          <c:idx val="4"/>
          <c:order val="4"/>
          <c:tx>
            <c:strRef>
              <c:f>'1Exp by function'!$S$157</c:f>
              <c:strCache>
                <c:ptCount val="1"/>
                <c:pt idx="0">
                  <c:v>     2020/21</c:v>
                </c:pt>
              </c:strCache>
            </c:strRef>
          </c:tx>
          <c:spPr>
            <a:solidFill>
              <a:schemeClr val="accent5"/>
            </a:solidFill>
            <a:ln>
              <a:noFill/>
            </a:ln>
            <a:effectLst/>
          </c:spPr>
          <c:invertIfNegative val="0"/>
          <c:cat>
            <c:strRef>
              <c:f>'1Exp by function'!$N$158:$N$166</c:f>
              <c:strCache>
                <c:ptCount val="8"/>
                <c:pt idx="0">
                  <c:v>Learning and culture</c:v>
                </c:pt>
                <c:pt idx="1">
                  <c:v>Health</c:v>
                </c:pt>
                <c:pt idx="2">
                  <c:v>Social development</c:v>
                </c:pt>
                <c:pt idx="3">
                  <c:v>Community development</c:v>
                </c:pt>
                <c:pt idx="4">
                  <c:v>Economic development</c:v>
                </c:pt>
                <c:pt idx="5">
                  <c:v>Peace and security</c:v>
                </c:pt>
                <c:pt idx="6">
                  <c:v>General public services</c:v>
                </c:pt>
                <c:pt idx="7">
                  <c:v>Debt-service costs</c:v>
                </c:pt>
              </c:strCache>
            </c:strRef>
          </c:cat>
          <c:val>
            <c:numRef>
              <c:f>'1Exp by function'!$S$158:$S$166</c:f>
              <c:numCache>
                <c:formatCode>_(* #,##0.0_);_*\ \-#,##0.0_);_(* "–"_);_(@_)</c:formatCode>
                <c:ptCount val="9"/>
                <c:pt idx="0">
                  <c:v>396.42202399999996</c:v>
                </c:pt>
                <c:pt idx="1">
                  <c:v>229.70661200000001</c:v>
                </c:pt>
                <c:pt idx="2">
                  <c:v>309.51181300000002</c:v>
                </c:pt>
                <c:pt idx="3">
                  <c:v>212.34737899999999</c:v>
                </c:pt>
                <c:pt idx="4">
                  <c:v>211.53110599999999</c:v>
                </c:pt>
                <c:pt idx="5">
                  <c:v>217.00055900000001</c:v>
                </c:pt>
                <c:pt idx="6">
                  <c:v>70.009398000000004</c:v>
                </c:pt>
                <c:pt idx="7">
                  <c:v>229.26995499999998</c:v>
                </c:pt>
              </c:numCache>
            </c:numRef>
          </c:val>
          <c:extLst>
            <c:ext xmlns:c16="http://schemas.microsoft.com/office/drawing/2014/chart" uri="{C3380CC4-5D6E-409C-BE32-E72D297353CC}">
              <c16:uniqueId val="{00000004-F12F-44B4-B05B-E8F3EE068CD5}"/>
            </c:ext>
          </c:extLst>
        </c:ser>
        <c:ser>
          <c:idx val="5"/>
          <c:order val="5"/>
          <c:tx>
            <c:strRef>
              <c:f>'1Exp by function'!$T$157</c:f>
              <c:strCache>
                <c:ptCount val="1"/>
                <c:pt idx="0">
                  <c:v>   2021/22</c:v>
                </c:pt>
              </c:strCache>
            </c:strRef>
          </c:tx>
          <c:spPr>
            <a:solidFill>
              <a:schemeClr val="accent6"/>
            </a:solidFill>
            <a:ln>
              <a:noFill/>
            </a:ln>
            <a:effectLst/>
          </c:spPr>
          <c:invertIfNegative val="0"/>
          <c:cat>
            <c:strRef>
              <c:f>'1Exp by function'!$N$158:$N$166</c:f>
              <c:strCache>
                <c:ptCount val="8"/>
                <c:pt idx="0">
                  <c:v>Learning and culture</c:v>
                </c:pt>
                <c:pt idx="1">
                  <c:v>Health</c:v>
                </c:pt>
                <c:pt idx="2">
                  <c:v>Social development</c:v>
                </c:pt>
                <c:pt idx="3">
                  <c:v>Community development</c:v>
                </c:pt>
                <c:pt idx="4">
                  <c:v>Economic development</c:v>
                </c:pt>
                <c:pt idx="5">
                  <c:v>Peace and security</c:v>
                </c:pt>
                <c:pt idx="6">
                  <c:v>General public services</c:v>
                </c:pt>
                <c:pt idx="7">
                  <c:v>Debt-service costs</c:v>
                </c:pt>
              </c:strCache>
            </c:strRef>
          </c:cat>
          <c:val>
            <c:numRef>
              <c:f>'1Exp by function'!$T$158:$T$166</c:f>
              <c:numCache>
                <c:formatCode>_(* #,##0.0_);_*\ \-#,##0.0_);_(* "–"_);_(@_)</c:formatCode>
                <c:ptCount val="9"/>
                <c:pt idx="0">
                  <c:v>417.76722600000005</c:v>
                </c:pt>
                <c:pt idx="1">
                  <c:v>243.97049100000001</c:v>
                </c:pt>
                <c:pt idx="2">
                  <c:v>320.05648599999995</c:v>
                </c:pt>
                <c:pt idx="3">
                  <c:v>228.19386300000002</c:v>
                </c:pt>
                <c:pt idx="4">
                  <c:v>228.224313</c:v>
                </c:pt>
                <c:pt idx="5">
                  <c:v>221.29057299999999</c:v>
                </c:pt>
                <c:pt idx="6">
                  <c:v>73.238459000000006</c:v>
                </c:pt>
                <c:pt idx="7">
                  <c:v>258.48208099999999</c:v>
                </c:pt>
              </c:numCache>
            </c:numRef>
          </c:val>
          <c:extLst>
            <c:ext xmlns:c16="http://schemas.microsoft.com/office/drawing/2014/chart" uri="{C3380CC4-5D6E-409C-BE32-E72D297353CC}">
              <c16:uniqueId val="{00000005-F12F-44B4-B05B-E8F3EE068CD5}"/>
            </c:ext>
          </c:extLst>
        </c:ser>
        <c:ser>
          <c:idx val="6"/>
          <c:order val="6"/>
          <c:tx>
            <c:strRef>
              <c:f>'1Exp by function'!$U$157</c:f>
              <c:strCache>
                <c:ptCount val="1"/>
                <c:pt idx="0">
                  <c:v>2022/23</c:v>
                </c:pt>
              </c:strCache>
            </c:strRef>
          </c:tx>
          <c:spPr>
            <a:solidFill>
              <a:schemeClr val="accent1">
                <a:lumMod val="60000"/>
              </a:schemeClr>
            </a:solidFill>
            <a:ln>
              <a:noFill/>
            </a:ln>
            <a:effectLst/>
          </c:spPr>
          <c:invertIfNegative val="0"/>
          <c:cat>
            <c:strRef>
              <c:f>'1Exp by function'!$N$158:$N$166</c:f>
              <c:strCache>
                <c:ptCount val="8"/>
                <c:pt idx="0">
                  <c:v>Learning and culture</c:v>
                </c:pt>
                <c:pt idx="1">
                  <c:v>Health</c:v>
                </c:pt>
                <c:pt idx="2">
                  <c:v>Social development</c:v>
                </c:pt>
                <c:pt idx="3">
                  <c:v>Community development</c:v>
                </c:pt>
                <c:pt idx="4">
                  <c:v>Economic development</c:v>
                </c:pt>
                <c:pt idx="5">
                  <c:v>Peace and security</c:v>
                </c:pt>
                <c:pt idx="6">
                  <c:v>General public services</c:v>
                </c:pt>
                <c:pt idx="7">
                  <c:v>Debt-service costs</c:v>
                </c:pt>
              </c:strCache>
            </c:strRef>
          </c:cat>
          <c:val>
            <c:numRef>
              <c:f>'1Exp by function'!$U$158:$U$166</c:f>
              <c:numCache>
                <c:formatCode>_(* #,##0.0_);_*\ \-#,##0.0_);_(* "–"_);_(@_)</c:formatCode>
                <c:ptCount val="9"/>
                <c:pt idx="0">
                  <c:v>434.16576299999997</c:v>
                </c:pt>
                <c:pt idx="1">
                  <c:v>257.55859099999998</c:v>
                </c:pt>
                <c:pt idx="2">
                  <c:v>340.92449399999998</c:v>
                </c:pt>
                <c:pt idx="3">
                  <c:v>242.16916699999999</c:v>
                </c:pt>
                <c:pt idx="4">
                  <c:v>240.91070499999998</c:v>
                </c:pt>
                <c:pt idx="5">
                  <c:v>228.80388300000001</c:v>
                </c:pt>
                <c:pt idx="6">
                  <c:v>74.064312999999999</c:v>
                </c:pt>
                <c:pt idx="7">
                  <c:v>290.14505099999997</c:v>
                </c:pt>
              </c:numCache>
            </c:numRef>
          </c:val>
          <c:extLst>
            <c:ext xmlns:c16="http://schemas.microsoft.com/office/drawing/2014/chart" uri="{C3380CC4-5D6E-409C-BE32-E72D297353CC}">
              <c16:uniqueId val="{00000006-F12F-44B4-B05B-E8F3EE068CD5}"/>
            </c:ext>
          </c:extLst>
        </c:ser>
        <c:dLbls>
          <c:showLegendKey val="0"/>
          <c:showVal val="0"/>
          <c:showCatName val="0"/>
          <c:showSerName val="0"/>
          <c:showPercent val="0"/>
          <c:showBubbleSize val="0"/>
        </c:dLbls>
        <c:gapWidth val="219"/>
        <c:overlap val="-27"/>
        <c:axId val="407025632"/>
        <c:axId val="407026192"/>
      </c:barChart>
      <c:catAx>
        <c:axId val="4070256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407026192"/>
        <c:crosses val="autoZero"/>
        <c:auto val="1"/>
        <c:lblAlgn val="ctr"/>
        <c:lblOffset val="100"/>
        <c:noMultiLvlLbl val="0"/>
      </c:catAx>
      <c:valAx>
        <c:axId val="407026192"/>
        <c:scaling>
          <c:orientation val="minMax"/>
        </c:scaling>
        <c:delete val="0"/>
        <c:axPos val="l"/>
        <c:majorGridlines>
          <c:spPr>
            <a:ln w="9525" cap="flat" cmpd="sng" algn="ctr">
              <a:solidFill>
                <a:schemeClr val="tx1">
                  <a:lumMod val="15000"/>
                  <a:lumOff val="85000"/>
                </a:schemeClr>
              </a:solidFill>
              <a:round/>
            </a:ln>
            <a:effectLst/>
          </c:spPr>
        </c:majorGridlines>
        <c:numFmt formatCode="_(* #,##0.0___);_*\ \-#,##0.0___);_(* &quot;–&quot;_____);_(@___)"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4070256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rgbClr val="000000"/>
      </a:solidFill>
      <a:round/>
    </a:ln>
    <a:effectLst/>
  </c:spPr>
  <c:txPr>
    <a:bodyPr/>
    <a:lstStyle/>
    <a:p>
      <a:pPr>
        <a:defRPr sz="800">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FFC">
      <a:dk1>
        <a:srgbClr val="000000"/>
      </a:dk1>
      <a:lt1>
        <a:srgbClr val="FFFFFF"/>
      </a:lt1>
      <a:dk2>
        <a:srgbClr val="004C45"/>
      </a:dk2>
      <a:lt2>
        <a:srgbClr val="C2D69B"/>
      </a:lt2>
      <a:accent1>
        <a:srgbClr val="4681BD"/>
      </a:accent1>
      <a:accent2>
        <a:srgbClr val="C0504D"/>
      </a:accent2>
      <a:accent3>
        <a:srgbClr val="9BBB59"/>
      </a:accent3>
      <a:accent4>
        <a:srgbClr val="8064A2"/>
      </a:accent4>
      <a:accent5>
        <a:srgbClr val="4BACC6"/>
      </a:accent5>
      <a:accent6>
        <a:srgbClr val="F79646"/>
      </a:accent6>
      <a:hlink>
        <a:srgbClr val="0645AD"/>
      </a:hlink>
      <a:folHlink>
        <a:srgbClr val="0645AD"/>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A22661-A6DE-406E-B700-BCC9AA9B4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23438</Words>
  <Characters>133597</Characters>
  <Application>Microsoft Office Word</Application>
  <DocSecurity>0</DocSecurity>
  <Lines>1113</Lines>
  <Paragraphs>313</Paragraphs>
  <ScaleCrop>false</ScaleCrop>
  <HeadingPairs>
    <vt:vector size="2" baseType="variant">
      <vt:variant>
        <vt:lpstr>Title</vt:lpstr>
      </vt:variant>
      <vt:variant>
        <vt:i4>1</vt:i4>
      </vt:variant>
    </vt:vector>
  </HeadingPairs>
  <TitlesOfParts>
    <vt:vector size="1" baseType="lpstr">
      <vt:lpstr>Financial and Fiscal Commission: Response to the Medium Term Budget Policy Statement 2010</vt:lpstr>
    </vt:vector>
  </TitlesOfParts>
  <Company>HP</Company>
  <LinksUpToDate>false</LinksUpToDate>
  <CharactersWithSpaces>156722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and Fiscal Commission: Response to the Medium Term Budget Policy Statement 2010</dc:title>
  <dc:creator>Ramos Mabugu</dc:creator>
  <cp:lastModifiedBy>Estelle Grunewald</cp:lastModifiedBy>
  <cp:revision>2</cp:revision>
  <cp:lastPrinted>2015-10-27T11:21:00Z</cp:lastPrinted>
  <dcterms:created xsi:type="dcterms:W3CDTF">2020-06-09T12:11:00Z</dcterms:created>
  <dcterms:modified xsi:type="dcterms:W3CDTF">2020-06-09T12:11:00Z</dcterms:modified>
</cp:coreProperties>
</file>