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D0" w:rsidRDefault="00FC2AD0" w:rsidP="002A3C6A">
      <w:pPr>
        <w:spacing w:line="360" w:lineRule="auto"/>
        <w:rPr>
          <w:rFonts w:ascii="Times New Roman" w:hAnsi="Times New Roman" w:cs="Times New Roman"/>
          <w:b/>
        </w:rPr>
      </w:pPr>
      <w:bookmarkStart w:id="0" w:name="_GoBack"/>
      <w:bookmarkEnd w:id="0"/>
    </w:p>
    <w:p w:rsidR="00024245" w:rsidRPr="009A129F" w:rsidRDefault="00024245" w:rsidP="002A3C6A">
      <w:pPr>
        <w:spacing w:line="360" w:lineRule="auto"/>
        <w:rPr>
          <w:rFonts w:ascii="Times New Roman" w:hAnsi="Times New Roman" w:cs="Times New Roman"/>
          <w:b/>
        </w:rPr>
      </w:pPr>
    </w:p>
    <w:p w:rsidR="00BF3FAA" w:rsidRPr="009137BA" w:rsidRDefault="00FC2AD0" w:rsidP="002A3C6A">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6. </w:t>
      </w:r>
      <w:r w:rsidR="00BF3FAA" w:rsidRPr="009137BA">
        <w:rPr>
          <w:rFonts w:ascii="Times New Roman" w:hAnsi="Times New Roman" w:cs="Times New Roman"/>
          <w:b/>
          <w:sz w:val="28"/>
          <w:szCs w:val="28"/>
        </w:rPr>
        <w:t xml:space="preserve">Report of the </w:t>
      </w:r>
      <w:r w:rsidR="00AD4B73">
        <w:rPr>
          <w:rFonts w:ascii="Times New Roman" w:hAnsi="Times New Roman" w:cs="Times New Roman"/>
          <w:b/>
          <w:sz w:val="28"/>
          <w:szCs w:val="28"/>
        </w:rPr>
        <w:t>Select Committee on Education and Technology, Sport, Arts and Culture</w:t>
      </w:r>
      <w:r w:rsidR="00BF3FAA" w:rsidRPr="009137BA">
        <w:rPr>
          <w:rFonts w:ascii="Times New Roman" w:hAnsi="Times New Roman" w:cs="Times New Roman"/>
          <w:b/>
          <w:sz w:val="28"/>
          <w:szCs w:val="28"/>
        </w:rPr>
        <w:t xml:space="preserve"> on Budget Vote 3</w:t>
      </w:r>
      <w:r w:rsidR="00955078" w:rsidRPr="009137BA">
        <w:rPr>
          <w:rFonts w:ascii="Times New Roman" w:hAnsi="Times New Roman" w:cs="Times New Roman"/>
          <w:b/>
          <w:sz w:val="28"/>
          <w:szCs w:val="28"/>
        </w:rPr>
        <w:t>5</w:t>
      </w:r>
      <w:r w:rsidR="00BF3FAA" w:rsidRPr="009137BA">
        <w:rPr>
          <w:rFonts w:ascii="Times New Roman" w:hAnsi="Times New Roman" w:cs="Times New Roman"/>
          <w:b/>
          <w:sz w:val="28"/>
          <w:szCs w:val="28"/>
        </w:rPr>
        <w:t xml:space="preserve">: Science and </w:t>
      </w:r>
      <w:r w:rsidR="00955078" w:rsidRPr="009137BA">
        <w:rPr>
          <w:rFonts w:ascii="Times New Roman" w:hAnsi="Times New Roman" w:cs="Times New Roman"/>
          <w:b/>
          <w:sz w:val="28"/>
          <w:szCs w:val="28"/>
        </w:rPr>
        <w:t xml:space="preserve">Innovation </w:t>
      </w:r>
      <w:r w:rsidR="00BF3FAA" w:rsidRPr="009137BA">
        <w:rPr>
          <w:rFonts w:ascii="Times New Roman" w:hAnsi="Times New Roman" w:cs="Times New Roman"/>
          <w:b/>
          <w:sz w:val="28"/>
          <w:szCs w:val="28"/>
        </w:rPr>
        <w:t>(20</w:t>
      </w:r>
      <w:r w:rsidR="002E0665" w:rsidRPr="009137BA">
        <w:rPr>
          <w:rFonts w:ascii="Times New Roman" w:hAnsi="Times New Roman" w:cs="Times New Roman"/>
          <w:b/>
          <w:sz w:val="28"/>
          <w:szCs w:val="28"/>
        </w:rPr>
        <w:t>20</w:t>
      </w:r>
      <w:r w:rsidR="00955078" w:rsidRPr="009137BA">
        <w:rPr>
          <w:rFonts w:ascii="Times New Roman" w:hAnsi="Times New Roman" w:cs="Times New Roman"/>
          <w:b/>
          <w:sz w:val="28"/>
          <w:szCs w:val="28"/>
        </w:rPr>
        <w:t>/21</w:t>
      </w:r>
      <w:r w:rsidR="00C93723">
        <w:rPr>
          <w:rFonts w:ascii="Times New Roman" w:hAnsi="Times New Roman" w:cs="Times New Roman"/>
          <w:b/>
          <w:sz w:val="28"/>
          <w:szCs w:val="28"/>
        </w:rPr>
        <w:t>)</w:t>
      </w:r>
      <w:r>
        <w:rPr>
          <w:rFonts w:ascii="Times New Roman" w:hAnsi="Times New Roman" w:cs="Times New Roman"/>
          <w:b/>
          <w:sz w:val="28"/>
          <w:szCs w:val="28"/>
        </w:rPr>
        <w:t>, Dated 03 June 2020</w:t>
      </w:r>
    </w:p>
    <w:p w:rsidR="00BF3FAA" w:rsidRPr="004C5F62" w:rsidRDefault="00BF3FAA" w:rsidP="002A3C6A">
      <w:pPr>
        <w:spacing w:line="360" w:lineRule="auto"/>
        <w:rPr>
          <w:rFonts w:ascii="Times New Roman" w:hAnsi="Times New Roman" w:cs="Times New Roman"/>
        </w:rPr>
      </w:pPr>
    </w:p>
    <w:p w:rsidR="00AD4B73" w:rsidRPr="00AD4B73" w:rsidRDefault="00AD4B73" w:rsidP="00AD4B73">
      <w:pPr>
        <w:spacing w:line="360" w:lineRule="auto"/>
        <w:rPr>
          <w:rFonts w:ascii="Times New Roman" w:hAnsi="Times New Roman" w:cs="Times New Roman"/>
        </w:rPr>
      </w:pPr>
      <w:r w:rsidRPr="00AD4B73">
        <w:rPr>
          <w:rFonts w:ascii="Times New Roman" w:hAnsi="Times New Roman" w:cs="Times New Roman"/>
          <w:lang w:val="en-ZA"/>
        </w:rPr>
        <w:t>The Select Committee on Education, Technology, Sports, Arts and Culture</w:t>
      </w:r>
      <w:r w:rsidRPr="00AD4B73">
        <w:rPr>
          <w:rFonts w:ascii="Times New Roman" w:hAnsi="Times New Roman" w:cs="Times New Roman"/>
          <w:b/>
          <w:lang w:val="en-ZA"/>
        </w:rPr>
        <w:t xml:space="preserve"> </w:t>
      </w:r>
      <w:r w:rsidRPr="00AD4B73">
        <w:rPr>
          <w:rFonts w:ascii="Times New Roman" w:hAnsi="Times New Roman" w:cs="Times New Roman"/>
          <w:lang w:val="en-ZA"/>
        </w:rPr>
        <w:t xml:space="preserve">(hereinafter referred to as the Committee), having considered </w:t>
      </w:r>
      <w:r w:rsidRPr="00AD4B73">
        <w:rPr>
          <w:rFonts w:ascii="Times New Roman" w:hAnsi="Times New Roman" w:cs="Times New Roman"/>
        </w:rPr>
        <w:t>Budget Vote 35: Science and Innovation, the 2020-2025 Strategic Plan and the 2020/21 Annual Performance Plan (APP) of the Department of Science and Innovation</w:t>
      </w:r>
      <w:r>
        <w:rPr>
          <w:rFonts w:ascii="Times New Roman" w:hAnsi="Times New Roman" w:cs="Times New Roman"/>
        </w:rPr>
        <w:t xml:space="preserve"> (hereinafter referred to as the Department)</w:t>
      </w:r>
      <w:r w:rsidRPr="00AD4B73">
        <w:rPr>
          <w:rFonts w:ascii="Times New Roman" w:hAnsi="Times New Roman" w:cs="Times New Roman"/>
        </w:rPr>
        <w:t>, reports as follows:</w:t>
      </w:r>
    </w:p>
    <w:p w:rsidR="00C720EA" w:rsidRPr="00C720EA" w:rsidRDefault="00C720EA" w:rsidP="00C720EA">
      <w:pPr>
        <w:spacing w:line="360" w:lineRule="auto"/>
        <w:rPr>
          <w:rFonts w:ascii="Times New Roman" w:hAnsi="Times New Roman" w:cs="Times New Roman"/>
          <w:b/>
          <w:lang w:val="en-ZA"/>
        </w:rPr>
      </w:pPr>
    </w:p>
    <w:p w:rsidR="00C720EA" w:rsidRDefault="00C720EA" w:rsidP="00AD4B73">
      <w:pPr>
        <w:spacing w:line="360" w:lineRule="auto"/>
        <w:rPr>
          <w:rFonts w:ascii="Times New Roman" w:hAnsi="Times New Roman" w:cs="Times New Roman"/>
          <w:b/>
          <w:lang w:val="en-ZA"/>
        </w:rPr>
      </w:pPr>
      <w:r>
        <w:rPr>
          <w:rFonts w:ascii="Times New Roman" w:hAnsi="Times New Roman" w:cs="Times New Roman"/>
          <w:b/>
          <w:lang w:val="en-ZA"/>
        </w:rPr>
        <w:t>1.</w:t>
      </w:r>
      <w:r>
        <w:rPr>
          <w:rFonts w:ascii="Times New Roman" w:hAnsi="Times New Roman" w:cs="Times New Roman"/>
          <w:b/>
          <w:lang w:val="en-ZA"/>
        </w:rPr>
        <w:tab/>
        <w:t>Introduction</w:t>
      </w:r>
    </w:p>
    <w:p w:rsidR="00AD4B73" w:rsidRPr="00AD4B73" w:rsidRDefault="00C720EA" w:rsidP="00AD4B73">
      <w:pPr>
        <w:spacing w:line="360" w:lineRule="auto"/>
        <w:rPr>
          <w:rFonts w:ascii="Times New Roman" w:hAnsi="Times New Roman" w:cs="Times New Roman"/>
          <w:b/>
          <w:lang w:val="en-ZA"/>
        </w:rPr>
      </w:pPr>
      <w:r>
        <w:rPr>
          <w:rFonts w:ascii="Times New Roman" w:hAnsi="Times New Roman" w:cs="Times New Roman"/>
          <w:b/>
          <w:lang w:val="en-ZA"/>
        </w:rPr>
        <w:t>1.1.</w:t>
      </w:r>
      <w:r>
        <w:rPr>
          <w:rFonts w:ascii="Times New Roman" w:hAnsi="Times New Roman" w:cs="Times New Roman"/>
          <w:b/>
          <w:lang w:val="en-ZA"/>
        </w:rPr>
        <w:tab/>
      </w:r>
      <w:r w:rsidR="00AD4B73">
        <w:rPr>
          <w:rFonts w:ascii="Times New Roman" w:hAnsi="Times New Roman" w:cs="Times New Roman"/>
          <w:b/>
          <w:lang w:val="en-ZA"/>
        </w:rPr>
        <w:t>Purpose of the Budget Vote 35</w:t>
      </w:r>
      <w:r w:rsidR="00AD4B73" w:rsidRPr="00AD4B73">
        <w:rPr>
          <w:rFonts w:ascii="Times New Roman" w:hAnsi="Times New Roman" w:cs="Times New Roman"/>
          <w:b/>
          <w:lang w:val="en-ZA"/>
        </w:rPr>
        <w:t xml:space="preserve"> Report</w:t>
      </w:r>
    </w:p>
    <w:p w:rsidR="00AD4B73" w:rsidRDefault="00AD4B73" w:rsidP="00AD4B73">
      <w:pPr>
        <w:spacing w:line="360" w:lineRule="auto"/>
        <w:rPr>
          <w:rFonts w:ascii="Times New Roman" w:hAnsi="Times New Roman" w:cs="Times New Roman"/>
          <w:lang w:val="en-ZA"/>
        </w:rPr>
      </w:pPr>
      <w:r w:rsidRPr="00AD4B73">
        <w:rPr>
          <w:rFonts w:ascii="Times New Roman" w:hAnsi="Times New Roman" w:cs="Times New Roman"/>
          <w:lang w:val="en-ZA"/>
        </w:rPr>
        <w:t>The purpose of this report is to account for work done by the Committee in considering the 2020 - 20</w:t>
      </w:r>
      <w:r>
        <w:rPr>
          <w:rFonts w:ascii="Times New Roman" w:hAnsi="Times New Roman" w:cs="Times New Roman"/>
          <w:lang w:val="en-ZA"/>
        </w:rPr>
        <w:t>25 Strategic Plan</w:t>
      </w:r>
      <w:r w:rsidRPr="00AD4B73">
        <w:rPr>
          <w:rFonts w:ascii="Times New Roman" w:hAnsi="Times New Roman" w:cs="Times New Roman"/>
          <w:lang w:val="en-ZA"/>
        </w:rPr>
        <w:t xml:space="preserve"> and 2020/21 Annual Performance</w:t>
      </w:r>
      <w:r>
        <w:rPr>
          <w:rFonts w:ascii="Times New Roman" w:hAnsi="Times New Roman" w:cs="Times New Roman"/>
          <w:lang w:val="en-ZA"/>
        </w:rPr>
        <w:t xml:space="preserve"> Plan</w:t>
      </w:r>
      <w:r w:rsidRPr="00AD4B73">
        <w:rPr>
          <w:rFonts w:ascii="Times New Roman" w:hAnsi="Times New Roman" w:cs="Times New Roman"/>
          <w:lang w:val="en-ZA"/>
        </w:rPr>
        <w:t xml:space="preserve"> (APP) and budget of the Department</w:t>
      </w:r>
      <w:r>
        <w:rPr>
          <w:rFonts w:ascii="Times New Roman" w:hAnsi="Times New Roman" w:cs="Times New Roman"/>
          <w:lang w:val="en-ZA"/>
        </w:rPr>
        <w:t xml:space="preserve"> in ac</w:t>
      </w:r>
      <w:r w:rsidRPr="00AD4B73">
        <w:rPr>
          <w:rFonts w:ascii="Times New Roman" w:hAnsi="Times New Roman" w:cs="Times New Roman"/>
          <w:lang w:val="en-ZA"/>
        </w:rPr>
        <w:t xml:space="preserve">cordance with Section 27(1) of the Public Finance Management Act, 1999 (Act. No 29 of 1999), and as referred by the Chairperson of the National Council of Provinces (NCOP) to the Committee in terms of Rule 338 for consideration and reporting. </w:t>
      </w:r>
    </w:p>
    <w:p w:rsidR="00CF2534" w:rsidRDefault="00CF2534" w:rsidP="00AD4B73">
      <w:pPr>
        <w:spacing w:line="360" w:lineRule="auto"/>
        <w:rPr>
          <w:rFonts w:ascii="Times New Roman" w:hAnsi="Times New Roman" w:cs="Times New Roman"/>
          <w:lang w:val="en-ZA"/>
        </w:rPr>
      </w:pPr>
    </w:p>
    <w:p w:rsidR="00CF2534" w:rsidRPr="00CF2534" w:rsidRDefault="00CF2534" w:rsidP="00CF2534">
      <w:pPr>
        <w:spacing w:line="360" w:lineRule="auto"/>
        <w:rPr>
          <w:rFonts w:ascii="Times New Roman" w:hAnsi="Times New Roman" w:cs="Times New Roman"/>
          <w:b/>
          <w:lang w:val="en-ZA"/>
        </w:rPr>
      </w:pPr>
      <w:r>
        <w:rPr>
          <w:rFonts w:ascii="Times New Roman" w:hAnsi="Times New Roman" w:cs="Times New Roman"/>
          <w:b/>
          <w:lang w:val="en-ZA"/>
        </w:rPr>
        <w:t>1.2.</w:t>
      </w:r>
      <w:r>
        <w:rPr>
          <w:rFonts w:ascii="Times New Roman" w:hAnsi="Times New Roman" w:cs="Times New Roman"/>
          <w:b/>
          <w:lang w:val="en-ZA"/>
        </w:rPr>
        <w:tab/>
      </w:r>
      <w:r w:rsidRPr="00CF2534">
        <w:rPr>
          <w:rFonts w:ascii="Times New Roman" w:hAnsi="Times New Roman" w:cs="Times New Roman"/>
          <w:b/>
          <w:lang w:val="en-ZA"/>
        </w:rPr>
        <w:t xml:space="preserve"> Method</w:t>
      </w:r>
    </w:p>
    <w:p w:rsidR="00CF2534" w:rsidRPr="00AD4B73" w:rsidRDefault="00CF2534" w:rsidP="00AD4B73">
      <w:pPr>
        <w:spacing w:line="360" w:lineRule="auto"/>
        <w:rPr>
          <w:rFonts w:ascii="Times New Roman" w:hAnsi="Times New Roman" w:cs="Times New Roman"/>
          <w:lang w:val="en-ZA"/>
        </w:rPr>
      </w:pPr>
      <w:r w:rsidRPr="00CF2534">
        <w:rPr>
          <w:rFonts w:ascii="Times New Roman" w:hAnsi="Times New Roman" w:cs="Times New Roman"/>
          <w:iCs/>
          <w:lang w:val="en-ZA"/>
        </w:rPr>
        <w:t xml:space="preserve">The </w:t>
      </w:r>
      <w:r w:rsidRPr="00CF2534">
        <w:rPr>
          <w:rFonts w:ascii="Times New Roman" w:hAnsi="Times New Roman" w:cs="Times New Roman"/>
          <w:lang w:val="en-ZA"/>
        </w:rPr>
        <w:t>2020 - 25 Strategic Plans and 2020/21 APPs and budgets of the Department</w:t>
      </w:r>
      <w:r>
        <w:rPr>
          <w:rFonts w:ascii="Times New Roman" w:hAnsi="Times New Roman" w:cs="Times New Roman"/>
          <w:lang w:val="en-ZA"/>
        </w:rPr>
        <w:t xml:space="preserve"> was</w:t>
      </w:r>
      <w:r w:rsidRPr="00CF2534">
        <w:rPr>
          <w:rFonts w:ascii="Times New Roman" w:hAnsi="Times New Roman" w:cs="Times New Roman"/>
          <w:iCs/>
          <w:lang w:val="en-ZA"/>
        </w:rPr>
        <w:t xml:space="preserve"> considered against the background of key government policy documents, including, amongst others, the National Development Plan (NDP), the 2019 – 2024 Medium Term Strategic Framework (MTSF), and the 2020 State of the Nation Address (SONA). The Committee had joint briefing sessions with the Portfolio Committee on Higher Education, Science and Technology </w:t>
      </w:r>
      <w:r w:rsidRPr="00CF2534">
        <w:rPr>
          <w:rFonts w:ascii="Times New Roman" w:hAnsi="Times New Roman" w:cs="Times New Roman"/>
          <w:lang w:val="en-ZA"/>
        </w:rPr>
        <w:t>to consider the Strategic Plans and the APPs of the Department o</w:t>
      </w:r>
      <w:r w:rsidRPr="00CF2534">
        <w:rPr>
          <w:rFonts w:ascii="Times New Roman" w:hAnsi="Times New Roman" w:cs="Times New Roman"/>
          <w:iCs/>
          <w:lang w:val="en-ZA"/>
        </w:rPr>
        <w:t>n 1</w:t>
      </w:r>
      <w:r>
        <w:rPr>
          <w:rFonts w:ascii="Times New Roman" w:hAnsi="Times New Roman" w:cs="Times New Roman"/>
          <w:iCs/>
          <w:lang w:val="en-ZA"/>
        </w:rPr>
        <w:t>5 and 19</w:t>
      </w:r>
      <w:r w:rsidRPr="00CF2534">
        <w:rPr>
          <w:rFonts w:ascii="Times New Roman" w:hAnsi="Times New Roman" w:cs="Times New Roman"/>
          <w:iCs/>
          <w:lang w:val="en-ZA"/>
        </w:rPr>
        <w:t xml:space="preserve"> 2020.</w:t>
      </w:r>
    </w:p>
    <w:p w:rsidR="00AD4B73" w:rsidRPr="00AD4B73" w:rsidRDefault="00AD4B73" w:rsidP="00AD4B73">
      <w:pPr>
        <w:spacing w:line="360" w:lineRule="auto"/>
        <w:rPr>
          <w:rFonts w:ascii="Times New Roman" w:hAnsi="Times New Roman" w:cs="Times New Roman"/>
          <w:lang w:val="en-ZA"/>
        </w:rPr>
      </w:pPr>
    </w:p>
    <w:p w:rsidR="00AD4B73" w:rsidRPr="00AD4B73" w:rsidRDefault="00AD4B73" w:rsidP="00AD4B73">
      <w:pPr>
        <w:spacing w:line="360" w:lineRule="auto"/>
        <w:rPr>
          <w:rFonts w:ascii="Times New Roman" w:hAnsi="Times New Roman" w:cs="Times New Roman"/>
          <w:b/>
          <w:lang w:val="en-ZA"/>
        </w:rPr>
      </w:pPr>
      <w:r w:rsidRPr="00AD4B73">
        <w:rPr>
          <w:rFonts w:ascii="Times New Roman" w:hAnsi="Times New Roman" w:cs="Times New Roman"/>
          <w:b/>
          <w:lang w:val="en-ZA"/>
        </w:rPr>
        <w:t>1.</w:t>
      </w:r>
      <w:r w:rsidR="00CF2534">
        <w:rPr>
          <w:rFonts w:ascii="Times New Roman" w:hAnsi="Times New Roman" w:cs="Times New Roman"/>
          <w:b/>
          <w:lang w:val="en-ZA"/>
        </w:rPr>
        <w:t>3.</w:t>
      </w:r>
      <w:r w:rsidR="00CF2534">
        <w:rPr>
          <w:rFonts w:ascii="Times New Roman" w:hAnsi="Times New Roman" w:cs="Times New Roman"/>
          <w:b/>
          <w:lang w:val="en-ZA"/>
        </w:rPr>
        <w:tab/>
      </w:r>
      <w:r w:rsidRPr="00AD4B73">
        <w:rPr>
          <w:rFonts w:ascii="Times New Roman" w:hAnsi="Times New Roman" w:cs="Times New Roman"/>
          <w:b/>
          <w:lang w:val="en-ZA"/>
        </w:rPr>
        <w:t xml:space="preserve"> Mandate of Committee</w:t>
      </w:r>
      <w:r w:rsidR="005013AB">
        <w:rPr>
          <w:rFonts w:ascii="Times New Roman" w:hAnsi="Times New Roman" w:cs="Times New Roman"/>
          <w:b/>
          <w:lang w:val="en-ZA"/>
        </w:rPr>
        <w:t xml:space="preserve"> and the Department</w:t>
      </w:r>
    </w:p>
    <w:p w:rsidR="00AD4B73" w:rsidRPr="00AD4B73" w:rsidRDefault="00AD4B73" w:rsidP="00AD4B73">
      <w:pPr>
        <w:spacing w:line="360" w:lineRule="auto"/>
        <w:rPr>
          <w:rFonts w:ascii="Times New Roman" w:hAnsi="Times New Roman" w:cs="Times New Roman"/>
          <w:b/>
          <w:lang w:val="en-US"/>
        </w:rPr>
      </w:pPr>
      <w:r w:rsidRPr="00AD4B73">
        <w:rPr>
          <w:rFonts w:ascii="Times New Roman" w:hAnsi="Times New Roman" w:cs="Times New Roman"/>
          <w:lang w:val="en-US"/>
        </w:rPr>
        <w:t xml:space="preserve">The mandate of Parliament is based on the provisions of the Constitution of the Republic of South Africa, 1996, establishing Parliament and setting </w:t>
      </w:r>
      <w:bookmarkStart w:id="1" w:name="_Toc444610548"/>
      <w:bookmarkStart w:id="2" w:name="_Toc444610739"/>
      <w:bookmarkStart w:id="3" w:name="_Toc444611461"/>
      <w:bookmarkStart w:id="4" w:name="_Toc444611540"/>
      <w:bookmarkStart w:id="5" w:name="_Toc444699513"/>
      <w:bookmarkStart w:id="6" w:name="_Toc444699892"/>
      <w:bookmarkStart w:id="7" w:name="_Toc444699974"/>
      <w:bookmarkStart w:id="8" w:name="_Toc444700039"/>
      <w:bookmarkStart w:id="9" w:name="_Toc476221395"/>
      <w:r w:rsidR="00C720EA">
        <w:rPr>
          <w:rFonts w:ascii="Times New Roman" w:hAnsi="Times New Roman" w:cs="Times New Roman"/>
          <w:lang w:val="en-US"/>
        </w:rPr>
        <w:t xml:space="preserve">out the functions it performs. </w:t>
      </w:r>
      <w:r w:rsidRPr="00AD4B73">
        <w:rPr>
          <w:rFonts w:ascii="Times New Roman" w:hAnsi="Times New Roman" w:cs="Times New Roman"/>
          <w:lang w:val="en-US"/>
        </w:rPr>
        <w:t>Parliament’s role and outcomes are to represent the people and ensure government by the people under the Constitution, as well as to represent the provinces and local government in the national sphere of government. The main functions of Parliament as outlined in the Constitution are:</w:t>
      </w:r>
    </w:p>
    <w:p w:rsidR="00AD4B73" w:rsidRPr="00AD4B73" w:rsidRDefault="00AD4B73" w:rsidP="00AD4B73">
      <w:pPr>
        <w:numPr>
          <w:ilvl w:val="0"/>
          <w:numId w:val="34"/>
        </w:numPr>
        <w:spacing w:line="360" w:lineRule="auto"/>
        <w:rPr>
          <w:rFonts w:ascii="Times New Roman" w:hAnsi="Times New Roman" w:cs="Times New Roman"/>
          <w:lang w:val="en-US"/>
        </w:rPr>
      </w:pPr>
      <w:bookmarkStart w:id="10" w:name="_Toc17883220"/>
      <w:r w:rsidRPr="00AD4B73">
        <w:rPr>
          <w:rFonts w:ascii="Times New Roman" w:hAnsi="Times New Roman" w:cs="Times New Roman"/>
          <w:lang w:val="en-US"/>
        </w:rPr>
        <w:t>To pass legislation,</w:t>
      </w:r>
      <w:bookmarkEnd w:id="10"/>
      <w:r w:rsidRPr="00AD4B73">
        <w:rPr>
          <w:rFonts w:ascii="Times New Roman" w:hAnsi="Times New Roman" w:cs="Times New Roman"/>
          <w:lang w:val="en-US"/>
        </w:rPr>
        <w:t xml:space="preserve"> </w:t>
      </w:r>
    </w:p>
    <w:p w:rsidR="00AD4B73" w:rsidRPr="00AD4B73" w:rsidRDefault="00AD4B73" w:rsidP="00AD4B73">
      <w:pPr>
        <w:numPr>
          <w:ilvl w:val="0"/>
          <w:numId w:val="34"/>
        </w:numPr>
        <w:spacing w:line="360" w:lineRule="auto"/>
        <w:rPr>
          <w:rFonts w:ascii="Times New Roman" w:hAnsi="Times New Roman" w:cs="Times New Roman"/>
          <w:lang w:val="en-US"/>
        </w:rPr>
      </w:pPr>
      <w:bookmarkStart w:id="11" w:name="_Toc17883221"/>
      <w:r w:rsidRPr="00AD4B73">
        <w:rPr>
          <w:rFonts w:ascii="Times New Roman" w:hAnsi="Times New Roman" w:cs="Times New Roman"/>
          <w:lang w:val="en-US"/>
        </w:rPr>
        <w:lastRenderedPageBreak/>
        <w:t>To oversee executive action,</w:t>
      </w:r>
      <w:bookmarkEnd w:id="11"/>
      <w:r w:rsidRPr="00AD4B73">
        <w:rPr>
          <w:rFonts w:ascii="Times New Roman" w:hAnsi="Times New Roman" w:cs="Times New Roman"/>
          <w:lang w:val="en-US"/>
        </w:rPr>
        <w:t xml:space="preserve">  </w:t>
      </w:r>
    </w:p>
    <w:p w:rsidR="00AD4B73" w:rsidRPr="00AD4B73" w:rsidRDefault="00AD4B73" w:rsidP="00AD4B73">
      <w:pPr>
        <w:numPr>
          <w:ilvl w:val="0"/>
          <w:numId w:val="34"/>
        </w:numPr>
        <w:spacing w:line="360" w:lineRule="auto"/>
        <w:rPr>
          <w:rFonts w:ascii="Times New Roman" w:hAnsi="Times New Roman" w:cs="Times New Roman"/>
          <w:lang w:val="en-US"/>
        </w:rPr>
      </w:pPr>
      <w:bookmarkStart w:id="12" w:name="_Toc17883222"/>
      <w:r w:rsidRPr="00AD4B73">
        <w:rPr>
          <w:rFonts w:ascii="Times New Roman" w:hAnsi="Times New Roman" w:cs="Times New Roman"/>
          <w:lang w:val="en-US"/>
        </w:rPr>
        <w:t>Facilitation of public involvement, co-operative government and,</w:t>
      </w:r>
      <w:bookmarkEnd w:id="12"/>
    </w:p>
    <w:p w:rsidR="00AD4B73" w:rsidRPr="00AD4B73" w:rsidRDefault="00AD4B73" w:rsidP="00AD4B73">
      <w:pPr>
        <w:numPr>
          <w:ilvl w:val="0"/>
          <w:numId w:val="34"/>
        </w:numPr>
        <w:spacing w:line="360" w:lineRule="auto"/>
        <w:rPr>
          <w:rFonts w:ascii="Times New Roman" w:hAnsi="Times New Roman" w:cs="Times New Roman"/>
          <w:lang w:val="en-US"/>
        </w:rPr>
      </w:pPr>
      <w:bookmarkStart w:id="13" w:name="_Toc17883223"/>
      <w:r w:rsidRPr="00AD4B73">
        <w:rPr>
          <w:rFonts w:ascii="Times New Roman" w:hAnsi="Times New Roman" w:cs="Times New Roman"/>
          <w:lang w:val="en-US"/>
        </w:rPr>
        <w:t>International engagement.</w:t>
      </w:r>
      <w:bookmarkEnd w:id="1"/>
      <w:bookmarkEnd w:id="2"/>
      <w:bookmarkEnd w:id="3"/>
      <w:bookmarkEnd w:id="4"/>
      <w:bookmarkEnd w:id="5"/>
      <w:bookmarkEnd w:id="6"/>
      <w:bookmarkEnd w:id="7"/>
      <w:bookmarkEnd w:id="8"/>
      <w:bookmarkEnd w:id="9"/>
      <w:bookmarkEnd w:id="13"/>
    </w:p>
    <w:p w:rsidR="00BF3FAA" w:rsidRPr="004C5F62" w:rsidRDefault="00BF3FAA" w:rsidP="002A3C6A">
      <w:pPr>
        <w:spacing w:line="360" w:lineRule="auto"/>
        <w:rPr>
          <w:rFonts w:ascii="Times New Roman" w:hAnsi="Times New Roman" w:cs="Times New Roman"/>
        </w:rPr>
      </w:pPr>
    </w:p>
    <w:p w:rsidR="004C509B" w:rsidRDefault="00463461" w:rsidP="002A3C6A">
      <w:pPr>
        <w:spacing w:line="360" w:lineRule="auto"/>
        <w:rPr>
          <w:rFonts w:ascii="Times New Roman" w:hAnsi="Times New Roman" w:cs="Times New Roman"/>
        </w:rPr>
      </w:pPr>
      <w:r>
        <w:rPr>
          <w:rFonts w:ascii="Times New Roman" w:hAnsi="Times New Roman" w:cs="Times New Roman"/>
        </w:rPr>
        <w:t>The Department derives its mandate from the following:</w:t>
      </w:r>
    </w:p>
    <w:p w:rsidR="00CF2534" w:rsidRDefault="00CF2534" w:rsidP="002A3C6A">
      <w:pPr>
        <w:spacing w:line="360" w:lineRule="auto"/>
        <w:rPr>
          <w:rFonts w:ascii="Times New Roman" w:hAnsi="Times New Roman" w:cs="Times New Roman"/>
        </w:rPr>
      </w:pPr>
    </w:p>
    <w:p w:rsidR="005F24FF" w:rsidRPr="00463461" w:rsidRDefault="005F24FF" w:rsidP="00463461">
      <w:pPr>
        <w:spacing w:line="360" w:lineRule="auto"/>
        <w:rPr>
          <w:rFonts w:ascii="Times New Roman" w:hAnsi="Times New Roman" w:cs="Times New Roman"/>
          <w:b/>
        </w:rPr>
      </w:pPr>
      <w:r w:rsidRPr="00463461">
        <w:rPr>
          <w:rFonts w:ascii="Times New Roman" w:hAnsi="Times New Roman" w:cs="Times New Roman"/>
          <w:b/>
        </w:rPr>
        <w:t>Policy mandate</w:t>
      </w:r>
      <w:r w:rsidR="00632185" w:rsidRPr="00463461">
        <w:rPr>
          <w:rFonts w:ascii="Times New Roman" w:hAnsi="Times New Roman" w:cs="Times New Roman"/>
          <w:b/>
        </w:rPr>
        <w:t>: White Paper on Science, Technology and Innovation</w:t>
      </w:r>
    </w:p>
    <w:p w:rsidR="00CC1BD3" w:rsidRPr="004C5F62" w:rsidRDefault="007E27BB" w:rsidP="002A3C6A">
      <w:pPr>
        <w:spacing w:line="360" w:lineRule="auto"/>
        <w:rPr>
          <w:rFonts w:ascii="Times New Roman" w:hAnsi="Times New Roman" w:cs="Times New Roman"/>
        </w:rPr>
      </w:pPr>
      <w:r w:rsidRPr="004C5F62">
        <w:rPr>
          <w:rFonts w:ascii="Times New Roman" w:hAnsi="Times New Roman" w:cs="Times New Roman"/>
        </w:rPr>
        <w:t>Succeeding the 1996 White Paper on Science and Technology</w:t>
      </w:r>
      <w:r w:rsidR="00B13E31" w:rsidRPr="004C5F62">
        <w:rPr>
          <w:rFonts w:ascii="Times New Roman" w:hAnsi="Times New Roman" w:cs="Times New Roman"/>
        </w:rPr>
        <w:t>, the 2019 White Paper on Science, Technology and Innovation</w:t>
      </w:r>
      <w:r w:rsidR="00547ED0" w:rsidRPr="004C5F62">
        <w:rPr>
          <w:rFonts w:ascii="Times New Roman" w:hAnsi="Times New Roman" w:cs="Times New Roman"/>
        </w:rPr>
        <w:t>, which seeks to specifically enhance the role of innovation,</w:t>
      </w:r>
      <w:r w:rsidR="00B13E31" w:rsidRPr="004C5F62">
        <w:rPr>
          <w:rFonts w:ascii="Times New Roman" w:hAnsi="Times New Roman" w:cs="Times New Roman"/>
        </w:rPr>
        <w:t xml:space="preserve"> now </w:t>
      </w:r>
      <w:r w:rsidR="00CC1BD3" w:rsidRPr="004C5F62">
        <w:rPr>
          <w:rFonts w:ascii="Times New Roman" w:hAnsi="Times New Roman" w:cs="Times New Roman"/>
        </w:rPr>
        <w:t>sets the current long-term policy direction for the</w:t>
      </w:r>
      <w:r w:rsidRPr="004C5F62">
        <w:rPr>
          <w:rFonts w:ascii="Times New Roman" w:hAnsi="Times New Roman" w:cs="Times New Roman"/>
        </w:rPr>
        <w:t xml:space="preserve"> National System of Innovation</w:t>
      </w:r>
      <w:r w:rsidR="00CC1BD3" w:rsidRPr="004C5F62">
        <w:rPr>
          <w:rFonts w:ascii="Times New Roman" w:hAnsi="Times New Roman" w:cs="Times New Roman"/>
        </w:rPr>
        <w:t xml:space="preserve"> </w:t>
      </w:r>
      <w:r w:rsidRPr="004C5F62">
        <w:rPr>
          <w:rFonts w:ascii="Times New Roman" w:hAnsi="Times New Roman" w:cs="Times New Roman"/>
        </w:rPr>
        <w:t>(</w:t>
      </w:r>
      <w:r w:rsidR="00CC1BD3" w:rsidRPr="004C5F62">
        <w:rPr>
          <w:rFonts w:ascii="Times New Roman" w:hAnsi="Times New Roman" w:cs="Times New Roman"/>
        </w:rPr>
        <w:t>NSI</w:t>
      </w:r>
      <w:r w:rsidRPr="004C5F62">
        <w:rPr>
          <w:rFonts w:ascii="Times New Roman" w:hAnsi="Times New Roman" w:cs="Times New Roman"/>
        </w:rPr>
        <w:t>)</w:t>
      </w:r>
      <w:r w:rsidR="00CC1BD3" w:rsidRPr="004C5F62">
        <w:rPr>
          <w:rFonts w:ascii="Times New Roman" w:hAnsi="Times New Roman" w:cs="Times New Roman"/>
        </w:rPr>
        <w:t xml:space="preserve"> and seeks to ensure an increasing role for </w:t>
      </w:r>
      <w:r w:rsidRPr="004C5F62">
        <w:rPr>
          <w:rFonts w:ascii="Times New Roman" w:hAnsi="Times New Roman" w:cs="Times New Roman"/>
        </w:rPr>
        <w:t>science, technology and innovation (</w:t>
      </w:r>
      <w:r w:rsidR="00CC1BD3" w:rsidRPr="004C5F62">
        <w:rPr>
          <w:rFonts w:ascii="Times New Roman" w:hAnsi="Times New Roman" w:cs="Times New Roman"/>
        </w:rPr>
        <w:t>STI</w:t>
      </w:r>
      <w:r w:rsidRPr="004C5F62">
        <w:rPr>
          <w:rFonts w:ascii="Times New Roman" w:hAnsi="Times New Roman" w:cs="Times New Roman"/>
        </w:rPr>
        <w:t>)</w:t>
      </w:r>
      <w:r w:rsidR="00CC1BD3" w:rsidRPr="004C5F62">
        <w:rPr>
          <w:rFonts w:ascii="Times New Roman" w:hAnsi="Times New Roman" w:cs="Times New Roman"/>
        </w:rPr>
        <w:t xml:space="preserve"> to accelerate inclusive economic growth, increase the competitiveness of the economy, and improve the livelihoods of South Africa’s citizens. </w:t>
      </w:r>
    </w:p>
    <w:p w:rsidR="00CC1BD3" w:rsidRPr="004C5F62" w:rsidRDefault="00CC1BD3" w:rsidP="002A3C6A">
      <w:pPr>
        <w:spacing w:line="360" w:lineRule="auto"/>
        <w:rPr>
          <w:rFonts w:ascii="Times New Roman" w:hAnsi="Times New Roman" w:cs="Times New Roman"/>
        </w:rPr>
      </w:pPr>
    </w:p>
    <w:p w:rsidR="00CC1BD3" w:rsidRPr="004C5F62" w:rsidRDefault="00CC1BD3" w:rsidP="002A3C6A">
      <w:pPr>
        <w:pStyle w:val="ListParagraph"/>
        <w:spacing w:line="360" w:lineRule="auto"/>
        <w:ind w:left="0"/>
        <w:rPr>
          <w:rFonts w:ascii="Times New Roman" w:hAnsi="Times New Roman" w:cs="Times New Roman"/>
          <w:sz w:val="24"/>
          <w:szCs w:val="24"/>
        </w:rPr>
      </w:pPr>
      <w:r w:rsidRPr="004C5F62">
        <w:rPr>
          <w:rFonts w:ascii="Times New Roman" w:hAnsi="Times New Roman" w:cs="Times New Roman"/>
          <w:sz w:val="24"/>
          <w:szCs w:val="24"/>
        </w:rPr>
        <w:t>The 2019 White Paper hinges on three high-level goals; namely</w:t>
      </w:r>
      <w:r w:rsidR="006C01B4" w:rsidRPr="004C5F62">
        <w:rPr>
          <w:rFonts w:ascii="Times New Roman" w:hAnsi="Times New Roman" w:cs="Times New Roman"/>
          <w:sz w:val="24"/>
          <w:szCs w:val="24"/>
        </w:rPr>
        <w:t xml:space="preserve"> to</w:t>
      </w:r>
      <w:r w:rsidR="00547ED0" w:rsidRPr="004C5F62">
        <w:rPr>
          <w:rFonts w:ascii="Times New Roman" w:hAnsi="Times New Roman" w:cs="Times New Roman"/>
          <w:sz w:val="24"/>
          <w:szCs w:val="24"/>
        </w:rPr>
        <w:t xml:space="preserve">, </w:t>
      </w:r>
      <w:r w:rsidRPr="004C5F62">
        <w:rPr>
          <w:rFonts w:ascii="Times New Roman" w:hAnsi="Times New Roman" w:cs="Times New Roman"/>
          <w:sz w:val="24"/>
          <w:szCs w:val="24"/>
        </w:rPr>
        <w:t>take advantage of opportunities presented by megatrends and technological change;</w:t>
      </w:r>
      <w:r w:rsidR="00547ED0" w:rsidRPr="004C5F62">
        <w:rPr>
          <w:rFonts w:ascii="Times New Roman" w:hAnsi="Times New Roman" w:cs="Times New Roman"/>
          <w:sz w:val="24"/>
          <w:szCs w:val="24"/>
        </w:rPr>
        <w:t xml:space="preserve"> </w:t>
      </w:r>
      <w:r w:rsidRPr="004C5F62">
        <w:rPr>
          <w:rFonts w:ascii="Times New Roman" w:hAnsi="Times New Roman" w:cs="Times New Roman"/>
          <w:sz w:val="24"/>
          <w:szCs w:val="24"/>
        </w:rPr>
        <w:t>expand policy approaches that have worked and propose new approaches, where necessary; and</w:t>
      </w:r>
      <w:r w:rsidR="00547ED0" w:rsidRPr="004C5F62">
        <w:rPr>
          <w:rFonts w:ascii="Times New Roman" w:hAnsi="Times New Roman" w:cs="Times New Roman"/>
          <w:sz w:val="24"/>
          <w:szCs w:val="24"/>
        </w:rPr>
        <w:t xml:space="preserve"> </w:t>
      </w:r>
      <w:r w:rsidRPr="004C5F62">
        <w:rPr>
          <w:rFonts w:ascii="Times New Roman" w:hAnsi="Times New Roman" w:cs="Times New Roman"/>
          <w:sz w:val="24"/>
          <w:szCs w:val="24"/>
        </w:rPr>
        <w:t>promote a more inclusive economy at all levels.</w:t>
      </w:r>
      <w:r w:rsidR="006C01B4" w:rsidRPr="004C5F62">
        <w:rPr>
          <w:rFonts w:ascii="Times New Roman" w:hAnsi="Times New Roman" w:cs="Times New Roman"/>
          <w:sz w:val="24"/>
          <w:szCs w:val="24"/>
        </w:rPr>
        <w:t xml:space="preserve"> These goals are underpinned by the following objectives:</w:t>
      </w:r>
    </w:p>
    <w:p w:rsidR="006C01B4" w:rsidRPr="004C5F62" w:rsidRDefault="006C01B4" w:rsidP="002A3C6A">
      <w:pPr>
        <w:pStyle w:val="ListParagraph"/>
        <w:spacing w:line="360" w:lineRule="auto"/>
        <w:ind w:left="0"/>
        <w:rPr>
          <w:rFonts w:ascii="Times New Roman" w:hAnsi="Times New Roman" w:cs="Times New Roman"/>
          <w:sz w:val="24"/>
          <w:szCs w:val="24"/>
        </w:rPr>
      </w:pPr>
    </w:p>
    <w:p w:rsidR="00542BE8" w:rsidRPr="004C5F62" w:rsidRDefault="00542BE8" w:rsidP="002A3C6A">
      <w:pPr>
        <w:pStyle w:val="ListParagraph"/>
        <w:numPr>
          <w:ilvl w:val="0"/>
          <w:numId w:val="14"/>
        </w:numPr>
        <w:spacing w:line="360" w:lineRule="auto"/>
        <w:ind w:left="567" w:hanging="567"/>
        <w:rPr>
          <w:rFonts w:ascii="Times New Roman" w:hAnsi="Times New Roman" w:cs="Times New Roman"/>
          <w:sz w:val="24"/>
          <w:szCs w:val="24"/>
        </w:rPr>
      </w:pPr>
      <w:r w:rsidRPr="004C5F62">
        <w:rPr>
          <w:rFonts w:ascii="Times New Roman" w:hAnsi="Times New Roman" w:cs="Times New Roman"/>
          <w:sz w:val="24"/>
          <w:szCs w:val="24"/>
        </w:rPr>
        <w:t>Adopt a whole-of-government/society approach to innovation;</w:t>
      </w:r>
    </w:p>
    <w:p w:rsidR="00542BE8" w:rsidRPr="004C5F62" w:rsidRDefault="00542BE8" w:rsidP="002A3C6A">
      <w:pPr>
        <w:pStyle w:val="ListParagraph"/>
        <w:numPr>
          <w:ilvl w:val="0"/>
          <w:numId w:val="14"/>
        </w:numPr>
        <w:spacing w:line="360" w:lineRule="auto"/>
        <w:ind w:left="567" w:hanging="567"/>
        <w:rPr>
          <w:rFonts w:ascii="Times New Roman" w:hAnsi="Times New Roman" w:cs="Times New Roman"/>
          <w:sz w:val="24"/>
          <w:szCs w:val="24"/>
        </w:rPr>
      </w:pPr>
      <w:r w:rsidRPr="004C5F62">
        <w:rPr>
          <w:rFonts w:ascii="Times New Roman" w:hAnsi="Times New Roman" w:cs="Times New Roman"/>
          <w:sz w:val="24"/>
          <w:szCs w:val="24"/>
        </w:rPr>
        <w:t>Instil a culture of valuing STI, and integrate STI into government planning and budgeting at the highest levels;</w:t>
      </w:r>
    </w:p>
    <w:p w:rsidR="00542BE8" w:rsidRPr="004C5F62" w:rsidRDefault="00542BE8" w:rsidP="002A3C6A">
      <w:pPr>
        <w:pStyle w:val="ListParagraph"/>
        <w:numPr>
          <w:ilvl w:val="0"/>
          <w:numId w:val="14"/>
        </w:numPr>
        <w:spacing w:line="360" w:lineRule="auto"/>
        <w:ind w:left="567" w:hanging="567"/>
        <w:rPr>
          <w:rFonts w:ascii="Times New Roman" w:hAnsi="Times New Roman" w:cs="Times New Roman"/>
          <w:sz w:val="24"/>
          <w:szCs w:val="24"/>
        </w:rPr>
      </w:pPr>
      <w:r w:rsidRPr="004C5F62">
        <w:rPr>
          <w:rFonts w:ascii="Times New Roman" w:hAnsi="Times New Roman" w:cs="Times New Roman"/>
          <w:sz w:val="24"/>
          <w:szCs w:val="24"/>
        </w:rPr>
        <w:t>Create an enabling and inclusive governance environment;</w:t>
      </w:r>
    </w:p>
    <w:p w:rsidR="00542BE8" w:rsidRPr="004C5F62" w:rsidRDefault="00542BE8" w:rsidP="002A3C6A">
      <w:pPr>
        <w:pStyle w:val="ListParagraph"/>
        <w:numPr>
          <w:ilvl w:val="0"/>
          <w:numId w:val="14"/>
        </w:numPr>
        <w:spacing w:line="360" w:lineRule="auto"/>
        <w:ind w:left="567" w:hanging="567"/>
        <w:rPr>
          <w:rFonts w:ascii="Times New Roman" w:hAnsi="Times New Roman" w:cs="Times New Roman"/>
          <w:sz w:val="24"/>
          <w:szCs w:val="24"/>
        </w:rPr>
      </w:pPr>
      <w:r w:rsidRPr="004C5F62">
        <w:rPr>
          <w:rFonts w:ascii="Times New Roman" w:hAnsi="Times New Roman" w:cs="Times New Roman"/>
          <w:sz w:val="24"/>
          <w:szCs w:val="24"/>
        </w:rPr>
        <w:t>Create a more innovation-enabling environment;</w:t>
      </w:r>
    </w:p>
    <w:p w:rsidR="00542BE8" w:rsidRPr="004C5F62" w:rsidRDefault="00542BE8" w:rsidP="002A3C6A">
      <w:pPr>
        <w:pStyle w:val="ListParagraph"/>
        <w:numPr>
          <w:ilvl w:val="0"/>
          <w:numId w:val="14"/>
        </w:numPr>
        <w:spacing w:line="360" w:lineRule="auto"/>
        <w:ind w:left="567" w:hanging="567"/>
        <w:rPr>
          <w:rFonts w:ascii="Times New Roman" w:hAnsi="Times New Roman" w:cs="Times New Roman"/>
          <w:sz w:val="24"/>
          <w:szCs w:val="24"/>
        </w:rPr>
      </w:pPr>
      <w:r w:rsidRPr="004C5F62">
        <w:rPr>
          <w:rFonts w:ascii="Times New Roman" w:hAnsi="Times New Roman" w:cs="Times New Roman"/>
          <w:sz w:val="24"/>
          <w:szCs w:val="24"/>
        </w:rPr>
        <w:t>Increase and transform NSI human capabilities;</w:t>
      </w:r>
    </w:p>
    <w:p w:rsidR="00542BE8" w:rsidRPr="004C5F62" w:rsidRDefault="00542BE8" w:rsidP="002A3C6A">
      <w:pPr>
        <w:pStyle w:val="ListParagraph"/>
        <w:numPr>
          <w:ilvl w:val="0"/>
          <w:numId w:val="14"/>
        </w:numPr>
        <w:spacing w:line="360" w:lineRule="auto"/>
        <w:ind w:left="567" w:hanging="567"/>
        <w:rPr>
          <w:rFonts w:ascii="Times New Roman" w:hAnsi="Times New Roman" w:cs="Times New Roman"/>
          <w:sz w:val="24"/>
          <w:szCs w:val="24"/>
        </w:rPr>
      </w:pPr>
      <w:r w:rsidRPr="004C5F62">
        <w:rPr>
          <w:rFonts w:ascii="Times New Roman" w:hAnsi="Times New Roman" w:cs="Times New Roman"/>
          <w:sz w:val="24"/>
          <w:szCs w:val="24"/>
        </w:rPr>
        <w:t>Expand and transform the research system;</w:t>
      </w:r>
    </w:p>
    <w:p w:rsidR="00542BE8" w:rsidRPr="004C5F62" w:rsidRDefault="00542BE8" w:rsidP="002A3C6A">
      <w:pPr>
        <w:pStyle w:val="ListParagraph"/>
        <w:numPr>
          <w:ilvl w:val="0"/>
          <w:numId w:val="14"/>
        </w:numPr>
        <w:spacing w:line="360" w:lineRule="auto"/>
        <w:ind w:left="567" w:hanging="567"/>
        <w:rPr>
          <w:rFonts w:ascii="Times New Roman" w:hAnsi="Times New Roman" w:cs="Times New Roman"/>
          <w:sz w:val="24"/>
          <w:szCs w:val="24"/>
        </w:rPr>
      </w:pPr>
      <w:r w:rsidRPr="004C5F62">
        <w:rPr>
          <w:rFonts w:ascii="Times New Roman" w:hAnsi="Times New Roman" w:cs="Times New Roman"/>
          <w:sz w:val="24"/>
          <w:szCs w:val="24"/>
        </w:rPr>
        <w:t>Expand and transform the institutional landscape; and</w:t>
      </w:r>
    </w:p>
    <w:p w:rsidR="005F24FF" w:rsidRPr="004C5F62" w:rsidRDefault="00542BE8" w:rsidP="002A3C6A">
      <w:pPr>
        <w:pStyle w:val="ListParagraph"/>
        <w:numPr>
          <w:ilvl w:val="0"/>
          <w:numId w:val="14"/>
        </w:numPr>
        <w:spacing w:line="360" w:lineRule="auto"/>
        <w:ind w:left="567" w:hanging="567"/>
        <w:rPr>
          <w:rFonts w:ascii="Times New Roman" w:hAnsi="Times New Roman" w:cs="Times New Roman"/>
          <w:sz w:val="24"/>
          <w:szCs w:val="24"/>
        </w:rPr>
      </w:pPr>
      <w:r w:rsidRPr="004C5F62">
        <w:rPr>
          <w:rFonts w:ascii="Times New Roman" w:hAnsi="Times New Roman" w:cs="Times New Roman"/>
          <w:sz w:val="24"/>
          <w:szCs w:val="24"/>
        </w:rPr>
        <w:t>Increase funding and funding efficiencies.</w:t>
      </w:r>
    </w:p>
    <w:p w:rsidR="00C65FEB" w:rsidRPr="004C5F62" w:rsidRDefault="00C65FEB" w:rsidP="002A3C6A">
      <w:pPr>
        <w:spacing w:line="360" w:lineRule="auto"/>
        <w:rPr>
          <w:rFonts w:ascii="Times New Roman" w:hAnsi="Times New Roman" w:cs="Times New Roman"/>
        </w:rPr>
      </w:pPr>
    </w:p>
    <w:p w:rsidR="00F06764" w:rsidRPr="004C5F62" w:rsidRDefault="00F06764" w:rsidP="002A3C6A">
      <w:pPr>
        <w:spacing w:line="360" w:lineRule="auto"/>
        <w:rPr>
          <w:rFonts w:ascii="Times New Roman" w:hAnsi="Times New Roman" w:cs="Times New Roman"/>
        </w:rPr>
      </w:pPr>
      <w:r w:rsidRPr="004C5F62">
        <w:rPr>
          <w:rFonts w:ascii="Times New Roman" w:hAnsi="Times New Roman" w:cs="Times New Roman"/>
        </w:rPr>
        <w:t xml:space="preserve">A new Decadal Plan for STI will serve as the implementation plan for the 2019 White Paper. This Decadal Plan will take into consideration not only the policy intents of the 2019 White Paper, but also the reviews of the Ten-Year Innovation Plan (2008–2018) and 2002 National Research and Development Strategy, the 2019 National Advisory Council on Innovation’s (NACI) South Africa Foresight Exercise for Science, </w:t>
      </w:r>
      <w:r w:rsidRPr="004C5F62">
        <w:rPr>
          <w:rFonts w:ascii="Times New Roman" w:hAnsi="Times New Roman" w:cs="Times New Roman"/>
        </w:rPr>
        <w:lastRenderedPageBreak/>
        <w:t>Technology and Innovation 2030 report, and the priority outcomes of government.</w:t>
      </w:r>
      <w:r w:rsidR="008477AC" w:rsidRPr="004C5F62">
        <w:rPr>
          <w:rFonts w:ascii="Times New Roman" w:hAnsi="Times New Roman" w:cs="Times New Roman"/>
        </w:rPr>
        <w:t xml:space="preserve"> It is envisaged that this Plan will be finalised within the 2020/21 financial year.</w:t>
      </w:r>
    </w:p>
    <w:p w:rsidR="00F06764" w:rsidRPr="004C5F62" w:rsidRDefault="00F06764" w:rsidP="002A3C6A">
      <w:pPr>
        <w:spacing w:line="360" w:lineRule="auto"/>
        <w:rPr>
          <w:rFonts w:ascii="Times New Roman" w:hAnsi="Times New Roman" w:cs="Times New Roman"/>
        </w:rPr>
      </w:pPr>
    </w:p>
    <w:p w:rsidR="00BF3FAA" w:rsidRPr="00463461" w:rsidRDefault="00BF3FAA" w:rsidP="00463461">
      <w:pPr>
        <w:spacing w:line="360" w:lineRule="auto"/>
        <w:rPr>
          <w:rFonts w:ascii="Times New Roman" w:hAnsi="Times New Roman" w:cs="Times New Roman"/>
          <w:b/>
        </w:rPr>
      </w:pPr>
      <w:r w:rsidRPr="00463461">
        <w:rPr>
          <w:rFonts w:ascii="Times New Roman" w:hAnsi="Times New Roman" w:cs="Times New Roman"/>
          <w:b/>
        </w:rPr>
        <w:t>Policy context</w:t>
      </w:r>
      <w:r w:rsidR="00632185" w:rsidRPr="00463461">
        <w:rPr>
          <w:rFonts w:ascii="Times New Roman" w:hAnsi="Times New Roman" w:cs="Times New Roman"/>
          <w:b/>
        </w:rPr>
        <w:t>: National Develop Plan and the Medium Term Strategic Framework</w:t>
      </w:r>
    </w:p>
    <w:p w:rsidR="00F1438C" w:rsidRPr="004C5F62" w:rsidRDefault="00BF3FAA" w:rsidP="002A3C6A">
      <w:pPr>
        <w:spacing w:line="360" w:lineRule="auto"/>
        <w:rPr>
          <w:rFonts w:ascii="Times New Roman" w:hAnsi="Times New Roman" w:cs="Times New Roman"/>
        </w:rPr>
      </w:pPr>
      <w:r w:rsidRPr="004C5F62">
        <w:rPr>
          <w:rFonts w:ascii="Times New Roman" w:hAnsi="Times New Roman" w:cs="Times New Roman"/>
        </w:rPr>
        <w:t>The National Development Plan (NDP)</w:t>
      </w:r>
      <w:r w:rsidR="005A0804" w:rsidRPr="004C5F62">
        <w:rPr>
          <w:rFonts w:ascii="Times New Roman" w:hAnsi="Times New Roman" w:cs="Times New Roman"/>
        </w:rPr>
        <w:t xml:space="preserve"> </w:t>
      </w:r>
      <w:r w:rsidRPr="004C5F62">
        <w:rPr>
          <w:rFonts w:ascii="Times New Roman" w:hAnsi="Times New Roman" w:cs="Times New Roman"/>
        </w:rPr>
        <w:t>characterises STI as crucial for development since countries that have effectively alleviated poverty by growing their economies, have done so by investing in and developing strong STI environments and capabilities. Hence, the NDP states that South Africa’s NSI needs to be expanded as well as be more effective</w:t>
      </w:r>
      <w:r w:rsidR="00F1438C" w:rsidRPr="004C5F62">
        <w:rPr>
          <w:rFonts w:ascii="Times New Roman" w:hAnsi="Times New Roman" w:cs="Times New Roman"/>
        </w:rPr>
        <w:t xml:space="preserve"> and, therefore, be aligned with the sectors that will realise the country’s growth objectives. This requires that:</w:t>
      </w:r>
    </w:p>
    <w:p w:rsidR="00F1438C" w:rsidRPr="004C5F62" w:rsidRDefault="00F1438C" w:rsidP="002A3C6A">
      <w:pPr>
        <w:spacing w:line="360" w:lineRule="auto"/>
        <w:rPr>
          <w:rFonts w:ascii="Times New Roman" w:hAnsi="Times New Roman" w:cs="Times New Roman"/>
        </w:rPr>
      </w:pPr>
    </w:p>
    <w:p w:rsidR="00F1438C" w:rsidRPr="004C5F62" w:rsidRDefault="00F1438C" w:rsidP="002A3C6A">
      <w:pPr>
        <w:pStyle w:val="ListParagraph"/>
        <w:numPr>
          <w:ilvl w:val="0"/>
          <w:numId w:val="15"/>
        </w:numPr>
        <w:spacing w:line="360" w:lineRule="auto"/>
        <w:ind w:left="567" w:hanging="567"/>
        <w:rPr>
          <w:rFonts w:ascii="Times New Roman" w:hAnsi="Times New Roman" w:cs="Times New Roman"/>
          <w:sz w:val="24"/>
          <w:szCs w:val="24"/>
        </w:rPr>
      </w:pPr>
      <w:r w:rsidRPr="004C5F62">
        <w:rPr>
          <w:rFonts w:ascii="Times New Roman" w:hAnsi="Times New Roman" w:cs="Times New Roman"/>
          <w:sz w:val="24"/>
          <w:szCs w:val="24"/>
        </w:rPr>
        <w:t>South Africa invests more in research and development (R&amp;D). The target was 1.5% of GDP invested in R&amp;D by 2019;</w:t>
      </w:r>
    </w:p>
    <w:p w:rsidR="00F1438C" w:rsidRPr="004C5F62" w:rsidRDefault="00F1438C" w:rsidP="002A3C6A">
      <w:pPr>
        <w:pStyle w:val="ListParagraph"/>
        <w:numPr>
          <w:ilvl w:val="0"/>
          <w:numId w:val="15"/>
        </w:numPr>
        <w:spacing w:line="360" w:lineRule="auto"/>
        <w:ind w:left="567" w:hanging="567"/>
        <w:rPr>
          <w:rFonts w:ascii="Times New Roman" w:hAnsi="Times New Roman" w:cs="Times New Roman"/>
          <w:sz w:val="24"/>
          <w:szCs w:val="24"/>
        </w:rPr>
      </w:pPr>
      <w:r w:rsidRPr="004C5F62">
        <w:rPr>
          <w:rFonts w:ascii="Times New Roman" w:hAnsi="Times New Roman" w:cs="Times New Roman"/>
          <w:sz w:val="24"/>
          <w:szCs w:val="24"/>
        </w:rPr>
        <w:t>The STI institutional arrangement improves the link between innovation and the productive needs of industry;</w:t>
      </w:r>
    </w:p>
    <w:p w:rsidR="00F1438C" w:rsidRPr="004C5F62" w:rsidRDefault="00F1438C" w:rsidP="002A3C6A">
      <w:pPr>
        <w:pStyle w:val="ListParagraph"/>
        <w:numPr>
          <w:ilvl w:val="0"/>
          <w:numId w:val="15"/>
        </w:numPr>
        <w:spacing w:line="360" w:lineRule="auto"/>
        <w:ind w:left="567" w:hanging="567"/>
        <w:rPr>
          <w:rFonts w:ascii="Times New Roman" w:hAnsi="Times New Roman" w:cs="Times New Roman"/>
          <w:sz w:val="24"/>
          <w:szCs w:val="24"/>
        </w:rPr>
      </w:pPr>
      <w:r w:rsidRPr="004C5F62">
        <w:rPr>
          <w:rFonts w:ascii="Times New Roman" w:hAnsi="Times New Roman" w:cs="Times New Roman"/>
          <w:sz w:val="24"/>
          <w:szCs w:val="24"/>
        </w:rPr>
        <w:t>Government should collaborate with the private sector to raise the level of R&amp;D in companies; and</w:t>
      </w:r>
    </w:p>
    <w:p w:rsidR="00F1438C" w:rsidRPr="004C5F62" w:rsidRDefault="00F1438C" w:rsidP="002A3C6A">
      <w:pPr>
        <w:pStyle w:val="ListParagraph"/>
        <w:numPr>
          <w:ilvl w:val="0"/>
          <w:numId w:val="15"/>
        </w:numPr>
        <w:spacing w:line="360" w:lineRule="auto"/>
        <w:ind w:left="567" w:hanging="567"/>
        <w:rPr>
          <w:rFonts w:ascii="Times New Roman" w:hAnsi="Times New Roman" w:cs="Times New Roman"/>
          <w:sz w:val="24"/>
          <w:szCs w:val="24"/>
        </w:rPr>
      </w:pPr>
      <w:r w:rsidRPr="004C5F62">
        <w:rPr>
          <w:rFonts w:ascii="Times New Roman" w:hAnsi="Times New Roman" w:cs="Times New Roman"/>
          <w:sz w:val="24"/>
          <w:szCs w:val="24"/>
        </w:rPr>
        <w:t>Public investments in research infrastructure should be focussed on and fulfil the needs of a modern economy.</w:t>
      </w:r>
    </w:p>
    <w:p w:rsidR="00F1438C" w:rsidRPr="004C5F62" w:rsidRDefault="00F1438C" w:rsidP="002A3C6A">
      <w:pPr>
        <w:spacing w:line="360" w:lineRule="auto"/>
        <w:rPr>
          <w:rFonts w:ascii="Times New Roman" w:hAnsi="Times New Roman" w:cs="Times New Roman"/>
        </w:rPr>
      </w:pPr>
    </w:p>
    <w:p w:rsidR="00632185" w:rsidRPr="004C5F62" w:rsidRDefault="00632185" w:rsidP="002A3C6A">
      <w:pPr>
        <w:spacing w:line="360" w:lineRule="auto"/>
        <w:rPr>
          <w:rFonts w:ascii="Times New Roman" w:hAnsi="Times New Roman" w:cs="Times New Roman"/>
        </w:rPr>
      </w:pPr>
      <w:r w:rsidRPr="004C5F62">
        <w:rPr>
          <w:rFonts w:ascii="Times New Roman" w:hAnsi="Times New Roman" w:cs="Times New Roman"/>
        </w:rPr>
        <w:t>The 2014-2019 M</w:t>
      </w:r>
      <w:r w:rsidR="001B424E" w:rsidRPr="004C5F62">
        <w:rPr>
          <w:rFonts w:ascii="Times New Roman" w:hAnsi="Times New Roman" w:cs="Times New Roman"/>
        </w:rPr>
        <w:t xml:space="preserve">edium Term </w:t>
      </w:r>
      <w:r w:rsidRPr="004C5F62">
        <w:rPr>
          <w:rFonts w:ascii="Times New Roman" w:hAnsi="Times New Roman" w:cs="Times New Roman"/>
        </w:rPr>
        <w:t>S</w:t>
      </w:r>
      <w:r w:rsidR="001B424E" w:rsidRPr="004C5F62">
        <w:rPr>
          <w:rFonts w:ascii="Times New Roman" w:hAnsi="Times New Roman" w:cs="Times New Roman"/>
        </w:rPr>
        <w:t xml:space="preserve">trategic </w:t>
      </w:r>
      <w:r w:rsidRPr="004C5F62">
        <w:rPr>
          <w:rFonts w:ascii="Times New Roman" w:hAnsi="Times New Roman" w:cs="Times New Roman"/>
        </w:rPr>
        <w:t>F</w:t>
      </w:r>
      <w:r w:rsidR="001B424E" w:rsidRPr="004C5F62">
        <w:rPr>
          <w:rFonts w:ascii="Times New Roman" w:hAnsi="Times New Roman" w:cs="Times New Roman"/>
        </w:rPr>
        <w:t>ramework (MTSF)</w:t>
      </w:r>
      <w:r w:rsidRPr="004C5F62">
        <w:rPr>
          <w:rFonts w:ascii="Times New Roman" w:hAnsi="Times New Roman" w:cs="Times New Roman"/>
        </w:rPr>
        <w:t xml:space="preserve"> </w:t>
      </w:r>
      <w:r w:rsidR="001B424E" w:rsidRPr="004C5F62">
        <w:rPr>
          <w:rFonts w:ascii="Times New Roman" w:hAnsi="Times New Roman" w:cs="Times New Roman"/>
        </w:rPr>
        <w:t>served as</w:t>
      </w:r>
      <w:r w:rsidRPr="004C5F62">
        <w:rPr>
          <w:rFonts w:ascii="Times New Roman" w:hAnsi="Times New Roman" w:cs="Times New Roman"/>
        </w:rPr>
        <w:t xml:space="preserve"> the first phase of implementation of the NDP and committed Government to 14 key outcomes. The Department contributed to </w:t>
      </w:r>
      <w:r w:rsidR="001B424E" w:rsidRPr="004C5F62">
        <w:rPr>
          <w:rFonts w:ascii="Times New Roman" w:hAnsi="Times New Roman" w:cs="Times New Roman"/>
        </w:rPr>
        <w:t xml:space="preserve">Outcome 2: A long and healthy life for all South Africans; </w:t>
      </w:r>
      <w:r w:rsidRPr="004C5F62">
        <w:rPr>
          <w:rFonts w:ascii="Times New Roman" w:hAnsi="Times New Roman" w:cs="Times New Roman"/>
        </w:rPr>
        <w:t>Outcome 3: All South Africans are safe and feel safe</w:t>
      </w:r>
      <w:r w:rsidR="001B424E" w:rsidRPr="004C5F62">
        <w:rPr>
          <w:rFonts w:ascii="Times New Roman" w:hAnsi="Times New Roman" w:cs="Times New Roman"/>
        </w:rPr>
        <w:t xml:space="preserve">; </w:t>
      </w:r>
      <w:r w:rsidRPr="004C5F62">
        <w:rPr>
          <w:rFonts w:ascii="Times New Roman" w:hAnsi="Times New Roman" w:cs="Times New Roman"/>
        </w:rPr>
        <w:t>Outcome 4: Decent employment through inclusive economic growth</w:t>
      </w:r>
      <w:r w:rsidR="001B424E" w:rsidRPr="004C5F62">
        <w:rPr>
          <w:rFonts w:ascii="Times New Roman" w:hAnsi="Times New Roman" w:cs="Times New Roman"/>
        </w:rPr>
        <w:t xml:space="preserve">; </w:t>
      </w:r>
      <w:r w:rsidRPr="004C5F62">
        <w:rPr>
          <w:rFonts w:ascii="Times New Roman" w:hAnsi="Times New Roman" w:cs="Times New Roman"/>
        </w:rPr>
        <w:t>Outcome 5: A skilled and capable workforce to support an inclusive growth path</w:t>
      </w:r>
      <w:r w:rsidR="001B424E" w:rsidRPr="004C5F62">
        <w:rPr>
          <w:rFonts w:ascii="Times New Roman" w:hAnsi="Times New Roman" w:cs="Times New Roman"/>
        </w:rPr>
        <w:t xml:space="preserve">; </w:t>
      </w:r>
      <w:r w:rsidRPr="004C5F62">
        <w:rPr>
          <w:rFonts w:ascii="Times New Roman" w:hAnsi="Times New Roman" w:cs="Times New Roman"/>
        </w:rPr>
        <w:t>Outcome 6: An efficient, competitive and responsive economic infrastructure network</w:t>
      </w:r>
      <w:r w:rsidR="001B424E" w:rsidRPr="004C5F62">
        <w:rPr>
          <w:rFonts w:ascii="Times New Roman" w:hAnsi="Times New Roman" w:cs="Times New Roman"/>
        </w:rPr>
        <w:t xml:space="preserve">; Outcome 7: Vibrant, equitable and sustainable rural communities and food security for all; and </w:t>
      </w:r>
      <w:r w:rsidRPr="004C5F62">
        <w:rPr>
          <w:rFonts w:ascii="Times New Roman" w:hAnsi="Times New Roman" w:cs="Times New Roman"/>
        </w:rPr>
        <w:t>Outcome 10: Protect and enhance South Africa’s environmental assets and natural resources</w:t>
      </w:r>
      <w:r w:rsidR="001B424E" w:rsidRPr="004C5F62">
        <w:rPr>
          <w:rFonts w:ascii="Times New Roman" w:hAnsi="Times New Roman" w:cs="Times New Roman"/>
        </w:rPr>
        <w:t xml:space="preserve">. </w:t>
      </w:r>
    </w:p>
    <w:p w:rsidR="001B424E" w:rsidRPr="004C5F62" w:rsidRDefault="001B424E" w:rsidP="002A3C6A">
      <w:pPr>
        <w:spacing w:line="360" w:lineRule="auto"/>
        <w:rPr>
          <w:rFonts w:ascii="Times New Roman" w:hAnsi="Times New Roman" w:cs="Times New Roman"/>
        </w:rPr>
      </w:pPr>
    </w:p>
    <w:p w:rsidR="00632185" w:rsidRDefault="00175468" w:rsidP="00463461">
      <w:pPr>
        <w:spacing w:line="360" w:lineRule="auto"/>
        <w:rPr>
          <w:rFonts w:ascii="Times New Roman" w:hAnsi="Times New Roman" w:cs="Times New Roman"/>
        </w:rPr>
      </w:pPr>
      <w:r w:rsidRPr="004C5F62">
        <w:rPr>
          <w:rFonts w:ascii="Times New Roman" w:hAnsi="Times New Roman" w:cs="Times New Roman"/>
        </w:rPr>
        <w:t xml:space="preserve">Achievement against these Outcomes is mixed and </w:t>
      </w:r>
      <w:r w:rsidR="00632185" w:rsidRPr="004C5F62">
        <w:rPr>
          <w:rFonts w:ascii="Times New Roman" w:hAnsi="Times New Roman" w:cs="Times New Roman"/>
        </w:rPr>
        <w:t xml:space="preserve">true transformation of the economy, the environment and society continues to elude South Africa, who still faces the challenges of poverty, inequality and unemployment. The 2019-2024 MTSF, representing the second five-year phase of implementation for the NDP, aims to address these challenges through three pillars; namely, achieving a more capable state; driving a strong and inclusive economy; and building and strengthening the capabilities of South Africans. These </w:t>
      </w:r>
      <w:r w:rsidR="00632185" w:rsidRPr="004C5F62">
        <w:rPr>
          <w:rFonts w:ascii="Times New Roman" w:hAnsi="Times New Roman" w:cs="Times New Roman"/>
        </w:rPr>
        <w:lastRenderedPageBreak/>
        <w:t xml:space="preserve">three pillars underpin the seven priorities of the 2019-2024 MTSF, which are translated through 81 outcomes, 337 interventions and 561 performance indicators. </w:t>
      </w:r>
    </w:p>
    <w:p w:rsidR="00F1438C" w:rsidRPr="005B067B" w:rsidRDefault="00F1438C" w:rsidP="002A3C6A">
      <w:pPr>
        <w:spacing w:line="360" w:lineRule="auto"/>
        <w:rPr>
          <w:rFonts w:ascii="Times New Roman" w:hAnsi="Times New Roman" w:cs="Times New Roman"/>
        </w:rPr>
      </w:pPr>
    </w:p>
    <w:p w:rsidR="00EA5BCD" w:rsidRPr="00C720EA" w:rsidRDefault="00C720EA" w:rsidP="00C720EA">
      <w:pPr>
        <w:spacing w:line="360" w:lineRule="auto"/>
        <w:rPr>
          <w:rFonts w:ascii="Times New Roman" w:hAnsi="Times New Roman" w:cs="Times New Roman"/>
          <w:b/>
        </w:rPr>
      </w:pPr>
      <w:r>
        <w:rPr>
          <w:rFonts w:ascii="Times New Roman" w:hAnsi="Times New Roman" w:cs="Times New Roman"/>
          <w:b/>
        </w:rPr>
        <w:t>2.</w:t>
      </w:r>
      <w:r>
        <w:rPr>
          <w:rFonts w:ascii="Times New Roman" w:hAnsi="Times New Roman" w:cs="Times New Roman"/>
          <w:b/>
        </w:rPr>
        <w:tab/>
      </w:r>
      <w:r w:rsidR="00EA5BCD" w:rsidRPr="00C720EA">
        <w:rPr>
          <w:rFonts w:ascii="Times New Roman" w:hAnsi="Times New Roman" w:cs="Times New Roman"/>
          <w:b/>
        </w:rPr>
        <w:t>2020-2025 Strategic Plan for the Department of Science and Innovation</w:t>
      </w:r>
    </w:p>
    <w:p w:rsidR="00BF3FAA" w:rsidRPr="004C5F62" w:rsidRDefault="00BF3FAA" w:rsidP="002A3C6A">
      <w:pPr>
        <w:spacing w:line="360" w:lineRule="auto"/>
        <w:rPr>
          <w:rFonts w:ascii="Times New Roman" w:hAnsi="Times New Roman" w:cs="Times New Roman"/>
        </w:rPr>
      </w:pPr>
    </w:p>
    <w:p w:rsidR="00BF3FAA" w:rsidRPr="004C5F62" w:rsidRDefault="009726B0" w:rsidP="002A3C6A">
      <w:pPr>
        <w:spacing w:line="360" w:lineRule="auto"/>
        <w:rPr>
          <w:rFonts w:ascii="Times New Roman" w:hAnsi="Times New Roman" w:cs="Times New Roman"/>
        </w:rPr>
      </w:pPr>
      <w:r w:rsidRPr="004C5F62">
        <w:rPr>
          <w:rFonts w:ascii="Times New Roman" w:hAnsi="Times New Roman" w:cs="Times New Roman"/>
        </w:rPr>
        <w:t>During 2015-2020, to position STI within the framework of the NDP, the Department directed its efforts and resources toward five strategic outcome-orientated goals. These goals overlapped with some of the initiatives for which the Department was responsible or contributed to in the 2014-2019 MTSF and directly supported the aims of the Nine-Point Plan, adopted in 2015 to accelerate the growth of the economy and create much-needed jobs through the diversification and enhancement of economic competitiveness. The Department’s five strategic outcome-oriented goals for 2015-2020 were:</w:t>
      </w:r>
    </w:p>
    <w:p w:rsidR="009726B0" w:rsidRPr="004C5F62" w:rsidRDefault="009726B0" w:rsidP="002A3C6A">
      <w:pPr>
        <w:spacing w:line="360" w:lineRule="auto"/>
        <w:rPr>
          <w:rFonts w:ascii="Times New Roman" w:hAnsi="Times New Roman" w:cs="Times New Roman"/>
        </w:rPr>
      </w:pPr>
    </w:p>
    <w:p w:rsidR="00BF3FAA" w:rsidRPr="004C5F62" w:rsidRDefault="00BF3FAA" w:rsidP="002A3C6A">
      <w:pPr>
        <w:spacing w:line="360" w:lineRule="auto"/>
        <w:rPr>
          <w:rFonts w:ascii="Times New Roman" w:hAnsi="Times New Roman" w:cs="Times New Roman"/>
        </w:rPr>
      </w:pPr>
      <w:r w:rsidRPr="004C5F62">
        <w:rPr>
          <w:rFonts w:ascii="Times New Roman" w:hAnsi="Times New Roman" w:cs="Times New Roman"/>
          <w:b/>
        </w:rPr>
        <w:t>Goal 1:</w:t>
      </w:r>
      <w:r w:rsidRPr="004C5F62">
        <w:rPr>
          <w:rFonts w:ascii="Times New Roman" w:hAnsi="Times New Roman" w:cs="Times New Roman"/>
        </w:rPr>
        <w:t xml:space="preserve"> Responsive, co-ordinated and efficient NSI – build on previous gains to create a responsive, coordinated and efficient NSI.</w:t>
      </w:r>
    </w:p>
    <w:p w:rsidR="00BF3FAA" w:rsidRPr="004C5F62" w:rsidRDefault="00BF3FAA" w:rsidP="002A3C6A">
      <w:pPr>
        <w:spacing w:line="360" w:lineRule="auto"/>
        <w:rPr>
          <w:rFonts w:ascii="Times New Roman" w:hAnsi="Times New Roman" w:cs="Times New Roman"/>
        </w:rPr>
      </w:pPr>
      <w:r w:rsidRPr="004C5F62">
        <w:rPr>
          <w:rFonts w:ascii="Times New Roman" w:hAnsi="Times New Roman" w:cs="Times New Roman"/>
          <w:b/>
        </w:rPr>
        <w:t>Goal 2:</w:t>
      </w:r>
      <w:r w:rsidRPr="004C5F62">
        <w:rPr>
          <w:rFonts w:ascii="Times New Roman" w:hAnsi="Times New Roman" w:cs="Times New Roman"/>
        </w:rPr>
        <w:t xml:space="preserve"> Increased knowledge generation – maintain and increase the relative contribution of South African researchers to global scientific output.</w:t>
      </w:r>
    </w:p>
    <w:p w:rsidR="00BF3FAA" w:rsidRPr="004C5F62" w:rsidRDefault="00BF3FAA" w:rsidP="002A3C6A">
      <w:pPr>
        <w:spacing w:line="360" w:lineRule="auto"/>
        <w:rPr>
          <w:rFonts w:ascii="Times New Roman" w:hAnsi="Times New Roman" w:cs="Times New Roman"/>
        </w:rPr>
      </w:pPr>
      <w:r w:rsidRPr="004C5F62">
        <w:rPr>
          <w:rFonts w:ascii="Times New Roman" w:hAnsi="Times New Roman" w:cs="Times New Roman"/>
          <w:b/>
        </w:rPr>
        <w:t>Goal 3:</w:t>
      </w:r>
      <w:r w:rsidRPr="004C5F62">
        <w:rPr>
          <w:rFonts w:ascii="Times New Roman" w:hAnsi="Times New Roman" w:cs="Times New Roman"/>
        </w:rPr>
        <w:t xml:space="preserve"> Human capital development – increase the number of high-level graduates and improve their </w:t>
      </w:r>
      <w:proofErr w:type="spellStart"/>
      <w:r w:rsidRPr="004C5F62">
        <w:rPr>
          <w:rFonts w:ascii="Times New Roman" w:hAnsi="Times New Roman" w:cs="Times New Roman"/>
        </w:rPr>
        <w:t>representivity</w:t>
      </w:r>
      <w:proofErr w:type="spellEnd"/>
      <w:r w:rsidRPr="004C5F62">
        <w:rPr>
          <w:rFonts w:ascii="Times New Roman" w:hAnsi="Times New Roman" w:cs="Times New Roman"/>
        </w:rPr>
        <w:t>.</w:t>
      </w:r>
    </w:p>
    <w:p w:rsidR="00BF3FAA" w:rsidRPr="004C5F62" w:rsidRDefault="00BF3FAA" w:rsidP="002A3C6A">
      <w:pPr>
        <w:spacing w:line="360" w:lineRule="auto"/>
        <w:rPr>
          <w:rFonts w:ascii="Times New Roman" w:hAnsi="Times New Roman" w:cs="Times New Roman"/>
        </w:rPr>
      </w:pPr>
      <w:r w:rsidRPr="004C5F62">
        <w:rPr>
          <w:rFonts w:ascii="Times New Roman" w:hAnsi="Times New Roman" w:cs="Times New Roman"/>
          <w:b/>
        </w:rPr>
        <w:t>Goal 4:</w:t>
      </w:r>
      <w:r w:rsidRPr="004C5F62">
        <w:rPr>
          <w:rFonts w:ascii="Times New Roman" w:hAnsi="Times New Roman" w:cs="Times New Roman"/>
        </w:rPr>
        <w:t xml:space="preserve"> Using knowledge for economic development – derive a greater share of economic growth from R&amp;D-based opportunities and partnerships.</w:t>
      </w:r>
    </w:p>
    <w:p w:rsidR="00BF3FAA" w:rsidRPr="004C5F62" w:rsidRDefault="00BF3FAA" w:rsidP="002A3C6A">
      <w:pPr>
        <w:spacing w:line="360" w:lineRule="auto"/>
        <w:rPr>
          <w:rFonts w:ascii="Times New Roman" w:hAnsi="Times New Roman" w:cs="Times New Roman"/>
        </w:rPr>
      </w:pPr>
      <w:r w:rsidRPr="004C5F62">
        <w:rPr>
          <w:rFonts w:ascii="Times New Roman" w:hAnsi="Times New Roman" w:cs="Times New Roman"/>
          <w:b/>
        </w:rPr>
        <w:t>Goal 5:</w:t>
      </w:r>
      <w:r w:rsidRPr="004C5F62">
        <w:rPr>
          <w:rFonts w:ascii="Times New Roman" w:hAnsi="Times New Roman" w:cs="Times New Roman"/>
        </w:rPr>
        <w:t xml:space="preserve"> Knowledge utilisation for inclusive development – accelerate inclusive development through scientific knowledge, evidence and appropriate technology.</w:t>
      </w:r>
    </w:p>
    <w:p w:rsidR="00C83D0D" w:rsidRPr="004C5F62" w:rsidRDefault="00C83D0D" w:rsidP="002A3C6A">
      <w:pPr>
        <w:tabs>
          <w:tab w:val="left" w:pos="2422"/>
        </w:tabs>
        <w:spacing w:line="360" w:lineRule="auto"/>
        <w:rPr>
          <w:rFonts w:ascii="Times New Roman" w:hAnsi="Times New Roman" w:cs="Times New Roman"/>
        </w:rPr>
      </w:pPr>
    </w:p>
    <w:p w:rsidR="006A6C99" w:rsidRPr="004C5F62" w:rsidRDefault="006A6C99" w:rsidP="002A3C6A">
      <w:pPr>
        <w:tabs>
          <w:tab w:val="left" w:pos="2422"/>
        </w:tabs>
        <w:spacing w:line="360" w:lineRule="auto"/>
        <w:rPr>
          <w:rFonts w:ascii="Times New Roman" w:hAnsi="Times New Roman" w:cs="Times New Roman"/>
        </w:rPr>
      </w:pPr>
      <w:r w:rsidRPr="004C5F62">
        <w:rPr>
          <w:rFonts w:ascii="Times New Roman" w:hAnsi="Times New Roman" w:cs="Times New Roman"/>
        </w:rPr>
        <w:t>For the period 2014/15 to 2018/19, the Department achieved an average performance of 86% against the</w:t>
      </w:r>
      <w:r w:rsidR="00AC0ED8" w:rsidRPr="004C5F62">
        <w:rPr>
          <w:rFonts w:ascii="Times New Roman" w:hAnsi="Times New Roman" w:cs="Times New Roman"/>
        </w:rPr>
        <w:t xml:space="preserve"> targets set for the</w:t>
      </w:r>
      <w:r w:rsidRPr="004C5F62">
        <w:rPr>
          <w:rFonts w:ascii="Times New Roman" w:hAnsi="Times New Roman" w:cs="Times New Roman"/>
        </w:rPr>
        <w:t>se strategic goals, spent 99% of its budget, and obtained clean audits in the 2014/15, 2017/18 and 2018/19 financial years.</w:t>
      </w:r>
    </w:p>
    <w:p w:rsidR="006A6C99" w:rsidRPr="004C5F62" w:rsidRDefault="006A6C99" w:rsidP="002A3C6A">
      <w:pPr>
        <w:tabs>
          <w:tab w:val="left" w:pos="2422"/>
        </w:tabs>
        <w:spacing w:line="360" w:lineRule="auto"/>
        <w:rPr>
          <w:rFonts w:ascii="Times New Roman" w:hAnsi="Times New Roman" w:cs="Times New Roman"/>
        </w:rPr>
      </w:pPr>
    </w:p>
    <w:p w:rsidR="00AC0ED8" w:rsidRPr="004C5F62" w:rsidRDefault="006A6C99" w:rsidP="002A3C6A">
      <w:pPr>
        <w:tabs>
          <w:tab w:val="left" w:pos="2422"/>
        </w:tabs>
        <w:spacing w:line="360" w:lineRule="auto"/>
        <w:rPr>
          <w:rFonts w:ascii="Times New Roman" w:hAnsi="Times New Roman" w:cs="Times New Roman"/>
        </w:rPr>
      </w:pPr>
      <w:r w:rsidRPr="004C5F62">
        <w:rPr>
          <w:rFonts w:ascii="Times New Roman" w:hAnsi="Times New Roman" w:cs="Times New Roman"/>
        </w:rPr>
        <w:t xml:space="preserve">Moving on to the current period; the 2019 White Paper and the Department’s name change in 2019 from science and technology to science and innovation, signifies an expanded mandate and leadership role for the Department in advancing overall government policy on innovation. Furthermore, the merger of the Science and Technology and Higher Education and Training Ministries, while the two departments remain separate, </w:t>
      </w:r>
      <w:r w:rsidR="0065606F" w:rsidRPr="004C5F62">
        <w:rPr>
          <w:rFonts w:ascii="Times New Roman" w:hAnsi="Times New Roman" w:cs="Times New Roman"/>
        </w:rPr>
        <w:t xml:space="preserve">provides these two departments with </w:t>
      </w:r>
      <w:r w:rsidRPr="004C5F62">
        <w:rPr>
          <w:rFonts w:ascii="Times New Roman" w:hAnsi="Times New Roman" w:cs="Times New Roman"/>
        </w:rPr>
        <w:t xml:space="preserve">the opportunity to </w:t>
      </w:r>
      <w:r w:rsidR="00D235CA" w:rsidRPr="004C5F62">
        <w:rPr>
          <w:rFonts w:ascii="Times New Roman" w:hAnsi="Times New Roman" w:cs="Times New Roman"/>
        </w:rPr>
        <w:t xml:space="preserve">assess </w:t>
      </w:r>
      <w:r w:rsidR="0065606F" w:rsidRPr="004C5F62">
        <w:rPr>
          <w:rFonts w:ascii="Times New Roman" w:hAnsi="Times New Roman" w:cs="Times New Roman"/>
        </w:rPr>
        <w:t>how they can enhance and best implement matching functions</w:t>
      </w:r>
      <w:r w:rsidR="00AC0ED8" w:rsidRPr="004C5F62">
        <w:rPr>
          <w:rFonts w:ascii="Times New Roman" w:hAnsi="Times New Roman" w:cs="Times New Roman"/>
        </w:rPr>
        <w:t>.</w:t>
      </w:r>
    </w:p>
    <w:p w:rsidR="00D46F5D" w:rsidRDefault="00D46F5D" w:rsidP="002A3C6A">
      <w:pPr>
        <w:tabs>
          <w:tab w:val="left" w:pos="2422"/>
        </w:tabs>
        <w:spacing w:line="360" w:lineRule="auto"/>
        <w:rPr>
          <w:rFonts w:ascii="Times New Roman" w:hAnsi="Times New Roman" w:cs="Times New Roman"/>
        </w:rPr>
      </w:pPr>
    </w:p>
    <w:p w:rsidR="006A6C99" w:rsidRPr="004C5F62" w:rsidRDefault="006A6C99" w:rsidP="002A3C6A">
      <w:pPr>
        <w:tabs>
          <w:tab w:val="left" w:pos="2422"/>
        </w:tabs>
        <w:spacing w:line="360" w:lineRule="auto"/>
        <w:rPr>
          <w:rFonts w:ascii="Times New Roman" w:hAnsi="Times New Roman" w:cs="Times New Roman"/>
        </w:rPr>
      </w:pPr>
      <w:r w:rsidRPr="004C5F62">
        <w:rPr>
          <w:rFonts w:ascii="Times New Roman" w:hAnsi="Times New Roman" w:cs="Times New Roman"/>
        </w:rPr>
        <w:t>The Department, building on the successes of the previous period and to ensure that the NSI expands its positive impact on reducing poverty, inequality and unemployment as envisioned by the 2019 White Paper, has identified the following six outcomes for the period 2020-2025:</w:t>
      </w:r>
    </w:p>
    <w:p w:rsidR="006A6C99" w:rsidRPr="004C5F62" w:rsidRDefault="006A6C99" w:rsidP="002A3C6A">
      <w:pPr>
        <w:tabs>
          <w:tab w:val="left" w:pos="2422"/>
        </w:tabs>
        <w:spacing w:line="360" w:lineRule="auto"/>
        <w:rPr>
          <w:rFonts w:ascii="Times New Roman" w:hAnsi="Times New Roman" w:cs="Times New Roman"/>
        </w:rPr>
      </w:pPr>
    </w:p>
    <w:p w:rsidR="006A6C99" w:rsidRPr="004C5F62" w:rsidRDefault="006A6C99" w:rsidP="002A3C6A">
      <w:pPr>
        <w:tabs>
          <w:tab w:val="left" w:pos="2422"/>
        </w:tabs>
        <w:spacing w:line="360" w:lineRule="auto"/>
        <w:rPr>
          <w:rFonts w:ascii="Times New Roman" w:hAnsi="Times New Roman" w:cs="Times New Roman"/>
          <w:b/>
        </w:rPr>
      </w:pPr>
      <w:r w:rsidRPr="004C5F62">
        <w:rPr>
          <w:rFonts w:ascii="Times New Roman" w:hAnsi="Times New Roman" w:cs="Times New Roman"/>
          <w:b/>
        </w:rPr>
        <w:t>Outcome 1: A transformed, inclusive, responsive and coherent NSI</w:t>
      </w:r>
    </w:p>
    <w:p w:rsidR="006A6C99" w:rsidRPr="004C5F62" w:rsidRDefault="006A6C99" w:rsidP="002A3C6A">
      <w:pPr>
        <w:tabs>
          <w:tab w:val="left" w:pos="2422"/>
        </w:tabs>
        <w:spacing w:line="360" w:lineRule="auto"/>
        <w:rPr>
          <w:rFonts w:ascii="Times New Roman" w:hAnsi="Times New Roman" w:cs="Times New Roman"/>
        </w:rPr>
      </w:pPr>
      <w:r w:rsidRPr="004C5F62">
        <w:rPr>
          <w:rFonts w:ascii="Times New Roman" w:hAnsi="Times New Roman" w:cs="Times New Roman"/>
        </w:rPr>
        <w:t>Outcome 1 seeks to improve the contribution of the NSI to achieving the goals of the NDP. The key driver of these contributions will be the Decadal Plan, which will define the critical missions that South Africa will pursue during the period 2020-2030. The four outcome indicators against which performance will be measured are:</w:t>
      </w:r>
    </w:p>
    <w:p w:rsidR="006A6C99" w:rsidRPr="004C5F62" w:rsidRDefault="006A6C99" w:rsidP="002A3C6A">
      <w:pPr>
        <w:tabs>
          <w:tab w:val="left" w:pos="2422"/>
        </w:tabs>
        <w:spacing w:line="360" w:lineRule="auto"/>
        <w:rPr>
          <w:rFonts w:ascii="Times New Roman" w:hAnsi="Times New Roman" w:cs="Times New Roman"/>
        </w:rPr>
      </w:pPr>
    </w:p>
    <w:p w:rsidR="006A6C99" w:rsidRPr="004C5F62" w:rsidRDefault="006A6C99" w:rsidP="002A3C6A">
      <w:pPr>
        <w:tabs>
          <w:tab w:val="left" w:pos="2422"/>
        </w:tabs>
        <w:spacing w:line="360" w:lineRule="auto"/>
        <w:ind w:left="567" w:hanging="567"/>
        <w:rPr>
          <w:rFonts w:ascii="Times New Roman" w:hAnsi="Times New Roman" w:cs="Times New Roman"/>
        </w:rPr>
      </w:pPr>
      <w:proofErr w:type="spellStart"/>
      <w:r w:rsidRPr="004C5F62">
        <w:rPr>
          <w:rFonts w:ascii="Times New Roman" w:hAnsi="Times New Roman" w:cs="Times New Roman"/>
        </w:rPr>
        <w:t>i</w:t>
      </w:r>
      <w:proofErr w:type="spellEnd"/>
      <w:r w:rsidRPr="004C5F62">
        <w:rPr>
          <w:rFonts w:ascii="Times New Roman" w:hAnsi="Times New Roman" w:cs="Times New Roman"/>
        </w:rPr>
        <w:t>)</w:t>
      </w:r>
      <w:r w:rsidRPr="004C5F62">
        <w:rPr>
          <w:rFonts w:ascii="Times New Roman" w:hAnsi="Times New Roman" w:cs="Times New Roman"/>
        </w:rPr>
        <w:tab/>
        <w:t>Percentage increase in the number of formalised partnerships between different category actors of the NSI that advance Decadal Plan priorities;</w:t>
      </w:r>
    </w:p>
    <w:p w:rsidR="006A6C99" w:rsidRPr="004C5F62" w:rsidRDefault="006A6C99" w:rsidP="002A3C6A">
      <w:pPr>
        <w:tabs>
          <w:tab w:val="left" w:pos="2422"/>
        </w:tabs>
        <w:spacing w:line="360" w:lineRule="auto"/>
        <w:ind w:left="567" w:hanging="567"/>
        <w:rPr>
          <w:rFonts w:ascii="Times New Roman" w:hAnsi="Times New Roman" w:cs="Times New Roman"/>
        </w:rPr>
      </w:pPr>
      <w:r w:rsidRPr="004C5F62">
        <w:rPr>
          <w:rFonts w:ascii="Times New Roman" w:hAnsi="Times New Roman" w:cs="Times New Roman"/>
        </w:rPr>
        <w:t>ii)</w:t>
      </w:r>
      <w:r w:rsidRPr="004C5F62">
        <w:rPr>
          <w:rFonts w:ascii="Times New Roman" w:hAnsi="Times New Roman" w:cs="Times New Roman"/>
        </w:rPr>
        <w:tab/>
        <w:t>Number of STI missions introduced and adopted by Cabinet that crowd in resources and capabilities across the NSI;</w:t>
      </w:r>
    </w:p>
    <w:p w:rsidR="006A6C99" w:rsidRPr="004C5F62" w:rsidRDefault="006A6C99" w:rsidP="002A3C6A">
      <w:pPr>
        <w:tabs>
          <w:tab w:val="left" w:pos="2422"/>
        </w:tabs>
        <w:spacing w:line="360" w:lineRule="auto"/>
        <w:ind w:left="567" w:hanging="567"/>
        <w:rPr>
          <w:rFonts w:ascii="Times New Roman" w:hAnsi="Times New Roman" w:cs="Times New Roman"/>
        </w:rPr>
      </w:pPr>
      <w:r w:rsidRPr="004C5F62">
        <w:rPr>
          <w:rFonts w:ascii="Times New Roman" w:hAnsi="Times New Roman" w:cs="Times New Roman"/>
        </w:rPr>
        <w:t>iii)</w:t>
      </w:r>
      <w:r w:rsidRPr="004C5F62">
        <w:rPr>
          <w:rFonts w:ascii="Times New Roman" w:hAnsi="Times New Roman" w:cs="Times New Roman"/>
        </w:rPr>
        <w:tab/>
        <w:t xml:space="preserve">Percentage increase in the investment support by government that advances </w:t>
      </w:r>
      <w:r w:rsidR="000F1693">
        <w:rPr>
          <w:rFonts w:ascii="Times New Roman" w:hAnsi="Times New Roman" w:cs="Times New Roman"/>
        </w:rPr>
        <w:t>gross expenditure on R&amp;D (</w:t>
      </w:r>
      <w:r w:rsidRPr="004C5F62">
        <w:rPr>
          <w:rFonts w:ascii="Times New Roman" w:hAnsi="Times New Roman" w:cs="Times New Roman"/>
        </w:rPr>
        <w:t>GERD</w:t>
      </w:r>
      <w:r w:rsidR="000F1693">
        <w:rPr>
          <w:rFonts w:ascii="Times New Roman" w:hAnsi="Times New Roman" w:cs="Times New Roman"/>
        </w:rPr>
        <w:t>)</w:t>
      </w:r>
      <w:r w:rsidRPr="004C5F62">
        <w:rPr>
          <w:rFonts w:ascii="Times New Roman" w:hAnsi="Times New Roman" w:cs="Times New Roman"/>
        </w:rPr>
        <w:t xml:space="preserve"> towards 1.1% of GDP (revised down from former target of 1,5%); and</w:t>
      </w:r>
    </w:p>
    <w:p w:rsidR="006A6C99" w:rsidRPr="004C5F62" w:rsidRDefault="006A6C99" w:rsidP="002A3C6A">
      <w:pPr>
        <w:tabs>
          <w:tab w:val="left" w:pos="2422"/>
        </w:tabs>
        <w:spacing w:line="360" w:lineRule="auto"/>
        <w:ind w:left="567" w:hanging="567"/>
        <w:rPr>
          <w:rFonts w:ascii="Times New Roman" w:hAnsi="Times New Roman" w:cs="Times New Roman"/>
        </w:rPr>
      </w:pPr>
      <w:r w:rsidRPr="004C5F62">
        <w:rPr>
          <w:rFonts w:ascii="Times New Roman" w:hAnsi="Times New Roman" w:cs="Times New Roman"/>
        </w:rPr>
        <w:t>iv)</w:t>
      </w:r>
      <w:r w:rsidRPr="004C5F62">
        <w:rPr>
          <w:rFonts w:ascii="Times New Roman" w:hAnsi="Times New Roman" w:cs="Times New Roman"/>
        </w:rPr>
        <w:tab/>
        <w:t>Number of approved strategies that give effect to the agreed dimensions of transformation to be effected in the NSI.</w:t>
      </w:r>
    </w:p>
    <w:p w:rsidR="006A6C99" w:rsidRPr="004C5F62" w:rsidRDefault="006A6C99" w:rsidP="002A3C6A">
      <w:pPr>
        <w:tabs>
          <w:tab w:val="left" w:pos="2422"/>
        </w:tabs>
        <w:spacing w:line="360" w:lineRule="auto"/>
        <w:rPr>
          <w:rFonts w:ascii="Times New Roman" w:hAnsi="Times New Roman" w:cs="Times New Roman"/>
        </w:rPr>
      </w:pPr>
    </w:p>
    <w:p w:rsidR="006A6C99" w:rsidRPr="004C5F62" w:rsidRDefault="006A6C99" w:rsidP="002A3C6A">
      <w:pPr>
        <w:tabs>
          <w:tab w:val="left" w:pos="2422"/>
        </w:tabs>
        <w:spacing w:line="360" w:lineRule="auto"/>
        <w:rPr>
          <w:rFonts w:ascii="Times New Roman" w:hAnsi="Times New Roman" w:cs="Times New Roman"/>
        </w:rPr>
      </w:pPr>
      <w:r w:rsidRPr="004C5F62">
        <w:rPr>
          <w:rFonts w:ascii="Times New Roman" w:hAnsi="Times New Roman" w:cs="Times New Roman"/>
        </w:rPr>
        <w:t xml:space="preserve">A key action to be finalised in 2020 that will guide the establishment, geospatial location, institutional form and dispersion of new NSI institutions is the Higher Education, Science, Technology and Innovation Institutional Landscape (HESTIIL) review. These institutions are expected to advance the implementation of critical science missions and research areas such as astronomy. Additional actions to ensure the success of this outcome include developing R&amp;D-led industries based on new sources of growth such as the Fourth Industrial Revolution and the Circular Economy; directing more effort to formalising partnerships with non-traditional NSI stakeholders such as non-governmental organisations and youth and civil society organisations; and providing targeted developmental support and funding to those aspects of the NSI that are performing sub-optimally or are underrepresented and underserved so that they can improve their contribution to the research and knowledge enterprise. The Department will also ensure a far greater role for South Africa in international innovation partnerships using the Sustainable Development Goals (SDGs) as a guiding multilateral policy framework; continue to implement the African Union’s (AU) Science, Technology and Innovation Strategy for Africa (STISA); and pursue initiatives supporting Agenda 2063 and </w:t>
      </w:r>
      <w:r w:rsidRPr="004C5F62">
        <w:rPr>
          <w:rFonts w:ascii="Times New Roman" w:hAnsi="Times New Roman" w:cs="Times New Roman"/>
        </w:rPr>
        <w:lastRenderedPageBreak/>
        <w:t>the Southern African Development Community’s (SADC) Regional Indicative Strategic Development Plan. Bilateral co-operation with African partners will also be prioritised.</w:t>
      </w:r>
    </w:p>
    <w:p w:rsidR="006A6C99" w:rsidRPr="004C5F62" w:rsidRDefault="006A6C99" w:rsidP="002A3C6A">
      <w:pPr>
        <w:tabs>
          <w:tab w:val="left" w:pos="2422"/>
        </w:tabs>
        <w:spacing w:line="360" w:lineRule="auto"/>
        <w:rPr>
          <w:rFonts w:ascii="Times New Roman" w:hAnsi="Times New Roman" w:cs="Times New Roman"/>
        </w:rPr>
      </w:pPr>
    </w:p>
    <w:p w:rsidR="006A6C99" w:rsidRPr="004C5F62" w:rsidRDefault="006A6C99" w:rsidP="002A3C6A">
      <w:pPr>
        <w:tabs>
          <w:tab w:val="left" w:pos="2422"/>
        </w:tabs>
        <w:spacing w:line="360" w:lineRule="auto"/>
        <w:rPr>
          <w:rFonts w:ascii="Times New Roman" w:hAnsi="Times New Roman" w:cs="Times New Roman"/>
          <w:b/>
        </w:rPr>
      </w:pPr>
      <w:r w:rsidRPr="004C5F62">
        <w:rPr>
          <w:rFonts w:ascii="Times New Roman" w:hAnsi="Times New Roman" w:cs="Times New Roman"/>
          <w:b/>
        </w:rPr>
        <w:t>Outcome 2: Human capabilities and skills for the economy and for development</w:t>
      </w:r>
    </w:p>
    <w:p w:rsidR="006A6C99" w:rsidRPr="004C5F62" w:rsidRDefault="006A6C99" w:rsidP="002A3C6A">
      <w:pPr>
        <w:tabs>
          <w:tab w:val="left" w:pos="2422"/>
        </w:tabs>
        <w:spacing w:line="360" w:lineRule="auto"/>
        <w:rPr>
          <w:rFonts w:ascii="Times New Roman" w:hAnsi="Times New Roman" w:cs="Times New Roman"/>
        </w:rPr>
      </w:pPr>
      <w:r w:rsidRPr="004C5F62">
        <w:rPr>
          <w:rFonts w:ascii="Times New Roman" w:hAnsi="Times New Roman" w:cs="Times New Roman"/>
        </w:rPr>
        <w:t>Outcome 2 seeks to further address the lack of transformation within the NSI. Hence, the Department will continue as well as expand the transformation agenda in all its science focus areas. The Department’s agenda targets four levels of transformation; namely, spatial, institutional, demographic and transdisciplinary transformation. The five outcome indicators against which performance will be measured are:</w:t>
      </w:r>
    </w:p>
    <w:p w:rsidR="006A6C99" w:rsidRPr="004C5F62" w:rsidRDefault="006A6C99" w:rsidP="002A3C6A">
      <w:pPr>
        <w:tabs>
          <w:tab w:val="left" w:pos="2422"/>
        </w:tabs>
        <w:spacing w:line="360" w:lineRule="auto"/>
        <w:rPr>
          <w:rFonts w:ascii="Times New Roman" w:hAnsi="Times New Roman" w:cs="Times New Roman"/>
        </w:rPr>
      </w:pPr>
    </w:p>
    <w:p w:rsidR="006A6C99" w:rsidRPr="004C5F62" w:rsidRDefault="006A6C99" w:rsidP="002A3C6A">
      <w:pPr>
        <w:tabs>
          <w:tab w:val="left" w:pos="2422"/>
        </w:tabs>
        <w:spacing w:line="360" w:lineRule="auto"/>
        <w:ind w:left="567" w:hanging="567"/>
        <w:rPr>
          <w:rFonts w:ascii="Times New Roman" w:hAnsi="Times New Roman" w:cs="Times New Roman"/>
        </w:rPr>
      </w:pPr>
      <w:proofErr w:type="spellStart"/>
      <w:r w:rsidRPr="004C5F62">
        <w:rPr>
          <w:rFonts w:ascii="Times New Roman" w:hAnsi="Times New Roman" w:cs="Times New Roman"/>
        </w:rPr>
        <w:t>i</w:t>
      </w:r>
      <w:proofErr w:type="spellEnd"/>
      <w:r w:rsidRPr="004C5F62">
        <w:rPr>
          <w:rFonts w:ascii="Times New Roman" w:hAnsi="Times New Roman" w:cs="Times New Roman"/>
        </w:rPr>
        <w:t>)</w:t>
      </w:r>
      <w:r w:rsidRPr="004C5F62">
        <w:rPr>
          <w:rFonts w:ascii="Times New Roman" w:hAnsi="Times New Roman" w:cs="Times New Roman"/>
        </w:rPr>
        <w:tab/>
        <w:t>Number of Department-funded PhDs graduating annually as a contribution to the NDP target of 100 PhDs</w:t>
      </w:r>
      <w:r w:rsidR="00927CA0" w:rsidRPr="004C5F62">
        <w:rPr>
          <w:rFonts w:ascii="Times New Roman" w:hAnsi="Times New Roman" w:cs="Times New Roman"/>
        </w:rPr>
        <w:t xml:space="preserve"> per </w:t>
      </w:r>
      <w:r w:rsidRPr="004C5F62">
        <w:rPr>
          <w:rFonts w:ascii="Times New Roman" w:hAnsi="Times New Roman" w:cs="Times New Roman"/>
        </w:rPr>
        <w:t xml:space="preserve">million </w:t>
      </w:r>
      <w:proofErr w:type="gramStart"/>
      <w:r w:rsidRPr="004C5F62">
        <w:rPr>
          <w:rFonts w:ascii="Times New Roman" w:hAnsi="Times New Roman" w:cs="Times New Roman"/>
        </w:rPr>
        <w:t>population</w:t>
      </w:r>
      <w:proofErr w:type="gramEnd"/>
      <w:r w:rsidRPr="004C5F62">
        <w:rPr>
          <w:rFonts w:ascii="Times New Roman" w:hAnsi="Times New Roman" w:cs="Times New Roman"/>
        </w:rPr>
        <w:t xml:space="preserve"> by 2030;</w:t>
      </w:r>
    </w:p>
    <w:p w:rsidR="006A6C99" w:rsidRPr="004C5F62" w:rsidRDefault="006A6C99" w:rsidP="002A3C6A">
      <w:pPr>
        <w:tabs>
          <w:tab w:val="left" w:pos="2422"/>
        </w:tabs>
        <w:spacing w:line="360" w:lineRule="auto"/>
        <w:ind w:left="567" w:hanging="567"/>
        <w:rPr>
          <w:rFonts w:ascii="Times New Roman" w:hAnsi="Times New Roman" w:cs="Times New Roman"/>
        </w:rPr>
      </w:pPr>
      <w:r w:rsidRPr="004C5F62">
        <w:rPr>
          <w:rFonts w:ascii="Times New Roman" w:hAnsi="Times New Roman" w:cs="Times New Roman"/>
        </w:rPr>
        <w:t>ii)</w:t>
      </w:r>
      <w:r w:rsidRPr="004C5F62">
        <w:rPr>
          <w:rFonts w:ascii="Times New Roman" w:hAnsi="Times New Roman" w:cs="Times New Roman"/>
        </w:rPr>
        <w:tab/>
        <w:t>Number of artisans and technicians absorbed into the economy in sectors where DSI has active programmes;</w:t>
      </w:r>
    </w:p>
    <w:p w:rsidR="006A6C99" w:rsidRPr="004C5F62" w:rsidRDefault="006A6C99" w:rsidP="002A3C6A">
      <w:pPr>
        <w:tabs>
          <w:tab w:val="left" w:pos="2422"/>
        </w:tabs>
        <w:spacing w:line="360" w:lineRule="auto"/>
        <w:ind w:left="567" w:hanging="567"/>
        <w:rPr>
          <w:rFonts w:ascii="Times New Roman" w:hAnsi="Times New Roman" w:cs="Times New Roman"/>
        </w:rPr>
      </w:pPr>
      <w:r w:rsidRPr="004C5F62">
        <w:rPr>
          <w:rFonts w:ascii="Times New Roman" w:hAnsi="Times New Roman" w:cs="Times New Roman"/>
        </w:rPr>
        <w:t>iii)</w:t>
      </w:r>
      <w:r w:rsidRPr="004C5F62">
        <w:rPr>
          <w:rFonts w:ascii="Times New Roman" w:hAnsi="Times New Roman" w:cs="Times New Roman"/>
        </w:rPr>
        <w:tab/>
        <w:t>Percentage increase of women and black researchers in South Africa’s Research workforce;</w:t>
      </w:r>
    </w:p>
    <w:p w:rsidR="006A6C99" w:rsidRPr="004C5F62" w:rsidRDefault="006A6C99" w:rsidP="002A3C6A">
      <w:pPr>
        <w:tabs>
          <w:tab w:val="left" w:pos="2422"/>
        </w:tabs>
        <w:spacing w:line="360" w:lineRule="auto"/>
        <w:ind w:left="567" w:hanging="567"/>
        <w:rPr>
          <w:rFonts w:ascii="Times New Roman" w:hAnsi="Times New Roman" w:cs="Times New Roman"/>
        </w:rPr>
      </w:pPr>
      <w:r w:rsidRPr="004C5F62">
        <w:rPr>
          <w:rFonts w:ascii="Times New Roman" w:hAnsi="Times New Roman" w:cs="Times New Roman"/>
        </w:rPr>
        <w:t>iv)</w:t>
      </w:r>
      <w:r w:rsidRPr="004C5F62">
        <w:rPr>
          <w:rFonts w:ascii="Times New Roman" w:hAnsi="Times New Roman" w:cs="Times New Roman"/>
        </w:rPr>
        <w:tab/>
        <w:t>Percentage increase of PhD-qualified teaching and research staff; and</w:t>
      </w:r>
    </w:p>
    <w:p w:rsidR="006A6C99" w:rsidRPr="004C5F62" w:rsidRDefault="006A6C99" w:rsidP="002A3C6A">
      <w:pPr>
        <w:tabs>
          <w:tab w:val="left" w:pos="2422"/>
        </w:tabs>
        <w:spacing w:line="360" w:lineRule="auto"/>
        <w:ind w:left="567" w:hanging="567"/>
        <w:rPr>
          <w:rFonts w:ascii="Times New Roman" w:hAnsi="Times New Roman" w:cs="Times New Roman"/>
        </w:rPr>
      </w:pPr>
      <w:r w:rsidRPr="004C5F62">
        <w:rPr>
          <w:rFonts w:ascii="Times New Roman" w:hAnsi="Times New Roman" w:cs="Times New Roman"/>
        </w:rPr>
        <w:t>v)</w:t>
      </w:r>
      <w:r w:rsidRPr="004C5F62">
        <w:rPr>
          <w:rFonts w:ascii="Times New Roman" w:hAnsi="Times New Roman" w:cs="Times New Roman"/>
        </w:rPr>
        <w:tab/>
        <w:t>Improved knowledge about science among the general public.</w:t>
      </w:r>
    </w:p>
    <w:p w:rsidR="006A6C99" w:rsidRPr="004C5F62" w:rsidRDefault="006A6C99" w:rsidP="002A3C6A">
      <w:pPr>
        <w:tabs>
          <w:tab w:val="left" w:pos="2422"/>
        </w:tabs>
        <w:spacing w:line="360" w:lineRule="auto"/>
        <w:rPr>
          <w:rFonts w:ascii="Times New Roman" w:hAnsi="Times New Roman" w:cs="Times New Roman"/>
        </w:rPr>
      </w:pPr>
    </w:p>
    <w:p w:rsidR="006A6C99" w:rsidRPr="004C5F62" w:rsidRDefault="006A6C99" w:rsidP="002A3C6A">
      <w:pPr>
        <w:tabs>
          <w:tab w:val="left" w:pos="2422"/>
        </w:tabs>
        <w:spacing w:line="360" w:lineRule="auto"/>
        <w:rPr>
          <w:rFonts w:ascii="Times New Roman" w:hAnsi="Times New Roman" w:cs="Times New Roman"/>
        </w:rPr>
      </w:pPr>
      <w:r w:rsidRPr="004C5F62">
        <w:rPr>
          <w:rFonts w:ascii="Times New Roman" w:hAnsi="Times New Roman" w:cs="Times New Roman"/>
        </w:rPr>
        <w:t xml:space="preserve">In addition to existing actions, the Department will extend its collaboration with the Department of Basic Education to ensure that initiatives that encourage learners to participate in science, technology, engineering, mathematics and innovation (STEMI) subjects are implemented in all nine provinces (currently in seven provinces). Postgraduate funding will continue to be a priority and this funding policy will be structured around the full cost of support for financially needy students. However, should the postgraduate funding budget not grow, this would mean that less postgraduate students will be supported. Funding for engineering postgraduate studies will also be a specific focus, as well as support for the development of technical and artisan skills to support the deployment of newly developed innovations. In addition, to assess how South African’s relate to STI, a dedicated survey will be conducted by the Human Sciences Research Council (HSRC) by 2023/24 and the report published by 2025/26. </w:t>
      </w:r>
    </w:p>
    <w:p w:rsidR="006A6C99" w:rsidRPr="004C5F62" w:rsidRDefault="006A6C99" w:rsidP="002A3C6A">
      <w:pPr>
        <w:tabs>
          <w:tab w:val="left" w:pos="2422"/>
        </w:tabs>
        <w:spacing w:line="360" w:lineRule="auto"/>
        <w:rPr>
          <w:rFonts w:ascii="Times New Roman" w:hAnsi="Times New Roman" w:cs="Times New Roman"/>
        </w:rPr>
      </w:pPr>
    </w:p>
    <w:p w:rsidR="006A6C99" w:rsidRPr="004C5F62" w:rsidRDefault="006A6C99" w:rsidP="002A3C6A">
      <w:pPr>
        <w:tabs>
          <w:tab w:val="left" w:pos="2422"/>
        </w:tabs>
        <w:spacing w:line="360" w:lineRule="auto"/>
        <w:rPr>
          <w:rFonts w:ascii="Times New Roman" w:hAnsi="Times New Roman" w:cs="Times New Roman"/>
          <w:b/>
        </w:rPr>
      </w:pPr>
      <w:r w:rsidRPr="004C5F62">
        <w:rPr>
          <w:rFonts w:ascii="Times New Roman" w:hAnsi="Times New Roman" w:cs="Times New Roman"/>
          <w:b/>
        </w:rPr>
        <w:t>Outcome 3: Increase knowledge generation and innovation output</w:t>
      </w:r>
    </w:p>
    <w:p w:rsidR="006A6C99" w:rsidRPr="004C5F62" w:rsidRDefault="006A6C99" w:rsidP="002A3C6A">
      <w:pPr>
        <w:tabs>
          <w:tab w:val="left" w:pos="2422"/>
        </w:tabs>
        <w:spacing w:line="360" w:lineRule="auto"/>
        <w:rPr>
          <w:rFonts w:ascii="Times New Roman" w:hAnsi="Times New Roman" w:cs="Times New Roman"/>
        </w:rPr>
      </w:pPr>
      <w:r w:rsidRPr="004C5F62">
        <w:rPr>
          <w:rFonts w:ascii="Times New Roman" w:hAnsi="Times New Roman" w:cs="Times New Roman"/>
        </w:rPr>
        <w:t>Outcome 3 seeks to increase South Africa’s research productivity, currently 0.88% of global share, to 1% of global output. The three outcome indicators against which performance will be measured are:</w:t>
      </w:r>
    </w:p>
    <w:p w:rsidR="006A6C99" w:rsidRPr="004C5F62" w:rsidRDefault="006A6C99" w:rsidP="002A3C6A">
      <w:pPr>
        <w:tabs>
          <w:tab w:val="left" w:pos="2422"/>
        </w:tabs>
        <w:spacing w:line="360" w:lineRule="auto"/>
        <w:rPr>
          <w:rFonts w:ascii="Times New Roman" w:hAnsi="Times New Roman" w:cs="Times New Roman"/>
        </w:rPr>
      </w:pPr>
    </w:p>
    <w:p w:rsidR="006A6C99" w:rsidRPr="004C5F62" w:rsidRDefault="006A6C99" w:rsidP="002A3C6A">
      <w:pPr>
        <w:tabs>
          <w:tab w:val="left" w:pos="2422"/>
        </w:tabs>
        <w:spacing w:line="360" w:lineRule="auto"/>
        <w:ind w:left="567" w:hanging="567"/>
        <w:rPr>
          <w:rFonts w:ascii="Times New Roman" w:hAnsi="Times New Roman" w:cs="Times New Roman"/>
        </w:rPr>
      </w:pPr>
      <w:proofErr w:type="spellStart"/>
      <w:r w:rsidRPr="004C5F62">
        <w:rPr>
          <w:rFonts w:ascii="Times New Roman" w:hAnsi="Times New Roman" w:cs="Times New Roman"/>
        </w:rPr>
        <w:t>i</w:t>
      </w:r>
      <w:proofErr w:type="spellEnd"/>
      <w:r w:rsidRPr="004C5F62">
        <w:rPr>
          <w:rFonts w:ascii="Times New Roman" w:hAnsi="Times New Roman" w:cs="Times New Roman"/>
        </w:rPr>
        <w:t>)</w:t>
      </w:r>
      <w:r w:rsidRPr="004C5F62">
        <w:rPr>
          <w:rFonts w:ascii="Times New Roman" w:hAnsi="Times New Roman" w:cs="Times New Roman"/>
        </w:rPr>
        <w:tab/>
        <w:t>Increase South Africa’s share of global publication outputs;</w:t>
      </w:r>
    </w:p>
    <w:p w:rsidR="006A6C99" w:rsidRPr="004C5F62" w:rsidRDefault="006A6C99" w:rsidP="002A3C6A">
      <w:pPr>
        <w:tabs>
          <w:tab w:val="left" w:pos="2422"/>
        </w:tabs>
        <w:spacing w:line="360" w:lineRule="auto"/>
        <w:ind w:left="567" w:hanging="567"/>
        <w:rPr>
          <w:rFonts w:ascii="Times New Roman" w:hAnsi="Times New Roman" w:cs="Times New Roman"/>
        </w:rPr>
      </w:pPr>
      <w:r w:rsidRPr="004C5F62">
        <w:rPr>
          <w:rFonts w:ascii="Times New Roman" w:hAnsi="Times New Roman" w:cs="Times New Roman"/>
        </w:rPr>
        <w:lastRenderedPageBreak/>
        <w:t>ii)</w:t>
      </w:r>
      <w:r w:rsidRPr="004C5F62">
        <w:rPr>
          <w:rFonts w:ascii="Times New Roman" w:hAnsi="Times New Roman" w:cs="Times New Roman"/>
        </w:rPr>
        <w:tab/>
        <w:t>Percentage increase in prototypes, technology demonstrators, pilot plants that advance industrialisation through innovation; and</w:t>
      </w:r>
    </w:p>
    <w:p w:rsidR="006A6C99" w:rsidRPr="004C5F62" w:rsidRDefault="006A6C99" w:rsidP="002A3C6A">
      <w:pPr>
        <w:tabs>
          <w:tab w:val="left" w:pos="2422"/>
        </w:tabs>
        <w:spacing w:line="360" w:lineRule="auto"/>
        <w:ind w:left="567" w:hanging="567"/>
        <w:rPr>
          <w:rFonts w:ascii="Times New Roman" w:hAnsi="Times New Roman" w:cs="Times New Roman"/>
        </w:rPr>
      </w:pPr>
      <w:r w:rsidRPr="004C5F62">
        <w:rPr>
          <w:rFonts w:ascii="Times New Roman" w:hAnsi="Times New Roman" w:cs="Times New Roman"/>
        </w:rPr>
        <w:t>iii)</w:t>
      </w:r>
      <w:r w:rsidRPr="004C5F62">
        <w:rPr>
          <w:rFonts w:ascii="Times New Roman" w:hAnsi="Times New Roman" w:cs="Times New Roman"/>
        </w:rPr>
        <w:tab/>
        <w:t>Percentage increase in patent and design applications filed from publicly financed R&amp;D.</w:t>
      </w:r>
    </w:p>
    <w:p w:rsidR="006A6C99" w:rsidRPr="004C5F62" w:rsidRDefault="006A6C99" w:rsidP="002A3C6A">
      <w:pPr>
        <w:tabs>
          <w:tab w:val="left" w:pos="2422"/>
        </w:tabs>
        <w:spacing w:line="360" w:lineRule="auto"/>
        <w:rPr>
          <w:rFonts w:ascii="Times New Roman" w:hAnsi="Times New Roman" w:cs="Times New Roman"/>
        </w:rPr>
      </w:pPr>
    </w:p>
    <w:p w:rsidR="006A6C99" w:rsidRPr="004C5F62" w:rsidRDefault="006A6C99" w:rsidP="002A3C6A">
      <w:pPr>
        <w:tabs>
          <w:tab w:val="left" w:pos="2422"/>
        </w:tabs>
        <w:spacing w:line="360" w:lineRule="auto"/>
        <w:rPr>
          <w:rFonts w:ascii="Times New Roman" w:hAnsi="Times New Roman" w:cs="Times New Roman"/>
        </w:rPr>
      </w:pPr>
      <w:r w:rsidRPr="004C5F62">
        <w:rPr>
          <w:rFonts w:ascii="Times New Roman" w:hAnsi="Times New Roman" w:cs="Times New Roman"/>
        </w:rPr>
        <w:t>Key actions to increase research productivity will be to fast-track interventions aimed at PhD qualification attainment and implementing mandate-aligned programmes for historically disadvantaged institutions (HDI</w:t>
      </w:r>
      <w:r w:rsidR="00CB45CB">
        <w:rPr>
          <w:rFonts w:ascii="Times New Roman" w:hAnsi="Times New Roman" w:cs="Times New Roman"/>
        </w:rPr>
        <w:t>s</w:t>
      </w:r>
      <w:r w:rsidRPr="004C5F62">
        <w:rPr>
          <w:rFonts w:ascii="Times New Roman" w:hAnsi="Times New Roman" w:cs="Times New Roman"/>
        </w:rPr>
        <w:t>) and universities of technology. The Department and the DHET will review the Research Outputs Policy to determine whether science councils can also benefit from this incentive programme, and through the HDI Development Grant, will develop programmes aimed at ensuring that there is a critical mass of publishing academics at HDIs. The Department will also focus on investments that support the translation of publicly financed IP into social and economic value. In terms of infrastructure, all 13 research infrastructures in phase one of the South African Research Infrastructure Roadmap (SARIR) will be implemented, and it is estimated that the planned increase of</w:t>
      </w:r>
      <w:r w:rsidR="00FF01C1" w:rsidRPr="004C5F62">
        <w:rPr>
          <w:rFonts w:ascii="Times New Roman" w:hAnsi="Times New Roman" w:cs="Times New Roman"/>
        </w:rPr>
        <w:t xml:space="preserve"> the</w:t>
      </w:r>
      <w:r w:rsidRPr="004C5F62">
        <w:rPr>
          <w:rFonts w:ascii="Times New Roman" w:hAnsi="Times New Roman" w:cs="Times New Roman"/>
        </w:rPr>
        <w:t xml:space="preserve"> </w:t>
      </w:r>
      <w:r w:rsidR="00FF01C1" w:rsidRPr="004C5F62">
        <w:rPr>
          <w:rFonts w:ascii="Times New Roman" w:hAnsi="Times New Roman" w:cs="Times New Roman"/>
        </w:rPr>
        <w:t>South African National Research Network’s (</w:t>
      </w:r>
      <w:proofErr w:type="spellStart"/>
      <w:r w:rsidR="00FF01C1" w:rsidRPr="004C5F62">
        <w:rPr>
          <w:rFonts w:ascii="Times New Roman" w:hAnsi="Times New Roman" w:cs="Times New Roman"/>
        </w:rPr>
        <w:t>SANReN</w:t>
      </w:r>
      <w:proofErr w:type="spellEnd"/>
      <w:r w:rsidR="00FF01C1" w:rsidRPr="004C5F62">
        <w:rPr>
          <w:rFonts w:ascii="Times New Roman" w:hAnsi="Times New Roman" w:cs="Times New Roman"/>
        </w:rPr>
        <w:t>)</w:t>
      </w:r>
      <w:r w:rsidRPr="004C5F62">
        <w:rPr>
          <w:rFonts w:ascii="Times New Roman" w:hAnsi="Times New Roman" w:cs="Times New Roman"/>
        </w:rPr>
        <w:t xml:space="preserve"> total available broadband capacity to 7 100 </w:t>
      </w:r>
      <w:proofErr w:type="spellStart"/>
      <w:r w:rsidRPr="004C5F62">
        <w:rPr>
          <w:rFonts w:ascii="Times New Roman" w:hAnsi="Times New Roman" w:cs="Times New Roman"/>
        </w:rPr>
        <w:t>Gbps</w:t>
      </w:r>
      <w:proofErr w:type="spellEnd"/>
      <w:r w:rsidRPr="004C5F62">
        <w:rPr>
          <w:rFonts w:ascii="Times New Roman" w:hAnsi="Times New Roman" w:cs="Times New Roman"/>
        </w:rPr>
        <w:t xml:space="preserve"> by 2024/25 will provide broadband connectivity access to more than a million users. The establishment of a system for the recognition of prior learning in indigenous knowledge (IK) disciplines, as prescribed by the Protection, Promotion, Development and Management of IK Act</w:t>
      </w:r>
      <w:r w:rsidR="00C00FC8" w:rsidRPr="004C5F62">
        <w:rPr>
          <w:rFonts w:ascii="Times New Roman" w:hAnsi="Times New Roman" w:cs="Times New Roman"/>
        </w:rPr>
        <w:t>,</w:t>
      </w:r>
      <w:r w:rsidRPr="004C5F62">
        <w:rPr>
          <w:rFonts w:ascii="Times New Roman" w:hAnsi="Times New Roman" w:cs="Times New Roman"/>
        </w:rPr>
        <w:t xml:space="preserve"> also represents a non-traditional way of developing human capabilities. Furthermore, the Department intends to develop a policy framework for the development of an IK-based pharmaceutical industry and </w:t>
      </w:r>
      <w:proofErr w:type="spellStart"/>
      <w:r w:rsidRPr="004C5F62">
        <w:rPr>
          <w:rFonts w:ascii="Times New Roman" w:hAnsi="Times New Roman" w:cs="Times New Roman"/>
        </w:rPr>
        <w:t>bioinnovation</w:t>
      </w:r>
      <w:proofErr w:type="spellEnd"/>
      <w:r w:rsidRPr="004C5F62">
        <w:rPr>
          <w:rFonts w:ascii="Times New Roman" w:hAnsi="Times New Roman" w:cs="Times New Roman"/>
        </w:rPr>
        <w:t xml:space="preserve"> institute.</w:t>
      </w:r>
    </w:p>
    <w:p w:rsidR="006A6C99" w:rsidRPr="004C5F62" w:rsidRDefault="006A6C99" w:rsidP="002A3C6A">
      <w:pPr>
        <w:tabs>
          <w:tab w:val="left" w:pos="2422"/>
        </w:tabs>
        <w:spacing w:line="360" w:lineRule="auto"/>
        <w:rPr>
          <w:rFonts w:ascii="Times New Roman" w:hAnsi="Times New Roman" w:cs="Times New Roman"/>
        </w:rPr>
      </w:pPr>
    </w:p>
    <w:p w:rsidR="006A6C99" w:rsidRPr="004C5F62" w:rsidRDefault="006A6C99" w:rsidP="002A3C6A">
      <w:pPr>
        <w:tabs>
          <w:tab w:val="left" w:pos="2422"/>
        </w:tabs>
        <w:spacing w:line="360" w:lineRule="auto"/>
        <w:rPr>
          <w:rFonts w:ascii="Times New Roman" w:hAnsi="Times New Roman" w:cs="Times New Roman"/>
          <w:b/>
        </w:rPr>
      </w:pPr>
      <w:r w:rsidRPr="004C5F62">
        <w:rPr>
          <w:rFonts w:ascii="Times New Roman" w:hAnsi="Times New Roman" w:cs="Times New Roman"/>
          <w:b/>
        </w:rPr>
        <w:t>Outcome 4: Knowledge utilisation for economic development in (a) revitalising existing industries and (b) stimulating R&amp;D-led industrial development</w:t>
      </w:r>
    </w:p>
    <w:p w:rsidR="006A6C99" w:rsidRPr="004C5F62" w:rsidRDefault="006A6C99" w:rsidP="002A3C6A">
      <w:pPr>
        <w:tabs>
          <w:tab w:val="left" w:pos="2422"/>
        </w:tabs>
        <w:spacing w:line="360" w:lineRule="auto"/>
        <w:rPr>
          <w:rFonts w:ascii="Times New Roman" w:hAnsi="Times New Roman" w:cs="Times New Roman"/>
        </w:rPr>
      </w:pPr>
      <w:r w:rsidRPr="004C5F62">
        <w:rPr>
          <w:rFonts w:ascii="Times New Roman" w:hAnsi="Times New Roman" w:cs="Times New Roman"/>
        </w:rPr>
        <w:t>Outcome 4 seeks to drive economic development through various initiatives associated with the sectoral masterplans and revitalised industrial strategy. The four outcome indicators against which performance will be measured are:</w:t>
      </w:r>
    </w:p>
    <w:p w:rsidR="006A6C99" w:rsidRPr="004C5F62" w:rsidRDefault="006A6C99" w:rsidP="002A3C6A">
      <w:pPr>
        <w:tabs>
          <w:tab w:val="left" w:pos="2422"/>
        </w:tabs>
        <w:spacing w:line="360" w:lineRule="auto"/>
        <w:rPr>
          <w:rFonts w:ascii="Times New Roman" w:hAnsi="Times New Roman" w:cs="Times New Roman"/>
        </w:rPr>
      </w:pPr>
    </w:p>
    <w:p w:rsidR="006A6C99" w:rsidRPr="004C5F62" w:rsidRDefault="006A6C99" w:rsidP="002A3C6A">
      <w:pPr>
        <w:tabs>
          <w:tab w:val="left" w:pos="2422"/>
        </w:tabs>
        <w:spacing w:line="360" w:lineRule="auto"/>
        <w:ind w:left="567" w:hanging="567"/>
        <w:rPr>
          <w:rFonts w:ascii="Times New Roman" w:hAnsi="Times New Roman" w:cs="Times New Roman"/>
        </w:rPr>
      </w:pPr>
      <w:proofErr w:type="spellStart"/>
      <w:r w:rsidRPr="004C5F62">
        <w:rPr>
          <w:rFonts w:ascii="Times New Roman" w:hAnsi="Times New Roman" w:cs="Times New Roman"/>
        </w:rPr>
        <w:t>i</w:t>
      </w:r>
      <w:proofErr w:type="spellEnd"/>
      <w:r w:rsidRPr="004C5F62">
        <w:rPr>
          <w:rFonts w:ascii="Times New Roman" w:hAnsi="Times New Roman" w:cs="Times New Roman"/>
        </w:rPr>
        <w:t>)</w:t>
      </w:r>
      <w:r w:rsidRPr="004C5F62">
        <w:rPr>
          <w:rFonts w:ascii="Times New Roman" w:hAnsi="Times New Roman" w:cs="Times New Roman"/>
        </w:rPr>
        <w:tab/>
        <w:t xml:space="preserve">Rand value of </w:t>
      </w:r>
      <w:r w:rsidR="00750DEA" w:rsidRPr="004C5F62">
        <w:rPr>
          <w:rFonts w:ascii="Times New Roman" w:hAnsi="Times New Roman" w:cs="Times New Roman"/>
        </w:rPr>
        <w:t>research, development and innovation (</w:t>
      </w:r>
      <w:r w:rsidRPr="004C5F62">
        <w:rPr>
          <w:rFonts w:ascii="Times New Roman" w:hAnsi="Times New Roman" w:cs="Times New Roman"/>
        </w:rPr>
        <w:t>RDI</w:t>
      </w:r>
      <w:r w:rsidR="00750DEA" w:rsidRPr="004C5F62">
        <w:rPr>
          <w:rFonts w:ascii="Times New Roman" w:hAnsi="Times New Roman" w:cs="Times New Roman"/>
        </w:rPr>
        <w:t>)</w:t>
      </w:r>
      <w:r w:rsidRPr="004C5F62">
        <w:rPr>
          <w:rFonts w:ascii="Times New Roman" w:hAnsi="Times New Roman" w:cs="Times New Roman"/>
        </w:rPr>
        <w:t xml:space="preserve"> investment attracted to support RDI needs identified through the sectoral masterplans process;</w:t>
      </w:r>
    </w:p>
    <w:p w:rsidR="006A6C99" w:rsidRPr="004C5F62" w:rsidRDefault="006A6C99" w:rsidP="002A3C6A">
      <w:pPr>
        <w:tabs>
          <w:tab w:val="left" w:pos="2422"/>
        </w:tabs>
        <w:spacing w:line="360" w:lineRule="auto"/>
        <w:ind w:left="567" w:hanging="567"/>
        <w:rPr>
          <w:rFonts w:ascii="Times New Roman" w:hAnsi="Times New Roman" w:cs="Times New Roman"/>
        </w:rPr>
      </w:pPr>
      <w:r w:rsidRPr="004C5F62">
        <w:rPr>
          <w:rFonts w:ascii="Times New Roman" w:hAnsi="Times New Roman" w:cs="Times New Roman"/>
        </w:rPr>
        <w:t>ii)</w:t>
      </w:r>
      <w:r w:rsidRPr="004C5F62">
        <w:rPr>
          <w:rFonts w:ascii="Times New Roman" w:hAnsi="Times New Roman" w:cs="Times New Roman"/>
        </w:rPr>
        <w:tab/>
        <w:t>Percentage increase in Small, Medium and Micros Enterprises (SMMEs) or Co-operatives whose performance has improved or who have secured new opportunities through support provided by the Department and its entities;</w:t>
      </w:r>
    </w:p>
    <w:p w:rsidR="006A6C99" w:rsidRPr="004C5F62" w:rsidRDefault="006A6C99" w:rsidP="002A3C6A">
      <w:pPr>
        <w:tabs>
          <w:tab w:val="left" w:pos="2422"/>
        </w:tabs>
        <w:spacing w:line="360" w:lineRule="auto"/>
        <w:ind w:left="567" w:hanging="567"/>
        <w:rPr>
          <w:rFonts w:ascii="Times New Roman" w:hAnsi="Times New Roman" w:cs="Times New Roman"/>
        </w:rPr>
      </w:pPr>
      <w:r w:rsidRPr="004C5F62">
        <w:rPr>
          <w:rFonts w:ascii="Times New Roman" w:hAnsi="Times New Roman" w:cs="Times New Roman"/>
        </w:rPr>
        <w:t>iii)</w:t>
      </w:r>
      <w:r w:rsidRPr="004C5F62">
        <w:rPr>
          <w:rFonts w:ascii="Times New Roman" w:hAnsi="Times New Roman" w:cs="Times New Roman"/>
        </w:rPr>
        <w:tab/>
        <w:t>Percentage increase in the commercialisation of granted IP rights from publicly-funded R&amp;D; and</w:t>
      </w:r>
    </w:p>
    <w:p w:rsidR="006A6C99" w:rsidRPr="004C5F62" w:rsidRDefault="006A6C99" w:rsidP="002A3C6A">
      <w:pPr>
        <w:tabs>
          <w:tab w:val="left" w:pos="2422"/>
        </w:tabs>
        <w:spacing w:line="360" w:lineRule="auto"/>
        <w:ind w:left="567" w:hanging="567"/>
        <w:rPr>
          <w:rFonts w:ascii="Times New Roman" w:hAnsi="Times New Roman" w:cs="Times New Roman"/>
        </w:rPr>
      </w:pPr>
      <w:r w:rsidRPr="004C5F62">
        <w:rPr>
          <w:rFonts w:ascii="Times New Roman" w:hAnsi="Times New Roman" w:cs="Times New Roman"/>
        </w:rPr>
        <w:t>iv)</w:t>
      </w:r>
      <w:r w:rsidRPr="004C5F62">
        <w:rPr>
          <w:rFonts w:ascii="Times New Roman" w:hAnsi="Times New Roman" w:cs="Times New Roman"/>
        </w:rPr>
        <w:tab/>
        <w:t>Number of new R&amp;D-led industrial development opportunities initiated by the Department.</w:t>
      </w:r>
    </w:p>
    <w:p w:rsidR="006A6C99" w:rsidRPr="004C5F62" w:rsidRDefault="006A6C99" w:rsidP="002A3C6A">
      <w:pPr>
        <w:tabs>
          <w:tab w:val="left" w:pos="2422"/>
        </w:tabs>
        <w:spacing w:line="360" w:lineRule="auto"/>
        <w:rPr>
          <w:rFonts w:ascii="Times New Roman" w:hAnsi="Times New Roman" w:cs="Times New Roman"/>
        </w:rPr>
      </w:pPr>
    </w:p>
    <w:p w:rsidR="006A6C99" w:rsidRPr="004C5F62" w:rsidRDefault="006A6C99" w:rsidP="002A3C6A">
      <w:pPr>
        <w:tabs>
          <w:tab w:val="left" w:pos="2422"/>
        </w:tabs>
        <w:spacing w:line="360" w:lineRule="auto"/>
        <w:rPr>
          <w:rFonts w:ascii="Times New Roman" w:hAnsi="Times New Roman" w:cs="Times New Roman"/>
        </w:rPr>
      </w:pPr>
      <w:r w:rsidRPr="004C5F62">
        <w:rPr>
          <w:rFonts w:ascii="Times New Roman" w:hAnsi="Times New Roman" w:cs="Times New Roman"/>
        </w:rPr>
        <w:t>Key actions for the Department include participating in the development of sectoral masterplans and implementing flagship programmes in support of priority sectors identified in the national revitalised industrial strategy. Examples of the latter include the continued deployment of hydrogen fuel cells in government buildings, critical infrastructure, as well as in rural formal and urban informal settlements to assess whether this alternative technology can ensure energy security and speed up the rate of electrification. Other examples include the Carbon Capture, Storage and Use Flagship Programme, the Energy Storage RDI Programme, the Indigenous Knowledge-based Technology Innovation initiatives, and the Medical Cannabis RDI Programme. Furthermore, increased attention will be given to building and supporting a pipeline for the development and commercialisation of outputs from publicly-funded R&amp;D, as well as to an enforcement fund to enable publicly-funded institutions to prevent third-party infringement of their IP rights. The Department also aims to expand its network of Technology Stations and Platforms to support SMMEs and Co-operatives.</w:t>
      </w:r>
    </w:p>
    <w:p w:rsidR="006A6C99" w:rsidRPr="004C5F62" w:rsidRDefault="006A6C99" w:rsidP="002A3C6A">
      <w:pPr>
        <w:tabs>
          <w:tab w:val="left" w:pos="2422"/>
        </w:tabs>
        <w:spacing w:line="360" w:lineRule="auto"/>
        <w:rPr>
          <w:rFonts w:ascii="Times New Roman" w:hAnsi="Times New Roman" w:cs="Times New Roman"/>
        </w:rPr>
      </w:pPr>
    </w:p>
    <w:p w:rsidR="006A6C99" w:rsidRPr="004C5F62" w:rsidRDefault="006A6C99" w:rsidP="002A3C6A">
      <w:pPr>
        <w:tabs>
          <w:tab w:val="left" w:pos="2422"/>
        </w:tabs>
        <w:spacing w:line="360" w:lineRule="auto"/>
        <w:rPr>
          <w:rFonts w:ascii="Times New Roman" w:hAnsi="Times New Roman" w:cs="Times New Roman"/>
          <w:b/>
        </w:rPr>
      </w:pPr>
      <w:r w:rsidRPr="004C5F62">
        <w:rPr>
          <w:rFonts w:ascii="Times New Roman" w:hAnsi="Times New Roman" w:cs="Times New Roman"/>
          <w:b/>
        </w:rPr>
        <w:t>Outcome 5: Knowledge utilisation for inclusive development</w:t>
      </w:r>
    </w:p>
    <w:p w:rsidR="006A6C99" w:rsidRPr="004C5F62" w:rsidRDefault="006A6C99" w:rsidP="002A3C6A">
      <w:pPr>
        <w:tabs>
          <w:tab w:val="left" w:pos="2422"/>
        </w:tabs>
        <w:spacing w:line="360" w:lineRule="auto"/>
        <w:rPr>
          <w:rFonts w:ascii="Times New Roman" w:hAnsi="Times New Roman" w:cs="Times New Roman"/>
        </w:rPr>
      </w:pPr>
      <w:r w:rsidRPr="004C5F62">
        <w:rPr>
          <w:rFonts w:ascii="Times New Roman" w:hAnsi="Times New Roman" w:cs="Times New Roman"/>
        </w:rPr>
        <w:t>Outcome 5 seeks to advance the vision of an inclusive and responsive NSI that provides equitable access to the country’s knowledge infrastructure, and supports the broader concept of innovation. The two outcome indicators against which performance will be measured are:</w:t>
      </w:r>
    </w:p>
    <w:p w:rsidR="006A6C99" w:rsidRPr="004C5F62" w:rsidRDefault="006A6C99" w:rsidP="002A3C6A">
      <w:pPr>
        <w:tabs>
          <w:tab w:val="left" w:pos="2422"/>
        </w:tabs>
        <w:spacing w:line="360" w:lineRule="auto"/>
        <w:rPr>
          <w:rFonts w:ascii="Times New Roman" w:hAnsi="Times New Roman" w:cs="Times New Roman"/>
        </w:rPr>
      </w:pPr>
    </w:p>
    <w:p w:rsidR="006A6C99" w:rsidRPr="004C5F62" w:rsidRDefault="006A6C99" w:rsidP="002A3C6A">
      <w:pPr>
        <w:tabs>
          <w:tab w:val="left" w:pos="2422"/>
        </w:tabs>
        <w:spacing w:line="360" w:lineRule="auto"/>
        <w:ind w:left="567" w:hanging="567"/>
        <w:rPr>
          <w:rFonts w:ascii="Times New Roman" w:hAnsi="Times New Roman" w:cs="Times New Roman"/>
        </w:rPr>
      </w:pPr>
      <w:proofErr w:type="spellStart"/>
      <w:r w:rsidRPr="004C5F62">
        <w:rPr>
          <w:rFonts w:ascii="Times New Roman" w:hAnsi="Times New Roman" w:cs="Times New Roman"/>
        </w:rPr>
        <w:t>i</w:t>
      </w:r>
      <w:proofErr w:type="spellEnd"/>
      <w:r w:rsidRPr="004C5F62">
        <w:rPr>
          <w:rFonts w:ascii="Times New Roman" w:hAnsi="Times New Roman" w:cs="Times New Roman"/>
        </w:rPr>
        <w:t>)</w:t>
      </w:r>
      <w:r w:rsidRPr="004C5F62">
        <w:rPr>
          <w:rFonts w:ascii="Times New Roman" w:hAnsi="Times New Roman" w:cs="Times New Roman"/>
        </w:rPr>
        <w:tab/>
        <w:t>Grassroots innovations whose commercialisation has been facilitated by the support / access of the multi-tiered support package provided by the Department and its entities; and</w:t>
      </w:r>
    </w:p>
    <w:p w:rsidR="006A6C99" w:rsidRPr="004C5F62" w:rsidRDefault="006A6C99" w:rsidP="002A3C6A">
      <w:pPr>
        <w:tabs>
          <w:tab w:val="left" w:pos="2422"/>
        </w:tabs>
        <w:spacing w:line="360" w:lineRule="auto"/>
        <w:ind w:left="567" w:hanging="567"/>
        <w:rPr>
          <w:rFonts w:ascii="Times New Roman" w:hAnsi="Times New Roman" w:cs="Times New Roman"/>
        </w:rPr>
      </w:pPr>
      <w:r w:rsidRPr="004C5F62">
        <w:rPr>
          <w:rFonts w:ascii="Times New Roman" w:hAnsi="Times New Roman" w:cs="Times New Roman"/>
        </w:rPr>
        <w:t>ii)</w:t>
      </w:r>
      <w:r w:rsidRPr="004C5F62">
        <w:rPr>
          <w:rFonts w:ascii="Times New Roman" w:hAnsi="Times New Roman" w:cs="Times New Roman"/>
        </w:rPr>
        <w:tab/>
        <w:t>Publicly-funded IP made available (accessible) in support of grassroots innovators.</w:t>
      </w:r>
    </w:p>
    <w:p w:rsidR="006A6C99" w:rsidRPr="004C5F62" w:rsidRDefault="006A6C99" w:rsidP="002A3C6A">
      <w:pPr>
        <w:tabs>
          <w:tab w:val="left" w:pos="2422"/>
        </w:tabs>
        <w:spacing w:line="360" w:lineRule="auto"/>
        <w:rPr>
          <w:rFonts w:ascii="Times New Roman" w:hAnsi="Times New Roman" w:cs="Times New Roman"/>
        </w:rPr>
      </w:pPr>
    </w:p>
    <w:p w:rsidR="006A6C99" w:rsidRPr="004C5F62" w:rsidRDefault="006A6C99" w:rsidP="002A3C6A">
      <w:pPr>
        <w:tabs>
          <w:tab w:val="left" w:pos="2422"/>
        </w:tabs>
        <w:spacing w:line="360" w:lineRule="auto"/>
        <w:rPr>
          <w:rFonts w:ascii="Times New Roman" w:hAnsi="Times New Roman" w:cs="Times New Roman"/>
        </w:rPr>
      </w:pPr>
      <w:r w:rsidRPr="004C5F62">
        <w:rPr>
          <w:rFonts w:ascii="Times New Roman" w:hAnsi="Times New Roman" w:cs="Times New Roman"/>
        </w:rPr>
        <w:t>The key features of the multi-tiered support package for the commercialisation of grassroots innovations will include technology development, compliance with industry standards, protection of IP and mentorship. The Department, to enhance the use of publicly-funded IP and ensure the deployment of locally developed technology solutions, will facilitate access to this IP that specifically relates to solutions that enable access to basic services, strengthens the state’s capacity to provide services and promotes the inclusion of women, youth and people living with disabilities.</w:t>
      </w:r>
    </w:p>
    <w:p w:rsidR="006A6C99" w:rsidRPr="004C5F62" w:rsidRDefault="006A6C99" w:rsidP="002A3C6A">
      <w:pPr>
        <w:tabs>
          <w:tab w:val="left" w:pos="2422"/>
        </w:tabs>
        <w:spacing w:line="360" w:lineRule="auto"/>
        <w:rPr>
          <w:rFonts w:ascii="Times New Roman" w:hAnsi="Times New Roman" w:cs="Times New Roman"/>
        </w:rPr>
      </w:pPr>
    </w:p>
    <w:p w:rsidR="006A6C99" w:rsidRPr="004C5F62" w:rsidRDefault="006A6C99" w:rsidP="002A3C6A">
      <w:pPr>
        <w:tabs>
          <w:tab w:val="left" w:pos="2422"/>
        </w:tabs>
        <w:spacing w:line="360" w:lineRule="auto"/>
        <w:rPr>
          <w:rFonts w:ascii="Times New Roman" w:hAnsi="Times New Roman" w:cs="Times New Roman"/>
          <w:b/>
        </w:rPr>
      </w:pPr>
      <w:r w:rsidRPr="004C5F62">
        <w:rPr>
          <w:rFonts w:ascii="Times New Roman" w:hAnsi="Times New Roman" w:cs="Times New Roman"/>
          <w:b/>
        </w:rPr>
        <w:t>Outcome 6: Innovation in support of a capable and development state</w:t>
      </w:r>
    </w:p>
    <w:p w:rsidR="006A6C99" w:rsidRPr="004C5F62" w:rsidRDefault="006A6C99" w:rsidP="002A3C6A">
      <w:pPr>
        <w:tabs>
          <w:tab w:val="left" w:pos="2422"/>
        </w:tabs>
        <w:spacing w:line="360" w:lineRule="auto"/>
        <w:rPr>
          <w:rFonts w:ascii="Times New Roman" w:hAnsi="Times New Roman" w:cs="Times New Roman"/>
        </w:rPr>
      </w:pPr>
      <w:r w:rsidRPr="004C5F62">
        <w:rPr>
          <w:rFonts w:ascii="Times New Roman" w:hAnsi="Times New Roman" w:cs="Times New Roman"/>
        </w:rPr>
        <w:t xml:space="preserve">Deploying national STI interventions is a challenge because the Department does not have a concurrent function within provincial and local government. However, the Department contributes to the development </w:t>
      </w:r>
      <w:r w:rsidRPr="004C5F62">
        <w:rPr>
          <w:rFonts w:ascii="Times New Roman" w:hAnsi="Times New Roman" w:cs="Times New Roman"/>
        </w:rPr>
        <w:lastRenderedPageBreak/>
        <w:t>of an innovation ecosystem and a capable and developmental state via its Regional Innovation Support programmes. Outcome 6 seeks to increase the spatial footprint of innovation support so that innovation will enable localised socio-economic development. The four outcome indicators against which performance will be measured are:</w:t>
      </w:r>
    </w:p>
    <w:p w:rsidR="006A6C99" w:rsidRPr="004C5F62" w:rsidRDefault="006A6C99" w:rsidP="002A3C6A">
      <w:pPr>
        <w:tabs>
          <w:tab w:val="left" w:pos="2422"/>
        </w:tabs>
        <w:spacing w:line="360" w:lineRule="auto"/>
        <w:rPr>
          <w:rFonts w:ascii="Times New Roman" w:hAnsi="Times New Roman" w:cs="Times New Roman"/>
        </w:rPr>
      </w:pPr>
    </w:p>
    <w:p w:rsidR="006A6C99" w:rsidRPr="004C5F62" w:rsidRDefault="006A6C99" w:rsidP="002A3C6A">
      <w:pPr>
        <w:tabs>
          <w:tab w:val="left" w:pos="2422"/>
        </w:tabs>
        <w:spacing w:line="360" w:lineRule="auto"/>
        <w:ind w:left="567" w:hanging="567"/>
        <w:rPr>
          <w:rFonts w:ascii="Times New Roman" w:hAnsi="Times New Roman" w:cs="Times New Roman"/>
        </w:rPr>
      </w:pPr>
      <w:proofErr w:type="spellStart"/>
      <w:r w:rsidRPr="004C5F62">
        <w:rPr>
          <w:rFonts w:ascii="Times New Roman" w:hAnsi="Times New Roman" w:cs="Times New Roman"/>
        </w:rPr>
        <w:t>i</w:t>
      </w:r>
      <w:proofErr w:type="spellEnd"/>
      <w:r w:rsidRPr="004C5F62">
        <w:rPr>
          <w:rFonts w:ascii="Times New Roman" w:hAnsi="Times New Roman" w:cs="Times New Roman"/>
        </w:rPr>
        <w:t>)</w:t>
      </w:r>
      <w:r w:rsidRPr="004C5F62">
        <w:rPr>
          <w:rFonts w:ascii="Times New Roman" w:hAnsi="Times New Roman" w:cs="Times New Roman"/>
        </w:rPr>
        <w:tab/>
        <w:t>Increase in the number of use cases of decision support systems;</w:t>
      </w:r>
    </w:p>
    <w:p w:rsidR="006A6C99" w:rsidRPr="004C5F62" w:rsidRDefault="006A6C99" w:rsidP="002A3C6A">
      <w:pPr>
        <w:tabs>
          <w:tab w:val="left" w:pos="2422"/>
        </w:tabs>
        <w:spacing w:line="360" w:lineRule="auto"/>
        <w:ind w:left="567" w:hanging="567"/>
        <w:rPr>
          <w:rFonts w:ascii="Times New Roman" w:hAnsi="Times New Roman" w:cs="Times New Roman"/>
        </w:rPr>
      </w:pPr>
      <w:r w:rsidRPr="004C5F62">
        <w:rPr>
          <w:rFonts w:ascii="Times New Roman" w:hAnsi="Times New Roman" w:cs="Times New Roman"/>
        </w:rPr>
        <w:t>ii)</w:t>
      </w:r>
      <w:r w:rsidRPr="004C5F62">
        <w:rPr>
          <w:rFonts w:ascii="Times New Roman" w:hAnsi="Times New Roman" w:cs="Times New Roman"/>
        </w:rPr>
        <w:tab/>
        <w:t>Number of demonstrators that have successfully introduced a new way of delivering a service;</w:t>
      </w:r>
    </w:p>
    <w:p w:rsidR="006A6C99" w:rsidRPr="004C5F62" w:rsidRDefault="006A6C99" w:rsidP="002A3C6A">
      <w:pPr>
        <w:tabs>
          <w:tab w:val="left" w:pos="2422"/>
        </w:tabs>
        <w:spacing w:line="360" w:lineRule="auto"/>
        <w:ind w:left="567" w:hanging="567"/>
        <w:rPr>
          <w:rFonts w:ascii="Times New Roman" w:hAnsi="Times New Roman" w:cs="Times New Roman"/>
        </w:rPr>
      </w:pPr>
      <w:r w:rsidRPr="004C5F62">
        <w:rPr>
          <w:rFonts w:ascii="Times New Roman" w:hAnsi="Times New Roman" w:cs="Times New Roman"/>
        </w:rPr>
        <w:t>iii)</w:t>
      </w:r>
      <w:r w:rsidRPr="004C5F62">
        <w:rPr>
          <w:rFonts w:ascii="Times New Roman" w:hAnsi="Times New Roman" w:cs="Times New Roman"/>
        </w:rPr>
        <w:tab/>
        <w:t>Number of districts / metros supported with technology-based applications as part of the District Development Model for Service Delivery Improvement; and</w:t>
      </w:r>
    </w:p>
    <w:p w:rsidR="006A6C99" w:rsidRPr="004C5F62" w:rsidRDefault="006A6C99" w:rsidP="002A3C6A">
      <w:pPr>
        <w:tabs>
          <w:tab w:val="left" w:pos="2422"/>
        </w:tabs>
        <w:spacing w:line="360" w:lineRule="auto"/>
        <w:ind w:left="567" w:hanging="567"/>
        <w:rPr>
          <w:rFonts w:ascii="Times New Roman" w:hAnsi="Times New Roman" w:cs="Times New Roman"/>
        </w:rPr>
      </w:pPr>
      <w:r w:rsidRPr="004C5F62">
        <w:rPr>
          <w:rFonts w:ascii="Times New Roman" w:hAnsi="Times New Roman" w:cs="Times New Roman"/>
        </w:rPr>
        <w:t>iv)</w:t>
      </w:r>
      <w:r w:rsidRPr="004C5F62">
        <w:rPr>
          <w:rFonts w:ascii="Times New Roman" w:hAnsi="Times New Roman" w:cs="Times New Roman"/>
        </w:rPr>
        <w:tab/>
        <w:t>Evidence informed integration of innovation in service delivery.</w:t>
      </w:r>
    </w:p>
    <w:p w:rsidR="006A6C99" w:rsidRPr="004C5F62" w:rsidRDefault="006A6C99" w:rsidP="002A3C6A">
      <w:pPr>
        <w:tabs>
          <w:tab w:val="left" w:pos="2422"/>
        </w:tabs>
        <w:spacing w:line="360" w:lineRule="auto"/>
        <w:rPr>
          <w:rFonts w:ascii="Times New Roman" w:hAnsi="Times New Roman" w:cs="Times New Roman"/>
        </w:rPr>
      </w:pPr>
    </w:p>
    <w:p w:rsidR="006A6C99" w:rsidRPr="004C5F62" w:rsidRDefault="006A6C99" w:rsidP="002A3C6A">
      <w:pPr>
        <w:tabs>
          <w:tab w:val="left" w:pos="2422"/>
        </w:tabs>
        <w:spacing w:line="360" w:lineRule="auto"/>
        <w:rPr>
          <w:rFonts w:ascii="Times New Roman" w:hAnsi="Times New Roman" w:cs="Times New Roman"/>
        </w:rPr>
      </w:pPr>
      <w:r w:rsidRPr="004C5F62">
        <w:rPr>
          <w:rFonts w:ascii="Times New Roman" w:hAnsi="Times New Roman" w:cs="Times New Roman"/>
        </w:rPr>
        <w:t>Key actions will be to ensure the piloting of appropriate technologies that facilitate service delivery, for example, technologies for waste management, water and wastewater management, housing, sanitation, and energy provision, as well as technologies for the circular economy to ensure a just transition to a low carbon economy in line with climate change and sustainable development obligations. The Department states that to build a coherent system to address both climate change and sustainable development, a digital economy is required. Therefore, the Department will focus on programmes that enable innovation and build capacity in the PSET system in ICT domains such as data science, artificial intelligence (AI), the Internet of Things (</w:t>
      </w:r>
      <w:proofErr w:type="spellStart"/>
      <w:r w:rsidRPr="004C5F62">
        <w:rPr>
          <w:rFonts w:ascii="Times New Roman" w:hAnsi="Times New Roman" w:cs="Times New Roman"/>
        </w:rPr>
        <w:t>IoT</w:t>
      </w:r>
      <w:proofErr w:type="spellEnd"/>
      <w:r w:rsidRPr="004C5F62">
        <w:rPr>
          <w:rFonts w:ascii="Times New Roman" w:hAnsi="Times New Roman" w:cs="Times New Roman"/>
        </w:rPr>
        <w:t>) and cybersecurity. Furthermore, the capacity to optimally use 5G and other wireless technologies must also be developed so that the state and citizens can take advantage of the opportunities within a digital economy.</w:t>
      </w:r>
    </w:p>
    <w:p w:rsidR="006A6C99" w:rsidRPr="004C5F62" w:rsidRDefault="006A6C99" w:rsidP="002A3C6A">
      <w:pPr>
        <w:tabs>
          <w:tab w:val="left" w:pos="2422"/>
        </w:tabs>
        <w:spacing w:line="360" w:lineRule="auto"/>
        <w:rPr>
          <w:rFonts w:ascii="Times New Roman" w:hAnsi="Times New Roman" w:cs="Times New Roman"/>
        </w:rPr>
      </w:pPr>
    </w:p>
    <w:p w:rsidR="00540A87" w:rsidRPr="004C5F62" w:rsidRDefault="006A6C99" w:rsidP="002A3C6A">
      <w:pPr>
        <w:tabs>
          <w:tab w:val="left" w:pos="2422"/>
        </w:tabs>
        <w:spacing w:line="360" w:lineRule="auto"/>
        <w:rPr>
          <w:rFonts w:ascii="Times New Roman" w:hAnsi="Times New Roman" w:cs="Times New Roman"/>
        </w:rPr>
      </w:pPr>
      <w:r w:rsidRPr="004C5F62">
        <w:rPr>
          <w:rFonts w:ascii="Times New Roman" w:hAnsi="Times New Roman" w:cs="Times New Roman"/>
        </w:rPr>
        <w:t xml:space="preserve">These outcomes are similar to the previous five strategic outcome-oriented goals, except that innovation in support of a developmental state has now been included as a separate outcome </w:t>
      </w:r>
      <w:r w:rsidR="00927CA0" w:rsidRPr="004C5F62">
        <w:rPr>
          <w:rFonts w:ascii="Times New Roman" w:hAnsi="Times New Roman" w:cs="Times New Roman"/>
        </w:rPr>
        <w:t xml:space="preserve">(outcome 6) </w:t>
      </w:r>
      <w:r w:rsidRPr="004C5F62">
        <w:rPr>
          <w:rFonts w:ascii="Times New Roman" w:hAnsi="Times New Roman" w:cs="Times New Roman"/>
        </w:rPr>
        <w:t xml:space="preserve">where before it was all contained within Goal 5. In addition, in line with the Department’s name change and expanded mandate, the outcomes and performance measures endeavour to ensure the centrality of innovation to the transformation and growth of South Africa’s economy and the lives of its citizens, and new performance indicators speak directly to this. </w:t>
      </w:r>
      <w:r w:rsidR="00252F0C" w:rsidRPr="004C5F62">
        <w:rPr>
          <w:rFonts w:ascii="Times New Roman" w:hAnsi="Times New Roman" w:cs="Times New Roman"/>
        </w:rPr>
        <w:t xml:space="preserve">Furthermore, </w:t>
      </w:r>
      <w:r w:rsidR="00721B65" w:rsidRPr="004C5F62">
        <w:rPr>
          <w:rFonts w:ascii="Times New Roman" w:hAnsi="Times New Roman" w:cs="Times New Roman"/>
        </w:rPr>
        <w:t xml:space="preserve">skills development targets will seek to build on the </w:t>
      </w:r>
      <w:r w:rsidR="001A524A" w:rsidRPr="004C5F62">
        <w:rPr>
          <w:rFonts w:ascii="Times New Roman" w:hAnsi="Times New Roman" w:cs="Times New Roman"/>
        </w:rPr>
        <w:t xml:space="preserve">transformation </w:t>
      </w:r>
      <w:r w:rsidR="00721B65" w:rsidRPr="004C5F62">
        <w:rPr>
          <w:rFonts w:ascii="Times New Roman" w:hAnsi="Times New Roman" w:cs="Times New Roman"/>
        </w:rPr>
        <w:t xml:space="preserve">gains made to date, but will also focus more closely </w:t>
      </w:r>
      <w:r w:rsidR="001A524A" w:rsidRPr="004C5F62">
        <w:rPr>
          <w:rFonts w:ascii="Times New Roman" w:hAnsi="Times New Roman" w:cs="Times New Roman"/>
        </w:rPr>
        <w:t xml:space="preserve">on the needs of industry. </w:t>
      </w:r>
      <w:r w:rsidRPr="004C5F62">
        <w:rPr>
          <w:rFonts w:ascii="Times New Roman" w:hAnsi="Times New Roman" w:cs="Times New Roman"/>
        </w:rPr>
        <w:t>Hence, Outcomes 1, 3 and 4 align to Pillar 1 of the 2019-2024 MTSF; namely, driving a strong and inclusive economy. Outcome 2 aligns to Pillar 2; building and strengthening the capabilities of South Africans; and Outcomes 5 and 6 align to Pillar 3; achieving a more capable state.</w:t>
      </w:r>
      <w:r w:rsidR="00540A87" w:rsidRPr="004C5F62">
        <w:rPr>
          <w:rFonts w:ascii="Times New Roman" w:hAnsi="Times New Roman" w:cs="Times New Roman"/>
        </w:rPr>
        <w:t xml:space="preserve"> The Department has also adjusted its </w:t>
      </w:r>
      <w:r w:rsidR="00DA29DF" w:rsidRPr="004C5F62">
        <w:rPr>
          <w:rFonts w:ascii="Times New Roman" w:hAnsi="Times New Roman" w:cs="Times New Roman"/>
        </w:rPr>
        <w:t>M</w:t>
      </w:r>
      <w:r w:rsidR="00540A87" w:rsidRPr="004C5F62">
        <w:rPr>
          <w:rFonts w:ascii="Times New Roman" w:hAnsi="Times New Roman" w:cs="Times New Roman"/>
        </w:rPr>
        <w:t xml:space="preserve">ission to now explicitly indicate that the leadership, enabling environment and resources it provides for </w:t>
      </w:r>
      <w:r w:rsidR="00540A87" w:rsidRPr="004C5F62">
        <w:rPr>
          <w:rFonts w:ascii="Times New Roman" w:hAnsi="Times New Roman" w:cs="Times New Roman"/>
        </w:rPr>
        <w:lastRenderedPageBreak/>
        <w:t xml:space="preserve">STI should </w:t>
      </w:r>
      <w:r w:rsidR="00DA29DF" w:rsidRPr="004C5F62">
        <w:rPr>
          <w:rFonts w:ascii="Times New Roman" w:hAnsi="Times New Roman" w:cs="Times New Roman"/>
        </w:rPr>
        <w:t>not merely support South Africa’s “development”, but that this</w:t>
      </w:r>
      <w:r w:rsidR="00540A87" w:rsidRPr="004C5F62">
        <w:rPr>
          <w:rFonts w:ascii="Times New Roman" w:hAnsi="Times New Roman" w:cs="Times New Roman"/>
        </w:rPr>
        <w:t xml:space="preserve"> development </w:t>
      </w:r>
      <w:r w:rsidR="00DA29DF" w:rsidRPr="004C5F62">
        <w:rPr>
          <w:rFonts w:ascii="Times New Roman" w:hAnsi="Times New Roman" w:cs="Times New Roman"/>
        </w:rPr>
        <w:t>must be</w:t>
      </w:r>
      <w:r w:rsidR="00540A87" w:rsidRPr="004C5F62">
        <w:rPr>
          <w:rFonts w:ascii="Times New Roman" w:hAnsi="Times New Roman" w:cs="Times New Roman"/>
        </w:rPr>
        <w:t xml:space="preserve"> </w:t>
      </w:r>
      <w:r w:rsidR="006918CD" w:rsidRPr="004C5F62">
        <w:rPr>
          <w:rFonts w:ascii="Times New Roman" w:hAnsi="Times New Roman" w:cs="Times New Roman"/>
        </w:rPr>
        <w:t>“</w:t>
      </w:r>
      <w:r w:rsidR="00540A87" w:rsidRPr="004C5F62">
        <w:rPr>
          <w:rFonts w:ascii="Times New Roman" w:hAnsi="Times New Roman" w:cs="Times New Roman"/>
        </w:rPr>
        <w:t>inclusive and sustainable</w:t>
      </w:r>
      <w:r w:rsidR="006918CD" w:rsidRPr="004C5F62">
        <w:rPr>
          <w:rFonts w:ascii="Times New Roman" w:hAnsi="Times New Roman" w:cs="Times New Roman"/>
        </w:rPr>
        <w:t>”</w:t>
      </w:r>
      <w:r w:rsidR="00DA29DF" w:rsidRPr="004C5F62">
        <w:rPr>
          <w:rFonts w:ascii="Times New Roman" w:hAnsi="Times New Roman" w:cs="Times New Roman"/>
        </w:rPr>
        <w:t xml:space="preserve"> if the country is to transform its socio-economic trajectory</w:t>
      </w:r>
      <w:r w:rsidR="00540A87" w:rsidRPr="004C5F62">
        <w:rPr>
          <w:rFonts w:ascii="Times New Roman" w:hAnsi="Times New Roman" w:cs="Times New Roman"/>
        </w:rPr>
        <w:t>.</w:t>
      </w:r>
    </w:p>
    <w:p w:rsidR="006A6C99" w:rsidRPr="004C5F62" w:rsidRDefault="006A6C99" w:rsidP="002A3C6A">
      <w:pPr>
        <w:tabs>
          <w:tab w:val="left" w:pos="2422"/>
        </w:tabs>
        <w:spacing w:line="360" w:lineRule="auto"/>
        <w:rPr>
          <w:rFonts w:ascii="Times New Roman" w:hAnsi="Times New Roman" w:cs="Times New Roman"/>
        </w:rPr>
      </w:pPr>
    </w:p>
    <w:p w:rsidR="00B70329" w:rsidRPr="00C720EA" w:rsidRDefault="00C720EA" w:rsidP="00C720EA">
      <w:pPr>
        <w:spacing w:line="360" w:lineRule="auto"/>
        <w:rPr>
          <w:rFonts w:ascii="Times New Roman" w:hAnsi="Times New Roman" w:cs="Times New Roman"/>
          <w:b/>
        </w:rPr>
      </w:pPr>
      <w:r>
        <w:rPr>
          <w:rFonts w:ascii="Times New Roman" w:hAnsi="Times New Roman" w:cs="Times New Roman"/>
          <w:b/>
        </w:rPr>
        <w:t>3.</w:t>
      </w:r>
      <w:r>
        <w:rPr>
          <w:rFonts w:ascii="Times New Roman" w:hAnsi="Times New Roman" w:cs="Times New Roman"/>
          <w:b/>
        </w:rPr>
        <w:tab/>
      </w:r>
      <w:r w:rsidR="00B70329" w:rsidRPr="00C720EA">
        <w:rPr>
          <w:rFonts w:ascii="Times New Roman" w:hAnsi="Times New Roman" w:cs="Times New Roman"/>
          <w:b/>
        </w:rPr>
        <w:t>Vote 3</w:t>
      </w:r>
      <w:r w:rsidR="00E701FF" w:rsidRPr="00C720EA">
        <w:rPr>
          <w:rFonts w:ascii="Times New Roman" w:hAnsi="Times New Roman" w:cs="Times New Roman"/>
          <w:b/>
        </w:rPr>
        <w:t>5</w:t>
      </w:r>
      <w:r w:rsidR="00B70329" w:rsidRPr="00C720EA">
        <w:rPr>
          <w:rFonts w:ascii="Times New Roman" w:hAnsi="Times New Roman" w:cs="Times New Roman"/>
          <w:b/>
        </w:rPr>
        <w:t xml:space="preserve">: Science and </w:t>
      </w:r>
      <w:r w:rsidR="00E701FF" w:rsidRPr="00C720EA">
        <w:rPr>
          <w:rFonts w:ascii="Times New Roman" w:hAnsi="Times New Roman" w:cs="Times New Roman"/>
          <w:b/>
        </w:rPr>
        <w:t xml:space="preserve">Innovation </w:t>
      </w:r>
      <w:r w:rsidR="00B70329" w:rsidRPr="00C720EA">
        <w:rPr>
          <w:rFonts w:ascii="Times New Roman" w:hAnsi="Times New Roman" w:cs="Times New Roman"/>
          <w:b/>
        </w:rPr>
        <w:t>(</w:t>
      </w:r>
      <w:r w:rsidR="00587641" w:rsidRPr="00C720EA">
        <w:rPr>
          <w:rFonts w:ascii="Times New Roman" w:hAnsi="Times New Roman" w:cs="Times New Roman"/>
          <w:b/>
        </w:rPr>
        <w:t>20</w:t>
      </w:r>
      <w:r w:rsidR="00DB1F6C" w:rsidRPr="00C720EA">
        <w:rPr>
          <w:rFonts w:ascii="Times New Roman" w:hAnsi="Times New Roman" w:cs="Times New Roman"/>
          <w:b/>
        </w:rPr>
        <w:t>20</w:t>
      </w:r>
      <w:r w:rsidR="00E701FF" w:rsidRPr="00C720EA">
        <w:rPr>
          <w:rFonts w:ascii="Times New Roman" w:hAnsi="Times New Roman" w:cs="Times New Roman"/>
          <w:b/>
        </w:rPr>
        <w:t>/21</w:t>
      </w:r>
      <w:r w:rsidR="00B70329" w:rsidRPr="00C720EA">
        <w:rPr>
          <w:rFonts w:ascii="Times New Roman" w:hAnsi="Times New Roman" w:cs="Times New Roman"/>
          <w:b/>
        </w:rPr>
        <w:t>)</w:t>
      </w:r>
    </w:p>
    <w:p w:rsidR="00B70329" w:rsidRPr="004C5F62" w:rsidRDefault="00B70329" w:rsidP="002A3C6A">
      <w:pPr>
        <w:spacing w:line="360" w:lineRule="auto"/>
        <w:rPr>
          <w:rFonts w:ascii="Times New Roman" w:hAnsi="Times New Roman" w:cs="Times New Roman"/>
        </w:rPr>
      </w:pPr>
    </w:p>
    <w:p w:rsidR="00ED192A" w:rsidRPr="004C5F62" w:rsidRDefault="00ED192A" w:rsidP="002A3C6A">
      <w:pPr>
        <w:spacing w:line="360" w:lineRule="auto"/>
        <w:rPr>
          <w:rFonts w:ascii="Times New Roman" w:hAnsi="Times New Roman" w:cs="Times New Roman"/>
          <w:lang w:val="en-ZA"/>
        </w:rPr>
      </w:pPr>
      <w:r w:rsidRPr="004C5F62">
        <w:rPr>
          <w:rFonts w:ascii="Times New Roman" w:hAnsi="Times New Roman" w:cs="Times New Roman"/>
          <w:lang w:val="en-ZA"/>
        </w:rPr>
        <w:t xml:space="preserve">The key focus of the 2020 State of the Nation Address (SONA) was inclusive growth, which </w:t>
      </w:r>
      <w:r w:rsidR="00706507" w:rsidRPr="004C5F62">
        <w:rPr>
          <w:rFonts w:ascii="Times New Roman" w:hAnsi="Times New Roman" w:cs="Times New Roman"/>
          <w:lang w:val="en-ZA"/>
        </w:rPr>
        <w:t>relies</w:t>
      </w:r>
      <w:r w:rsidRPr="004C5F62">
        <w:rPr>
          <w:rFonts w:ascii="Times New Roman" w:hAnsi="Times New Roman" w:cs="Times New Roman"/>
          <w:lang w:val="en-ZA"/>
        </w:rPr>
        <w:t xml:space="preserve"> on implementing the critical actions needed to build a capable state, and place the economy on a path to recovery. The importance of STI in realising these objectives has been illustrated in the NDP, the 2019-2024 MTSF and the Department’s 2020-2025 Strategic Plan. Examples of specific actions outlined by President </w:t>
      </w:r>
      <w:proofErr w:type="spellStart"/>
      <w:r w:rsidRPr="004C5F62">
        <w:rPr>
          <w:rFonts w:ascii="Times New Roman" w:hAnsi="Times New Roman" w:cs="Times New Roman"/>
          <w:lang w:val="en-ZA"/>
        </w:rPr>
        <w:t>Ramaphosa</w:t>
      </w:r>
      <w:proofErr w:type="spellEnd"/>
      <w:r w:rsidRPr="004C5F62">
        <w:rPr>
          <w:rFonts w:ascii="Times New Roman" w:hAnsi="Times New Roman" w:cs="Times New Roman"/>
          <w:lang w:val="en-ZA"/>
        </w:rPr>
        <w:t xml:space="preserve"> in the 2020 SONA where STI is crucial to achieving the objectives set for these initiatives include:</w:t>
      </w:r>
    </w:p>
    <w:p w:rsidR="00ED192A" w:rsidRPr="004C5F62" w:rsidRDefault="00ED192A" w:rsidP="002A3C6A">
      <w:pPr>
        <w:spacing w:line="360" w:lineRule="auto"/>
        <w:rPr>
          <w:rFonts w:ascii="Times New Roman" w:hAnsi="Times New Roman" w:cs="Times New Roman"/>
          <w:lang w:val="en-ZA"/>
        </w:rPr>
      </w:pPr>
    </w:p>
    <w:p w:rsidR="00ED192A" w:rsidRPr="004C5F62" w:rsidRDefault="00ED192A" w:rsidP="002A3C6A">
      <w:pPr>
        <w:numPr>
          <w:ilvl w:val="0"/>
          <w:numId w:val="19"/>
        </w:numPr>
        <w:spacing w:line="360" w:lineRule="auto"/>
        <w:ind w:left="567" w:hanging="567"/>
        <w:rPr>
          <w:rFonts w:ascii="Times New Roman" w:hAnsi="Times New Roman" w:cs="Times New Roman"/>
          <w:lang w:val="en-ZA"/>
        </w:rPr>
      </w:pPr>
      <w:r w:rsidRPr="004C5F62">
        <w:rPr>
          <w:rFonts w:ascii="Times New Roman" w:hAnsi="Times New Roman" w:cs="Times New Roman"/>
          <w:lang w:val="en-ZA"/>
        </w:rPr>
        <w:t>Energy security – enabling the development of additional generation capacity from renewable energy, natural gas, hydro power, battery storage and coal.</w:t>
      </w:r>
    </w:p>
    <w:p w:rsidR="00ED192A" w:rsidRPr="004C5F62" w:rsidRDefault="00ED192A" w:rsidP="002A3C6A">
      <w:pPr>
        <w:numPr>
          <w:ilvl w:val="0"/>
          <w:numId w:val="19"/>
        </w:numPr>
        <w:spacing w:line="360" w:lineRule="auto"/>
        <w:ind w:left="567" w:hanging="567"/>
        <w:rPr>
          <w:rFonts w:ascii="Times New Roman" w:hAnsi="Times New Roman" w:cs="Times New Roman"/>
          <w:lang w:val="en-ZA"/>
        </w:rPr>
      </w:pPr>
      <w:r w:rsidRPr="004C5F62">
        <w:rPr>
          <w:rFonts w:ascii="Times New Roman" w:hAnsi="Times New Roman" w:cs="Times New Roman"/>
          <w:lang w:val="en-ZA"/>
        </w:rPr>
        <w:t>Climate change – enhancing adaptive capacity, strengthening resilience and reducing vulnerability to climate change and identifying new industrial opportunities in the green economy.</w:t>
      </w:r>
    </w:p>
    <w:p w:rsidR="00ED192A" w:rsidRPr="004C5F62" w:rsidRDefault="00ED192A" w:rsidP="002A3C6A">
      <w:pPr>
        <w:numPr>
          <w:ilvl w:val="0"/>
          <w:numId w:val="19"/>
        </w:numPr>
        <w:spacing w:line="360" w:lineRule="auto"/>
        <w:ind w:left="567" w:hanging="567"/>
        <w:rPr>
          <w:rFonts w:ascii="Times New Roman" w:hAnsi="Times New Roman" w:cs="Times New Roman"/>
          <w:lang w:val="en-ZA"/>
        </w:rPr>
      </w:pPr>
      <w:r w:rsidRPr="004C5F62">
        <w:rPr>
          <w:rFonts w:ascii="Times New Roman" w:hAnsi="Times New Roman" w:cs="Times New Roman"/>
          <w:lang w:val="en-ZA"/>
        </w:rPr>
        <w:t xml:space="preserve">Investing in skills and infrastructure – establishment of a new University of Science and Innovation in Ekurhuleni that will be focussed on high-impact and cutting-edge technological innovation for current and future industries. The development of a </w:t>
      </w:r>
      <w:r w:rsidRPr="004C5F62">
        <w:rPr>
          <w:rFonts w:ascii="Times New Roman" w:hAnsi="Times New Roman" w:cs="Times New Roman"/>
          <w:i/>
          <w:lang w:val="en-ZA"/>
        </w:rPr>
        <w:t>smart city</w:t>
      </w:r>
      <w:r w:rsidRPr="004C5F62">
        <w:rPr>
          <w:rFonts w:ascii="Times New Roman" w:hAnsi="Times New Roman" w:cs="Times New Roman"/>
          <w:lang w:val="en-ZA"/>
        </w:rPr>
        <w:t xml:space="preserve"> in </w:t>
      </w:r>
      <w:proofErr w:type="spellStart"/>
      <w:r w:rsidRPr="004C5F62">
        <w:rPr>
          <w:rFonts w:ascii="Times New Roman" w:hAnsi="Times New Roman" w:cs="Times New Roman"/>
          <w:lang w:val="en-ZA"/>
        </w:rPr>
        <w:t>Lanseria</w:t>
      </w:r>
      <w:proofErr w:type="spellEnd"/>
      <w:r w:rsidRPr="004C5F62">
        <w:rPr>
          <w:rFonts w:ascii="Times New Roman" w:hAnsi="Times New Roman" w:cs="Times New Roman"/>
          <w:lang w:val="en-ZA"/>
        </w:rPr>
        <w:t>.</w:t>
      </w:r>
    </w:p>
    <w:p w:rsidR="00ED192A" w:rsidRPr="004C5F62" w:rsidRDefault="00ED192A" w:rsidP="002A3C6A">
      <w:pPr>
        <w:numPr>
          <w:ilvl w:val="0"/>
          <w:numId w:val="19"/>
        </w:numPr>
        <w:spacing w:line="360" w:lineRule="auto"/>
        <w:ind w:left="567" w:hanging="567"/>
        <w:rPr>
          <w:rFonts w:ascii="Times New Roman" w:hAnsi="Times New Roman" w:cs="Times New Roman"/>
          <w:lang w:val="en-ZA"/>
        </w:rPr>
      </w:pPr>
      <w:r w:rsidRPr="004C5F62">
        <w:rPr>
          <w:rFonts w:ascii="Times New Roman" w:hAnsi="Times New Roman" w:cs="Times New Roman"/>
          <w:lang w:val="en-ZA"/>
        </w:rPr>
        <w:t>Digital economy – within the era of rapid technological advancement, the digital economy will increasingly drive growth and employment.</w:t>
      </w:r>
    </w:p>
    <w:p w:rsidR="00ED192A" w:rsidRPr="004C5F62" w:rsidRDefault="00ED192A" w:rsidP="002A3C6A">
      <w:pPr>
        <w:numPr>
          <w:ilvl w:val="0"/>
          <w:numId w:val="19"/>
        </w:numPr>
        <w:spacing w:line="360" w:lineRule="auto"/>
        <w:ind w:left="567" w:hanging="567"/>
        <w:rPr>
          <w:rFonts w:ascii="Times New Roman" w:hAnsi="Times New Roman" w:cs="Times New Roman"/>
          <w:lang w:val="en-ZA"/>
        </w:rPr>
      </w:pPr>
      <w:r w:rsidRPr="004C5F62">
        <w:rPr>
          <w:rFonts w:ascii="Times New Roman" w:hAnsi="Times New Roman" w:cs="Times New Roman"/>
          <w:lang w:val="en-ZA"/>
        </w:rPr>
        <w:t>Growing key industries – for example, agriculture, where R&amp;D has ensured that the sector can adapt to and mitigate the effects of environmental degradation and climate change.</w:t>
      </w:r>
    </w:p>
    <w:p w:rsidR="00ED192A" w:rsidRPr="004C5F62" w:rsidRDefault="00ED192A" w:rsidP="002A3C6A">
      <w:pPr>
        <w:numPr>
          <w:ilvl w:val="0"/>
          <w:numId w:val="19"/>
        </w:numPr>
        <w:spacing w:line="360" w:lineRule="auto"/>
        <w:ind w:left="567" w:hanging="567"/>
        <w:rPr>
          <w:rFonts w:ascii="Times New Roman" w:hAnsi="Times New Roman" w:cs="Times New Roman"/>
          <w:lang w:val="en-ZA"/>
        </w:rPr>
      </w:pPr>
      <w:r w:rsidRPr="004C5F62">
        <w:rPr>
          <w:rFonts w:ascii="Times New Roman" w:hAnsi="Times New Roman" w:cs="Times New Roman"/>
          <w:lang w:val="en-ZA"/>
        </w:rPr>
        <w:t>Harnessing Data Science – development of the Health Patient Registration System (with the CSIR) to ensure effective implementation of the National Health Insurance.</w:t>
      </w:r>
    </w:p>
    <w:p w:rsidR="00ED192A" w:rsidRPr="004C5F62" w:rsidRDefault="00ED192A" w:rsidP="002A3C6A">
      <w:pPr>
        <w:spacing w:line="360" w:lineRule="auto"/>
        <w:rPr>
          <w:rFonts w:ascii="Times New Roman" w:hAnsi="Times New Roman" w:cs="Times New Roman"/>
          <w:lang w:val="en-ZA"/>
        </w:rPr>
      </w:pPr>
    </w:p>
    <w:p w:rsidR="00ED192A" w:rsidRPr="004C5F62" w:rsidRDefault="00ED192A" w:rsidP="002A3C6A">
      <w:pPr>
        <w:spacing w:line="360" w:lineRule="auto"/>
        <w:rPr>
          <w:rFonts w:ascii="Times New Roman" w:hAnsi="Times New Roman" w:cs="Times New Roman"/>
          <w:lang w:val="en-ZA"/>
        </w:rPr>
      </w:pPr>
      <w:r w:rsidRPr="004C5F62">
        <w:rPr>
          <w:rFonts w:ascii="Times New Roman" w:hAnsi="Times New Roman" w:cs="Times New Roman"/>
          <w:lang w:val="en-ZA"/>
        </w:rPr>
        <w:t xml:space="preserve">The 2020 Budget, tabled amid a weakened economic outlook, increasing unemployment and the threat of COVID-19, is framed, among others, around a R63.3 billion downward revision of tax revenue; rising debt; and total expenditure reductions of R261 billion over three years of which R160 billion pertains to reductions in the public service wage bill. The consolidated 2020/21 government expenditure amounts to R1.95 trillion, with most of the spending focussed on learning and culture (R396.4 billion), social development (R309.5 </w:t>
      </w:r>
      <w:r w:rsidRPr="004C5F62">
        <w:rPr>
          <w:rFonts w:ascii="Times New Roman" w:hAnsi="Times New Roman" w:cs="Times New Roman"/>
          <w:lang w:val="en-ZA"/>
        </w:rPr>
        <w:lastRenderedPageBreak/>
        <w:t>billion) and health (R229.7 billion). Funding for new and urgent priorities will be provided for by reprioritising existing baselines.</w:t>
      </w:r>
    </w:p>
    <w:p w:rsidR="00ED192A" w:rsidRPr="004C5F62" w:rsidRDefault="00ED192A" w:rsidP="002A3C6A">
      <w:pPr>
        <w:spacing w:line="360" w:lineRule="auto"/>
        <w:rPr>
          <w:rFonts w:ascii="Times New Roman" w:hAnsi="Times New Roman" w:cs="Times New Roman"/>
          <w:lang w:val="en-ZA"/>
        </w:rPr>
      </w:pPr>
    </w:p>
    <w:p w:rsidR="00ED192A" w:rsidRPr="004C5F62" w:rsidRDefault="00ED192A" w:rsidP="002A3C6A">
      <w:pPr>
        <w:spacing w:line="360" w:lineRule="auto"/>
        <w:rPr>
          <w:rFonts w:ascii="Times New Roman" w:hAnsi="Times New Roman" w:cs="Times New Roman"/>
        </w:rPr>
      </w:pPr>
      <w:r w:rsidRPr="004C5F62">
        <w:rPr>
          <w:rFonts w:ascii="Times New Roman" w:hAnsi="Times New Roman" w:cs="Times New Roman"/>
          <w:lang w:val="en-ZA"/>
        </w:rPr>
        <w:t>The 2020/21 consolidated government expenditure for innovation, science and technology is R16.4 billion (R15.7 billion in 2019/20, revised estimate), which represents 1% of the total MTEF and 7.8% of the consolidated economic development expenditure of R211.5 billion. Within the 2020/21 consolidated expenditure for innovation, science and technology, R1.4 billion has been specifically set aside to support the commercialisation of technological innovation and upgrade infrastructure to strengthen the research and innovation capabilities of the CSIR and SANSA. Furthermore, within the existing pipeline of major infrastructure projects that are under development but have not yet been approved for funding, is the construction of the NRF’s South African Isotope Facility</w:t>
      </w:r>
      <w:r w:rsidRPr="004C5F62">
        <w:rPr>
          <w:rFonts w:ascii="Times New Roman" w:hAnsi="Times New Roman" w:cs="Times New Roman"/>
        </w:rPr>
        <w:t>, projected to cost R1.4 billion.</w:t>
      </w:r>
    </w:p>
    <w:p w:rsidR="00ED192A" w:rsidRPr="004C5F62" w:rsidRDefault="00ED192A" w:rsidP="002A3C6A">
      <w:pPr>
        <w:spacing w:line="360" w:lineRule="auto"/>
        <w:rPr>
          <w:rFonts w:ascii="Times New Roman" w:hAnsi="Times New Roman" w:cs="Times New Roman"/>
          <w:lang w:val="en-ZA"/>
        </w:rPr>
      </w:pPr>
    </w:p>
    <w:p w:rsidR="00ED192A" w:rsidRPr="004C5F62" w:rsidRDefault="00ED192A" w:rsidP="002A3C6A">
      <w:pPr>
        <w:spacing w:line="360" w:lineRule="auto"/>
        <w:rPr>
          <w:rFonts w:ascii="Times New Roman" w:hAnsi="Times New Roman" w:cs="Times New Roman"/>
        </w:rPr>
      </w:pPr>
      <w:r w:rsidRPr="004C5F62">
        <w:rPr>
          <w:rFonts w:ascii="Times New Roman" w:hAnsi="Times New Roman" w:cs="Times New Roman"/>
        </w:rPr>
        <w:t>The Department states in its 2020-2025 Strategic Plan that, “the current budget allocation to various Programmes is based on a historic and incremental budgeting method. However, with priorities having changed due to the policy shift (new political administration and the new White Paper), this allocation method will change.” Hence, “the Department will undertake a budget restructuring exercise within the MTEF allocated funds (and extrapolate to the two outer years) to ensure realignment with new priorities during the planning cycle. Guided by the Decadal Plan approach of sectoral planning, a sectoral-based budgeting approach will be adopted. The Department will be required to review and assess the efficiency, effectiveness and relevance of its investments. After the current planning cycle, funds will be reallocated to higher priority areas in the next MTEF. Existing initiatives or programmes that have a minimum impact and/or are no longer relevant will have to be scaled down or discontinued.”</w:t>
      </w:r>
    </w:p>
    <w:p w:rsidR="00ED192A" w:rsidRPr="004C5F62" w:rsidRDefault="00ED192A" w:rsidP="002A3C6A">
      <w:pPr>
        <w:spacing w:line="360" w:lineRule="auto"/>
        <w:rPr>
          <w:rFonts w:ascii="Times New Roman" w:hAnsi="Times New Roman" w:cs="Times New Roman"/>
        </w:rPr>
      </w:pPr>
    </w:p>
    <w:p w:rsidR="00DA6963" w:rsidRPr="004C5F62" w:rsidRDefault="00ED192A" w:rsidP="002A3C6A">
      <w:pPr>
        <w:spacing w:line="360" w:lineRule="auto"/>
        <w:rPr>
          <w:rFonts w:ascii="Times New Roman" w:hAnsi="Times New Roman" w:cs="Times New Roman"/>
        </w:rPr>
      </w:pPr>
      <w:r w:rsidRPr="004C5F62">
        <w:rPr>
          <w:rFonts w:ascii="Times New Roman" w:hAnsi="Times New Roman" w:cs="Times New Roman"/>
        </w:rPr>
        <w:t>Over the medium-term, the Department is allocated R27.9 billion, where overall expenditure is expected to increase at an average annual rate of 5.8%, from R8.1 billion in 2019/20 to approximately R9.7 billion in 2022/23. This allocation will primarily be directed toward human capital development, generating and exploiting knowledge and innovation, and building and maintaining infrastructure for research and innovation. However, over the medium-term, Cabinet has approved reductions of R460.9 million to the Department’s baseline allocation to be effected mainly on discretionary transfers and non‐core goods and services. Since the work of fostering, promoting and supporting innovation in scientific research and technology is conducted largely by the Department’s entities, universities and non‐profit organisations, Transfers and subsidies account for an estimated 9</w:t>
      </w:r>
      <w:r w:rsidR="00426BB4">
        <w:rPr>
          <w:rFonts w:ascii="Times New Roman" w:hAnsi="Times New Roman" w:cs="Times New Roman"/>
        </w:rPr>
        <w:t>3%</w:t>
      </w:r>
      <w:r w:rsidRPr="004C5F62">
        <w:rPr>
          <w:rFonts w:ascii="Times New Roman" w:hAnsi="Times New Roman" w:cs="Times New Roman"/>
        </w:rPr>
        <w:t xml:space="preserve"> (R25.9 billion) of the Department’s total budget over the MTEF period. Compensation of employees is the second‐largest spending item in the Department, </w:t>
      </w:r>
      <w:r w:rsidRPr="004C5F62">
        <w:rPr>
          <w:rFonts w:ascii="Times New Roman" w:hAnsi="Times New Roman" w:cs="Times New Roman"/>
        </w:rPr>
        <w:lastRenderedPageBreak/>
        <w:t>accounting for an estimated 4.8% (R1.3 billion) of the total expenditure over the medium</w:t>
      </w:r>
      <w:r w:rsidR="00517A9D" w:rsidRPr="004C5F62">
        <w:rPr>
          <w:rFonts w:ascii="Times New Roman" w:hAnsi="Times New Roman" w:cs="Times New Roman"/>
        </w:rPr>
        <w:t>-</w:t>
      </w:r>
      <w:r w:rsidRPr="004C5F62">
        <w:rPr>
          <w:rFonts w:ascii="Times New Roman" w:hAnsi="Times New Roman" w:cs="Times New Roman"/>
        </w:rPr>
        <w:t xml:space="preserve">term, increasing at an average annual rate of 6.4% mainly due to the expected filling of critical posts. </w:t>
      </w:r>
      <w:r w:rsidR="00CA223B" w:rsidRPr="004C5F62">
        <w:rPr>
          <w:rFonts w:ascii="Times New Roman" w:hAnsi="Times New Roman" w:cs="Times New Roman"/>
        </w:rPr>
        <w:t>As at 31 January 2020, t</w:t>
      </w:r>
      <w:r w:rsidR="00DA6963" w:rsidRPr="004C5F62">
        <w:rPr>
          <w:rFonts w:ascii="Times New Roman" w:hAnsi="Times New Roman" w:cs="Times New Roman"/>
        </w:rPr>
        <w:t>he Department ha</w:t>
      </w:r>
      <w:r w:rsidR="00CA223B" w:rsidRPr="004C5F62">
        <w:rPr>
          <w:rFonts w:ascii="Times New Roman" w:hAnsi="Times New Roman" w:cs="Times New Roman"/>
        </w:rPr>
        <w:t>d</w:t>
      </w:r>
      <w:r w:rsidR="00DA6963" w:rsidRPr="004C5F62">
        <w:rPr>
          <w:rFonts w:ascii="Times New Roman" w:hAnsi="Times New Roman" w:cs="Times New Roman"/>
        </w:rPr>
        <w:t xml:space="preserve"> an overall vacancy rate of 23%</w:t>
      </w:r>
      <w:r w:rsidR="000A42EB" w:rsidRPr="004C5F62">
        <w:rPr>
          <w:rFonts w:ascii="Times New Roman" w:hAnsi="Times New Roman" w:cs="Times New Roman"/>
        </w:rPr>
        <w:t>,</w:t>
      </w:r>
      <w:r w:rsidR="00CA223B" w:rsidRPr="004C5F62">
        <w:rPr>
          <w:rFonts w:ascii="Times New Roman" w:hAnsi="Times New Roman" w:cs="Times New Roman"/>
        </w:rPr>
        <w:t xml:space="preserve"> with </w:t>
      </w:r>
      <w:r w:rsidR="00DA6963" w:rsidRPr="004C5F62">
        <w:rPr>
          <w:rFonts w:ascii="Times New Roman" w:hAnsi="Times New Roman" w:cs="Times New Roman"/>
        </w:rPr>
        <w:t xml:space="preserve">20% </w:t>
      </w:r>
      <w:r w:rsidR="00CA223B" w:rsidRPr="004C5F62">
        <w:rPr>
          <w:rFonts w:ascii="Times New Roman" w:hAnsi="Times New Roman" w:cs="Times New Roman"/>
        </w:rPr>
        <w:t xml:space="preserve">of </w:t>
      </w:r>
      <w:r w:rsidR="00DA6963" w:rsidRPr="004C5F62">
        <w:rPr>
          <w:rFonts w:ascii="Times New Roman" w:hAnsi="Times New Roman" w:cs="Times New Roman"/>
        </w:rPr>
        <w:t>Senior Management level</w:t>
      </w:r>
      <w:r w:rsidR="00CA223B" w:rsidRPr="004C5F62">
        <w:rPr>
          <w:rFonts w:ascii="Times New Roman" w:hAnsi="Times New Roman" w:cs="Times New Roman"/>
        </w:rPr>
        <w:t xml:space="preserve"> posts being vacant</w:t>
      </w:r>
      <w:r w:rsidR="00DA6963" w:rsidRPr="004C5F62">
        <w:rPr>
          <w:rFonts w:ascii="Times New Roman" w:hAnsi="Times New Roman" w:cs="Times New Roman"/>
        </w:rPr>
        <w:t xml:space="preserve">. </w:t>
      </w:r>
    </w:p>
    <w:p w:rsidR="00DA6963" w:rsidRPr="004C5F62" w:rsidRDefault="00DA6963" w:rsidP="002A3C6A">
      <w:pPr>
        <w:spacing w:line="360" w:lineRule="auto"/>
        <w:rPr>
          <w:rFonts w:ascii="Times New Roman" w:hAnsi="Times New Roman" w:cs="Times New Roman"/>
        </w:rPr>
      </w:pPr>
    </w:p>
    <w:p w:rsidR="00ED192A" w:rsidRPr="004C5F62" w:rsidRDefault="00ED192A" w:rsidP="002A3C6A">
      <w:pPr>
        <w:spacing w:line="360" w:lineRule="auto"/>
        <w:rPr>
          <w:rFonts w:ascii="Times New Roman" w:hAnsi="Times New Roman" w:cs="Times New Roman"/>
        </w:rPr>
      </w:pPr>
      <w:r w:rsidRPr="004C5F62">
        <w:rPr>
          <w:rFonts w:ascii="Times New Roman" w:hAnsi="Times New Roman" w:cs="Times New Roman"/>
        </w:rPr>
        <w:t>Over the medium</w:t>
      </w:r>
      <w:r w:rsidR="00517A9D" w:rsidRPr="004C5F62">
        <w:rPr>
          <w:rFonts w:ascii="Times New Roman" w:hAnsi="Times New Roman" w:cs="Times New Roman"/>
        </w:rPr>
        <w:t>-</w:t>
      </w:r>
      <w:r w:rsidRPr="004C5F62">
        <w:rPr>
          <w:rFonts w:ascii="Times New Roman" w:hAnsi="Times New Roman" w:cs="Times New Roman"/>
        </w:rPr>
        <w:t>term, an additional R1.2 billion is allocated to set up the Sovereign Innovation Fund to ensure more effective technology commercialisation; R185 million is allocated to the CSIR to invest in infrastructure aimed at improving the efficiency and competitiveness of scientific research; and R100 million is allocated to SANSA to invest in its space science programme.</w:t>
      </w:r>
    </w:p>
    <w:p w:rsidR="00ED192A" w:rsidRPr="004C5F62" w:rsidRDefault="00ED192A" w:rsidP="002A3C6A">
      <w:pPr>
        <w:spacing w:line="360" w:lineRule="auto"/>
        <w:rPr>
          <w:rFonts w:ascii="Times New Roman" w:hAnsi="Times New Roman" w:cs="Times New Roman"/>
        </w:rPr>
      </w:pPr>
    </w:p>
    <w:p w:rsidR="00ED192A" w:rsidRPr="004C5F62" w:rsidRDefault="00ED192A" w:rsidP="002A3C6A">
      <w:pPr>
        <w:spacing w:line="360" w:lineRule="auto"/>
        <w:rPr>
          <w:rFonts w:ascii="Times New Roman" w:hAnsi="Times New Roman" w:cs="Times New Roman"/>
        </w:rPr>
      </w:pPr>
      <w:r w:rsidRPr="004C5F62">
        <w:rPr>
          <w:rFonts w:ascii="Times New Roman" w:hAnsi="Times New Roman" w:cs="Times New Roman"/>
        </w:rPr>
        <w:t xml:space="preserve">The Department’s 2020/21 budget allocation increases from R8.1 billion in the 2019/20 financial year to </w:t>
      </w:r>
      <w:r w:rsidRPr="004C5F62">
        <w:rPr>
          <w:rFonts w:ascii="Times New Roman" w:hAnsi="Times New Roman" w:cs="Times New Roman"/>
          <w:b/>
          <w:i/>
        </w:rPr>
        <w:t xml:space="preserve">R8.8 </w:t>
      </w:r>
      <w:r w:rsidRPr="004C5F62">
        <w:rPr>
          <w:rFonts w:ascii="Times New Roman" w:hAnsi="Times New Roman" w:cs="Times New Roman"/>
          <w:b/>
        </w:rPr>
        <w:t xml:space="preserve">billion </w:t>
      </w:r>
      <w:r w:rsidRPr="004C5F62">
        <w:rPr>
          <w:rFonts w:ascii="Times New Roman" w:hAnsi="Times New Roman" w:cs="Times New Roman"/>
        </w:rPr>
        <w:t>(Table 1). This represents, when adjusted for inflation, a real increase of 3.1%; and is the first real increase in the Department’s budget allocation since the 2015/16 financial year. In terms of economic classification, the apportionment of the Department’s 2020/21 budget allocation of R8.8 billion remains the same as in previous years and comprises Current payments of R632.5 million (7.2%), Transfers and subsidies of R8.2 billion (92.8%) and Payments for capital assets of R2.8 million (0.03%).</w:t>
      </w:r>
    </w:p>
    <w:p w:rsidR="00CA223B" w:rsidRPr="004C5F62" w:rsidRDefault="00CA223B" w:rsidP="002A3C6A">
      <w:pPr>
        <w:spacing w:line="360" w:lineRule="auto"/>
        <w:rPr>
          <w:rFonts w:ascii="Times New Roman" w:hAnsi="Times New Roman" w:cs="Times New Roman"/>
        </w:rPr>
      </w:pPr>
    </w:p>
    <w:p w:rsidR="00ED192A" w:rsidRPr="004C5F62" w:rsidRDefault="00ED192A" w:rsidP="002A3C6A">
      <w:pPr>
        <w:spacing w:line="360" w:lineRule="auto"/>
        <w:rPr>
          <w:rFonts w:ascii="Times New Roman" w:hAnsi="Times New Roman" w:cs="Times New Roman"/>
          <w:b/>
        </w:rPr>
      </w:pPr>
      <w:r w:rsidRPr="004C5F62">
        <w:rPr>
          <w:rFonts w:ascii="Times New Roman" w:hAnsi="Times New Roman" w:cs="Times New Roman"/>
          <w:b/>
        </w:rPr>
        <w:t xml:space="preserve">Table 1: Budget summary of the Department of Science and </w:t>
      </w:r>
      <w:r w:rsidR="00CA223B" w:rsidRPr="004C5F62">
        <w:rPr>
          <w:rFonts w:ascii="Times New Roman" w:hAnsi="Times New Roman" w:cs="Times New Roman"/>
          <w:b/>
        </w:rPr>
        <w:t>Innovation</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1657"/>
        <w:gridCol w:w="1497"/>
        <w:gridCol w:w="1349"/>
        <w:gridCol w:w="1336"/>
        <w:gridCol w:w="1336"/>
      </w:tblGrid>
      <w:tr w:rsidR="00ED192A" w:rsidRPr="004C5F62" w:rsidTr="00426BB4">
        <w:trPr>
          <w:trHeight w:val="2406"/>
          <w:jc w:val="right"/>
        </w:trPr>
        <w:tc>
          <w:tcPr>
            <w:tcW w:w="1687" w:type="pct"/>
            <w:vAlign w:val="center"/>
          </w:tcPr>
          <w:p w:rsidR="00ED192A" w:rsidRPr="004C5F62" w:rsidRDefault="00ED192A" w:rsidP="002A3C6A">
            <w:pPr>
              <w:spacing w:line="360" w:lineRule="auto"/>
              <w:rPr>
                <w:rFonts w:ascii="Times New Roman" w:hAnsi="Times New Roman" w:cs="Times New Roman"/>
                <w:b/>
              </w:rPr>
            </w:pPr>
            <w:r w:rsidRPr="004C5F62">
              <w:rPr>
                <w:rFonts w:ascii="Times New Roman" w:hAnsi="Times New Roman" w:cs="Times New Roman"/>
                <w:b/>
              </w:rPr>
              <w:t>Programme</w:t>
            </w:r>
          </w:p>
        </w:tc>
        <w:tc>
          <w:tcPr>
            <w:tcW w:w="720" w:type="pct"/>
            <w:tcBorders>
              <w:bottom w:val="single" w:sz="4" w:space="0" w:color="auto"/>
            </w:tcBorders>
            <w:vAlign w:val="center"/>
          </w:tcPr>
          <w:p w:rsidR="00ED192A" w:rsidRPr="004C5F62" w:rsidRDefault="00ED192A" w:rsidP="002A3C6A">
            <w:pPr>
              <w:spacing w:line="360" w:lineRule="auto"/>
              <w:rPr>
                <w:rFonts w:ascii="Times New Roman" w:hAnsi="Times New Roman" w:cs="Times New Roman"/>
                <w:b/>
              </w:rPr>
            </w:pPr>
            <w:r w:rsidRPr="004C5F62">
              <w:rPr>
                <w:rFonts w:ascii="Times New Roman" w:hAnsi="Times New Roman" w:cs="Times New Roman"/>
                <w:b/>
              </w:rPr>
              <w:t>2019/20</w:t>
            </w:r>
          </w:p>
          <w:p w:rsidR="00ED192A" w:rsidRPr="004C5F62" w:rsidRDefault="00ED192A" w:rsidP="002A3C6A">
            <w:pPr>
              <w:spacing w:line="360" w:lineRule="auto"/>
              <w:rPr>
                <w:rFonts w:ascii="Times New Roman" w:hAnsi="Times New Roman" w:cs="Times New Roman"/>
                <w:b/>
              </w:rPr>
            </w:pPr>
            <w:r w:rsidRPr="004C5F62">
              <w:rPr>
                <w:rFonts w:ascii="Times New Roman" w:hAnsi="Times New Roman" w:cs="Times New Roman"/>
                <w:b/>
              </w:rPr>
              <w:t>Adjusted appropriation</w:t>
            </w:r>
          </w:p>
          <w:p w:rsidR="00ED192A" w:rsidRPr="004C5F62" w:rsidRDefault="00ED192A" w:rsidP="002A3C6A">
            <w:pPr>
              <w:spacing w:line="360" w:lineRule="auto"/>
              <w:rPr>
                <w:rFonts w:ascii="Times New Roman" w:hAnsi="Times New Roman" w:cs="Times New Roman"/>
                <w:b/>
              </w:rPr>
            </w:pPr>
            <w:r w:rsidRPr="004C5F62">
              <w:rPr>
                <w:rFonts w:ascii="Times New Roman" w:hAnsi="Times New Roman" w:cs="Times New Roman"/>
                <w:b/>
              </w:rPr>
              <w:t>(R’ million)</w:t>
            </w:r>
          </w:p>
        </w:tc>
        <w:tc>
          <w:tcPr>
            <w:tcW w:w="783" w:type="pct"/>
            <w:tcBorders>
              <w:bottom w:val="single" w:sz="4" w:space="0" w:color="auto"/>
            </w:tcBorders>
            <w:shd w:val="clear" w:color="auto" w:fill="C6D9F1" w:themeFill="text2" w:themeFillTint="33"/>
            <w:vAlign w:val="center"/>
          </w:tcPr>
          <w:p w:rsidR="00ED192A" w:rsidRPr="004C5F62" w:rsidRDefault="00ED192A" w:rsidP="002A3C6A">
            <w:pPr>
              <w:spacing w:line="360" w:lineRule="auto"/>
              <w:rPr>
                <w:rFonts w:ascii="Times New Roman" w:hAnsi="Times New Roman" w:cs="Times New Roman"/>
                <w:b/>
              </w:rPr>
            </w:pPr>
            <w:r w:rsidRPr="004C5F62">
              <w:rPr>
                <w:rFonts w:ascii="Times New Roman" w:hAnsi="Times New Roman" w:cs="Times New Roman"/>
                <w:b/>
              </w:rPr>
              <w:t>2020/21</w:t>
            </w:r>
          </w:p>
          <w:p w:rsidR="00ED192A" w:rsidRPr="004C5F62" w:rsidRDefault="00ED192A" w:rsidP="002A3C6A">
            <w:pPr>
              <w:spacing w:line="360" w:lineRule="auto"/>
              <w:rPr>
                <w:rFonts w:ascii="Times New Roman" w:hAnsi="Times New Roman" w:cs="Times New Roman"/>
                <w:b/>
              </w:rPr>
            </w:pPr>
            <w:r w:rsidRPr="004C5F62">
              <w:rPr>
                <w:rFonts w:ascii="Times New Roman" w:hAnsi="Times New Roman" w:cs="Times New Roman"/>
                <w:b/>
              </w:rPr>
              <w:t>Expenditure estimate</w:t>
            </w:r>
          </w:p>
          <w:p w:rsidR="00ED192A" w:rsidRPr="004C5F62" w:rsidRDefault="00ED192A" w:rsidP="002A3C6A">
            <w:pPr>
              <w:spacing w:line="360" w:lineRule="auto"/>
              <w:rPr>
                <w:rFonts w:ascii="Times New Roman" w:hAnsi="Times New Roman" w:cs="Times New Roman"/>
                <w:b/>
              </w:rPr>
            </w:pPr>
            <w:r w:rsidRPr="004C5F62">
              <w:rPr>
                <w:rFonts w:ascii="Times New Roman" w:hAnsi="Times New Roman" w:cs="Times New Roman"/>
                <w:b/>
              </w:rPr>
              <w:t>(R’ million)</w:t>
            </w:r>
          </w:p>
        </w:tc>
        <w:tc>
          <w:tcPr>
            <w:tcW w:w="603" w:type="pct"/>
            <w:vAlign w:val="center"/>
          </w:tcPr>
          <w:p w:rsidR="00ED192A" w:rsidRPr="004C5F62" w:rsidRDefault="00ED192A" w:rsidP="002A3C6A">
            <w:pPr>
              <w:spacing w:line="360" w:lineRule="auto"/>
              <w:rPr>
                <w:rFonts w:ascii="Times New Roman" w:hAnsi="Times New Roman" w:cs="Times New Roman"/>
                <w:b/>
              </w:rPr>
            </w:pPr>
            <w:r w:rsidRPr="004C5F62">
              <w:rPr>
                <w:rFonts w:ascii="Times New Roman" w:hAnsi="Times New Roman" w:cs="Times New Roman"/>
                <w:b/>
              </w:rPr>
              <w:t>Percentage of total budget</w:t>
            </w:r>
          </w:p>
        </w:tc>
        <w:tc>
          <w:tcPr>
            <w:tcW w:w="604" w:type="pct"/>
            <w:vAlign w:val="center"/>
          </w:tcPr>
          <w:p w:rsidR="00ED192A" w:rsidRPr="004C5F62" w:rsidRDefault="00ED192A" w:rsidP="002A3C6A">
            <w:pPr>
              <w:spacing w:line="360" w:lineRule="auto"/>
              <w:rPr>
                <w:rFonts w:ascii="Times New Roman" w:hAnsi="Times New Roman" w:cs="Times New Roman"/>
                <w:b/>
              </w:rPr>
            </w:pPr>
            <w:r w:rsidRPr="004C5F62">
              <w:rPr>
                <w:rFonts w:ascii="Times New Roman" w:hAnsi="Times New Roman" w:cs="Times New Roman"/>
                <w:b/>
              </w:rPr>
              <w:t>Nominal percentage change in 2020/21</w:t>
            </w:r>
          </w:p>
        </w:tc>
        <w:tc>
          <w:tcPr>
            <w:tcW w:w="604" w:type="pct"/>
            <w:vAlign w:val="center"/>
          </w:tcPr>
          <w:p w:rsidR="00ED192A" w:rsidRPr="004C5F62" w:rsidRDefault="00ED192A" w:rsidP="002A3C6A">
            <w:pPr>
              <w:spacing w:line="360" w:lineRule="auto"/>
              <w:rPr>
                <w:rFonts w:ascii="Times New Roman" w:hAnsi="Times New Roman" w:cs="Times New Roman"/>
                <w:b/>
              </w:rPr>
            </w:pPr>
            <w:r w:rsidRPr="004C5F62">
              <w:rPr>
                <w:rFonts w:ascii="Times New Roman" w:hAnsi="Times New Roman" w:cs="Times New Roman"/>
                <w:b/>
              </w:rPr>
              <w:t>Real percentage change in 2020/21 (inflation-adjusted)</w:t>
            </w:r>
          </w:p>
        </w:tc>
      </w:tr>
      <w:tr w:rsidR="00ED192A" w:rsidRPr="004C5F62" w:rsidTr="007275E1">
        <w:trPr>
          <w:jc w:val="right"/>
        </w:trPr>
        <w:tc>
          <w:tcPr>
            <w:tcW w:w="1687" w:type="pct"/>
            <w:tcBorders>
              <w:right w:val="single" w:sz="4" w:space="0" w:color="auto"/>
            </w:tcBorders>
          </w:tcPr>
          <w:p w:rsidR="00ED192A" w:rsidRPr="004C5F62" w:rsidRDefault="00ED192A" w:rsidP="002A3C6A">
            <w:pPr>
              <w:spacing w:line="360" w:lineRule="auto"/>
              <w:rPr>
                <w:rFonts w:ascii="Times New Roman" w:hAnsi="Times New Roman" w:cs="Times New Roman"/>
              </w:rPr>
            </w:pPr>
            <w:r w:rsidRPr="004C5F62">
              <w:rPr>
                <w:rFonts w:ascii="Times New Roman" w:hAnsi="Times New Roman" w:cs="Times New Roman"/>
              </w:rPr>
              <w:t>1. Administration</w:t>
            </w:r>
          </w:p>
        </w:tc>
        <w:tc>
          <w:tcPr>
            <w:tcW w:w="720" w:type="pct"/>
            <w:tcBorders>
              <w:top w:val="single" w:sz="4" w:space="0" w:color="auto"/>
              <w:left w:val="single" w:sz="4" w:space="0" w:color="auto"/>
              <w:bottom w:val="single" w:sz="4" w:space="0" w:color="auto"/>
              <w:right w:val="single" w:sz="4" w:space="0" w:color="auto"/>
            </w:tcBorders>
            <w:shd w:val="clear" w:color="auto" w:fill="auto"/>
            <w:vAlign w:val="bottom"/>
          </w:tcPr>
          <w:p w:rsidR="00ED192A" w:rsidRPr="004C5F62" w:rsidRDefault="00ED192A" w:rsidP="002A3C6A">
            <w:pPr>
              <w:spacing w:line="360" w:lineRule="auto"/>
              <w:jc w:val="right"/>
              <w:rPr>
                <w:rFonts w:ascii="Times New Roman" w:hAnsi="Times New Roman" w:cs="Times New Roman"/>
                <w:lang w:val="en-ZA"/>
              </w:rPr>
            </w:pPr>
            <w:r w:rsidRPr="004C5F62">
              <w:rPr>
                <w:rFonts w:ascii="Times New Roman" w:hAnsi="Times New Roman" w:cs="Times New Roman"/>
              </w:rPr>
              <w:t>391.3</w:t>
            </w:r>
          </w:p>
        </w:tc>
        <w:tc>
          <w:tcPr>
            <w:tcW w:w="78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D192A" w:rsidRPr="004C5F62" w:rsidRDefault="00ED192A" w:rsidP="002A3C6A">
            <w:pPr>
              <w:spacing w:line="360" w:lineRule="auto"/>
              <w:jc w:val="right"/>
              <w:rPr>
                <w:rFonts w:ascii="Times New Roman" w:hAnsi="Times New Roman" w:cs="Times New Roman"/>
                <w:lang w:val="en-ZA"/>
              </w:rPr>
            </w:pPr>
            <w:r w:rsidRPr="004C5F62">
              <w:rPr>
                <w:rFonts w:ascii="Times New Roman" w:hAnsi="Times New Roman" w:cs="Times New Roman"/>
              </w:rPr>
              <w:t>360.3</w:t>
            </w:r>
          </w:p>
        </w:tc>
        <w:tc>
          <w:tcPr>
            <w:tcW w:w="603" w:type="pct"/>
            <w:tcBorders>
              <w:left w:val="single" w:sz="4" w:space="0" w:color="auto"/>
            </w:tcBorders>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4.1</w:t>
            </w:r>
          </w:p>
        </w:tc>
        <w:tc>
          <w:tcPr>
            <w:tcW w:w="604" w:type="pct"/>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-7.93</w:t>
            </w:r>
          </w:p>
        </w:tc>
        <w:tc>
          <w:tcPr>
            <w:tcW w:w="604" w:type="pct"/>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-11.81</w:t>
            </w:r>
          </w:p>
        </w:tc>
      </w:tr>
      <w:tr w:rsidR="00ED192A" w:rsidRPr="004C5F62" w:rsidTr="007275E1">
        <w:trPr>
          <w:jc w:val="right"/>
        </w:trPr>
        <w:tc>
          <w:tcPr>
            <w:tcW w:w="1687" w:type="pct"/>
            <w:tcBorders>
              <w:right w:val="single" w:sz="4" w:space="0" w:color="auto"/>
            </w:tcBorders>
          </w:tcPr>
          <w:p w:rsidR="00ED192A" w:rsidRPr="004C5F62" w:rsidRDefault="00ED192A" w:rsidP="002A3C6A">
            <w:pPr>
              <w:spacing w:line="360" w:lineRule="auto"/>
              <w:rPr>
                <w:rFonts w:ascii="Times New Roman" w:hAnsi="Times New Roman" w:cs="Times New Roman"/>
              </w:rPr>
            </w:pPr>
            <w:r w:rsidRPr="004C5F62">
              <w:rPr>
                <w:rFonts w:ascii="Times New Roman" w:hAnsi="Times New Roman" w:cs="Times New Roman"/>
              </w:rPr>
              <w:t>2. Technology Innovation</w:t>
            </w:r>
          </w:p>
        </w:tc>
        <w:tc>
          <w:tcPr>
            <w:tcW w:w="720" w:type="pct"/>
            <w:tcBorders>
              <w:top w:val="single" w:sz="4" w:space="0" w:color="auto"/>
              <w:left w:val="single" w:sz="4" w:space="0" w:color="auto"/>
              <w:bottom w:val="single" w:sz="4" w:space="0" w:color="auto"/>
              <w:right w:val="single" w:sz="4" w:space="0" w:color="auto"/>
            </w:tcBorders>
            <w:shd w:val="clear" w:color="auto" w:fill="auto"/>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1 224.3</w:t>
            </w:r>
          </w:p>
        </w:tc>
        <w:tc>
          <w:tcPr>
            <w:tcW w:w="78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1 504.5</w:t>
            </w:r>
          </w:p>
        </w:tc>
        <w:tc>
          <w:tcPr>
            <w:tcW w:w="603" w:type="pct"/>
            <w:tcBorders>
              <w:left w:val="single" w:sz="4" w:space="0" w:color="auto"/>
            </w:tcBorders>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17.1</w:t>
            </w:r>
          </w:p>
        </w:tc>
        <w:tc>
          <w:tcPr>
            <w:tcW w:w="604" w:type="pct"/>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22.88</w:t>
            </w:r>
          </w:p>
        </w:tc>
        <w:tc>
          <w:tcPr>
            <w:tcW w:w="604" w:type="pct"/>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17.71</w:t>
            </w:r>
          </w:p>
        </w:tc>
      </w:tr>
      <w:tr w:rsidR="00ED192A" w:rsidRPr="004C5F62" w:rsidTr="007275E1">
        <w:trPr>
          <w:jc w:val="right"/>
        </w:trPr>
        <w:tc>
          <w:tcPr>
            <w:tcW w:w="1687" w:type="pct"/>
            <w:tcBorders>
              <w:right w:val="single" w:sz="4" w:space="0" w:color="auto"/>
            </w:tcBorders>
          </w:tcPr>
          <w:p w:rsidR="00ED192A" w:rsidRPr="004C5F62" w:rsidRDefault="00ED192A" w:rsidP="002A3C6A">
            <w:pPr>
              <w:spacing w:line="360" w:lineRule="auto"/>
              <w:rPr>
                <w:rFonts w:ascii="Times New Roman" w:hAnsi="Times New Roman" w:cs="Times New Roman"/>
              </w:rPr>
            </w:pPr>
            <w:r w:rsidRPr="004C5F62">
              <w:rPr>
                <w:rFonts w:ascii="Times New Roman" w:hAnsi="Times New Roman" w:cs="Times New Roman"/>
              </w:rPr>
              <w:t>3. International Cooperation and Resources</w:t>
            </w:r>
          </w:p>
        </w:tc>
        <w:tc>
          <w:tcPr>
            <w:tcW w:w="720" w:type="pct"/>
            <w:tcBorders>
              <w:top w:val="single" w:sz="4" w:space="0" w:color="auto"/>
              <w:left w:val="single" w:sz="4" w:space="0" w:color="auto"/>
              <w:bottom w:val="single" w:sz="4" w:space="0" w:color="auto"/>
              <w:right w:val="single" w:sz="4" w:space="0" w:color="auto"/>
            </w:tcBorders>
            <w:shd w:val="clear" w:color="auto" w:fill="auto"/>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149.0</w:t>
            </w:r>
          </w:p>
        </w:tc>
        <w:tc>
          <w:tcPr>
            <w:tcW w:w="78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156.4</w:t>
            </w:r>
          </w:p>
        </w:tc>
        <w:tc>
          <w:tcPr>
            <w:tcW w:w="603" w:type="pct"/>
            <w:tcBorders>
              <w:left w:val="single" w:sz="4" w:space="0" w:color="auto"/>
            </w:tcBorders>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1.8</w:t>
            </w:r>
          </w:p>
        </w:tc>
        <w:tc>
          <w:tcPr>
            <w:tcW w:w="604" w:type="pct"/>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4.99</w:t>
            </w:r>
          </w:p>
        </w:tc>
        <w:tc>
          <w:tcPr>
            <w:tcW w:w="604" w:type="pct"/>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0.56</w:t>
            </w:r>
          </w:p>
        </w:tc>
      </w:tr>
      <w:tr w:rsidR="00ED192A" w:rsidRPr="004C5F62" w:rsidTr="007275E1">
        <w:trPr>
          <w:jc w:val="right"/>
        </w:trPr>
        <w:tc>
          <w:tcPr>
            <w:tcW w:w="1687" w:type="pct"/>
            <w:tcBorders>
              <w:right w:val="single" w:sz="4" w:space="0" w:color="auto"/>
            </w:tcBorders>
          </w:tcPr>
          <w:p w:rsidR="00ED192A" w:rsidRPr="004C5F62" w:rsidRDefault="00ED192A" w:rsidP="002A3C6A">
            <w:pPr>
              <w:spacing w:line="360" w:lineRule="auto"/>
              <w:rPr>
                <w:rFonts w:ascii="Times New Roman" w:hAnsi="Times New Roman" w:cs="Times New Roman"/>
              </w:rPr>
            </w:pPr>
            <w:r w:rsidRPr="004C5F62">
              <w:rPr>
                <w:rFonts w:ascii="Times New Roman" w:hAnsi="Times New Roman" w:cs="Times New Roman"/>
              </w:rPr>
              <w:t>4. Research, Development and Support</w:t>
            </w:r>
          </w:p>
        </w:tc>
        <w:tc>
          <w:tcPr>
            <w:tcW w:w="720" w:type="pct"/>
            <w:tcBorders>
              <w:top w:val="single" w:sz="4" w:space="0" w:color="auto"/>
              <w:left w:val="single" w:sz="4" w:space="0" w:color="auto"/>
              <w:bottom w:val="single" w:sz="4" w:space="0" w:color="auto"/>
              <w:right w:val="single" w:sz="4" w:space="0" w:color="auto"/>
            </w:tcBorders>
            <w:shd w:val="clear" w:color="auto" w:fill="auto"/>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4 572.9</w:t>
            </w:r>
          </w:p>
        </w:tc>
        <w:tc>
          <w:tcPr>
            <w:tcW w:w="78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4 882.5</w:t>
            </w:r>
          </w:p>
        </w:tc>
        <w:tc>
          <w:tcPr>
            <w:tcW w:w="603" w:type="pct"/>
            <w:tcBorders>
              <w:left w:val="single" w:sz="4" w:space="0" w:color="auto"/>
            </w:tcBorders>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55.5</w:t>
            </w:r>
          </w:p>
        </w:tc>
        <w:tc>
          <w:tcPr>
            <w:tcW w:w="604" w:type="pct"/>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6.77</w:t>
            </w:r>
          </w:p>
        </w:tc>
        <w:tc>
          <w:tcPr>
            <w:tcW w:w="604" w:type="pct"/>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2.27</w:t>
            </w:r>
          </w:p>
        </w:tc>
      </w:tr>
      <w:tr w:rsidR="00ED192A" w:rsidRPr="004C5F62" w:rsidTr="007275E1">
        <w:trPr>
          <w:jc w:val="right"/>
        </w:trPr>
        <w:tc>
          <w:tcPr>
            <w:tcW w:w="1687" w:type="pct"/>
            <w:tcBorders>
              <w:right w:val="single" w:sz="4" w:space="0" w:color="auto"/>
            </w:tcBorders>
          </w:tcPr>
          <w:p w:rsidR="00ED192A" w:rsidRPr="004C5F62" w:rsidRDefault="00ED192A" w:rsidP="002A3C6A">
            <w:pPr>
              <w:spacing w:line="360" w:lineRule="auto"/>
              <w:rPr>
                <w:rFonts w:ascii="Times New Roman" w:hAnsi="Times New Roman" w:cs="Times New Roman"/>
              </w:rPr>
            </w:pPr>
            <w:r w:rsidRPr="004C5F62">
              <w:rPr>
                <w:rFonts w:ascii="Times New Roman" w:hAnsi="Times New Roman" w:cs="Times New Roman"/>
              </w:rPr>
              <w:t>5. Socio-Economic Innovation Partnerships</w:t>
            </w:r>
          </w:p>
        </w:tc>
        <w:tc>
          <w:tcPr>
            <w:tcW w:w="720" w:type="pct"/>
            <w:tcBorders>
              <w:top w:val="single" w:sz="4" w:space="0" w:color="auto"/>
              <w:left w:val="single" w:sz="4" w:space="0" w:color="auto"/>
              <w:bottom w:val="single" w:sz="4" w:space="0" w:color="auto"/>
              <w:right w:val="single" w:sz="4" w:space="0" w:color="auto"/>
            </w:tcBorders>
            <w:shd w:val="clear" w:color="auto" w:fill="auto"/>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1 834.7</w:t>
            </w:r>
          </w:p>
        </w:tc>
        <w:tc>
          <w:tcPr>
            <w:tcW w:w="78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1 893.7</w:t>
            </w:r>
          </w:p>
        </w:tc>
        <w:tc>
          <w:tcPr>
            <w:tcW w:w="603" w:type="pct"/>
            <w:tcBorders>
              <w:left w:val="single" w:sz="4" w:space="0" w:color="auto"/>
            </w:tcBorders>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21.5</w:t>
            </w:r>
          </w:p>
        </w:tc>
        <w:tc>
          <w:tcPr>
            <w:tcW w:w="604" w:type="pct"/>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3.21</w:t>
            </w:r>
          </w:p>
        </w:tc>
        <w:tc>
          <w:tcPr>
            <w:tcW w:w="604" w:type="pct"/>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-1.14</w:t>
            </w:r>
          </w:p>
        </w:tc>
      </w:tr>
      <w:tr w:rsidR="00ED192A" w:rsidRPr="004C5F62" w:rsidTr="007275E1">
        <w:trPr>
          <w:jc w:val="right"/>
        </w:trPr>
        <w:tc>
          <w:tcPr>
            <w:tcW w:w="1687" w:type="pct"/>
          </w:tcPr>
          <w:p w:rsidR="00ED192A" w:rsidRPr="004C5F62" w:rsidRDefault="00ED192A" w:rsidP="002A3C6A">
            <w:pPr>
              <w:spacing w:line="360" w:lineRule="auto"/>
              <w:rPr>
                <w:rFonts w:ascii="Times New Roman" w:hAnsi="Times New Roman" w:cs="Times New Roman"/>
                <w:b/>
              </w:rPr>
            </w:pPr>
            <w:r w:rsidRPr="004C5F62">
              <w:rPr>
                <w:rFonts w:ascii="Times New Roman" w:hAnsi="Times New Roman" w:cs="Times New Roman"/>
                <w:b/>
              </w:rPr>
              <w:lastRenderedPageBreak/>
              <w:t>Total</w:t>
            </w:r>
          </w:p>
        </w:tc>
        <w:tc>
          <w:tcPr>
            <w:tcW w:w="720" w:type="pct"/>
            <w:tcBorders>
              <w:top w:val="single" w:sz="4" w:space="0" w:color="auto"/>
              <w:bottom w:val="single" w:sz="4" w:space="0" w:color="auto"/>
            </w:tcBorders>
            <w:vAlign w:val="bottom"/>
          </w:tcPr>
          <w:p w:rsidR="00ED192A" w:rsidRPr="004C5F62" w:rsidRDefault="00ED192A" w:rsidP="002A3C6A">
            <w:pPr>
              <w:spacing w:line="360" w:lineRule="auto"/>
              <w:jc w:val="right"/>
              <w:rPr>
                <w:rFonts w:ascii="Times New Roman" w:hAnsi="Times New Roman" w:cs="Times New Roman"/>
                <w:b/>
              </w:rPr>
            </w:pPr>
            <w:r w:rsidRPr="004C5F62">
              <w:rPr>
                <w:rFonts w:ascii="Times New Roman" w:hAnsi="Times New Roman" w:cs="Times New Roman"/>
                <w:b/>
              </w:rPr>
              <w:t>8 172.3</w:t>
            </w:r>
          </w:p>
        </w:tc>
        <w:tc>
          <w:tcPr>
            <w:tcW w:w="783" w:type="pct"/>
            <w:tcBorders>
              <w:top w:val="single" w:sz="4" w:space="0" w:color="auto"/>
              <w:bottom w:val="single" w:sz="4" w:space="0" w:color="auto"/>
            </w:tcBorders>
            <w:shd w:val="clear" w:color="auto" w:fill="C6D9F1" w:themeFill="text2" w:themeFillTint="33"/>
            <w:vAlign w:val="bottom"/>
          </w:tcPr>
          <w:p w:rsidR="00ED192A" w:rsidRPr="004C5F62" w:rsidRDefault="00ED192A" w:rsidP="002A3C6A">
            <w:pPr>
              <w:spacing w:line="360" w:lineRule="auto"/>
              <w:jc w:val="right"/>
              <w:rPr>
                <w:rFonts w:ascii="Times New Roman" w:hAnsi="Times New Roman" w:cs="Times New Roman"/>
                <w:b/>
              </w:rPr>
            </w:pPr>
            <w:r w:rsidRPr="004C5F62">
              <w:rPr>
                <w:rFonts w:ascii="Times New Roman" w:hAnsi="Times New Roman" w:cs="Times New Roman"/>
                <w:b/>
              </w:rPr>
              <w:t>8 797.4</w:t>
            </w:r>
          </w:p>
        </w:tc>
        <w:tc>
          <w:tcPr>
            <w:tcW w:w="603" w:type="pct"/>
            <w:vAlign w:val="bottom"/>
          </w:tcPr>
          <w:p w:rsidR="00ED192A" w:rsidRPr="004C5F62" w:rsidRDefault="00ED192A" w:rsidP="002A3C6A">
            <w:pPr>
              <w:spacing w:line="360" w:lineRule="auto"/>
              <w:jc w:val="right"/>
              <w:rPr>
                <w:rFonts w:ascii="Times New Roman" w:hAnsi="Times New Roman" w:cs="Times New Roman"/>
                <w:b/>
              </w:rPr>
            </w:pPr>
            <w:r w:rsidRPr="004C5F62">
              <w:rPr>
                <w:rFonts w:ascii="Times New Roman" w:hAnsi="Times New Roman" w:cs="Times New Roman"/>
                <w:b/>
              </w:rPr>
              <w:t>100</w:t>
            </w:r>
          </w:p>
        </w:tc>
        <w:tc>
          <w:tcPr>
            <w:tcW w:w="604" w:type="pct"/>
            <w:vAlign w:val="bottom"/>
          </w:tcPr>
          <w:p w:rsidR="00ED192A" w:rsidRPr="004C5F62" w:rsidRDefault="00ED192A" w:rsidP="002A3C6A">
            <w:pPr>
              <w:spacing w:line="360" w:lineRule="auto"/>
              <w:jc w:val="right"/>
              <w:rPr>
                <w:rFonts w:ascii="Times New Roman" w:hAnsi="Times New Roman" w:cs="Times New Roman"/>
                <w:b/>
              </w:rPr>
            </w:pPr>
            <w:r w:rsidRPr="004C5F62">
              <w:rPr>
                <w:rFonts w:ascii="Times New Roman" w:hAnsi="Times New Roman" w:cs="Times New Roman"/>
                <w:b/>
              </w:rPr>
              <w:t>7.65</w:t>
            </w:r>
          </w:p>
        </w:tc>
        <w:tc>
          <w:tcPr>
            <w:tcW w:w="604" w:type="pct"/>
            <w:vAlign w:val="bottom"/>
          </w:tcPr>
          <w:p w:rsidR="00ED192A" w:rsidRPr="004C5F62" w:rsidRDefault="00ED192A" w:rsidP="002A3C6A">
            <w:pPr>
              <w:spacing w:line="360" w:lineRule="auto"/>
              <w:jc w:val="right"/>
              <w:rPr>
                <w:rFonts w:ascii="Times New Roman" w:hAnsi="Times New Roman" w:cs="Times New Roman"/>
                <w:b/>
              </w:rPr>
            </w:pPr>
            <w:r w:rsidRPr="004C5F62">
              <w:rPr>
                <w:rFonts w:ascii="Times New Roman" w:hAnsi="Times New Roman" w:cs="Times New Roman"/>
                <w:b/>
              </w:rPr>
              <w:t>3.11</w:t>
            </w:r>
          </w:p>
        </w:tc>
      </w:tr>
      <w:tr w:rsidR="00ED192A" w:rsidRPr="004C5F62" w:rsidTr="007275E1">
        <w:trPr>
          <w:jc w:val="right"/>
        </w:trPr>
        <w:tc>
          <w:tcPr>
            <w:tcW w:w="1687" w:type="pct"/>
          </w:tcPr>
          <w:p w:rsidR="00ED192A" w:rsidRPr="004C5F62" w:rsidRDefault="00ED192A" w:rsidP="002A3C6A">
            <w:pPr>
              <w:spacing w:line="360" w:lineRule="auto"/>
              <w:rPr>
                <w:rFonts w:ascii="Times New Roman" w:hAnsi="Times New Roman" w:cs="Times New Roman"/>
                <w:b/>
              </w:rPr>
            </w:pPr>
            <w:r w:rsidRPr="004C5F62">
              <w:rPr>
                <w:rFonts w:ascii="Times New Roman" w:hAnsi="Times New Roman" w:cs="Times New Roman"/>
                <w:b/>
              </w:rPr>
              <w:t>Economic Classification</w:t>
            </w:r>
          </w:p>
        </w:tc>
        <w:tc>
          <w:tcPr>
            <w:tcW w:w="3313" w:type="pct"/>
            <w:gridSpan w:val="5"/>
            <w:tcBorders>
              <w:top w:val="single" w:sz="4" w:space="0" w:color="auto"/>
            </w:tcBorders>
            <w:vAlign w:val="bottom"/>
          </w:tcPr>
          <w:p w:rsidR="00ED192A" w:rsidRPr="004C5F62" w:rsidRDefault="00ED192A" w:rsidP="002A3C6A">
            <w:pPr>
              <w:spacing w:line="360" w:lineRule="auto"/>
              <w:jc w:val="right"/>
              <w:rPr>
                <w:rFonts w:ascii="Times New Roman" w:hAnsi="Times New Roman" w:cs="Times New Roman"/>
                <w:b/>
              </w:rPr>
            </w:pPr>
          </w:p>
        </w:tc>
      </w:tr>
      <w:tr w:rsidR="00ED192A" w:rsidRPr="004C5F62" w:rsidTr="007275E1">
        <w:trPr>
          <w:jc w:val="right"/>
        </w:trPr>
        <w:tc>
          <w:tcPr>
            <w:tcW w:w="1687" w:type="pct"/>
          </w:tcPr>
          <w:p w:rsidR="00ED192A" w:rsidRPr="004C5F62" w:rsidRDefault="00ED192A" w:rsidP="002A3C6A">
            <w:pPr>
              <w:spacing w:line="360" w:lineRule="auto"/>
              <w:rPr>
                <w:rFonts w:ascii="Times New Roman" w:hAnsi="Times New Roman" w:cs="Times New Roman"/>
              </w:rPr>
            </w:pPr>
            <w:r w:rsidRPr="004C5F62">
              <w:rPr>
                <w:rFonts w:ascii="Times New Roman" w:hAnsi="Times New Roman" w:cs="Times New Roman"/>
              </w:rPr>
              <w:t>Current payments</w:t>
            </w:r>
          </w:p>
        </w:tc>
        <w:tc>
          <w:tcPr>
            <w:tcW w:w="720" w:type="pct"/>
            <w:tcBorders>
              <w:top w:val="single" w:sz="4" w:space="0" w:color="auto"/>
            </w:tcBorders>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645.7</w:t>
            </w:r>
          </w:p>
        </w:tc>
        <w:tc>
          <w:tcPr>
            <w:tcW w:w="783" w:type="pct"/>
            <w:tcBorders>
              <w:top w:val="single" w:sz="4" w:space="0" w:color="auto"/>
            </w:tcBorders>
            <w:shd w:val="clear" w:color="auto" w:fill="C6D9F1" w:themeFill="text2" w:themeFillTint="33"/>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632.5</w:t>
            </w:r>
          </w:p>
        </w:tc>
        <w:tc>
          <w:tcPr>
            <w:tcW w:w="603" w:type="pct"/>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7.19</w:t>
            </w:r>
          </w:p>
        </w:tc>
        <w:tc>
          <w:tcPr>
            <w:tcW w:w="604" w:type="pct"/>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-2.04</w:t>
            </w:r>
          </w:p>
        </w:tc>
        <w:tc>
          <w:tcPr>
            <w:tcW w:w="604" w:type="pct"/>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-6.17</w:t>
            </w:r>
          </w:p>
        </w:tc>
      </w:tr>
      <w:tr w:rsidR="00ED192A" w:rsidRPr="004C5F62" w:rsidTr="007275E1">
        <w:trPr>
          <w:jc w:val="right"/>
        </w:trPr>
        <w:tc>
          <w:tcPr>
            <w:tcW w:w="1687" w:type="pct"/>
          </w:tcPr>
          <w:p w:rsidR="00ED192A" w:rsidRPr="004C5F62" w:rsidRDefault="00ED192A" w:rsidP="002A3C6A">
            <w:pPr>
              <w:spacing w:line="360" w:lineRule="auto"/>
              <w:rPr>
                <w:rFonts w:ascii="Times New Roman" w:hAnsi="Times New Roman" w:cs="Times New Roman"/>
              </w:rPr>
            </w:pPr>
            <w:r w:rsidRPr="004C5F62">
              <w:rPr>
                <w:rFonts w:ascii="Times New Roman" w:hAnsi="Times New Roman" w:cs="Times New Roman"/>
              </w:rPr>
              <w:t>Transfers and subsidies</w:t>
            </w:r>
          </w:p>
        </w:tc>
        <w:tc>
          <w:tcPr>
            <w:tcW w:w="720" w:type="pct"/>
            <w:tcBorders>
              <w:top w:val="single" w:sz="4" w:space="0" w:color="auto"/>
            </w:tcBorders>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7 523.9</w:t>
            </w:r>
          </w:p>
        </w:tc>
        <w:tc>
          <w:tcPr>
            <w:tcW w:w="783" w:type="pct"/>
            <w:tcBorders>
              <w:top w:val="single" w:sz="4" w:space="0" w:color="auto"/>
            </w:tcBorders>
            <w:shd w:val="clear" w:color="auto" w:fill="C6D9F1" w:themeFill="text2" w:themeFillTint="33"/>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8 162.2</w:t>
            </w:r>
          </w:p>
        </w:tc>
        <w:tc>
          <w:tcPr>
            <w:tcW w:w="603" w:type="pct"/>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92.78</w:t>
            </w:r>
          </w:p>
        </w:tc>
        <w:tc>
          <w:tcPr>
            <w:tcW w:w="604" w:type="pct"/>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8.48</w:t>
            </w:r>
          </w:p>
        </w:tc>
        <w:tc>
          <w:tcPr>
            <w:tcW w:w="604" w:type="pct"/>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3.91</w:t>
            </w:r>
          </w:p>
        </w:tc>
      </w:tr>
      <w:tr w:rsidR="00ED192A" w:rsidRPr="004C5F62" w:rsidTr="007275E1">
        <w:trPr>
          <w:jc w:val="right"/>
        </w:trPr>
        <w:tc>
          <w:tcPr>
            <w:tcW w:w="1687" w:type="pct"/>
          </w:tcPr>
          <w:p w:rsidR="00ED192A" w:rsidRPr="004C5F62" w:rsidRDefault="00ED192A" w:rsidP="002A3C6A">
            <w:pPr>
              <w:spacing w:line="360" w:lineRule="auto"/>
              <w:rPr>
                <w:rFonts w:ascii="Times New Roman" w:hAnsi="Times New Roman" w:cs="Times New Roman"/>
              </w:rPr>
            </w:pPr>
            <w:r w:rsidRPr="004C5F62">
              <w:rPr>
                <w:rFonts w:ascii="Times New Roman" w:hAnsi="Times New Roman" w:cs="Times New Roman"/>
              </w:rPr>
              <w:t>Payments for capital assets</w:t>
            </w:r>
          </w:p>
        </w:tc>
        <w:tc>
          <w:tcPr>
            <w:tcW w:w="720" w:type="pct"/>
            <w:tcBorders>
              <w:top w:val="single" w:sz="4" w:space="0" w:color="auto"/>
              <w:bottom w:val="single" w:sz="4" w:space="0" w:color="auto"/>
            </w:tcBorders>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2.8</w:t>
            </w:r>
          </w:p>
        </w:tc>
        <w:tc>
          <w:tcPr>
            <w:tcW w:w="783" w:type="pct"/>
            <w:tcBorders>
              <w:top w:val="single" w:sz="4" w:space="0" w:color="auto"/>
              <w:bottom w:val="single" w:sz="4" w:space="0" w:color="auto"/>
            </w:tcBorders>
            <w:shd w:val="clear" w:color="auto" w:fill="C6D9F1" w:themeFill="text2" w:themeFillTint="33"/>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2.8</w:t>
            </w:r>
          </w:p>
        </w:tc>
        <w:tc>
          <w:tcPr>
            <w:tcW w:w="603" w:type="pct"/>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0.03</w:t>
            </w:r>
          </w:p>
        </w:tc>
        <w:tc>
          <w:tcPr>
            <w:tcW w:w="604" w:type="pct"/>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0</w:t>
            </w:r>
          </w:p>
        </w:tc>
        <w:tc>
          <w:tcPr>
            <w:tcW w:w="604" w:type="pct"/>
            <w:vAlign w:val="bottom"/>
          </w:tcPr>
          <w:p w:rsidR="00ED192A" w:rsidRPr="004C5F62" w:rsidRDefault="00ED192A" w:rsidP="002A3C6A">
            <w:pPr>
              <w:spacing w:line="360" w:lineRule="auto"/>
              <w:jc w:val="right"/>
              <w:rPr>
                <w:rFonts w:ascii="Times New Roman" w:hAnsi="Times New Roman" w:cs="Times New Roman"/>
              </w:rPr>
            </w:pPr>
            <w:r w:rsidRPr="004C5F62">
              <w:rPr>
                <w:rFonts w:ascii="Times New Roman" w:hAnsi="Times New Roman" w:cs="Times New Roman"/>
              </w:rPr>
              <w:t>-4.21</w:t>
            </w:r>
          </w:p>
        </w:tc>
      </w:tr>
      <w:tr w:rsidR="00ED192A" w:rsidRPr="004C5F62" w:rsidTr="007275E1">
        <w:trPr>
          <w:jc w:val="right"/>
        </w:trPr>
        <w:tc>
          <w:tcPr>
            <w:tcW w:w="1687" w:type="pct"/>
          </w:tcPr>
          <w:p w:rsidR="00ED192A" w:rsidRPr="004C5F62" w:rsidRDefault="00ED192A" w:rsidP="002A3C6A">
            <w:pPr>
              <w:spacing w:line="360" w:lineRule="auto"/>
              <w:rPr>
                <w:rFonts w:ascii="Times New Roman" w:hAnsi="Times New Roman" w:cs="Times New Roman"/>
                <w:b/>
              </w:rPr>
            </w:pPr>
            <w:r w:rsidRPr="004C5F62">
              <w:rPr>
                <w:rFonts w:ascii="Times New Roman" w:hAnsi="Times New Roman" w:cs="Times New Roman"/>
                <w:b/>
              </w:rPr>
              <w:t>Total</w:t>
            </w:r>
          </w:p>
        </w:tc>
        <w:tc>
          <w:tcPr>
            <w:tcW w:w="720" w:type="pct"/>
            <w:tcBorders>
              <w:top w:val="single" w:sz="4" w:space="0" w:color="auto"/>
            </w:tcBorders>
            <w:vAlign w:val="bottom"/>
          </w:tcPr>
          <w:p w:rsidR="00ED192A" w:rsidRPr="004C5F62" w:rsidRDefault="00ED192A" w:rsidP="002A3C6A">
            <w:pPr>
              <w:spacing w:line="360" w:lineRule="auto"/>
              <w:jc w:val="right"/>
              <w:rPr>
                <w:rFonts w:ascii="Times New Roman" w:hAnsi="Times New Roman" w:cs="Times New Roman"/>
                <w:b/>
              </w:rPr>
            </w:pPr>
            <w:r w:rsidRPr="004C5F62">
              <w:rPr>
                <w:rFonts w:ascii="Times New Roman" w:hAnsi="Times New Roman" w:cs="Times New Roman"/>
                <w:b/>
              </w:rPr>
              <w:t>8 172.3</w:t>
            </w:r>
          </w:p>
        </w:tc>
        <w:tc>
          <w:tcPr>
            <w:tcW w:w="783" w:type="pct"/>
            <w:tcBorders>
              <w:top w:val="single" w:sz="4" w:space="0" w:color="auto"/>
            </w:tcBorders>
            <w:shd w:val="clear" w:color="auto" w:fill="C6D9F1" w:themeFill="text2" w:themeFillTint="33"/>
            <w:vAlign w:val="bottom"/>
          </w:tcPr>
          <w:p w:rsidR="00ED192A" w:rsidRPr="004C5F62" w:rsidRDefault="00ED192A" w:rsidP="002A3C6A">
            <w:pPr>
              <w:spacing w:line="360" w:lineRule="auto"/>
              <w:jc w:val="right"/>
              <w:rPr>
                <w:rFonts w:ascii="Times New Roman" w:hAnsi="Times New Roman" w:cs="Times New Roman"/>
                <w:b/>
              </w:rPr>
            </w:pPr>
            <w:r w:rsidRPr="004C5F62">
              <w:rPr>
                <w:rFonts w:ascii="Times New Roman" w:hAnsi="Times New Roman" w:cs="Times New Roman"/>
                <w:b/>
              </w:rPr>
              <w:t>8 797.4</w:t>
            </w:r>
          </w:p>
        </w:tc>
        <w:tc>
          <w:tcPr>
            <w:tcW w:w="603" w:type="pct"/>
            <w:vAlign w:val="bottom"/>
          </w:tcPr>
          <w:p w:rsidR="00ED192A" w:rsidRPr="004C5F62" w:rsidRDefault="00ED192A" w:rsidP="002A3C6A">
            <w:pPr>
              <w:spacing w:line="360" w:lineRule="auto"/>
              <w:jc w:val="right"/>
              <w:rPr>
                <w:rFonts w:ascii="Times New Roman" w:hAnsi="Times New Roman" w:cs="Times New Roman"/>
                <w:b/>
              </w:rPr>
            </w:pPr>
            <w:r w:rsidRPr="004C5F62">
              <w:rPr>
                <w:rFonts w:ascii="Times New Roman" w:hAnsi="Times New Roman" w:cs="Times New Roman"/>
                <w:b/>
              </w:rPr>
              <w:t>100</w:t>
            </w:r>
          </w:p>
        </w:tc>
        <w:tc>
          <w:tcPr>
            <w:tcW w:w="604" w:type="pct"/>
            <w:vAlign w:val="bottom"/>
          </w:tcPr>
          <w:p w:rsidR="00ED192A" w:rsidRPr="004C5F62" w:rsidRDefault="00ED192A" w:rsidP="002A3C6A">
            <w:pPr>
              <w:spacing w:line="360" w:lineRule="auto"/>
              <w:jc w:val="right"/>
              <w:rPr>
                <w:rFonts w:ascii="Times New Roman" w:hAnsi="Times New Roman" w:cs="Times New Roman"/>
                <w:b/>
              </w:rPr>
            </w:pPr>
            <w:r w:rsidRPr="004C5F62">
              <w:rPr>
                <w:rFonts w:ascii="Times New Roman" w:hAnsi="Times New Roman" w:cs="Times New Roman"/>
                <w:b/>
              </w:rPr>
              <w:t>7.65</w:t>
            </w:r>
          </w:p>
        </w:tc>
        <w:tc>
          <w:tcPr>
            <w:tcW w:w="604" w:type="pct"/>
            <w:vAlign w:val="bottom"/>
          </w:tcPr>
          <w:p w:rsidR="00ED192A" w:rsidRPr="004C5F62" w:rsidRDefault="00ED192A" w:rsidP="002A3C6A">
            <w:pPr>
              <w:spacing w:line="360" w:lineRule="auto"/>
              <w:jc w:val="right"/>
              <w:rPr>
                <w:rFonts w:ascii="Times New Roman" w:hAnsi="Times New Roman" w:cs="Times New Roman"/>
                <w:b/>
              </w:rPr>
            </w:pPr>
            <w:r w:rsidRPr="004C5F62">
              <w:rPr>
                <w:rFonts w:ascii="Times New Roman" w:hAnsi="Times New Roman" w:cs="Times New Roman"/>
                <w:b/>
              </w:rPr>
              <w:t>3.11</w:t>
            </w:r>
          </w:p>
        </w:tc>
      </w:tr>
    </w:tbl>
    <w:p w:rsidR="00ED192A" w:rsidRPr="004C5F62" w:rsidRDefault="00ED192A" w:rsidP="002A3C6A">
      <w:pPr>
        <w:spacing w:line="360" w:lineRule="auto"/>
        <w:rPr>
          <w:rFonts w:ascii="Times New Roman" w:hAnsi="Times New Roman" w:cs="Times New Roman"/>
        </w:rPr>
      </w:pPr>
    </w:p>
    <w:p w:rsidR="00FF1F94" w:rsidRPr="004C5F62" w:rsidRDefault="00FF1F94" w:rsidP="002A3C6A">
      <w:pPr>
        <w:spacing w:line="360" w:lineRule="auto"/>
        <w:rPr>
          <w:rFonts w:ascii="Times New Roman" w:hAnsi="Times New Roman" w:cs="Times New Roman"/>
        </w:rPr>
      </w:pPr>
      <w:r w:rsidRPr="004C5F62">
        <w:rPr>
          <w:rFonts w:ascii="Times New Roman" w:hAnsi="Times New Roman" w:cs="Times New Roman"/>
        </w:rPr>
        <w:t>The Department’s budget funds five major programmes</w:t>
      </w:r>
      <w:r w:rsidR="00046E32" w:rsidRPr="004C5F62">
        <w:rPr>
          <w:rFonts w:ascii="Times New Roman" w:hAnsi="Times New Roman" w:cs="Times New Roman"/>
        </w:rPr>
        <w:t>,</w:t>
      </w:r>
      <w:r w:rsidRPr="004C5F62">
        <w:rPr>
          <w:rFonts w:ascii="Times New Roman" w:hAnsi="Times New Roman" w:cs="Times New Roman"/>
        </w:rPr>
        <w:t xml:space="preserve"> namely:</w:t>
      </w:r>
    </w:p>
    <w:p w:rsidR="00FF1F94" w:rsidRPr="004C5F62" w:rsidRDefault="00FF1F94" w:rsidP="002A3C6A">
      <w:pPr>
        <w:pStyle w:val="ListParagraph"/>
        <w:numPr>
          <w:ilvl w:val="1"/>
          <w:numId w:val="4"/>
        </w:numPr>
        <w:spacing w:line="360" w:lineRule="auto"/>
        <w:ind w:left="567" w:hanging="567"/>
        <w:rPr>
          <w:rFonts w:ascii="Times New Roman" w:hAnsi="Times New Roman" w:cs="Times New Roman"/>
          <w:sz w:val="24"/>
          <w:szCs w:val="24"/>
        </w:rPr>
      </w:pPr>
      <w:r w:rsidRPr="004C5F62">
        <w:rPr>
          <w:rFonts w:ascii="Times New Roman" w:hAnsi="Times New Roman" w:cs="Times New Roman"/>
          <w:sz w:val="24"/>
          <w:szCs w:val="24"/>
        </w:rPr>
        <w:t>Programme 1 – Administration</w:t>
      </w:r>
    </w:p>
    <w:p w:rsidR="00FF1F94" w:rsidRPr="004C5F62" w:rsidRDefault="00FF1F94" w:rsidP="002A3C6A">
      <w:pPr>
        <w:pStyle w:val="ListParagraph"/>
        <w:numPr>
          <w:ilvl w:val="1"/>
          <w:numId w:val="4"/>
        </w:numPr>
        <w:spacing w:line="360" w:lineRule="auto"/>
        <w:ind w:left="567" w:hanging="567"/>
        <w:rPr>
          <w:rFonts w:ascii="Times New Roman" w:hAnsi="Times New Roman" w:cs="Times New Roman"/>
          <w:sz w:val="24"/>
          <w:szCs w:val="24"/>
        </w:rPr>
      </w:pPr>
      <w:r w:rsidRPr="004C5F62">
        <w:rPr>
          <w:rFonts w:ascii="Times New Roman" w:hAnsi="Times New Roman" w:cs="Times New Roman"/>
          <w:sz w:val="24"/>
          <w:szCs w:val="24"/>
        </w:rPr>
        <w:t>Programme 2 – Technology Innovation</w:t>
      </w:r>
    </w:p>
    <w:p w:rsidR="00FF1F94" w:rsidRPr="004C5F62" w:rsidRDefault="00FF1F94" w:rsidP="002A3C6A">
      <w:pPr>
        <w:pStyle w:val="ListParagraph"/>
        <w:numPr>
          <w:ilvl w:val="1"/>
          <w:numId w:val="4"/>
        </w:numPr>
        <w:spacing w:line="360" w:lineRule="auto"/>
        <w:ind w:left="567" w:hanging="567"/>
        <w:rPr>
          <w:rFonts w:ascii="Times New Roman" w:hAnsi="Times New Roman" w:cs="Times New Roman"/>
          <w:sz w:val="24"/>
          <w:szCs w:val="24"/>
        </w:rPr>
      </w:pPr>
      <w:r w:rsidRPr="004C5F62">
        <w:rPr>
          <w:rFonts w:ascii="Times New Roman" w:hAnsi="Times New Roman" w:cs="Times New Roman"/>
          <w:sz w:val="24"/>
          <w:szCs w:val="24"/>
        </w:rPr>
        <w:t>Programme 3 – International Cooperation and Resources</w:t>
      </w:r>
    </w:p>
    <w:p w:rsidR="00FF1F94" w:rsidRPr="004C5F62" w:rsidRDefault="00FF1F94" w:rsidP="002A3C6A">
      <w:pPr>
        <w:pStyle w:val="ListParagraph"/>
        <w:numPr>
          <w:ilvl w:val="1"/>
          <w:numId w:val="4"/>
        </w:numPr>
        <w:spacing w:line="360" w:lineRule="auto"/>
        <w:ind w:left="567" w:hanging="567"/>
        <w:rPr>
          <w:rFonts w:ascii="Times New Roman" w:hAnsi="Times New Roman" w:cs="Times New Roman"/>
          <w:sz w:val="24"/>
          <w:szCs w:val="24"/>
        </w:rPr>
      </w:pPr>
      <w:r w:rsidRPr="004C5F62">
        <w:rPr>
          <w:rFonts w:ascii="Times New Roman" w:hAnsi="Times New Roman" w:cs="Times New Roman"/>
          <w:sz w:val="24"/>
          <w:szCs w:val="24"/>
        </w:rPr>
        <w:t>Programme 4 – Research, Development and Support</w:t>
      </w:r>
    </w:p>
    <w:p w:rsidR="00FF1F94" w:rsidRPr="004C5F62" w:rsidRDefault="00FF1F94" w:rsidP="002A3C6A">
      <w:pPr>
        <w:pStyle w:val="ListParagraph"/>
        <w:numPr>
          <w:ilvl w:val="1"/>
          <w:numId w:val="4"/>
        </w:numPr>
        <w:spacing w:line="360" w:lineRule="auto"/>
        <w:ind w:left="567" w:hanging="567"/>
        <w:rPr>
          <w:rFonts w:ascii="Times New Roman" w:hAnsi="Times New Roman" w:cs="Times New Roman"/>
          <w:sz w:val="24"/>
          <w:szCs w:val="24"/>
        </w:rPr>
      </w:pPr>
      <w:r w:rsidRPr="004C5F62">
        <w:rPr>
          <w:rFonts w:ascii="Times New Roman" w:hAnsi="Times New Roman" w:cs="Times New Roman"/>
          <w:sz w:val="24"/>
          <w:szCs w:val="24"/>
        </w:rPr>
        <w:t>Programme 5 – Socio-economic Innovation Partnerships</w:t>
      </w:r>
    </w:p>
    <w:p w:rsidR="004B54F9" w:rsidRPr="004C5F62" w:rsidRDefault="004B54F9" w:rsidP="002A3C6A">
      <w:pPr>
        <w:spacing w:line="360" w:lineRule="auto"/>
        <w:rPr>
          <w:rFonts w:ascii="Times New Roman" w:hAnsi="Times New Roman" w:cs="Times New Roman"/>
        </w:rPr>
      </w:pPr>
    </w:p>
    <w:p w:rsidR="009B36B0" w:rsidRPr="004C5F62" w:rsidRDefault="009B36B0" w:rsidP="002A3C6A">
      <w:pPr>
        <w:spacing w:line="360" w:lineRule="auto"/>
        <w:rPr>
          <w:rFonts w:ascii="Times New Roman" w:hAnsi="Times New Roman" w:cs="Times New Roman"/>
        </w:rPr>
      </w:pPr>
      <w:r w:rsidRPr="004C5F62">
        <w:rPr>
          <w:rFonts w:ascii="Times New Roman" w:hAnsi="Times New Roman" w:cs="Times New Roman"/>
        </w:rPr>
        <w:t>These programmes fulfil the Department’s mandate of realising the full potential of science, technology and innovation in social and economic development. The percentage budget allocation to the Programmes and in terms of economic classification remains essentially the same as in previous financial years. The budget allocation is aligned to the priorities of strengthening and expanding STI human capital development and ensuring that innovation and knowledge underpin the government’s growth strategy. Hence, Programmes 2, 4 and 5</w:t>
      </w:r>
      <w:r w:rsidR="00AC0F45" w:rsidRPr="004C5F62">
        <w:rPr>
          <w:rFonts w:ascii="Times New Roman" w:hAnsi="Times New Roman" w:cs="Times New Roman"/>
        </w:rPr>
        <w:t>,</w:t>
      </w:r>
      <w:r w:rsidRPr="004C5F62">
        <w:rPr>
          <w:rFonts w:ascii="Times New Roman" w:hAnsi="Times New Roman" w:cs="Times New Roman"/>
        </w:rPr>
        <w:t xml:space="preserve"> that are responsible for the transfers to the following Departmental entities; namely, </w:t>
      </w:r>
      <w:proofErr w:type="spellStart"/>
      <w:r w:rsidRPr="004C5F62">
        <w:rPr>
          <w:rFonts w:ascii="Times New Roman" w:hAnsi="Times New Roman" w:cs="Times New Roman"/>
        </w:rPr>
        <w:t>ASSAf</w:t>
      </w:r>
      <w:proofErr w:type="spellEnd"/>
      <w:r w:rsidRPr="004C5F62">
        <w:rPr>
          <w:rFonts w:ascii="Times New Roman" w:hAnsi="Times New Roman" w:cs="Times New Roman"/>
        </w:rPr>
        <w:t>, CSIR, HSRC, NRF, TIA and SANSA</w:t>
      </w:r>
      <w:r w:rsidR="00AC0F45" w:rsidRPr="004C5F62">
        <w:rPr>
          <w:rFonts w:ascii="Times New Roman" w:hAnsi="Times New Roman" w:cs="Times New Roman"/>
        </w:rPr>
        <w:t>,</w:t>
      </w:r>
      <w:r w:rsidRPr="004C5F62">
        <w:rPr>
          <w:rFonts w:ascii="Times New Roman" w:hAnsi="Times New Roman" w:cs="Times New Roman"/>
        </w:rPr>
        <w:t xml:space="preserve"> receive 94% of the Department’s total budget allocation.</w:t>
      </w:r>
    </w:p>
    <w:p w:rsidR="009B36B0" w:rsidRPr="004C5F62" w:rsidRDefault="009B36B0" w:rsidP="002A3C6A">
      <w:pPr>
        <w:spacing w:line="360" w:lineRule="auto"/>
        <w:rPr>
          <w:rFonts w:ascii="Times New Roman" w:hAnsi="Times New Roman" w:cs="Times New Roman"/>
        </w:rPr>
      </w:pPr>
    </w:p>
    <w:p w:rsidR="009B36B0" w:rsidRPr="004C5F62" w:rsidRDefault="009B36B0" w:rsidP="002A3C6A">
      <w:pPr>
        <w:spacing w:line="360" w:lineRule="auto"/>
        <w:rPr>
          <w:rFonts w:ascii="Times New Roman" w:hAnsi="Times New Roman" w:cs="Times New Roman"/>
        </w:rPr>
      </w:pPr>
      <w:r w:rsidRPr="004C5F62">
        <w:rPr>
          <w:rFonts w:ascii="Times New Roman" w:hAnsi="Times New Roman" w:cs="Times New Roman"/>
        </w:rPr>
        <w:t>For 2020/21, the Department has captured its performance reporting into 51 performance outputs that have been translated into 52 performance indicators.</w:t>
      </w:r>
    </w:p>
    <w:p w:rsidR="009B36B0" w:rsidRPr="004C5F62" w:rsidRDefault="009B36B0" w:rsidP="002A3C6A">
      <w:pPr>
        <w:spacing w:line="360" w:lineRule="auto"/>
        <w:rPr>
          <w:rFonts w:ascii="Times New Roman" w:hAnsi="Times New Roman" w:cs="Times New Roman"/>
        </w:rPr>
      </w:pPr>
    </w:p>
    <w:p w:rsidR="009B36B0" w:rsidRPr="004C5F62" w:rsidRDefault="009B36B0" w:rsidP="002A3C6A">
      <w:pPr>
        <w:spacing w:line="360" w:lineRule="auto"/>
        <w:rPr>
          <w:rFonts w:ascii="Times New Roman" w:hAnsi="Times New Roman" w:cs="Times New Roman"/>
        </w:rPr>
      </w:pPr>
      <w:r w:rsidRPr="004C5F62">
        <w:rPr>
          <w:rFonts w:ascii="Times New Roman" w:hAnsi="Times New Roman" w:cs="Times New Roman"/>
          <w:lang w:val="en-ZA"/>
        </w:rPr>
        <w:t>Programmes 2 to 5, since 2019/20, include a sub-programme for the Offices of the Deputy Director-Generals (DDGs), where Programme 2 is allocated R5.3 million, Programme 3 is allocated R5.7 million, Programme 4 is allocated R4.5 million and Programme 5 is allocated R3.5 million. The total allocation to the DDGs Offices is R19 million (R16.7 million in 2019/20). This sub-programme provides management and administrative support to the Programmes and the Offices of the DDGs.</w:t>
      </w:r>
    </w:p>
    <w:p w:rsidR="00ED192A" w:rsidRPr="004C5F62" w:rsidRDefault="00ED192A" w:rsidP="002A3C6A">
      <w:pPr>
        <w:spacing w:line="360" w:lineRule="auto"/>
        <w:rPr>
          <w:rFonts w:ascii="Times New Roman" w:hAnsi="Times New Roman" w:cs="Times New Roman"/>
        </w:rPr>
      </w:pPr>
    </w:p>
    <w:p w:rsidR="00355774" w:rsidRPr="00CF2534" w:rsidRDefault="00CF2534" w:rsidP="00CF2534">
      <w:pPr>
        <w:tabs>
          <w:tab w:val="left" w:pos="1134"/>
        </w:tabs>
        <w:spacing w:line="360" w:lineRule="auto"/>
        <w:rPr>
          <w:rFonts w:ascii="Times New Roman" w:hAnsi="Times New Roman" w:cs="Times New Roman"/>
        </w:rPr>
      </w:pPr>
      <w:r>
        <w:rPr>
          <w:rFonts w:ascii="Times New Roman" w:hAnsi="Times New Roman" w:cs="Times New Roman"/>
          <w:b/>
        </w:rPr>
        <w:t>3.1.</w:t>
      </w:r>
      <w:r>
        <w:rPr>
          <w:rFonts w:ascii="Times New Roman" w:hAnsi="Times New Roman" w:cs="Times New Roman"/>
          <w:b/>
        </w:rPr>
        <w:tab/>
      </w:r>
      <w:r w:rsidR="00A6423B" w:rsidRPr="00CF2534">
        <w:rPr>
          <w:rFonts w:ascii="Times New Roman" w:hAnsi="Times New Roman" w:cs="Times New Roman"/>
          <w:b/>
        </w:rPr>
        <w:t>Programme 1: Administration</w:t>
      </w:r>
    </w:p>
    <w:p w:rsidR="00355774" w:rsidRPr="004C5F62" w:rsidRDefault="00355774" w:rsidP="002A3C6A">
      <w:pPr>
        <w:spacing w:line="360" w:lineRule="auto"/>
        <w:rPr>
          <w:rFonts w:ascii="Times New Roman" w:hAnsi="Times New Roman" w:cs="Times New Roman"/>
        </w:rPr>
      </w:pPr>
    </w:p>
    <w:p w:rsidR="003604A8" w:rsidRPr="004C5F62" w:rsidRDefault="003604A8" w:rsidP="002A3C6A">
      <w:pPr>
        <w:spacing w:line="360" w:lineRule="auto"/>
        <w:rPr>
          <w:rFonts w:ascii="Times New Roman" w:hAnsi="Times New Roman" w:cs="Times New Roman"/>
        </w:rPr>
      </w:pPr>
      <w:r w:rsidRPr="004C5F62">
        <w:rPr>
          <w:rFonts w:ascii="Times New Roman" w:hAnsi="Times New Roman" w:cs="Times New Roman"/>
        </w:rPr>
        <w:t xml:space="preserve">Programme 1 provides strategic leadership, management and support services to the Department and is responsible for six of the Department’s 2020/21 performance targets. Its sub-programmes are Ministry, Institutional Planning and Support (IPS), Corporate Services (CS) and Office Accommodation. Programme 1’s R360.3 million, which has been subjected to a real decrease of 11.8%, will mainly be spent on salaries (R200.4 million) and on Goods and services (R141.6 million). The sub-programmes, IPS and CS, being responsible for strategic and operational planning, management, monitoring and evaluation, receives the bulk of Programme’s 1 allocation. Notable changes include the significantly reduced allocation to the Office Accommodation sub-programme, which decreases from R53 million to R5.6 million and that expenditure on property payments decreases from R60.3 million in 2019/20 to R13.3 million in 2020/21, the latter amount being similar to those in the three financial years before 2019/20. The substantial increase to the Office Accommodation allocation in 2019/20 was for a feasibility study on the design and construction of a new building and for the refurbishment of the existing headquarters of the Department. </w:t>
      </w:r>
    </w:p>
    <w:p w:rsidR="003604A8" w:rsidRPr="004C5F62" w:rsidRDefault="003604A8" w:rsidP="002A3C6A">
      <w:pPr>
        <w:spacing w:line="360" w:lineRule="auto"/>
        <w:rPr>
          <w:rFonts w:ascii="Times New Roman" w:hAnsi="Times New Roman" w:cs="Times New Roman"/>
        </w:rPr>
      </w:pPr>
    </w:p>
    <w:p w:rsidR="003604A8" w:rsidRPr="004C5F62" w:rsidRDefault="003604A8" w:rsidP="002A3C6A">
      <w:pPr>
        <w:spacing w:line="360" w:lineRule="auto"/>
        <w:rPr>
          <w:rFonts w:ascii="Times New Roman" w:hAnsi="Times New Roman" w:cs="Times New Roman"/>
        </w:rPr>
      </w:pPr>
      <w:r w:rsidRPr="004C5F62">
        <w:rPr>
          <w:rFonts w:ascii="Times New Roman" w:hAnsi="Times New Roman" w:cs="Times New Roman"/>
        </w:rPr>
        <w:t xml:space="preserve">A risk identified in the Department’s 2020/21 APP is that the Department may, at present, not be enabled to effectively coordinate and steer the implementation of the 2019 White Paper. The Department states that this risk will be mitigated through the establishment of a ministerial-level committee for STI and a Presidency-level STI Plenary; the development of the Decadal Plan; and improved stakeholder mapping and targeted engagements to support the implementation of the 2019 White Paper. The Department will </w:t>
      </w:r>
      <w:r w:rsidR="00220AE0" w:rsidRPr="004C5F62">
        <w:rPr>
          <w:rFonts w:ascii="Times New Roman" w:hAnsi="Times New Roman" w:cs="Times New Roman"/>
        </w:rPr>
        <w:t xml:space="preserve">also </w:t>
      </w:r>
      <w:r w:rsidRPr="004C5F62">
        <w:rPr>
          <w:rFonts w:ascii="Times New Roman" w:hAnsi="Times New Roman" w:cs="Times New Roman"/>
        </w:rPr>
        <w:t>be undertaking an organisational structure review, which will change the current post establishment, as well as a budget restructuring process</w:t>
      </w:r>
      <w:r w:rsidR="00220AE0" w:rsidRPr="004C5F62">
        <w:rPr>
          <w:rFonts w:ascii="Times New Roman" w:hAnsi="Times New Roman" w:cs="Times New Roman"/>
        </w:rPr>
        <w:t xml:space="preserve"> to ensure alignment with its expanded mandate and new priorities</w:t>
      </w:r>
      <w:r w:rsidRPr="004C5F62">
        <w:rPr>
          <w:rFonts w:ascii="Times New Roman" w:hAnsi="Times New Roman" w:cs="Times New Roman"/>
        </w:rPr>
        <w:t>. Priority will then be given to filling those vacancies that are crucial in terms of the Decadal Plan. A key performance objective for Programme 1 is to ensure that the Decadal Plan will be finalised and approved by Cabinet by 31 March 2021.</w:t>
      </w:r>
    </w:p>
    <w:p w:rsidR="003604A8" w:rsidRPr="004C5F62" w:rsidRDefault="003604A8" w:rsidP="002A3C6A">
      <w:pPr>
        <w:spacing w:line="360" w:lineRule="auto"/>
        <w:rPr>
          <w:rFonts w:ascii="Times New Roman" w:hAnsi="Times New Roman" w:cs="Times New Roman"/>
        </w:rPr>
      </w:pPr>
    </w:p>
    <w:p w:rsidR="003604A8" w:rsidRPr="004C5F62" w:rsidRDefault="003604A8" w:rsidP="002A3C6A">
      <w:pPr>
        <w:spacing w:line="360" w:lineRule="auto"/>
        <w:rPr>
          <w:rFonts w:ascii="Times New Roman" w:hAnsi="Times New Roman" w:cs="Times New Roman"/>
        </w:rPr>
      </w:pPr>
      <w:r w:rsidRPr="004C5F62">
        <w:rPr>
          <w:rFonts w:ascii="Times New Roman" w:hAnsi="Times New Roman" w:cs="Times New Roman"/>
        </w:rPr>
        <w:t xml:space="preserve">Programme 1 also administers and funds the operations of NACI, which is estimated to be R16.7 million for 2020/21. Programme 1 transfers R15.6 million to non-profit institutions for </w:t>
      </w:r>
      <w:r w:rsidRPr="004C5F62">
        <w:rPr>
          <w:rFonts w:ascii="Times New Roman" w:hAnsi="Times New Roman" w:cs="Times New Roman"/>
          <w:i/>
        </w:rPr>
        <w:t>Institutional and programme support research</w:t>
      </w:r>
      <w:r w:rsidRPr="004C5F62">
        <w:rPr>
          <w:rFonts w:ascii="Times New Roman" w:hAnsi="Times New Roman" w:cs="Times New Roman"/>
        </w:rPr>
        <w:t>.</w:t>
      </w:r>
    </w:p>
    <w:p w:rsidR="003604A8" w:rsidRPr="004C5F62" w:rsidRDefault="003604A8" w:rsidP="002A3C6A">
      <w:pPr>
        <w:spacing w:line="360" w:lineRule="auto"/>
        <w:rPr>
          <w:rFonts w:ascii="Times New Roman" w:hAnsi="Times New Roman" w:cs="Times New Roman"/>
        </w:rPr>
      </w:pPr>
    </w:p>
    <w:p w:rsidR="00871027" w:rsidRPr="00CF2534" w:rsidRDefault="00CF2534" w:rsidP="00CF2534">
      <w:pPr>
        <w:tabs>
          <w:tab w:val="left" w:pos="1134"/>
        </w:tabs>
        <w:spacing w:line="360" w:lineRule="auto"/>
        <w:rPr>
          <w:rFonts w:ascii="Times New Roman" w:hAnsi="Times New Roman" w:cs="Times New Roman"/>
        </w:rPr>
      </w:pPr>
      <w:r>
        <w:rPr>
          <w:rFonts w:ascii="Times New Roman" w:hAnsi="Times New Roman" w:cs="Times New Roman"/>
          <w:b/>
        </w:rPr>
        <w:t>3.2.</w:t>
      </w:r>
      <w:r>
        <w:rPr>
          <w:rFonts w:ascii="Times New Roman" w:hAnsi="Times New Roman" w:cs="Times New Roman"/>
          <w:b/>
        </w:rPr>
        <w:tab/>
      </w:r>
      <w:r w:rsidR="00871027" w:rsidRPr="00CF2534">
        <w:rPr>
          <w:rFonts w:ascii="Times New Roman" w:hAnsi="Times New Roman" w:cs="Times New Roman"/>
          <w:b/>
        </w:rPr>
        <w:t>Programme 2: Technology Innovation</w:t>
      </w:r>
    </w:p>
    <w:p w:rsidR="00871027" w:rsidRPr="004C5F62" w:rsidRDefault="00871027" w:rsidP="002A3C6A">
      <w:pPr>
        <w:tabs>
          <w:tab w:val="left" w:pos="1134"/>
        </w:tabs>
        <w:spacing w:line="360" w:lineRule="auto"/>
        <w:rPr>
          <w:rFonts w:ascii="Times New Roman" w:hAnsi="Times New Roman" w:cs="Times New Roman"/>
        </w:rPr>
      </w:pPr>
    </w:p>
    <w:p w:rsidR="00871027" w:rsidRPr="004C5F62" w:rsidRDefault="00871027" w:rsidP="002A3C6A">
      <w:pPr>
        <w:spacing w:line="360" w:lineRule="auto"/>
        <w:rPr>
          <w:rFonts w:ascii="Times New Roman" w:hAnsi="Times New Roman" w:cs="Times New Roman"/>
        </w:rPr>
      </w:pPr>
      <w:r w:rsidRPr="004C5F62">
        <w:rPr>
          <w:rFonts w:ascii="Times New Roman" w:hAnsi="Times New Roman" w:cs="Times New Roman"/>
        </w:rPr>
        <w:t xml:space="preserve">Programme 2 enables R&amp;D in space science and technology, energy security, the </w:t>
      </w:r>
      <w:proofErr w:type="spellStart"/>
      <w:r w:rsidRPr="004C5F62">
        <w:rPr>
          <w:rFonts w:ascii="Times New Roman" w:hAnsi="Times New Roman" w:cs="Times New Roman"/>
        </w:rPr>
        <w:t>bioeconomy</w:t>
      </w:r>
      <w:proofErr w:type="spellEnd"/>
      <w:r w:rsidRPr="004C5F62">
        <w:rPr>
          <w:rFonts w:ascii="Times New Roman" w:hAnsi="Times New Roman" w:cs="Times New Roman"/>
        </w:rPr>
        <w:t xml:space="preserve">, and in the areas of nanotechnology, robotics, photonics and indigenous knowledge systems (IKS), and promotes the </w:t>
      </w:r>
      <w:r w:rsidRPr="004C5F62">
        <w:rPr>
          <w:rFonts w:ascii="Times New Roman" w:hAnsi="Times New Roman" w:cs="Times New Roman"/>
        </w:rPr>
        <w:lastRenderedPageBreak/>
        <w:t>realisation of commercial products, processes and services from these R&amp;D initiatives. In addition, through the implementation of enabling policies and interventions along the entire innovation value chain, promotes the protection and utilisation of IP, technology transfer and technology commercialisation. It is responsible for 14 of the Department’s 2020/21 performance targets. Programme 2 has five sub-programmes and one specialised service delivery unit (SSDU). These are Space Science, Hydrogen and Energy, Bio-innovation, Innovation Priorities and Instruments (IPI), the Office of the DDG, and the National Intellectual Property Management Office (NIPMO).</w:t>
      </w:r>
    </w:p>
    <w:p w:rsidR="00871027" w:rsidRPr="004C5F62" w:rsidRDefault="00871027" w:rsidP="002A3C6A">
      <w:pPr>
        <w:spacing w:line="360" w:lineRule="auto"/>
        <w:rPr>
          <w:rFonts w:ascii="Times New Roman" w:hAnsi="Times New Roman" w:cs="Times New Roman"/>
        </w:rPr>
      </w:pPr>
    </w:p>
    <w:p w:rsidR="00871027" w:rsidRPr="004C5F62" w:rsidRDefault="00871027" w:rsidP="002A3C6A">
      <w:pPr>
        <w:spacing w:line="360" w:lineRule="auto"/>
        <w:rPr>
          <w:rFonts w:ascii="Times New Roman" w:hAnsi="Times New Roman" w:cs="Times New Roman"/>
        </w:rPr>
      </w:pPr>
      <w:r w:rsidRPr="004C5F62">
        <w:rPr>
          <w:rFonts w:ascii="Times New Roman" w:hAnsi="Times New Roman" w:cs="Times New Roman"/>
        </w:rPr>
        <w:t>Programme 2 receives R1.5 billion (17%) of the Department’s total allocation, which is a real increase of 17.7% when adjusted for inflation. The IPI sub-programme that supports and strengthens the policy initiatives that aim to create and sustain an enabling environment for innovation, technology development and the commercialisation of products from publicly funded R&amp;D, continues to receive the largest share of Programme 2’s budget, as well as the largest increase to its allocation, growing in real terms by 35.3%. The allocation is estimated to i</w:t>
      </w:r>
      <w:r w:rsidR="00517A9D" w:rsidRPr="004C5F62">
        <w:rPr>
          <w:rFonts w:ascii="Times New Roman" w:hAnsi="Times New Roman" w:cs="Times New Roman"/>
        </w:rPr>
        <w:t>ncrease further over the medium-</w:t>
      </w:r>
      <w:r w:rsidRPr="004C5F62">
        <w:rPr>
          <w:rFonts w:ascii="Times New Roman" w:hAnsi="Times New Roman" w:cs="Times New Roman"/>
        </w:rPr>
        <w:t xml:space="preserve">term to R1.15 billion in 2021/22 and R1.18 billion in 2022/23. The lowest allocation, as in previous financial years, goes to NIPMO. The remaining funds are relatively equally distributed between the Space Science, Hydrogen and Energy and Bio-innovation sub-programmes, with only Space Science receiving an above-inflation increase. </w:t>
      </w:r>
    </w:p>
    <w:p w:rsidR="00871027" w:rsidRPr="004C5F62" w:rsidRDefault="00871027" w:rsidP="002A3C6A">
      <w:pPr>
        <w:spacing w:line="360" w:lineRule="auto"/>
        <w:rPr>
          <w:rFonts w:ascii="Times New Roman" w:hAnsi="Times New Roman" w:cs="Times New Roman"/>
        </w:rPr>
      </w:pPr>
    </w:p>
    <w:p w:rsidR="00871027" w:rsidRPr="004C5F62" w:rsidRDefault="00871027" w:rsidP="002A3C6A">
      <w:pPr>
        <w:spacing w:line="360" w:lineRule="auto"/>
        <w:rPr>
          <w:rFonts w:ascii="Times New Roman" w:hAnsi="Times New Roman" w:cs="Times New Roman"/>
        </w:rPr>
      </w:pPr>
      <w:r w:rsidRPr="004C5F62">
        <w:rPr>
          <w:rFonts w:ascii="Times New Roman" w:hAnsi="Times New Roman" w:cs="Times New Roman"/>
        </w:rPr>
        <w:t xml:space="preserve">Approximately 93% (R1.4 billion) of Programme 2’s budget is allocated to Transfers and subsidies, with the entities, TIA and SANSA receiving R455.9 million (R440.9 million in 2019/20) and R182.1 million (R143.5 million in 2019/20), respectively. Space science research is also allocated R31.4 million from the Economic Competitiveness and Support Package, which is the next tranche of funding for the further development of South Africa’s earth observation satellite, EO-Sat1. Furthermore, the stated emphasis on innovation reflects in a transfer to various institutions for </w:t>
      </w:r>
      <w:r w:rsidRPr="004C5F62">
        <w:rPr>
          <w:rFonts w:ascii="Times New Roman" w:hAnsi="Times New Roman" w:cs="Times New Roman"/>
          <w:i/>
        </w:rPr>
        <w:t xml:space="preserve">Innovation projects research </w:t>
      </w:r>
      <w:r w:rsidRPr="004C5F62">
        <w:rPr>
          <w:rFonts w:ascii="Times New Roman" w:hAnsi="Times New Roman" w:cs="Times New Roman"/>
        </w:rPr>
        <w:t xml:space="preserve">amounting </w:t>
      </w:r>
      <w:r w:rsidR="00517A9D" w:rsidRPr="004C5F62">
        <w:rPr>
          <w:rFonts w:ascii="Times New Roman" w:hAnsi="Times New Roman" w:cs="Times New Roman"/>
        </w:rPr>
        <w:t>to R1.3 billion over the medium-</w:t>
      </w:r>
      <w:r w:rsidRPr="004C5F62">
        <w:rPr>
          <w:rFonts w:ascii="Times New Roman" w:hAnsi="Times New Roman" w:cs="Times New Roman"/>
        </w:rPr>
        <w:t>term, with the 2020/21 allocation being R241.4 million, a significant increase from the R19.5 million transferred in 2019/20. Thereafter, the transfers for 2021/22 and 2022/23 are estimated to be R544.9 million and R546.5 million, respectively. The significantly increased transfers (</w:t>
      </w:r>
      <w:r w:rsidR="002861B1" w:rsidRPr="004C5F62">
        <w:rPr>
          <w:rFonts w:ascii="Times New Roman" w:hAnsi="Times New Roman" w:cs="Times New Roman"/>
        </w:rPr>
        <w:t xml:space="preserve">i.e. </w:t>
      </w:r>
      <w:r w:rsidRPr="004C5F62">
        <w:rPr>
          <w:rFonts w:ascii="Times New Roman" w:hAnsi="Times New Roman" w:cs="Times New Roman"/>
        </w:rPr>
        <w:t xml:space="preserve">from 2019/20) to various institutions (public corporations) for </w:t>
      </w:r>
      <w:r w:rsidRPr="004C5F62">
        <w:rPr>
          <w:rFonts w:ascii="Times New Roman" w:hAnsi="Times New Roman" w:cs="Times New Roman"/>
          <w:i/>
        </w:rPr>
        <w:t xml:space="preserve">Emerging research areas </w:t>
      </w:r>
      <w:r w:rsidRPr="004C5F62">
        <w:rPr>
          <w:rFonts w:ascii="Times New Roman" w:hAnsi="Times New Roman" w:cs="Times New Roman"/>
        </w:rPr>
        <w:t>is sustained and amounts to R3</w:t>
      </w:r>
      <w:r w:rsidR="00517A9D" w:rsidRPr="004C5F62">
        <w:rPr>
          <w:rFonts w:ascii="Times New Roman" w:hAnsi="Times New Roman" w:cs="Times New Roman"/>
        </w:rPr>
        <w:t>64 million over the medium-</w:t>
      </w:r>
      <w:r w:rsidRPr="004C5F62">
        <w:rPr>
          <w:rFonts w:ascii="Times New Roman" w:hAnsi="Times New Roman" w:cs="Times New Roman"/>
        </w:rPr>
        <w:t>term, with R116.5 million transferred in 2020/21. The latter supports research in fields related to the Fourth Industrial Revolution.</w:t>
      </w:r>
    </w:p>
    <w:p w:rsidR="00871027" w:rsidRPr="004C5F62" w:rsidRDefault="00871027" w:rsidP="002A3C6A">
      <w:pPr>
        <w:spacing w:line="360" w:lineRule="auto"/>
        <w:rPr>
          <w:rFonts w:ascii="Times New Roman" w:hAnsi="Times New Roman" w:cs="Times New Roman"/>
        </w:rPr>
      </w:pPr>
    </w:p>
    <w:p w:rsidR="00871027" w:rsidRPr="004C5F62" w:rsidRDefault="00871027" w:rsidP="002A3C6A">
      <w:pPr>
        <w:spacing w:line="360" w:lineRule="auto"/>
        <w:rPr>
          <w:rFonts w:ascii="Times New Roman" w:hAnsi="Times New Roman" w:cs="Times New Roman"/>
        </w:rPr>
      </w:pPr>
      <w:r w:rsidRPr="004C5F62">
        <w:rPr>
          <w:rFonts w:ascii="Times New Roman" w:hAnsi="Times New Roman" w:cs="Times New Roman"/>
        </w:rPr>
        <w:t xml:space="preserve">Strategic policy initiatives that will receive specific attention </w:t>
      </w:r>
      <w:r w:rsidR="00517A9D" w:rsidRPr="004C5F62">
        <w:rPr>
          <w:rFonts w:ascii="Times New Roman" w:hAnsi="Times New Roman" w:cs="Times New Roman"/>
        </w:rPr>
        <w:t>over the medium-</w:t>
      </w:r>
      <w:r w:rsidRPr="004C5F62">
        <w:rPr>
          <w:rFonts w:ascii="Times New Roman" w:hAnsi="Times New Roman" w:cs="Times New Roman"/>
        </w:rPr>
        <w:t>term include continuing the work to establish the Sovereign Innovation Fund, which is allocat</w:t>
      </w:r>
      <w:r w:rsidR="00517A9D" w:rsidRPr="004C5F62">
        <w:rPr>
          <w:rFonts w:ascii="Times New Roman" w:hAnsi="Times New Roman" w:cs="Times New Roman"/>
        </w:rPr>
        <w:t>ed R1.2 billion over the medium-</w:t>
      </w:r>
      <w:r w:rsidRPr="004C5F62">
        <w:rPr>
          <w:rFonts w:ascii="Times New Roman" w:hAnsi="Times New Roman" w:cs="Times New Roman"/>
        </w:rPr>
        <w:t xml:space="preserve">term and </w:t>
      </w:r>
      <w:r w:rsidRPr="004C5F62">
        <w:rPr>
          <w:rFonts w:ascii="Times New Roman" w:hAnsi="Times New Roman" w:cs="Times New Roman"/>
        </w:rPr>
        <w:lastRenderedPageBreak/>
        <w:t>accounts for the significant increase to the IPI sub-programme’s allocation. The Department will undertake the 2</w:t>
      </w:r>
      <w:r w:rsidRPr="004C5F62">
        <w:rPr>
          <w:rFonts w:ascii="Times New Roman" w:hAnsi="Times New Roman" w:cs="Times New Roman"/>
          <w:vertAlign w:val="superscript"/>
        </w:rPr>
        <w:t>nd</w:t>
      </w:r>
      <w:r w:rsidRPr="004C5F62">
        <w:rPr>
          <w:rFonts w:ascii="Times New Roman" w:hAnsi="Times New Roman" w:cs="Times New Roman"/>
        </w:rPr>
        <w:t xml:space="preserve"> Five-year Review of Hydrogen South Africa (</w:t>
      </w:r>
      <w:proofErr w:type="spellStart"/>
      <w:r w:rsidRPr="004C5F62">
        <w:rPr>
          <w:rFonts w:ascii="Times New Roman" w:hAnsi="Times New Roman" w:cs="Times New Roman"/>
        </w:rPr>
        <w:t>HySA</w:t>
      </w:r>
      <w:proofErr w:type="spellEnd"/>
      <w:r w:rsidRPr="004C5F62">
        <w:rPr>
          <w:rFonts w:ascii="Times New Roman" w:hAnsi="Times New Roman" w:cs="Times New Roman"/>
        </w:rPr>
        <w:t>); as well as reviews of the TIA, SANSA, the Intellectual Property Rights from Publicly Financed Research and Development Act, and NIPMO.</w:t>
      </w:r>
    </w:p>
    <w:p w:rsidR="00A249EC" w:rsidRPr="004C5F62" w:rsidRDefault="00A249EC" w:rsidP="002A3C6A">
      <w:pPr>
        <w:spacing w:line="360" w:lineRule="auto"/>
        <w:rPr>
          <w:rFonts w:ascii="Times New Roman" w:hAnsi="Times New Roman" w:cs="Times New Roman"/>
        </w:rPr>
      </w:pPr>
    </w:p>
    <w:p w:rsidR="00A249EC" w:rsidRPr="00CF2534" w:rsidRDefault="00CF2534" w:rsidP="00CF2534">
      <w:pPr>
        <w:tabs>
          <w:tab w:val="left" w:pos="1134"/>
        </w:tabs>
        <w:spacing w:line="360" w:lineRule="auto"/>
        <w:rPr>
          <w:rFonts w:ascii="Times New Roman" w:hAnsi="Times New Roman" w:cs="Times New Roman"/>
        </w:rPr>
      </w:pPr>
      <w:r>
        <w:rPr>
          <w:rFonts w:ascii="Times New Roman" w:hAnsi="Times New Roman" w:cs="Times New Roman"/>
          <w:b/>
        </w:rPr>
        <w:t>3.3.</w:t>
      </w:r>
      <w:r>
        <w:rPr>
          <w:rFonts w:ascii="Times New Roman" w:hAnsi="Times New Roman" w:cs="Times New Roman"/>
          <w:b/>
        </w:rPr>
        <w:tab/>
      </w:r>
      <w:r w:rsidR="00A249EC" w:rsidRPr="00CF2534">
        <w:rPr>
          <w:rFonts w:ascii="Times New Roman" w:hAnsi="Times New Roman" w:cs="Times New Roman"/>
          <w:b/>
        </w:rPr>
        <w:t>Programme 3: International Cooperation and Resources</w:t>
      </w:r>
    </w:p>
    <w:p w:rsidR="00A249EC" w:rsidRPr="004C5F62" w:rsidRDefault="00A249EC" w:rsidP="002A3C6A">
      <w:pPr>
        <w:tabs>
          <w:tab w:val="left" w:pos="1134"/>
        </w:tabs>
        <w:spacing w:line="360" w:lineRule="auto"/>
        <w:rPr>
          <w:rFonts w:ascii="Times New Roman" w:hAnsi="Times New Roman" w:cs="Times New Roman"/>
        </w:rPr>
      </w:pPr>
    </w:p>
    <w:p w:rsidR="00A249EC" w:rsidRPr="004C5F62" w:rsidRDefault="00A249EC" w:rsidP="002A3C6A">
      <w:pPr>
        <w:spacing w:line="360" w:lineRule="auto"/>
        <w:rPr>
          <w:rFonts w:ascii="Times New Roman" w:hAnsi="Times New Roman" w:cs="Times New Roman"/>
        </w:rPr>
      </w:pPr>
      <w:r w:rsidRPr="004C5F62">
        <w:rPr>
          <w:rFonts w:ascii="Times New Roman" w:hAnsi="Times New Roman" w:cs="Times New Roman"/>
        </w:rPr>
        <w:t xml:space="preserve">Programme 3 supports South Africa’s foreign policy through science diplomacy. Hence, it develops, promotes and manages international relationships, opportunities and science and technology agreements that both strengthen the NSI and enable an exchange of knowledge, capacity and resources between South Africa and its international partners, with a focus on supporting STI capacity building in Africa. It is responsible for nine of the Department’s 2020/21 performance targets. Programme 3 has four sub-programmes; namely, Multilateral Cooperation and Africa, International Resources, Overseas Bilateral Cooperation and the Office of the DDG. </w:t>
      </w:r>
    </w:p>
    <w:p w:rsidR="00A249EC" w:rsidRPr="004C5F62" w:rsidRDefault="00A249EC" w:rsidP="002A3C6A">
      <w:pPr>
        <w:spacing w:line="360" w:lineRule="auto"/>
        <w:rPr>
          <w:rFonts w:ascii="Times New Roman" w:hAnsi="Times New Roman" w:cs="Times New Roman"/>
        </w:rPr>
      </w:pPr>
    </w:p>
    <w:p w:rsidR="00A249EC" w:rsidRPr="004C5F62" w:rsidRDefault="00A249EC" w:rsidP="002A3C6A">
      <w:pPr>
        <w:spacing w:line="360" w:lineRule="auto"/>
        <w:rPr>
          <w:rFonts w:ascii="Times New Roman" w:hAnsi="Times New Roman" w:cs="Times New Roman"/>
        </w:rPr>
      </w:pPr>
      <w:r w:rsidRPr="004C5F62">
        <w:rPr>
          <w:rFonts w:ascii="Times New Roman" w:hAnsi="Times New Roman" w:cs="Times New Roman"/>
        </w:rPr>
        <w:t xml:space="preserve">Programme 3 receives approximately 2% (R156.4 million) of the Department’s 2020/21 budget allocation, which is the smallest portion and increases just slightly above inflation. The distribution of the allocation between sub-programmes </w:t>
      </w:r>
      <w:r w:rsidR="00ED115F" w:rsidRPr="004C5F62">
        <w:rPr>
          <w:rFonts w:ascii="Times New Roman" w:hAnsi="Times New Roman" w:cs="Times New Roman"/>
        </w:rPr>
        <w:t>remains</w:t>
      </w:r>
      <w:r w:rsidRPr="004C5F62">
        <w:rPr>
          <w:rFonts w:ascii="Times New Roman" w:hAnsi="Times New Roman" w:cs="Times New Roman"/>
        </w:rPr>
        <w:t xml:space="preserve"> the same as in previous financial years, with International Resources being allocated the largest share at 44.7%. In terms of economic classification, R81.8 million is allocated to Current payments and R74.6 million to Transfers and subsidies. With regard to the latter, R16.7 million is transferred to the NRF, who manages Bilateral cooperation for global science development agreements on behalf of the Department; and non-profit institutions receive R47.6 million for Global science: International multilateral agreements and R10.4 million for Global science: African multilateral agreements.</w:t>
      </w:r>
    </w:p>
    <w:p w:rsidR="00871027" w:rsidRPr="004C5F62" w:rsidRDefault="00871027" w:rsidP="002A3C6A">
      <w:pPr>
        <w:spacing w:line="360" w:lineRule="auto"/>
        <w:rPr>
          <w:rFonts w:ascii="Times New Roman" w:hAnsi="Times New Roman" w:cs="Times New Roman"/>
        </w:rPr>
      </w:pPr>
    </w:p>
    <w:p w:rsidR="00A249EC" w:rsidRPr="004C5F62" w:rsidRDefault="00A249EC" w:rsidP="002A3C6A">
      <w:pPr>
        <w:spacing w:line="360" w:lineRule="auto"/>
        <w:rPr>
          <w:rFonts w:ascii="Times New Roman" w:hAnsi="Times New Roman" w:cs="Times New Roman"/>
        </w:rPr>
      </w:pPr>
      <w:r w:rsidRPr="004C5F62">
        <w:rPr>
          <w:rFonts w:ascii="Times New Roman" w:hAnsi="Times New Roman" w:cs="Times New Roman"/>
        </w:rPr>
        <w:t>Over the medium-term, Programme 3 aims to secure international funding of R900 million; the participation of 2 090 South African researchers in international postgraduate training programmes; provide technical and financial support for 67 SADC and AU approved STI initiatives; and secure 12 new leadership positions in international STI governance structures for South Africa. The Department’s 2020-2025 Strategic Plan states that, “The traditional focus of South Africa’s international STI partnerships has been on research cooperation, chiefly involving public organisations, especially higher education institutions. A stronger emphasis will be placed on innovation and commercialisation initiatives”. Hence, the Department will pursue dedicated interventions to increase the STI-focussed foreign investment secured by South Africa. Furthermore, specific policy initiatives will focus on the implementation of a dedicated strategy for Africa and enhanced partnerships with the European Union.</w:t>
      </w:r>
    </w:p>
    <w:p w:rsidR="00E952F3" w:rsidRPr="004C5F62" w:rsidRDefault="00E952F3" w:rsidP="002A3C6A">
      <w:pPr>
        <w:spacing w:line="360" w:lineRule="auto"/>
        <w:rPr>
          <w:rFonts w:ascii="Times New Roman" w:hAnsi="Times New Roman" w:cs="Times New Roman"/>
          <w:lang w:val="en-ZA"/>
        </w:rPr>
      </w:pPr>
    </w:p>
    <w:p w:rsidR="00A249EC" w:rsidRDefault="00CF2534" w:rsidP="00CF2534">
      <w:pPr>
        <w:tabs>
          <w:tab w:val="left" w:pos="1134"/>
        </w:tabs>
        <w:spacing w:line="360" w:lineRule="auto"/>
        <w:rPr>
          <w:rFonts w:ascii="Times New Roman" w:hAnsi="Times New Roman" w:cs="Times New Roman"/>
          <w:b/>
        </w:rPr>
      </w:pPr>
      <w:r>
        <w:rPr>
          <w:rFonts w:ascii="Times New Roman" w:hAnsi="Times New Roman" w:cs="Times New Roman"/>
          <w:b/>
        </w:rPr>
        <w:t>3.4.</w:t>
      </w:r>
      <w:r>
        <w:rPr>
          <w:rFonts w:ascii="Times New Roman" w:hAnsi="Times New Roman" w:cs="Times New Roman"/>
          <w:b/>
        </w:rPr>
        <w:tab/>
      </w:r>
      <w:r w:rsidR="00A249EC" w:rsidRPr="00CF2534">
        <w:rPr>
          <w:rFonts w:ascii="Times New Roman" w:hAnsi="Times New Roman" w:cs="Times New Roman"/>
          <w:b/>
        </w:rPr>
        <w:t>Programme 4: Research, Development and Support</w:t>
      </w:r>
    </w:p>
    <w:p w:rsidR="00CF2534" w:rsidRPr="00CF2534" w:rsidRDefault="00CF2534" w:rsidP="00CF2534">
      <w:pPr>
        <w:tabs>
          <w:tab w:val="left" w:pos="1134"/>
        </w:tabs>
        <w:spacing w:line="360" w:lineRule="auto"/>
        <w:rPr>
          <w:rFonts w:ascii="Times New Roman" w:hAnsi="Times New Roman" w:cs="Times New Roman"/>
          <w:lang w:val="en-ZA"/>
        </w:rPr>
      </w:pPr>
    </w:p>
    <w:p w:rsidR="00A249EC" w:rsidRPr="004C5F62" w:rsidRDefault="00A249EC" w:rsidP="002A3C6A">
      <w:pPr>
        <w:spacing w:line="360" w:lineRule="auto"/>
        <w:rPr>
          <w:rFonts w:ascii="Times New Roman" w:hAnsi="Times New Roman" w:cs="Times New Roman"/>
        </w:rPr>
      </w:pPr>
      <w:r w:rsidRPr="004C5F62">
        <w:rPr>
          <w:rFonts w:ascii="Times New Roman" w:hAnsi="Times New Roman" w:cs="Times New Roman"/>
        </w:rPr>
        <w:t>Programme 4 seeks to provide an enabling environment for research and knowledge production that promotes the strategic development of basic sciences and priority science areas through science promotion, human capital development and the provision of research infrastructure and relevant research support, in pursuit of South Africa’s transition to a knowledge economy. It is responsible for 13 of the Department’s 2020/21 performance targets. Programme 4 has five sub-programmes; namely, Human Capital and Science Promotions, Science Missions, Basic Science and Infrastructure, Astronomy and the Office of the DDG.</w:t>
      </w:r>
    </w:p>
    <w:p w:rsidR="00A249EC" w:rsidRPr="004C5F62" w:rsidRDefault="00A249EC" w:rsidP="002A3C6A">
      <w:pPr>
        <w:spacing w:line="360" w:lineRule="auto"/>
        <w:rPr>
          <w:rFonts w:ascii="Times New Roman" w:hAnsi="Times New Roman" w:cs="Times New Roman"/>
        </w:rPr>
      </w:pPr>
    </w:p>
    <w:p w:rsidR="00A249EC" w:rsidRPr="004C5F62" w:rsidRDefault="00A249EC" w:rsidP="002A3C6A">
      <w:pPr>
        <w:spacing w:line="360" w:lineRule="auto"/>
        <w:rPr>
          <w:rFonts w:ascii="Times New Roman" w:hAnsi="Times New Roman" w:cs="Times New Roman"/>
        </w:rPr>
      </w:pPr>
      <w:r w:rsidRPr="004C5F62">
        <w:rPr>
          <w:rFonts w:ascii="Times New Roman" w:hAnsi="Times New Roman" w:cs="Times New Roman"/>
        </w:rPr>
        <w:t xml:space="preserve">Programme 4 is allocated R4.88 billion (55.5%) of the Department’s total allocation. The increase in Programme 4’s budget, once adjusted for inflation, represents a real increase of 2.3% (real decreases of 4% in 2019/20 and 5% in 2018/19). Only the allocation to the Human Capital and Science Promotions sub-programme, which receives 55.5% of the Programme 4’s allocation, does not increase in line with inflation. The Basic Science and Infrastructure sub-programme receives its first real increase in two years after being subjected to decreases in allocation of approximately R102 million in 2019/20 and R49 million in 2018/19. The distribution of the allocation between sub-programmes </w:t>
      </w:r>
      <w:r w:rsidR="007275E1" w:rsidRPr="004C5F62">
        <w:rPr>
          <w:rFonts w:ascii="Times New Roman" w:hAnsi="Times New Roman" w:cs="Times New Roman"/>
        </w:rPr>
        <w:t>remains</w:t>
      </w:r>
      <w:r w:rsidRPr="004C5F62">
        <w:rPr>
          <w:rFonts w:ascii="Times New Roman" w:hAnsi="Times New Roman" w:cs="Times New Roman"/>
        </w:rPr>
        <w:t xml:space="preserve"> the same as in previous financial years.</w:t>
      </w:r>
    </w:p>
    <w:p w:rsidR="00A249EC" w:rsidRPr="004C5F62" w:rsidRDefault="00A249EC" w:rsidP="002A3C6A">
      <w:pPr>
        <w:spacing w:line="360" w:lineRule="auto"/>
        <w:rPr>
          <w:rFonts w:ascii="Times New Roman" w:hAnsi="Times New Roman" w:cs="Times New Roman"/>
        </w:rPr>
      </w:pPr>
    </w:p>
    <w:p w:rsidR="00A249EC" w:rsidRPr="004C5F62" w:rsidRDefault="00A249EC" w:rsidP="002A3C6A">
      <w:pPr>
        <w:spacing w:line="360" w:lineRule="auto"/>
        <w:rPr>
          <w:rFonts w:ascii="Times New Roman" w:hAnsi="Times New Roman" w:cs="Times New Roman"/>
        </w:rPr>
      </w:pPr>
      <w:r w:rsidRPr="004C5F62">
        <w:rPr>
          <w:rFonts w:ascii="Times New Roman" w:hAnsi="Times New Roman" w:cs="Times New Roman"/>
        </w:rPr>
        <w:t xml:space="preserve">Approximately 98.7% (R4.82 billion) of Programme 4’s budget is allocated to Transfers and subsidies, with the entities, </w:t>
      </w:r>
      <w:proofErr w:type="spellStart"/>
      <w:r w:rsidRPr="004C5F62">
        <w:rPr>
          <w:rFonts w:ascii="Times New Roman" w:hAnsi="Times New Roman" w:cs="Times New Roman"/>
        </w:rPr>
        <w:t>ASSAf</w:t>
      </w:r>
      <w:proofErr w:type="spellEnd"/>
      <w:r w:rsidRPr="004C5F62">
        <w:rPr>
          <w:rFonts w:ascii="Times New Roman" w:hAnsi="Times New Roman" w:cs="Times New Roman"/>
        </w:rPr>
        <w:t xml:space="preserve">, NRF and CSIR receiving R27.9 million, R3.4 billion and R260.2 million, respectively. Other notable transfers include R793.8 million for Infrastructure projects for R&amp;D and R230.8 million for Strategic science platforms for R&amp;D. The increase in the Astronomy sub-programme’s allocation is largely driven by the R780.8 million capital contribution for research on the </w:t>
      </w:r>
      <w:r w:rsidR="001534D2" w:rsidRPr="001534D2">
        <w:rPr>
          <w:rFonts w:ascii="Times New Roman" w:hAnsi="Times New Roman" w:cs="Times New Roman"/>
        </w:rPr>
        <w:t>Square Kilometre Array</w:t>
      </w:r>
      <w:r w:rsidRPr="004C5F62">
        <w:rPr>
          <w:rFonts w:ascii="Times New Roman" w:hAnsi="Times New Roman" w:cs="Times New Roman"/>
        </w:rPr>
        <w:t>.</w:t>
      </w:r>
      <w:r w:rsidR="007275E1" w:rsidRPr="004C5F62">
        <w:rPr>
          <w:rFonts w:ascii="Times New Roman" w:hAnsi="Times New Roman" w:cs="Times New Roman"/>
        </w:rPr>
        <w:t xml:space="preserve"> Over the medium-</w:t>
      </w:r>
      <w:r w:rsidRPr="004C5F62">
        <w:rPr>
          <w:rFonts w:ascii="Times New Roman" w:hAnsi="Times New Roman" w:cs="Times New Roman"/>
        </w:rPr>
        <w:t>term, this sub-programme is allocated R2.6 billion.</w:t>
      </w:r>
    </w:p>
    <w:p w:rsidR="00A249EC" w:rsidRPr="004C5F62" w:rsidRDefault="00A249EC" w:rsidP="002A3C6A">
      <w:pPr>
        <w:spacing w:line="360" w:lineRule="auto"/>
        <w:rPr>
          <w:rFonts w:ascii="Times New Roman" w:hAnsi="Times New Roman" w:cs="Times New Roman"/>
        </w:rPr>
      </w:pPr>
    </w:p>
    <w:p w:rsidR="00A249EC" w:rsidRPr="004C5F62" w:rsidRDefault="007275E1" w:rsidP="002A3C6A">
      <w:pPr>
        <w:spacing w:line="360" w:lineRule="auto"/>
        <w:rPr>
          <w:rFonts w:ascii="Times New Roman" w:hAnsi="Times New Roman" w:cs="Times New Roman"/>
        </w:rPr>
      </w:pPr>
      <w:r w:rsidRPr="004C5F62">
        <w:rPr>
          <w:rFonts w:ascii="Times New Roman" w:hAnsi="Times New Roman" w:cs="Times New Roman"/>
        </w:rPr>
        <w:t>Over the medium-</w:t>
      </w:r>
      <w:r w:rsidR="00A249EC" w:rsidRPr="004C5F62">
        <w:rPr>
          <w:rFonts w:ascii="Times New Roman" w:hAnsi="Times New Roman" w:cs="Times New Roman"/>
        </w:rPr>
        <w:t>term, Programme 4 is allocated R15.3 billion for the development of human capital through the provision of postgraduate bursaries, internships, support for emerging and established researchers, and strategic instruments such as the South African Research Chairs Initiative (</w:t>
      </w:r>
      <w:proofErr w:type="spellStart"/>
      <w:r w:rsidR="00A249EC" w:rsidRPr="004C5F62">
        <w:rPr>
          <w:rFonts w:ascii="Times New Roman" w:hAnsi="Times New Roman" w:cs="Times New Roman"/>
        </w:rPr>
        <w:t>SARChI</w:t>
      </w:r>
      <w:proofErr w:type="spellEnd"/>
      <w:r w:rsidR="00A249EC" w:rsidRPr="004C5F62">
        <w:rPr>
          <w:rFonts w:ascii="Times New Roman" w:hAnsi="Times New Roman" w:cs="Times New Roman"/>
        </w:rPr>
        <w:t>). Included in this</w:t>
      </w:r>
      <w:r w:rsidRPr="004C5F62">
        <w:rPr>
          <w:rFonts w:ascii="Times New Roman" w:hAnsi="Times New Roman" w:cs="Times New Roman"/>
        </w:rPr>
        <w:t>,</w:t>
      </w:r>
      <w:r w:rsidR="00A249EC" w:rsidRPr="004C5F62">
        <w:rPr>
          <w:rFonts w:ascii="Times New Roman" w:hAnsi="Times New Roman" w:cs="Times New Roman"/>
        </w:rPr>
        <w:t xml:space="preserve"> is R6.3 billion to the NRF for </w:t>
      </w:r>
      <w:r w:rsidRPr="004C5F62">
        <w:rPr>
          <w:rFonts w:ascii="Times New Roman" w:hAnsi="Times New Roman" w:cs="Times New Roman"/>
        </w:rPr>
        <w:t xml:space="preserve">the awarding of </w:t>
      </w:r>
      <w:r w:rsidR="00A249EC" w:rsidRPr="004C5F62">
        <w:rPr>
          <w:rFonts w:ascii="Times New Roman" w:hAnsi="Times New Roman" w:cs="Times New Roman"/>
        </w:rPr>
        <w:t xml:space="preserve">20 600 </w:t>
      </w:r>
      <w:proofErr w:type="gramStart"/>
      <w:r w:rsidR="00A249EC" w:rsidRPr="004C5F62">
        <w:rPr>
          <w:rFonts w:ascii="Times New Roman" w:hAnsi="Times New Roman" w:cs="Times New Roman"/>
        </w:rPr>
        <w:t>postgraduate</w:t>
      </w:r>
      <w:proofErr w:type="gramEnd"/>
      <w:r w:rsidR="00A249EC" w:rsidRPr="004C5F62">
        <w:rPr>
          <w:rFonts w:ascii="Times New Roman" w:hAnsi="Times New Roman" w:cs="Times New Roman"/>
        </w:rPr>
        <w:t xml:space="preserve"> and 7 400 doctoral STEMI bursaries. </w:t>
      </w:r>
    </w:p>
    <w:p w:rsidR="00A249EC" w:rsidRPr="004C5F62" w:rsidRDefault="00A249EC" w:rsidP="002A3C6A">
      <w:pPr>
        <w:spacing w:line="360" w:lineRule="auto"/>
        <w:rPr>
          <w:rFonts w:ascii="Times New Roman" w:hAnsi="Times New Roman" w:cs="Times New Roman"/>
        </w:rPr>
      </w:pPr>
    </w:p>
    <w:p w:rsidR="00A249EC" w:rsidRPr="004C5F62" w:rsidRDefault="00A249EC" w:rsidP="002A3C6A">
      <w:pPr>
        <w:spacing w:line="360" w:lineRule="auto"/>
        <w:rPr>
          <w:rFonts w:ascii="Times New Roman" w:hAnsi="Times New Roman" w:cs="Times New Roman"/>
        </w:rPr>
      </w:pPr>
      <w:r w:rsidRPr="004C5F62">
        <w:rPr>
          <w:rFonts w:ascii="Times New Roman" w:hAnsi="Times New Roman" w:cs="Times New Roman"/>
        </w:rPr>
        <w:t xml:space="preserve">Strategic initiatives that will receive specific attention include developing a framework for and draft of the South African Open Science Policy; developing a Postgraduate Funding Policy; developing a reporting </w:t>
      </w:r>
      <w:r w:rsidRPr="004C5F62">
        <w:rPr>
          <w:rFonts w:ascii="Times New Roman" w:hAnsi="Times New Roman" w:cs="Times New Roman"/>
        </w:rPr>
        <w:lastRenderedPageBreak/>
        <w:t>framework on postgraduate bursaries; developing a framework for an efficient, holistic financial aid ecosystem for both undergraduate and postgraduate funding; developing a policy on the training of postgraduate engineering students; implementing the digital platform for tracking NRF-funded students; finalising the South African Council for Natural Scientific Professions (</w:t>
      </w:r>
      <w:proofErr w:type="spellStart"/>
      <w:r w:rsidRPr="004C5F62">
        <w:rPr>
          <w:rFonts w:ascii="Times New Roman" w:hAnsi="Times New Roman" w:cs="Times New Roman"/>
        </w:rPr>
        <w:t>SACNaSP</w:t>
      </w:r>
      <w:proofErr w:type="spellEnd"/>
      <w:r w:rsidRPr="004C5F62">
        <w:rPr>
          <w:rFonts w:ascii="Times New Roman" w:hAnsi="Times New Roman" w:cs="Times New Roman"/>
        </w:rPr>
        <w:t>) Amendment Bill; and conducting a feasibility study for an astronomy institute.</w:t>
      </w:r>
    </w:p>
    <w:p w:rsidR="00A249EC" w:rsidRPr="004C5F62" w:rsidRDefault="00A249EC" w:rsidP="002A3C6A">
      <w:pPr>
        <w:spacing w:line="360" w:lineRule="auto"/>
        <w:rPr>
          <w:rFonts w:ascii="Times New Roman" w:hAnsi="Times New Roman" w:cs="Times New Roman"/>
        </w:rPr>
      </w:pPr>
    </w:p>
    <w:p w:rsidR="00A249EC" w:rsidRPr="00CF2534" w:rsidRDefault="00CF2534" w:rsidP="00CF2534">
      <w:pPr>
        <w:tabs>
          <w:tab w:val="left" w:pos="1134"/>
        </w:tabs>
        <w:spacing w:line="360" w:lineRule="auto"/>
        <w:rPr>
          <w:rFonts w:ascii="Times New Roman" w:hAnsi="Times New Roman" w:cs="Times New Roman"/>
        </w:rPr>
      </w:pPr>
      <w:r>
        <w:rPr>
          <w:rFonts w:ascii="Times New Roman" w:hAnsi="Times New Roman" w:cs="Times New Roman"/>
          <w:b/>
        </w:rPr>
        <w:t>3.5.</w:t>
      </w:r>
      <w:r>
        <w:rPr>
          <w:rFonts w:ascii="Times New Roman" w:hAnsi="Times New Roman" w:cs="Times New Roman"/>
          <w:b/>
        </w:rPr>
        <w:tab/>
      </w:r>
      <w:r w:rsidR="00A249EC" w:rsidRPr="00CF2534">
        <w:rPr>
          <w:rFonts w:ascii="Times New Roman" w:hAnsi="Times New Roman" w:cs="Times New Roman"/>
          <w:b/>
        </w:rPr>
        <w:t>Programme 5: Socio-Economic Innovation Partnerships</w:t>
      </w:r>
    </w:p>
    <w:p w:rsidR="00A249EC" w:rsidRPr="004C5F62" w:rsidRDefault="00A249EC" w:rsidP="002A3C6A">
      <w:pPr>
        <w:spacing w:line="360" w:lineRule="auto"/>
        <w:rPr>
          <w:rFonts w:ascii="Times New Roman" w:hAnsi="Times New Roman" w:cs="Times New Roman"/>
        </w:rPr>
      </w:pPr>
      <w:r w:rsidRPr="004C5F62">
        <w:rPr>
          <w:rFonts w:ascii="Times New Roman" w:hAnsi="Times New Roman" w:cs="Times New Roman"/>
        </w:rPr>
        <w:t>Programme 5 seeks to enhance the growth and development priorities of government through targeted STI interventions and the development of strategic partnerships with all levels of government, industry, research institutions and communities. It is responsible for 10 of the Department’s 2020/21 performance targets. Programme 5 has five sub-programmes; namely, Sector Innovation and Green Economy, Innovation for Inclusive Development, Science and Technology Investment, Technology Localisation, Beneficiation and Advanced Manufacturing, and the Office of the DDG.</w:t>
      </w:r>
    </w:p>
    <w:p w:rsidR="00EA6AA6" w:rsidRPr="004C5F62" w:rsidRDefault="00EA6AA6" w:rsidP="002A3C6A">
      <w:pPr>
        <w:spacing w:line="360" w:lineRule="auto"/>
        <w:rPr>
          <w:rFonts w:ascii="Times New Roman" w:hAnsi="Times New Roman" w:cs="Times New Roman"/>
          <w:lang w:val="en-ZA"/>
        </w:rPr>
      </w:pPr>
    </w:p>
    <w:p w:rsidR="00A249EC" w:rsidRPr="004C5F62" w:rsidRDefault="00A249EC" w:rsidP="002A3C6A">
      <w:pPr>
        <w:spacing w:line="360" w:lineRule="auto"/>
        <w:rPr>
          <w:rFonts w:ascii="Times New Roman" w:hAnsi="Times New Roman" w:cs="Times New Roman"/>
        </w:rPr>
      </w:pPr>
      <w:r w:rsidRPr="004C5F62">
        <w:rPr>
          <w:rFonts w:ascii="Times New Roman" w:hAnsi="Times New Roman" w:cs="Times New Roman"/>
        </w:rPr>
        <w:t xml:space="preserve">Programme 5 receives R1.89 billion (21.5%) of the Department’s total budget allocation. The increase in Programme 5’s budget, once adjusted for inflation, represents a real decrease of 1.1%, with only the Science and Technology Investment sub-programme receiving an above-inflation increase of 1.4%. The distribution of the allocation between sub-programmes </w:t>
      </w:r>
      <w:r w:rsidR="0047135A" w:rsidRPr="004C5F62">
        <w:rPr>
          <w:rFonts w:ascii="Times New Roman" w:hAnsi="Times New Roman" w:cs="Times New Roman"/>
        </w:rPr>
        <w:t>remains</w:t>
      </w:r>
      <w:r w:rsidRPr="004C5F62">
        <w:rPr>
          <w:rFonts w:ascii="Times New Roman" w:hAnsi="Times New Roman" w:cs="Times New Roman"/>
        </w:rPr>
        <w:t xml:space="preserve"> the same as in previous financial years, with Sector Innovation and Green Economy being allocated the largest share at 57% to establish high impact scientific research that would support the growth of environmental technologies and services in South Africa.</w:t>
      </w:r>
      <w:r w:rsidR="0047135A" w:rsidRPr="004C5F62">
        <w:rPr>
          <w:rFonts w:ascii="Times New Roman" w:hAnsi="Times New Roman" w:cs="Times New Roman"/>
        </w:rPr>
        <w:t xml:space="preserve"> Over the medium-</w:t>
      </w:r>
      <w:r w:rsidRPr="004C5F62">
        <w:rPr>
          <w:rFonts w:ascii="Times New Roman" w:hAnsi="Times New Roman" w:cs="Times New Roman"/>
        </w:rPr>
        <w:t xml:space="preserve">term, R5.8 billion will be invested in the development of industry, particularly in high‐potential fields such as aerospace, advanced manufacturing, chemicals, advanced metals, mining and ICT; the creation of instruments to increase the competitiveness of SMMEs; and youth, by fully funding and co‐funding 1 454 masters and doctoral students, and 590 interns. An estimated R3.4 billion of the R5.8 billion is earmarked for advancing technology‐based interventions intended to enhance South Africa’s economic competitiveness and increase exports, and R123.6 million of the R3.4 billion is to be invested in a range of ICT initiatives such as artificial intelligence, nanotechnology, quantum computing and biotechnology. Furthermore, activities related to advancing the development of a joint industry‐government Mining R&amp;D Hub will be funded through an allocation </w:t>
      </w:r>
      <w:r w:rsidR="0047135A" w:rsidRPr="004C5F62">
        <w:rPr>
          <w:rFonts w:ascii="Times New Roman" w:hAnsi="Times New Roman" w:cs="Times New Roman"/>
        </w:rPr>
        <w:t>of R1.2 billion over the medium-</w:t>
      </w:r>
      <w:r w:rsidRPr="004C5F62">
        <w:rPr>
          <w:rFonts w:ascii="Times New Roman" w:hAnsi="Times New Roman" w:cs="Times New Roman"/>
        </w:rPr>
        <w:t>term in the Innovation for Inclusive Development sub-programme.</w:t>
      </w:r>
    </w:p>
    <w:p w:rsidR="00A249EC" w:rsidRPr="004C5F62" w:rsidRDefault="00A249EC" w:rsidP="002A3C6A">
      <w:pPr>
        <w:spacing w:line="360" w:lineRule="auto"/>
        <w:rPr>
          <w:rFonts w:ascii="Times New Roman" w:hAnsi="Times New Roman" w:cs="Times New Roman"/>
        </w:rPr>
      </w:pPr>
    </w:p>
    <w:p w:rsidR="00A249EC" w:rsidRPr="004C5F62" w:rsidRDefault="00A249EC" w:rsidP="002A3C6A">
      <w:pPr>
        <w:spacing w:line="360" w:lineRule="auto"/>
        <w:rPr>
          <w:rFonts w:ascii="Times New Roman" w:hAnsi="Times New Roman" w:cs="Times New Roman"/>
        </w:rPr>
      </w:pPr>
      <w:r w:rsidRPr="004C5F62">
        <w:rPr>
          <w:rFonts w:ascii="Times New Roman" w:hAnsi="Times New Roman" w:cs="Times New Roman"/>
        </w:rPr>
        <w:t xml:space="preserve">Approximately 96.7% (R1.83 billion) of Programme 5’s budget is allocated to Transfers and subsidies, with the entities, NRF, HSRC and CSIR receiving R8.9 million, R337.6 million and R1.06 billion, respectively. </w:t>
      </w:r>
      <w:r w:rsidRPr="004C5F62">
        <w:rPr>
          <w:rFonts w:ascii="Times New Roman" w:hAnsi="Times New Roman" w:cs="Times New Roman"/>
        </w:rPr>
        <w:lastRenderedPageBreak/>
        <w:t>Other notable transfers include R148.8 million from the Economic Competitiveness and Support Package for research and technical support to local manufacturing capacity and local innovations for the cold chain technology project.</w:t>
      </w:r>
    </w:p>
    <w:p w:rsidR="00A249EC" w:rsidRPr="004C5F62" w:rsidRDefault="00A249EC" w:rsidP="002A3C6A">
      <w:pPr>
        <w:spacing w:line="360" w:lineRule="auto"/>
        <w:rPr>
          <w:rFonts w:ascii="Times New Roman" w:hAnsi="Times New Roman" w:cs="Times New Roman"/>
        </w:rPr>
      </w:pPr>
    </w:p>
    <w:p w:rsidR="00A249EC" w:rsidRPr="004C5F62" w:rsidRDefault="0047135A" w:rsidP="002A3C6A">
      <w:pPr>
        <w:spacing w:line="360" w:lineRule="auto"/>
        <w:rPr>
          <w:rFonts w:ascii="Times New Roman" w:hAnsi="Times New Roman" w:cs="Times New Roman"/>
        </w:rPr>
      </w:pPr>
      <w:r w:rsidRPr="004C5F62">
        <w:rPr>
          <w:rFonts w:ascii="Times New Roman" w:hAnsi="Times New Roman" w:cs="Times New Roman"/>
        </w:rPr>
        <w:t>Over the medium-</w:t>
      </w:r>
      <w:r w:rsidR="00A249EC" w:rsidRPr="004C5F62">
        <w:rPr>
          <w:rFonts w:ascii="Times New Roman" w:hAnsi="Times New Roman" w:cs="Times New Roman"/>
        </w:rPr>
        <w:t>term, Programme 5 will focus on how science and technology can be used to achieve inclusive development; identify, grow and sustain niche, high‐potential STI capabilities for sustainable development, the greening of society and the economy, and improve the competitiveness of existing industries; strengthen provincial and rural innovation and production systems; enhance understanding and analysis that support improvements in the functioning and performance of the NSI; and introduce and manage interventions and incentive programmes that increase the level of private sector investment in scientific or technological R&amp;D. Policy initiatives that wil</w:t>
      </w:r>
      <w:r w:rsidR="00BD1DE1" w:rsidRPr="004C5F62">
        <w:rPr>
          <w:rFonts w:ascii="Times New Roman" w:hAnsi="Times New Roman" w:cs="Times New Roman"/>
        </w:rPr>
        <w:t>l be focused on over the medium-</w:t>
      </w:r>
      <w:r w:rsidR="00A249EC" w:rsidRPr="004C5F62">
        <w:rPr>
          <w:rFonts w:ascii="Times New Roman" w:hAnsi="Times New Roman" w:cs="Times New Roman"/>
        </w:rPr>
        <w:t>term include increasing the spatial footprint of the Living Labs in community learning centres; examining how the Preferential Procurement Policy Framework Act can transform service delivery; and reviv</w:t>
      </w:r>
      <w:r w:rsidR="00BD1DE1" w:rsidRPr="004C5F62">
        <w:rPr>
          <w:rFonts w:ascii="Times New Roman" w:hAnsi="Times New Roman" w:cs="Times New Roman"/>
        </w:rPr>
        <w:t>ing</w:t>
      </w:r>
      <w:r w:rsidR="00A249EC" w:rsidRPr="004C5F62">
        <w:rPr>
          <w:rFonts w:ascii="Times New Roman" w:hAnsi="Times New Roman" w:cs="Times New Roman"/>
        </w:rPr>
        <w:t xml:space="preserve"> and develop</w:t>
      </w:r>
      <w:r w:rsidR="00BD1DE1" w:rsidRPr="004C5F62">
        <w:rPr>
          <w:rFonts w:ascii="Times New Roman" w:hAnsi="Times New Roman" w:cs="Times New Roman"/>
        </w:rPr>
        <w:t>ing</w:t>
      </w:r>
      <w:r w:rsidR="00A249EC" w:rsidRPr="004C5F62">
        <w:rPr>
          <w:rFonts w:ascii="Times New Roman" w:hAnsi="Times New Roman" w:cs="Times New Roman"/>
        </w:rPr>
        <w:t xml:space="preserve"> a position paper on the STI Budget Coordination Mechanism and the arrangements finalised with National Treasury and STI-intensive national government departments.</w:t>
      </w:r>
    </w:p>
    <w:p w:rsidR="00E76696" w:rsidRPr="004C5F62" w:rsidRDefault="00E76696" w:rsidP="002A3C6A">
      <w:pPr>
        <w:spacing w:line="360" w:lineRule="auto"/>
        <w:rPr>
          <w:rFonts w:ascii="Times New Roman" w:hAnsi="Times New Roman" w:cs="Times New Roman"/>
        </w:rPr>
      </w:pPr>
    </w:p>
    <w:p w:rsidR="00E76696" w:rsidRDefault="00CF2534" w:rsidP="00CF2534">
      <w:pPr>
        <w:tabs>
          <w:tab w:val="left" w:pos="1134"/>
        </w:tabs>
        <w:spacing w:line="360" w:lineRule="auto"/>
        <w:rPr>
          <w:rFonts w:ascii="Times New Roman" w:hAnsi="Times New Roman" w:cs="Times New Roman"/>
          <w:b/>
        </w:rPr>
      </w:pPr>
      <w:r>
        <w:rPr>
          <w:rFonts w:ascii="Times New Roman" w:hAnsi="Times New Roman" w:cs="Times New Roman"/>
          <w:b/>
        </w:rPr>
        <w:t>3.6.</w:t>
      </w:r>
      <w:r>
        <w:rPr>
          <w:rFonts w:ascii="Times New Roman" w:hAnsi="Times New Roman" w:cs="Times New Roman"/>
          <w:b/>
        </w:rPr>
        <w:tab/>
      </w:r>
      <w:r w:rsidR="00E76696" w:rsidRPr="00CF2534">
        <w:rPr>
          <w:rFonts w:ascii="Times New Roman" w:hAnsi="Times New Roman" w:cs="Times New Roman"/>
          <w:b/>
        </w:rPr>
        <w:t xml:space="preserve">Budgetary allocations in support of COVID-19 </w:t>
      </w:r>
      <w:r w:rsidR="00D87C2E" w:rsidRPr="00CF2534">
        <w:rPr>
          <w:rFonts w:ascii="Times New Roman" w:hAnsi="Times New Roman" w:cs="Times New Roman"/>
          <w:b/>
        </w:rPr>
        <w:t>interventions</w:t>
      </w:r>
    </w:p>
    <w:p w:rsidR="00CF2534" w:rsidRPr="00CF2534" w:rsidRDefault="00CF2534" w:rsidP="00CF2534">
      <w:pPr>
        <w:tabs>
          <w:tab w:val="left" w:pos="1134"/>
        </w:tabs>
        <w:spacing w:line="360" w:lineRule="auto"/>
        <w:rPr>
          <w:rFonts w:ascii="Times New Roman" w:hAnsi="Times New Roman" w:cs="Times New Roman"/>
          <w:b/>
        </w:rPr>
      </w:pPr>
    </w:p>
    <w:p w:rsidR="00E76696" w:rsidRPr="004C5F62" w:rsidRDefault="00D87C2E" w:rsidP="002A3C6A">
      <w:pPr>
        <w:tabs>
          <w:tab w:val="left" w:pos="1134"/>
        </w:tabs>
        <w:spacing w:line="360" w:lineRule="auto"/>
        <w:rPr>
          <w:rFonts w:ascii="Times New Roman" w:hAnsi="Times New Roman" w:cs="Times New Roman"/>
        </w:rPr>
      </w:pPr>
      <w:r w:rsidRPr="004C5F62">
        <w:rPr>
          <w:rFonts w:ascii="Times New Roman" w:hAnsi="Times New Roman" w:cs="Times New Roman"/>
        </w:rPr>
        <w:t>The Department reported that it has, to date, reallocated R324</w:t>
      </w:r>
      <w:r w:rsidR="00BA0BA7" w:rsidRPr="004C5F62">
        <w:rPr>
          <w:rFonts w:ascii="Times New Roman" w:hAnsi="Times New Roman" w:cs="Times New Roman"/>
        </w:rPr>
        <w:t>.2</w:t>
      </w:r>
      <w:r w:rsidRPr="004C5F62">
        <w:rPr>
          <w:rFonts w:ascii="Times New Roman" w:hAnsi="Times New Roman" w:cs="Times New Roman"/>
        </w:rPr>
        <w:t xml:space="preserve"> million to support a range of COVID-19 interventions. The specific amounts taken from each Programme and its intended purpose is outlined in Table 2.</w:t>
      </w:r>
    </w:p>
    <w:p w:rsidR="00D87C2E" w:rsidRPr="004C5F62" w:rsidRDefault="00D87C2E" w:rsidP="002A3C6A">
      <w:pPr>
        <w:tabs>
          <w:tab w:val="left" w:pos="1134"/>
        </w:tabs>
        <w:spacing w:line="360" w:lineRule="auto"/>
        <w:rPr>
          <w:rFonts w:ascii="Times New Roman" w:hAnsi="Times New Roman" w:cs="Times New Roman"/>
        </w:rPr>
      </w:pPr>
    </w:p>
    <w:p w:rsidR="00D87C2E" w:rsidRPr="004C5F62" w:rsidRDefault="00D87C2E" w:rsidP="002A3C6A">
      <w:pPr>
        <w:tabs>
          <w:tab w:val="left" w:pos="1134"/>
        </w:tabs>
        <w:spacing w:line="360" w:lineRule="auto"/>
        <w:rPr>
          <w:rFonts w:ascii="Times New Roman" w:hAnsi="Times New Roman" w:cs="Times New Roman"/>
          <w:b/>
        </w:rPr>
      </w:pPr>
      <w:r w:rsidRPr="004C5F62">
        <w:rPr>
          <w:rFonts w:ascii="Times New Roman" w:hAnsi="Times New Roman" w:cs="Times New Roman"/>
          <w:b/>
        </w:rPr>
        <w:t>Table 2: Budgetary allocations in support of COVID-19 interventions</w:t>
      </w:r>
    </w:p>
    <w:tbl>
      <w:tblPr>
        <w:tblStyle w:val="TableGrid"/>
        <w:tblW w:w="0" w:type="auto"/>
        <w:tblLook w:val="04A0" w:firstRow="1" w:lastRow="0" w:firstColumn="1" w:lastColumn="0" w:noHBand="0" w:noVBand="1"/>
      </w:tblPr>
      <w:tblGrid>
        <w:gridCol w:w="1835"/>
        <w:gridCol w:w="1057"/>
        <w:gridCol w:w="4847"/>
        <w:gridCol w:w="2563"/>
      </w:tblGrid>
      <w:tr w:rsidR="00D87C2E" w:rsidRPr="004C5F62" w:rsidTr="00334AF0">
        <w:tc>
          <w:tcPr>
            <w:tcW w:w="1838" w:type="dxa"/>
            <w:shd w:val="clear" w:color="auto" w:fill="auto"/>
          </w:tcPr>
          <w:p w:rsidR="00D87C2E" w:rsidRPr="004C5F62" w:rsidRDefault="00BA0BA7" w:rsidP="002A3C6A">
            <w:pPr>
              <w:tabs>
                <w:tab w:val="left" w:pos="1134"/>
              </w:tabs>
              <w:spacing w:line="360" w:lineRule="auto"/>
              <w:jc w:val="center"/>
              <w:rPr>
                <w:rFonts w:ascii="Times New Roman" w:hAnsi="Times New Roman" w:cs="Times New Roman"/>
                <w:b/>
              </w:rPr>
            </w:pPr>
            <w:r w:rsidRPr="004C5F62">
              <w:rPr>
                <w:rFonts w:ascii="Times New Roman" w:hAnsi="Times New Roman" w:cs="Times New Roman"/>
                <w:b/>
              </w:rPr>
              <w:t>Programme</w:t>
            </w:r>
          </w:p>
        </w:tc>
        <w:tc>
          <w:tcPr>
            <w:tcW w:w="992" w:type="dxa"/>
            <w:shd w:val="clear" w:color="auto" w:fill="auto"/>
          </w:tcPr>
          <w:p w:rsidR="00D87C2E" w:rsidRPr="004C5F62" w:rsidRDefault="00BA0BA7" w:rsidP="002A3C6A">
            <w:pPr>
              <w:tabs>
                <w:tab w:val="left" w:pos="1134"/>
              </w:tabs>
              <w:spacing w:line="360" w:lineRule="auto"/>
              <w:jc w:val="center"/>
              <w:rPr>
                <w:rFonts w:ascii="Times New Roman" w:hAnsi="Times New Roman" w:cs="Times New Roman"/>
                <w:b/>
              </w:rPr>
            </w:pPr>
            <w:r w:rsidRPr="004C5F62">
              <w:rPr>
                <w:rFonts w:ascii="Times New Roman" w:hAnsi="Times New Roman" w:cs="Times New Roman"/>
                <w:b/>
              </w:rPr>
              <w:t>Amount</w:t>
            </w:r>
          </w:p>
          <w:p w:rsidR="00BA0BA7" w:rsidRPr="004C5F62" w:rsidRDefault="00BA0BA7" w:rsidP="002A3C6A">
            <w:pPr>
              <w:tabs>
                <w:tab w:val="left" w:pos="1134"/>
              </w:tabs>
              <w:spacing w:line="360" w:lineRule="auto"/>
              <w:jc w:val="center"/>
              <w:rPr>
                <w:rFonts w:ascii="Times New Roman" w:hAnsi="Times New Roman" w:cs="Times New Roman"/>
                <w:b/>
              </w:rPr>
            </w:pPr>
            <w:r w:rsidRPr="004C5F62">
              <w:rPr>
                <w:rFonts w:ascii="Times New Roman" w:hAnsi="Times New Roman" w:cs="Times New Roman"/>
                <w:b/>
              </w:rPr>
              <w:t>R’000</w:t>
            </w:r>
          </w:p>
        </w:tc>
        <w:tc>
          <w:tcPr>
            <w:tcW w:w="4896" w:type="dxa"/>
            <w:shd w:val="clear" w:color="auto" w:fill="auto"/>
          </w:tcPr>
          <w:p w:rsidR="00D87C2E" w:rsidRPr="004C5F62" w:rsidRDefault="00BA0BA7" w:rsidP="002A3C6A">
            <w:pPr>
              <w:tabs>
                <w:tab w:val="left" w:pos="1134"/>
              </w:tabs>
              <w:spacing w:line="360" w:lineRule="auto"/>
              <w:jc w:val="center"/>
              <w:rPr>
                <w:rFonts w:ascii="Times New Roman" w:hAnsi="Times New Roman" w:cs="Times New Roman"/>
                <w:b/>
              </w:rPr>
            </w:pPr>
            <w:r w:rsidRPr="004C5F62">
              <w:rPr>
                <w:rFonts w:ascii="Times New Roman" w:hAnsi="Times New Roman" w:cs="Times New Roman"/>
                <w:b/>
              </w:rPr>
              <w:t>Intervention</w:t>
            </w:r>
          </w:p>
        </w:tc>
        <w:tc>
          <w:tcPr>
            <w:tcW w:w="2576" w:type="dxa"/>
            <w:shd w:val="clear" w:color="auto" w:fill="auto"/>
          </w:tcPr>
          <w:p w:rsidR="00D87C2E" w:rsidRPr="004C5F62" w:rsidRDefault="00BA0BA7" w:rsidP="002A3C6A">
            <w:pPr>
              <w:tabs>
                <w:tab w:val="left" w:pos="1134"/>
              </w:tabs>
              <w:spacing w:line="360" w:lineRule="auto"/>
              <w:jc w:val="center"/>
              <w:rPr>
                <w:rFonts w:ascii="Times New Roman" w:hAnsi="Times New Roman" w:cs="Times New Roman"/>
                <w:b/>
              </w:rPr>
            </w:pPr>
            <w:r w:rsidRPr="004C5F62">
              <w:rPr>
                <w:rFonts w:ascii="Times New Roman" w:hAnsi="Times New Roman" w:cs="Times New Roman"/>
                <w:b/>
              </w:rPr>
              <w:t>Impact</w:t>
            </w:r>
            <w:r w:rsidR="00CC66E0" w:rsidRPr="004C5F62">
              <w:rPr>
                <w:rFonts w:ascii="Times New Roman" w:hAnsi="Times New Roman" w:cs="Times New Roman"/>
                <w:b/>
              </w:rPr>
              <w:t xml:space="preserve"> on Programme</w:t>
            </w:r>
          </w:p>
        </w:tc>
      </w:tr>
      <w:tr w:rsidR="00D87C2E" w:rsidRPr="004C5F62" w:rsidTr="00C8333A">
        <w:tc>
          <w:tcPr>
            <w:tcW w:w="1838" w:type="dxa"/>
            <w:shd w:val="clear" w:color="auto" w:fill="auto"/>
          </w:tcPr>
          <w:p w:rsidR="00D87C2E" w:rsidRPr="004C5F62" w:rsidRDefault="00BA0BA7" w:rsidP="002A3C6A">
            <w:pPr>
              <w:tabs>
                <w:tab w:val="left" w:pos="1134"/>
              </w:tabs>
              <w:spacing w:line="360" w:lineRule="auto"/>
              <w:jc w:val="left"/>
              <w:rPr>
                <w:rFonts w:ascii="Times New Roman" w:hAnsi="Times New Roman" w:cs="Times New Roman"/>
              </w:rPr>
            </w:pPr>
            <w:r w:rsidRPr="004C5F62">
              <w:rPr>
                <w:rFonts w:ascii="Times New Roman" w:hAnsi="Times New Roman" w:cs="Times New Roman"/>
              </w:rPr>
              <w:t>Administration</w:t>
            </w:r>
          </w:p>
        </w:tc>
        <w:tc>
          <w:tcPr>
            <w:tcW w:w="992" w:type="dxa"/>
            <w:shd w:val="clear" w:color="auto" w:fill="auto"/>
          </w:tcPr>
          <w:p w:rsidR="00D87C2E" w:rsidRPr="004C5F62" w:rsidRDefault="00CC66E0" w:rsidP="002A3C6A">
            <w:pPr>
              <w:tabs>
                <w:tab w:val="left" w:pos="1134"/>
              </w:tabs>
              <w:spacing w:line="360" w:lineRule="auto"/>
              <w:jc w:val="right"/>
              <w:rPr>
                <w:rFonts w:ascii="Times New Roman" w:hAnsi="Times New Roman" w:cs="Times New Roman"/>
              </w:rPr>
            </w:pPr>
            <w:r w:rsidRPr="004C5F62">
              <w:rPr>
                <w:rFonts w:ascii="Times New Roman" w:hAnsi="Times New Roman" w:cs="Times New Roman"/>
              </w:rPr>
              <w:t>1 659</w:t>
            </w:r>
          </w:p>
        </w:tc>
        <w:tc>
          <w:tcPr>
            <w:tcW w:w="4896" w:type="dxa"/>
            <w:shd w:val="clear" w:color="auto" w:fill="auto"/>
          </w:tcPr>
          <w:p w:rsidR="00D87C2E" w:rsidRPr="004C5F62" w:rsidRDefault="00CC66E0" w:rsidP="002A3C6A">
            <w:pPr>
              <w:tabs>
                <w:tab w:val="left" w:pos="1134"/>
              </w:tabs>
              <w:spacing w:line="360" w:lineRule="auto"/>
              <w:rPr>
                <w:rFonts w:ascii="Times New Roman" w:hAnsi="Times New Roman" w:cs="Times New Roman"/>
              </w:rPr>
            </w:pPr>
            <w:r w:rsidRPr="004C5F62">
              <w:rPr>
                <w:rFonts w:ascii="Times New Roman" w:hAnsi="Times New Roman" w:cs="Times New Roman"/>
                <w:lang w:val="en-ZA"/>
              </w:rPr>
              <w:t>Employees' Health and safety. Provision of digital communication strategy services.</w:t>
            </w:r>
          </w:p>
        </w:tc>
        <w:tc>
          <w:tcPr>
            <w:tcW w:w="2576" w:type="dxa"/>
            <w:shd w:val="clear" w:color="auto" w:fill="auto"/>
          </w:tcPr>
          <w:p w:rsidR="00D87C2E" w:rsidRPr="004C5F62" w:rsidRDefault="00CC66E0" w:rsidP="002A3C6A">
            <w:pPr>
              <w:tabs>
                <w:tab w:val="left" w:pos="1134"/>
              </w:tabs>
              <w:spacing w:line="360" w:lineRule="auto"/>
              <w:rPr>
                <w:rFonts w:ascii="Times New Roman" w:hAnsi="Times New Roman" w:cs="Times New Roman"/>
              </w:rPr>
            </w:pPr>
            <w:r w:rsidRPr="004C5F62">
              <w:rPr>
                <w:rFonts w:ascii="Times New Roman" w:hAnsi="Times New Roman" w:cs="Times New Roman"/>
              </w:rPr>
              <w:t>None. Funded from savings under goods and services.</w:t>
            </w:r>
          </w:p>
        </w:tc>
      </w:tr>
      <w:tr w:rsidR="00D87C2E" w:rsidRPr="004C5F62" w:rsidTr="00C8333A">
        <w:tc>
          <w:tcPr>
            <w:tcW w:w="1838" w:type="dxa"/>
            <w:shd w:val="clear" w:color="auto" w:fill="auto"/>
          </w:tcPr>
          <w:p w:rsidR="00D87C2E" w:rsidRPr="004C5F62" w:rsidRDefault="00BA0BA7" w:rsidP="002A3C6A">
            <w:pPr>
              <w:tabs>
                <w:tab w:val="left" w:pos="1134"/>
              </w:tabs>
              <w:spacing w:line="360" w:lineRule="auto"/>
              <w:jc w:val="left"/>
              <w:rPr>
                <w:rFonts w:ascii="Times New Roman" w:hAnsi="Times New Roman" w:cs="Times New Roman"/>
              </w:rPr>
            </w:pPr>
            <w:r w:rsidRPr="004C5F62">
              <w:rPr>
                <w:rFonts w:ascii="Times New Roman" w:hAnsi="Times New Roman" w:cs="Times New Roman"/>
              </w:rPr>
              <w:t>Technology Innovation</w:t>
            </w:r>
          </w:p>
        </w:tc>
        <w:tc>
          <w:tcPr>
            <w:tcW w:w="992" w:type="dxa"/>
            <w:shd w:val="clear" w:color="auto" w:fill="auto"/>
          </w:tcPr>
          <w:p w:rsidR="00D87C2E" w:rsidRPr="004C5F62" w:rsidRDefault="00CC66E0" w:rsidP="002A3C6A">
            <w:pPr>
              <w:tabs>
                <w:tab w:val="left" w:pos="1134"/>
              </w:tabs>
              <w:spacing w:line="360" w:lineRule="auto"/>
              <w:jc w:val="right"/>
              <w:rPr>
                <w:rFonts w:ascii="Times New Roman" w:hAnsi="Times New Roman" w:cs="Times New Roman"/>
              </w:rPr>
            </w:pPr>
            <w:r w:rsidRPr="004C5F62">
              <w:rPr>
                <w:rFonts w:ascii="Times New Roman" w:hAnsi="Times New Roman" w:cs="Times New Roman"/>
              </w:rPr>
              <w:t>102 516</w:t>
            </w:r>
          </w:p>
        </w:tc>
        <w:tc>
          <w:tcPr>
            <w:tcW w:w="4896" w:type="dxa"/>
            <w:shd w:val="clear" w:color="auto" w:fill="auto"/>
          </w:tcPr>
          <w:p w:rsidR="00CC66E0" w:rsidRPr="004C5F62" w:rsidRDefault="00CC66E0" w:rsidP="002A3C6A">
            <w:pPr>
              <w:tabs>
                <w:tab w:val="left" w:pos="1134"/>
              </w:tabs>
              <w:spacing w:line="360" w:lineRule="auto"/>
              <w:rPr>
                <w:rFonts w:ascii="Times New Roman" w:hAnsi="Times New Roman" w:cs="Times New Roman"/>
                <w:lang w:val="en-ZA"/>
              </w:rPr>
            </w:pPr>
            <w:r w:rsidRPr="004C5F62">
              <w:rPr>
                <w:rFonts w:ascii="Times New Roman" w:hAnsi="Times New Roman" w:cs="Times New Roman"/>
                <w:lang w:val="en-ZA"/>
              </w:rPr>
              <w:t>Development of COVID-19 Indigenous knowledge-based remedies.</w:t>
            </w:r>
          </w:p>
          <w:p w:rsidR="00CC66E0" w:rsidRPr="004C5F62" w:rsidRDefault="00CC66E0" w:rsidP="002A3C6A">
            <w:pPr>
              <w:tabs>
                <w:tab w:val="left" w:pos="1134"/>
              </w:tabs>
              <w:spacing w:line="360" w:lineRule="auto"/>
              <w:rPr>
                <w:rFonts w:ascii="Times New Roman" w:hAnsi="Times New Roman" w:cs="Times New Roman"/>
                <w:lang w:val="en-ZA"/>
              </w:rPr>
            </w:pPr>
            <w:r w:rsidRPr="004C5F62">
              <w:rPr>
                <w:rFonts w:ascii="Times New Roman" w:hAnsi="Times New Roman" w:cs="Times New Roman"/>
                <w:lang w:val="en-ZA"/>
              </w:rPr>
              <w:t>Development and manufacturing of testing kits and reagents, including rapid test.</w:t>
            </w:r>
          </w:p>
          <w:p w:rsidR="00CC66E0" w:rsidRPr="004C5F62" w:rsidRDefault="00CC66E0" w:rsidP="002A3C6A">
            <w:pPr>
              <w:tabs>
                <w:tab w:val="left" w:pos="1134"/>
              </w:tabs>
              <w:spacing w:line="360" w:lineRule="auto"/>
              <w:rPr>
                <w:rFonts w:ascii="Times New Roman" w:hAnsi="Times New Roman" w:cs="Times New Roman"/>
                <w:lang w:val="en-ZA"/>
              </w:rPr>
            </w:pPr>
            <w:r w:rsidRPr="004C5F62">
              <w:rPr>
                <w:rFonts w:ascii="Times New Roman" w:hAnsi="Times New Roman" w:cs="Times New Roman"/>
                <w:lang w:val="en-ZA"/>
              </w:rPr>
              <w:lastRenderedPageBreak/>
              <w:t>Study for repurposing of drugs.</w:t>
            </w:r>
          </w:p>
          <w:p w:rsidR="00D87C2E" w:rsidRPr="004C5F62" w:rsidRDefault="00CC66E0" w:rsidP="002A3C6A">
            <w:pPr>
              <w:tabs>
                <w:tab w:val="left" w:pos="1134"/>
              </w:tabs>
              <w:spacing w:line="360" w:lineRule="auto"/>
              <w:rPr>
                <w:rFonts w:ascii="Times New Roman" w:hAnsi="Times New Roman" w:cs="Times New Roman"/>
              </w:rPr>
            </w:pPr>
            <w:r w:rsidRPr="004C5F62">
              <w:rPr>
                <w:rFonts w:ascii="Times New Roman" w:hAnsi="Times New Roman" w:cs="Times New Roman"/>
                <w:lang w:val="en-ZA"/>
              </w:rPr>
              <w:t xml:space="preserve">Acquisition of high resolution satellite imagery for settlement layer and mapping of </w:t>
            </w:r>
            <w:proofErr w:type="spellStart"/>
            <w:r w:rsidRPr="004C5F62">
              <w:rPr>
                <w:rFonts w:ascii="Times New Roman" w:hAnsi="Times New Roman" w:cs="Times New Roman"/>
                <w:lang w:val="en-ZA"/>
              </w:rPr>
              <w:t>Spaza</w:t>
            </w:r>
            <w:proofErr w:type="spellEnd"/>
            <w:r w:rsidRPr="004C5F62">
              <w:rPr>
                <w:rFonts w:ascii="Times New Roman" w:hAnsi="Times New Roman" w:cs="Times New Roman"/>
                <w:lang w:val="en-ZA"/>
              </w:rPr>
              <w:t xml:space="preserve"> shops and hotspots.</w:t>
            </w:r>
          </w:p>
        </w:tc>
        <w:tc>
          <w:tcPr>
            <w:tcW w:w="2576" w:type="dxa"/>
            <w:shd w:val="clear" w:color="auto" w:fill="auto"/>
          </w:tcPr>
          <w:p w:rsidR="00D87C2E" w:rsidRPr="004C5F62" w:rsidRDefault="00CC66E0" w:rsidP="00C8333A">
            <w:pPr>
              <w:tabs>
                <w:tab w:val="left" w:pos="1134"/>
              </w:tabs>
              <w:spacing w:line="360" w:lineRule="auto"/>
              <w:rPr>
                <w:rFonts w:ascii="Times New Roman" w:hAnsi="Times New Roman" w:cs="Times New Roman"/>
              </w:rPr>
            </w:pPr>
            <w:r w:rsidRPr="004C5F62">
              <w:rPr>
                <w:rFonts w:ascii="Times New Roman" w:hAnsi="Times New Roman" w:cs="Times New Roman"/>
                <w:lang w:val="en-ZA"/>
              </w:rPr>
              <w:lastRenderedPageBreak/>
              <w:t xml:space="preserve">Projects and programmes to be deferred. No impact in the long term on the </w:t>
            </w:r>
            <w:r w:rsidRPr="004C5F62">
              <w:rPr>
                <w:rFonts w:ascii="Times New Roman" w:hAnsi="Times New Roman" w:cs="Times New Roman"/>
                <w:lang w:val="en-ZA"/>
              </w:rPr>
              <w:lastRenderedPageBreak/>
              <w:t>contracted projects, partly because the implementation is delayed due to the COVID-19 outbreak.</w:t>
            </w:r>
          </w:p>
        </w:tc>
      </w:tr>
      <w:tr w:rsidR="00D87C2E" w:rsidRPr="004C5F62" w:rsidTr="00C8333A">
        <w:tc>
          <w:tcPr>
            <w:tcW w:w="1838" w:type="dxa"/>
            <w:shd w:val="clear" w:color="auto" w:fill="auto"/>
          </w:tcPr>
          <w:p w:rsidR="00D87C2E" w:rsidRPr="004C5F62" w:rsidRDefault="00BA0BA7" w:rsidP="002A3C6A">
            <w:pPr>
              <w:tabs>
                <w:tab w:val="left" w:pos="1134"/>
              </w:tabs>
              <w:spacing w:line="360" w:lineRule="auto"/>
              <w:jc w:val="left"/>
              <w:rPr>
                <w:rFonts w:ascii="Times New Roman" w:hAnsi="Times New Roman" w:cs="Times New Roman"/>
              </w:rPr>
            </w:pPr>
            <w:r w:rsidRPr="004C5F62">
              <w:rPr>
                <w:rFonts w:ascii="Times New Roman" w:hAnsi="Times New Roman" w:cs="Times New Roman"/>
              </w:rPr>
              <w:lastRenderedPageBreak/>
              <w:t>International Cooperation and Resources</w:t>
            </w:r>
          </w:p>
        </w:tc>
        <w:tc>
          <w:tcPr>
            <w:tcW w:w="992" w:type="dxa"/>
            <w:shd w:val="clear" w:color="auto" w:fill="auto"/>
          </w:tcPr>
          <w:p w:rsidR="00D87C2E" w:rsidRPr="004C5F62" w:rsidRDefault="00CC66E0" w:rsidP="002A3C6A">
            <w:pPr>
              <w:tabs>
                <w:tab w:val="left" w:pos="1134"/>
              </w:tabs>
              <w:spacing w:line="360" w:lineRule="auto"/>
              <w:jc w:val="right"/>
              <w:rPr>
                <w:rFonts w:ascii="Times New Roman" w:hAnsi="Times New Roman" w:cs="Times New Roman"/>
              </w:rPr>
            </w:pPr>
            <w:r w:rsidRPr="004C5F62">
              <w:rPr>
                <w:rFonts w:ascii="Times New Roman" w:hAnsi="Times New Roman" w:cs="Times New Roman"/>
              </w:rPr>
              <w:t>35 000</w:t>
            </w:r>
          </w:p>
        </w:tc>
        <w:tc>
          <w:tcPr>
            <w:tcW w:w="4896" w:type="dxa"/>
            <w:shd w:val="clear" w:color="auto" w:fill="auto"/>
          </w:tcPr>
          <w:p w:rsidR="00CC66E0" w:rsidRPr="004C5F62" w:rsidRDefault="00CC66E0" w:rsidP="002A3C6A">
            <w:pPr>
              <w:tabs>
                <w:tab w:val="left" w:pos="1134"/>
              </w:tabs>
              <w:spacing w:line="360" w:lineRule="auto"/>
              <w:rPr>
                <w:rFonts w:ascii="Times New Roman" w:hAnsi="Times New Roman" w:cs="Times New Roman"/>
                <w:lang w:val="en-ZA"/>
              </w:rPr>
            </w:pPr>
            <w:r w:rsidRPr="004C5F62">
              <w:rPr>
                <w:rFonts w:ascii="Times New Roman" w:hAnsi="Times New Roman" w:cs="Times New Roman"/>
                <w:lang w:val="en-ZA"/>
              </w:rPr>
              <w:t>R15 million: Co-funding for a special African rapid response to COVID-19 research fund to be administrated by the NRF for cooperation with 15 other African countries – Canada, Germany and the UK have made available R75 million to the fund – meaning the South African investment leveraged foreign investment at a ratio of 1:5.</w:t>
            </w:r>
          </w:p>
          <w:p w:rsidR="00CC66E0" w:rsidRPr="004C5F62" w:rsidRDefault="00CC66E0" w:rsidP="002A3C6A">
            <w:pPr>
              <w:tabs>
                <w:tab w:val="left" w:pos="1134"/>
              </w:tabs>
              <w:spacing w:line="360" w:lineRule="auto"/>
              <w:rPr>
                <w:rFonts w:ascii="Times New Roman" w:hAnsi="Times New Roman" w:cs="Times New Roman"/>
                <w:lang w:val="en-ZA"/>
              </w:rPr>
            </w:pPr>
          </w:p>
          <w:p w:rsidR="00D87C2E" w:rsidRPr="004C5F62" w:rsidRDefault="00CC66E0" w:rsidP="002A3C6A">
            <w:pPr>
              <w:tabs>
                <w:tab w:val="left" w:pos="1134"/>
              </w:tabs>
              <w:spacing w:line="360" w:lineRule="auto"/>
              <w:rPr>
                <w:rFonts w:ascii="Times New Roman" w:hAnsi="Times New Roman" w:cs="Times New Roman"/>
              </w:rPr>
            </w:pPr>
            <w:r w:rsidRPr="004C5F62">
              <w:rPr>
                <w:rFonts w:ascii="Times New Roman" w:hAnsi="Times New Roman" w:cs="Times New Roman"/>
                <w:lang w:val="en-ZA"/>
              </w:rPr>
              <w:t>R20 million: Co-funding of South African participation in various COVID-19 research and innovation programmes funded by the European Union such as the European Developing Countries Clinical Trials Partnership and the EUREKA Life without a Vaccine programme.</w:t>
            </w:r>
          </w:p>
        </w:tc>
        <w:tc>
          <w:tcPr>
            <w:tcW w:w="2576" w:type="dxa"/>
            <w:shd w:val="clear" w:color="auto" w:fill="auto"/>
          </w:tcPr>
          <w:p w:rsidR="00A34607" w:rsidRPr="004C5F62" w:rsidRDefault="00A34607" w:rsidP="002A3C6A">
            <w:pPr>
              <w:tabs>
                <w:tab w:val="left" w:pos="1134"/>
              </w:tabs>
              <w:spacing w:line="360" w:lineRule="auto"/>
              <w:rPr>
                <w:rFonts w:ascii="Times New Roman" w:hAnsi="Times New Roman" w:cs="Times New Roman"/>
                <w:lang w:val="en-ZA"/>
              </w:rPr>
            </w:pPr>
            <w:r w:rsidRPr="004C5F62">
              <w:rPr>
                <w:rFonts w:ascii="Times New Roman" w:hAnsi="Times New Roman" w:cs="Times New Roman"/>
                <w:lang w:val="en-ZA"/>
              </w:rPr>
              <w:t>Delay funding other projects.</w:t>
            </w:r>
          </w:p>
          <w:p w:rsidR="00D87C2E" w:rsidRPr="004C5F62" w:rsidRDefault="00D87C2E" w:rsidP="002A3C6A">
            <w:pPr>
              <w:tabs>
                <w:tab w:val="left" w:pos="1134"/>
              </w:tabs>
              <w:spacing w:line="360" w:lineRule="auto"/>
              <w:rPr>
                <w:rFonts w:ascii="Times New Roman" w:hAnsi="Times New Roman" w:cs="Times New Roman"/>
              </w:rPr>
            </w:pPr>
          </w:p>
        </w:tc>
      </w:tr>
      <w:tr w:rsidR="00D87C2E" w:rsidRPr="004C5F62" w:rsidTr="00C8333A">
        <w:tc>
          <w:tcPr>
            <w:tcW w:w="1838" w:type="dxa"/>
            <w:shd w:val="clear" w:color="auto" w:fill="auto"/>
          </w:tcPr>
          <w:p w:rsidR="00D87C2E" w:rsidRPr="004C5F62" w:rsidRDefault="00BA0BA7" w:rsidP="002A3C6A">
            <w:pPr>
              <w:tabs>
                <w:tab w:val="left" w:pos="1134"/>
              </w:tabs>
              <w:spacing w:line="360" w:lineRule="auto"/>
              <w:jc w:val="left"/>
              <w:rPr>
                <w:rFonts w:ascii="Times New Roman" w:hAnsi="Times New Roman" w:cs="Times New Roman"/>
              </w:rPr>
            </w:pPr>
            <w:r w:rsidRPr="004C5F62">
              <w:rPr>
                <w:rFonts w:ascii="Times New Roman" w:hAnsi="Times New Roman" w:cs="Times New Roman"/>
              </w:rPr>
              <w:t>Socio-economic Innovation Partnerships</w:t>
            </w:r>
          </w:p>
        </w:tc>
        <w:tc>
          <w:tcPr>
            <w:tcW w:w="992" w:type="dxa"/>
            <w:shd w:val="clear" w:color="auto" w:fill="auto"/>
          </w:tcPr>
          <w:p w:rsidR="00D87C2E" w:rsidRPr="004C5F62" w:rsidRDefault="00CC66E0" w:rsidP="002A3C6A">
            <w:pPr>
              <w:tabs>
                <w:tab w:val="left" w:pos="1134"/>
              </w:tabs>
              <w:spacing w:line="360" w:lineRule="auto"/>
              <w:jc w:val="right"/>
              <w:rPr>
                <w:rFonts w:ascii="Times New Roman" w:hAnsi="Times New Roman" w:cs="Times New Roman"/>
              </w:rPr>
            </w:pPr>
            <w:r w:rsidRPr="004C5F62">
              <w:rPr>
                <w:rFonts w:ascii="Times New Roman" w:hAnsi="Times New Roman" w:cs="Times New Roman"/>
              </w:rPr>
              <w:t>185 000</w:t>
            </w:r>
          </w:p>
        </w:tc>
        <w:tc>
          <w:tcPr>
            <w:tcW w:w="4896" w:type="dxa"/>
            <w:shd w:val="clear" w:color="auto" w:fill="auto"/>
          </w:tcPr>
          <w:p w:rsidR="00D87C2E" w:rsidRPr="004C5F62" w:rsidRDefault="00A34607" w:rsidP="002A3C6A">
            <w:pPr>
              <w:tabs>
                <w:tab w:val="left" w:pos="1134"/>
              </w:tabs>
              <w:spacing w:line="360" w:lineRule="auto"/>
              <w:rPr>
                <w:rFonts w:ascii="Times New Roman" w:hAnsi="Times New Roman" w:cs="Times New Roman"/>
              </w:rPr>
            </w:pPr>
            <w:r w:rsidRPr="004C5F62">
              <w:rPr>
                <w:rFonts w:ascii="Times New Roman" w:hAnsi="Times New Roman" w:cs="Times New Roman"/>
                <w:lang w:val="en-ZA"/>
              </w:rPr>
              <w:t xml:space="preserve">Several interventions are at various stages of implementation. This includes the establishment of the COVID-19 data system at the CSIR, ongoing work to build a robust evidence base on human behaviours and perceptions, deployment of 3D printing technologies for various COVID-19 requirements, support for ventilator development, and targeted support to technology stations to assist </w:t>
            </w:r>
            <w:r w:rsidR="00C8333A" w:rsidRPr="004C5F62">
              <w:rPr>
                <w:rFonts w:ascii="Times New Roman" w:hAnsi="Times New Roman" w:cs="Times New Roman"/>
                <w:lang w:val="en-ZA"/>
              </w:rPr>
              <w:t>SM</w:t>
            </w:r>
            <w:r w:rsidR="00C8333A">
              <w:rPr>
                <w:rFonts w:ascii="Times New Roman" w:hAnsi="Times New Roman" w:cs="Times New Roman"/>
                <w:lang w:val="en-ZA"/>
              </w:rPr>
              <w:t>M</w:t>
            </w:r>
            <w:r w:rsidR="00C8333A" w:rsidRPr="004C5F62">
              <w:rPr>
                <w:rFonts w:ascii="Times New Roman" w:hAnsi="Times New Roman" w:cs="Times New Roman"/>
                <w:lang w:val="en-ZA"/>
              </w:rPr>
              <w:t>Es</w:t>
            </w:r>
            <w:r w:rsidRPr="004C5F62">
              <w:rPr>
                <w:rFonts w:ascii="Times New Roman" w:hAnsi="Times New Roman" w:cs="Times New Roman"/>
                <w:lang w:val="en-ZA"/>
              </w:rPr>
              <w:t xml:space="preserve"> with technology support to either respond to or adapt to changing requirements as a result of COVID-19.</w:t>
            </w:r>
          </w:p>
        </w:tc>
        <w:tc>
          <w:tcPr>
            <w:tcW w:w="2576" w:type="dxa"/>
            <w:shd w:val="clear" w:color="auto" w:fill="auto"/>
          </w:tcPr>
          <w:p w:rsidR="00A34607" w:rsidRPr="004C5F62" w:rsidRDefault="00A34607" w:rsidP="002A3C6A">
            <w:pPr>
              <w:tabs>
                <w:tab w:val="left" w:pos="1134"/>
              </w:tabs>
              <w:spacing w:line="360" w:lineRule="auto"/>
              <w:rPr>
                <w:rFonts w:ascii="Times New Roman" w:hAnsi="Times New Roman" w:cs="Times New Roman"/>
                <w:lang w:val="en-ZA"/>
              </w:rPr>
            </w:pPr>
            <w:r w:rsidRPr="004C5F62">
              <w:rPr>
                <w:rFonts w:ascii="Times New Roman" w:hAnsi="Times New Roman" w:cs="Times New Roman"/>
                <w:lang w:val="en-ZA"/>
              </w:rPr>
              <w:t>No impact for a portion of the funding since implementation of projects will be delayed as a result of COVID-19 (for example, the Mandela Mining Precinct) and through savings within projects of line items such as equipment and reduced travel.</w:t>
            </w:r>
          </w:p>
          <w:p w:rsidR="00A34607" w:rsidRPr="004C5F62" w:rsidRDefault="00A34607" w:rsidP="002A3C6A">
            <w:pPr>
              <w:tabs>
                <w:tab w:val="left" w:pos="1134"/>
              </w:tabs>
              <w:spacing w:line="360" w:lineRule="auto"/>
              <w:rPr>
                <w:rFonts w:ascii="Times New Roman" w:hAnsi="Times New Roman" w:cs="Times New Roman"/>
                <w:lang w:val="en-ZA"/>
              </w:rPr>
            </w:pPr>
          </w:p>
          <w:p w:rsidR="00D87C2E" w:rsidRPr="004C5F62" w:rsidRDefault="00A34607" w:rsidP="002A3C6A">
            <w:pPr>
              <w:tabs>
                <w:tab w:val="left" w:pos="1134"/>
              </w:tabs>
              <w:spacing w:line="360" w:lineRule="auto"/>
              <w:rPr>
                <w:rFonts w:ascii="Times New Roman" w:hAnsi="Times New Roman" w:cs="Times New Roman"/>
              </w:rPr>
            </w:pPr>
            <w:r w:rsidRPr="004C5F62">
              <w:rPr>
                <w:rFonts w:ascii="Times New Roman" w:hAnsi="Times New Roman" w:cs="Times New Roman"/>
                <w:lang w:val="en-ZA"/>
              </w:rPr>
              <w:t>Some impact on the recapitalization of technology stations and implementation of Innovation for Inclusive Development initiatives. These may be mitigated through partnerships with other government departments and social sector</w:t>
            </w:r>
            <w:r w:rsidR="00A2632E" w:rsidRPr="004C5F62">
              <w:rPr>
                <w:rFonts w:ascii="Times New Roman" w:hAnsi="Times New Roman" w:cs="Times New Roman"/>
                <w:lang w:val="en-ZA"/>
              </w:rPr>
              <w:t>.</w:t>
            </w:r>
          </w:p>
        </w:tc>
      </w:tr>
      <w:tr w:rsidR="00A34607" w:rsidRPr="004C5F62" w:rsidTr="00334AF0">
        <w:tc>
          <w:tcPr>
            <w:tcW w:w="1838" w:type="dxa"/>
            <w:shd w:val="clear" w:color="auto" w:fill="auto"/>
          </w:tcPr>
          <w:p w:rsidR="00A34607" w:rsidRPr="004C5F62" w:rsidRDefault="00A34607" w:rsidP="002A3C6A">
            <w:pPr>
              <w:tabs>
                <w:tab w:val="left" w:pos="1134"/>
              </w:tabs>
              <w:spacing w:line="360" w:lineRule="auto"/>
              <w:jc w:val="left"/>
              <w:rPr>
                <w:rFonts w:ascii="Times New Roman" w:hAnsi="Times New Roman" w:cs="Times New Roman"/>
                <w:b/>
              </w:rPr>
            </w:pPr>
            <w:r w:rsidRPr="004C5F62">
              <w:rPr>
                <w:rFonts w:ascii="Times New Roman" w:hAnsi="Times New Roman" w:cs="Times New Roman"/>
                <w:b/>
              </w:rPr>
              <w:lastRenderedPageBreak/>
              <w:t>Total</w:t>
            </w:r>
          </w:p>
        </w:tc>
        <w:tc>
          <w:tcPr>
            <w:tcW w:w="8464" w:type="dxa"/>
            <w:gridSpan w:val="3"/>
            <w:shd w:val="clear" w:color="auto" w:fill="auto"/>
            <w:vAlign w:val="bottom"/>
          </w:tcPr>
          <w:p w:rsidR="00A34607" w:rsidRPr="004C5F62" w:rsidRDefault="00A34607" w:rsidP="002A3C6A">
            <w:pPr>
              <w:tabs>
                <w:tab w:val="left" w:pos="1134"/>
              </w:tabs>
              <w:spacing w:line="360" w:lineRule="auto"/>
              <w:jc w:val="right"/>
              <w:rPr>
                <w:rFonts w:ascii="Times New Roman" w:hAnsi="Times New Roman" w:cs="Times New Roman"/>
                <w:b/>
              </w:rPr>
            </w:pPr>
            <w:r w:rsidRPr="004C5F62">
              <w:rPr>
                <w:rFonts w:ascii="Times New Roman" w:hAnsi="Times New Roman" w:cs="Times New Roman"/>
                <w:b/>
              </w:rPr>
              <w:t>324 175</w:t>
            </w:r>
          </w:p>
        </w:tc>
      </w:tr>
    </w:tbl>
    <w:p w:rsidR="00EA6AA6" w:rsidRPr="004C5F62" w:rsidRDefault="00EA6AA6" w:rsidP="002A3C6A">
      <w:pPr>
        <w:spacing w:line="360" w:lineRule="auto"/>
        <w:rPr>
          <w:rFonts w:ascii="Times New Roman" w:hAnsi="Times New Roman" w:cs="Times New Roman"/>
          <w:lang w:val="en-ZA"/>
        </w:rPr>
      </w:pPr>
    </w:p>
    <w:p w:rsidR="00EA6AA6" w:rsidRPr="004C5F62" w:rsidRDefault="00F71EA3" w:rsidP="002A3C6A">
      <w:pPr>
        <w:spacing w:line="360" w:lineRule="auto"/>
        <w:rPr>
          <w:rFonts w:ascii="Times New Roman" w:hAnsi="Times New Roman" w:cs="Times New Roman"/>
          <w:lang w:val="en-ZA"/>
        </w:rPr>
      </w:pPr>
      <w:r w:rsidRPr="004C5F62">
        <w:rPr>
          <w:rFonts w:ascii="Times New Roman" w:hAnsi="Times New Roman" w:cs="Times New Roman"/>
          <w:lang w:val="en-ZA"/>
        </w:rPr>
        <w:t xml:space="preserve">For the 2020-2025 period, the </w:t>
      </w:r>
      <w:r w:rsidRPr="004C5F62">
        <w:rPr>
          <w:rFonts w:ascii="Times New Roman" w:hAnsi="Times New Roman" w:cs="Times New Roman"/>
        </w:rPr>
        <w:t>Department states that it will strive to foster and enable the entrenchment of an innovation culture across government, and will do so by introducing measures to endorse or assess STI components in all departmental strategies, and/or provide advice, expertise, facilitation and mediation on STI issues. The Department further states that this role must be clearly defined since there has not been a clear leader and owner of innovation policy development in government before.</w:t>
      </w:r>
    </w:p>
    <w:p w:rsidR="00EA6AA6" w:rsidRPr="004C5F62" w:rsidRDefault="00EA6AA6" w:rsidP="002A3C6A">
      <w:pPr>
        <w:spacing w:line="360" w:lineRule="auto"/>
        <w:rPr>
          <w:rFonts w:ascii="Times New Roman" w:hAnsi="Times New Roman" w:cs="Times New Roman"/>
          <w:lang w:val="en-ZA"/>
        </w:rPr>
      </w:pPr>
    </w:p>
    <w:p w:rsidR="008C3F85" w:rsidRDefault="00CF2534" w:rsidP="00CF2534">
      <w:pPr>
        <w:spacing w:line="360" w:lineRule="auto"/>
        <w:rPr>
          <w:rFonts w:ascii="Times New Roman" w:hAnsi="Times New Roman" w:cs="Times New Roman"/>
          <w:b/>
        </w:rPr>
      </w:pPr>
      <w:r>
        <w:rPr>
          <w:rFonts w:ascii="Times New Roman" w:hAnsi="Times New Roman" w:cs="Times New Roman"/>
          <w:b/>
        </w:rPr>
        <w:t>4.</w:t>
      </w:r>
      <w:r>
        <w:rPr>
          <w:rFonts w:ascii="Times New Roman" w:hAnsi="Times New Roman" w:cs="Times New Roman"/>
          <w:b/>
        </w:rPr>
        <w:tab/>
      </w:r>
      <w:r w:rsidR="008C3F85" w:rsidRPr="00CF2534">
        <w:rPr>
          <w:rFonts w:ascii="Times New Roman" w:hAnsi="Times New Roman" w:cs="Times New Roman"/>
          <w:b/>
        </w:rPr>
        <w:t>Committee</w:t>
      </w:r>
      <w:r w:rsidR="00C720EA" w:rsidRPr="00CF2534">
        <w:rPr>
          <w:rFonts w:ascii="Times New Roman" w:hAnsi="Times New Roman" w:cs="Times New Roman"/>
          <w:b/>
        </w:rPr>
        <w:t>s</w:t>
      </w:r>
      <w:r w:rsidR="008C3F85" w:rsidRPr="00CF2534">
        <w:rPr>
          <w:rFonts w:ascii="Times New Roman" w:hAnsi="Times New Roman" w:cs="Times New Roman"/>
          <w:b/>
        </w:rPr>
        <w:t xml:space="preserve"> Deliberations</w:t>
      </w:r>
    </w:p>
    <w:p w:rsidR="00CF2534" w:rsidRPr="00CF2534" w:rsidRDefault="00CF2534" w:rsidP="00CF2534">
      <w:pPr>
        <w:spacing w:line="360" w:lineRule="auto"/>
        <w:rPr>
          <w:rFonts w:ascii="Times New Roman" w:hAnsi="Times New Roman" w:cs="Times New Roman"/>
          <w:b/>
        </w:rPr>
      </w:pPr>
    </w:p>
    <w:p w:rsidR="00661D32" w:rsidRPr="00A52485" w:rsidRDefault="00C720EA" w:rsidP="002A3C6A">
      <w:pPr>
        <w:spacing w:line="360" w:lineRule="auto"/>
        <w:rPr>
          <w:rFonts w:ascii="Times New Roman" w:hAnsi="Times New Roman" w:cs="Times New Roman"/>
        </w:rPr>
      </w:pPr>
      <w:r>
        <w:rPr>
          <w:rFonts w:ascii="Times New Roman" w:hAnsi="Times New Roman" w:cs="Times New Roman"/>
        </w:rPr>
        <w:t>In concluding their</w:t>
      </w:r>
      <w:r w:rsidR="008C3F85" w:rsidRPr="004C5F62">
        <w:rPr>
          <w:rFonts w:ascii="Times New Roman" w:hAnsi="Times New Roman" w:cs="Times New Roman"/>
        </w:rPr>
        <w:t xml:space="preserve"> deliberations on Budget Vote 3</w:t>
      </w:r>
      <w:r w:rsidR="008E55E9" w:rsidRPr="004C5F62">
        <w:rPr>
          <w:rFonts w:ascii="Times New Roman" w:hAnsi="Times New Roman" w:cs="Times New Roman"/>
        </w:rPr>
        <w:t>5</w:t>
      </w:r>
      <w:r w:rsidR="008C3F85" w:rsidRPr="004C5F62">
        <w:rPr>
          <w:rFonts w:ascii="Times New Roman" w:hAnsi="Times New Roman" w:cs="Times New Roman"/>
        </w:rPr>
        <w:t xml:space="preserve">: Science and </w:t>
      </w:r>
      <w:r w:rsidR="008E55E9" w:rsidRPr="004C5F62">
        <w:rPr>
          <w:rFonts w:ascii="Times New Roman" w:hAnsi="Times New Roman" w:cs="Times New Roman"/>
        </w:rPr>
        <w:t>Innovation</w:t>
      </w:r>
      <w:r w:rsidR="008C3F85" w:rsidRPr="004C5F62">
        <w:rPr>
          <w:rFonts w:ascii="Times New Roman" w:hAnsi="Times New Roman" w:cs="Times New Roman"/>
        </w:rPr>
        <w:t>, the Committee</w:t>
      </w:r>
      <w:r>
        <w:rPr>
          <w:rFonts w:ascii="Times New Roman" w:hAnsi="Times New Roman" w:cs="Times New Roman"/>
        </w:rPr>
        <w:t>s</w:t>
      </w:r>
      <w:r w:rsidR="008C3F85" w:rsidRPr="004C5F62">
        <w:rPr>
          <w:rFonts w:ascii="Times New Roman" w:hAnsi="Times New Roman" w:cs="Times New Roman"/>
        </w:rPr>
        <w:t xml:space="preserve"> </w:t>
      </w:r>
      <w:r w:rsidR="00BF7EE8" w:rsidRPr="004C5F62">
        <w:rPr>
          <w:rFonts w:ascii="Times New Roman" w:hAnsi="Times New Roman" w:cs="Times New Roman"/>
        </w:rPr>
        <w:t>commended</w:t>
      </w:r>
      <w:r w:rsidR="008B2AC8">
        <w:rPr>
          <w:rFonts w:ascii="Times New Roman" w:hAnsi="Times New Roman" w:cs="Times New Roman"/>
        </w:rPr>
        <w:t xml:space="preserve"> the Department</w:t>
      </w:r>
      <w:r w:rsidR="00BF7EE8" w:rsidRPr="004C5F62">
        <w:rPr>
          <w:rFonts w:ascii="Times New Roman" w:hAnsi="Times New Roman" w:cs="Times New Roman"/>
        </w:rPr>
        <w:t xml:space="preserve"> for the work they do and for formulating coherent strategies and performance plans.</w:t>
      </w:r>
      <w:r w:rsidR="003365A1">
        <w:rPr>
          <w:rFonts w:ascii="Times New Roman" w:hAnsi="Times New Roman" w:cs="Times New Roman"/>
        </w:rPr>
        <w:t xml:space="preserve"> </w:t>
      </w:r>
      <w:r w:rsidR="00BF7EE8" w:rsidRPr="004C5F62">
        <w:rPr>
          <w:rFonts w:ascii="Times New Roman" w:hAnsi="Times New Roman" w:cs="Times New Roman"/>
        </w:rPr>
        <w:t>Furthermore, the Committee</w:t>
      </w:r>
      <w:r>
        <w:rPr>
          <w:rFonts w:ascii="Times New Roman" w:hAnsi="Times New Roman" w:cs="Times New Roman"/>
        </w:rPr>
        <w:t>s</w:t>
      </w:r>
      <w:r w:rsidR="00BF7EE8" w:rsidRPr="004C5F62">
        <w:rPr>
          <w:rFonts w:ascii="Times New Roman" w:hAnsi="Times New Roman" w:cs="Times New Roman"/>
        </w:rPr>
        <w:t xml:space="preserve"> </w:t>
      </w:r>
      <w:r w:rsidR="008C3F85" w:rsidRPr="004C5F62">
        <w:rPr>
          <w:rFonts w:ascii="Times New Roman" w:hAnsi="Times New Roman" w:cs="Times New Roman"/>
        </w:rPr>
        <w:t>noted the following:</w:t>
      </w:r>
    </w:p>
    <w:p w:rsidR="008C3F85" w:rsidRPr="008B2AC8" w:rsidRDefault="008B2AC8" w:rsidP="00D36907">
      <w:pPr>
        <w:spacing w:line="360" w:lineRule="auto"/>
        <w:ind w:left="567" w:hanging="567"/>
        <w:rPr>
          <w:rFonts w:ascii="Times New Roman" w:hAnsi="Times New Roman" w:cs="Times New Roman"/>
        </w:rPr>
      </w:pPr>
      <w:r>
        <w:rPr>
          <w:rFonts w:ascii="Times New Roman" w:hAnsi="Times New Roman" w:cs="Times New Roman"/>
          <w:b/>
        </w:rPr>
        <w:t>4.1.</w:t>
      </w:r>
      <w:r>
        <w:rPr>
          <w:rFonts w:ascii="Times New Roman" w:hAnsi="Times New Roman" w:cs="Times New Roman"/>
          <w:b/>
        </w:rPr>
        <w:tab/>
      </w:r>
      <w:r w:rsidR="008C3F85" w:rsidRPr="008B2AC8">
        <w:rPr>
          <w:rFonts w:ascii="Times New Roman" w:hAnsi="Times New Roman" w:cs="Times New Roman"/>
        </w:rPr>
        <w:t>Transformation of the STI sector in terms of human capacity, organisational composition, and the R&amp;D focus areas; requires deliberate, well considered, and adequately resourced interventions. Hence, the Committee is keen to receive briefings by the Department on these important policy interventions</w:t>
      </w:r>
      <w:r w:rsidR="00652DC4" w:rsidRPr="008B2AC8">
        <w:rPr>
          <w:rFonts w:ascii="Times New Roman" w:hAnsi="Times New Roman" w:cs="Times New Roman"/>
        </w:rPr>
        <w:t xml:space="preserve"> (for example, the new postgraduate funding policy)</w:t>
      </w:r>
      <w:r w:rsidR="005279D1" w:rsidRPr="008B2AC8">
        <w:rPr>
          <w:rFonts w:ascii="Times New Roman" w:hAnsi="Times New Roman" w:cs="Times New Roman"/>
        </w:rPr>
        <w:t>,</w:t>
      </w:r>
      <w:r w:rsidR="008C3F85" w:rsidRPr="008B2AC8">
        <w:rPr>
          <w:rFonts w:ascii="Times New Roman" w:hAnsi="Times New Roman" w:cs="Times New Roman"/>
        </w:rPr>
        <w:t xml:space="preserve"> which aim to chart a new trajectory for the future development and enhancement of South African STI.</w:t>
      </w:r>
    </w:p>
    <w:p w:rsidR="00094BEC" w:rsidRPr="00D36907" w:rsidRDefault="00D36907" w:rsidP="00D36907">
      <w:pPr>
        <w:spacing w:line="360" w:lineRule="auto"/>
        <w:ind w:left="567" w:hanging="567"/>
        <w:rPr>
          <w:rFonts w:ascii="Times New Roman" w:hAnsi="Times New Roman" w:cs="Times New Roman"/>
        </w:rPr>
      </w:pPr>
      <w:r w:rsidRPr="00D36907">
        <w:rPr>
          <w:rFonts w:ascii="Times New Roman" w:hAnsi="Times New Roman" w:cs="Times New Roman"/>
          <w:b/>
        </w:rPr>
        <w:t>4.2.</w:t>
      </w:r>
      <w:r>
        <w:rPr>
          <w:rFonts w:ascii="Times New Roman" w:hAnsi="Times New Roman" w:cs="Times New Roman"/>
        </w:rPr>
        <w:tab/>
      </w:r>
      <w:r w:rsidR="00094BEC" w:rsidRPr="00D36907">
        <w:rPr>
          <w:rFonts w:ascii="Times New Roman" w:hAnsi="Times New Roman" w:cs="Times New Roman"/>
        </w:rPr>
        <w:t xml:space="preserve">To ensure that the country participates meaningfully in the Fourth Industrial Revolution, the Committee </w:t>
      </w:r>
      <w:r w:rsidR="009D5F29" w:rsidRPr="00D36907">
        <w:rPr>
          <w:rFonts w:ascii="Times New Roman" w:hAnsi="Times New Roman" w:cs="Times New Roman"/>
        </w:rPr>
        <w:t>recognised</w:t>
      </w:r>
      <w:r w:rsidR="00E12C29" w:rsidRPr="00D36907">
        <w:rPr>
          <w:rFonts w:ascii="Times New Roman" w:hAnsi="Times New Roman" w:cs="Times New Roman"/>
        </w:rPr>
        <w:t xml:space="preserve"> </w:t>
      </w:r>
      <w:r w:rsidR="00094BEC" w:rsidRPr="00D36907">
        <w:rPr>
          <w:rFonts w:ascii="Times New Roman" w:hAnsi="Times New Roman" w:cs="Times New Roman"/>
        </w:rPr>
        <w:t xml:space="preserve">the </w:t>
      </w:r>
      <w:r w:rsidR="009D5F29" w:rsidRPr="00D36907">
        <w:rPr>
          <w:rFonts w:ascii="Times New Roman" w:hAnsi="Times New Roman" w:cs="Times New Roman"/>
        </w:rPr>
        <w:t>importan</w:t>
      </w:r>
      <w:r w:rsidR="003F47D0" w:rsidRPr="00D36907">
        <w:rPr>
          <w:rFonts w:ascii="Times New Roman" w:hAnsi="Times New Roman" w:cs="Times New Roman"/>
        </w:rPr>
        <w:t>t</w:t>
      </w:r>
      <w:r w:rsidR="009D5F29" w:rsidRPr="00D36907">
        <w:rPr>
          <w:rFonts w:ascii="Times New Roman" w:hAnsi="Times New Roman" w:cs="Times New Roman"/>
        </w:rPr>
        <w:t xml:space="preserve"> </w:t>
      </w:r>
      <w:r w:rsidR="003F47D0" w:rsidRPr="00D36907">
        <w:rPr>
          <w:rFonts w:ascii="Times New Roman" w:hAnsi="Times New Roman" w:cs="Times New Roman"/>
        </w:rPr>
        <w:t xml:space="preserve">role the </w:t>
      </w:r>
      <w:r w:rsidR="00094BEC" w:rsidRPr="00D36907">
        <w:rPr>
          <w:rFonts w:ascii="Times New Roman" w:hAnsi="Times New Roman" w:cs="Times New Roman"/>
        </w:rPr>
        <w:t xml:space="preserve">Department </w:t>
      </w:r>
      <w:r w:rsidR="003F47D0" w:rsidRPr="00D36907">
        <w:rPr>
          <w:rFonts w:ascii="Times New Roman" w:hAnsi="Times New Roman" w:cs="Times New Roman"/>
        </w:rPr>
        <w:t xml:space="preserve">may have </w:t>
      </w:r>
      <w:r w:rsidR="00094BEC" w:rsidRPr="00D36907">
        <w:rPr>
          <w:rFonts w:ascii="Times New Roman" w:hAnsi="Times New Roman" w:cs="Times New Roman"/>
        </w:rPr>
        <w:t>to play in the design and establishment of the proposed science and innovation university.</w:t>
      </w:r>
    </w:p>
    <w:p w:rsidR="008C3F85" w:rsidRPr="00D36907" w:rsidRDefault="00D36907" w:rsidP="00D36907">
      <w:pPr>
        <w:spacing w:line="360" w:lineRule="auto"/>
        <w:ind w:left="567" w:hanging="567"/>
        <w:rPr>
          <w:rFonts w:ascii="Times New Roman" w:hAnsi="Times New Roman" w:cs="Times New Roman"/>
        </w:rPr>
      </w:pPr>
      <w:r>
        <w:rPr>
          <w:rFonts w:ascii="Times New Roman" w:hAnsi="Times New Roman" w:cs="Times New Roman"/>
          <w:b/>
        </w:rPr>
        <w:lastRenderedPageBreak/>
        <w:t>4.3.</w:t>
      </w:r>
      <w:r>
        <w:rPr>
          <w:rFonts w:ascii="Times New Roman" w:hAnsi="Times New Roman" w:cs="Times New Roman"/>
          <w:b/>
        </w:rPr>
        <w:tab/>
      </w:r>
      <w:r w:rsidR="008C3F85" w:rsidRPr="00D36907">
        <w:rPr>
          <w:rFonts w:ascii="Times New Roman" w:hAnsi="Times New Roman" w:cs="Times New Roman"/>
        </w:rPr>
        <w:t>Crucial to the transformation of the human capacity in the STI sector, is the creation and continued growth of a pipeline of students pursuing careers in science, mathematics and engineering.</w:t>
      </w:r>
      <w:r w:rsidR="00A244FE" w:rsidRPr="00D36907">
        <w:rPr>
          <w:rFonts w:ascii="Times New Roman" w:hAnsi="Times New Roman" w:cs="Times New Roman"/>
        </w:rPr>
        <w:t xml:space="preserve"> </w:t>
      </w:r>
      <w:r w:rsidR="008C3F85" w:rsidRPr="00D36907">
        <w:rPr>
          <w:rFonts w:ascii="Times New Roman" w:hAnsi="Times New Roman" w:cs="Times New Roman"/>
        </w:rPr>
        <w:t xml:space="preserve">Discussion around curricula involving the </w:t>
      </w:r>
      <w:r w:rsidR="00520EC6" w:rsidRPr="00D36907">
        <w:rPr>
          <w:rFonts w:ascii="Times New Roman" w:hAnsi="Times New Roman" w:cs="Times New Roman"/>
        </w:rPr>
        <w:t>D</w:t>
      </w:r>
      <w:r w:rsidR="008C3F85" w:rsidRPr="00D36907">
        <w:rPr>
          <w:rFonts w:ascii="Times New Roman" w:hAnsi="Times New Roman" w:cs="Times New Roman"/>
        </w:rPr>
        <w:t xml:space="preserve">epartments of </w:t>
      </w:r>
      <w:r w:rsidR="00520EC6" w:rsidRPr="00D36907">
        <w:rPr>
          <w:rFonts w:ascii="Times New Roman" w:hAnsi="Times New Roman" w:cs="Times New Roman"/>
        </w:rPr>
        <w:t>B</w:t>
      </w:r>
      <w:r w:rsidR="008C3F85" w:rsidRPr="00D36907">
        <w:rPr>
          <w:rFonts w:ascii="Times New Roman" w:hAnsi="Times New Roman" w:cs="Times New Roman"/>
        </w:rPr>
        <w:t xml:space="preserve">asic </w:t>
      </w:r>
      <w:r w:rsidR="00520EC6" w:rsidRPr="00D36907">
        <w:rPr>
          <w:rFonts w:ascii="Times New Roman" w:hAnsi="Times New Roman" w:cs="Times New Roman"/>
        </w:rPr>
        <w:t>E</w:t>
      </w:r>
      <w:r w:rsidR="008C3F85" w:rsidRPr="00D36907">
        <w:rPr>
          <w:rFonts w:ascii="Times New Roman" w:hAnsi="Times New Roman" w:cs="Times New Roman"/>
        </w:rPr>
        <w:t xml:space="preserve">ducation, </w:t>
      </w:r>
      <w:r w:rsidR="00520EC6" w:rsidRPr="00D36907">
        <w:rPr>
          <w:rFonts w:ascii="Times New Roman" w:hAnsi="Times New Roman" w:cs="Times New Roman"/>
        </w:rPr>
        <w:t>H</w:t>
      </w:r>
      <w:r w:rsidR="008C3F85" w:rsidRPr="00D36907">
        <w:rPr>
          <w:rFonts w:ascii="Times New Roman" w:hAnsi="Times New Roman" w:cs="Times New Roman"/>
        </w:rPr>
        <w:t xml:space="preserve">igher </w:t>
      </w:r>
      <w:r w:rsidR="00520EC6" w:rsidRPr="00D36907">
        <w:rPr>
          <w:rFonts w:ascii="Times New Roman" w:hAnsi="Times New Roman" w:cs="Times New Roman"/>
        </w:rPr>
        <w:t>E</w:t>
      </w:r>
      <w:r w:rsidR="008C3F85" w:rsidRPr="00D36907">
        <w:rPr>
          <w:rFonts w:ascii="Times New Roman" w:hAnsi="Times New Roman" w:cs="Times New Roman"/>
        </w:rPr>
        <w:t xml:space="preserve">ducation and </w:t>
      </w:r>
      <w:r w:rsidR="00520EC6" w:rsidRPr="00D36907">
        <w:rPr>
          <w:rFonts w:ascii="Times New Roman" w:hAnsi="Times New Roman" w:cs="Times New Roman"/>
        </w:rPr>
        <w:t>T</w:t>
      </w:r>
      <w:r w:rsidR="008C3F85" w:rsidRPr="00D36907">
        <w:rPr>
          <w:rFonts w:ascii="Times New Roman" w:hAnsi="Times New Roman" w:cs="Times New Roman"/>
        </w:rPr>
        <w:t xml:space="preserve">raining as well as </w:t>
      </w:r>
      <w:r w:rsidR="00520EC6" w:rsidRPr="00D36907">
        <w:rPr>
          <w:rFonts w:ascii="Times New Roman" w:hAnsi="Times New Roman" w:cs="Times New Roman"/>
        </w:rPr>
        <w:t>S</w:t>
      </w:r>
      <w:r w:rsidR="008C3F85" w:rsidRPr="00D36907">
        <w:rPr>
          <w:rFonts w:ascii="Times New Roman" w:hAnsi="Times New Roman" w:cs="Times New Roman"/>
        </w:rPr>
        <w:t xml:space="preserve">cience and </w:t>
      </w:r>
      <w:r w:rsidR="00A244FE" w:rsidRPr="00D36907">
        <w:rPr>
          <w:rFonts w:ascii="Times New Roman" w:hAnsi="Times New Roman" w:cs="Times New Roman"/>
        </w:rPr>
        <w:t>Innovation</w:t>
      </w:r>
      <w:r w:rsidR="008C3F85" w:rsidRPr="00D36907">
        <w:rPr>
          <w:rFonts w:ascii="Times New Roman" w:hAnsi="Times New Roman" w:cs="Times New Roman"/>
        </w:rPr>
        <w:t>, is necessary to assess and input on how this contribute</w:t>
      </w:r>
      <w:r w:rsidR="00F43B6C" w:rsidRPr="00D36907">
        <w:rPr>
          <w:rFonts w:ascii="Times New Roman" w:hAnsi="Times New Roman" w:cs="Times New Roman"/>
        </w:rPr>
        <w:t>s</w:t>
      </w:r>
      <w:r w:rsidR="008C3F85" w:rsidRPr="00D36907">
        <w:rPr>
          <w:rFonts w:ascii="Times New Roman" w:hAnsi="Times New Roman" w:cs="Times New Roman"/>
        </w:rPr>
        <w:t xml:space="preserve"> to what is required for the science, technology and innovation system</w:t>
      </w:r>
      <w:r w:rsidR="00760950" w:rsidRPr="00D36907">
        <w:rPr>
          <w:rFonts w:ascii="Times New Roman" w:hAnsi="Times New Roman" w:cs="Times New Roman"/>
        </w:rPr>
        <w:t>, as well as the skills needed for the economy</w:t>
      </w:r>
      <w:r w:rsidR="008C3F85" w:rsidRPr="00D36907">
        <w:rPr>
          <w:rFonts w:ascii="Times New Roman" w:hAnsi="Times New Roman" w:cs="Times New Roman"/>
        </w:rPr>
        <w:t xml:space="preserve">. </w:t>
      </w:r>
    </w:p>
    <w:p w:rsidR="008C3F85" w:rsidRPr="00D36907" w:rsidRDefault="00D36907" w:rsidP="00D36907">
      <w:pPr>
        <w:spacing w:line="360" w:lineRule="auto"/>
        <w:ind w:left="567" w:hanging="567"/>
        <w:rPr>
          <w:rFonts w:ascii="Times New Roman" w:hAnsi="Times New Roman" w:cs="Times New Roman"/>
        </w:rPr>
      </w:pPr>
      <w:r>
        <w:rPr>
          <w:rFonts w:ascii="Times New Roman" w:hAnsi="Times New Roman" w:cs="Times New Roman"/>
          <w:b/>
        </w:rPr>
        <w:t>4.4.</w:t>
      </w:r>
      <w:r>
        <w:rPr>
          <w:rFonts w:ascii="Times New Roman" w:hAnsi="Times New Roman" w:cs="Times New Roman"/>
          <w:b/>
        </w:rPr>
        <w:tab/>
      </w:r>
      <w:r w:rsidR="008C3F85" w:rsidRPr="00D36907">
        <w:rPr>
          <w:rFonts w:ascii="Times New Roman" w:hAnsi="Times New Roman" w:cs="Times New Roman"/>
        </w:rPr>
        <w:t xml:space="preserve">Intergovernmental coordination and partnerships are instrumental in ensuring that the work done by the Department and the entities is used and implemented. These relationships are crucial to ensuring that crosscutting activities are better co-ordinated, resources are optimally utilised and solutions </w:t>
      </w:r>
      <w:r w:rsidR="00F43B6C" w:rsidRPr="00D36907">
        <w:rPr>
          <w:rFonts w:ascii="Times New Roman" w:hAnsi="Times New Roman" w:cs="Times New Roman"/>
        </w:rPr>
        <w:t>that improve</w:t>
      </w:r>
      <w:r w:rsidR="008C3F85" w:rsidRPr="00D36907">
        <w:rPr>
          <w:rFonts w:ascii="Times New Roman" w:hAnsi="Times New Roman" w:cs="Times New Roman"/>
        </w:rPr>
        <w:t xml:space="preserve"> the quality of </w:t>
      </w:r>
      <w:r w:rsidR="00F43B6C" w:rsidRPr="00D36907">
        <w:rPr>
          <w:rFonts w:ascii="Times New Roman" w:hAnsi="Times New Roman" w:cs="Times New Roman"/>
        </w:rPr>
        <w:t xml:space="preserve">life </w:t>
      </w:r>
      <w:r w:rsidR="008C3F85" w:rsidRPr="00D36907">
        <w:rPr>
          <w:rFonts w:ascii="Times New Roman" w:hAnsi="Times New Roman" w:cs="Times New Roman"/>
        </w:rPr>
        <w:t xml:space="preserve">of the people are </w:t>
      </w:r>
      <w:r w:rsidR="00F43B6C" w:rsidRPr="00D36907">
        <w:rPr>
          <w:rFonts w:ascii="Times New Roman" w:hAnsi="Times New Roman" w:cs="Times New Roman"/>
        </w:rPr>
        <w:t>implemented</w:t>
      </w:r>
      <w:r w:rsidR="008C3F85" w:rsidRPr="00D36907">
        <w:rPr>
          <w:rFonts w:ascii="Times New Roman" w:hAnsi="Times New Roman" w:cs="Times New Roman"/>
        </w:rPr>
        <w:t>.</w:t>
      </w:r>
      <w:r w:rsidR="001A6FB1" w:rsidRPr="00D36907">
        <w:rPr>
          <w:rFonts w:ascii="Times New Roman" w:hAnsi="Times New Roman" w:cs="Times New Roman"/>
        </w:rPr>
        <w:t xml:space="preserve"> Hence, the Committee </w:t>
      </w:r>
      <w:r w:rsidR="00757BD7" w:rsidRPr="00D36907">
        <w:rPr>
          <w:rFonts w:ascii="Times New Roman" w:hAnsi="Times New Roman" w:cs="Times New Roman"/>
        </w:rPr>
        <w:t xml:space="preserve">welcomes the on-going </w:t>
      </w:r>
      <w:r w:rsidR="00D93BA5" w:rsidRPr="00D36907">
        <w:rPr>
          <w:rFonts w:ascii="Times New Roman" w:hAnsi="Times New Roman" w:cs="Times New Roman"/>
        </w:rPr>
        <w:t xml:space="preserve">internal consultations, particularly around funding responsibilities and </w:t>
      </w:r>
      <w:r w:rsidR="001A6FB1" w:rsidRPr="00D36907">
        <w:rPr>
          <w:rFonts w:ascii="Times New Roman" w:hAnsi="Times New Roman" w:cs="Times New Roman"/>
        </w:rPr>
        <w:t xml:space="preserve">awaits the finalisation of the Decadal Plan and the establishment of the inter-Ministerial STI Committee </w:t>
      </w:r>
      <w:r w:rsidR="006641F6" w:rsidRPr="00D36907">
        <w:rPr>
          <w:rFonts w:ascii="Times New Roman" w:hAnsi="Times New Roman" w:cs="Times New Roman"/>
        </w:rPr>
        <w:t>to see how the proposed innovation compacts will be realised.</w:t>
      </w:r>
    </w:p>
    <w:p w:rsidR="008C3F85" w:rsidRPr="00D36907" w:rsidRDefault="00D36907" w:rsidP="00D36907">
      <w:pPr>
        <w:spacing w:line="360" w:lineRule="auto"/>
        <w:ind w:left="567" w:hanging="567"/>
        <w:rPr>
          <w:rFonts w:ascii="Times New Roman" w:hAnsi="Times New Roman" w:cs="Times New Roman"/>
        </w:rPr>
      </w:pPr>
      <w:r w:rsidRPr="009C1030">
        <w:rPr>
          <w:rFonts w:ascii="Times New Roman" w:hAnsi="Times New Roman" w:cs="Times New Roman"/>
          <w:b/>
        </w:rPr>
        <w:t>4.5.</w:t>
      </w:r>
      <w:r>
        <w:rPr>
          <w:rFonts w:ascii="Times New Roman" w:hAnsi="Times New Roman" w:cs="Times New Roman"/>
        </w:rPr>
        <w:tab/>
      </w:r>
      <w:r w:rsidR="008C3F85" w:rsidRPr="00D36907">
        <w:rPr>
          <w:rFonts w:ascii="Times New Roman" w:hAnsi="Times New Roman" w:cs="Times New Roman"/>
        </w:rPr>
        <w:t xml:space="preserve">Enhanced coordination is also necessary at Parliamentary level among the various </w:t>
      </w:r>
      <w:r w:rsidR="00F43B6C" w:rsidRPr="00D36907">
        <w:rPr>
          <w:rFonts w:ascii="Times New Roman" w:hAnsi="Times New Roman" w:cs="Times New Roman"/>
        </w:rPr>
        <w:t>P</w:t>
      </w:r>
      <w:r w:rsidR="008C3F85" w:rsidRPr="00D36907">
        <w:rPr>
          <w:rFonts w:ascii="Times New Roman" w:hAnsi="Times New Roman" w:cs="Times New Roman"/>
        </w:rPr>
        <w:t xml:space="preserve">ortfolio and </w:t>
      </w:r>
      <w:r w:rsidR="00F43B6C" w:rsidRPr="00D36907">
        <w:rPr>
          <w:rFonts w:ascii="Times New Roman" w:hAnsi="Times New Roman" w:cs="Times New Roman"/>
        </w:rPr>
        <w:t>S</w:t>
      </w:r>
      <w:r w:rsidR="008C3F85" w:rsidRPr="00D36907">
        <w:rPr>
          <w:rFonts w:ascii="Times New Roman" w:hAnsi="Times New Roman" w:cs="Times New Roman"/>
        </w:rPr>
        <w:t xml:space="preserve">elect </w:t>
      </w:r>
      <w:r w:rsidR="00F43B6C" w:rsidRPr="00D36907">
        <w:rPr>
          <w:rFonts w:ascii="Times New Roman" w:hAnsi="Times New Roman" w:cs="Times New Roman"/>
        </w:rPr>
        <w:t>C</w:t>
      </w:r>
      <w:r w:rsidR="008C3F85" w:rsidRPr="00D36907">
        <w:rPr>
          <w:rFonts w:ascii="Times New Roman" w:hAnsi="Times New Roman" w:cs="Times New Roman"/>
        </w:rPr>
        <w:t xml:space="preserve">ommittees in instances where science and </w:t>
      </w:r>
      <w:r w:rsidR="00A244FE" w:rsidRPr="00D36907">
        <w:rPr>
          <w:rFonts w:ascii="Times New Roman" w:hAnsi="Times New Roman" w:cs="Times New Roman"/>
        </w:rPr>
        <w:t>innovation</w:t>
      </w:r>
      <w:r w:rsidR="008C3F85" w:rsidRPr="00D36907">
        <w:rPr>
          <w:rFonts w:ascii="Times New Roman" w:hAnsi="Times New Roman" w:cs="Times New Roman"/>
        </w:rPr>
        <w:t xml:space="preserve"> issues are transversal.</w:t>
      </w:r>
      <w:r w:rsidR="008D0DAE" w:rsidRPr="00D36907">
        <w:rPr>
          <w:rFonts w:ascii="Times New Roman" w:hAnsi="Times New Roman" w:cs="Times New Roman"/>
        </w:rPr>
        <w:t xml:space="preserve"> Increased joint activities will; therefore, be pursued.</w:t>
      </w:r>
    </w:p>
    <w:p w:rsidR="00A4766F" w:rsidRPr="00D36907" w:rsidRDefault="00D36907" w:rsidP="00D36907">
      <w:pPr>
        <w:spacing w:line="360" w:lineRule="auto"/>
        <w:ind w:left="567" w:hanging="567"/>
        <w:rPr>
          <w:rFonts w:ascii="Times New Roman" w:hAnsi="Times New Roman" w:cs="Times New Roman"/>
        </w:rPr>
      </w:pPr>
      <w:r w:rsidRPr="009C1030">
        <w:rPr>
          <w:rFonts w:ascii="Times New Roman" w:hAnsi="Times New Roman" w:cs="Times New Roman"/>
          <w:b/>
        </w:rPr>
        <w:t>4.6</w:t>
      </w:r>
      <w:r>
        <w:rPr>
          <w:rFonts w:ascii="Times New Roman" w:hAnsi="Times New Roman" w:cs="Times New Roman"/>
        </w:rPr>
        <w:t>.</w:t>
      </w:r>
      <w:r>
        <w:rPr>
          <w:rFonts w:ascii="Times New Roman" w:hAnsi="Times New Roman" w:cs="Times New Roman"/>
        </w:rPr>
        <w:tab/>
      </w:r>
      <w:r w:rsidR="008C3F85" w:rsidRPr="00D36907">
        <w:rPr>
          <w:rFonts w:ascii="Times New Roman" w:hAnsi="Times New Roman" w:cs="Times New Roman"/>
        </w:rPr>
        <w:t xml:space="preserve">The Department </w:t>
      </w:r>
      <w:r w:rsidR="00F43B6C" w:rsidRPr="00D36907">
        <w:rPr>
          <w:rFonts w:ascii="Times New Roman" w:hAnsi="Times New Roman" w:cs="Times New Roman"/>
        </w:rPr>
        <w:t xml:space="preserve">has </w:t>
      </w:r>
      <w:r w:rsidR="008C3F85" w:rsidRPr="00D36907">
        <w:rPr>
          <w:rFonts w:ascii="Times New Roman" w:hAnsi="Times New Roman" w:cs="Times New Roman"/>
        </w:rPr>
        <w:t>a mandate to deliver on Government’s national priorities. In this regard</w:t>
      </w:r>
      <w:r w:rsidR="00F43B6C" w:rsidRPr="00D36907">
        <w:rPr>
          <w:rFonts w:ascii="Times New Roman" w:hAnsi="Times New Roman" w:cs="Times New Roman"/>
        </w:rPr>
        <w:t>,</w:t>
      </w:r>
      <w:r w:rsidR="008C3F85" w:rsidRPr="00D36907">
        <w:rPr>
          <w:rFonts w:ascii="Times New Roman" w:hAnsi="Times New Roman" w:cs="Times New Roman"/>
        </w:rPr>
        <w:t xml:space="preserve"> the Committee</w:t>
      </w:r>
      <w:r w:rsidR="009C1030">
        <w:rPr>
          <w:rFonts w:ascii="Times New Roman" w:hAnsi="Times New Roman" w:cs="Times New Roman"/>
        </w:rPr>
        <w:t>s</w:t>
      </w:r>
      <w:r w:rsidR="008C3F85" w:rsidRPr="00D36907">
        <w:rPr>
          <w:rFonts w:ascii="Times New Roman" w:hAnsi="Times New Roman" w:cs="Times New Roman"/>
        </w:rPr>
        <w:t xml:space="preserve"> raised its concern about the evident financial sustainability challenges</w:t>
      </w:r>
      <w:r w:rsidR="00760950" w:rsidRPr="00D36907">
        <w:rPr>
          <w:rFonts w:ascii="Times New Roman" w:hAnsi="Times New Roman" w:cs="Times New Roman"/>
        </w:rPr>
        <w:t xml:space="preserve"> and further proposed budget cuts</w:t>
      </w:r>
      <w:r w:rsidR="00A244FE" w:rsidRPr="00D36907">
        <w:rPr>
          <w:rFonts w:ascii="Times New Roman" w:hAnsi="Times New Roman" w:cs="Times New Roman"/>
        </w:rPr>
        <w:t>, especially now when science and innovation has been crucial to the national effort to curb COVID-19</w:t>
      </w:r>
      <w:r w:rsidR="008C3F85" w:rsidRPr="00D36907">
        <w:rPr>
          <w:rFonts w:ascii="Times New Roman" w:hAnsi="Times New Roman" w:cs="Times New Roman"/>
        </w:rPr>
        <w:t xml:space="preserve"> and </w:t>
      </w:r>
      <w:r w:rsidR="00760950" w:rsidRPr="00D36907">
        <w:rPr>
          <w:rFonts w:ascii="Times New Roman" w:hAnsi="Times New Roman" w:cs="Times New Roman"/>
        </w:rPr>
        <w:t>is also expected to ensure that the country recovers from the impact of COVID-19 on the economy.</w:t>
      </w:r>
    </w:p>
    <w:p w:rsidR="004A41C6" w:rsidRPr="00D36907" w:rsidRDefault="00D36907" w:rsidP="00D36907">
      <w:pPr>
        <w:spacing w:line="360" w:lineRule="auto"/>
        <w:ind w:left="567" w:hanging="567"/>
        <w:rPr>
          <w:rFonts w:ascii="Times New Roman" w:hAnsi="Times New Roman" w:cs="Times New Roman"/>
        </w:rPr>
      </w:pPr>
      <w:r w:rsidRPr="009C1030">
        <w:rPr>
          <w:rFonts w:ascii="Times New Roman" w:hAnsi="Times New Roman" w:cs="Times New Roman"/>
          <w:b/>
        </w:rPr>
        <w:t>4.7.</w:t>
      </w:r>
      <w:r>
        <w:rPr>
          <w:rFonts w:ascii="Times New Roman" w:hAnsi="Times New Roman" w:cs="Times New Roman"/>
        </w:rPr>
        <w:tab/>
      </w:r>
      <w:r w:rsidR="004A41C6" w:rsidRPr="00D36907">
        <w:rPr>
          <w:rFonts w:ascii="Times New Roman" w:hAnsi="Times New Roman" w:cs="Times New Roman"/>
        </w:rPr>
        <w:t>The Committee</w:t>
      </w:r>
      <w:r w:rsidR="00C720EA">
        <w:rPr>
          <w:rFonts w:ascii="Times New Roman" w:hAnsi="Times New Roman" w:cs="Times New Roman"/>
        </w:rPr>
        <w:t>s</w:t>
      </w:r>
      <w:r w:rsidR="004A41C6" w:rsidRPr="00D36907">
        <w:rPr>
          <w:rFonts w:ascii="Times New Roman" w:hAnsi="Times New Roman" w:cs="Times New Roman"/>
        </w:rPr>
        <w:t xml:space="preserve"> expressed concern that the impact of the budget cuts would be </w:t>
      </w:r>
      <w:r w:rsidR="00E467ED" w:rsidRPr="00D36907">
        <w:rPr>
          <w:rFonts w:ascii="Times New Roman" w:hAnsi="Times New Roman" w:cs="Times New Roman"/>
        </w:rPr>
        <w:t xml:space="preserve">absorbed </w:t>
      </w:r>
      <w:r w:rsidR="004A41C6" w:rsidRPr="00D36907">
        <w:rPr>
          <w:rFonts w:ascii="Times New Roman" w:hAnsi="Times New Roman" w:cs="Times New Roman"/>
        </w:rPr>
        <w:t>by reprioritising posts. This is problematic for a Department that already has a 2</w:t>
      </w:r>
      <w:r w:rsidR="00E3484C" w:rsidRPr="00D36907">
        <w:rPr>
          <w:rFonts w:ascii="Times New Roman" w:hAnsi="Times New Roman" w:cs="Times New Roman"/>
        </w:rPr>
        <w:t>3</w:t>
      </w:r>
      <w:r w:rsidR="004A41C6" w:rsidRPr="00D36907">
        <w:rPr>
          <w:rFonts w:ascii="Times New Roman" w:hAnsi="Times New Roman" w:cs="Times New Roman"/>
        </w:rPr>
        <w:t>% vacancy rate</w:t>
      </w:r>
      <w:r w:rsidR="00094BEC" w:rsidRPr="00D36907">
        <w:rPr>
          <w:rFonts w:ascii="Times New Roman" w:hAnsi="Times New Roman" w:cs="Times New Roman"/>
        </w:rPr>
        <w:t>.</w:t>
      </w:r>
    </w:p>
    <w:p w:rsidR="00527DFD" w:rsidRPr="00D36907" w:rsidRDefault="00D36907" w:rsidP="00D36907">
      <w:pPr>
        <w:spacing w:line="360" w:lineRule="auto"/>
        <w:ind w:left="567" w:hanging="567"/>
        <w:rPr>
          <w:rFonts w:ascii="Times New Roman" w:hAnsi="Times New Roman" w:cs="Times New Roman"/>
        </w:rPr>
      </w:pPr>
      <w:r w:rsidRPr="009C1030">
        <w:rPr>
          <w:rFonts w:ascii="Times New Roman" w:hAnsi="Times New Roman" w:cs="Times New Roman"/>
          <w:b/>
        </w:rPr>
        <w:t>4.8.</w:t>
      </w:r>
      <w:r>
        <w:rPr>
          <w:rFonts w:ascii="Times New Roman" w:hAnsi="Times New Roman" w:cs="Times New Roman"/>
        </w:rPr>
        <w:tab/>
      </w:r>
      <w:r w:rsidR="00527DFD" w:rsidRPr="00D36907">
        <w:rPr>
          <w:rFonts w:ascii="Times New Roman" w:hAnsi="Times New Roman" w:cs="Times New Roman"/>
        </w:rPr>
        <w:t>The Committee</w:t>
      </w:r>
      <w:r w:rsidR="00C720EA">
        <w:rPr>
          <w:rFonts w:ascii="Times New Roman" w:hAnsi="Times New Roman" w:cs="Times New Roman"/>
        </w:rPr>
        <w:t>s</w:t>
      </w:r>
      <w:r w:rsidR="00527DFD" w:rsidRPr="00D36907">
        <w:rPr>
          <w:rFonts w:ascii="Times New Roman" w:hAnsi="Times New Roman" w:cs="Times New Roman"/>
        </w:rPr>
        <w:t xml:space="preserve"> note</w:t>
      </w:r>
      <w:r w:rsidR="00C97643" w:rsidRPr="00D36907">
        <w:rPr>
          <w:rFonts w:ascii="Times New Roman" w:hAnsi="Times New Roman" w:cs="Times New Roman"/>
        </w:rPr>
        <w:t>d the</w:t>
      </w:r>
      <w:r w:rsidR="00527DFD" w:rsidRPr="00D36907">
        <w:rPr>
          <w:rFonts w:ascii="Times New Roman" w:hAnsi="Times New Roman" w:cs="Times New Roman"/>
        </w:rPr>
        <w:t xml:space="preserve"> National Treasury</w:t>
      </w:r>
      <w:r w:rsidR="00C97643" w:rsidRPr="00D36907">
        <w:rPr>
          <w:rFonts w:ascii="Times New Roman" w:hAnsi="Times New Roman" w:cs="Times New Roman"/>
        </w:rPr>
        <w:t xml:space="preserve"> directive that entity budgets be cut by 20%. However, the Committee</w:t>
      </w:r>
      <w:r w:rsidR="00C720EA">
        <w:rPr>
          <w:rFonts w:ascii="Times New Roman" w:hAnsi="Times New Roman" w:cs="Times New Roman"/>
        </w:rPr>
        <w:t>s are</w:t>
      </w:r>
      <w:r w:rsidR="00C97643" w:rsidRPr="00D36907">
        <w:rPr>
          <w:rFonts w:ascii="Times New Roman" w:hAnsi="Times New Roman" w:cs="Times New Roman"/>
        </w:rPr>
        <w:t xml:space="preserve"> concerned by the seemingly uneven application of this directive to the budgets of the Department’s entities.</w:t>
      </w:r>
    </w:p>
    <w:p w:rsidR="008C3F85" w:rsidRPr="00D36907" w:rsidRDefault="00D36907" w:rsidP="00D36907">
      <w:pPr>
        <w:spacing w:line="360" w:lineRule="auto"/>
        <w:ind w:left="567" w:hanging="567"/>
        <w:rPr>
          <w:rFonts w:ascii="Times New Roman" w:hAnsi="Times New Roman" w:cs="Times New Roman"/>
        </w:rPr>
      </w:pPr>
      <w:r w:rsidRPr="009C1030">
        <w:rPr>
          <w:rFonts w:ascii="Times New Roman" w:hAnsi="Times New Roman" w:cs="Times New Roman"/>
          <w:b/>
        </w:rPr>
        <w:t>4.9.</w:t>
      </w:r>
      <w:r>
        <w:rPr>
          <w:rFonts w:ascii="Times New Roman" w:hAnsi="Times New Roman" w:cs="Times New Roman"/>
        </w:rPr>
        <w:tab/>
      </w:r>
      <w:r w:rsidR="008C3F85" w:rsidRPr="00D36907">
        <w:rPr>
          <w:rFonts w:ascii="Times New Roman" w:hAnsi="Times New Roman" w:cs="Times New Roman"/>
        </w:rPr>
        <w:t>The current total investment in R&amp;D is inadequate to drive the economic transformation agenda of South Africa and would need to be increased to effectively meet the goals of NDP Vision 2030.</w:t>
      </w:r>
      <w:r w:rsidR="00E23C8C" w:rsidRPr="00D36907">
        <w:rPr>
          <w:rFonts w:ascii="Times New Roman" w:hAnsi="Times New Roman" w:cs="Times New Roman"/>
        </w:rPr>
        <w:t xml:space="preserve"> Of particular concern to the Committee</w:t>
      </w:r>
      <w:r w:rsidR="00C720EA">
        <w:rPr>
          <w:rFonts w:ascii="Times New Roman" w:hAnsi="Times New Roman" w:cs="Times New Roman"/>
        </w:rPr>
        <w:t>s</w:t>
      </w:r>
      <w:r w:rsidR="00E23C8C" w:rsidRPr="00D36907">
        <w:rPr>
          <w:rFonts w:ascii="Times New Roman" w:hAnsi="Times New Roman" w:cs="Times New Roman"/>
        </w:rPr>
        <w:t xml:space="preserve"> is the decreasing expenditure on R&amp;D by the business sector.</w:t>
      </w:r>
    </w:p>
    <w:p w:rsidR="00A4766F" w:rsidRPr="00D36907" w:rsidRDefault="00D36907" w:rsidP="00D36907">
      <w:pPr>
        <w:spacing w:line="360" w:lineRule="auto"/>
        <w:ind w:left="567" w:hanging="567"/>
        <w:rPr>
          <w:rFonts w:ascii="Times New Roman" w:hAnsi="Times New Roman" w:cs="Times New Roman"/>
        </w:rPr>
      </w:pPr>
      <w:r w:rsidRPr="009C1030">
        <w:rPr>
          <w:rFonts w:ascii="Times New Roman" w:hAnsi="Times New Roman" w:cs="Times New Roman"/>
          <w:b/>
        </w:rPr>
        <w:t>4.10.</w:t>
      </w:r>
      <w:r w:rsidR="009C1030">
        <w:rPr>
          <w:rFonts w:ascii="Times New Roman" w:hAnsi="Times New Roman" w:cs="Times New Roman"/>
        </w:rPr>
        <w:tab/>
      </w:r>
      <w:r w:rsidR="003B78C5" w:rsidRPr="00D36907">
        <w:rPr>
          <w:rFonts w:ascii="Times New Roman" w:hAnsi="Times New Roman" w:cs="Times New Roman"/>
        </w:rPr>
        <w:t xml:space="preserve">Science, technology and innovation drive most of our daily activities. </w:t>
      </w:r>
      <w:r w:rsidR="00640DA2" w:rsidRPr="00D36907">
        <w:rPr>
          <w:rFonts w:ascii="Times New Roman" w:hAnsi="Times New Roman" w:cs="Times New Roman"/>
        </w:rPr>
        <w:t>Hence, t</w:t>
      </w:r>
      <w:r w:rsidR="003B78C5" w:rsidRPr="00D36907">
        <w:rPr>
          <w:rFonts w:ascii="Times New Roman" w:hAnsi="Times New Roman" w:cs="Times New Roman"/>
        </w:rPr>
        <w:t>he Committee</w:t>
      </w:r>
      <w:r w:rsidR="00C720EA">
        <w:rPr>
          <w:rFonts w:ascii="Times New Roman" w:hAnsi="Times New Roman" w:cs="Times New Roman"/>
        </w:rPr>
        <w:t>s</w:t>
      </w:r>
      <w:r w:rsidR="003B78C5" w:rsidRPr="00D36907">
        <w:rPr>
          <w:rFonts w:ascii="Times New Roman" w:hAnsi="Times New Roman" w:cs="Times New Roman"/>
        </w:rPr>
        <w:t xml:space="preserve"> expressed concern that the work undertaken by the Department and its entities is not well communicated and in many instances completely unknown. Furthermore, </w:t>
      </w:r>
      <w:r w:rsidR="00177196" w:rsidRPr="00D36907">
        <w:rPr>
          <w:rFonts w:ascii="Times New Roman" w:hAnsi="Times New Roman" w:cs="Times New Roman"/>
        </w:rPr>
        <w:t xml:space="preserve">efforts to increase the levels of public science awareness and engagement </w:t>
      </w:r>
      <w:r w:rsidR="009628B8" w:rsidRPr="00D36907">
        <w:rPr>
          <w:rFonts w:ascii="Times New Roman" w:hAnsi="Times New Roman" w:cs="Times New Roman"/>
        </w:rPr>
        <w:t xml:space="preserve">are inadequate and </w:t>
      </w:r>
      <w:r w:rsidR="00177196" w:rsidRPr="00D36907">
        <w:rPr>
          <w:rFonts w:ascii="Times New Roman" w:hAnsi="Times New Roman" w:cs="Times New Roman"/>
        </w:rPr>
        <w:t>need to be enhanced.</w:t>
      </w:r>
    </w:p>
    <w:p w:rsidR="00F634D6" w:rsidRPr="00D36907" w:rsidRDefault="00D36907" w:rsidP="00D36907">
      <w:pPr>
        <w:spacing w:line="360" w:lineRule="auto"/>
        <w:ind w:left="567" w:hanging="567"/>
        <w:rPr>
          <w:rFonts w:ascii="Times New Roman" w:hAnsi="Times New Roman" w:cs="Times New Roman"/>
        </w:rPr>
      </w:pPr>
      <w:r w:rsidRPr="009C1030">
        <w:rPr>
          <w:rFonts w:ascii="Times New Roman" w:hAnsi="Times New Roman" w:cs="Times New Roman"/>
          <w:b/>
        </w:rPr>
        <w:lastRenderedPageBreak/>
        <w:t>4.11.</w:t>
      </w:r>
      <w:r w:rsidRPr="009C1030">
        <w:rPr>
          <w:rFonts w:ascii="Times New Roman" w:hAnsi="Times New Roman" w:cs="Times New Roman"/>
          <w:b/>
        </w:rPr>
        <w:tab/>
      </w:r>
      <w:r w:rsidR="00F634D6" w:rsidRPr="00D36907">
        <w:rPr>
          <w:rFonts w:ascii="Times New Roman" w:hAnsi="Times New Roman" w:cs="Times New Roman"/>
        </w:rPr>
        <w:t>Impressed by the level and scope of work of the Department, the Committee</w:t>
      </w:r>
      <w:r w:rsidR="00D870B3">
        <w:rPr>
          <w:rFonts w:ascii="Times New Roman" w:hAnsi="Times New Roman" w:cs="Times New Roman"/>
        </w:rPr>
        <w:t>s</w:t>
      </w:r>
      <w:r w:rsidR="009068E2" w:rsidRPr="00D36907">
        <w:rPr>
          <w:rFonts w:ascii="Times New Roman" w:hAnsi="Times New Roman" w:cs="Times New Roman"/>
        </w:rPr>
        <w:t xml:space="preserve"> would like to see the Department and its entities assume a more prominent and leading role in ensuring that science and innovation transforms and drives economic growth and is implemented widely to serve the needs of South Africans.</w:t>
      </w:r>
    </w:p>
    <w:p w:rsidR="004C0CCD" w:rsidRPr="004C5F62" w:rsidRDefault="004C0CCD" w:rsidP="002A3C6A">
      <w:pPr>
        <w:pStyle w:val="ListParagraph"/>
        <w:spacing w:line="360" w:lineRule="auto"/>
        <w:ind w:left="0"/>
        <w:rPr>
          <w:rFonts w:ascii="Times New Roman" w:hAnsi="Times New Roman" w:cs="Times New Roman"/>
          <w:sz w:val="24"/>
          <w:szCs w:val="24"/>
        </w:rPr>
      </w:pPr>
    </w:p>
    <w:p w:rsidR="008C3F85" w:rsidRPr="009C1030" w:rsidRDefault="008C3F85" w:rsidP="009C1030">
      <w:pPr>
        <w:spacing w:line="360" w:lineRule="auto"/>
        <w:rPr>
          <w:rFonts w:ascii="Times New Roman" w:hAnsi="Times New Roman" w:cs="Times New Roman"/>
          <w:b/>
        </w:rPr>
      </w:pPr>
      <w:r w:rsidRPr="009C1030">
        <w:rPr>
          <w:rFonts w:ascii="Times New Roman" w:hAnsi="Times New Roman" w:cs="Times New Roman"/>
          <w:b/>
        </w:rPr>
        <w:t xml:space="preserve">The </w:t>
      </w:r>
      <w:r w:rsidR="00D870B3" w:rsidRPr="009C1030">
        <w:rPr>
          <w:rFonts w:ascii="Times New Roman" w:hAnsi="Times New Roman" w:cs="Times New Roman"/>
          <w:b/>
        </w:rPr>
        <w:t>Select Committee on Education and Technology, Sport, Arts and Culture</w:t>
      </w:r>
      <w:r w:rsidRPr="009C1030">
        <w:rPr>
          <w:rFonts w:ascii="Times New Roman" w:hAnsi="Times New Roman" w:cs="Times New Roman"/>
          <w:b/>
        </w:rPr>
        <w:t>, having considered Budget Vote 3</w:t>
      </w:r>
      <w:r w:rsidR="00827FB7" w:rsidRPr="009C1030">
        <w:rPr>
          <w:rFonts w:ascii="Times New Roman" w:hAnsi="Times New Roman" w:cs="Times New Roman"/>
          <w:b/>
        </w:rPr>
        <w:t>5</w:t>
      </w:r>
      <w:r w:rsidRPr="009C1030">
        <w:rPr>
          <w:rFonts w:ascii="Times New Roman" w:hAnsi="Times New Roman" w:cs="Times New Roman"/>
          <w:b/>
        </w:rPr>
        <w:t xml:space="preserve">: Science and </w:t>
      </w:r>
      <w:r w:rsidR="00827FB7" w:rsidRPr="009C1030">
        <w:rPr>
          <w:rFonts w:ascii="Times New Roman" w:hAnsi="Times New Roman" w:cs="Times New Roman"/>
          <w:b/>
        </w:rPr>
        <w:t>Innovation</w:t>
      </w:r>
      <w:r w:rsidRPr="009C1030">
        <w:rPr>
          <w:rFonts w:ascii="Times New Roman" w:hAnsi="Times New Roman" w:cs="Times New Roman"/>
          <w:b/>
        </w:rPr>
        <w:t xml:space="preserve">, </w:t>
      </w:r>
      <w:r w:rsidR="009C1030" w:rsidRPr="009C1030">
        <w:rPr>
          <w:rFonts w:ascii="Times New Roman" w:hAnsi="Times New Roman" w:cs="Times New Roman"/>
          <w:b/>
        </w:rPr>
        <w:t>together with the 2020/21 – 2024/25 Strategic Plan and 2020/21 Annual Performance Plans of the Department of Science and Innovation, reports that the Committee has concluded its deliberations thereon.</w:t>
      </w:r>
    </w:p>
    <w:p w:rsidR="00783176" w:rsidRPr="00F20541" w:rsidRDefault="00783176" w:rsidP="002A3C6A">
      <w:pPr>
        <w:spacing w:line="360" w:lineRule="auto"/>
        <w:ind w:left="851" w:hanging="851"/>
        <w:rPr>
          <w:rFonts w:ascii="Times New Roman" w:hAnsi="Times New Roman" w:cs="Times New Roman"/>
        </w:rPr>
      </w:pPr>
    </w:p>
    <w:p w:rsidR="00D870B3" w:rsidRDefault="00D870B3" w:rsidP="002A3C6A">
      <w:pPr>
        <w:spacing w:line="360" w:lineRule="auto"/>
        <w:rPr>
          <w:rFonts w:ascii="Times New Roman" w:hAnsi="Times New Roman" w:cs="Times New Roman"/>
          <w:b/>
        </w:rPr>
      </w:pPr>
    </w:p>
    <w:p w:rsidR="00AB4D9F" w:rsidRPr="004C5F62" w:rsidRDefault="008C3F85" w:rsidP="002A3C6A">
      <w:pPr>
        <w:spacing w:line="360" w:lineRule="auto"/>
        <w:rPr>
          <w:rFonts w:ascii="Times New Roman" w:hAnsi="Times New Roman" w:cs="Times New Roman"/>
        </w:rPr>
      </w:pPr>
      <w:r w:rsidRPr="004C5F62">
        <w:rPr>
          <w:rFonts w:ascii="Times New Roman" w:hAnsi="Times New Roman" w:cs="Times New Roman"/>
          <w:b/>
        </w:rPr>
        <w:t>Report to be considered.</w:t>
      </w:r>
    </w:p>
    <w:sectPr w:rsidR="00AB4D9F" w:rsidRPr="004C5F62" w:rsidSect="00045B3E">
      <w:footerReference w:type="default" r:id="rId8"/>
      <w:footerReference w:type="first" r:id="rId9"/>
      <w:pgSz w:w="12240" w:h="15840" w:code="1"/>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8AC" w:rsidRDefault="009E48AC" w:rsidP="00391309">
      <w:r>
        <w:separator/>
      </w:r>
    </w:p>
  </w:endnote>
  <w:endnote w:type="continuationSeparator" w:id="0">
    <w:p w:rsidR="009E48AC" w:rsidRDefault="009E48AC" w:rsidP="003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943366"/>
      <w:docPartObj>
        <w:docPartGallery w:val="Page Numbers (Bottom of Page)"/>
        <w:docPartUnique/>
      </w:docPartObj>
    </w:sdtPr>
    <w:sdtEndPr>
      <w:rPr>
        <w:noProof/>
      </w:rPr>
    </w:sdtEndPr>
    <w:sdtContent>
      <w:p w:rsidR="00D870B3" w:rsidRDefault="00D870B3">
        <w:pPr>
          <w:pStyle w:val="Footer"/>
          <w:jc w:val="right"/>
        </w:pPr>
        <w:r>
          <w:fldChar w:fldCharType="begin"/>
        </w:r>
        <w:r>
          <w:instrText xml:space="preserve"> PAGE   \* MERGEFORMAT </w:instrText>
        </w:r>
        <w:r>
          <w:fldChar w:fldCharType="separate"/>
        </w:r>
        <w:r w:rsidR="00FC2AD0">
          <w:rPr>
            <w:noProof/>
          </w:rPr>
          <w:t>21</w:t>
        </w:r>
        <w:r>
          <w:rPr>
            <w:noProof/>
          </w:rPr>
          <w:fldChar w:fldCharType="end"/>
        </w:r>
      </w:p>
    </w:sdtContent>
  </w:sdt>
  <w:p w:rsidR="00E17865" w:rsidRDefault="00E17865" w:rsidP="001618CA">
    <w:pPr>
      <w:pStyle w:val="Footer"/>
      <w:tabs>
        <w:tab w:val="left" w:pos="7797"/>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865" w:rsidRPr="000D13BF" w:rsidRDefault="00E17865" w:rsidP="00BB26E3">
    <w:pPr>
      <w:pStyle w:val="Footer"/>
      <w:pBdr>
        <w:top w:val="single" w:sz="4" w:space="1" w:color="auto"/>
      </w:pBdr>
      <w:tabs>
        <w:tab w:val="clear" w:pos="4320"/>
        <w:tab w:val="clear" w:pos="8640"/>
        <w:tab w:val="right" w:pos="9972"/>
      </w:tabs>
      <w:rPr>
        <w:sz w:val="18"/>
        <w:szCs w:val="18"/>
      </w:rPr>
    </w:pPr>
    <w:r w:rsidRPr="000D13BF">
      <w:rPr>
        <w:sz w:val="18"/>
        <w:szCs w:val="18"/>
      </w:rPr>
      <w:tab/>
      <w:t xml:space="preserve">Page </w:t>
    </w:r>
    <w:r w:rsidRPr="000D13BF">
      <w:rPr>
        <w:sz w:val="18"/>
        <w:szCs w:val="18"/>
      </w:rPr>
      <w:fldChar w:fldCharType="begin"/>
    </w:r>
    <w:r w:rsidRPr="000D13BF">
      <w:rPr>
        <w:sz w:val="18"/>
        <w:szCs w:val="18"/>
      </w:rPr>
      <w:instrText xml:space="preserve"> PAGE   \* MERGEFORMAT </w:instrText>
    </w:r>
    <w:r w:rsidRPr="000D13BF">
      <w:rPr>
        <w:sz w:val="18"/>
        <w:szCs w:val="18"/>
      </w:rPr>
      <w:fldChar w:fldCharType="separate"/>
    </w:r>
    <w:r w:rsidR="00FC2AD0">
      <w:rPr>
        <w:noProof/>
        <w:sz w:val="18"/>
        <w:szCs w:val="18"/>
      </w:rPr>
      <w:t>1</w:t>
    </w:r>
    <w:r w:rsidRPr="000D13B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8AC" w:rsidRDefault="009E48AC" w:rsidP="00391309">
      <w:r>
        <w:separator/>
      </w:r>
    </w:p>
  </w:footnote>
  <w:footnote w:type="continuationSeparator" w:id="0">
    <w:p w:rsidR="009E48AC" w:rsidRDefault="009E48AC" w:rsidP="00391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9E7"/>
    <w:multiLevelType w:val="hybridMultilevel"/>
    <w:tmpl w:val="361AEE20"/>
    <w:lvl w:ilvl="0" w:tplc="F5F436F6">
      <w:start w:val="1"/>
      <w:numFmt w:val="bullet"/>
      <w:lvlText w:val=""/>
      <w:lvlJc w:val="left"/>
      <w:pPr>
        <w:ind w:left="1287" w:hanging="360"/>
      </w:pPr>
      <w:rPr>
        <w:rFonts w:ascii="Symbol" w:hAnsi="Symbol" w:hint="default"/>
        <w:b/>
        <w:sz w:val="24"/>
        <w:szCs w:val="24"/>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 w15:restartNumberingAfterBreak="0">
    <w:nsid w:val="04380124"/>
    <w:multiLevelType w:val="hybridMultilevel"/>
    <w:tmpl w:val="D1A068B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DF18533E">
      <w:start w:val="1"/>
      <w:numFmt w:val="bullet"/>
      <w:lvlText w:val="o"/>
      <w:lvlJc w:val="left"/>
      <w:pPr>
        <w:ind w:left="2160" w:hanging="360"/>
      </w:pPr>
      <w:rPr>
        <w:rFonts w:ascii="Symbol" w:hAnsi="Symbol"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F216DA"/>
    <w:multiLevelType w:val="hybridMultilevel"/>
    <w:tmpl w:val="CC3800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AD410CD"/>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9901B3"/>
    <w:multiLevelType w:val="hybridMultilevel"/>
    <w:tmpl w:val="D0CEED06"/>
    <w:lvl w:ilvl="0" w:tplc="B0089010">
      <w:start w:val="1"/>
      <w:numFmt w:val="bullet"/>
      <w:lvlText w:val=""/>
      <w:lvlJc w:val="left"/>
      <w:pPr>
        <w:ind w:left="930" w:hanging="570"/>
      </w:pPr>
      <w:rPr>
        <w:rFonts w:ascii="Symbol" w:hAnsi="Symbol" w:hint="default"/>
        <w:b/>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DB769E2"/>
    <w:multiLevelType w:val="hybridMultilevel"/>
    <w:tmpl w:val="BA0AB2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E517C92"/>
    <w:multiLevelType w:val="hybridMultilevel"/>
    <w:tmpl w:val="970C2B1A"/>
    <w:lvl w:ilvl="0" w:tplc="024EAE6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E8D7453"/>
    <w:multiLevelType w:val="hybridMultilevel"/>
    <w:tmpl w:val="21BE00DA"/>
    <w:lvl w:ilvl="0" w:tplc="1C090001">
      <w:start w:val="1"/>
      <w:numFmt w:val="bullet"/>
      <w:lvlText w:val=""/>
      <w:lvlJc w:val="left"/>
      <w:pPr>
        <w:ind w:left="930" w:hanging="570"/>
      </w:pPr>
      <w:rPr>
        <w:rFonts w:ascii="Symbol" w:hAnsi="Symbol" w:hint="default"/>
      </w:rPr>
    </w:lvl>
    <w:lvl w:ilvl="1" w:tplc="1352B8D8">
      <w:numFmt w:val="bullet"/>
      <w:lvlText w:val="•"/>
      <w:lvlJc w:val="left"/>
      <w:pPr>
        <w:ind w:left="1650" w:hanging="570"/>
      </w:pPr>
      <w:rPr>
        <w:rFonts w:ascii="Times New Roman" w:eastAsia="Times New Roman"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1BA2D0C"/>
    <w:multiLevelType w:val="hybridMultilevel"/>
    <w:tmpl w:val="CC5C6CF8"/>
    <w:lvl w:ilvl="0" w:tplc="D244F57C">
      <w:start w:val="1"/>
      <w:numFmt w:val="bullet"/>
      <w:lvlText w:val=""/>
      <w:lvlJc w:val="left"/>
      <w:pPr>
        <w:ind w:left="720" w:hanging="360"/>
      </w:pPr>
      <w:rPr>
        <w:rFonts w:ascii="Symbol" w:hAnsi="Symbol" w:hint="default"/>
        <w:b/>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2283D11"/>
    <w:multiLevelType w:val="hybridMultilevel"/>
    <w:tmpl w:val="8CC83D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9CA221A"/>
    <w:multiLevelType w:val="hybridMultilevel"/>
    <w:tmpl w:val="D88054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14D3886"/>
    <w:multiLevelType w:val="hybridMultilevel"/>
    <w:tmpl w:val="AB34829A"/>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12" w15:restartNumberingAfterBreak="0">
    <w:nsid w:val="216303BA"/>
    <w:multiLevelType w:val="hybridMultilevel"/>
    <w:tmpl w:val="6A2CB498"/>
    <w:lvl w:ilvl="0" w:tplc="F5F436F6">
      <w:start w:val="1"/>
      <w:numFmt w:val="bullet"/>
      <w:lvlText w:val=""/>
      <w:lvlJc w:val="left"/>
      <w:pPr>
        <w:ind w:left="1287" w:hanging="360"/>
      </w:pPr>
      <w:rPr>
        <w:rFonts w:ascii="Symbol" w:hAnsi="Symbol" w:hint="default"/>
        <w:b/>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BB579EB"/>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880BBC"/>
    <w:multiLevelType w:val="hybridMultilevel"/>
    <w:tmpl w:val="D960CC06"/>
    <w:lvl w:ilvl="0" w:tplc="1C090001">
      <w:start w:val="1"/>
      <w:numFmt w:val="bullet"/>
      <w:lvlText w:val=""/>
      <w:lvlJc w:val="left"/>
      <w:pPr>
        <w:ind w:left="1287" w:hanging="360"/>
      </w:pPr>
      <w:rPr>
        <w:rFonts w:ascii="Symbol" w:hAnsi="Symbol" w:hint="default"/>
        <w:b/>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2BE530C"/>
    <w:multiLevelType w:val="multilevel"/>
    <w:tmpl w:val="CE5AE03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7D6EB6"/>
    <w:multiLevelType w:val="hybridMultilevel"/>
    <w:tmpl w:val="59E08096"/>
    <w:lvl w:ilvl="0" w:tplc="1C090001">
      <w:start w:val="1"/>
      <w:numFmt w:val="bullet"/>
      <w:lvlText w:val=""/>
      <w:lvlJc w:val="left"/>
      <w:pPr>
        <w:ind w:left="930" w:hanging="570"/>
      </w:pPr>
      <w:rPr>
        <w:rFonts w:ascii="Symbol" w:hAnsi="Symbol" w:hint="default"/>
      </w:rPr>
    </w:lvl>
    <w:lvl w:ilvl="1" w:tplc="95B4B4EE">
      <w:start w:val="1"/>
      <w:numFmt w:val="bullet"/>
      <w:lvlText w:val=""/>
      <w:lvlJc w:val="left"/>
      <w:pPr>
        <w:ind w:left="7375" w:hanging="570"/>
      </w:pPr>
      <w:rPr>
        <w:rFonts w:ascii="Symbol" w:hAnsi="Symbol" w:hint="default"/>
        <w:sz w:val="24"/>
        <w:szCs w:val="24"/>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77B3474"/>
    <w:multiLevelType w:val="hybridMultilevel"/>
    <w:tmpl w:val="E04A0D0A"/>
    <w:lvl w:ilvl="0" w:tplc="755CD508">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9A649F6"/>
    <w:multiLevelType w:val="hybridMultilevel"/>
    <w:tmpl w:val="5808803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35B29B7"/>
    <w:multiLevelType w:val="hybridMultilevel"/>
    <w:tmpl w:val="31A881B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F263AF1"/>
    <w:multiLevelType w:val="hybridMultilevel"/>
    <w:tmpl w:val="E488BBEA"/>
    <w:lvl w:ilvl="0" w:tplc="F5F436F6">
      <w:start w:val="1"/>
      <w:numFmt w:val="bullet"/>
      <w:lvlText w:val=""/>
      <w:lvlJc w:val="left"/>
      <w:pPr>
        <w:ind w:left="1287" w:hanging="360"/>
      </w:pPr>
      <w:rPr>
        <w:rFonts w:ascii="Symbol" w:hAnsi="Symbol" w:hint="default"/>
        <w:b/>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5BE1C95"/>
    <w:multiLevelType w:val="hybridMultilevel"/>
    <w:tmpl w:val="2902B36E"/>
    <w:lvl w:ilvl="0" w:tplc="40D69C3A">
      <w:start w:val="1"/>
      <w:numFmt w:val="bullet"/>
      <w:lvlText w:val=""/>
      <w:lvlJc w:val="left"/>
      <w:pPr>
        <w:ind w:left="720" w:hanging="360"/>
      </w:pPr>
      <w:rPr>
        <w:rFonts w:ascii="Symbol" w:hAnsi="Symbol" w:hint="default"/>
        <w:sz w:val="24"/>
        <w:szCs w:val="24"/>
      </w:rPr>
    </w:lvl>
    <w:lvl w:ilvl="1" w:tplc="0C1017AE">
      <w:start w:val="1"/>
      <w:numFmt w:val="bullet"/>
      <w:lvlText w:val=""/>
      <w:lvlJc w:val="left"/>
      <w:pPr>
        <w:ind w:left="1650" w:hanging="570"/>
      </w:pPr>
      <w:rPr>
        <w:rFonts w:ascii="Symbol" w:hAnsi="Symbol" w:hint="default"/>
        <w:b/>
        <w:sz w:val="24"/>
        <w:szCs w:val="24"/>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97A65BB"/>
    <w:multiLevelType w:val="hybridMultilevel"/>
    <w:tmpl w:val="4D7E6826"/>
    <w:lvl w:ilvl="0" w:tplc="1C090001">
      <w:start w:val="1"/>
      <w:numFmt w:val="bullet"/>
      <w:lvlText w:val=""/>
      <w:lvlJc w:val="left"/>
      <w:pPr>
        <w:ind w:left="720" w:hanging="360"/>
      </w:pPr>
      <w:rPr>
        <w:rFonts w:ascii="Symbol" w:hAnsi="Symbol" w:hint="default"/>
      </w:rPr>
    </w:lvl>
    <w:lvl w:ilvl="1" w:tplc="F67C7A30">
      <w:start w:val="1"/>
      <w:numFmt w:val="bullet"/>
      <w:lvlText w:val=""/>
      <w:lvlJc w:val="left"/>
      <w:pPr>
        <w:ind w:left="1650" w:hanging="570"/>
      </w:pPr>
      <w:rPr>
        <w:rFonts w:ascii="Symbol" w:hAnsi="Symbol"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C2C599E"/>
    <w:multiLevelType w:val="hybridMultilevel"/>
    <w:tmpl w:val="742ADAE4"/>
    <w:lvl w:ilvl="0" w:tplc="D244F57C">
      <w:start w:val="1"/>
      <w:numFmt w:val="bullet"/>
      <w:lvlText w:val=""/>
      <w:lvlJc w:val="left"/>
      <w:pPr>
        <w:ind w:left="720" w:hanging="360"/>
      </w:pPr>
      <w:rPr>
        <w:rFonts w:ascii="Symbol" w:hAnsi="Symbol" w:hint="default"/>
        <w:b/>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D6B2107"/>
    <w:multiLevelType w:val="multilevel"/>
    <w:tmpl w:val="11705512"/>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bullet"/>
      <w:lvlText w:val=""/>
      <w:lvlJc w:val="left"/>
      <w:pPr>
        <w:ind w:left="1224" w:hanging="504"/>
      </w:pPr>
      <w:rPr>
        <w:rFonts w:ascii="Symbol" w:hAnsi="Symbol" w:hint="default"/>
        <w:b/>
        <w:sz w:val="24"/>
        <w:szCs w:val="24"/>
      </w:rPr>
    </w:lvl>
    <w:lvl w:ilvl="3">
      <w:start w:val="1"/>
      <w:numFmt w:val="bullet"/>
      <w:lvlText w:val="o"/>
      <w:lvlJc w:val="left"/>
      <w:pPr>
        <w:ind w:left="1728" w:hanging="648"/>
      </w:pPr>
      <w:rPr>
        <w:rFonts w:ascii="Courier New" w:hAnsi="Courier New" w:cs="Courier New"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A86072"/>
    <w:multiLevelType w:val="multilevel"/>
    <w:tmpl w:val="1C09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456D46"/>
    <w:multiLevelType w:val="hybridMultilevel"/>
    <w:tmpl w:val="A6745DB0"/>
    <w:lvl w:ilvl="0" w:tplc="D244F57C">
      <w:start w:val="1"/>
      <w:numFmt w:val="bullet"/>
      <w:lvlText w:val=""/>
      <w:lvlJc w:val="left"/>
      <w:pPr>
        <w:ind w:left="720" w:hanging="360"/>
      </w:pPr>
      <w:rPr>
        <w:rFonts w:ascii="Symbol" w:hAnsi="Symbol" w:hint="default"/>
        <w:b/>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1E96DCC"/>
    <w:multiLevelType w:val="hybridMultilevel"/>
    <w:tmpl w:val="D5EECD88"/>
    <w:lvl w:ilvl="0" w:tplc="D244F57C">
      <w:start w:val="1"/>
      <w:numFmt w:val="bullet"/>
      <w:lvlText w:val=""/>
      <w:lvlJc w:val="left"/>
      <w:pPr>
        <w:ind w:left="720" w:hanging="360"/>
      </w:pPr>
      <w:rPr>
        <w:rFonts w:ascii="Symbol" w:hAnsi="Symbol" w:hint="default"/>
        <w:b/>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29E2211"/>
    <w:multiLevelType w:val="hybridMultilevel"/>
    <w:tmpl w:val="47B0C0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3021134"/>
    <w:multiLevelType w:val="hybridMultilevel"/>
    <w:tmpl w:val="2F1837EE"/>
    <w:lvl w:ilvl="0" w:tplc="29FE55CE">
      <w:start w:val="1"/>
      <w:numFmt w:val="bullet"/>
      <w:lvlText w:val=""/>
      <w:lvlJc w:val="left"/>
      <w:pPr>
        <w:ind w:left="720" w:hanging="360"/>
      </w:pPr>
      <w:rPr>
        <w:rFonts w:ascii="Symbol" w:hAnsi="Symbol" w:hint="default"/>
        <w:b/>
      </w:rPr>
    </w:lvl>
    <w:lvl w:ilvl="1" w:tplc="B0CAC336">
      <w:numFmt w:val="bullet"/>
      <w:lvlText w:val="•"/>
      <w:lvlJc w:val="left"/>
      <w:pPr>
        <w:ind w:left="1650" w:hanging="570"/>
      </w:pPr>
      <w:rPr>
        <w:rFonts w:ascii="Times New Roman" w:eastAsia="Times New Roman"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5431135"/>
    <w:multiLevelType w:val="hybridMultilevel"/>
    <w:tmpl w:val="A1A81922"/>
    <w:lvl w:ilvl="0" w:tplc="F5F436F6">
      <w:start w:val="1"/>
      <w:numFmt w:val="bullet"/>
      <w:lvlText w:val=""/>
      <w:lvlJc w:val="left"/>
      <w:pPr>
        <w:ind w:left="1287" w:hanging="360"/>
      </w:pPr>
      <w:rPr>
        <w:rFonts w:ascii="Symbol" w:hAnsi="Symbol" w:hint="default"/>
        <w:b/>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7EF06CD"/>
    <w:multiLevelType w:val="hybridMultilevel"/>
    <w:tmpl w:val="CEA07354"/>
    <w:lvl w:ilvl="0" w:tplc="CCB01FB2">
      <w:start w:val="1"/>
      <w:numFmt w:val="bullet"/>
      <w:lvlText w:val=""/>
      <w:lvlJc w:val="left"/>
      <w:pPr>
        <w:ind w:left="720" w:hanging="360"/>
      </w:pPr>
      <w:rPr>
        <w:rFonts w:ascii="Symbol" w:hAnsi="Symbol" w:hint="default"/>
        <w:b w:val="0"/>
        <w:sz w:val="24"/>
        <w:szCs w:val="24"/>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BBE1F2E"/>
    <w:multiLevelType w:val="hybridMultilevel"/>
    <w:tmpl w:val="982C74D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5"/>
  </w:num>
  <w:num w:numId="3">
    <w:abstractNumId w:val="7"/>
  </w:num>
  <w:num w:numId="4">
    <w:abstractNumId w:val="21"/>
  </w:num>
  <w:num w:numId="5">
    <w:abstractNumId w:val="31"/>
  </w:num>
  <w:num w:numId="6">
    <w:abstractNumId w:val="13"/>
  </w:num>
  <w:num w:numId="7">
    <w:abstractNumId w:val="1"/>
  </w:num>
  <w:num w:numId="8">
    <w:abstractNumId w:val="11"/>
  </w:num>
  <w:num w:numId="9">
    <w:abstractNumId w:val="16"/>
  </w:num>
  <w:num w:numId="10">
    <w:abstractNumId w:val="2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29"/>
  </w:num>
  <w:num w:numId="15">
    <w:abstractNumId w:val="17"/>
  </w:num>
  <w:num w:numId="16">
    <w:abstractNumId w:val="10"/>
  </w:num>
  <w:num w:numId="17">
    <w:abstractNumId w:val="22"/>
  </w:num>
  <w:num w:numId="18">
    <w:abstractNumId w:val="0"/>
  </w:num>
  <w:num w:numId="19">
    <w:abstractNumId w:val="4"/>
  </w:num>
  <w:num w:numId="20">
    <w:abstractNumId w:val="15"/>
  </w:num>
  <w:num w:numId="21">
    <w:abstractNumId w:val="12"/>
  </w:num>
  <w:num w:numId="22">
    <w:abstractNumId w:val="32"/>
  </w:num>
  <w:num w:numId="23">
    <w:abstractNumId w:val="30"/>
  </w:num>
  <w:num w:numId="24">
    <w:abstractNumId w:val="20"/>
  </w:num>
  <w:num w:numId="25">
    <w:abstractNumId w:val="18"/>
  </w:num>
  <w:num w:numId="26">
    <w:abstractNumId w:val="14"/>
  </w:num>
  <w:num w:numId="27">
    <w:abstractNumId w:val="8"/>
  </w:num>
  <w:num w:numId="28">
    <w:abstractNumId w:val="27"/>
  </w:num>
  <w:num w:numId="29">
    <w:abstractNumId w:val="19"/>
  </w:num>
  <w:num w:numId="30">
    <w:abstractNumId w:val="26"/>
  </w:num>
  <w:num w:numId="31">
    <w:abstractNumId w:val="6"/>
  </w:num>
  <w:num w:numId="32">
    <w:abstractNumId w:val="23"/>
  </w:num>
  <w:num w:numId="33">
    <w:abstractNumId w:val="24"/>
  </w:num>
  <w:num w:numId="3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70"/>
    <w:rsid w:val="00000A7D"/>
    <w:rsid w:val="000022C1"/>
    <w:rsid w:val="0000362C"/>
    <w:rsid w:val="00003DCD"/>
    <w:rsid w:val="00003E1A"/>
    <w:rsid w:val="000051D9"/>
    <w:rsid w:val="00005241"/>
    <w:rsid w:val="00005BD6"/>
    <w:rsid w:val="00006701"/>
    <w:rsid w:val="000068EC"/>
    <w:rsid w:val="00006F00"/>
    <w:rsid w:val="0000735E"/>
    <w:rsid w:val="000074A9"/>
    <w:rsid w:val="00007E55"/>
    <w:rsid w:val="000109E8"/>
    <w:rsid w:val="0001103C"/>
    <w:rsid w:val="0001117A"/>
    <w:rsid w:val="0001329F"/>
    <w:rsid w:val="00013372"/>
    <w:rsid w:val="00013562"/>
    <w:rsid w:val="000136C9"/>
    <w:rsid w:val="00013AF2"/>
    <w:rsid w:val="00013B85"/>
    <w:rsid w:val="00014754"/>
    <w:rsid w:val="000149E8"/>
    <w:rsid w:val="00015135"/>
    <w:rsid w:val="000152A1"/>
    <w:rsid w:val="00015AC0"/>
    <w:rsid w:val="00015D1F"/>
    <w:rsid w:val="00015F79"/>
    <w:rsid w:val="00016077"/>
    <w:rsid w:val="00016A54"/>
    <w:rsid w:val="00017845"/>
    <w:rsid w:val="0001798A"/>
    <w:rsid w:val="0002008A"/>
    <w:rsid w:val="00020095"/>
    <w:rsid w:val="00020157"/>
    <w:rsid w:val="00020CA8"/>
    <w:rsid w:val="000227BA"/>
    <w:rsid w:val="00022B17"/>
    <w:rsid w:val="00022DB1"/>
    <w:rsid w:val="00023709"/>
    <w:rsid w:val="00023D98"/>
    <w:rsid w:val="00024245"/>
    <w:rsid w:val="00024B84"/>
    <w:rsid w:val="000262AC"/>
    <w:rsid w:val="0002675F"/>
    <w:rsid w:val="00026E89"/>
    <w:rsid w:val="00027AA9"/>
    <w:rsid w:val="00027C16"/>
    <w:rsid w:val="00030360"/>
    <w:rsid w:val="00030379"/>
    <w:rsid w:val="00030D0F"/>
    <w:rsid w:val="00031993"/>
    <w:rsid w:val="00031BE5"/>
    <w:rsid w:val="00032991"/>
    <w:rsid w:val="000329D1"/>
    <w:rsid w:val="00032D23"/>
    <w:rsid w:val="00033049"/>
    <w:rsid w:val="00033CF3"/>
    <w:rsid w:val="0003411D"/>
    <w:rsid w:val="00034784"/>
    <w:rsid w:val="00034ECA"/>
    <w:rsid w:val="00035308"/>
    <w:rsid w:val="0003568B"/>
    <w:rsid w:val="0003569D"/>
    <w:rsid w:val="000358A4"/>
    <w:rsid w:val="000368B0"/>
    <w:rsid w:val="00037C12"/>
    <w:rsid w:val="00042616"/>
    <w:rsid w:val="000431B4"/>
    <w:rsid w:val="0004436F"/>
    <w:rsid w:val="00044B0F"/>
    <w:rsid w:val="0004529F"/>
    <w:rsid w:val="000455EE"/>
    <w:rsid w:val="000455F9"/>
    <w:rsid w:val="00045B3E"/>
    <w:rsid w:val="00046E32"/>
    <w:rsid w:val="00046E84"/>
    <w:rsid w:val="00047580"/>
    <w:rsid w:val="00050087"/>
    <w:rsid w:val="00051332"/>
    <w:rsid w:val="00051A2B"/>
    <w:rsid w:val="00052386"/>
    <w:rsid w:val="000526D1"/>
    <w:rsid w:val="00052905"/>
    <w:rsid w:val="0005358D"/>
    <w:rsid w:val="00053F3B"/>
    <w:rsid w:val="00053F73"/>
    <w:rsid w:val="000566F8"/>
    <w:rsid w:val="00056C03"/>
    <w:rsid w:val="00056CBB"/>
    <w:rsid w:val="0006036A"/>
    <w:rsid w:val="000617F9"/>
    <w:rsid w:val="00061AB1"/>
    <w:rsid w:val="00061B7D"/>
    <w:rsid w:val="00061F39"/>
    <w:rsid w:val="00062488"/>
    <w:rsid w:val="0006297D"/>
    <w:rsid w:val="00062A99"/>
    <w:rsid w:val="00062EA9"/>
    <w:rsid w:val="00063E5A"/>
    <w:rsid w:val="00064CCE"/>
    <w:rsid w:val="00064D01"/>
    <w:rsid w:val="00066132"/>
    <w:rsid w:val="0006727E"/>
    <w:rsid w:val="00070C3C"/>
    <w:rsid w:val="00071CE0"/>
    <w:rsid w:val="00072997"/>
    <w:rsid w:val="00073CE9"/>
    <w:rsid w:val="00074A04"/>
    <w:rsid w:val="00075477"/>
    <w:rsid w:val="000758A0"/>
    <w:rsid w:val="00075FC6"/>
    <w:rsid w:val="0007679B"/>
    <w:rsid w:val="000768F8"/>
    <w:rsid w:val="00080209"/>
    <w:rsid w:val="0008025A"/>
    <w:rsid w:val="00081A93"/>
    <w:rsid w:val="00081B63"/>
    <w:rsid w:val="000825B8"/>
    <w:rsid w:val="00083090"/>
    <w:rsid w:val="00083437"/>
    <w:rsid w:val="00083776"/>
    <w:rsid w:val="00084074"/>
    <w:rsid w:val="0008417B"/>
    <w:rsid w:val="00084F71"/>
    <w:rsid w:val="0008547B"/>
    <w:rsid w:val="00085A22"/>
    <w:rsid w:val="00085E90"/>
    <w:rsid w:val="00086213"/>
    <w:rsid w:val="00086B10"/>
    <w:rsid w:val="00086EF3"/>
    <w:rsid w:val="0009169E"/>
    <w:rsid w:val="00091BDE"/>
    <w:rsid w:val="00091D04"/>
    <w:rsid w:val="00093203"/>
    <w:rsid w:val="000937C5"/>
    <w:rsid w:val="00094BEC"/>
    <w:rsid w:val="00095EC5"/>
    <w:rsid w:val="00096348"/>
    <w:rsid w:val="000967D8"/>
    <w:rsid w:val="00097E59"/>
    <w:rsid w:val="000A0498"/>
    <w:rsid w:val="000A04C2"/>
    <w:rsid w:val="000A0AFF"/>
    <w:rsid w:val="000A1C19"/>
    <w:rsid w:val="000A22CA"/>
    <w:rsid w:val="000A2D03"/>
    <w:rsid w:val="000A3EEE"/>
    <w:rsid w:val="000A42EB"/>
    <w:rsid w:val="000A438C"/>
    <w:rsid w:val="000A4C26"/>
    <w:rsid w:val="000A6219"/>
    <w:rsid w:val="000A6D32"/>
    <w:rsid w:val="000A7645"/>
    <w:rsid w:val="000A777E"/>
    <w:rsid w:val="000B04AE"/>
    <w:rsid w:val="000B0650"/>
    <w:rsid w:val="000B0A08"/>
    <w:rsid w:val="000B0EA1"/>
    <w:rsid w:val="000B10A9"/>
    <w:rsid w:val="000B25C9"/>
    <w:rsid w:val="000B28AC"/>
    <w:rsid w:val="000B3FDD"/>
    <w:rsid w:val="000B4034"/>
    <w:rsid w:val="000B45E8"/>
    <w:rsid w:val="000B46E4"/>
    <w:rsid w:val="000B6DD7"/>
    <w:rsid w:val="000C00FE"/>
    <w:rsid w:val="000C2156"/>
    <w:rsid w:val="000C2437"/>
    <w:rsid w:val="000C24F2"/>
    <w:rsid w:val="000C3E0A"/>
    <w:rsid w:val="000C4752"/>
    <w:rsid w:val="000C5441"/>
    <w:rsid w:val="000C54D3"/>
    <w:rsid w:val="000C6039"/>
    <w:rsid w:val="000C65E9"/>
    <w:rsid w:val="000C6E02"/>
    <w:rsid w:val="000C6FE7"/>
    <w:rsid w:val="000C799A"/>
    <w:rsid w:val="000D0BAD"/>
    <w:rsid w:val="000D0FE6"/>
    <w:rsid w:val="000D10A2"/>
    <w:rsid w:val="000D13BF"/>
    <w:rsid w:val="000D1401"/>
    <w:rsid w:val="000D1534"/>
    <w:rsid w:val="000D19BE"/>
    <w:rsid w:val="000D2029"/>
    <w:rsid w:val="000D2966"/>
    <w:rsid w:val="000D2E3B"/>
    <w:rsid w:val="000D4596"/>
    <w:rsid w:val="000D5CD3"/>
    <w:rsid w:val="000D66F3"/>
    <w:rsid w:val="000D69C2"/>
    <w:rsid w:val="000D75B5"/>
    <w:rsid w:val="000E0421"/>
    <w:rsid w:val="000E0C01"/>
    <w:rsid w:val="000E2AA6"/>
    <w:rsid w:val="000E33F9"/>
    <w:rsid w:val="000E3A0F"/>
    <w:rsid w:val="000E4D0A"/>
    <w:rsid w:val="000E52D7"/>
    <w:rsid w:val="000E6950"/>
    <w:rsid w:val="000F0448"/>
    <w:rsid w:val="000F05EA"/>
    <w:rsid w:val="000F1693"/>
    <w:rsid w:val="000F2141"/>
    <w:rsid w:val="000F22A4"/>
    <w:rsid w:val="000F2BCF"/>
    <w:rsid w:val="000F374B"/>
    <w:rsid w:val="000F3FAA"/>
    <w:rsid w:val="000F4FDD"/>
    <w:rsid w:val="000F5057"/>
    <w:rsid w:val="000F63CE"/>
    <w:rsid w:val="000F75BC"/>
    <w:rsid w:val="00100242"/>
    <w:rsid w:val="001002F7"/>
    <w:rsid w:val="001003B2"/>
    <w:rsid w:val="001004CE"/>
    <w:rsid w:val="00100551"/>
    <w:rsid w:val="0010065A"/>
    <w:rsid w:val="00100813"/>
    <w:rsid w:val="00100A9E"/>
    <w:rsid w:val="00100BF4"/>
    <w:rsid w:val="00102113"/>
    <w:rsid w:val="001030A4"/>
    <w:rsid w:val="00103789"/>
    <w:rsid w:val="0010638D"/>
    <w:rsid w:val="001067A9"/>
    <w:rsid w:val="00106F14"/>
    <w:rsid w:val="00107E03"/>
    <w:rsid w:val="00107E5B"/>
    <w:rsid w:val="0011037E"/>
    <w:rsid w:val="00110A86"/>
    <w:rsid w:val="00110BAB"/>
    <w:rsid w:val="001119B6"/>
    <w:rsid w:val="00112065"/>
    <w:rsid w:val="00112E93"/>
    <w:rsid w:val="00114E48"/>
    <w:rsid w:val="0011509A"/>
    <w:rsid w:val="00115A8A"/>
    <w:rsid w:val="00116300"/>
    <w:rsid w:val="0011635A"/>
    <w:rsid w:val="00116D20"/>
    <w:rsid w:val="001212CC"/>
    <w:rsid w:val="00123E9E"/>
    <w:rsid w:val="00124807"/>
    <w:rsid w:val="0012570D"/>
    <w:rsid w:val="00125C58"/>
    <w:rsid w:val="001277E4"/>
    <w:rsid w:val="00127EBE"/>
    <w:rsid w:val="00130FA9"/>
    <w:rsid w:val="001314C9"/>
    <w:rsid w:val="001320EB"/>
    <w:rsid w:val="001334F5"/>
    <w:rsid w:val="001353F0"/>
    <w:rsid w:val="00135B60"/>
    <w:rsid w:val="00135BDF"/>
    <w:rsid w:val="001361B6"/>
    <w:rsid w:val="00136A4B"/>
    <w:rsid w:val="00136D10"/>
    <w:rsid w:val="00140095"/>
    <w:rsid w:val="001409B8"/>
    <w:rsid w:val="00140C0E"/>
    <w:rsid w:val="00140EC6"/>
    <w:rsid w:val="001421B4"/>
    <w:rsid w:val="00142768"/>
    <w:rsid w:val="00144516"/>
    <w:rsid w:val="00145070"/>
    <w:rsid w:val="001455DE"/>
    <w:rsid w:val="00145E0F"/>
    <w:rsid w:val="00146D36"/>
    <w:rsid w:val="00146DF9"/>
    <w:rsid w:val="0015069D"/>
    <w:rsid w:val="0015107F"/>
    <w:rsid w:val="00151525"/>
    <w:rsid w:val="00151FDA"/>
    <w:rsid w:val="0015297E"/>
    <w:rsid w:val="001534D2"/>
    <w:rsid w:val="00153DAB"/>
    <w:rsid w:val="00154AF9"/>
    <w:rsid w:val="00154B47"/>
    <w:rsid w:val="0015570C"/>
    <w:rsid w:val="001563E3"/>
    <w:rsid w:val="00156E69"/>
    <w:rsid w:val="00157438"/>
    <w:rsid w:val="00157895"/>
    <w:rsid w:val="001618CA"/>
    <w:rsid w:val="0016390D"/>
    <w:rsid w:val="001641FA"/>
    <w:rsid w:val="00164957"/>
    <w:rsid w:val="00165021"/>
    <w:rsid w:val="0016518C"/>
    <w:rsid w:val="0016632A"/>
    <w:rsid w:val="0016692B"/>
    <w:rsid w:val="00167836"/>
    <w:rsid w:val="00170529"/>
    <w:rsid w:val="00171093"/>
    <w:rsid w:val="00171429"/>
    <w:rsid w:val="0017239B"/>
    <w:rsid w:val="00172424"/>
    <w:rsid w:val="001727FE"/>
    <w:rsid w:val="001739A1"/>
    <w:rsid w:val="00174CD7"/>
    <w:rsid w:val="001750C7"/>
    <w:rsid w:val="00175468"/>
    <w:rsid w:val="001759DB"/>
    <w:rsid w:val="00175B12"/>
    <w:rsid w:val="00175E80"/>
    <w:rsid w:val="00176C1C"/>
    <w:rsid w:val="00176ECA"/>
    <w:rsid w:val="00177166"/>
    <w:rsid w:val="00177196"/>
    <w:rsid w:val="001803F7"/>
    <w:rsid w:val="0018068D"/>
    <w:rsid w:val="00182568"/>
    <w:rsid w:val="001829B8"/>
    <w:rsid w:val="001846C1"/>
    <w:rsid w:val="00185457"/>
    <w:rsid w:val="001862F6"/>
    <w:rsid w:val="0018691A"/>
    <w:rsid w:val="001869A2"/>
    <w:rsid w:val="00186A76"/>
    <w:rsid w:val="00186DAB"/>
    <w:rsid w:val="00186E50"/>
    <w:rsid w:val="0018799F"/>
    <w:rsid w:val="00187A3F"/>
    <w:rsid w:val="0019170C"/>
    <w:rsid w:val="00191BF2"/>
    <w:rsid w:val="00192C04"/>
    <w:rsid w:val="0019378A"/>
    <w:rsid w:val="001941F4"/>
    <w:rsid w:val="001949EF"/>
    <w:rsid w:val="001954CE"/>
    <w:rsid w:val="0019558F"/>
    <w:rsid w:val="0019575A"/>
    <w:rsid w:val="00196257"/>
    <w:rsid w:val="001968AF"/>
    <w:rsid w:val="001972DA"/>
    <w:rsid w:val="001A0371"/>
    <w:rsid w:val="001A2700"/>
    <w:rsid w:val="001A32D3"/>
    <w:rsid w:val="001A3E8D"/>
    <w:rsid w:val="001A3F3F"/>
    <w:rsid w:val="001A430A"/>
    <w:rsid w:val="001A4923"/>
    <w:rsid w:val="001A524A"/>
    <w:rsid w:val="001A52BF"/>
    <w:rsid w:val="001A621B"/>
    <w:rsid w:val="001A6BA1"/>
    <w:rsid w:val="001A6FB1"/>
    <w:rsid w:val="001B07B7"/>
    <w:rsid w:val="001B0F36"/>
    <w:rsid w:val="001B2138"/>
    <w:rsid w:val="001B289A"/>
    <w:rsid w:val="001B2D50"/>
    <w:rsid w:val="001B424E"/>
    <w:rsid w:val="001B429E"/>
    <w:rsid w:val="001B4E7D"/>
    <w:rsid w:val="001B51EC"/>
    <w:rsid w:val="001B5C90"/>
    <w:rsid w:val="001B612E"/>
    <w:rsid w:val="001B6D09"/>
    <w:rsid w:val="001C04D8"/>
    <w:rsid w:val="001C0970"/>
    <w:rsid w:val="001C0EF3"/>
    <w:rsid w:val="001C1501"/>
    <w:rsid w:val="001C1913"/>
    <w:rsid w:val="001C1B27"/>
    <w:rsid w:val="001C1CD1"/>
    <w:rsid w:val="001C2625"/>
    <w:rsid w:val="001C2630"/>
    <w:rsid w:val="001C283E"/>
    <w:rsid w:val="001C28AC"/>
    <w:rsid w:val="001C2B7C"/>
    <w:rsid w:val="001C2F44"/>
    <w:rsid w:val="001C336F"/>
    <w:rsid w:val="001C4805"/>
    <w:rsid w:val="001C4DF3"/>
    <w:rsid w:val="001C5275"/>
    <w:rsid w:val="001C5522"/>
    <w:rsid w:val="001C5B8B"/>
    <w:rsid w:val="001C7350"/>
    <w:rsid w:val="001C7E41"/>
    <w:rsid w:val="001D0242"/>
    <w:rsid w:val="001D07CD"/>
    <w:rsid w:val="001D2870"/>
    <w:rsid w:val="001D301F"/>
    <w:rsid w:val="001D32D3"/>
    <w:rsid w:val="001D33BD"/>
    <w:rsid w:val="001D47D6"/>
    <w:rsid w:val="001D514A"/>
    <w:rsid w:val="001D56D7"/>
    <w:rsid w:val="001D61FE"/>
    <w:rsid w:val="001D6CC3"/>
    <w:rsid w:val="001D6E1B"/>
    <w:rsid w:val="001D703A"/>
    <w:rsid w:val="001D7CB8"/>
    <w:rsid w:val="001E00F8"/>
    <w:rsid w:val="001E0380"/>
    <w:rsid w:val="001E0D24"/>
    <w:rsid w:val="001E141B"/>
    <w:rsid w:val="001E167E"/>
    <w:rsid w:val="001E18D3"/>
    <w:rsid w:val="001E21C4"/>
    <w:rsid w:val="001E24EC"/>
    <w:rsid w:val="001E297A"/>
    <w:rsid w:val="001E3376"/>
    <w:rsid w:val="001E374A"/>
    <w:rsid w:val="001E3907"/>
    <w:rsid w:val="001E3CF1"/>
    <w:rsid w:val="001E401B"/>
    <w:rsid w:val="001E4681"/>
    <w:rsid w:val="001E4D04"/>
    <w:rsid w:val="001E4E7A"/>
    <w:rsid w:val="001E4F3C"/>
    <w:rsid w:val="001E54BD"/>
    <w:rsid w:val="001E5B89"/>
    <w:rsid w:val="001E6176"/>
    <w:rsid w:val="001E6959"/>
    <w:rsid w:val="001E6984"/>
    <w:rsid w:val="001E6C0B"/>
    <w:rsid w:val="001E6E32"/>
    <w:rsid w:val="001E6F99"/>
    <w:rsid w:val="001E6FC2"/>
    <w:rsid w:val="001E70F1"/>
    <w:rsid w:val="001F0B1A"/>
    <w:rsid w:val="001F1912"/>
    <w:rsid w:val="001F1FB2"/>
    <w:rsid w:val="001F2711"/>
    <w:rsid w:val="001F333C"/>
    <w:rsid w:val="001F34C6"/>
    <w:rsid w:val="001F35F9"/>
    <w:rsid w:val="001F3AC1"/>
    <w:rsid w:val="001F5E90"/>
    <w:rsid w:val="001F6097"/>
    <w:rsid w:val="001F60BE"/>
    <w:rsid w:val="001F6D27"/>
    <w:rsid w:val="001F700B"/>
    <w:rsid w:val="001F7F2E"/>
    <w:rsid w:val="00200868"/>
    <w:rsid w:val="002011B3"/>
    <w:rsid w:val="00201EA1"/>
    <w:rsid w:val="00202EBA"/>
    <w:rsid w:val="00203900"/>
    <w:rsid w:val="00203EF9"/>
    <w:rsid w:val="00204786"/>
    <w:rsid w:val="002064B4"/>
    <w:rsid w:val="00207CAF"/>
    <w:rsid w:val="00211198"/>
    <w:rsid w:val="00211B8F"/>
    <w:rsid w:val="0021279E"/>
    <w:rsid w:val="0021335A"/>
    <w:rsid w:val="00213F8B"/>
    <w:rsid w:val="00213FD0"/>
    <w:rsid w:val="00214CEC"/>
    <w:rsid w:val="00214CF0"/>
    <w:rsid w:val="00215CC9"/>
    <w:rsid w:val="00216481"/>
    <w:rsid w:val="00217E59"/>
    <w:rsid w:val="00220A5B"/>
    <w:rsid w:val="00220AE0"/>
    <w:rsid w:val="00220F51"/>
    <w:rsid w:val="002219E9"/>
    <w:rsid w:val="00221B35"/>
    <w:rsid w:val="002224A7"/>
    <w:rsid w:val="00223FA1"/>
    <w:rsid w:val="00224348"/>
    <w:rsid w:val="00224A49"/>
    <w:rsid w:val="0022541D"/>
    <w:rsid w:val="00225807"/>
    <w:rsid w:val="002261A4"/>
    <w:rsid w:val="002263C0"/>
    <w:rsid w:val="00226F32"/>
    <w:rsid w:val="002277B3"/>
    <w:rsid w:val="002306F2"/>
    <w:rsid w:val="00230DE0"/>
    <w:rsid w:val="00231085"/>
    <w:rsid w:val="0023153E"/>
    <w:rsid w:val="002318BC"/>
    <w:rsid w:val="00231DBE"/>
    <w:rsid w:val="00233402"/>
    <w:rsid w:val="002334A6"/>
    <w:rsid w:val="00234992"/>
    <w:rsid w:val="00234B76"/>
    <w:rsid w:val="002357BA"/>
    <w:rsid w:val="00235A16"/>
    <w:rsid w:val="00235BBB"/>
    <w:rsid w:val="00235EA0"/>
    <w:rsid w:val="0023602B"/>
    <w:rsid w:val="0023624A"/>
    <w:rsid w:val="00236324"/>
    <w:rsid w:val="00236E0C"/>
    <w:rsid w:val="00237769"/>
    <w:rsid w:val="0023780F"/>
    <w:rsid w:val="00240028"/>
    <w:rsid w:val="002402FC"/>
    <w:rsid w:val="00241E64"/>
    <w:rsid w:val="002429CB"/>
    <w:rsid w:val="002437F7"/>
    <w:rsid w:val="002440F6"/>
    <w:rsid w:val="00245679"/>
    <w:rsid w:val="00245CF0"/>
    <w:rsid w:val="002463A6"/>
    <w:rsid w:val="00251E71"/>
    <w:rsid w:val="00252F0C"/>
    <w:rsid w:val="002533D1"/>
    <w:rsid w:val="0025373A"/>
    <w:rsid w:val="00255368"/>
    <w:rsid w:val="002565B4"/>
    <w:rsid w:val="00256A8E"/>
    <w:rsid w:val="00260587"/>
    <w:rsid w:val="00260A36"/>
    <w:rsid w:val="00261E46"/>
    <w:rsid w:val="0026381C"/>
    <w:rsid w:val="002648D9"/>
    <w:rsid w:val="00265037"/>
    <w:rsid w:val="0026522B"/>
    <w:rsid w:val="0026596A"/>
    <w:rsid w:val="002659FD"/>
    <w:rsid w:val="002664E8"/>
    <w:rsid w:val="002667B5"/>
    <w:rsid w:val="00266887"/>
    <w:rsid w:val="00266B9F"/>
    <w:rsid w:val="0026719E"/>
    <w:rsid w:val="0026779B"/>
    <w:rsid w:val="00267995"/>
    <w:rsid w:val="00271E7E"/>
    <w:rsid w:val="00272B3C"/>
    <w:rsid w:val="00272E9C"/>
    <w:rsid w:val="00272F5F"/>
    <w:rsid w:val="002733A8"/>
    <w:rsid w:val="002736AE"/>
    <w:rsid w:val="002736BD"/>
    <w:rsid w:val="00275005"/>
    <w:rsid w:val="002758DE"/>
    <w:rsid w:val="00276234"/>
    <w:rsid w:val="0027668B"/>
    <w:rsid w:val="00276EAB"/>
    <w:rsid w:val="00277209"/>
    <w:rsid w:val="00277841"/>
    <w:rsid w:val="00280E15"/>
    <w:rsid w:val="002811CF"/>
    <w:rsid w:val="00281ABE"/>
    <w:rsid w:val="00281F6B"/>
    <w:rsid w:val="002825D5"/>
    <w:rsid w:val="002836F3"/>
    <w:rsid w:val="0028393B"/>
    <w:rsid w:val="00283C18"/>
    <w:rsid w:val="00283F2C"/>
    <w:rsid w:val="00284629"/>
    <w:rsid w:val="00284FAC"/>
    <w:rsid w:val="00285642"/>
    <w:rsid w:val="002857FC"/>
    <w:rsid w:val="00286037"/>
    <w:rsid w:val="002861B1"/>
    <w:rsid w:val="00286D32"/>
    <w:rsid w:val="00287D72"/>
    <w:rsid w:val="0029012A"/>
    <w:rsid w:val="002908A2"/>
    <w:rsid w:val="00290BA5"/>
    <w:rsid w:val="00290FEF"/>
    <w:rsid w:val="002919AD"/>
    <w:rsid w:val="00292A4C"/>
    <w:rsid w:val="00296211"/>
    <w:rsid w:val="00296378"/>
    <w:rsid w:val="00297747"/>
    <w:rsid w:val="00297DA5"/>
    <w:rsid w:val="002A16BB"/>
    <w:rsid w:val="002A1827"/>
    <w:rsid w:val="002A1BA5"/>
    <w:rsid w:val="002A1CAF"/>
    <w:rsid w:val="002A1F1B"/>
    <w:rsid w:val="002A273D"/>
    <w:rsid w:val="002A3BCB"/>
    <w:rsid w:val="002A3C6A"/>
    <w:rsid w:val="002A3D27"/>
    <w:rsid w:val="002A3D8A"/>
    <w:rsid w:val="002A3F6A"/>
    <w:rsid w:val="002A4880"/>
    <w:rsid w:val="002A5107"/>
    <w:rsid w:val="002A5475"/>
    <w:rsid w:val="002A680B"/>
    <w:rsid w:val="002A72CE"/>
    <w:rsid w:val="002A7AC6"/>
    <w:rsid w:val="002A7CCE"/>
    <w:rsid w:val="002B0B1A"/>
    <w:rsid w:val="002B18C6"/>
    <w:rsid w:val="002B1C29"/>
    <w:rsid w:val="002B1FE9"/>
    <w:rsid w:val="002B2416"/>
    <w:rsid w:val="002B25FA"/>
    <w:rsid w:val="002B2C6F"/>
    <w:rsid w:val="002B355D"/>
    <w:rsid w:val="002B3AC6"/>
    <w:rsid w:val="002B44A8"/>
    <w:rsid w:val="002B6E12"/>
    <w:rsid w:val="002B6F0B"/>
    <w:rsid w:val="002B7222"/>
    <w:rsid w:val="002B7A56"/>
    <w:rsid w:val="002C0012"/>
    <w:rsid w:val="002C0DEC"/>
    <w:rsid w:val="002C10A4"/>
    <w:rsid w:val="002C1405"/>
    <w:rsid w:val="002C142B"/>
    <w:rsid w:val="002C1D39"/>
    <w:rsid w:val="002C1E13"/>
    <w:rsid w:val="002C2F53"/>
    <w:rsid w:val="002C3486"/>
    <w:rsid w:val="002C3EF4"/>
    <w:rsid w:val="002C425E"/>
    <w:rsid w:val="002C511D"/>
    <w:rsid w:val="002C52D3"/>
    <w:rsid w:val="002C5B44"/>
    <w:rsid w:val="002D0037"/>
    <w:rsid w:val="002D082A"/>
    <w:rsid w:val="002D0988"/>
    <w:rsid w:val="002D0BF9"/>
    <w:rsid w:val="002D0DFC"/>
    <w:rsid w:val="002D36A0"/>
    <w:rsid w:val="002D4AB2"/>
    <w:rsid w:val="002D4B1B"/>
    <w:rsid w:val="002D54DA"/>
    <w:rsid w:val="002D5D0F"/>
    <w:rsid w:val="002D6826"/>
    <w:rsid w:val="002D6DA9"/>
    <w:rsid w:val="002D78E1"/>
    <w:rsid w:val="002E0665"/>
    <w:rsid w:val="002E09EE"/>
    <w:rsid w:val="002E1881"/>
    <w:rsid w:val="002E26C3"/>
    <w:rsid w:val="002E2CFC"/>
    <w:rsid w:val="002E3657"/>
    <w:rsid w:val="002E365B"/>
    <w:rsid w:val="002E42B0"/>
    <w:rsid w:val="002E4BF9"/>
    <w:rsid w:val="002E5406"/>
    <w:rsid w:val="002E7086"/>
    <w:rsid w:val="002E7621"/>
    <w:rsid w:val="002F035F"/>
    <w:rsid w:val="002F17B8"/>
    <w:rsid w:val="002F2FA6"/>
    <w:rsid w:val="002F3E5F"/>
    <w:rsid w:val="002F415A"/>
    <w:rsid w:val="002F48AA"/>
    <w:rsid w:val="002F5059"/>
    <w:rsid w:val="002F5798"/>
    <w:rsid w:val="002F5A04"/>
    <w:rsid w:val="002F6294"/>
    <w:rsid w:val="002F64AF"/>
    <w:rsid w:val="002F666C"/>
    <w:rsid w:val="002F6BA0"/>
    <w:rsid w:val="002F6D34"/>
    <w:rsid w:val="002F7518"/>
    <w:rsid w:val="002F7772"/>
    <w:rsid w:val="002F7F8B"/>
    <w:rsid w:val="00300407"/>
    <w:rsid w:val="0030115C"/>
    <w:rsid w:val="003011E1"/>
    <w:rsid w:val="0030171A"/>
    <w:rsid w:val="003024B1"/>
    <w:rsid w:val="00302846"/>
    <w:rsid w:val="00302BF1"/>
    <w:rsid w:val="00302DC4"/>
    <w:rsid w:val="0030300C"/>
    <w:rsid w:val="00304949"/>
    <w:rsid w:val="00306DF5"/>
    <w:rsid w:val="0030706B"/>
    <w:rsid w:val="00307B13"/>
    <w:rsid w:val="003100DD"/>
    <w:rsid w:val="00310B31"/>
    <w:rsid w:val="00310C13"/>
    <w:rsid w:val="00311A42"/>
    <w:rsid w:val="00312378"/>
    <w:rsid w:val="0031273E"/>
    <w:rsid w:val="00312E3A"/>
    <w:rsid w:val="00313447"/>
    <w:rsid w:val="0031416A"/>
    <w:rsid w:val="00314A01"/>
    <w:rsid w:val="003154EF"/>
    <w:rsid w:val="00315729"/>
    <w:rsid w:val="00315C00"/>
    <w:rsid w:val="00315C36"/>
    <w:rsid w:val="00316AEE"/>
    <w:rsid w:val="00316C67"/>
    <w:rsid w:val="00317404"/>
    <w:rsid w:val="00317B37"/>
    <w:rsid w:val="00317E62"/>
    <w:rsid w:val="00321243"/>
    <w:rsid w:val="00321C92"/>
    <w:rsid w:val="003225FA"/>
    <w:rsid w:val="00322DF6"/>
    <w:rsid w:val="003238E4"/>
    <w:rsid w:val="003244D7"/>
    <w:rsid w:val="003251AC"/>
    <w:rsid w:val="00325704"/>
    <w:rsid w:val="003261E1"/>
    <w:rsid w:val="00326D73"/>
    <w:rsid w:val="003311EC"/>
    <w:rsid w:val="00331765"/>
    <w:rsid w:val="00331978"/>
    <w:rsid w:val="00331A50"/>
    <w:rsid w:val="00331EF3"/>
    <w:rsid w:val="00333546"/>
    <w:rsid w:val="00333754"/>
    <w:rsid w:val="00333808"/>
    <w:rsid w:val="00333E2E"/>
    <w:rsid w:val="003340D8"/>
    <w:rsid w:val="0033469B"/>
    <w:rsid w:val="00334AF0"/>
    <w:rsid w:val="00335289"/>
    <w:rsid w:val="00335949"/>
    <w:rsid w:val="00336116"/>
    <w:rsid w:val="003365A1"/>
    <w:rsid w:val="00336670"/>
    <w:rsid w:val="003369E2"/>
    <w:rsid w:val="00337D54"/>
    <w:rsid w:val="00340703"/>
    <w:rsid w:val="00341D49"/>
    <w:rsid w:val="003424B8"/>
    <w:rsid w:val="00343697"/>
    <w:rsid w:val="00344083"/>
    <w:rsid w:val="0034442E"/>
    <w:rsid w:val="003444C9"/>
    <w:rsid w:val="00344514"/>
    <w:rsid w:val="00344779"/>
    <w:rsid w:val="0034490F"/>
    <w:rsid w:val="003463AD"/>
    <w:rsid w:val="0034778F"/>
    <w:rsid w:val="00347882"/>
    <w:rsid w:val="00347EE5"/>
    <w:rsid w:val="00350022"/>
    <w:rsid w:val="003505CE"/>
    <w:rsid w:val="003511F5"/>
    <w:rsid w:val="003513D6"/>
    <w:rsid w:val="003517FD"/>
    <w:rsid w:val="00351816"/>
    <w:rsid w:val="003520BE"/>
    <w:rsid w:val="00353A1F"/>
    <w:rsid w:val="00354C91"/>
    <w:rsid w:val="00354E30"/>
    <w:rsid w:val="003554C3"/>
    <w:rsid w:val="00355774"/>
    <w:rsid w:val="003560DF"/>
    <w:rsid w:val="0035686B"/>
    <w:rsid w:val="00356CE3"/>
    <w:rsid w:val="003574BF"/>
    <w:rsid w:val="00357D2B"/>
    <w:rsid w:val="003601CC"/>
    <w:rsid w:val="0036026A"/>
    <w:rsid w:val="0036035E"/>
    <w:rsid w:val="003604A8"/>
    <w:rsid w:val="00360937"/>
    <w:rsid w:val="0036219A"/>
    <w:rsid w:val="003625A9"/>
    <w:rsid w:val="00364B5B"/>
    <w:rsid w:val="00364FF6"/>
    <w:rsid w:val="00365074"/>
    <w:rsid w:val="003650E7"/>
    <w:rsid w:val="003657A7"/>
    <w:rsid w:val="003658B9"/>
    <w:rsid w:val="00365A93"/>
    <w:rsid w:val="0036678D"/>
    <w:rsid w:val="00366D84"/>
    <w:rsid w:val="003677E5"/>
    <w:rsid w:val="003679C0"/>
    <w:rsid w:val="00371CA8"/>
    <w:rsid w:val="00372125"/>
    <w:rsid w:val="003727C4"/>
    <w:rsid w:val="00372EBA"/>
    <w:rsid w:val="003730FB"/>
    <w:rsid w:val="0037426D"/>
    <w:rsid w:val="00374DDA"/>
    <w:rsid w:val="0037584B"/>
    <w:rsid w:val="0037634E"/>
    <w:rsid w:val="00380514"/>
    <w:rsid w:val="00380AA0"/>
    <w:rsid w:val="003811AB"/>
    <w:rsid w:val="0038122B"/>
    <w:rsid w:val="00381BC7"/>
    <w:rsid w:val="003822D1"/>
    <w:rsid w:val="003823D1"/>
    <w:rsid w:val="00382E4E"/>
    <w:rsid w:val="003841EE"/>
    <w:rsid w:val="00385680"/>
    <w:rsid w:val="003858EE"/>
    <w:rsid w:val="00386D06"/>
    <w:rsid w:val="003872A4"/>
    <w:rsid w:val="003872C6"/>
    <w:rsid w:val="0038775B"/>
    <w:rsid w:val="00390099"/>
    <w:rsid w:val="003901A7"/>
    <w:rsid w:val="003909F1"/>
    <w:rsid w:val="00390FCB"/>
    <w:rsid w:val="00391309"/>
    <w:rsid w:val="00392437"/>
    <w:rsid w:val="00392602"/>
    <w:rsid w:val="00392970"/>
    <w:rsid w:val="003929CE"/>
    <w:rsid w:val="00392B03"/>
    <w:rsid w:val="00393337"/>
    <w:rsid w:val="00394719"/>
    <w:rsid w:val="003950EF"/>
    <w:rsid w:val="00395AE1"/>
    <w:rsid w:val="00395D0E"/>
    <w:rsid w:val="00395EB9"/>
    <w:rsid w:val="0039604D"/>
    <w:rsid w:val="00396DBA"/>
    <w:rsid w:val="0039734D"/>
    <w:rsid w:val="003976C3"/>
    <w:rsid w:val="003978FD"/>
    <w:rsid w:val="003A050F"/>
    <w:rsid w:val="003A0758"/>
    <w:rsid w:val="003A0ADB"/>
    <w:rsid w:val="003A21AE"/>
    <w:rsid w:val="003A29AC"/>
    <w:rsid w:val="003A33CF"/>
    <w:rsid w:val="003A3469"/>
    <w:rsid w:val="003A371E"/>
    <w:rsid w:val="003A4267"/>
    <w:rsid w:val="003A488C"/>
    <w:rsid w:val="003A4FCD"/>
    <w:rsid w:val="003A6471"/>
    <w:rsid w:val="003A6A30"/>
    <w:rsid w:val="003A7636"/>
    <w:rsid w:val="003B00DE"/>
    <w:rsid w:val="003B00E4"/>
    <w:rsid w:val="003B0BBF"/>
    <w:rsid w:val="003B1D72"/>
    <w:rsid w:val="003B1F44"/>
    <w:rsid w:val="003B30D8"/>
    <w:rsid w:val="003B364E"/>
    <w:rsid w:val="003B36E6"/>
    <w:rsid w:val="003B3EC7"/>
    <w:rsid w:val="003B4A29"/>
    <w:rsid w:val="003B4E5D"/>
    <w:rsid w:val="003B4EFC"/>
    <w:rsid w:val="003B52D2"/>
    <w:rsid w:val="003B56B4"/>
    <w:rsid w:val="003B5D14"/>
    <w:rsid w:val="003B78C5"/>
    <w:rsid w:val="003C0507"/>
    <w:rsid w:val="003C0819"/>
    <w:rsid w:val="003C1666"/>
    <w:rsid w:val="003C1802"/>
    <w:rsid w:val="003C2453"/>
    <w:rsid w:val="003C268F"/>
    <w:rsid w:val="003C2DDD"/>
    <w:rsid w:val="003C3EC4"/>
    <w:rsid w:val="003C409F"/>
    <w:rsid w:val="003C4433"/>
    <w:rsid w:val="003C45B8"/>
    <w:rsid w:val="003C46E8"/>
    <w:rsid w:val="003C493B"/>
    <w:rsid w:val="003C660A"/>
    <w:rsid w:val="003C6979"/>
    <w:rsid w:val="003C6B09"/>
    <w:rsid w:val="003D00E8"/>
    <w:rsid w:val="003D0647"/>
    <w:rsid w:val="003D075D"/>
    <w:rsid w:val="003D0761"/>
    <w:rsid w:val="003D117C"/>
    <w:rsid w:val="003D1799"/>
    <w:rsid w:val="003D1894"/>
    <w:rsid w:val="003D1ADB"/>
    <w:rsid w:val="003D2247"/>
    <w:rsid w:val="003D3067"/>
    <w:rsid w:val="003D363E"/>
    <w:rsid w:val="003D3A7D"/>
    <w:rsid w:val="003D3B1C"/>
    <w:rsid w:val="003D3BD9"/>
    <w:rsid w:val="003D4E2E"/>
    <w:rsid w:val="003D4E53"/>
    <w:rsid w:val="003D5F2F"/>
    <w:rsid w:val="003D7677"/>
    <w:rsid w:val="003E05EB"/>
    <w:rsid w:val="003E06B2"/>
    <w:rsid w:val="003E0E20"/>
    <w:rsid w:val="003E1182"/>
    <w:rsid w:val="003E1AF6"/>
    <w:rsid w:val="003E1BF3"/>
    <w:rsid w:val="003E1EE2"/>
    <w:rsid w:val="003E2076"/>
    <w:rsid w:val="003E22E0"/>
    <w:rsid w:val="003E2501"/>
    <w:rsid w:val="003E30E8"/>
    <w:rsid w:val="003E3A43"/>
    <w:rsid w:val="003E3BDF"/>
    <w:rsid w:val="003E46D9"/>
    <w:rsid w:val="003E4908"/>
    <w:rsid w:val="003E4A51"/>
    <w:rsid w:val="003E5380"/>
    <w:rsid w:val="003E637B"/>
    <w:rsid w:val="003F1569"/>
    <w:rsid w:val="003F15C2"/>
    <w:rsid w:val="003F1A6D"/>
    <w:rsid w:val="003F206D"/>
    <w:rsid w:val="003F234A"/>
    <w:rsid w:val="003F3D69"/>
    <w:rsid w:val="003F42EE"/>
    <w:rsid w:val="003F47D0"/>
    <w:rsid w:val="003F4DCE"/>
    <w:rsid w:val="003F528A"/>
    <w:rsid w:val="003F5F17"/>
    <w:rsid w:val="003F67FD"/>
    <w:rsid w:val="003F6C80"/>
    <w:rsid w:val="003F7204"/>
    <w:rsid w:val="003F75F2"/>
    <w:rsid w:val="003F79CA"/>
    <w:rsid w:val="003F7D4D"/>
    <w:rsid w:val="0040048C"/>
    <w:rsid w:val="0040077D"/>
    <w:rsid w:val="00401527"/>
    <w:rsid w:val="0040176A"/>
    <w:rsid w:val="00401B0C"/>
    <w:rsid w:val="00401C3E"/>
    <w:rsid w:val="0040222B"/>
    <w:rsid w:val="00403209"/>
    <w:rsid w:val="004032DF"/>
    <w:rsid w:val="004035F0"/>
    <w:rsid w:val="00405C5F"/>
    <w:rsid w:val="00406873"/>
    <w:rsid w:val="00406909"/>
    <w:rsid w:val="00406CB8"/>
    <w:rsid w:val="00406CC5"/>
    <w:rsid w:val="00407050"/>
    <w:rsid w:val="00407827"/>
    <w:rsid w:val="004100F2"/>
    <w:rsid w:val="00410C88"/>
    <w:rsid w:val="004114B4"/>
    <w:rsid w:val="004116FF"/>
    <w:rsid w:val="004122C1"/>
    <w:rsid w:val="00413245"/>
    <w:rsid w:val="004138EF"/>
    <w:rsid w:val="00415674"/>
    <w:rsid w:val="0041583D"/>
    <w:rsid w:val="00415A1F"/>
    <w:rsid w:val="00415E9B"/>
    <w:rsid w:val="00416B57"/>
    <w:rsid w:val="00417300"/>
    <w:rsid w:val="00417669"/>
    <w:rsid w:val="00417E36"/>
    <w:rsid w:val="0042040C"/>
    <w:rsid w:val="004223F2"/>
    <w:rsid w:val="0042274A"/>
    <w:rsid w:val="00423B9D"/>
    <w:rsid w:val="00424444"/>
    <w:rsid w:val="0042591C"/>
    <w:rsid w:val="00426BB4"/>
    <w:rsid w:val="004273FE"/>
    <w:rsid w:val="00427DAC"/>
    <w:rsid w:val="00430412"/>
    <w:rsid w:val="004316A6"/>
    <w:rsid w:val="004316D3"/>
    <w:rsid w:val="0043240D"/>
    <w:rsid w:val="004324DF"/>
    <w:rsid w:val="004325CB"/>
    <w:rsid w:val="00432C72"/>
    <w:rsid w:val="00432DEB"/>
    <w:rsid w:val="00432E3D"/>
    <w:rsid w:val="00433607"/>
    <w:rsid w:val="00433B67"/>
    <w:rsid w:val="00433D11"/>
    <w:rsid w:val="00433E4E"/>
    <w:rsid w:val="0043483C"/>
    <w:rsid w:val="00434E21"/>
    <w:rsid w:val="0043549B"/>
    <w:rsid w:val="004354B9"/>
    <w:rsid w:val="00435D4A"/>
    <w:rsid w:val="004375FB"/>
    <w:rsid w:val="00437781"/>
    <w:rsid w:val="004404E6"/>
    <w:rsid w:val="00440601"/>
    <w:rsid w:val="004410D6"/>
    <w:rsid w:val="00441B3A"/>
    <w:rsid w:val="00441CBF"/>
    <w:rsid w:val="00441E5B"/>
    <w:rsid w:val="004428FB"/>
    <w:rsid w:val="00444B15"/>
    <w:rsid w:val="00444DFF"/>
    <w:rsid w:val="00445005"/>
    <w:rsid w:val="004472D5"/>
    <w:rsid w:val="00447D94"/>
    <w:rsid w:val="00447EAD"/>
    <w:rsid w:val="00447F02"/>
    <w:rsid w:val="0045037E"/>
    <w:rsid w:val="0045096A"/>
    <w:rsid w:val="0045150F"/>
    <w:rsid w:val="0045151A"/>
    <w:rsid w:val="00451717"/>
    <w:rsid w:val="00451D3D"/>
    <w:rsid w:val="00451D46"/>
    <w:rsid w:val="00452387"/>
    <w:rsid w:val="00452B6D"/>
    <w:rsid w:val="0045301A"/>
    <w:rsid w:val="0045344A"/>
    <w:rsid w:val="0045433E"/>
    <w:rsid w:val="004554A6"/>
    <w:rsid w:val="004566EE"/>
    <w:rsid w:val="00456808"/>
    <w:rsid w:val="004574A2"/>
    <w:rsid w:val="00457548"/>
    <w:rsid w:val="00460440"/>
    <w:rsid w:val="00461602"/>
    <w:rsid w:val="00462226"/>
    <w:rsid w:val="00463203"/>
    <w:rsid w:val="00463461"/>
    <w:rsid w:val="0046371C"/>
    <w:rsid w:val="00463A40"/>
    <w:rsid w:val="00463BC9"/>
    <w:rsid w:val="004644A0"/>
    <w:rsid w:val="004646CC"/>
    <w:rsid w:val="004650AC"/>
    <w:rsid w:val="004654C8"/>
    <w:rsid w:val="00465CAA"/>
    <w:rsid w:val="004664C3"/>
    <w:rsid w:val="00466746"/>
    <w:rsid w:val="00466920"/>
    <w:rsid w:val="00467462"/>
    <w:rsid w:val="00467475"/>
    <w:rsid w:val="0046770F"/>
    <w:rsid w:val="004711E9"/>
    <w:rsid w:val="0047135A"/>
    <w:rsid w:val="0047174B"/>
    <w:rsid w:val="00471D24"/>
    <w:rsid w:val="00472430"/>
    <w:rsid w:val="00472635"/>
    <w:rsid w:val="00472A8B"/>
    <w:rsid w:val="00473313"/>
    <w:rsid w:val="004747FF"/>
    <w:rsid w:val="0047532C"/>
    <w:rsid w:val="00475B53"/>
    <w:rsid w:val="004760B7"/>
    <w:rsid w:val="004765AF"/>
    <w:rsid w:val="004765C2"/>
    <w:rsid w:val="0047709B"/>
    <w:rsid w:val="00477C18"/>
    <w:rsid w:val="00477CB2"/>
    <w:rsid w:val="00480653"/>
    <w:rsid w:val="00482D43"/>
    <w:rsid w:val="0048344E"/>
    <w:rsid w:val="004837ED"/>
    <w:rsid w:val="00483882"/>
    <w:rsid w:val="00483FF5"/>
    <w:rsid w:val="0048416E"/>
    <w:rsid w:val="00484501"/>
    <w:rsid w:val="00484825"/>
    <w:rsid w:val="00484C0A"/>
    <w:rsid w:val="00484DF2"/>
    <w:rsid w:val="00484E83"/>
    <w:rsid w:val="0048555F"/>
    <w:rsid w:val="004905A4"/>
    <w:rsid w:val="004907D8"/>
    <w:rsid w:val="00490B22"/>
    <w:rsid w:val="00491098"/>
    <w:rsid w:val="0049154C"/>
    <w:rsid w:val="00492941"/>
    <w:rsid w:val="00492A79"/>
    <w:rsid w:val="00493190"/>
    <w:rsid w:val="0049331B"/>
    <w:rsid w:val="00494119"/>
    <w:rsid w:val="00495489"/>
    <w:rsid w:val="00496050"/>
    <w:rsid w:val="00496ECD"/>
    <w:rsid w:val="00496F32"/>
    <w:rsid w:val="004A1057"/>
    <w:rsid w:val="004A1629"/>
    <w:rsid w:val="004A2E19"/>
    <w:rsid w:val="004A3944"/>
    <w:rsid w:val="004A3FF4"/>
    <w:rsid w:val="004A41C6"/>
    <w:rsid w:val="004A506A"/>
    <w:rsid w:val="004A50BC"/>
    <w:rsid w:val="004A5F66"/>
    <w:rsid w:val="004A77A4"/>
    <w:rsid w:val="004A78BB"/>
    <w:rsid w:val="004B19AA"/>
    <w:rsid w:val="004B1D8F"/>
    <w:rsid w:val="004B3394"/>
    <w:rsid w:val="004B3FC1"/>
    <w:rsid w:val="004B40C1"/>
    <w:rsid w:val="004B4506"/>
    <w:rsid w:val="004B4586"/>
    <w:rsid w:val="004B54F9"/>
    <w:rsid w:val="004B5F30"/>
    <w:rsid w:val="004B666B"/>
    <w:rsid w:val="004B6D99"/>
    <w:rsid w:val="004B7631"/>
    <w:rsid w:val="004B7873"/>
    <w:rsid w:val="004C0231"/>
    <w:rsid w:val="004C0CCD"/>
    <w:rsid w:val="004C1E5E"/>
    <w:rsid w:val="004C2DE9"/>
    <w:rsid w:val="004C3DE6"/>
    <w:rsid w:val="004C45B7"/>
    <w:rsid w:val="004C4728"/>
    <w:rsid w:val="004C509B"/>
    <w:rsid w:val="004C588F"/>
    <w:rsid w:val="004C5F62"/>
    <w:rsid w:val="004C7CCE"/>
    <w:rsid w:val="004D01F6"/>
    <w:rsid w:val="004D07C5"/>
    <w:rsid w:val="004D0B1E"/>
    <w:rsid w:val="004D10A1"/>
    <w:rsid w:val="004D12DB"/>
    <w:rsid w:val="004D1EF1"/>
    <w:rsid w:val="004D209E"/>
    <w:rsid w:val="004D3E53"/>
    <w:rsid w:val="004D401F"/>
    <w:rsid w:val="004D419A"/>
    <w:rsid w:val="004D41B5"/>
    <w:rsid w:val="004D4A32"/>
    <w:rsid w:val="004D54CE"/>
    <w:rsid w:val="004D5A3F"/>
    <w:rsid w:val="004D5DCA"/>
    <w:rsid w:val="004D6938"/>
    <w:rsid w:val="004E03F4"/>
    <w:rsid w:val="004E07AD"/>
    <w:rsid w:val="004E1F46"/>
    <w:rsid w:val="004E2116"/>
    <w:rsid w:val="004E3EB8"/>
    <w:rsid w:val="004E4B09"/>
    <w:rsid w:val="004E4FEC"/>
    <w:rsid w:val="004E56A7"/>
    <w:rsid w:val="004E5927"/>
    <w:rsid w:val="004E5CBE"/>
    <w:rsid w:val="004E6B69"/>
    <w:rsid w:val="004E6D15"/>
    <w:rsid w:val="004E6D88"/>
    <w:rsid w:val="004E717B"/>
    <w:rsid w:val="004E7608"/>
    <w:rsid w:val="004E783A"/>
    <w:rsid w:val="004E7D0B"/>
    <w:rsid w:val="004F00F0"/>
    <w:rsid w:val="004F0D02"/>
    <w:rsid w:val="004F1950"/>
    <w:rsid w:val="004F2807"/>
    <w:rsid w:val="004F2A70"/>
    <w:rsid w:val="004F2BBA"/>
    <w:rsid w:val="004F4ED2"/>
    <w:rsid w:val="004F5647"/>
    <w:rsid w:val="004F5B46"/>
    <w:rsid w:val="004F6358"/>
    <w:rsid w:val="004F65CF"/>
    <w:rsid w:val="004F7AF1"/>
    <w:rsid w:val="005013AB"/>
    <w:rsid w:val="005018D3"/>
    <w:rsid w:val="00501C8E"/>
    <w:rsid w:val="00501E1C"/>
    <w:rsid w:val="00502C50"/>
    <w:rsid w:val="00503CB5"/>
    <w:rsid w:val="00503D6C"/>
    <w:rsid w:val="00504D39"/>
    <w:rsid w:val="005061B5"/>
    <w:rsid w:val="00507D77"/>
    <w:rsid w:val="00510534"/>
    <w:rsid w:val="00510D0F"/>
    <w:rsid w:val="0051120D"/>
    <w:rsid w:val="005116E1"/>
    <w:rsid w:val="00511F18"/>
    <w:rsid w:val="00512E7A"/>
    <w:rsid w:val="005131B9"/>
    <w:rsid w:val="0051348D"/>
    <w:rsid w:val="00514D72"/>
    <w:rsid w:val="00514EAE"/>
    <w:rsid w:val="005151AA"/>
    <w:rsid w:val="00516A3F"/>
    <w:rsid w:val="00516B70"/>
    <w:rsid w:val="00517161"/>
    <w:rsid w:val="00517947"/>
    <w:rsid w:val="00517A9D"/>
    <w:rsid w:val="00520E13"/>
    <w:rsid w:val="00520EC6"/>
    <w:rsid w:val="00521393"/>
    <w:rsid w:val="005268E9"/>
    <w:rsid w:val="005272D0"/>
    <w:rsid w:val="005277E5"/>
    <w:rsid w:val="005279D1"/>
    <w:rsid w:val="00527AD8"/>
    <w:rsid w:val="00527C9B"/>
    <w:rsid w:val="00527DFD"/>
    <w:rsid w:val="00527FD9"/>
    <w:rsid w:val="00531D81"/>
    <w:rsid w:val="00532048"/>
    <w:rsid w:val="00532089"/>
    <w:rsid w:val="00532574"/>
    <w:rsid w:val="00533331"/>
    <w:rsid w:val="00533B78"/>
    <w:rsid w:val="00534183"/>
    <w:rsid w:val="005349BA"/>
    <w:rsid w:val="00536193"/>
    <w:rsid w:val="0053712B"/>
    <w:rsid w:val="00537258"/>
    <w:rsid w:val="00537C13"/>
    <w:rsid w:val="00540793"/>
    <w:rsid w:val="00540A87"/>
    <w:rsid w:val="00540D51"/>
    <w:rsid w:val="0054147F"/>
    <w:rsid w:val="00541AD3"/>
    <w:rsid w:val="00541C96"/>
    <w:rsid w:val="00542239"/>
    <w:rsid w:val="00542BE8"/>
    <w:rsid w:val="00543411"/>
    <w:rsid w:val="005445CF"/>
    <w:rsid w:val="0054524D"/>
    <w:rsid w:val="005452F6"/>
    <w:rsid w:val="00545305"/>
    <w:rsid w:val="005456A5"/>
    <w:rsid w:val="00547971"/>
    <w:rsid w:val="00547C8B"/>
    <w:rsid w:val="00547ED0"/>
    <w:rsid w:val="005506A0"/>
    <w:rsid w:val="0055083F"/>
    <w:rsid w:val="00550E3A"/>
    <w:rsid w:val="00551080"/>
    <w:rsid w:val="005515AE"/>
    <w:rsid w:val="00552913"/>
    <w:rsid w:val="00552E58"/>
    <w:rsid w:val="005535CF"/>
    <w:rsid w:val="005537D9"/>
    <w:rsid w:val="00553C88"/>
    <w:rsid w:val="00554DC0"/>
    <w:rsid w:val="0055516C"/>
    <w:rsid w:val="00555A6C"/>
    <w:rsid w:val="00555BBD"/>
    <w:rsid w:val="00557A80"/>
    <w:rsid w:val="00560DC1"/>
    <w:rsid w:val="00561958"/>
    <w:rsid w:val="00561986"/>
    <w:rsid w:val="0056394E"/>
    <w:rsid w:val="00564395"/>
    <w:rsid w:val="00564B80"/>
    <w:rsid w:val="00564D32"/>
    <w:rsid w:val="0056527A"/>
    <w:rsid w:val="00567134"/>
    <w:rsid w:val="0056742E"/>
    <w:rsid w:val="005677F4"/>
    <w:rsid w:val="00570C45"/>
    <w:rsid w:val="00571621"/>
    <w:rsid w:val="005720A2"/>
    <w:rsid w:val="005734FD"/>
    <w:rsid w:val="00573906"/>
    <w:rsid w:val="0057391B"/>
    <w:rsid w:val="00574105"/>
    <w:rsid w:val="0057461A"/>
    <w:rsid w:val="005748AF"/>
    <w:rsid w:val="00574B5E"/>
    <w:rsid w:val="005750A7"/>
    <w:rsid w:val="005753FF"/>
    <w:rsid w:val="00575484"/>
    <w:rsid w:val="00575AC0"/>
    <w:rsid w:val="005761CB"/>
    <w:rsid w:val="00576B20"/>
    <w:rsid w:val="00577000"/>
    <w:rsid w:val="00577087"/>
    <w:rsid w:val="0057782C"/>
    <w:rsid w:val="00580B19"/>
    <w:rsid w:val="005816C5"/>
    <w:rsid w:val="00581F70"/>
    <w:rsid w:val="0058215D"/>
    <w:rsid w:val="005825C7"/>
    <w:rsid w:val="0058272A"/>
    <w:rsid w:val="005830CF"/>
    <w:rsid w:val="00583DC9"/>
    <w:rsid w:val="005848C2"/>
    <w:rsid w:val="00584E6E"/>
    <w:rsid w:val="005852FD"/>
    <w:rsid w:val="00587641"/>
    <w:rsid w:val="00587EFE"/>
    <w:rsid w:val="00590233"/>
    <w:rsid w:val="00590287"/>
    <w:rsid w:val="005906C2"/>
    <w:rsid w:val="00591FF2"/>
    <w:rsid w:val="00593787"/>
    <w:rsid w:val="005945FE"/>
    <w:rsid w:val="005948D6"/>
    <w:rsid w:val="00595902"/>
    <w:rsid w:val="005959AA"/>
    <w:rsid w:val="0059658C"/>
    <w:rsid w:val="00597479"/>
    <w:rsid w:val="00597CFD"/>
    <w:rsid w:val="005A0804"/>
    <w:rsid w:val="005A119A"/>
    <w:rsid w:val="005A1356"/>
    <w:rsid w:val="005A229A"/>
    <w:rsid w:val="005A2E8C"/>
    <w:rsid w:val="005A36FE"/>
    <w:rsid w:val="005A389E"/>
    <w:rsid w:val="005A430A"/>
    <w:rsid w:val="005A4820"/>
    <w:rsid w:val="005A4FC1"/>
    <w:rsid w:val="005A66C9"/>
    <w:rsid w:val="005A6C76"/>
    <w:rsid w:val="005A7445"/>
    <w:rsid w:val="005A7529"/>
    <w:rsid w:val="005A7FE4"/>
    <w:rsid w:val="005B067B"/>
    <w:rsid w:val="005B0799"/>
    <w:rsid w:val="005B0FE5"/>
    <w:rsid w:val="005B1958"/>
    <w:rsid w:val="005B1F7B"/>
    <w:rsid w:val="005B521D"/>
    <w:rsid w:val="005B54C7"/>
    <w:rsid w:val="005B55FB"/>
    <w:rsid w:val="005B5EB6"/>
    <w:rsid w:val="005B7298"/>
    <w:rsid w:val="005B75D8"/>
    <w:rsid w:val="005C19BE"/>
    <w:rsid w:val="005C1CAB"/>
    <w:rsid w:val="005C378E"/>
    <w:rsid w:val="005C4797"/>
    <w:rsid w:val="005C4AB5"/>
    <w:rsid w:val="005C4DAF"/>
    <w:rsid w:val="005C5249"/>
    <w:rsid w:val="005C543C"/>
    <w:rsid w:val="005C55B9"/>
    <w:rsid w:val="005C6497"/>
    <w:rsid w:val="005C6564"/>
    <w:rsid w:val="005C6B8A"/>
    <w:rsid w:val="005C7286"/>
    <w:rsid w:val="005C7434"/>
    <w:rsid w:val="005C784C"/>
    <w:rsid w:val="005C7DE8"/>
    <w:rsid w:val="005D0F35"/>
    <w:rsid w:val="005D15F9"/>
    <w:rsid w:val="005D19A7"/>
    <w:rsid w:val="005D24A1"/>
    <w:rsid w:val="005D3FDA"/>
    <w:rsid w:val="005D4000"/>
    <w:rsid w:val="005D4403"/>
    <w:rsid w:val="005D4543"/>
    <w:rsid w:val="005D4E30"/>
    <w:rsid w:val="005D59A8"/>
    <w:rsid w:val="005D5DE4"/>
    <w:rsid w:val="005D692B"/>
    <w:rsid w:val="005D6A6D"/>
    <w:rsid w:val="005D7323"/>
    <w:rsid w:val="005D7826"/>
    <w:rsid w:val="005D7CB8"/>
    <w:rsid w:val="005E0F38"/>
    <w:rsid w:val="005E1752"/>
    <w:rsid w:val="005E18AA"/>
    <w:rsid w:val="005E1A33"/>
    <w:rsid w:val="005E2685"/>
    <w:rsid w:val="005E438D"/>
    <w:rsid w:val="005E44E8"/>
    <w:rsid w:val="005E49E5"/>
    <w:rsid w:val="005E6A63"/>
    <w:rsid w:val="005E716C"/>
    <w:rsid w:val="005E7D6B"/>
    <w:rsid w:val="005F03BD"/>
    <w:rsid w:val="005F1E53"/>
    <w:rsid w:val="005F1E9B"/>
    <w:rsid w:val="005F24FF"/>
    <w:rsid w:val="005F2B00"/>
    <w:rsid w:val="005F4AA6"/>
    <w:rsid w:val="005F4DA0"/>
    <w:rsid w:val="005F594A"/>
    <w:rsid w:val="005F79EE"/>
    <w:rsid w:val="005F7DD9"/>
    <w:rsid w:val="00600C2A"/>
    <w:rsid w:val="006017E9"/>
    <w:rsid w:val="006023BE"/>
    <w:rsid w:val="0060291D"/>
    <w:rsid w:val="00602EA1"/>
    <w:rsid w:val="00603464"/>
    <w:rsid w:val="006038F3"/>
    <w:rsid w:val="00605B15"/>
    <w:rsid w:val="0060614E"/>
    <w:rsid w:val="006062B1"/>
    <w:rsid w:val="00606F8D"/>
    <w:rsid w:val="00607506"/>
    <w:rsid w:val="006079A8"/>
    <w:rsid w:val="00607FD6"/>
    <w:rsid w:val="0061030C"/>
    <w:rsid w:val="006105F5"/>
    <w:rsid w:val="006106A0"/>
    <w:rsid w:val="00610789"/>
    <w:rsid w:val="006113C0"/>
    <w:rsid w:val="006114DB"/>
    <w:rsid w:val="00612638"/>
    <w:rsid w:val="0061291F"/>
    <w:rsid w:val="00614937"/>
    <w:rsid w:val="00614F1E"/>
    <w:rsid w:val="006158A4"/>
    <w:rsid w:val="0061679E"/>
    <w:rsid w:val="00616C62"/>
    <w:rsid w:val="00617428"/>
    <w:rsid w:val="00620A97"/>
    <w:rsid w:val="006217FC"/>
    <w:rsid w:val="006220C8"/>
    <w:rsid w:val="00622981"/>
    <w:rsid w:val="00622BEC"/>
    <w:rsid w:val="00623070"/>
    <w:rsid w:val="00623163"/>
    <w:rsid w:val="00623D01"/>
    <w:rsid w:val="00623E73"/>
    <w:rsid w:val="0062462A"/>
    <w:rsid w:val="00625080"/>
    <w:rsid w:val="006253A0"/>
    <w:rsid w:val="00625D81"/>
    <w:rsid w:val="00627705"/>
    <w:rsid w:val="00627B83"/>
    <w:rsid w:val="00627F84"/>
    <w:rsid w:val="00630344"/>
    <w:rsid w:val="00630574"/>
    <w:rsid w:val="00630C91"/>
    <w:rsid w:val="0063155B"/>
    <w:rsid w:val="00631FAF"/>
    <w:rsid w:val="00632185"/>
    <w:rsid w:val="0063340B"/>
    <w:rsid w:val="00634567"/>
    <w:rsid w:val="006345AB"/>
    <w:rsid w:val="006345B1"/>
    <w:rsid w:val="006346C9"/>
    <w:rsid w:val="00634D07"/>
    <w:rsid w:val="0063536A"/>
    <w:rsid w:val="00635FD7"/>
    <w:rsid w:val="0063727C"/>
    <w:rsid w:val="0063750C"/>
    <w:rsid w:val="006375E7"/>
    <w:rsid w:val="00637EEE"/>
    <w:rsid w:val="00640206"/>
    <w:rsid w:val="00640788"/>
    <w:rsid w:val="00640DA2"/>
    <w:rsid w:val="006411F6"/>
    <w:rsid w:val="00641364"/>
    <w:rsid w:val="0064178B"/>
    <w:rsid w:val="00643130"/>
    <w:rsid w:val="00643A87"/>
    <w:rsid w:val="00644107"/>
    <w:rsid w:val="00644E59"/>
    <w:rsid w:val="00644ED0"/>
    <w:rsid w:val="006450BF"/>
    <w:rsid w:val="00646002"/>
    <w:rsid w:val="00646C0F"/>
    <w:rsid w:val="00646EDF"/>
    <w:rsid w:val="0064751F"/>
    <w:rsid w:val="00647B74"/>
    <w:rsid w:val="00650BCD"/>
    <w:rsid w:val="006510B7"/>
    <w:rsid w:val="006511C3"/>
    <w:rsid w:val="006519DE"/>
    <w:rsid w:val="00651A51"/>
    <w:rsid w:val="00651AAA"/>
    <w:rsid w:val="00652331"/>
    <w:rsid w:val="00652DC4"/>
    <w:rsid w:val="0065360E"/>
    <w:rsid w:val="00654B84"/>
    <w:rsid w:val="00655FB6"/>
    <w:rsid w:val="0065606F"/>
    <w:rsid w:val="006560C4"/>
    <w:rsid w:val="00656252"/>
    <w:rsid w:val="00656297"/>
    <w:rsid w:val="006563B0"/>
    <w:rsid w:val="00656469"/>
    <w:rsid w:val="00656C20"/>
    <w:rsid w:val="00660185"/>
    <w:rsid w:val="00661D32"/>
    <w:rsid w:val="006622AD"/>
    <w:rsid w:val="00662A52"/>
    <w:rsid w:val="00662FBE"/>
    <w:rsid w:val="006641F6"/>
    <w:rsid w:val="00664366"/>
    <w:rsid w:val="0066488B"/>
    <w:rsid w:val="00664B32"/>
    <w:rsid w:val="00664F28"/>
    <w:rsid w:val="00665D0B"/>
    <w:rsid w:val="00667647"/>
    <w:rsid w:val="00667FBA"/>
    <w:rsid w:val="006708BA"/>
    <w:rsid w:val="0067131B"/>
    <w:rsid w:val="0067203A"/>
    <w:rsid w:val="006724D9"/>
    <w:rsid w:val="00672668"/>
    <w:rsid w:val="00672BD0"/>
    <w:rsid w:val="00673118"/>
    <w:rsid w:val="00673A6B"/>
    <w:rsid w:val="00674196"/>
    <w:rsid w:val="006743B8"/>
    <w:rsid w:val="0067458F"/>
    <w:rsid w:val="00674C7D"/>
    <w:rsid w:val="00675174"/>
    <w:rsid w:val="006769D5"/>
    <w:rsid w:val="00676C07"/>
    <w:rsid w:val="0067707C"/>
    <w:rsid w:val="00677581"/>
    <w:rsid w:val="00680199"/>
    <w:rsid w:val="006806E4"/>
    <w:rsid w:val="00681066"/>
    <w:rsid w:val="00681330"/>
    <w:rsid w:val="00682058"/>
    <w:rsid w:val="006820F4"/>
    <w:rsid w:val="00682371"/>
    <w:rsid w:val="00683D01"/>
    <w:rsid w:val="006842EF"/>
    <w:rsid w:val="00684924"/>
    <w:rsid w:val="006864C1"/>
    <w:rsid w:val="006865EF"/>
    <w:rsid w:val="006865FF"/>
    <w:rsid w:val="006866BE"/>
    <w:rsid w:val="00687882"/>
    <w:rsid w:val="006878D4"/>
    <w:rsid w:val="006878D9"/>
    <w:rsid w:val="00687EA8"/>
    <w:rsid w:val="00690A4A"/>
    <w:rsid w:val="006918CD"/>
    <w:rsid w:val="006918E0"/>
    <w:rsid w:val="00691BCD"/>
    <w:rsid w:val="00691D8E"/>
    <w:rsid w:val="006922FE"/>
    <w:rsid w:val="0069380A"/>
    <w:rsid w:val="00693A03"/>
    <w:rsid w:val="006941CE"/>
    <w:rsid w:val="006943B2"/>
    <w:rsid w:val="006959EC"/>
    <w:rsid w:val="00696160"/>
    <w:rsid w:val="006A0C35"/>
    <w:rsid w:val="006A15CA"/>
    <w:rsid w:val="006A1B9C"/>
    <w:rsid w:val="006A23C0"/>
    <w:rsid w:val="006A273C"/>
    <w:rsid w:val="006A2DE5"/>
    <w:rsid w:val="006A365B"/>
    <w:rsid w:val="006A38F9"/>
    <w:rsid w:val="006A3D93"/>
    <w:rsid w:val="006A4602"/>
    <w:rsid w:val="006A4A39"/>
    <w:rsid w:val="006A5CA9"/>
    <w:rsid w:val="006A645E"/>
    <w:rsid w:val="006A65B8"/>
    <w:rsid w:val="006A6C99"/>
    <w:rsid w:val="006A77D2"/>
    <w:rsid w:val="006A7C17"/>
    <w:rsid w:val="006B0E9B"/>
    <w:rsid w:val="006B10E0"/>
    <w:rsid w:val="006B154B"/>
    <w:rsid w:val="006B1A1D"/>
    <w:rsid w:val="006B1B77"/>
    <w:rsid w:val="006B1E8E"/>
    <w:rsid w:val="006B254D"/>
    <w:rsid w:val="006B25A1"/>
    <w:rsid w:val="006B2847"/>
    <w:rsid w:val="006B2F18"/>
    <w:rsid w:val="006B307D"/>
    <w:rsid w:val="006B49EB"/>
    <w:rsid w:val="006B4A92"/>
    <w:rsid w:val="006B5682"/>
    <w:rsid w:val="006B5947"/>
    <w:rsid w:val="006B5954"/>
    <w:rsid w:val="006B6318"/>
    <w:rsid w:val="006B636B"/>
    <w:rsid w:val="006B7197"/>
    <w:rsid w:val="006C014A"/>
    <w:rsid w:val="006C01B4"/>
    <w:rsid w:val="006C129E"/>
    <w:rsid w:val="006C1B8A"/>
    <w:rsid w:val="006C263E"/>
    <w:rsid w:val="006C2D5A"/>
    <w:rsid w:val="006C394E"/>
    <w:rsid w:val="006C42D4"/>
    <w:rsid w:val="006C51A0"/>
    <w:rsid w:val="006C532C"/>
    <w:rsid w:val="006C5E87"/>
    <w:rsid w:val="006C6E7F"/>
    <w:rsid w:val="006C7C12"/>
    <w:rsid w:val="006D0384"/>
    <w:rsid w:val="006D1497"/>
    <w:rsid w:val="006D16DE"/>
    <w:rsid w:val="006D1B8E"/>
    <w:rsid w:val="006D251F"/>
    <w:rsid w:val="006D2643"/>
    <w:rsid w:val="006D28F6"/>
    <w:rsid w:val="006D2A06"/>
    <w:rsid w:val="006D3583"/>
    <w:rsid w:val="006D3BB7"/>
    <w:rsid w:val="006D3DEC"/>
    <w:rsid w:val="006D4975"/>
    <w:rsid w:val="006D4B02"/>
    <w:rsid w:val="006D5070"/>
    <w:rsid w:val="006D53ED"/>
    <w:rsid w:val="006D670A"/>
    <w:rsid w:val="006D7A4A"/>
    <w:rsid w:val="006D7ADC"/>
    <w:rsid w:val="006D7BBD"/>
    <w:rsid w:val="006E07C8"/>
    <w:rsid w:val="006E1759"/>
    <w:rsid w:val="006E1BB0"/>
    <w:rsid w:val="006E1D0D"/>
    <w:rsid w:val="006E2563"/>
    <w:rsid w:val="006E26A8"/>
    <w:rsid w:val="006E27CE"/>
    <w:rsid w:val="006E2C95"/>
    <w:rsid w:val="006E564C"/>
    <w:rsid w:val="006E5793"/>
    <w:rsid w:val="006E57BD"/>
    <w:rsid w:val="006E580C"/>
    <w:rsid w:val="006E5AAE"/>
    <w:rsid w:val="006E5CAC"/>
    <w:rsid w:val="006E6004"/>
    <w:rsid w:val="006E6304"/>
    <w:rsid w:val="006E666F"/>
    <w:rsid w:val="006E66F0"/>
    <w:rsid w:val="006E6979"/>
    <w:rsid w:val="006E6D0E"/>
    <w:rsid w:val="006E7079"/>
    <w:rsid w:val="006E71C0"/>
    <w:rsid w:val="006E75F9"/>
    <w:rsid w:val="006F01B8"/>
    <w:rsid w:val="006F0257"/>
    <w:rsid w:val="006F07DE"/>
    <w:rsid w:val="006F0BEA"/>
    <w:rsid w:val="006F1050"/>
    <w:rsid w:val="006F17EC"/>
    <w:rsid w:val="006F1DA5"/>
    <w:rsid w:val="006F1E6A"/>
    <w:rsid w:val="006F2505"/>
    <w:rsid w:val="006F2BF9"/>
    <w:rsid w:val="006F4423"/>
    <w:rsid w:val="006F4CAA"/>
    <w:rsid w:val="006F5092"/>
    <w:rsid w:val="006F56B2"/>
    <w:rsid w:val="006F5B71"/>
    <w:rsid w:val="006F67F1"/>
    <w:rsid w:val="006F7905"/>
    <w:rsid w:val="006F7C06"/>
    <w:rsid w:val="006F7E50"/>
    <w:rsid w:val="00700C9F"/>
    <w:rsid w:val="00701668"/>
    <w:rsid w:val="00701E62"/>
    <w:rsid w:val="0070355A"/>
    <w:rsid w:val="00703BE2"/>
    <w:rsid w:val="00703C4E"/>
    <w:rsid w:val="00704176"/>
    <w:rsid w:val="00704D4A"/>
    <w:rsid w:val="007050CD"/>
    <w:rsid w:val="0070514A"/>
    <w:rsid w:val="00705B73"/>
    <w:rsid w:val="00706363"/>
    <w:rsid w:val="00706507"/>
    <w:rsid w:val="00706737"/>
    <w:rsid w:val="00710E8B"/>
    <w:rsid w:val="0071123B"/>
    <w:rsid w:val="007131CC"/>
    <w:rsid w:val="007133A6"/>
    <w:rsid w:val="007134AB"/>
    <w:rsid w:val="00713E01"/>
    <w:rsid w:val="00714017"/>
    <w:rsid w:val="007146B3"/>
    <w:rsid w:val="00714DDB"/>
    <w:rsid w:val="007153B5"/>
    <w:rsid w:val="007156F8"/>
    <w:rsid w:val="007164F2"/>
    <w:rsid w:val="00717FCB"/>
    <w:rsid w:val="00721684"/>
    <w:rsid w:val="007217C6"/>
    <w:rsid w:val="007217CA"/>
    <w:rsid w:val="00721948"/>
    <w:rsid w:val="00721B65"/>
    <w:rsid w:val="00724860"/>
    <w:rsid w:val="00724ADE"/>
    <w:rsid w:val="00726D4A"/>
    <w:rsid w:val="00726F7E"/>
    <w:rsid w:val="00727056"/>
    <w:rsid w:val="007275E1"/>
    <w:rsid w:val="007277B7"/>
    <w:rsid w:val="00730C1F"/>
    <w:rsid w:val="00731759"/>
    <w:rsid w:val="00731A02"/>
    <w:rsid w:val="0073211B"/>
    <w:rsid w:val="00732B65"/>
    <w:rsid w:val="00732D52"/>
    <w:rsid w:val="00732EFA"/>
    <w:rsid w:val="0073320A"/>
    <w:rsid w:val="007343C4"/>
    <w:rsid w:val="00734B56"/>
    <w:rsid w:val="00735C07"/>
    <w:rsid w:val="00736741"/>
    <w:rsid w:val="00736FCC"/>
    <w:rsid w:val="00737AB3"/>
    <w:rsid w:val="00737F2D"/>
    <w:rsid w:val="00737FE0"/>
    <w:rsid w:val="0074133F"/>
    <w:rsid w:val="00741751"/>
    <w:rsid w:val="00742178"/>
    <w:rsid w:val="00742316"/>
    <w:rsid w:val="007443C5"/>
    <w:rsid w:val="007445D1"/>
    <w:rsid w:val="00744D00"/>
    <w:rsid w:val="00745308"/>
    <w:rsid w:val="00745D60"/>
    <w:rsid w:val="00745F5E"/>
    <w:rsid w:val="007462CA"/>
    <w:rsid w:val="00746B5D"/>
    <w:rsid w:val="00746EBF"/>
    <w:rsid w:val="007470F4"/>
    <w:rsid w:val="00747682"/>
    <w:rsid w:val="00747A86"/>
    <w:rsid w:val="00750C6D"/>
    <w:rsid w:val="00750DEA"/>
    <w:rsid w:val="00751118"/>
    <w:rsid w:val="00751337"/>
    <w:rsid w:val="007518E4"/>
    <w:rsid w:val="00752812"/>
    <w:rsid w:val="00752CCC"/>
    <w:rsid w:val="00753256"/>
    <w:rsid w:val="007541E9"/>
    <w:rsid w:val="00756015"/>
    <w:rsid w:val="00756212"/>
    <w:rsid w:val="007565A6"/>
    <w:rsid w:val="0075780A"/>
    <w:rsid w:val="00757898"/>
    <w:rsid w:val="00757BD7"/>
    <w:rsid w:val="00760950"/>
    <w:rsid w:val="00760E4E"/>
    <w:rsid w:val="007614CA"/>
    <w:rsid w:val="00761E92"/>
    <w:rsid w:val="00762719"/>
    <w:rsid w:val="00763294"/>
    <w:rsid w:val="00763A6A"/>
    <w:rsid w:val="007648F5"/>
    <w:rsid w:val="00764EB3"/>
    <w:rsid w:val="00765468"/>
    <w:rsid w:val="00765B9D"/>
    <w:rsid w:val="00765F8E"/>
    <w:rsid w:val="00766858"/>
    <w:rsid w:val="00766FDF"/>
    <w:rsid w:val="007670DA"/>
    <w:rsid w:val="007677A2"/>
    <w:rsid w:val="007678FE"/>
    <w:rsid w:val="00767986"/>
    <w:rsid w:val="00767C64"/>
    <w:rsid w:val="0077022A"/>
    <w:rsid w:val="00770853"/>
    <w:rsid w:val="00771342"/>
    <w:rsid w:val="00771DDA"/>
    <w:rsid w:val="0077226D"/>
    <w:rsid w:val="007727F5"/>
    <w:rsid w:val="00772F6A"/>
    <w:rsid w:val="007730E6"/>
    <w:rsid w:val="007736E4"/>
    <w:rsid w:val="00773932"/>
    <w:rsid w:val="00774667"/>
    <w:rsid w:val="00774711"/>
    <w:rsid w:val="00774AC7"/>
    <w:rsid w:val="0077537B"/>
    <w:rsid w:val="00775519"/>
    <w:rsid w:val="007755CC"/>
    <w:rsid w:val="0077655E"/>
    <w:rsid w:val="007765FE"/>
    <w:rsid w:val="007769E7"/>
    <w:rsid w:val="007773FC"/>
    <w:rsid w:val="00777656"/>
    <w:rsid w:val="00780990"/>
    <w:rsid w:val="00780ED1"/>
    <w:rsid w:val="00781969"/>
    <w:rsid w:val="00782985"/>
    <w:rsid w:val="00783176"/>
    <w:rsid w:val="007831B5"/>
    <w:rsid w:val="0078370E"/>
    <w:rsid w:val="00783D4C"/>
    <w:rsid w:val="00783E80"/>
    <w:rsid w:val="0078473A"/>
    <w:rsid w:val="007848B6"/>
    <w:rsid w:val="00784B29"/>
    <w:rsid w:val="00784D78"/>
    <w:rsid w:val="00784E71"/>
    <w:rsid w:val="00785285"/>
    <w:rsid w:val="00786433"/>
    <w:rsid w:val="007870BF"/>
    <w:rsid w:val="007871E4"/>
    <w:rsid w:val="0079048B"/>
    <w:rsid w:val="007909AD"/>
    <w:rsid w:val="00790E27"/>
    <w:rsid w:val="00791957"/>
    <w:rsid w:val="0079276A"/>
    <w:rsid w:val="00792CE5"/>
    <w:rsid w:val="0079354A"/>
    <w:rsid w:val="00793BEA"/>
    <w:rsid w:val="00794238"/>
    <w:rsid w:val="00794CB3"/>
    <w:rsid w:val="00794D8E"/>
    <w:rsid w:val="00795972"/>
    <w:rsid w:val="00795AC5"/>
    <w:rsid w:val="00796375"/>
    <w:rsid w:val="00796481"/>
    <w:rsid w:val="007977B4"/>
    <w:rsid w:val="007A06CD"/>
    <w:rsid w:val="007A072D"/>
    <w:rsid w:val="007A0773"/>
    <w:rsid w:val="007A08B4"/>
    <w:rsid w:val="007A0F51"/>
    <w:rsid w:val="007A1C10"/>
    <w:rsid w:val="007A1CF8"/>
    <w:rsid w:val="007A2BC6"/>
    <w:rsid w:val="007A2D09"/>
    <w:rsid w:val="007A3AD3"/>
    <w:rsid w:val="007A48B7"/>
    <w:rsid w:val="007A5150"/>
    <w:rsid w:val="007A5568"/>
    <w:rsid w:val="007A6BD4"/>
    <w:rsid w:val="007A6F5C"/>
    <w:rsid w:val="007A72D3"/>
    <w:rsid w:val="007A76CC"/>
    <w:rsid w:val="007A7B8F"/>
    <w:rsid w:val="007B036A"/>
    <w:rsid w:val="007B211E"/>
    <w:rsid w:val="007B2AF8"/>
    <w:rsid w:val="007B2B1C"/>
    <w:rsid w:val="007B54E9"/>
    <w:rsid w:val="007B5D19"/>
    <w:rsid w:val="007B6DDC"/>
    <w:rsid w:val="007B7A22"/>
    <w:rsid w:val="007B7FB9"/>
    <w:rsid w:val="007C0562"/>
    <w:rsid w:val="007C129E"/>
    <w:rsid w:val="007C1570"/>
    <w:rsid w:val="007C1FF6"/>
    <w:rsid w:val="007C4BAC"/>
    <w:rsid w:val="007C4ED3"/>
    <w:rsid w:val="007C50B8"/>
    <w:rsid w:val="007C5A78"/>
    <w:rsid w:val="007D07F2"/>
    <w:rsid w:val="007D1CFC"/>
    <w:rsid w:val="007D206E"/>
    <w:rsid w:val="007D22EF"/>
    <w:rsid w:val="007D3A4D"/>
    <w:rsid w:val="007D3B63"/>
    <w:rsid w:val="007D4308"/>
    <w:rsid w:val="007D45D9"/>
    <w:rsid w:val="007D4E9E"/>
    <w:rsid w:val="007D4FE2"/>
    <w:rsid w:val="007D526D"/>
    <w:rsid w:val="007D529B"/>
    <w:rsid w:val="007D59DC"/>
    <w:rsid w:val="007D5E7C"/>
    <w:rsid w:val="007D634F"/>
    <w:rsid w:val="007E058B"/>
    <w:rsid w:val="007E0812"/>
    <w:rsid w:val="007E0B2E"/>
    <w:rsid w:val="007E0CD2"/>
    <w:rsid w:val="007E1DA2"/>
    <w:rsid w:val="007E27BB"/>
    <w:rsid w:val="007E285F"/>
    <w:rsid w:val="007E4212"/>
    <w:rsid w:val="007E42EE"/>
    <w:rsid w:val="007E4918"/>
    <w:rsid w:val="007E5163"/>
    <w:rsid w:val="007E5933"/>
    <w:rsid w:val="007E5BED"/>
    <w:rsid w:val="007E5C9E"/>
    <w:rsid w:val="007E6A92"/>
    <w:rsid w:val="007E7058"/>
    <w:rsid w:val="007E7F31"/>
    <w:rsid w:val="007F0BA9"/>
    <w:rsid w:val="007F1D56"/>
    <w:rsid w:val="007F1E72"/>
    <w:rsid w:val="007F26EB"/>
    <w:rsid w:val="007F333B"/>
    <w:rsid w:val="007F394E"/>
    <w:rsid w:val="007F3BE8"/>
    <w:rsid w:val="007F3D96"/>
    <w:rsid w:val="007F4067"/>
    <w:rsid w:val="007F48E5"/>
    <w:rsid w:val="007F4D6F"/>
    <w:rsid w:val="007F4DE2"/>
    <w:rsid w:val="007F4E2D"/>
    <w:rsid w:val="007F537E"/>
    <w:rsid w:val="007F5967"/>
    <w:rsid w:val="007F61D3"/>
    <w:rsid w:val="007F620D"/>
    <w:rsid w:val="007F6BAE"/>
    <w:rsid w:val="007F7178"/>
    <w:rsid w:val="007F721B"/>
    <w:rsid w:val="007F7501"/>
    <w:rsid w:val="0080088B"/>
    <w:rsid w:val="00801731"/>
    <w:rsid w:val="00801DF9"/>
    <w:rsid w:val="008028D9"/>
    <w:rsid w:val="008029D6"/>
    <w:rsid w:val="00802C00"/>
    <w:rsid w:val="008038DA"/>
    <w:rsid w:val="008041D0"/>
    <w:rsid w:val="00807495"/>
    <w:rsid w:val="00807BD6"/>
    <w:rsid w:val="00807CC8"/>
    <w:rsid w:val="00807D9F"/>
    <w:rsid w:val="00810937"/>
    <w:rsid w:val="00810981"/>
    <w:rsid w:val="00810DAC"/>
    <w:rsid w:val="00810FD9"/>
    <w:rsid w:val="00811569"/>
    <w:rsid w:val="00811D80"/>
    <w:rsid w:val="00811F26"/>
    <w:rsid w:val="008125A5"/>
    <w:rsid w:val="008125D8"/>
    <w:rsid w:val="00812FB8"/>
    <w:rsid w:val="008130AB"/>
    <w:rsid w:val="0081375F"/>
    <w:rsid w:val="00814052"/>
    <w:rsid w:val="008146DD"/>
    <w:rsid w:val="00814865"/>
    <w:rsid w:val="00814D81"/>
    <w:rsid w:val="00816FDE"/>
    <w:rsid w:val="008174F9"/>
    <w:rsid w:val="008178A9"/>
    <w:rsid w:val="00817E75"/>
    <w:rsid w:val="008207C8"/>
    <w:rsid w:val="00820CBF"/>
    <w:rsid w:val="008222C9"/>
    <w:rsid w:val="00822692"/>
    <w:rsid w:val="00822F01"/>
    <w:rsid w:val="0082408B"/>
    <w:rsid w:val="0082443C"/>
    <w:rsid w:val="00824450"/>
    <w:rsid w:val="00824A13"/>
    <w:rsid w:val="00825574"/>
    <w:rsid w:val="00826924"/>
    <w:rsid w:val="008273F1"/>
    <w:rsid w:val="00827869"/>
    <w:rsid w:val="00827FB7"/>
    <w:rsid w:val="00830B4F"/>
    <w:rsid w:val="008312EA"/>
    <w:rsid w:val="00833085"/>
    <w:rsid w:val="00833102"/>
    <w:rsid w:val="008339A6"/>
    <w:rsid w:val="00834DAF"/>
    <w:rsid w:val="00835630"/>
    <w:rsid w:val="00835A51"/>
    <w:rsid w:val="00835B58"/>
    <w:rsid w:val="008361AA"/>
    <w:rsid w:val="0083647A"/>
    <w:rsid w:val="008370DB"/>
    <w:rsid w:val="00842189"/>
    <w:rsid w:val="00843172"/>
    <w:rsid w:val="00843A68"/>
    <w:rsid w:val="00845101"/>
    <w:rsid w:val="00845FA0"/>
    <w:rsid w:val="008465E0"/>
    <w:rsid w:val="00846C0B"/>
    <w:rsid w:val="008472DE"/>
    <w:rsid w:val="008477AC"/>
    <w:rsid w:val="00847BE3"/>
    <w:rsid w:val="0085100A"/>
    <w:rsid w:val="00851359"/>
    <w:rsid w:val="0085189C"/>
    <w:rsid w:val="00851D5B"/>
    <w:rsid w:val="00852006"/>
    <w:rsid w:val="00852770"/>
    <w:rsid w:val="00853683"/>
    <w:rsid w:val="00853DEA"/>
    <w:rsid w:val="008546D3"/>
    <w:rsid w:val="00854AA1"/>
    <w:rsid w:val="0085543B"/>
    <w:rsid w:val="00855B2D"/>
    <w:rsid w:val="00855FCD"/>
    <w:rsid w:val="00857139"/>
    <w:rsid w:val="0085727F"/>
    <w:rsid w:val="00857949"/>
    <w:rsid w:val="00857DFF"/>
    <w:rsid w:val="00860E30"/>
    <w:rsid w:val="008613E6"/>
    <w:rsid w:val="00861B44"/>
    <w:rsid w:val="00861F68"/>
    <w:rsid w:val="0086230D"/>
    <w:rsid w:val="00863B43"/>
    <w:rsid w:val="00863F7C"/>
    <w:rsid w:val="00864E75"/>
    <w:rsid w:val="0086695B"/>
    <w:rsid w:val="00866E48"/>
    <w:rsid w:val="00867C72"/>
    <w:rsid w:val="00867E53"/>
    <w:rsid w:val="00867ED2"/>
    <w:rsid w:val="00870D30"/>
    <w:rsid w:val="00871027"/>
    <w:rsid w:val="00871547"/>
    <w:rsid w:val="00872633"/>
    <w:rsid w:val="00872D43"/>
    <w:rsid w:val="00873633"/>
    <w:rsid w:val="00875000"/>
    <w:rsid w:val="008758F1"/>
    <w:rsid w:val="00875D13"/>
    <w:rsid w:val="008760E7"/>
    <w:rsid w:val="00880176"/>
    <w:rsid w:val="00880603"/>
    <w:rsid w:val="0088128B"/>
    <w:rsid w:val="008813E2"/>
    <w:rsid w:val="00881573"/>
    <w:rsid w:val="00881B88"/>
    <w:rsid w:val="00882CE5"/>
    <w:rsid w:val="00883015"/>
    <w:rsid w:val="00884D58"/>
    <w:rsid w:val="0088548E"/>
    <w:rsid w:val="00885D49"/>
    <w:rsid w:val="00886340"/>
    <w:rsid w:val="008867E0"/>
    <w:rsid w:val="00886B00"/>
    <w:rsid w:val="00886CF0"/>
    <w:rsid w:val="0088748F"/>
    <w:rsid w:val="008902FC"/>
    <w:rsid w:val="0089268A"/>
    <w:rsid w:val="00892EF7"/>
    <w:rsid w:val="00892FD2"/>
    <w:rsid w:val="00894917"/>
    <w:rsid w:val="00894CAD"/>
    <w:rsid w:val="00894D58"/>
    <w:rsid w:val="0089538C"/>
    <w:rsid w:val="00895453"/>
    <w:rsid w:val="00895E62"/>
    <w:rsid w:val="008960CF"/>
    <w:rsid w:val="00897544"/>
    <w:rsid w:val="00897B3B"/>
    <w:rsid w:val="008A1002"/>
    <w:rsid w:val="008A157C"/>
    <w:rsid w:val="008A1667"/>
    <w:rsid w:val="008A19FA"/>
    <w:rsid w:val="008A1CDF"/>
    <w:rsid w:val="008A214E"/>
    <w:rsid w:val="008A2170"/>
    <w:rsid w:val="008A2BA7"/>
    <w:rsid w:val="008A3260"/>
    <w:rsid w:val="008A3566"/>
    <w:rsid w:val="008A371F"/>
    <w:rsid w:val="008A3870"/>
    <w:rsid w:val="008A3C2B"/>
    <w:rsid w:val="008A3FB2"/>
    <w:rsid w:val="008A73A7"/>
    <w:rsid w:val="008A7B50"/>
    <w:rsid w:val="008B0C28"/>
    <w:rsid w:val="008B1478"/>
    <w:rsid w:val="008B18BC"/>
    <w:rsid w:val="008B1A2C"/>
    <w:rsid w:val="008B2AC8"/>
    <w:rsid w:val="008B3000"/>
    <w:rsid w:val="008B49B6"/>
    <w:rsid w:val="008B5803"/>
    <w:rsid w:val="008B5B82"/>
    <w:rsid w:val="008B6253"/>
    <w:rsid w:val="008B6DEE"/>
    <w:rsid w:val="008B6F17"/>
    <w:rsid w:val="008B7008"/>
    <w:rsid w:val="008B711A"/>
    <w:rsid w:val="008B752E"/>
    <w:rsid w:val="008B785E"/>
    <w:rsid w:val="008B7B91"/>
    <w:rsid w:val="008C0460"/>
    <w:rsid w:val="008C08A1"/>
    <w:rsid w:val="008C18BB"/>
    <w:rsid w:val="008C1DCC"/>
    <w:rsid w:val="008C21DA"/>
    <w:rsid w:val="008C3323"/>
    <w:rsid w:val="008C3350"/>
    <w:rsid w:val="008C365E"/>
    <w:rsid w:val="008C3F85"/>
    <w:rsid w:val="008C4ACD"/>
    <w:rsid w:val="008C57F2"/>
    <w:rsid w:val="008C582D"/>
    <w:rsid w:val="008C6603"/>
    <w:rsid w:val="008C7B77"/>
    <w:rsid w:val="008D0C00"/>
    <w:rsid w:val="008D0DAE"/>
    <w:rsid w:val="008D30F3"/>
    <w:rsid w:val="008D34D3"/>
    <w:rsid w:val="008D3E3A"/>
    <w:rsid w:val="008D46F9"/>
    <w:rsid w:val="008D5D66"/>
    <w:rsid w:val="008D60C0"/>
    <w:rsid w:val="008D6F97"/>
    <w:rsid w:val="008D7158"/>
    <w:rsid w:val="008D746E"/>
    <w:rsid w:val="008E0637"/>
    <w:rsid w:val="008E0F55"/>
    <w:rsid w:val="008E1001"/>
    <w:rsid w:val="008E22B1"/>
    <w:rsid w:val="008E2720"/>
    <w:rsid w:val="008E303F"/>
    <w:rsid w:val="008E32C0"/>
    <w:rsid w:val="008E463A"/>
    <w:rsid w:val="008E547D"/>
    <w:rsid w:val="008E55E9"/>
    <w:rsid w:val="008E5785"/>
    <w:rsid w:val="008E6622"/>
    <w:rsid w:val="008E7723"/>
    <w:rsid w:val="008E7808"/>
    <w:rsid w:val="008F01A4"/>
    <w:rsid w:val="008F02A0"/>
    <w:rsid w:val="008F03B2"/>
    <w:rsid w:val="008F07D1"/>
    <w:rsid w:val="008F1445"/>
    <w:rsid w:val="008F1520"/>
    <w:rsid w:val="008F1C14"/>
    <w:rsid w:val="008F1EBE"/>
    <w:rsid w:val="008F2082"/>
    <w:rsid w:val="008F259D"/>
    <w:rsid w:val="008F2E20"/>
    <w:rsid w:val="008F2F04"/>
    <w:rsid w:val="008F3A9B"/>
    <w:rsid w:val="008F3FF2"/>
    <w:rsid w:val="008F560C"/>
    <w:rsid w:val="008F5797"/>
    <w:rsid w:val="008F5F52"/>
    <w:rsid w:val="008F6BDB"/>
    <w:rsid w:val="008F6E32"/>
    <w:rsid w:val="008F734D"/>
    <w:rsid w:val="008F73D7"/>
    <w:rsid w:val="008F7C7E"/>
    <w:rsid w:val="008F7CD2"/>
    <w:rsid w:val="009002FA"/>
    <w:rsid w:val="00900E60"/>
    <w:rsid w:val="009012C6"/>
    <w:rsid w:val="009013D4"/>
    <w:rsid w:val="00901435"/>
    <w:rsid w:val="0090164A"/>
    <w:rsid w:val="00901C97"/>
    <w:rsid w:val="00901CF9"/>
    <w:rsid w:val="00903DBB"/>
    <w:rsid w:val="009041CD"/>
    <w:rsid w:val="00904761"/>
    <w:rsid w:val="009047FB"/>
    <w:rsid w:val="00904BB9"/>
    <w:rsid w:val="00904C01"/>
    <w:rsid w:val="00904FDF"/>
    <w:rsid w:val="00905252"/>
    <w:rsid w:val="00905372"/>
    <w:rsid w:val="009068E2"/>
    <w:rsid w:val="00907B05"/>
    <w:rsid w:val="0091022D"/>
    <w:rsid w:val="00910692"/>
    <w:rsid w:val="00910730"/>
    <w:rsid w:val="00912C47"/>
    <w:rsid w:val="00912CB9"/>
    <w:rsid w:val="00912D8F"/>
    <w:rsid w:val="009132CD"/>
    <w:rsid w:val="009134E7"/>
    <w:rsid w:val="009137BA"/>
    <w:rsid w:val="00913D52"/>
    <w:rsid w:val="009144FA"/>
    <w:rsid w:val="009157BD"/>
    <w:rsid w:val="009161FB"/>
    <w:rsid w:val="009163E4"/>
    <w:rsid w:val="00916425"/>
    <w:rsid w:val="009207D7"/>
    <w:rsid w:val="00920B9C"/>
    <w:rsid w:val="00920C45"/>
    <w:rsid w:val="009221B3"/>
    <w:rsid w:val="009231C3"/>
    <w:rsid w:val="009231D4"/>
    <w:rsid w:val="00924B52"/>
    <w:rsid w:val="0092555D"/>
    <w:rsid w:val="0092562D"/>
    <w:rsid w:val="00926A6E"/>
    <w:rsid w:val="00927CA0"/>
    <w:rsid w:val="009304F9"/>
    <w:rsid w:val="00930EFF"/>
    <w:rsid w:val="00931286"/>
    <w:rsid w:val="0093174F"/>
    <w:rsid w:val="00931EE8"/>
    <w:rsid w:val="009325F8"/>
    <w:rsid w:val="009329CE"/>
    <w:rsid w:val="00932DF6"/>
    <w:rsid w:val="0093326E"/>
    <w:rsid w:val="009345F1"/>
    <w:rsid w:val="00934953"/>
    <w:rsid w:val="00934C40"/>
    <w:rsid w:val="00935049"/>
    <w:rsid w:val="00935FA1"/>
    <w:rsid w:val="00936B64"/>
    <w:rsid w:val="009376B1"/>
    <w:rsid w:val="00940538"/>
    <w:rsid w:val="00940823"/>
    <w:rsid w:val="0094141D"/>
    <w:rsid w:val="00941E0D"/>
    <w:rsid w:val="00942090"/>
    <w:rsid w:val="00943656"/>
    <w:rsid w:val="00944659"/>
    <w:rsid w:val="00944FAD"/>
    <w:rsid w:val="00945A4E"/>
    <w:rsid w:val="00947C55"/>
    <w:rsid w:val="009500E4"/>
    <w:rsid w:val="009507B7"/>
    <w:rsid w:val="00950E95"/>
    <w:rsid w:val="00951B2C"/>
    <w:rsid w:val="00951C4E"/>
    <w:rsid w:val="00952182"/>
    <w:rsid w:val="0095305F"/>
    <w:rsid w:val="00953397"/>
    <w:rsid w:val="00953B61"/>
    <w:rsid w:val="00954B7E"/>
    <w:rsid w:val="00955078"/>
    <w:rsid w:val="009564A1"/>
    <w:rsid w:val="00957AEC"/>
    <w:rsid w:val="009608AF"/>
    <w:rsid w:val="00960C0B"/>
    <w:rsid w:val="0096200F"/>
    <w:rsid w:val="009628B8"/>
    <w:rsid w:val="009628C6"/>
    <w:rsid w:val="00962ABB"/>
    <w:rsid w:val="009635C3"/>
    <w:rsid w:val="00963F94"/>
    <w:rsid w:val="00964804"/>
    <w:rsid w:val="00965C87"/>
    <w:rsid w:val="009667FC"/>
    <w:rsid w:val="00966A7B"/>
    <w:rsid w:val="00966C22"/>
    <w:rsid w:val="00966FA8"/>
    <w:rsid w:val="009678B3"/>
    <w:rsid w:val="00967FA7"/>
    <w:rsid w:val="009704B9"/>
    <w:rsid w:val="00971AF1"/>
    <w:rsid w:val="0097238A"/>
    <w:rsid w:val="009725D0"/>
    <w:rsid w:val="009726B0"/>
    <w:rsid w:val="00972E39"/>
    <w:rsid w:val="0097317D"/>
    <w:rsid w:val="00973924"/>
    <w:rsid w:val="00973B96"/>
    <w:rsid w:val="00973CA7"/>
    <w:rsid w:val="009749FA"/>
    <w:rsid w:val="0097522D"/>
    <w:rsid w:val="0097694A"/>
    <w:rsid w:val="009769C8"/>
    <w:rsid w:val="00977C47"/>
    <w:rsid w:val="00980462"/>
    <w:rsid w:val="00980D36"/>
    <w:rsid w:val="009813ED"/>
    <w:rsid w:val="009814A3"/>
    <w:rsid w:val="009817FE"/>
    <w:rsid w:val="00982DC0"/>
    <w:rsid w:val="0098302A"/>
    <w:rsid w:val="00983A38"/>
    <w:rsid w:val="00983A58"/>
    <w:rsid w:val="00984B11"/>
    <w:rsid w:val="00984E31"/>
    <w:rsid w:val="00984F3C"/>
    <w:rsid w:val="00985394"/>
    <w:rsid w:val="009858B8"/>
    <w:rsid w:val="00986148"/>
    <w:rsid w:val="00986413"/>
    <w:rsid w:val="00986918"/>
    <w:rsid w:val="009871AB"/>
    <w:rsid w:val="00987479"/>
    <w:rsid w:val="00987B5A"/>
    <w:rsid w:val="00990B91"/>
    <w:rsid w:val="009911F8"/>
    <w:rsid w:val="009919D8"/>
    <w:rsid w:val="00991AB9"/>
    <w:rsid w:val="00991B3E"/>
    <w:rsid w:val="00991D3D"/>
    <w:rsid w:val="009920B7"/>
    <w:rsid w:val="00992A0A"/>
    <w:rsid w:val="00992C2D"/>
    <w:rsid w:val="0099349E"/>
    <w:rsid w:val="00994A94"/>
    <w:rsid w:val="009959E8"/>
    <w:rsid w:val="0099654F"/>
    <w:rsid w:val="00996581"/>
    <w:rsid w:val="00996915"/>
    <w:rsid w:val="00996E65"/>
    <w:rsid w:val="009A05E0"/>
    <w:rsid w:val="009A0902"/>
    <w:rsid w:val="009A098A"/>
    <w:rsid w:val="009A129F"/>
    <w:rsid w:val="009A15EA"/>
    <w:rsid w:val="009A1E47"/>
    <w:rsid w:val="009A2270"/>
    <w:rsid w:val="009A2F8F"/>
    <w:rsid w:val="009A3F9C"/>
    <w:rsid w:val="009A42A4"/>
    <w:rsid w:val="009A436B"/>
    <w:rsid w:val="009A4914"/>
    <w:rsid w:val="009A4EA7"/>
    <w:rsid w:val="009A5964"/>
    <w:rsid w:val="009A5FA7"/>
    <w:rsid w:val="009A62B4"/>
    <w:rsid w:val="009A671D"/>
    <w:rsid w:val="009A6F3A"/>
    <w:rsid w:val="009B09C0"/>
    <w:rsid w:val="009B1ACD"/>
    <w:rsid w:val="009B20A2"/>
    <w:rsid w:val="009B31D7"/>
    <w:rsid w:val="009B36B0"/>
    <w:rsid w:val="009B3B30"/>
    <w:rsid w:val="009B3C8F"/>
    <w:rsid w:val="009B40FA"/>
    <w:rsid w:val="009B478F"/>
    <w:rsid w:val="009B47EF"/>
    <w:rsid w:val="009B741F"/>
    <w:rsid w:val="009B77D0"/>
    <w:rsid w:val="009B7B99"/>
    <w:rsid w:val="009C065E"/>
    <w:rsid w:val="009C0710"/>
    <w:rsid w:val="009C1030"/>
    <w:rsid w:val="009C13F8"/>
    <w:rsid w:val="009C1AF6"/>
    <w:rsid w:val="009C2F74"/>
    <w:rsid w:val="009C3EF8"/>
    <w:rsid w:val="009C4540"/>
    <w:rsid w:val="009C5155"/>
    <w:rsid w:val="009C65B4"/>
    <w:rsid w:val="009C6693"/>
    <w:rsid w:val="009C6F83"/>
    <w:rsid w:val="009C73BE"/>
    <w:rsid w:val="009C7B66"/>
    <w:rsid w:val="009D0AED"/>
    <w:rsid w:val="009D1858"/>
    <w:rsid w:val="009D1A3A"/>
    <w:rsid w:val="009D1CF3"/>
    <w:rsid w:val="009D2502"/>
    <w:rsid w:val="009D392D"/>
    <w:rsid w:val="009D4167"/>
    <w:rsid w:val="009D4491"/>
    <w:rsid w:val="009D4D0C"/>
    <w:rsid w:val="009D4FE1"/>
    <w:rsid w:val="009D5F29"/>
    <w:rsid w:val="009D6B19"/>
    <w:rsid w:val="009E0346"/>
    <w:rsid w:val="009E14D4"/>
    <w:rsid w:val="009E1727"/>
    <w:rsid w:val="009E294C"/>
    <w:rsid w:val="009E45F0"/>
    <w:rsid w:val="009E48AC"/>
    <w:rsid w:val="009E5037"/>
    <w:rsid w:val="009E5D60"/>
    <w:rsid w:val="009E5DA6"/>
    <w:rsid w:val="009E60D6"/>
    <w:rsid w:val="009E6F5F"/>
    <w:rsid w:val="009E6FA7"/>
    <w:rsid w:val="009E7379"/>
    <w:rsid w:val="009F13D1"/>
    <w:rsid w:val="009F1924"/>
    <w:rsid w:val="009F1A89"/>
    <w:rsid w:val="009F1FD2"/>
    <w:rsid w:val="009F24BB"/>
    <w:rsid w:val="009F268E"/>
    <w:rsid w:val="009F2A0D"/>
    <w:rsid w:val="009F3BD7"/>
    <w:rsid w:val="009F3F20"/>
    <w:rsid w:val="009F451A"/>
    <w:rsid w:val="009F48A6"/>
    <w:rsid w:val="009F5246"/>
    <w:rsid w:val="009F55A4"/>
    <w:rsid w:val="009F5FD8"/>
    <w:rsid w:val="009F65B2"/>
    <w:rsid w:val="009F680B"/>
    <w:rsid w:val="009F6922"/>
    <w:rsid w:val="009F7534"/>
    <w:rsid w:val="009F7567"/>
    <w:rsid w:val="00A007D8"/>
    <w:rsid w:val="00A00BCF"/>
    <w:rsid w:val="00A01E7F"/>
    <w:rsid w:val="00A026C3"/>
    <w:rsid w:val="00A03ADA"/>
    <w:rsid w:val="00A044C6"/>
    <w:rsid w:val="00A0549D"/>
    <w:rsid w:val="00A06751"/>
    <w:rsid w:val="00A06866"/>
    <w:rsid w:val="00A06C67"/>
    <w:rsid w:val="00A07099"/>
    <w:rsid w:val="00A07825"/>
    <w:rsid w:val="00A104E9"/>
    <w:rsid w:val="00A1103F"/>
    <w:rsid w:val="00A121D1"/>
    <w:rsid w:val="00A1376C"/>
    <w:rsid w:val="00A1495C"/>
    <w:rsid w:val="00A15228"/>
    <w:rsid w:val="00A16F17"/>
    <w:rsid w:val="00A2059C"/>
    <w:rsid w:val="00A20D9E"/>
    <w:rsid w:val="00A2134E"/>
    <w:rsid w:val="00A21B5F"/>
    <w:rsid w:val="00A21D3A"/>
    <w:rsid w:val="00A2270C"/>
    <w:rsid w:val="00A22DB5"/>
    <w:rsid w:val="00A22F4F"/>
    <w:rsid w:val="00A23394"/>
    <w:rsid w:val="00A23A7B"/>
    <w:rsid w:val="00A23CD1"/>
    <w:rsid w:val="00A244FE"/>
    <w:rsid w:val="00A249EC"/>
    <w:rsid w:val="00A24A1E"/>
    <w:rsid w:val="00A24F8C"/>
    <w:rsid w:val="00A2632E"/>
    <w:rsid w:val="00A263E2"/>
    <w:rsid w:val="00A26573"/>
    <w:rsid w:val="00A26A83"/>
    <w:rsid w:val="00A277EC"/>
    <w:rsid w:val="00A3015A"/>
    <w:rsid w:val="00A30612"/>
    <w:rsid w:val="00A3093F"/>
    <w:rsid w:val="00A30EC7"/>
    <w:rsid w:val="00A31899"/>
    <w:rsid w:val="00A319C1"/>
    <w:rsid w:val="00A31D5B"/>
    <w:rsid w:val="00A32A29"/>
    <w:rsid w:val="00A32BF8"/>
    <w:rsid w:val="00A33664"/>
    <w:rsid w:val="00A3370C"/>
    <w:rsid w:val="00A34607"/>
    <w:rsid w:val="00A34CC0"/>
    <w:rsid w:val="00A350E8"/>
    <w:rsid w:val="00A358F5"/>
    <w:rsid w:val="00A35FA0"/>
    <w:rsid w:val="00A36232"/>
    <w:rsid w:val="00A3636C"/>
    <w:rsid w:val="00A3666C"/>
    <w:rsid w:val="00A36B6F"/>
    <w:rsid w:val="00A36EAF"/>
    <w:rsid w:val="00A3774B"/>
    <w:rsid w:val="00A37E52"/>
    <w:rsid w:val="00A40339"/>
    <w:rsid w:val="00A413A6"/>
    <w:rsid w:val="00A418E2"/>
    <w:rsid w:val="00A42AD1"/>
    <w:rsid w:val="00A42E5B"/>
    <w:rsid w:val="00A42E88"/>
    <w:rsid w:val="00A4370A"/>
    <w:rsid w:val="00A43A64"/>
    <w:rsid w:val="00A43F9E"/>
    <w:rsid w:val="00A448E0"/>
    <w:rsid w:val="00A4498A"/>
    <w:rsid w:val="00A44DC8"/>
    <w:rsid w:val="00A44E91"/>
    <w:rsid w:val="00A4509A"/>
    <w:rsid w:val="00A451AE"/>
    <w:rsid w:val="00A45D22"/>
    <w:rsid w:val="00A45F6E"/>
    <w:rsid w:val="00A45FE9"/>
    <w:rsid w:val="00A46860"/>
    <w:rsid w:val="00A46F6C"/>
    <w:rsid w:val="00A4766F"/>
    <w:rsid w:val="00A476BE"/>
    <w:rsid w:val="00A47BF0"/>
    <w:rsid w:val="00A50D81"/>
    <w:rsid w:val="00A51046"/>
    <w:rsid w:val="00A51453"/>
    <w:rsid w:val="00A516EB"/>
    <w:rsid w:val="00A51F11"/>
    <w:rsid w:val="00A52485"/>
    <w:rsid w:val="00A52BB1"/>
    <w:rsid w:val="00A53C2C"/>
    <w:rsid w:val="00A5458B"/>
    <w:rsid w:val="00A5517C"/>
    <w:rsid w:val="00A551C2"/>
    <w:rsid w:val="00A55D7A"/>
    <w:rsid w:val="00A55D89"/>
    <w:rsid w:val="00A55F16"/>
    <w:rsid w:val="00A562CE"/>
    <w:rsid w:val="00A56591"/>
    <w:rsid w:val="00A56A03"/>
    <w:rsid w:val="00A57119"/>
    <w:rsid w:val="00A57BC2"/>
    <w:rsid w:val="00A57E0C"/>
    <w:rsid w:val="00A6003E"/>
    <w:rsid w:val="00A61634"/>
    <w:rsid w:val="00A62613"/>
    <w:rsid w:val="00A62E10"/>
    <w:rsid w:val="00A6341A"/>
    <w:rsid w:val="00A6377A"/>
    <w:rsid w:val="00A6423B"/>
    <w:rsid w:val="00A65400"/>
    <w:rsid w:val="00A65840"/>
    <w:rsid w:val="00A65A4B"/>
    <w:rsid w:val="00A66954"/>
    <w:rsid w:val="00A67487"/>
    <w:rsid w:val="00A676AD"/>
    <w:rsid w:val="00A67745"/>
    <w:rsid w:val="00A67FE7"/>
    <w:rsid w:val="00A72A2D"/>
    <w:rsid w:val="00A72E83"/>
    <w:rsid w:val="00A74C16"/>
    <w:rsid w:val="00A75129"/>
    <w:rsid w:val="00A752B8"/>
    <w:rsid w:val="00A75448"/>
    <w:rsid w:val="00A75C78"/>
    <w:rsid w:val="00A76EAF"/>
    <w:rsid w:val="00A771C2"/>
    <w:rsid w:val="00A77E50"/>
    <w:rsid w:val="00A805D2"/>
    <w:rsid w:val="00A80CD6"/>
    <w:rsid w:val="00A80EE4"/>
    <w:rsid w:val="00A819C6"/>
    <w:rsid w:val="00A83B67"/>
    <w:rsid w:val="00A83EF0"/>
    <w:rsid w:val="00A84434"/>
    <w:rsid w:val="00A845AC"/>
    <w:rsid w:val="00A85172"/>
    <w:rsid w:val="00A853F0"/>
    <w:rsid w:val="00A85979"/>
    <w:rsid w:val="00A865F0"/>
    <w:rsid w:val="00A86B93"/>
    <w:rsid w:val="00A877DF"/>
    <w:rsid w:val="00A9056E"/>
    <w:rsid w:val="00A90F29"/>
    <w:rsid w:val="00A9135E"/>
    <w:rsid w:val="00A916FF"/>
    <w:rsid w:val="00A9245D"/>
    <w:rsid w:val="00A92628"/>
    <w:rsid w:val="00A92F11"/>
    <w:rsid w:val="00A9335C"/>
    <w:rsid w:val="00A93537"/>
    <w:rsid w:val="00A936CB"/>
    <w:rsid w:val="00A95A0B"/>
    <w:rsid w:val="00A96F7A"/>
    <w:rsid w:val="00A9717E"/>
    <w:rsid w:val="00AA05A3"/>
    <w:rsid w:val="00AA0704"/>
    <w:rsid w:val="00AA0B80"/>
    <w:rsid w:val="00AA0DD7"/>
    <w:rsid w:val="00AA0DF9"/>
    <w:rsid w:val="00AA0E55"/>
    <w:rsid w:val="00AA0F14"/>
    <w:rsid w:val="00AA134E"/>
    <w:rsid w:val="00AA15B0"/>
    <w:rsid w:val="00AA183D"/>
    <w:rsid w:val="00AA1B96"/>
    <w:rsid w:val="00AA2250"/>
    <w:rsid w:val="00AA3793"/>
    <w:rsid w:val="00AA3CEC"/>
    <w:rsid w:val="00AA48AE"/>
    <w:rsid w:val="00AA4A84"/>
    <w:rsid w:val="00AA56B7"/>
    <w:rsid w:val="00AA5E15"/>
    <w:rsid w:val="00AA6087"/>
    <w:rsid w:val="00AA60D6"/>
    <w:rsid w:val="00AA6781"/>
    <w:rsid w:val="00AA7A94"/>
    <w:rsid w:val="00AA7DE2"/>
    <w:rsid w:val="00AB0106"/>
    <w:rsid w:val="00AB019F"/>
    <w:rsid w:val="00AB1804"/>
    <w:rsid w:val="00AB24D7"/>
    <w:rsid w:val="00AB33EA"/>
    <w:rsid w:val="00AB33ED"/>
    <w:rsid w:val="00AB4D2E"/>
    <w:rsid w:val="00AB4D9F"/>
    <w:rsid w:val="00AB4F37"/>
    <w:rsid w:val="00AB59B8"/>
    <w:rsid w:val="00AB6068"/>
    <w:rsid w:val="00AB6D69"/>
    <w:rsid w:val="00AB74D6"/>
    <w:rsid w:val="00AC011F"/>
    <w:rsid w:val="00AC0128"/>
    <w:rsid w:val="00AC070A"/>
    <w:rsid w:val="00AC0D3B"/>
    <w:rsid w:val="00AC0ED8"/>
    <w:rsid w:val="00AC0F45"/>
    <w:rsid w:val="00AC1A25"/>
    <w:rsid w:val="00AC1B59"/>
    <w:rsid w:val="00AC388E"/>
    <w:rsid w:val="00AC465D"/>
    <w:rsid w:val="00AC4C21"/>
    <w:rsid w:val="00AC60EA"/>
    <w:rsid w:val="00AC662C"/>
    <w:rsid w:val="00AC7280"/>
    <w:rsid w:val="00AD0536"/>
    <w:rsid w:val="00AD054A"/>
    <w:rsid w:val="00AD062A"/>
    <w:rsid w:val="00AD1A79"/>
    <w:rsid w:val="00AD26A9"/>
    <w:rsid w:val="00AD2C45"/>
    <w:rsid w:val="00AD478E"/>
    <w:rsid w:val="00AD4B73"/>
    <w:rsid w:val="00AD5939"/>
    <w:rsid w:val="00AD6069"/>
    <w:rsid w:val="00AD642C"/>
    <w:rsid w:val="00AD782B"/>
    <w:rsid w:val="00AD7DCE"/>
    <w:rsid w:val="00AE08ED"/>
    <w:rsid w:val="00AE09D0"/>
    <w:rsid w:val="00AE16BE"/>
    <w:rsid w:val="00AE2B80"/>
    <w:rsid w:val="00AE31E9"/>
    <w:rsid w:val="00AE351C"/>
    <w:rsid w:val="00AE3F3B"/>
    <w:rsid w:val="00AE4F32"/>
    <w:rsid w:val="00AE5557"/>
    <w:rsid w:val="00AE5A99"/>
    <w:rsid w:val="00AE6F75"/>
    <w:rsid w:val="00AE775D"/>
    <w:rsid w:val="00AE792E"/>
    <w:rsid w:val="00AF0049"/>
    <w:rsid w:val="00AF06A5"/>
    <w:rsid w:val="00AF0778"/>
    <w:rsid w:val="00AF08CF"/>
    <w:rsid w:val="00AF0B1D"/>
    <w:rsid w:val="00AF16F0"/>
    <w:rsid w:val="00AF195A"/>
    <w:rsid w:val="00AF1D35"/>
    <w:rsid w:val="00AF3728"/>
    <w:rsid w:val="00AF3817"/>
    <w:rsid w:val="00AF3CC4"/>
    <w:rsid w:val="00AF4670"/>
    <w:rsid w:val="00AF4AEA"/>
    <w:rsid w:val="00AF6AC5"/>
    <w:rsid w:val="00AF6E04"/>
    <w:rsid w:val="00AF71A5"/>
    <w:rsid w:val="00AF741C"/>
    <w:rsid w:val="00AF7520"/>
    <w:rsid w:val="00B002BD"/>
    <w:rsid w:val="00B002D6"/>
    <w:rsid w:val="00B0216E"/>
    <w:rsid w:val="00B02A87"/>
    <w:rsid w:val="00B0318F"/>
    <w:rsid w:val="00B04AA5"/>
    <w:rsid w:val="00B04F5D"/>
    <w:rsid w:val="00B050A3"/>
    <w:rsid w:val="00B066A4"/>
    <w:rsid w:val="00B067F5"/>
    <w:rsid w:val="00B0691F"/>
    <w:rsid w:val="00B06BAF"/>
    <w:rsid w:val="00B075FD"/>
    <w:rsid w:val="00B0795E"/>
    <w:rsid w:val="00B07C4F"/>
    <w:rsid w:val="00B07D48"/>
    <w:rsid w:val="00B1039D"/>
    <w:rsid w:val="00B1046A"/>
    <w:rsid w:val="00B10836"/>
    <w:rsid w:val="00B109C9"/>
    <w:rsid w:val="00B11B2D"/>
    <w:rsid w:val="00B12790"/>
    <w:rsid w:val="00B12F6D"/>
    <w:rsid w:val="00B13D35"/>
    <w:rsid w:val="00B13DF7"/>
    <w:rsid w:val="00B13E31"/>
    <w:rsid w:val="00B14ABC"/>
    <w:rsid w:val="00B14FA9"/>
    <w:rsid w:val="00B162C4"/>
    <w:rsid w:val="00B162D6"/>
    <w:rsid w:val="00B1649B"/>
    <w:rsid w:val="00B16856"/>
    <w:rsid w:val="00B16E62"/>
    <w:rsid w:val="00B16EE0"/>
    <w:rsid w:val="00B170C8"/>
    <w:rsid w:val="00B178B6"/>
    <w:rsid w:val="00B20D71"/>
    <w:rsid w:val="00B21673"/>
    <w:rsid w:val="00B21FC8"/>
    <w:rsid w:val="00B22496"/>
    <w:rsid w:val="00B23724"/>
    <w:rsid w:val="00B23C59"/>
    <w:rsid w:val="00B25187"/>
    <w:rsid w:val="00B25E7B"/>
    <w:rsid w:val="00B26163"/>
    <w:rsid w:val="00B26D7C"/>
    <w:rsid w:val="00B272BA"/>
    <w:rsid w:val="00B27777"/>
    <w:rsid w:val="00B3013B"/>
    <w:rsid w:val="00B30B97"/>
    <w:rsid w:val="00B31257"/>
    <w:rsid w:val="00B313F4"/>
    <w:rsid w:val="00B328B4"/>
    <w:rsid w:val="00B32A8F"/>
    <w:rsid w:val="00B32C9C"/>
    <w:rsid w:val="00B335C3"/>
    <w:rsid w:val="00B339AD"/>
    <w:rsid w:val="00B33B77"/>
    <w:rsid w:val="00B34117"/>
    <w:rsid w:val="00B3477E"/>
    <w:rsid w:val="00B34AC5"/>
    <w:rsid w:val="00B34FC5"/>
    <w:rsid w:val="00B35BB6"/>
    <w:rsid w:val="00B35DC6"/>
    <w:rsid w:val="00B36718"/>
    <w:rsid w:val="00B37712"/>
    <w:rsid w:val="00B37B61"/>
    <w:rsid w:val="00B37F3B"/>
    <w:rsid w:val="00B4003A"/>
    <w:rsid w:val="00B40660"/>
    <w:rsid w:val="00B409C7"/>
    <w:rsid w:val="00B4113E"/>
    <w:rsid w:val="00B411C9"/>
    <w:rsid w:val="00B41D72"/>
    <w:rsid w:val="00B42256"/>
    <w:rsid w:val="00B433E0"/>
    <w:rsid w:val="00B434F1"/>
    <w:rsid w:val="00B43FC4"/>
    <w:rsid w:val="00B44EBB"/>
    <w:rsid w:val="00B454D4"/>
    <w:rsid w:val="00B458DB"/>
    <w:rsid w:val="00B46AFA"/>
    <w:rsid w:val="00B46B00"/>
    <w:rsid w:val="00B46D70"/>
    <w:rsid w:val="00B50CFD"/>
    <w:rsid w:val="00B51023"/>
    <w:rsid w:val="00B51407"/>
    <w:rsid w:val="00B51FA6"/>
    <w:rsid w:val="00B52019"/>
    <w:rsid w:val="00B52061"/>
    <w:rsid w:val="00B520B6"/>
    <w:rsid w:val="00B527FB"/>
    <w:rsid w:val="00B528DC"/>
    <w:rsid w:val="00B52C1C"/>
    <w:rsid w:val="00B55C1E"/>
    <w:rsid w:val="00B55D26"/>
    <w:rsid w:val="00B56A73"/>
    <w:rsid w:val="00B56CE8"/>
    <w:rsid w:val="00B577A0"/>
    <w:rsid w:val="00B600D3"/>
    <w:rsid w:val="00B6039C"/>
    <w:rsid w:val="00B60EFE"/>
    <w:rsid w:val="00B60FCC"/>
    <w:rsid w:val="00B61FF8"/>
    <w:rsid w:val="00B63413"/>
    <w:rsid w:val="00B63837"/>
    <w:rsid w:val="00B65679"/>
    <w:rsid w:val="00B65834"/>
    <w:rsid w:val="00B65FCD"/>
    <w:rsid w:val="00B66B2D"/>
    <w:rsid w:val="00B66B4D"/>
    <w:rsid w:val="00B6700B"/>
    <w:rsid w:val="00B67231"/>
    <w:rsid w:val="00B70070"/>
    <w:rsid w:val="00B70329"/>
    <w:rsid w:val="00B70813"/>
    <w:rsid w:val="00B715C8"/>
    <w:rsid w:val="00B71BE3"/>
    <w:rsid w:val="00B722C7"/>
    <w:rsid w:val="00B72409"/>
    <w:rsid w:val="00B73078"/>
    <w:rsid w:val="00B73322"/>
    <w:rsid w:val="00B73BE6"/>
    <w:rsid w:val="00B73F7D"/>
    <w:rsid w:val="00B75837"/>
    <w:rsid w:val="00B75872"/>
    <w:rsid w:val="00B77553"/>
    <w:rsid w:val="00B80D20"/>
    <w:rsid w:val="00B82ACE"/>
    <w:rsid w:val="00B82B93"/>
    <w:rsid w:val="00B83C11"/>
    <w:rsid w:val="00B84094"/>
    <w:rsid w:val="00B84D7D"/>
    <w:rsid w:val="00B864A2"/>
    <w:rsid w:val="00B87FDF"/>
    <w:rsid w:val="00B90A1D"/>
    <w:rsid w:val="00B90ADB"/>
    <w:rsid w:val="00B91F04"/>
    <w:rsid w:val="00B926FD"/>
    <w:rsid w:val="00B92DDC"/>
    <w:rsid w:val="00B94A07"/>
    <w:rsid w:val="00B95E6E"/>
    <w:rsid w:val="00B967ED"/>
    <w:rsid w:val="00B97C29"/>
    <w:rsid w:val="00BA0BA7"/>
    <w:rsid w:val="00BA0C82"/>
    <w:rsid w:val="00BA1A43"/>
    <w:rsid w:val="00BA252F"/>
    <w:rsid w:val="00BA27B2"/>
    <w:rsid w:val="00BA2D96"/>
    <w:rsid w:val="00BA3347"/>
    <w:rsid w:val="00BA3AF8"/>
    <w:rsid w:val="00BA5CAB"/>
    <w:rsid w:val="00BA69F2"/>
    <w:rsid w:val="00BA7517"/>
    <w:rsid w:val="00BA770C"/>
    <w:rsid w:val="00BB04C4"/>
    <w:rsid w:val="00BB187E"/>
    <w:rsid w:val="00BB1910"/>
    <w:rsid w:val="00BB1EE9"/>
    <w:rsid w:val="00BB25B9"/>
    <w:rsid w:val="00BB26E3"/>
    <w:rsid w:val="00BB2B21"/>
    <w:rsid w:val="00BB348D"/>
    <w:rsid w:val="00BB493B"/>
    <w:rsid w:val="00BB66CF"/>
    <w:rsid w:val="00BB6833"/>
    <w:rsid w:val="00BB68F0"/>
    <w:rsid w:val="00BB6E2C"/>
    <w:rsid w:val="00BB6E31"/>
    <w:rsid w:val="00BB787C"/>
    <w:rsid w:val="00BC0288"/>
    <w:rsid w:val="00BC035D"/>
    <w:rsid w:val="00BC05FC"/>
    <w:rsid w:val="00BC074F"/>
    <w:rsid w:val="00BC08A9"/>
    <w:rsid w:val="00BC098E"/>
    <w:rsid w:val="00BC0FCA"/>
    <w:rsid w:val="00BC15B0"/>
    <w:rsid w:val="00BC1AD7"/>
    <w:rsid w:val="00BC1E6B"/>
    <w:rsid w:val="00BC2D5F"/>
    <w:rsid w:val="00BC3944"/>
    <w:rsid w:val="00BC3A5E"/>
    <w:rsid w:val="00BC536B"/>
    <w:rsid w:val="00BC5E4D"/>
    <w:rsid w:val="00BC6C0A"/>
    <w:rsid w:val="00BC6CF5"/>
    <w:rsid w:val="00BC72A8"/>
    <w:rsid w:val="00BC7C8A"/>
    <w:rsid w:val="00BD195A"/>
    <w:rsid w:val="00BD1DE1"/>
    <w:rsid w:val="00BD2266"/>
    <w:rsid w:val="00BD35C2"/>
    <w:rsid w:val="00BD3BC7"/>
    <w:rsid w:val="00BD4129"/>
    <w:rsid w:val="00BD52D7"/>
    <w:rsid w:val="00BD5303"/>
    <w:rsid w:val="00BD5479"/>
    <w:rsid w:val="00BD5B96"/>
    <w:rsid w:val="00BD5EDE"/>
    <w:rsid w:val="00BD5FE2"/>
    <w:rsid w:val="00BD6384"/>
    <w:rsid w:val="00BD63C1"/>
    <w:rsid w:val="00BD63DC"/>
    <w:rsid w:val="00BD6C5D"/>
    <w:rsid w:val="00BD6DEC"/>
    <w:rsid w:val="00BD7031"/>
    <w:rsid w:val="00BD7384"/>
    <w:rsid w:val="00BD784D"/>
    <w:rsid w:val="00BD7AE8"/>
    <w:rsid w:val="00BE06C2"/>
    <w:rsid w:val="00BE07C4"/>
    <w:rsid w:val="00BE224F"/>
    <w:rsid w:val="00BE3312"/>
    <w:rsid w:val="00BE33BD"/>
    <w:rsid w:val="00BE33C4"/>
    <w:rsid w:val="00BE33F6"/>
    <w:rsid w:val="00BE3428"/>
    <w:rsid w:val="00BE3895"/>
    <w:rsid w:val="00BE4BB8"/>
    <w:rsid w:val="00BE518A"/>
    <w:rsid w:val="00BE623E"/>
    <w:rsid w:val="00BE70B0"/>
    <w:rsid w:val="00BE78AA"/>
    <w:rsid w:val="00BE7974"/>
    <w:rsid w:val="00BF0081"/>
    <w:rsid w:val="00BF10C0"/>
    <w:rsid w:val="00BF18DF"/>
    <w:rsid w:val="00BF1A36"/>
    <w:rsid w:val="00BF25A5"/>
    <w:rsid w:val="00BF2798"/>
    <w:rsid w:val="00BF34C1"/>
    <w:rsid w:val="00BF3B99"/>
    <w:rsid w:val="00BF3FAA"/>
    <w:rsid w:val="00BF4018"/>
    <w:rsid w:val="00BF49FF"/>
    <w:rsid w:val="00BF4E4F"/>
    <w:rsid w:val="00BF4F4D"/>
    <w:rsid w:val="00BF5D2A"/>
    <w:rsid w:val="00BF5E75"/>
    <w:rsid w:val="00BF5FF7"/>
    <w:rsid w:val="00BF6219"/>
    <w:rsid w:val="00BF63EB"/>
    <w:rsid w:val="00BF7605"/>
    <w:rsid w:val="00BF7EE8"/>
    <w:rsid w:val="00C00263"/>
    <w:rsid w:val="00C00A6B"/>
    <w:rsid w:val="00C00FC8"/>
    <w:rsid w:val="00C01E1E"/>
    <w:rsid w:val="00C0260C"/>
    <w:rsid w:val="00C035E8"/>
    <w:rsid w:val="00C04296"/>
    <w:rsid w:val="00C04464"/>
    <w:rsid w:val="00C04F83"/>
    <w:rsid w:val="00C05B9A"/>
    <w:rsid w:val="00C06222"/>
    <w:rsid w:val="00C0665A"/>
    <w:rsid w:val="00C067EE"/>
    <w:rsid w:val="00C06DFD"/>
    <w:rsid w:val="00C07657"/>
    <w:rsid w:val="00C07EFC"/>
    <w:rsid w:val="00C07FAE"/>
    <w:rsid w:val="00C10D25"/>
    <w:rsid w:val="00C11239"/>
    <w:rsid w:val="00C121F1"/>
    <w:rsid w:val="00C12BE4"/>
    <w:rsid w:val="00C136E9"/>
    <w:rsid w:val="00C14AD2"/>
    <w:rsid w:val="00C15A45"/>
    <w:rsid w:val="00C168CB"/>
    <w:rsid w:val="00C17737"/>
    <w:rsid w:val="00C2022A"/>
    <w:rsid w:val="00C20807"/>
    <w:rsid w:val="00C215BB"/>
    <w:rsid w:val="00C22281"/>
    <w:rsid w:val="00C23AA9"/>
    <w:rsid w:val="00C24334"/>
    <w:rsid w:val="00C24E4B"/>
    <w:rsid w:val="00C27B40"/>
    <w:rsid w:val="00C27BEF"/>
    <w:rsid w:val="00C27E50"/>
    <w:rsid w:val="00C30810"/>
    <w:rsid w:val="00C312A3"/>
    <w:rsid w:val="00C31B94"/>
    <w:rsid w:val="00C31E76"/>
    <w:rsid w:val="00C31FF5"/>
    <w:rsid w:val="00C336B4"/>
    <w:rsid w:val="00C339D6"/>
    <w:rsid w:val="00C33C45"/>
    <w:rsid w:val="00C345FA"/>
    <w:rsid w:val="00C353A5"/>
    <w:rsid w:val="00C35B94"/>
    <w:rsid w:val="00C36209"/>
    <w:rsid w:val="00C364B8"/>
    <w:rsid w:val="00C36AE3"/>
    <w:rsid w:val="00C36F6A"/>
    <w:rsid w:val="00C378BE"/>
    <w:rsid w:val="00C40DEE"/>
    <w:rsid w:val="00C4107D"/>
    <w:rsid w:val="00C4196B"/>
    <w:rsid w:val="00C41C5D"/>
    <w:rsid w:val="00C422D9"/>
    <w:rsid w:val="00C42608"/>
    <w:rsid w:val="00C428B1"/>
    <w:rsid w:val="00C42E72"/>
    <w:rsid w:val="00C43AA9"/>
    <w:rsid w:val="00C440C4"/>
    <w:rsid w:val="00C4445B"/>
    <w:rsid w:val="00C44D8D"/>
    <w:rsid w:val="00C46325"/>
    <w:rsid w:val="00C47A0B"/>
    <w:rsid w:val="00C47B3B"/>
    <w:rsid w:val="00C47D53"/>
    <w:rsid w:val="00C50C7C"/>
    <w:rsid w:val="00C5118B"/>
    <w:rsid w:val="00C5131E"/>
    <w:rsid w:val="00C5204E"/>
    <w:rsid w:val="00C52B09"/>
    <w:rsid w:val="00C53ED6"/>
    <w:rsid w:val="00C546E4"/>
    <w:rsid w:val="00C54AD9"/>
    <w:rsid w:val="00C54B0C"/>
    <w:rsid w:val="00C54E42"/>
    <w:rsid w:val="00C550AA"/>
    <w:rsid w:val="00C5526E"/>
    <w:rsid w:val="00C558C9"/>
    <w:rsid w:val="00C55D7C"/>
    <w:rsid w:val="00C566DB"/>
    <w:rsid w:val="00C5696A"/>
    <w:rsid w:val="00C574AF"/>
    <w:rsid w:val="00C57564"/>
    <w:rsid w:val="00C5757A"/>
    <w:rsid w:val="00C57E0B"/>
    <w:rsid w:val="00C60303"/>
    <w:rsid w:val="00C60A33"/>
    <w:rsid w:val="00C60CEA"/>
    <w:rsid w:val="00C61106"/>
    <w:rsid w:val="00C615E8"/>
    <w:rsid w:val="00C63306"/>
    <w:rsid w:val="00C63564"/>
    <w:rsid w:val="00C65627"/>
    <w:rsid w:val="00C656CF"/>
    <w:rsid w:val="00C657DE"/>
    <w:rsid w:val="00C65CFB"/>
    <w:rsid w:val="00C65FEB"/>
    <w:rsid w:val="00C661C8"/>
    <w:rsid w:val="00C67517"/>
    <w:rsid w:val="00C67664"/>
    <w:rsid w:val="00C71724"/>
    <w:rsid w:val="00C7197A"/>
    <w:rsid w:val="00C71C08"/>
    <w:rsid w:val="00C71CB4"/>
    <w:rsid w:val="00C7207F"/>
    <w:rsid w:val="00C720EA"/>
    <w:rsid w:val="00C72293"/>
    <w:rsid w:val="00C7277E"/>
    <w:rsid w:val="00C73928"/>
    <w:rsid w:val="00C73C3A"/>
    <w:rsid w:val="00C73EA8"/>
    <w:rsid w:val="00C73FE4"/>
    <w:rsid w:val="00C741C4"/>
    <w:rsid w:val="00C7468B"/>
    <w:rsid w:val="00C75950"/>
    <w:rsid w:val="00C76809"/>
    <w:rsid w:val="00C7680C"/>
    <w:rsid w:val="00C76FF1"/>
    <w:rsid w:val="00C80CBA"/>
    <w:rsid w:val="00C8150E"/>
    <w:rsid w:val="00C82173"/>
    <w:rsid w:val="00C82F8C"/>
    <w:rsid w:val="00C8333A"/>
    <w:rsid w:val="00C83D0D"/>
    <w:rsid w:val="00C84BF2"/>
    <w:rsid w:val="00C8515A"/>
    <w:rsid w:val="00C85710"/>
    <w:rsid w:val="00C86814"/>
    <w:rsid w:val="00C86CB6"/>
    <w:rsid w:val="00C870BA"/>
    <w:rsid w:val="00C8745C"/>
    <w:rsid w:val="00C87494"/>
    <w:rsid w:val="00C90A1C"/>
    <w:rsid w:val="00C90C6D"/>
    <w:rsid w:val="00C90D90"/>
    <w:rsid w:val="00C911F2"/>
    <w:rsid w:val="00C91936"/>
    <w:rsid w:val="00C934E0"/>
    <w:rsid w:val="00C93723"/>
    <w:rsid w:val="00C93AB8"/>
    <w:rsid w:val="00C93C7C"/>
    <w:rsid w:val="00C93CF7"/>
    <w:rsid w:val="00C9460C"/>
    <w:rsid w:val="00C9484B"/>
    <w:rsid w:val="00C94935"/>
    <w:rsid w:val="00C94B63"/>
    <w:rsid w:val="00C953CF"/>
    <w:rsid w:val="00C95A9A"/>
    <w:rsid w:val="00C95AA2"/>
    <w:rsid w:val="00C95FC3"/>
    <w:rsid w:val="00C97643"/>
    <w:rsid w:val="00C978F2"/>
    <w:rsid w:val="00CA0093"/>
    <w:rsid w:val="00CA00B3"/>
    <w:rsid w:val="00CA048A"/>
    <w:rsid w:val="00CA0DFA"/>
    <w:rsid w:val="00CA1219"/>
    <w:rsid w:val="00CA1D06"/>
    <w:rsid w:val="00CA1ECD"/>
    <w:rsid w:val="00CA223B"/>
    <w:rsid w:val="00CA2322"/>
    <w:rsid w:val="00CA3E6C"/>
    <w:rsid w:val="00CA5018"/>
    <w:rsid w:val="00CA52E2"/>
    <w:rsid w:val="00CA5B8E"/>
    <w:rsid w:val="00CA71F4"/>
    <w:rsid w:val="00CA76CD"/>
    <w:rsid w:val="00CA77F3"/>
    <w:rsid w:val="00CB051C"/>
    <w:rsid w:val="00CB1232"/>
    <w:rsid w:val="00CB1808"/>
    <w:rsid w:val="00CB30FE"/>
    <w:rsid w:val="00CB3C65"/>
    <w:rsid w:val="00CB4561"/>
    <w:rsid w:val="00CB45CB"/>
    <w:rsid w:val="00CB6240"/>
    <w:rsid w:val="00CB6434"/>
    <w:rsid w:val="00CB6E47"/>
    <w:rsid w:val="00CB79F2"/>
    <w:rsid w:val="00CC0907"/>
    <w:rsid w:val="00CC12A7"/>
    <w:rsid w:val="00CC1BD3"/>
    <w:rsid w:val="00CC1D53"/>
    <w:rsid w:val="00CC1FE6"/>
    <w:rsid w:val="00CC24E6"/>
    <w:rsid w:val="00CC387D"/>
    <w:rsid w:val="00CC3CB7"/>
    <w:rsid w:val="00CC4B54"/>
    <w:rsid w:val="00CC65BD"/>
    <w:rsid w:val="00CC66E0"/>
    <w:rsid w:val="00CC6A86"/>
    <w:rsid w:val="00CC6E44"/>
    <w:rsid w:val="00CD0669"/>
    <w:rsid w:val="00CD0852"/>
    <w:rsid w:val="00CD1290"/>
    <w:rsid w:val="00CD1C9D"/>
    <w:rsid w:val="00CD1D42"/>
    <w:rsid w:val="00CD2117"/>
    <w:rsid w:val="00CD4491"/>
    <w:rsid w:val="00CD5C87"/>
    <w:rsid w:val="00CD620D"/>
    <w:rsid w:val="00CD6DC6"/>
    <w:rsid w:val="00CD7081"/>
    <w:rsid w:val="00CD7A15"/>
    <w:rsid w:val="00CD7F1E"/>
    <w:rsid w:val="00CE09C2"/>
    <w:rsid w:val="00CE0AF6"/>
    <w:rsid w:val="00CE0FFC"/>
    <w:rsid w:val="00CE1FCE"/>
    <w:rsid w:val="00CE28A5"/>
    <w:rsid w:val="00CE2A9E"/>
    <w:rsid w:val="00CE508B"/>
    <w:rsid w:val="00CE7D25"/>
    <w:rsid w:val="00CE7F57"/>
    <w:rsid w:val="00CF0560"/>
    <w:rsid w:val="00CF0AF3"/>
    <w:rsid w:val="00CF1379"/>
    <w:rsid w:val="00CF2046"/>
    <w:rsid w:val="00CF2534"/>
    <w:rsid w:val="00CF350D"/>
    <w:rsid w:val="00CF4245"/>
    <w:rsid w:val="00CF5415"/>
    <w:rsid w:val="00CF56D8"/>
    <w:rsid w:val="00CF592B"/>
    <w:rsid w:val="00CF6C75"/>
    <w:rsid w:val="00D004A5"/>
    <w:rsid w:val="00D00787"/>
    <w:rsid w:val="00D00E00"/>
    <w:rsid w:val="00D010EF"/>
    <w:rsid w:val="00D012C4"/>
    <w:rsid w:val="00D012E4"/>
    <w:rsid w:val="00D02655"/>
    <w:rsid w:val="00D02A51"/>
    <w:rsid w:val="00D03FB9"/>
    <w:rsid w:val="00D04323"/>
    <w:rsid w:val="00D04407"/>
    <w:rsid w:val="00D047AF"/>
    <w:rsid w:val="00D048A6"/>
    <w:rsid w:val="00D10343"/>
    <w:rsid w:val="00D10E60"/>
    <w:rsid w:val="00D12352"/>
    <w:rsid w:val="00D12ADA"/>
    <w:rsid w:val="00D13137"/>
    <w:rsid w:val="00D1462B"/>
    <w:rsid w:val="00D151E3"/>
    <w:rsid w:val="00D15A1A"/>
    <w:rsid w:val="00D15AC6"/>
    <w:rsid w:val="00D163FA"/>
    <w:rsid w:val="00D165A6"/>
    <w:rsid w:val="00D169E7"/>
    <w:rsid w:val="00D20A0A"/>
    <w:rsid w:val="00D22908"/>
    <w:rsid w:val="00D22C33"/>
    <w:rsid w:val="00D235CA"/>
    <w:rsid w:val="00D2500F"/>
    <w:rsid w:val="00D25EAB"/>
    <w:rsid w:val="00D266D7"/>
    <w:rsid w:val="00D27790"/>
    <w:rsid w:val="00D3036B"/>
    <w:rsid w:val="00D30722"/>
    <w:rsid w:val="00D3153A"/>
    <w:rsid w:val="00D320EB"/>
    <w:rsid w:val="00D322C5"/>
    <w:rsid w:val="00D32C0A"/>
    <w:rsid w:val="00D32E26"/>
    <w:rsid w:val="00D33032"/>
    <w:rsid w:val="00D33214"/>
    <w:rsid w:val="00D346D2"/>
    <w:rsid w:val="00D34FB0"/>
    <w:rsid w:val="00D35396"/>
    <w:rsid w:val="00D36907"/>
    <w:rsid w:val="00D37411"/>
    <w:rsid w:val="00D37853"/>
    <w:rsid w:val="00D37E1F"/>
    <w:rsid w:val="00D40FFD"/>
    <w:rsid w:val="00D419B9"/>
    <w:rsid w:val="00D41A4D"/>
    <w:rsid w:val="00D42C14"/>
    <w:rsid w:val="00D42CEC"/>
    <w:rsid w:val="00D437BD"/>
    <w:rsid w:val="00D43A87"/>
    <w:rsid w:val="00D43CC9"/>
    <w:rsid w:val="00D43D7A"/>
    <w:rsid w:val="00D44776"/>
    <w:rsid w:val="00D44C47"/>
    <w:rsid w:val="00D451EE"/>
    <w:rsid w:val="00D46135"/>
    <w:rsid w:val="00D464C7"/>
    <w:rsid w:val="00D46F5D"/>
    <w:rsid w:val="00D47165"/>
    <w:rsid w:val="00D4762E"/>
    <w:rsid w:val="00D479EA"/>
    <w:rsid w:val="00D50EA9"/>
    <w:rsid w:val="00D51395"/>
    <w:rsid w:val="00D51606"/>
    <w:rsid w:val="00D530A3"/>
    <w:rsid w:val="00D5370A"/>
    <w:rsid w:val="00D54211"/>
    <w:rsid w:val="00D54ADC"/>
    <w:rsid w:val="00D56111"/>
    <w:rsid w:val="00D57AE1"/>
    <w:rsid w:val="00D600FC"/>
    <w:rsid w:val="00D60793"/>
    <w:rsid w:val="00D60943"/>
    <w:rsid w:val="00D60D76"/>
    <w:rsid w:val="00D610D7"/>
    <w:rsid w:val="00D631ED"/>
    <w:rsid w:val="00D632F7"/>
    <w:rsid w:val="00D63CA7"/>
    <w:rsid w:val="00D63CDA"/>
    <w:rsid w:val="00D63D00"/>
    <w:rsid w:val="00D6420E"/>
    <w:rsid w:val="00D64268"/>
    <w:rsid w:val="00D657FA"/>
    <w:rsid w:val="00D6605B"/>
    <w:rsid w:val="00D66F0C"/>
    <w:rsid w:val="00D67686"/>
    <w:rsid w:val="00D6779E"/>
    <w:rsid w:val="00D67900"/>
    <w:rsid w:val="00D67E53"/>
    <w:rsid w:val="00D7008B"/>
    <w:rsid w:val="00D71AFB"/>
    <w:rsid w:val="00D71BDB"/>
    <w:rsid w:val="00D722D1"/>
    <w:rsid w:val="00D723F5"/>
    <w:rsid w:val="00D74054"/>
    <w:rsid w:val="00D7485D"/>
    <w:rsid w:val="00D75756"/>
    <w:rsid w:val="00D7739E"/>
    <w:rsid w:val="00D773F8"/>
    <w:rsid w:val="00D80B4A"/>
    <w:rsid w:val="00D81349"/>
    <w:rsid w:val="00D820B5"/>
    <w:rsid w:val="00D82842"/>
    <w:rsid w:val="00D846AB"/>
    <w:rsid w:val="00D84CC3"/>
    <w:rsid w:val="00D860CE"/>
    <w:rsid w:val="00D86818"/>
    <w:rsid w:val="00D86B9A"/>
    <w:rsid w:val="00D870B3"/>
    <w:rsid w:val="00D87BF2"/>
    <w:rsid w:val="00D87C2E"/>
    <w:rsid w:val="00D90512"/>
    <w:rsid w:val="00D90DD9"/>
    <w:rsid w:val="00D916BD"/>
    <w:rsid w:val="00D92620"/>
    <w:rsid w:val="00D92C94"/>
    <w:rsid w:val="00D93A43"/>
    <w:rsid w:val="00D93BA5"/>
    <w:rsid w:val="00D93F82"/>
    <w:rsid w:val="00D94946"/>
    <w:rsid w:val="00D94DD6"/>
    <w:rsid w:val="00D94FA6"/>
    <w:rsid w:val="00D95120"/>
    <w:rsid w:val="00D95723"/>
    <w:rsid w:val="00D9599B"/>
    <w:rsid w:val="00D95DC2"/>
    <w:rsid w:val="00D95E1F"/>
    <w:rsid w:val="00D96351"/>
    <w:rsid w:val="00D965B0"/>
    <w:rsid w:val="00D96BD5"/>
    <w:rsid w:val="00DA0264"/>
    <w:rsid w:val="00DA0381"/>
    <w:rsid w:val="00DA1371"/>
    <w:rsid w:val="00DA20FA"/>
    <w:rsid w:val="00DA29DF"/>
    <w:rsid w:val="00DA3BEE"/>
    <w:rsid w:val="00DA3E7A"/>
    <w:rsid w:val="00DA4769"/>
    <w:rsid w:val="00DA4F99"/>
    <w:rsid w:val="00DA5C5D"/>
    <w:rsid w:val="00DA60E1"/>
    <w:rsid w:val="00DA654E"/>
    <w:rsid w:val="00DA6963"/>
    <w:rsid w:val="00DA6CD3"/>
    <w:rsid w:val="00DA70F1"/>
    <w:rsid w:val="00DB0292"/>
    <w:rsid w:val="00DB02F6"/>
    <w:rsid w:val="00DB07DB"/>
    <w:rsid w:val="00DB07FD"/>
    <w:rsid w:val="00DB0BFB"/>
    <w:rsid w:val="00DB1C39"/>
    <w:rsid w:val="00DB1F6C"/>
    <w:rsid w:val="00DB2776"/>
    <w:rsid w:val="00DB2E1B"/>
    <w:rsid w:val="00DB5896"/>
    <w:rsid w:val="00DB5FE6"/>
    <w:rsid w:val="00DB708A"/>
    <w:rsid w:val="00DB7DAB"/>
    <w:rsid w:val="00DC047B"/>
    <w:rsid w:val="00DC0ED8"/>
    <w:rsid w:val="00DC1C18"/>
    <w:rsid w:val="00DC2115"/>
    <w:rsid w:val="00DC2847"/>
    <w:rsid w:val="00DC36FC"/>
    <w:rsid w:val="00DC52F6"/>
    <w:rsid w:val="00DC582E"/>
    <w:rsid w:val="00DC5E70"/>
    <w:rsid w:val="00DC5FB5"/>
    <w:rsid w:val="00DC6011"/>
    <w:rsid w:val="00DC6366"/>
    <w:rsid w:val="00DC652D"/>
    <w:rsid w:val="00DC6B37"/>
    <w:rsid w:val="00DC6C5C"/>
    <w:rsid w:val="00DC704F"/>
    <w:rsid w:val="00DC7253"/>
    <w:rsid w:val="00DC736F"/>
    <w:rsid w:val="00DC7450"/>
    <w:rsid w:val="00DD0072"/>
    <w:rsid w:val="00DD0319"/>
    <w:rsid w:val="00DD0B72"/>
    <w:rsid w:val="00DD0EFA"/>
    <w:rsid w:val="00DD101B"/>
    <w:rsid w:val="00DD1A44"/>
    <w:rsid w:val="00DD3709"/>
    <w:rsid w:val="00DD3C61"/>
    <w:rsid w:val="00DD3EBF"/>
    <w:rsid w:val="00DD3F23"/>
    <w:rsid w:val="00DD6596"/>
    <w:rsid w:val="00DD69A5"/>
    <w:rsid w:val="00DD7F8F"/>
    <w:rsid w:val="00DE01B4"/>
    <w:rsid w:val="00DE07D5"/>
    <w:rsid w:val="00DE087A"/>
    <w:rsid w:val="00DE08BD"/>
    <w:rsid w:val="00DE20C9"/>
    <w:rsid w:val="00DE2126"/>
    <w:rsid w:val="00DE2FA0"/>
    <w:rsid w:val="00DE3105"/>
    <w:rsid w:val="00DE3D05"/>
    <w:rsid w:val="00DE3F2A"/>
    <w:rsid w:val="00DE4F40"/>
    <w:rsid w:val="00DE5122"/>
    <w:rsid w:val="00DE521F"/>
    <w:rsid w:val="00DE5378"/>
    <w:rsid w:val="00DE6BFA"/>
    <w:rsid w:val="00DE7134"/>
    <w:rsid w:val="00DE74EB"/>
    <w:rsid w:val="00DF08DB"/>
    <w:rsid w:val="00DF0C46"/>
    <w:rsid w:val="00DF101C"/>
    <w:rsid w:val="00DF2515"/>
    <w:rsid w:val="00DF3257"/>
    <w:rsid w:val="00DF35D3"/>
    <w:rsid w:val="00DF4EED"/>
    <w:rsid w:val="00DF5AF6"/>
    <w:rsid w:val="00DF60EE"/>
    <w:rsid w:val="00DF629F"/>
    <w:rsid w:val="00DF6941"/>
    <w:rsid w:val="00DF6B83"/>
    <w:rsid w:val="00DF7444"/>
    <w:rsid w:val="00DF74D9"/>
    <w:rsid w:val="00DF7943"/>
    <w:rsid w:val="00E00A7C"/>
    <w:rsid w:val="00E0368E"/>
    <w:rsid w:val="00E041CB"/>
    <w:rsid w:val="00E04A10"/>
    <w:rsid w:val="00E057CE"/>
    <w:rsid w:val="00E05C94"/>
    <w:rsid w:val="00E05EEA"/>
    <w:rsid w:val="00E07286"/>
    <w:rsid w:val="00E07586"/>
    <w:rsid w:val="00E076A6"/>
    <w:rsid w:val="00E11685"/>
    <w:rsid w:val="00E116C0"/>
    <w:rsid w:val="00E1171A"/>
    <w:rsid w:val="00E12215"/>
    <w:rsid w:val="00E124C4"/>
    <w:rsid w:val="00E12BD6"/>
    <w:rsid w:val="00E12C29"/>
    <w:rsid w:val="00E13692"/>
    <w:rsid w:val="00E13B91"/>
    <w:rsid w:val="00E14141"/>
    <w:rsid w:val="00E1448A"/>
    <w:rsid w:val="00E14EF0"/>
    <w:rsid w:val="00E14F91"/>
    <w:rsid w:val="00E15591"/>
    <w:rsid w:val="00E15741"/>
    <w:rsid w:val="00E158D4"/>
    <w:rsid w:val="00E15CA5"/>
    <w:rsid w:val="00E15D53"/>
    <w:rsid w:val="00E16F09"/>
    <w:rsid w:val="00E17038"/>
    <w:rsid w:val="00E17865"/>
    <w:rsid w:val="00E17DE7"/>
    <w:rsid w:val="00E204ED"/>
    <w:rsid w:val="00E21030"/>
    <w:rsid w:val="00E21FE7"/>
    <w:rsid w:val="00E2247C"/>
    <w:rsid w:val="00E23249"/>
    <w:rsid w:val="00E235B6"/>
    <w:rsid w:val="00E23C8C"/>
    <w:rsid w:val="00E2504B"/>
    <w:rsid w:val="00E2542C"/>
    <w:rsid w:val="00E256F8"/>
    <w:rsid w:val="00E25700"/>
    <w:rsid w:val="00E26198"/>
    <w:rsid w:val="00E269C1"/>
    <w:rsid w:val="00E26AB9"/>
    <w:rsid w:val="00E26EC4"/>
    <w:rsid w:val="00E27CB5"/>
    <w:rsid w:val="00E30D4B"/>
    <w:rsid w:val="00E312A7"/>
    <w:rsid w:val="00E32CFF"/>
    <w:rsid w:val="00E3348E"/>
    <w:rsid w:val="00E3484C"/>
    <w:rsid w:val="00E3517C"/>
    <w:rsid w:val="00E3636B"/>
    <w:rsid w:val="00E4288F"/>
    <w:rsid w:val="00E4294A"/>
    <w:rsid w:val="00E4314D"/>
    <w:rsid w:val="00E43B70"/>
    <w:rsid w:val="00E4421D"/>
    <w:rsid w:val="00E44910"/>
    <w:rsid w:val="00E44C48"/>
    <w:rsid w:val="00E4554C"/>
    <w:rsid w:val="00E4565B"/>
    <w:rsid w:val="00E4569A"/>
    <w:rsid w:val="00E467ED"/>
    <w:rsid w:val="00E46F5D"/>
    <w:rsid w:val="00E4764B"/>
    <w:rsid w:val="00E47FE1"/>
    <w:rsid w:val="00E50061"/>
    <w:rsid w:val="00E507A4"/>
    <w:rsid w:val="00E509F4"/>
    <w:rsid w:val="00E50EC2"/>
    <w:rsid w:val="00E51FA9"/>
    <w:rsid w:val="00E528C5"/>
    <w:rsid w:val="00E5347A"/>
    <w:rsid w:val="00E54AAA"/>
    <w:rsid w:val="00E55AFE"/>
    <w:rsid w:val="00E56D10"/>
    <w:rsid w:val="00E574F4"/>
    <w:rsid w:val="00E57628"/>
    <w:rsid w:val="00E577DF"/>
    <w:rsid w:val="00E602A1"/>
    <w:rsid w:val="00E60A55"/>
    <w:rsid w:val="00E62414"/>
    <w:rsid w:val="00E62FC1"/>
    <w:rsid w:val="00E63AC0"/>
    <w:rsid w:val="00E63CC2"/>
    <w:rsid w:val="00E64A8F"/>
    <w:rsid w:val="00E652E8"/>
    <w:rsid w:val="00E65CDA"/>
    <w:rsid w:val="00E65DA4"/>
    <w:rsid w:val="00E67357"/>
    <w:rsid w:val="00E701FF"/>
    <w:rsid w:val="00E705A2"/>
    <w:rsid w:val="00E711E3"/>
    <w:rsid w:val="00E71320"/>
    <w:rsid w:val="00E71E67"/>
    <w:rsid w:val="00E720FB"/>
    <w:rsid w:val="00E729A4"/>
    <w:rsid w:val="00E72E9A"/>
    <w:rsid w:val="00E7466D"/>
    <w:rsid w:val="00E74E4A"/>
    <w:rsid w:val="00E757D4"/>
    <w:rsid w:val="00E75979"/>
    <w:rsid w:val="00E76053"/>
    <w:rsid w:val="00E761BB"/>
    <w:rsid w:val="00E76696"/>
    <w:rsid w:val="00E767A2"/>
    <w:rsid w:val="00E76C07"/>
    <w:rsid w:val="00E76DBF"/>
    <w:rsid w:val="00E7726F"/>
    <w:rsid w:val="00E81621"/>
    <w:rsid w:val="00E81775"/>
    <w:rsid w:val="00E82724"/>
    <w:rsid w:val="00E8368F"/>
    <w:rsid w:val="00E83B39"/>
    <w:rsid w:val="00E84608"/>
    <w:rsid w:val="00E849C5"/>
    <w:rsid w:val="00E84F5B"/>
    <w:rsid w:val="00E8568A"/>
    <w:rsid w:val="00E85DEC"/>
    <w:rsid w:val="00E868D7"/>
    <w:rsid w:val="00E878F2"/>
    <w:rsid w:val="00E87D0D"/>
    <w:rsid w:val="00E90BDA"/>
    <w:rsid w:val="00E90C6B"/>
    <w:rsid w:val="00E918DB"/>
    <w:rsid w:val="00E919A5"/>
    <w:rsid w:val="00E91A20"/>
    <w:rsid w:val="00E91B8E"/>
    <w:rsid w:val="00E921C7"/>
    <w:rsid w:val="00E93654"/>
    <w:rsid w:val="00E938C7"/>
    <w:rsid w:val="00E93902"/>
    <w:rsid w:val="00E94318"/>
    <w:rsid w:val="00E952F3"/>
    <w:rsid w:val="00E96267"/>
    <w:rsid w:val="00E96D5D"/>
    <w:rsid w:val="00E977C3"/>
    <w:rsid w:val="00E97CCC"/>
    <w:rsid w:val="00EA00E0"/>
    <w:rsid w:val="00EA0550"/>
    <w:rsid w:val="00EA0934"/>
    <w:rsid w:val="00EA0D02"/>
    <w:rsid w:val="00EA145E"/>
    <w:rsid w:val="00EA25F6"/>
    <w:rsid w:val="00EA26A7"/>
    <w:rsid w:val="00EA27D3"/>
    <w:rsid w:val="00EA280D"/>
    <w:rsid w:val="00EA3BDE"/>
    <w:rsid w:val="00EA5BCD"/>
    <w:rsid w:val="00EA5E69"/>
    <w:rsid w:val="00EA61B1"/>
    <w:rsid w:val="00EA66AB"/>
    <w:rsid w:val="00EA66F3"/>
    <w:rsid w:val="00EA6AA6"/>
    <w:rsid w:val="00EA6E38"/>
    <w:rsid w:val="00EA6E67"/>
    <w:rsid w:val="00EA6E88"/>
    <w:rsid w:val="00EA6EFB"/>
    <w:rsid w:val="00EA7C0B"/>
    <w:rsid w:val="00EB02E4"/>
    <w:rsid w:val="00EB0BE7"/>
    <w:rsid w:val="00EB0CB6"/>
    <w:rsid w:val="00EB146F"/>
    <w:rsid w:val="00EB2618"/>
    <w:rsid w:val="00EB2AED"/>
    <w:rsid w:val="00EB37EF"/>
    <w:rsid w:val="00EB38A9"/>
    <w:rsid w:val="00EB3A68"/>
    <w:rsid w:val="00EB50FF"/>
    <w:rsid w:val="00EB59A6"/>
    <w:rsid w:val="00EC1DCF"/>
    <w:rsid w:val="00EC36AB"/>
    <w:rsid w:val="00EC4806"/>
    <w:rsid w:val="00EC49B2"/>
    <w:rsid w:val="00EC50E4"/>
    <w:rsid w:val="00EC5513"/>
    <w:rsid w:val="00EC554B"/>
    <w:rsid w:val="00EC5630"/>
    <w:rsid w:val="00EC5901"/>
    <w:rsid w:val="00EC6CCA"/>
    <w:rsid w:val="00EC7271"/>
    <w:rsid w:val="00ED1044"/>
    <w:rsid w:val="00ED115F"/>
    <w:rsid w:val="00ED192A"/>
    <w:rsid w:val="00ED1B56"/>
    <w:rsid w:val="00ED1DBE"/>
    <w:rsid w:val="00ED205E"/>
    <w:rsid w:val="00ED2FB6"/>
    <w:rsid w:val="00ED3286"/>
    <w:rsid w:val="00ED3A17"/>
    <w:rsid w:val="00ED573E"/>
    <w:rsid w:val="00ED5E7B"/>
    <w:rsid w:val="00ED5F93"/>
    <w:rsid w:val="00ED7675"/>
    <w:rsid w:val="00ED7B2F"/>
    <w:rsid w:val="00ED7E80"/>
    <w:rsid w:val="00EE04FF"/>
    <w:rsid w:val="00EE0CD6"/>
    <w:rsid w:val="00EE3402"/>
    <w:rsid w:val="00EE39A0"/>
    <w:rsid w:val="00EE43C8"/>
    <w:rsid w:val="00EE4FCD"/>
    <w:rsid w:val="00EE5B82"/>
    <w:rsid w:val="00EE5F16"/>
    <w:rsid w:val="00EE5F91"/>
    <w:rsid w:val="00EE6AFB"/>
    <w:rsid w:val="00EE6D3A"/>
    <w:rsid w:val="00EE7731"/>
    <w:rsid w:val="00EE789A"/>
    <w:rsid w:val="00EE7AF3"/>
    <w:rsid w:val="00EE7BA3"/>
    <w:rsid w:val="00EF003F"/>
    <w:rsid w:val="00EF0309"/>
    <w:rsid w:val="00EF034C"/>
    <w:rsid w:val="00EF035C"/>
    <w:rsid w:val="00EF0705"/>
    <w:rsid w:val="00EF169A"/>
    <w:rsid w:val="00EF17EF"/>
    <w:rsid w:val="00EF4483"/>
    <w:rsid w:val="00EF479D"/>
    <w:rsid w:val="00EF4D9D"/>
    <w:rsid w:val="00EF55CA"/>
    <w:rsid w:val="00EF55CC"/>
    <w:rsid w:val="00EF5AEE"/>
    <w:rsid w:val="00EF6120"/>
    <w:rsid w:val="00EF625C"/>
    <w:rsid w:val="00EF7921"/>
    <w:rsid w:val="00EF7CA8"/>
    <w:rsid w:val="00F004FC"/>
    <w:rsid w:val="00F0165E"/>
    <w:rsid w:val="00F01C62"/>
    <w:rsid w:val="00F02946"/>
    <w:rsid w:val="00F02F36"/>
    <w:rsid w:val="00F02FA5"/>
    <w:rsid w:val="00F030BF"/>
    <w:rsid w:val="00F032C9"/>
    <w:rsid w:val="00F03AA1"/>
    <w:rsid w:val="00F04BDC"/>
    <w:rsid w:val="00F05482"/>
    <w:rsid w:val="00F05E53"/>
    <w:rsid w:val="00F05E88"/>
    <w:rsid w:val="00F06406"/>
    <w:rsid w:val="00F06687"/>
    <w:rsid w:val="00F0671D"/>
    <w:rsid w:val="00F06764"/>
    <w:rsid w:val="00F06B35"/>
    <w:rsid w:val="00F071B9"/>
    <w:rsid w:val="00F074CC"/>
    <w:rsid w:val="00F074F7"/>
    <w:rsid w:val="00F0783B"/>
    <w:rsid w:val="00F0788F"/>
    <w:rsid w:val="00F103FC"/>
    <w:rsid w:val="00F1113E"/>
    <w:rsid w:val="00F113FF"/>
    <w:rsid w:val="00F11B56"/>
    <w:rsid w:val="00F124A2"/>
    <w:rsid w:val="00F12903"/>
    <w:rsid w:val="00F130CA"/>
    <w:rsid w:val="00F1438C"/>
    <w:rsid w:val="00F14E7E"/>
    <w:rsid w:val="00F15824"/>
    <w:rsid w:val="00F15F3C"/>
    <w:rsid w:val="00F1670C"/>
    <w:rsid w:val="00F17737"/>
    <w:rsid w:val="00F20541"/>
    <w:rsid w:val="00F207B4"/>
    <w:rsid w:val="00F20822"/>
    <w:rsid w:val="00F20841"/>
    <w:rsid w:val="00F22BAE"/>
    <w:rsid w:val="00F23E4B"/>
    <w:rsid w:val="00F23EC7"/>
    <w:rsid w:val="00F24518"/>
    <w:rsid w:val="00F25175"/>
    <w:rsid w:val="00F251F8"/>
    <w:rsid w:val="00F2583B"/>
    <w:rsid w:val="00F25A33"/>
    <w:rsid w:val="00F25B57"/>
    <w:rsid w:val="00F2656D"/>
    <w:rsid w:val="00F2674D"/>
    <w:rsid w:val="00F27537"/>
    <w:rsid w:val="00F27669"/>
    <w:rsid w:val="00F301F8"/>
    <w:rsid w:val="00F30914"/>
    <w:rsid w:val="00F3225D"/>
    <w:rsid w:val="00F32CFC"/>
    <w:rsid w:val="00F33A52"/>
    <w:rsid w:val="00F34D00"/>
    <w:rsid w:val="00F3527B"/>
    <w:rsid w:val="00F35380"/>
    <w:rsid w:val="00F35413"/>
    <w:rsid w:val="00F36135"/>
    <w:rsid w:val="00F36743"/>
    <w:rsid w:val="00F369DA"/>
    <w:rsid w:val="00F36AA6"/>
    <w:rsid w:val="00F36FC8"/>
    <w:rsid w:val="00F37CE7"/>
    <w:rsid w:val="00F40355"/>
    <w:rsid w:val="00F4038D"/>
    <w:rsid w:val="00F40534"/>
    <w:rsid w:val="00F4123D"/>
    <w:rsid w:val="00F41C4F"/>
    <w:rsid w:val="00F422B6"/>
    <w:rsid w:val="00F42B70"/>
    <w:rsid w:val="00F43B6C"/>
    <w:rsid w:val="00F445FF"/>
    <w:rsid w:val="00F44A8E"/>
    <w:rsid w:val="00F44C2E"/>
    <w:rsid w:val="00F45EF4"/>
    <w:rsid w:val="00F464D0"/>
    <w:rsid w:val="00F4742C"/>
    <w:rsid w:val="00F4799E"/>
    <w:rsid w:val="00F500A1"/>
    <w:rsid w:val="00F50A75"/>
    <w:rsid w:val="00F51C0B"/>
    <w:rsid w:val="00F52545"/>
    <w:rsid w:val="00F5263F"/>
    <w:rsid w:val="00F52857"/>
    <w:rsid w:val="00F535B4"/>
    <w:rsid w:val="00F54A3E"/>
    <w:rsid w:val="00F54CF5"/>
    <w:rsid w:val="00F55819"/>
    <w:rsid w:val="00F55A9B"/>
    <w:rsid w:val="00F55C7B"/>
    <w:rsid w:val="00F5624D"/>
    <w:rsid w:val="00F5628A"/>
    <w:rsid w:val="00F56B8A"/>
    <w:rsid w:val="00F56CAA"/>
    <w:rsid w:val="00F57F82"/>
    <w:rsid w:val="00F6042C"/>
    <w:rsid w:val="00F60C0A"/>
    <w:rsid w:val="00F60EAD"/>
    <w:rsid w:val="00F60FE1"/>
    <w:rsid w:val="00F61242"/>
    <w:rsid w:val="00F619DC"/>
    <w:rsid w:val="00F62726"/>
    <w:rsid w:val="00F634D6"/>
    <w:rsid w:val="00F64BD3"/>
    <w:rsid w:val="00F64D0C"/>
    <w:rsid w:val="00F6516B"/>
    <w:rsid w:val="00F65654"/>
    <w:rsid w:val="00F65A57"/>
    <w:rsid w:val="00F65B51"/>
    <w:rsid w:val="00F66ACE"/>
    <w:rsid w:val="00F66F33"/>
    <w:rsid w:val="00F676B9"/>
    <w:rsid w:val="00F700DA"/>
    <w:rsid w:val="00F706AF"/>
    <w:rsid w:val="00F70987"/>
    <w:rsid w:val="00F7106C"/>
    <w:rsid w:val="00F7176E"/>
    <w:rsid w:val="00F71EA3"/>
    <w:rsid w:val="00F721BD"/>
    <w:rsid w:val="00F722F8"/>
    <w:rsid w:val="00F7265F"/>
    <w:rsid w:val="00F72D1A"/>
    <w:rsid w:val="00F72E14"/>
    <w:rsid w:val="00F730DC"/>
    <w:rsid w:val="00F73BDD"/>
    <w:rsid w:val="00F76814"/>
    <w:rsid w:val="00F7789C"/>
    <w:rsid w:val="00F77BAB"/>
    <w:rsid w:val="00F802F1"/>
    <w:rsid w:val="00F80669"/>
    <w:rsid w:val="00F80DE3"/>
    <w:rsid w:val="00F8176F"/>
    <w:rsid w:val="00F824BF"/>
    <w:rsid w:val="00F82534"/>
    <w:rsid w:val="00F82992"/>
    <w:rsid w:val="00F8299B"/>
    <w:rsid w:val="00F838DE"/>
    <w:rsid w:val="00F84BF0"/>
    <w:rsid w:val="00F84F6A"/>
    <w:rsid w:val="00F8537F"/>
    <w:rsid w:val="00F8539A"/>
    <w:rsid w:val="00F853B1"/>
    <w:rsid w:val="00F85789"/>
    <w:rsid w:val="00F85812"/>
    <w:rsid w:val="00F8628A"/>
    <w:rsid w:val="00F863F6"/>
    <w:rsid w:val="00F876EE"/>
    <w:rsid w:val="00F8783E"/>
    <w:rsid w:val="00F87C28"/>
    <w:rsid w:val="00F87D08"/>
    <w:rsid w:val="00F9077B"/>
    <w:rsid w:val="00F9147B"/>
    <w:rsid w:val="00F9171D"/>
    <w:rsid w:val="00F91DD5"/>
    <w:rsid w:val="00F923F0"/>
    <w:rsid w:val="00F933A8"/>
    <w:rsid w:val="00F938E5"/>
    <w:rsid w:val="00F94DD1"/>
    <w:rsid w:val="00F9507D"/>
    <w:rsid w:val="00F95E5A"/>
    <w:rsid w:val="00F95F44"/>
    <w:rsid w:val="00F962BE"/>
    <w:rsid w:val="00F96F76"/>
    <w:rsid w:val="00FA2B31"/>
    <w:rsid w:val="00FA35D3"/>
    <w:rsid w:val="00FA442B"/>
    <w:rsid w:val="00FA4669"/>
    <w:rsid w:val="00FA46FE"/>
    <w:rsid w:val="00FA4931"/>
    <w:rsid w:val="00FA55B4"/>
    <w:rsid w:val="00FA5ECD"/>
    <w:rsid w:val="00FA6EF3"/>
    <w:rsid w:val="00FA729D"/>
    <w:rsid w:val="00FA7AD6"/>
    <w:rsid w:val="00FA7C73"/>
    <w:rsid w:val="00FB00B8"/>
    <w:rsid w:val="00FB0212"/>
    <w:rsid w:val="00FB077A"/>
    <w:rsid w:val="00FB0D4D"/>
    <w:rsid w:val="00FB0E0C"/>
    <w:rsid w:val="00FB139B"/>
    <w:rsid w:val="00FB294C"/>
    <w:rsid w:val="00FB30B4"/>
    <w:rsid w:val="00FB53E2"/>
    <w:rsid w:val="00FB55F3"/>
    <w:rsid w:val="00FB5D67"/>
    <w:rsid w:val="00FB6F92"/>
    <w:rsid w:val="00FB70DC"/>
    <w:rsid w:val="00FB7B1D"/>
    <w:rsid w:val="00FB7B4D"/>
    <w:rsid w:val="00FB7C45"/>
    <w:rsid w:val="00FB7E90"/>
    <w:rsid w:val="00FC011D"/>
    <w:rsid w:val="00FC0223"/>
    <w:rsid w:val="00FC0A35"/>
    <w:rsid w:val="00FC0AE4"/>
    <w:rsid w:val="00FC0E87"/>
    <w:rsid w:val="00FC170F"/>
    <w:rsid w:val="00FC1ACA"/>
    <w:rsid w:val="00FC2AD0"/>
    <w:rsid w:val="00FC3243"/>
    <w:rsid w:val="00FC37DF"/>
    <w:rsid w:val="00FC59E7"/>
    <w:rsid w:val="00FC60BB"/>
    <w:rsid w:val="00FC6111"/>
    <w:rsid w:val="00FC66DA"/>
    <w:rsid w:val="00FC7F45"/>
    <w:rsid w:val="00FD021D"/>
    <w:rsid w:val="00FD0D69"/>
    <w:rsid w:val="00FD104E"/>
    <w:rsid w:val="00FD142F"/>
    <w:rsid w:val="00FD159F"/>
    <w:rsid w:val="00FD1C95"/>
    <w:rsid w:val="00FD213D"/>
    <w:rsid w:val="00FD3D3E"/>
    <w:rsid w:val="00FD4396"/>
    <w:rsid w:val="00FD5320"/>
    <w:rsid w:val="00FD5A70"/>
    <w:rsid w:val="00FD5DD2"/>
    <w:rsid w:val="00FD62FA"/>
    <w:rsid w:val="00FD638E"/>
    <w:rsid w:val="00FD64A5"/>
    <w:rsid w:val="00FD6F0A"/>
    <w:rsid w:val="00FD76CD"/>
    <w:rsid w:val="00FD797E"/>
    <w:rsid w:val="00FD7B20"/>
    <w:rsid w:val="00FD7DEA"/>
    <w:rsid w:val="00FD7E4F"/>
    <w:rsid w:val="00FE0997"/>
    <w:rsid w:val="00FE1218"/>
    <w:rsid w:val="00FE1C9F"/>
    <w:rsid w:val="00FE2397"/>
    <w:rsid w:val="00FE24A8"/>
    <w:rsid w:val="00FE250A"/>
    <w:rsid w:val="00FE2711"/>
    <w:rsid w:val="00FE3AAF"/>
    <w:rsid w:val="00FE439D"/>
    <w:rsid w:val="00FE43DA"/>
    <w:rsid w:val="00FE4596"/>
    <w:rsid w:val="00FE4FBB"/>
    <w:rsid w:val="00FE6226"/>
    <w:rsid w:val="00FE64A9"/>
    <w:rsid w:val="00FE6F6B"/>
    <w:rsid w:val="00FE73D0"/>
    <w:rsid w:val="00FE776F"/>
    <w:rsid w:val="00FE7866"/>
    <w:rsid w:val="00FE7B57"/>
    <w:rsid w:val="00FF01C1"/>
    <w:rsid w:val="00FF0B89"/>
    <w:rsid w:val="00FF0CE6"/>
    <w:rsid w:val="00FF122C"/>
    <w:rsid w:val="00FF1F94"/>
    <w:rsid w:val="00FF2247"/>
    <w:rsid w:val="00FF27F6"/>
    <w:rsid w:val="00FF2ABF"/>
    <w:rsid w:val="00FF2FD0"/>
    <w:rsid w:val="00FF35A5"/>
    <w:rsid w:val="00FF38CE"/>
    <w:rsid w:val="00FF6BD5"/>
    <w:rsid w:val="00FF740C"/>
    <w:rsid w:val="00FF7BC8"/>
    <w:rsid w:val="00FF7C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F3ACC"/>
  <w15:docId w15:val="{9CA4A51A-87E2-4EED-A186-2CACCA62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7E"/>
    <w:pPr>
      <w:spacing w:line="300" w:lineRule="exact"/>
      <w:jc w:val="both"/>
    </w:pPr>
    <w:rPr>
      <w:rFonts w:ascii="Calibri" w:hAnsi="Calibri" w:cs="Calibri"/>
      <w:sz w:val="24"/>
      <w:szCs w:val="24"/>
      <w:lang w:val="en-GB" w:eastAsia="en-US"/>
    </w:rPr>
  </w:style>
  <w:style w:type="paragraph" w:styleId="Heading1">
    <w:name w:val="heading 1"/>
    <w:basedOn w:val="Normal"/>
    <w:next w:val="Normal"/>
    <w:qFormat/>
    <w:rsid w:val="00581F7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F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581F70"/>
    <w:pPr>
      <w:tabs>
        <w:tab w:val="center" w:pos="4320"/>
        <w:tab w:val="right" w:pos="8640"/>
      </w:tabs>
    </w:pPr>
  </w:style>
  <w:style w:type="character" w:styleId="PageNumber">
    <w:name w:val="page number"/>
    <w:basedOn w:val="DefaultParagraphFont"/>
    <w:rsid w:val="00581F70"/>
  </w:style>
  <w:style w:type="paragraph" w:styleId="FootnoteText">
    <w:name w:val="footnote text"/>
    <w:aliases w:val="Footnote Text Char1,Footnote Text Char Char"/>
    <w:basedOn w:val="Normal"/>
    <w:semiHidden/>
    <w:rsid w:val="00581F70"/>
    <w:rPr>
      <w:sz w:val="20"/>
      <w:szCs w:val="20"/>
    </w:rPr>
  </w:style>
  <w:style w:type="character" w:styleId="FootnoteReference">
    <w:name w:val="footnote reference"/>
    <w:semiHidden/>
    <w:rsid w:val="00581F70"/>
    <w:rPr>
      <w:vertAlign w:val="superscript"/>
    </w:rPr>
  </w:style>
  <w:style w:type="character" w:customStyle="1" w:styleId="style601">
    <w:name w:val="style601"/>
    <w:rsid w:val="00581F70"/>
    <w:rPr>
      <w:color w:val="003366"/>
    </w:rPr>
  </w:style>
  <w:style w:type="paragraph" w:styleId="EndnoteText">
    <w:name w:val="endnote text"/>
    <w:basedOn w:val="Normal"/>
    <w:semiHidden/>
    <w:rsid w:val="00581F70"/>
    <w:rPr>
      <w:sz w:val="20"/>
      <w:szCs w:val="20"/>
    </w:rPr>
  </w:style>
  <w:style w:type="paragraph" w:customStyle="1" w:styleId="style40">
    <w:name w:val="style40"/>
    <w:basedOn w:val="Normal"/>
    <w:rsid w:val="00581F70"/>
    <w:pPr>
      <w:spacing w:before="100" w:beforeAutospacing="1" w:after="100" w:afterAutospacing="1"/>
    </w:pPr>
    <w:rPr>
      <w:rFonts w:ascii="Berlin Sans FB" w:hAnsi="Berlin Sans FB"/>
      <w:sz w:val="12"/>
      <w:szCs w:val="12"/>
    </w:rPr>
  </w:style>
  <w:style w:type="paragraph" w:styleId="BodyTextIndent">
    <w:name w:val="Body Text Indent"/>
    <w:basedOn w:val="Normal"/>
    <w:rsid w:val="00581F70"/>
    <w:pPr>
      <w:ind w:left="720"/>
    </w:pPr>
    <w:rPr>
      <w:sz w:val="22"/>
    </w:rPr>
  </w:style>
  <w:style w:type="paragraph" w:styleId="BodyText">
    <w:name w:val="Body Text"/>
    <w:basedOn w:val="Normal"/>
    <w:rsid w:val="00581F70"/>
    <w:pPr>
      <w:spacing w:after="120"/>
    </w:pPr>
  </w:style>
  <w:style w:type="paragraph" w:customStyle="1" w:styleId="Normalbold">
    <w:name w:val="Normal bold"/>
    <w:basedOn w:val="Normal"/>
    <w:rsid w:val="00581F70"/>
    <w:pPr>
      <w:spacing w:line="280" w:lineRule="exact"/>
    </w:pPr>
    <w:rPr>
      <w:rFonts w:ascii="Arial" w:hAnsi="Arial"/>
      <w:b/>
      <w:color w:val="000000"/>
      <w:spacing w:val="6"/>
      <w:sz w:val="18"/>
      <w:szCs w:val="18"/>
      <w:lang w:eastAsia="en-GB"/>
    </w:rPr>
  </w:style>
  <w:style w:type="paragraph" w:customStyle="1" w:styleId="style3">
    <w:name w:val="style3"/>
    <w:basedOn w:val="Normal"/>
    <w:rsid w:val="00581F70"/>
    <w:pPr>
      <w:spacing w:before="100" w:beforeAutospacing="1" w:after="100" w:afterAutospacing="1"/>
    </w:pPr>
    <w:rPr>
      <w:rFonts w:ascii="Arial" w:hAnsi="Arial" w:cs="Arial"/>
    </w:rPr>
  </w:style>
  <w:style w:type="paragraph" w:styleId="NormalWeb">
    <w:name w:val="Normal (Web)"/>
    <w:basedOn w:val="Normal"/>
    <w:unhideWhenUsed/>
    <w:rsid w:val="006B6318"/>
    <w:pPr>
      <w:spacing w:before="100" w:beforeAutospacing="1" w:after="100" w:afterAutospacing="1"/>
    </w:pPr>
    <w:rPr>
      <w:lang w:val="en-ZA" w:eastAsia="en-ZA"/>
    </w:rPr>
  </w:style>
  <w:style w:type="paragraph" w:customStyle="1" w:styleId="Default">
    <w:name w:val="Default"/>
    <w:rsid w:val="006B6318"/>
    <w:pPr>
      <w:autoSpaceDE w:val="0"/>
      <w:autoSpaceDN w:val="0"/>
      <w:adjustRightInd w:val="0"/>
    </w:pPr>
    <w:rPr>
      <w:rFonts w:ascii="Arial Narrow" w:eastAsia="Calibri" w:hAnsi="Arial Narrow" w:cs="Arial Narrow"/>
      <w:color w:val="000000"/>
      <w:sz w:val="24"/>
      <w:szCs w:val="24"/>
      <w:lang w:eastAsia="en-US"/>
    </w:rPr>
  </w:style>
  <w:style w:type="paragraph" w:customStyle="1" w:styleId="Char">
    <w:name w:val="Char"/>
    <w:basedOn w:val="Normal"/>
    <w:rsid w:val="0037634E"/>
    <w:pPr>
      <w:spacing w:after="160" w:line="240" w:lineRule="exact"/>
    </w:pPr>
    <w:rPr>
      <w:rFonts w:ascii="Arial" w:hAnsi="Arial"/>
      <w:bCs/>
      <w:sz w:val="22"/>
    </w:rPr>
  </w:style>
  <w:style w:type="paragraph" w:styleId="BalloonText">
    <w:name w:val="Balloon Text"/>
    <w:basedOn w:val="Normal"/>
    <w:semiHidden/>
    <w:rsid w:val="004711E9"/>
    <w:rPr>
      <w:rFonts w:ascii="Tahoma" w:hAnsi="Tahoma" w:cs="Tahoma"/>
      <w:sz w:val="16"/>
      <w:szCs w:val="16"/>
    </w:rPr>
  </w:style>
  <w:style w:type="paragraph" w:styleId="ListParagraph">
    <w:name w:val="List Paragraph"/>
    <w:basedOn w:val="Normal"/>
    <w:link w:val="ListParagraphChar"/>
    <w:uiPriority w:val="34"/>
    <w:qFormat/>
    <w:rsid w:val="00344083"/>
    <w:pPr>
      <w:spacing w:line="280" w:lineRule="exact"/>
      <w:ind w:left="720"/>
    </w:pPr>
    <w:rPr>
      <w:rFonts w:ascii="Arial" w:hAnsi="Arial"/>
      <w:color w:val="000000"/>
      <w:spacing w:val="6"/>
      <w:sz w:val="18"/>
      <w:szCs w:val="18"/>
      <w:lang w:eastAsia="en-GB"/>
    </w:rPr>
  </w:style>
  <w:style w:type="paragraph" w:styleId="Header">
    <w:name w:val="header"/>
    <w:basedOn w:val="Normal"/>
    <w:link w:val="HeaderChar"/>
    <w:uiPriority w:val="99"/>
    <w:rsid w:val="00B3013B"/>
    <w:pPr>
      <w:tabs>
        <w:tab w:val="center" w:pos="4153"/>
        <w:tab w:val="right" w:pos="8306"/>
      </w:tabs>
    </w:pPr>
  </w:style>
  <w:style w:type="character" w:customStyle="1" w:styleId="Busplan1Char">
    <w:name w:val="Busplan1 Char"/>
    <w:link w:val="Busplan1"/>
    <w:locked/>
    <w:rsid w:val="008C57F2"/>
    <w:rPr>
      <w:rFonts w:ascii="Arial" w:hAnsi="Arial"/>
      <w:b/>
      <w:color w:val="0000FF"/>
      <w:sz w:val="18"/>
      <w:lang w:val="en-GB" w:bidi="ar-SA"/>
    </w:rPr>
  </w:style>
  <w:style w:type="paragraph" w:customStyle="1" w:styleId="Busplan1">
    <w:name w:val="Busplan1"/>
    <w:basedOn w:val="Normal"/>
    <w:link w:val="Busplan1Char"/>
    <w:rsid w:val="008C57F2"/>
    <w:pPr>
      <w:tabs>
        <w:tab w:val="left" w:pos="567"/>
      </w:tabs>
      <w:spacing w:line="360" w:lineRule="auto"/>
      <w:ind w:left="567" w:hanging="567"/>
    </w:pPr>
    <w:rPr>
      <w:rFonts w:ascii="Arial" w:hAnsi="Arial" w:cs="Times New Roman"/>
      <w:b/>
      <w:color w:val="0000FF"/>
      <w:sz w:val="18"/>
      <w:szCs w:val="20"/>
    </w:rPr>
  </w:style>
  <w:style w:type="character" w:styleId="CommentReference">
    <w:name w:val="annotation reference"/>
    <w:rsid w:val="00433B67"/>
    <w:rPr>
      <w:sz w:val="16"/>
      <w:szCs w:val="16"/>
    </w:rPr>
  </w:style>
  <w:style w:type="paragraph" w:styleId="CommentText">
    <w:name w:val="annotation text"/>
    <w:basedOn w:val="Normal"/>
    <w:link w:val="CommentTextChar"/>
    <w:rsid w:val="00433B67"/>
    <w:rPr>
      <w:sz w:val="20"/>
      <w:szCs w:val="20"/>
    </w:rPr>
  </w:style>
  <w:style w:type="character" w:customStyle="1" w:styleId="CommentTextChar">
    <w:name w:val="Comment Text Char"/>
    <w:link w:val="CommentText"/>
    <w:rsid w:val="00433B67"/>
    <w:rPr>
      <w:lang w:val="en-US" w:eastAsia="en-US"/>
    </w:rPr>
  </w:style>
  <w:style w:type="paragraph" w:styleId="CommentSubject">
    <w:name w:val="annotation subject"/>
    <w:basedOn w:val="CommentText"/>
    <w:next w:val="CommentText"/>
    <w:link w:val="CommentSubjectChar"/>
    <w:rsid w:val="00433B67"/>
    <w:rPr>
      <w:b/>
      <w:bCs/>
    </w:rPr>
  </w:style>
  <w:style w:type="character" w:customStyle="1" w:styleId="CommentSubjectChar">
    <w:name w:val="Comment Subject Char"/>
    <w:link w:val="CommentSubject"/>
    <w:rsid w:val="00433B67"/>
    <w:rPr>
      <w:b/>
      <w:bCs/>
      <w:lang w:val="en-US" w:eastAsia="en-US"/>
    </w:rPr>
  </w:style>
  <w:style w:type="character" w:styleId="Hyperlink">
    <w:name w:val="Hyperlink"/>
    <w:rsid w:val="00822F01"/>
    <w:rPr>
      <w:color w:val="0000FF"/>
      <w:u w:val="single"/>
    </w:rPr>
  </w:style>
  <w:style w:type="character" w:customStyle="1" w:styleId="HeaderChar">
    <w:name w:val="Header Char"/>
    <w:link w:val="Header"/>
    <w:uiPriority w:val="99"/>
    <w:rsid w:val="00B3013B"/>
    <w:rPr>
      <w:sz w:val="24"/>
      <w:szCs w:val="24"/>
      <w:lang w:val="en-GB" w:eastAsia="en-US"/>
    </w:rPr>
  </w:style>
  <w:style w:type="character" w:styleId="LineNumber">
    <w:name w:val="line number"/>
    <w:basedOn w:val="DefaultParagraphFont"/>
    <w:rsid w:val="00151525"/>
  </w:style>
  <w:style w:type="character" w:customStyle="1" w:styleId="FooterChar">
    <w:name w:val="Footer Char"/>
    <w:link w:val="Footer"/>
    <w:uiPriority w:val="99"/>
    <w:rsid w:val="00E65DA4"/>
    <w:rPr>
      <w:sz w:val="24"/>
      <w:szCs w:val="24"/>
      <w:lang w:val="en-GB" w:eastAsia="en-US"/>
    </w:rPr>
  </w:style>
  <w:style w:type="character" w:styleId="Strong">
    <w:name w:val="Strong"/>
    <w:qFormat/>
    <w:rsid w:val="005C543C"/>
    <w:rPr>
      <w:b/>
      <w:bCs/>
    </w:rPr>
  </w:style>
  <w:style w:type="paragraph" w:styleId="NoSpacing">
    <w:name w:val="No Spacing"/>
    <w:link w:val="NoSpacingChar"/>
    <w:uiPriority w:val="1"/>
    <w:qFormat/>
    <w:rsid w:val="001618CA"/>
    <w:rPr>
      <w:rFonts w:ascii="Calibri" w:hAnsi="Calibri"/>
      <w:sz w:val="22"/>
      <w:szCs w:val="22"/>
      <w:lang w:val="en-US" w:eastAsia="en-US"/>
    </w:rPr>
  </w:style>
  <w:style w:type="character" w:customStyle="1" w:styleId="NoSpacingChar">
    <w:name w:val="No Spacing Char"/>
    <w:link w:val="NoSpacing"/>
    <w:uiPriority w:val="1"/>
    <w:rsid w:val="001618CA"/>
    <w:rPr>
      <w:rFonts w:ascii="Calibri" w:hAnsi="Calibri"/>
      <w:sz w:val="22"/>
      <w:szCs w:val="22"/>
      <w:lang w:val="en-US" w:eastAsia="en-US" w:bidi="ar-SA"/>
    </w:rPr>
  </w:style>
  <w:style w:type="character" w:styleId="EndnoteReference">
    <w:name w:val="endnote reference"/>
    <w:basedOn w:val="DefaultParagraphFont"/>
    <w:semiHidden/>
    <w:unhideWhenUsed/>
    <w:rsid w:val="00810981"/>
    <w:rPr>
      <w:vertAlign w:val="superscript"/>
    </w:rPr>
  </w:style>
  <w:style w:type="character" w:customStyle="1" w:styleId="ListParagraphChar">
    <w:name w:val="List Paragraph Char"/>
    <w:link w:val="ListParagraph"/>
    <w:uiPriority w:val="34"/>
    <w:rsid w:val="00810981"/>
    <w:rPr>
      <w:rFonts w:ascii="Arial" w:hAnsi="Arial" w:cs="Calibri"/>
      <w:color w:val="000000"/>
      <w:spacing w:val="6"/>
      <w:sz w:val="18"/>
      <w:szCs w:val="18"/>
      <w:lang w:val="en-GB" w:eastAsia="en-GB"/>
    </w:rPr>
  </w:style>
  <w:style w:type="paragraph" w:styleId="Revision">
    <w:name w:val="Revision"/>
    <w:hidden/>
    <w:uiPriority w:val="99"/>
    <w:semiHidden/>
    <w:rsid w:val="005279D1"/>
    <w:rPr>
      <w:rFonts w:ascii="Calibri" w:hAnsi="Calibri" w:cs="Calibr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336">
      <w:bodyDiv w:val="1"/>
      <w:marLeft w:val="0"/>
      <w:marRight w:val="0"/>
      <w:marTop w:val="0"/>
      <w:marBottom w:val="0"/>
      <w:divBdr>
        <w:top w:val="none" w:sz="0" w:space="0" w:color="auto"/>
        <w:left w:val="none" w:sz="0" w:space="0" w:color="auto"/>
        <w:bottom w:val="none" w:sz="0" w:space="0" w:color="auto"/>
        <w:right w:val="none" w:sz="0" w:space="0" w:color="auto"/>
      </w:divBdr>
      <w:divsChild>
        <w:div w:id="1618558146">
          <w:marLeft w:val="1166"/>
          <w:marRight w:val="0"/>
          <w:marTop w:val="110"/>
          <w:marBottom w:val="0"/>
          <w:divBdr>
            <w:top w:val="none" w:sz="0" w:space="0" w:color="auto"/>
            <w:left w:val="none" w:sz="0" w:space="0" w:color="auto"/>
            <w:bottom w:val="none" w:sz="0" w:space="0" w:color="auto"/>
            <w:right w:val="none" w:sz="0" w:space="0" w:color="auto"/>
          </w:divBdr>
        </w:div>
      </w:divsChild>
    </w:div>
    <w:div w:id="161240946">
      <w:bodyDiv w:val="1"/>
      <w:marLeft w:val="0"/>
      <w:marRight w:val="0"/>
      <w:marTop w:val="0"/>
      <w:marBottom w:val="0"/>
      <w:divBdr>
        <w:top w:val="none" w:sz="0" w:space="0" w:color="auto"/>
        <w:left w:val="none" w:sz="0" w:space="0" w:color="auto"/>
        <w:bottom w:val="none" w:sz="0" w:space="0" w:color="auto"/>
        <w:right w:val="none" w:sz="0" w:space="0" w:color="auto"/>
      </w:divBdr>
    </w:div>
    <w:div w:id="162672167">
      <w:bodyDiv w:val="1"/>
      <w:marLeft w:val="0"/>
      <w:marRight w:val="0"/>
      <w:marTop w:val="0"/>
      <w:marBottom w:val="0"/>
      <w:divBdr>
        <w:top w:val="none" w:sz="0" w:space="0" w:color="auto"/>
        <w:left w:val="none" w:sz="0" w:space="0" w:color="auto"/>
        <w:bottom w:val="none" w:sz="0" w:space="0" w:color="auto"/>
        <w:right w:val="none" w:sz="0" w:space="0" w:color="auto"/>
      </w:divBdr>
      <w:divsChild>
        <w:div w:id="502283037">
          <w:marLeft w:val="0"/>
          <w:marRight w:val="0"/>
          <w:marTop w:val="0"/>
          <w:marBottom w:val="0"/>
          <w:divBdr>
            <w:top w:val="none" w:sz="0" w:space="0" w:color="auto"/>
            <w:left w:val="none" w:sz="0" w:space="0" w:color="auto"/>
            <w:bottom w:val="none" w:sz="0" w:space="0" w:color="auto"/>
            <w:right w:val="none" w:sz="0" w:space="0" w:color="auto"/>
          </w:divBdr>
        </w:div>
        <w:div w:id="773524737">
          <w:marLeft w:val="0"/>
          <w:marRight w:val="0"/>
          <w:marTop w:val="0"/>
          <w:marBottom w:val="0"/>
          <w:divBdr>
            <w:top w:val="none" w:sz="0" w:space="0" w:color="auto"/>
            <w:left w:val="none" w:sz="0" w:space="0" w:color="auto"/>
            <w:bottom w:val="none" w:sz="0" w:space="0" w:color="auto"/>
            <w:right w:val="none" w:sz="0" w:space="0" w:color="auto"/>
          </w:divBdr>
        </w:div>
        <w:div w:id="863060972">
          <w:marLeft w:val="0"/>
          <w:marRight w:val="0"/>
          <w:marTop w:val="0"/>
          <w:marBottom w:val="0"/>
          <w:divBdr>
            <w:top w:val="none" w:sz="0" w:space="0" w:color="auto"/>
            <w:left w:val="none" w:sz="0" w:space="0" w:color="auto"/>
            <w:bottom w:val="none" w:sz="0" w:space="0" w:color="auto"/>
            <w:right w:val="none" w:sz="0" w:space="0" w:color="auto"/>
          </w:divBdr>
        </w:div>
        <w:div w:id="1454178424">
          <w:marLeft w:val="0"/>
          <w:marRight w:val="0"/>
          <w:marTop w:val="0"/>
          <w:marBottom w:val="0"/>
          <w:divBdr>
            <w:top w:val="none" w:sz="0" w:space="0" w:color="auto"/>
            <w:left w:val="none" w:sz="0" w:space="0" w:color="auto"/>
            <w:bottom w:val="none" w:sz="0" w:space="0" w:color="auto"/>
            <w:right w:val="none" w:sz="0" w:space="0" w:color="auto"/>
          </w:divBdr>
        </w:div>
        <w:div w:id="1513494362">
          <w:marLeft w:val="0"/>
          <w:marRight w:val="0"/>
          <w:marTop w:val="0"/>
          <w:marBottom w:val="0"/>
          <w:divBdr>
            <w:top w:val="none" w:sz="0" w:space="0" w:color="auto"/>
            <w:left w:val="none" w:sz="0" w:space="0" w:color="auto"/>
            <w:bottom w:val="none" w:sz="0" w:space="0" w:color="auto"/>
            <w:right w:val="none" w:sz="0" w:space="0" w:color="auto"/>
          </w:divBdr>
        </w:div>
        <w:div w:id="1522159439">
          <w:marLeft w:val="0"/>
          <w:marRight w:val="0"/>
          <w:marTop w:val="0"/>
          <w:marBottom w:val="0"/>
          <w:divBdr>
            <w:top w:val="none" w:sz="0" w:space="0" w:color="auto"/>
            <w:left w:val="none" w:sz="0" w:space="0" w:color="auto"/>
            <w:bottom w:val="none" w:sz="0" w:space="0" w:color="auto"/>
            <w:right w:val="none" w:sz="0" w:space="0" w:color="auto"/>
          </w:divBdr>
        </w:div>
        <w:div w:id="1551065908">
          <w:marLeft w:val="0"/>
          <w:marRight w:val="0"/>
          <w:marTop w:val="0"/>
          <w:marBottom w:val="0"/>
          <w:divBdr>
            <w:top w:val="none" w:sz="0" w:space="0" w:color="auto"/>
            <w:left w:val="none" w:sz="0" w:space="0" w:color="auto"/>
            <w:bottom w:val="none" w:sz="0" w:space="0" w:color="auto"/>
            <w:right w:val="none" w:sz="0" w:space="0" w:color="auto"/>
          </w:divBdr>
        </w:div>
        <w:div w:id="1626499698">
          <w:marLeft w:val="0"/>
          <w:marRight w:val="0"/>
          <w:marTop w:val="0"/>
          <w:marBottom w:val="0"/>
          <w:divBdr>
            <w:top w:val="none" w:sz="0" w:space="0" w:color="auto"/>
            <w:left w:val="none" w:sz="0" w:space="0" w:color="auto"/>
            <w:bottom w:val="none" w:sz="0" w:space="0" w:color="auto"/>
            <w:right w:val="none" w:sz="0" w:space="0" w:color="auto"/>
          </w:divBdr>
        </w:div>
        <w:div w:id="1913809720">
          <w:marLeft w:val="0"/>
          <w:marRight w:val="0"/>
          <w:marTop w:val="0"/>
          <w:marBottom w:val="0"/>
          <w:divBdr>
            <w:top w:val="none" w:sz="0" w:space="0" w:color="auto"/>
            <w:left w:val="none" w:sz="0" w:space="0" w:color="auto"/>
            <w:bottom w:val="none" w:sz="0" w:space="0" w:color="auto"/>
            <w:right w:val="none" w:sz="0" w:space="0" w:color="auto"/>
          </w:divBdr>
        </w:div>
      </w:divsChild>
    </w:div>
    <w:div w:id="230163221">
      <w:bodyDiv w:val="1"/>
      <w:marLeft w:val="0"/>
      <w:marRight w:val="0"/>
      <w:marTop w:val="0"/>
      <w:marBottom w:val="0"/>
      <w:divBdr>
        <w:top w:val="none" w:sz="0" w:space="0" w:color="auto"/>
        <w:left w:val="none" w:sz="0" w:space="0" w:color="auto"/>
        <w:bottom w:val="none" w:sz="0" w:space="0" w:color="auto"/>
        <w:right w:val="none" w:sz="0" w:space="0" w:color="auto"/>
      </w:divBdr>
    </w:div>
    <w:div w:id="321275974">
      <w:bodyDiv w:val="1"/>
      <w:marLeft w:val="0"/>
      <w:marRight w:val="0"/>
      <w:marTop w:val="0"/>
      <w:marBottom w:val="0"/>
      <w:divBdr>
        <w:top w:val="none" w:sz="0" w:space="0" w:color="auto"/>
        <w:left w:val="none" w:sz="0" w:space="0" w:color="auto"/>
        <w:bottom w:val="none" w:sz="0" w:space="0" w:color="auto"/>
        <w:right w:val="none" w:sz="0" w:space="0" w:color="auto"/>
      </w:divBdr>
    </w:div>
    <w:div w:id="349993325">
      <w:bodyDiv w:val="1"/>
      <w:marLeft w:val="0"/>
      <w:marRight w:val="0"/>
      <w:marTop w:val="0"/>
      <w:marBottom w:val="0"/>
      <w:divBdr>
        <w:top w:val="none" w:sz="0" w:space="0" w:color="auto"/>
        <w:left w:val="none" w:sz="0" w:space="0" w:color="auto"/>
        <w:bottom w:val="none" w:sz="0" w:space="0" w:color="auto"/>
        <w:right w:val="none" w:sz="0" w:space="0" w:color="auto"/>
      </w:divBdr>
    </w:div>
    <w:div w:id="393505176">
      <w:bodyDiv w:val="1"/>
      <w:marLeft w:val="0"/>
      <w:marRight w:val="0"/>
      <w:marTop w:val="0"/>
      <w:marBottom w:val="0"/>
      <w:divBdr>
        <w:top w:val="none" w:sz="0" w:space="0" w:color="auto"/>
        <w:left w:val="none" w:sz="0" w:space="0" w:color="auto"/>
        <w:bottom w:val="none" w:sz="0" w:space="0" w:color="auto"/>
        <w:right w:val="none" w:sz="0" w:space="0" w:color="auto"/>
      </w:divBdr>
    </w:div>
    <w:div w:id="415908444">
      <w:bodyDiv w:val="1"/>
      <w:marLeft w:val="0"/>
      <w:marRight w:val="0"/>
      <w:marTop w:val="0"/>
      <w:marBottom w:val="0"/>
      <w:divBdr>
        <w:top w:val="none" w:sz="0" w:space="0" w:color="auto"/>
        <w:left w:val="none" w:sz="0" w:space="0" w:color="auto"/>
        <w:bottom w:val="none" w:sz="0" w:space="0" w:color="auto"/>
        <w:right w:val="none" w:sz="0" w:space="0" w:color="auto"/>
      </w:divBdr>
    </w:div>
    <w:div w:id="637031755">
      <w:bodyDiv w:val="1"/>
      <w:marLeft w:val="0"/>
      <w:marRight w:val="0"/>
      <w:marTop w:val="0"/>
      <w:marBottom w:val="0"/>
      <w:divBdr>
        <w:top w:val="none" w:sz="0" w:space="0" w:color="auto"/>
        <w:left w:val="none" w:sz="0" w:space="0" w:color="auto"/>
        <w:bottom w:val="none" w:sz="0" w:space="0" w:color="auto"/>
        <w:right w:val="none" w:sz="0" w:space="0" w:color="auto"/>
      </w:divBdr>
    </w:div>
    <w:div w:id="645354344">
      <w:bodyDiv w:val="1"/>
      <w:marLeft w:val="0"/>
      <w:marRight w:val="0"/>
      <w:marTop w:val="0"/>
      <w:marBottom w:val="0"/>
      <w:divBdr>
        <w:top w:val="none" w:sz="0" w:space="0" w:color="auto"/>
        <w:left w:val="none" w:sz="0" w:space="0" w:color="auto"/>
        <w:bottom w:val="none" w:sz="0" w:space="0" w:color="auto"/>
        <w:right w:val="none" w:sz="0" w:space="0" w:color="auto"/>
      </w:divBdr>
      <w:divsChild>
        <w:div w:id="892930663">
          <w:marLeft w:val="0"/>
          <w:marRight w:val="0"/>
          <w:marTop w:val="0"/>
          <w:marBottom w:val="0"/>
          <w:divBdr>
            <w:top w:val="none" w:sz="0" w:space="0" w:color="auto"/>
            <w:left w:val="none" w:sz="0" w:space="0" w:color="auto"/>
            <w:bottom w:val="none" w:sz="0" w:space="0" w:color="auto"/>
            <w:right w:val="none" w:sz="0" w:space="0" w:color="auto"/>
          </w:divBdr>
          <w:divsChild>
            <w:div w:id="613756302">
              <w:marLeft w:val="0"/>
              <w:marRight w:val="0"/>
              <w:marTop w:val="0"/>
              <w:marBottom w:val="0"/>
              <w:divBdr>
                <w:top w:val="none" w:sz="0" w:space="0" w:color="auto"/>
                <w:left w:val="none" w:sz="0" w:space="0" w:color="auto"/>
                <w:bottom w:val="none" w:sz="0" w:space="0" w:color="auto"/>
                <w:right w:val="none" w:sz="0" w:space="0" w:color="auto"/>
              </w:divBdr>
              <w:divsChild>
                <w:div w:id="883446477">
                  <w:marLeft w:val="-225"/>
                  <w:marRight w:val="-225"/>
                  <w:marTop w:val="0"/>
                  <w:marBottom w:val="0"/>
                  <w:divBdr>
                    <w:top w:val="none" w:sz="0" w:space="0" w:color="auto"/>
                    <w:left w:val="none" w:sz="0" w:space="0" w:color="auto"/>
                    <w:bottom w:val="none" w:sz="0" w:space="0" w:color="auto"/>
                    <w:right w:val="none" w:sz="0" w:space="0" w:color="auto"/>
                  </w:divBdr>
                  <w:divsChild>
                    <w:div w:id="2074887187">
                      <w:marLeft w:val="0"/>
                      <w:marRight w:val="0"/>
                      <w:marTop w:val="0"/>
                      <w:marBottom w:val="0"/>
                      <w:divBdr>
                        <w:top w:val="none" w:sz="0" w:space="0" w:color="auto"/>
                        <w:left w:val="none" w:sz="0" w:space="0" w:color="auto"/>
                        <w:bottom w:val="none" w:sz="0" w:space="0" w:color="auto"/>
                        <w:right w:val="none" w:sz="0" w:space="0" w:color="auto"/>
                      </w:divBdr>
                      <w:divsChild>
                        <w:div w:id="1679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094237">
      <w:bodyDiv w:val="1"/>
      <w:marLeft w:val="0"/>
      <w:marRight w:val="0"/>
      <w:marTop w:val="0"/>
      <w:marBottom w:val="0"/>
      <w:divBdr>
        <w:top w:val="none" w:sz="0" w:space="0" w:color="auto"/>
        <w:left w:val="none" w:sz="0" w:space="0" w:color="auto"/>
        <w:bottom w:val="none" w:sz="0" w:space="0" w:color="auto"/>
        <w:right w:val="none" w:sz="0" w:space="0" w:color="auto"/>
      </w:divBdr>
      <w:divsChild>
        <w:div w:id="1098521267">
          <w:marLeft w:val="547"/>
          <w:marRight w:val="0"/>
          <w:marTop w:val="120"/>
          <w:marBottom w:val="0"/>
          <w:divBdr>
            <w:top w:val="none" w:sz="0" w:space="0" w:color="auto"/>
            <w:left w:val="none" w:sz="0" w:space="0" w:color="auto"/>
            <w:bottom w:val="none" w:sz="0" w:space="0" w:color="auto"/>
            <w:right w:val="none" w:sz="0" w:space="0" w:color="auto"/>
          </w:divBdr>
        </w:div>
        <w:div w:id="848062081">
          <w:marLeft w:val="1166"/>
          <w:marRight w:val="0"/>
          <w:marTop w:val="120"/>
          <w:marBottom w:val="0"/>
          <w:divBdr>
            <w:top w:val="none" w:sz="0" w:space="0" w:color="auto"/>
            <w:left w:val="none" w:sz="0" w:space="0" w:color="auto"/>
            <w:bottom w:val="none" w:sz="0" w:space="0" w:color="auto"/>
            <w:right w:val="none" w:sz="0" w:space="0" w:color="auto"/>
          </w:divBdr>
        </w:div>
        <w:div w:id="1801919833">
          <w:marLeft w:val="547"/>
          <w:marRight w:val="0"/>
          <w:marTop w:val="120"/>
          <w:marBottom w:val="0"/>
          <w:divBdr>
            <w:top w:val="none" w:sz="0" w:space="0" w:color="auto"/>
            <w:left w:val="none" w:sz="0" w:space="0" w:color="auto"/>
            <w:bottom w:val="none" w:sz="0" w:space="0" w:color="auto"/>
            <w:right w:val="none" w:sz="0" w:space="0" w:color="auto"/>
          </w:divBdr>
        </w:div>
        <w:div w:id="1872915384">
          <w:marLeft w:val="1166"/>
          <w:marRight w:val="0"/>
          <w:marTop w:val="120"/>
          <w:marBottom w:val="0"/>
          <w:divBdr>
            <w:top w:val="none" w:sz="0" w:space="0" w:color="auto"/>
            <w:left w:val="none" w:sz="0" w:space="0" w:color="auto"/>
            <w:bottom w:val="none" w:sz="0" w:space="0" w:color="auto"/>
            <w:right w:val="none" w:sz="0" w:space="0" w:color="auto"/>
          </w:divBdr>
        </w:div>
      </w:divsChild>
    </w:div>
    <w:div w:id="834152056">
      <w:bodyDiv w:val="1"/>
      <w:marLeft w:val="0"/>
      <w:marRight w:val="0"/>
      <w:marTop w:val="0"/>
      <w:marBottom w:val="0"/>
      <w:divBdr>
        <w:top w:val="none" w:sz="0" w:space="0" w:color="auto"/>
        <w:left w:val="none" w:sz="0" w:space="0" w:color="auto"/>
        <w:bottom w:val="none" w:sz="0" w:space="0" w:color="auto"/>
        <w:right w:val="none" w:sz="0" w:space="0" w:color="auto"/>
      </w:divBdr>
    </w:div>
    <w:div w:id="867179886">
      <w:bodyDiv w:val="1"/>
      <w:marLeft w:val="0"/>
      <w:marRight w:val="0"/>
      <w:marTop w:val="0"/>
      <w:marBottom w:val="0"/>
      <w:divBdr>
        <w:top w:val="none" w:sz="0" w:space="0" w:color="auto"/>
        <w:left w:val="none" w:sz="0" w:space="0" w:color="auto"/>
        <w:bottom w:val="none" w:sz="0" w:space="0" w:color="auto"/>
        <w:right w:val="none" w:sz="0" w:space="0" w:color="auto"/>
      </w:divBdr>
      <w:divsChild>
        <w:div w:id="270867082">
          <w:marLeft w:val="0"/>
          <w:marRight w:val="0"/>
          <w:marTop w:val="0"/>
          <w:marBottom w:val="0"/>
          <w:divBdr>
            <w:top w:val="none" w:sz="0" w:space="0" w:color="auto"/>
            <w:left w:val="none" w:sz="0" w:space="0" w:color="auto"/>
            <w:bottom w:val="none" w:sz="0" w:space="0" w:color="auto"/>
            <w:right w:val="none" w:sz="0" w:space="0" w:color="auto"/>
          </w:divBdr>
        </w:div>
        <w:div w:id="607588597">
          <w:marLeft w:val="0"/>
          <w:marRight w:val="0"/>
          <w:marTop w:val="0"/>
          <w:marBottom w:val="0"/>
          <w:divBdr>
            <w:top w:val="none" w:sz="0" w:space="0" w:color="auto"/>
            <w:left w:val="none" w:sz="0" w:space="0" w:color="auto"/>
            <w:bottom w:val="none" w:sz="0" w:space="0" w:color="auto"/>
            <w:right w:val="none" w:sz="0" w:space="0" w:color="auto"/>
          </w:divBdr>
        </w:div>
        <w:div w:id="1287153274">
          <w:marLeft w:val="0"/>
          <w:marRight w:val="0"/>
          <w:marTop w:val="0"/>
          <w:marBottom w:val="0"/>
          <w:divBdr>
            <w:top w:val="none" w:sz="0" w:space="0" w:color="auto"/>
            <w:left w:val="none" w:sz="0" w:space="0" w:color="auto"/>
            <w:bottom w:val="none" w:sz="0" w:space="0" w:color="auto"/>
            <w:right w:val="none" w:sz="0" w:space="0" w:color="auto"/>
          </w:divBdr>
        </w:div>
        <w:div w:id="1676181200">
          <w:marLeft w:val="0"/>
          <w:marRight w:val="0"/>
          <w:marTop w:val="0"/>
          <w:marBottom w:val="0"/>
          <w:divBdr>
            <w:top w:val="none" w:sz="0" w:space="0" w:color="auto"/>
            <w:left w:val="none" w:sz="0" w:space="0" w:color="auto"/>
            <w:bottom w:val="none" w:sz="0" w:space="0" w:color="auto"/>
            <w:right w:val="none" w:sz="0" w:space="0" w:color="auto"/>
          </w:divBdr>
        </w:div>
        <w:div w:id="2108773678">
          <w:marLeft w:val="0"/>
          <w:marRight w:val="0"/>
          <w:marTop w:val="0"/>
          <w:marBottom w:val="0"/>
          <w:divBdr>
            <w:top w:val="none" w:sz="0" w:space="0" w:color="auto"/>
            <w:left w:val="none" w:sz="0" w:space="0" w:color="auto"/>
            <w:bottom w:val="none" w:sz="0" w:space="0" w:color="auto"/>
            <w:right w:val="none" w:sz="0" w:space="0" w:color="auto"/>
          </w:divBdr>
        </w:div>
      </w:divsChild>
    </w:div>
    <w:div w:id="989751867">
      <w:bodyDiv w:val="1"/>
      <w:marLeft w:val="0"/>
      <w:marRight w:val="0"/>
      <w:marTop w:val="0"/>
      <w:marBottom w:val="0"/>
      <w:divBdr>
        <w:top w:val="none" w:sz="0" w:space="0" w:color="auto"/>
        <w:left w:val="none" w:sz="0" w:space="0" w:color="auto"/>
        <w:bottom w:val="none" w:sz="0" w:space="0" w:color="auto"/>
        <w:right w:val="none" w:sz="0" w:space="0" w:color="auto"/>
      </w:divBdr>
    </w:div>
    <w:div w:id="1341011500">
      <w:bodyDiv w:val="1"/>
      <w:marLeft w:val="0"/>
      <w:marRight w:val="0"/>
      <w:marTop w:val="0"/>
      <w:marBottom w:val="0"/>
      <w:divBdr>
        <w:top w:val="none" w:sz="0" w:space="0" w:color="auto"/>
        <w:left w:val="none" w:sz="0" w:space="0" w:color="auto"/>
        <w:bottom w:val="none" w:sz="0" w:space="0" w:color="auto"/>
        <w:right w:val="none" w:sz="0" w:space="0" w:color="auto"/>
      </w:divBdr>
    </w:div>
    <w:div w:id="1404909949">
      <w:bodyDiv w:val="1"/>
      <w:marLeft w:val="0"/>
      <w:marRight w:val="0"/>
      <w:marTop w:val="0"/>
      <w:marBottom w:val="0"/>
      <w:divBdr>
        <w:top w:val="none" w:sz="0" w:space="0" w:color="auto"/>
        <w:left w:val="none" w:sz="0" w:space="0" w:color="auto"/>
        <w:bottom w:val="none" w:sz="0" w:space="0" w:color="auto"/>
        <w:right w:val="none" w:sz="0" w:space="0" w:color="auto"/>
      </w:divBdr>
    </w:div>
    <w:div w:id="1529903455">
      <w:bodyDiv w:val="1"/>
      <w:marLeft w:val="0"/>
      <w:marRight w:val="0"/>
      <w:marTop w:val="0"/>
      <w:marBottom w:val="0"/>
      <w:divBdr>
        <w:top w:val="none" w:sz="0" w:space="0" w:color="auto"/>
        <w:left w:val="none" w:sz="0" w:space="0" w:color="auto"/>
        <w:bottom w:val="none" w:sz="0" w:space="0" w:color="auto"/>
        <w:right w:val="none" w:sz="0" w:space="0" w:color="auto"/>
      </w:divBdr>
      <w:divsChild>
        <w:div w:id="2105106615">
          <w:marLeft w:val="547"/>
          <w:marRight w:val="0"/>
          <w:marTop w:val="110"/>
          <w:marBottom w:val="0"/>
          <w:divBdr>
            <w:top w:val="none" w:sz="0" w:space="0" w:color="auto"/>
            <w:left w:val="none" w:sz="0" w:space="0" w:color="auto"/>
            <w:bottom w:val="none" w:sz="0" w:space="0" w:color="auto"/>
            <w:right w:val="none" w:sz="0" w:space="0" w:color="auto"/>
          </w:divBdr>
        </w:div>
        <w:div w:id="443382833">
          <w:marLeft w:val="1166"/>
          <w:marRight w:val="0"/>
          <w:marTop w:val="110"/>
          <w:marBottom w:val="0"/>
          <w:divBdr>
            <w:top w:val="none" w:sz="0" w:space="0" w:color="auto"/>
            <w:left w:val="none" w:sz="0" w:space="0" w:color="auto"/>
            <w:bottom w:val="none" w:sz="0" w:space="0" w:color="auto"/>
            <w:right w:val="none" w:sz="0" w:space="0" w:color="auto"/>
          </w:divBdr>
        </w:div>
        <w:div w:id="1130783854">
          <w:marLeft w:val="1166"/>
          <w:marRight w:val="0"/>
          <w:marTop w:val="110"/>
          <w:marBottom w:val="0"/>
          <w:divBdr>
            <w:top w:val="none" w:sz="0" w:space="0" w:color="auto"/>
            <w:left w:val="none" w:sz="0" w:space="0" w:color="auto"/>
            <w:bottom w:val="none" w:sz="0" w:space="0" w:color="auto"/>
            <w:right w:val="none" w:sz="0" w:space="0" w:color="auto"/>
          </w:divBdr>
        </w:div>
        <w:div w:id="711226760">
          <w:marLeft w:val="547"/>
          <w:marRight w:val="0"/>
          <w:marTop w:val="110"/>
          <w:marBottom w:val="0"/>
          <w:divBdr>
            <w:top w:val="none" w:sz="0" w:space="0" w:color="auto"/>
            <w:left w:val="none" w:sz="0" w:space="0" w:color="auto"/>
            <w:bottom w:val="none" w:sz="0" w:space="0" w:color="auto"/>
            <w:right w:val="none" w:sz="0" w:space="0" w:color="auto"/>
          </w:divBdr>
        </w:div>
        <w:div w:id="1552307500">
          <w:marLeft w:val="1166"/>
          <w:marRight w:val="0"/>
          <w:marTop w:val="110"/>
          <w:marBottom w:val="0"/>
          <w:divBdr>
            <w:top w:val="none" w:sz="0" w:space="0" w:color="auto"/>
            <w:left w:val="none" w:sz="0" w:space="0" w:color="auto"/>
            <w:bottom w:val="none" w:sz="0" w:space="0" w:color="auto"/>
            <w:right w:val="none" w:sz="0" w:space="0" w:color="auto"/>
          </w:divBdr>
        </w:div>
        <w:div w:id="610280513">
          <w:marLeft w:val="547"/>
          <w:marRight w:val="0"/>
          <w:marTop w:val="110"/>
          <w:marBottom w:val="0"/>
          <w:divBdr>
            <w:top w:val="none" w:sz="0" w:space="0" w:color="auto"/>
            <w:left w:val="none" w:sz="0" w:space="0" w:color="auto"/>
            <w:bottom w:val="none" w:sz="0" w:space="0" w:color="auto"/>
            <w:right w:val="none" w:sz="0" w:space="0" w:color="auto"/>
          </w:divBdr>
        </w:div>
      </w:divsChild>
    </w:div>
    <w:div w:id="1729649629">
      <w:bodyDiv w:val="1"/>
      <w:marLeft w:val="0"/>
      <w:marRight w:val="0"/>
      <w:marTop w:val="0"/>
      <w:marBottom w:val="0"/>
      <w:divBdr>
        <w:top w:val="none" w:sz="0" w:space="0" w:color="auto"/>
        <w:left w:val="none" w:sz="0" w:space="0" w:color="auto"/>
        <w:bottom w:val="none" w:sz="0" w:space="0" w:color="auto"/>
        <w:right w:val="none" w:sz="0" w:space="0" w:color="auto"/>
      </w:divBdr>
    </w:div>
    <w:div w:id="1860894940">
      <w:bodyDiv w:val="1"/>
      <w:marLeft w:val="0"/>
      <w:marRight w:val="0"/>
      <w:marTop w:val="0"/>
      <w:marBottom w:val="0"/>
      <w:divBdr>
        <w:top w:val="none" w:sz="0" w:space="0" w:color="auto"/>
        <w:left w:val="none" w:sz="0" w:space="0" w:color="auto"/>
        <w:bottom w:val="none" w:sz="0" w:space="0" w:color="auto"/>
        <w:right w:val="none" w:sz="0" w:space="0" w:color="auto"/>
      </w:divBdr>
      <w:divsChild>
        <w:div w:id="335695704">
          <w:marLeft w:val="547"/>
          <w:marRight w:val="0"/>
          <w:marTop w:val="120"/>
          <w:marBottom w:val="0"/>
          <w:divBdr>
            <w:top w:val="none" w:sz="0" w:space="0" w:color="auto"/>
            <w:left w:val="none" w:sz="0" w:space="0" w:color="auto"/>
            <w:bottom w:val="none" w:sz="0" w:space="0" w:color="auto"/>
            <w:right w:val="none" w:sz="0" w:space="0" w:color="auto"/>
          </w:divBdr>
        </w:div>
        <w:div w:id="69811988">
          <w:marLeft w:val="1166"/>
          <w:marRight w:val="0"/>
          <w:marTop w:val="120"/>
          <w:marBottom w:val="0"/>
          <w:divBdr>
            <w:top w:val="none" w:sz="0" w:space="0" w:color="auto"/>
            <w:left w:val="none" w:sz="0" w:space="0" w:color="auto"/>
            <w:bottom w:val="none" w:sz="0" w:space="0" w:color="auto"/>
            <w:right w:val="none" w:sz="0" w:space="0" w:color="auto"/>
          </w:divBdr>
        </w:div>
        <w:div w:id="1310479820">
          <w:marLeft w:val="547"/>
          <w:marRight w:val="0"/>
          <w:marTop w:val="120"/>
          <w:marBottom w:val="0"/>
          <w:divBdr>
            <w:top w:val="none" w:sz="0" w:space="0" w:color="auto"/>
            <w:left w:val="none" w:sz="0" w:space="0" w:color="auto"/>
            <w:bottom w:val="none" w:sz="0" w:space="0" w:color="auto"/>
            <w:right w:val="none" w:sz="0" w:space="0" w:color="auto"/>
          </w:divBdr>
        </w:div>
        <w:div w:id="2058317137">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180D2-BE89-4D7E-9391-64E3CD78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8103</Words>
  <Characters>46188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54183</CharactersWithSpaces>
  <SharedDoc>false</SharedDoc>
  <HLinks>
    <vt:vector size="6" baseType="variant">
      <vt:variant>
        <vt:i4>655441</vt:i4>
      </vt:variant>
      <vt:variant>
        <vt:i4>0</vt:i4>
      </vt:variant>
      <vt:variant>
        <vt:i4>0</vt:i4>
      </vt:variant>
      <vt:variant>
        <vt:i4>5</vt:i4>
      </vt:variant>
      <vt:variant>
        <vt:lpwstr>http://www.sansa.org.za/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Osborne-Mullins</dc:creator>
  <cp:lastModifiedBy>Bradley Viljoen</cp:lastModifiedBy>
  <cp:revision>2</cp:revision>
  <cp:lastPrinted>2016-04-15T07:44:00Z</cp:lastPrinted>
  <dcterms:created xsi:type="dcterms:W3CDTF">2020-06-04T13:24:00Z</dcterms:created>
  <dcterms:modified xsi:type="dcterms:W3CDTF">2020-06-04T13:24:00Z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-1053549642</vt:i4>
  </property>
</Properties>
</file>