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CC"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REPORT OF THE PORTFOLIO COMMITTEE ON POLICE ON THE 20</w:t>
      </w:r>
      <w:r w:rsidR="00E041AF" w:rsidRPr="00332E2C">
        <w:rPr>
          <w:rFonts w:ascii="Arial" w:hAnsi="Arial" w:cs="Arial"/>
          <w:b/>
          <w:sz w:val="20"/>
          <w:szCs w:val="20"/>
        </w:rPr>
        <w:t>20</w:t>
      </w:r>
      <w:r w:rsidRPr="00332E2C">
        <w:rPr>
          <w:rFonts w:ascii="Arial" w:hAnsi="Arial" w:cs="Arial"/>
          <w:b/>
          <w:sz w:val="20"/>
          <w:szCs w:val="20"/>
        </w:rPr>
        <w:t>/2</w:t>
      </w:r>
      <w:r w:rsidR="00E041AF" w:rsidRPr="00332E2C">
        <w:rPr>
          <w:rFonts w:ascii="Arial" w:hAnsi="Arial" w:cs="Arial"/>
          <w:b/>
          <w:sz w:val="20"/>
          <w:szCs w:val="20"/>
        </w:rPr>
        <w:t>1</w:t>
      </w:r>
      <w:r w:rsidRPr="00332E2C">
        <w:rPr>
          <w:rFonts w:ascii="Arial" w:hAnsi="Arial" w:cs="Arial"/>
          <w:b/>
          <w:sz w:val="20"/>
          <w:szCs w:val="20"/>
        </w:rPr>
        <w:t xml:space="preserve"> BUDGET VOTE 2</w:t>
      </w:r>
      <w:r w:rsidR="000E786F" w:rsidRPr="00332E2C">
        <w:rPr>
          <w:rFonts w:ascii="Arial" w:hAnsi="Arial" w:cs="Arial"/>
          <w:b/>
          <w:sz w:val="20"/>
          <w:szCs w:val="20"/>
        </w:rPr>
        <w:t>4</w:t>
      </w:r>
      <w:r w:rsidRPr="00332E2C">
        <w:rPr>
          <w:rFonts w:ascii="Arial" w:hAnsi="Arial" w:cs="Arial"/>
          <w:b/>
          <w:sz w:val="20"/>
          <w:szCs w:val="20"/>
        </w:rPr>
        <w:t>, PERFORMANCE PLAN AND 20</w:t>
      </w:r>
      <w:r w:rsidR="00E041AF" w:rsidRPr="00332E2C">
        <w:rPr>
          <w:rFonts w:ascii="Arial" w:hAnsi="Arial" w:cs="Arial"/>
          <w:b/>
          <w:sz w:val="20"/>
          <w:szCs w:val="20"/>
        </w:rPr>
        <w:t xml:space="preserve">20 </w:t>
      </w:r>
      <w:r w:rsidRPr="00332E2C">
        <w:rPr>
          <w:rFonts w:ascii="Arial" w:hAnsi="Arial" w:cs="Arial"/>
          <w:b/>
          <w:sz w:val="20"/>
          <w:szCs w:val="20"/>
        </w:rPr>
        <w:t>-20</w:t>
      </w:r>
      <w:r w:rsidR="00E041AF" w:rsidRPr="00332E2C">
        <w:rPr>
          <w:rFonts w:ascii="Arial" w:hAnsi="Arial" w:cs="Arial"/>
          <w:b/>
          <w:sz w:val="20"/>
          <w:szCs w:val="20"/>
        </w:rPr>
        <w:t>25</w:t>
      </w:r>
      <w:r w:rsidRPr="00332E2C">
        <w:rPr>
          <w:rFonts w:ascii="Arial" w:hAnsi="Arial" w:cs="Arial"/>
          <w:b/>
          <w:sz w:val="20"/>
          <w:szCs w:val="20"/>
        </w:rPr>
        <w:t xml:space="preserve"> STRATEGIC PLAN OF THE INDEPENDENT POLICE INVESTIGATIVE DIRECTORATE (IPID), DATED </w:t>
      </w:r>
      <w:r w:rsidR="00E87595" w:rsidRPr="00332E2C">
        <w:rPr>
          <w:rFonts w:ascii="Arial" w:hAnsi="Arial" w:cs="Arial"/>
          <w:b/>
          <w:sz w:val="20"/>
          <w:szCs w:val="20"/>
        </w:rPr>
        <w:t>27</w:t>
      </w:r>
      <w:r w:rsidR="00E041AF" w:rsidRPr="00332E2C">
        <w:rPr>
          <w:rFonts w:ascii="Arial" w:hAnsi="Arial" w:cs="Arial"/>
          <w:b/>
          <w:sz w:val="20"/>
          <w:szCs w:val="20"/>
        </w:rPr>
        <w:t xml:space="preserve"> MAY </w:t>
      </w:r>
      <w:r w:rsidRPr="00332E2C">
        <w:rPr>
          <w:rFonts w:ascii="Arial" w:hAnsi="Arial" w:cs="Arial"/>
          <w:b/>
          <w:sz w:val="20"/>
          <w:szCs w:val="20"/>
        </w:rPr>
        <w:t>20</w:t>
      </w:r>
      <w:r w:rsidR="00E041AF" w:rsidRPr="00332E2C">
        <w:rPr>
          <w:rFonts w:ascii="Arial" w:hAnsi="Arial" w:cs="Arial"/>
          <w:b/>
          <w:sz w:val="20"/>
          <w:szCs w:val="20"/>
        </w:rPr>
        <w:t>20</w:t>
      </w:r>
      <w:bookmarkStart w:id="0" w:name="_GoBack"/>
      <w:bookmarkEnd w:id="0"/>
    </w:p>
    <w:p w:rsidR="00D90E1F" w:rsidRPr="00332E2C" w:rsidRDefault="00D90E1F"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The Committee examined the Budget and Annual Performance Plan (APP) for the 20</w:t>
      </w:r>
      <w:r w:rsidR="00E041AF" w:rsidRPr="00332E2C">
        <w:rPr>
          <w:rFonts w:ascii="Arial" w:hAnsi="Arial" w:cs="Arial"/>
          <w:sz w:val="20"/>
          <w:szCs w:val="20"/>
        </w:rPr>
        <w:t>20</w:t>
      </w:r>
      <w:r w:rsidRPr="00332E2C">
        <w:rPr>
          <w:rFonts w:ascii="Arial" w:hAnsi="Arial" w:cs="Arial"/>
          <w:sz w:val="20"/>
          <w:szCs w:val="20"/>
        </w:rPr>
        <w:t>/2</w:t>
      </w:r>
      <w:r w:rsidR="00E041AF" w:rsidRPr="00332E2C">
        <w:rPr>
          <w:rFonts w:ascii="Arial" w:hAnsi="Arial" w:cs="Arial"/>
          <w:sz w:val="20"/>
          <w:szCs w:val="20"/>
        </w:rPr>
        <w:t>1</w:t>
      </w:r>
      <w:r w:rsidRPr="00332E2C">
        <w:rPr>
          <w:rFonts w:ascii="Arial" w:hAnsi="Arial" w:cs="Arial"/>
          <w:sz w:val="20"/>
          <w:szCs w:val="20"/>
        </w:rPr>
        <w:t xml:space="preserve"> financial year of the Independent Police Investigative Directorate (IPID). The Committee reports as follows:</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b/>
          <w:sz w:val="20"/>
          <w:szCs w:val="20"/>
        </w:rPr>
        <w:t>1</w:t>
      </w:r>
      <w:r w:rsidRPr="00332E2C">
        <w:rPr>
          <w:rFonts w:ascii="Arial" w:hAnsi="Arial" w:cs="Arial"/>
          <w:sz w:val="20"/>
          <w:szCs w:val="20"/>
        </w:rPr>
        <w:t>.</w:t>
      </w:r>
      <w:r w:rsidRPr="00332E2C">
        <w:rPr>
          <w:rFonts w:ascii="Arial" w:hAnsi="Arial" w:cs="Arial"/>
          <w:sz w:val="20"/>
          <w:szCs w:val="20"/>
        </w:rPr>
        <w:tab/>
      </w:r>
      <w:r w:rsidRPr="00332E2C">
        <w:rPr>
          <w:rFonts w:ascii="Arial" w:hAnsi="Arial" w:cs="Arial"/>
          <w:b/>
          <w:sz w:val="20"/>
          <w:szCs w:val="20"/>
        </w:rPr>
        <w:t>INTRODUCTION</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The IPID Act, 2011 (Act No 1 of 2011) gives effect to section 206(6) of the Constitution, which makes provision for the establishment of an independent police complaints body. The objectives of the IPID Act are to:</w:t>
      </w:r>
    </w:p>
    <w:p w:rsidR="00EB6B72" w:rsidRPr="00332E2C" w:rsidRDefault="00EB6B72" w:rsidP="00332E2C">
      <w:pPr>
        <w:numPr>
          <w:ilvl w:val="0"/>
          <w:numId w:val="1"/>
        </w:numPr>
        <w:spacing w:after="0" w:line="240" w:lineRule="auto"/>
        <w:contextualSpacing/>
        <w:jc w:val="both"/>
        <w:rPr>
          <w:rFonts w:ascii="Arial" w:hAnsi="Arial" w:cs="Arial"/>
          <w:sz w:val="20"/>
          <w:szCs w:val="20"/>
        </w:rPr>
      </w:pPr>
      <w:r w:rsidRPr="00332E2C">
        <w:rPr>
          <w:rFonts w:ascii="Arial" w:hAnsi="Arial" w:cs="Arial"/>
          <w:sz w:val="20"/>
          <w:szCs w:val="20"/>
        </w:rPr>
        <w:t>Align provincial and national strategic objectives to enhance the functioning of the Directorate;</w:t>
      </w:r>
    </w:p>
    <w:p w:rsidR="00EB6B72" w:rsidRPr="00332E2C" w:rsidRDefault="00EB6B72" w:rsidP="00332E2C">
      <w:pPr>
        <w:numPr>
          <w:ilvl w:val="0"/>
          <w:numId w:val="1"/>
        </w:numPr>
        <w:spacing w:after="0" w:line="240" w:lineRule="auto"/>
        <w:contextualSpacing/>
        <w:jc w:val="both"/>
        <w:rPr>
          <w:rFonts w:ascii="Arial" w:hAnsi="Arial" w:cs="Arial"/>
          <w:sz w:val="20"/>
          <w:szCs w:val="20"/>
        </w:rPr>
      </w:pPr>
      <w:r w:rsidRPr="00332E2C">
        <w:rPr>
          <w:rFonts w:ascii="Arial" w:hAnsi="Arial" w:cs="Arial"/>
          <w:sz w:val="20"/>
          <w:szCs w:val="20"/>
        </w:rPr>
        <w:t>Provide for independent and impartial investigation of identified criminal offences allegedly committed by members of the SAPS and the Municipal Police Services (MPS);</w:t>
      </w:r>
    </w:p>
    <w:p w:rsidR="00EB6B72" w:rsidRPr="00332E2C" w:rsidRDefault="00EB6B72" w:rsidP="00332E2C">
      <w:pPr>
        <w:numPr>
          <w:ilvl w:val="0"/>
          <w:numId w:val="1"/>
        </w:numPr>
        <w:spacing w:after="0" w:line="240" w:lineRule="auto"/>
        <w:contextualSpacing/>
        <w:jc w:val="both"/>
        <w:rPr>
          <w:rFonts w:ascii="Arial" w:hAnsi="Arial" w:cs="Arial"/>
          <w:sz w:val="20"/>
          <w:szCs w:val="20"/>
        </w:rPr>
      </w:pPr>
      <w:r w:rsidRPr="00332E2C">
        <w:rPr>
          <w:rFonts w:ascii="Arial" w:hAnsi="Arial" w:cs="Arial"/>
          <w:sz w:val="20"/>
          <w:szCs w:val="20"/>
        </w:rPr>
        <w:t>Make disciplinary recommendations to the SAPS resulting from investigations conducted by the Directorate;</w:t>
      </w:r>
    </w:p>
    <w:p w:rsidR="00EB6B72" w:rsidRPr="00332E2C" w:rsidRDefault="00EB6B72" w:rsidP="00332E2C">
      <w:pPr>
        <w:numPr>
          <w:ilvl w:val="0"/>
          <w:numId w:val="1"/>
        </w:numPr>
        <w:spacing w:after="0" w:line="240" w:lineRule="auto"/>
        <w:contextualSpacing/>
        <w:jc w:val="both"/>
        <w:rPr>
          <w:rFonts w:ascii="Arial" w:hAnsi="Arial" w:cs="Arial"/>
          <w:sz w:val="20"/>
          <w:szCs w:val="20"/>
        </w:rPr>
      </w:pPr>
      <w:r w:rsidRPr="00332E2C">
        <w:rPr>
          <w:rFonts w:ascii="Arial" w:hAnsi="Arial" w:cs="Arial"/>
          <w:sz w:val="20"/>
          <w:szCs w:val="20"/>
        </w:rPr>
        <w:t>Provide for closer cooperation between the Directorate and the Secretariat; and</w:t>
      </w:r>
    </w:p>
    <w:p w:rsidR="00EB6B72" w:rsidRPr="00332E2C" w:rsidRDefault="00EB6B72" w:rsidP="00332E2C">
      <w:pPr>
        <w:numPr>
          <w:ilvl w:val="0"/>
          <w:numId w:val="1"/>
        </w:numPr>
        <w:spacing w:after="0" w:line="240" w:lineRule="auto"/>
        <w:contextualSpacing/>
        <w:jc w:val="both"/>
        <w:rPr>
          <w:rFonts w:ascii="Arial" w:hAnsi="Arial" w:cs="Arial"/>
          <w:sz w:val="20"/>
          <w:szCs w:val="20"/>
        </w:rPr>
      </w:pPr>
      <w:r w:rsidRPr="00332E2C">
        <w:rPr>
          <w:rFonts w:ascii="Arial" w:hAnsi="Arial" w:cs="Arial"/>
          <w:sz w:val="20"/>
          <w:szCs w:val="20"/>
        </w:rPr>
        <w:t>Enhance accountability and transparency of the SAPS and the Municipal Police Services in accordance with the principles of the Constitution.</w:t>
      </w:r>
    </w:p>
    <w:p w:rsidR="00E041AF" w:rsidRPr="00332E2C" w:rsidRDefault="00E041AF"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The IPID Act provided the Directorate with an extended mandate which focuses on more serious crimes committed by members of the SAPS and the MPS. It further obliges the SAPS and the MPS to report on matters that must be investigated by the IPID and regarding the implementation of disciplinary recommendations made by the IPID upon the completion of investigations.</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In terms of section 28 (1) of the Act, the Directorate is obliged to investigate:</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Any deaths in police custody;</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Deaths as a result of police actions;</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Complaints relating to the discharge of an official firearm by any police officer;</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Rape by a police officer, whether the police officer is on or off duty;</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Rape of any person in police custody;</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Any complaint of torture or assault against a police officer in the execution of his or her duties;</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Corruption matters within the police initiated by the Executive Director, or after a complaint from a member of the public or referred to the Directorate by the Minister, a Member of the Executive Committee (MEC) or the Secretary for the Police Service; and</w:t>
      </w:r>
    </w:p>
    <w:p w:rsidR="00EB6B72" w:rsidRPr="00332E2C" w:rsidRDefault="00EB6B72" w:rsidP="00332E2C">
      <w:pPr>
        <w:numPr>
          <w:ilvl w:val="0"/>
          <w:numId w:val="10"/>
        </w:numPr>
        <w:spacing w:after="0" w:line="240" w:lineRule="auto"/>
        <w:contextualSpacing/>
        <w:jc w:val="both"/>
        <w:rPr>
          <w:rFonts w:ascii="Arial" w:hAnsi="Arial" w:cs="Arial"/>
          <w:sz w:val="20"/>
          <w:szCs w:val="20"/>
        </w:rPr>
      </w:pPr>
      <w:r w:rsidRPr="00332E2C">
        <w:rPr>
          <w:rFonts w:ascii="Arial" w:hAnsi="Arial" w:cs="Arial"/>
          <w:sz w:val="20"/>
          <w:szCs w:val="20"/>
        </w:rPr>
        <w:t>Any other matter referred to the IPID as a result of a decision by the Executive Director or if so requested by the Minister, an MEC or the Secretary for the Police Service as the case may be.</w:t>
      </w:r>
    </w:p>
    <w:p w:rsidR="00B110E4" w:rsidRPr="00332E2C" w:rsidRDefault="00B110E4"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Section 28 (2) further provides that the Directorate may investigate matters relating to systemic corruption involving the police. In terms of Section 30 of the IPID Act, the National Commissioner or the appropriate Provincial Commissioner must:</w:t>
      </w:r>
    </w:p>
    <w:p w:rsidR="00EB6B72" w:rsidRPr="00332E2C" w:rsidRDefault="00EB6B72" w:rsidP="00332E2C">
      <w:pPr>
        <w:numPr>
          <w:ilvl w:val="0"/>
          <w:numId w:val="11"/>
        </w:numPr>
        <w:spacing w:after="0" w:line="240" w:lineRule="auto"/>
        <w:contextualSpacing/>
        <w:jc w:val="both"/>
        <w:rPr>
          <w:rFonts w:ascii="Arial" w:hAnsi="Arial" w:cs="Arial"/>
          <w:sz w:val="20"/>
          <w:szCs w:val="20"/>
        </w:rPr>
      </w:pPr>
      <w:r w:rsidRPr="00332E2C">
        <w:rPr>
          <w:rFonts w:ascii="Arial" w:hAnsi="Arial" w:cs="Arial"/>
          <w:sz w:val="20"/>
          <w:szCs w:val="20"/>
        </w:rPr>
        <w:t>Within 30 days of receipt thereof, initiate disciplinary proceedings in terms of the recommendations made by the Department of Police and inform the Minister in writing, and provide a copy thereof to the Executive Director and the Secretary;</w:t>
      </w:r>
    </w:p>
    <w:p w:rsidR="00EB6B72" w:rsidRPr="00332E2C" w:rsidRDefault="00EB6B72" w:rsidP="00332E2C">
      <w:pPr>
        <w:spacing w:after="0" w:line="240" w:lineRule="auto"/>
        <w:ind w:left="720"/>
        <w:contextualSpacing/>
        <w:jc w:val="both"/>
        <w:rPr>
          <w:rFonts w:ascii="Arial" w:hAnsi="Arial" w:cs="Arial"/>
          <w:sz w:val="20"/>
          <w:szCs w:val="20"/>
        </w:rPr>
      </w:pPr>
    </w:p>
    <w:p w:rsidR="00EB6B72" w:rsidRPr="00332E2C" w:rsidRDefault="00EB6B72" w:rsidP="00332E2C">
      <w:pPr>
        <w:numPr>
          <w:ilvl w:val="0"/>
          <w:numId w:val="11"/>
        </w:numPr>
        <w:spacing w:after="0" w:line="240" w:lineRule="auto"/>
        <w:contextualSpacing/>
        <w:jc w:val="both"/>
        <w:rPr>
          <w:rFonts w:ascii="Arial" w:hAnsi="Arial" w:cs="Arial"/>
          <w:sz w:val="20"/>
          <w:szCs w:val="20"/>
        </w:rPr>
      </w:pPr>
      <w:r w:rsidRPr="00332E2C">
        <w:rPr>
          <w:rFonts w:ascii="Arial" w:hAnsi="Arial" w:cs="Arial"/>
          <w:sz w:val="20"/>
          <w:szCs w:val="20"/>
        </w:rPr>
        <w:t>Quarterly submit a written report to the Minister on the progress regarding disciplinary matters made in terms of paragraph (a) and provide a copy thereof to the Executive;</w:t>
      </w:r>
    </w:p>
    <w:p w:rsidR="00EB6B72" w:rsidRPr="00332E2C" w:rsidRDefault="00EB6B72" w:rsidP="00332E2C">
      <w:pPr>
        <w:spacing w:after="0" w:line="240" w:lineRule="auto"/>
        <w:ind w:left="720"/>
        <w:contextualSpacing/>
        <w:rPr>
          <w:rFonts w:ascii="Arial" w:hAnsi="Arial" w:cs="Arial"/>
          <w:sz w:val="20"/>
          <w:szCs w:val="20"/>
        </w:rPr>
      </w:pPr>
    </w:p>
    <w:p w:rsidR="00EB6B72" w:rsidRPr="00332E2C" w:rsidRDefault="00EB6B72" w:rsidP="00332E2C">
      <w:pPr>
        <w:numPr>
          <w:ilvl w:val="0"/>
          <w:numId w:val="11"/>
        </w:numPr>
        <w:spacing w:after="0" w:line="240" w:lineRule="auto"/>
        <w:contextualSpacing/>
        <w:jc w:val="both"/>
        <w:rPr>
          <w:rFonts w:ascii="Arial" w:hAnsi="Arial" w:cs="Arial"/>
          <w:sz w:val="20"/>
          <w:szCs w:val="20"/>
        </w:rPr>
      </w:pPr>
      <w:r w:rsidRPr="00332E2C">
        <w:rPr>
          <w:rFonts w:ascii="Arial" w:hAnsi="Arial" w:cs="Arial"/>
          <w:sz w:val="20"/>
          <w:szCs w:val="20"/>
        </w:rPr>
        <w:t>Immediately on finalisation of any disciplinary matter referred to it by the Department of Police, to inform the Minister in writing of the outcome thereof and provide a copy thereof to the Executive Director and the Secretary.</w:t>
      </w:r>
    </w:p>
    <w:p w:rsidR="00EB6B72" w:rsidRPr="00332E2C" w:rsidRDefault="00EB6B72"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1.1.</w:t>
      </w:r>
      <w:r w:rsidRPr="00332E2C">
        <w:rPr>
          <w:rFonts w:ascii="Arial" w:hAnsi="Arial" w:cs="Arial"/>
          <w:b/>
          <w:sz w:val="20"/>
          <w:szCs w:val="20"/>
        </w:rPr>
        <w:tab/>
        <w:t xml:space="preserve">Structure of the report </w:t>
      </w: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sz w:val="20"/>
          <w:szCs w:val="20"/>
        </w:rPr>
        <w:t>The Report provides an overview of the 20</w:t>
      </w:r>
      <w:r w:rsidR="000E786F" w:rsidRPr="00332E2C">
        <w:rPr>
          <w:rFonts w:ascii="Arial" w:hAnsi="Arial" w:cs="Arial"/>
          <w:sz w:val="20"/>
          <w:szCs w:val="20"/>
        </w:rPr>
        <w:t>20</w:t>
      </w:r>
      <w:r w:rsidRPr="00332E2C">
        <w:rPr>
          <w:rFonts w:ascii="Arial" w:hAnsi="Arial" w:cs="Arial"/>
          <w:sz w:val="20"/>
          <w:szCs w:val="20"/>
        </w:rPr>
        <w:t>/2</w:t>
      </w:r>
      <w:r w:rsidR="000E786F" w:rsidRPr="00332E2C">
        <w:rPr>
          <w:rFonts w:ascii="Arial" w:hAnsi="Arial" w:cs="Arial"/>
          <w:sz w:val="20"/>
          <w:szCs w:val="20"/>
        </w:rPr>
        <w:t>1</w:t>
      </w:r>
      <w:r w:rsidRPr="00332E2C">
        <w:rPr>
          <w:rFonts w:ascii="Arial" w:hAnsi="Arial" w:cs="Arial"/>
          <w:sz w:val="20"/>
          <w:szCs w:val="20"/>
        </w:rPr>
        <w:t xml:space="preserve"> Budget Hearings of the IPID and is divided into the following sections: </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t xml:space="preserve">Section 1: Introduction. This section provides an introduction to this Report as well as a summary of meetings held during the hearings. </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t xml:space="preserve">Section 2: Strategic Priorities of the IPID for the 2019/20 financial year. This section provides a summary of the strategic focus areas for the IPID for the year under review. </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lastRenderedPageBreak/>
        <w:t xml:space="preserve">Section 3: IPID Budget and Performance targets for 2019/20. This section provides an overall analysis of the estimates of national expenditure of the IPID for the 2019/20 financial year. This section also provides a programme analysis of the IPID. </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t>Section 4: Committee observations. This section highlights selected observations made by the Portfolio Committee on Police on the annual performance targets and programme specific issues during the 2019/20 budget hearings and subsequent responses by the IPID.</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t xml:space="preserve">Section 5: Recommendations and additional information. This section summarises the recommendations made by the Portfolio Committee on Police, as well as the additional information requested from the IPID. </w:t>
      </w:r>
    </w:p>
    <w:p w:rsidR="00EB6B72" w:rsidRPr="00332E2C" w:rsidRDefault="00EB6B72" w:rsidP="00332E2C">
      <w:pPr>
        <w:numPr>
          <w:ilvl w:val="0"/>
          <w:numId w:val="2"/>
        </w:numPr>
        <w:spacing w:after="0" w:line="240" w:lineRule="auto"/>
        <w:contextualSpacing/>
        <w:jc w:val="both"/>
        <w:rPr>
          <w:rFonts w:ascii="Arial" w:hAnsi="Arial" w:cs="Arial"/>
          <w:sz w:val="20"/>
          <w:szCs w:val="20"/>
        </w:rPr>
      </w:pPr>
      <w:r w:rsidRPr="00332E2C">
        <w:rPr>
          <w:rFonts w:ascii="Arial" w:hAnsi="Arial" w:cs="Arial"/>
          <w:sz w:val="20"/>
          <w:szCs w:val="20"/>
        </w:rPr>
        <w:t>Section 6: Conclusion. This section provides a conclusion to this Report.</w:t>
      </w:r>
    </w:p>
    <w:p w:rsidR="00EB6B72" w:rsidRPr="00332E2C" w:rsidRDefault="00EB6B72"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1.2</w:t>
      </w:r>
      <w:r w:rsidRPr="00332E2C">
        <w:rPr>
          <w:rFonts w:ascii="Arial" w:hAnsi="Arial" w:cs="Arial"/>
          <w:sz w:val="20"/>
          <w:szCs w:val="20"/>
        </w:rPr>
        <w:t>.</w:t>
      </w:r>
      <w:r w:rsidRPr="00332E2C">
        <w:rPr>
          <w:rFonts w:ascii="Arial" w:hAnsi="Arial" w:cs="Arial"/>
          <w:sz w:val="20"/>
          <w:szCs w:val="20"/>
        </w:rPr>
        <w:tab/>
      </w:r>
      <w:r w:rsidRPr="00332E2C">
        <w:rPr>
          <w:rFonts w:ascii="Arial" w:hAnsi="Arial" w:cs="Arial"/>
          <w:b/>
          <w:sz w:val="20"/>
          <w:szCs w:val="20"/>
        </w:rPr>
        <w:t>Meetings held</w:t>
      </w:r>
    </w:p>
    <w:p w:rsidR="00EB6B72" w:rsidRPr="00332E2C" w:rsidRDefault="00E87595" w:rsidP="00332E2C">
      <w:pPr>
        <w:spacing w:after="0" w:line="240" w:lineRule="auto"/>
        <w:jc w:val="both"/>
        <w:rPr>
          <w:rFonts w:ascii="Arial" w:hAnsi="Arial" w:cs="Arial"/>
          <w:sz w:val="20"/>
          <w:szCs w:val="20"/>
        </w:rPr>
      </w:pPr>
      <w:r w:rsidRPr="00332E2C">
        <w:rPr>
          <w:rFonts w:ascii="Arial" w:hAnsi="Arial" w:cs="Arial"/>
          <w:sz w:val="20"/>
          <w:szCs w:val="20"/>
        </w:rPr>
        <w:t xml:space="preserve">The Committee received </w:t>
      </w:r>
      <w:r w:rsidR="000E786F" w:rsidRPr="00332E2C">
        <w:rPr>
          <w:rFonts w:ascii="Arial" w:hAnsi="Arial" w:cs="Arial"/>
          <w:sz w:val="20"/>
          <w:szCs w:val="20"/>
        </w:rPr>
        <w:t xml:space="preserve">virtual </w:t>
      </w:r>
      <w:r w:rsidR="00EB6B72" w:rsidRPr="00332E2C">
        <w:rPr>
          <w:rFonts w:ascii="Arial" w:hAnsi="Arial" w:cs="Arial"/>
          <w:sz w:val="20"/>
          <w:szCs w:val="20"/>
        </w:rPr>
        <w:t>briefing</w:t>
      </w:r>
      <w:r w:rsidRPr="00332E2C">
        <w:rPr>
          <w:rFonts w:ascii="Arial" w:hAnsi="Arial" w:cs="Arial"/>
          <w:sz w:val="20"/>
          <w:szCs w:val="20"/>
        </w:rPr>
        <w:t>s</w:t>
      </w:r>
      <w:r w:rsidR="00EB6B72" w:rsidRPr="00332E2C">
        <w:rPr>
          <w:rFonts w:ascii="Arial" w:hAnsi="Arial" w:cs="Arial"/>
          <w:sz w:val="20"/>
          <w:szCs w:val="20"/>
        </w:rPr>
        <w:t xml:space="preserve"> from the IPID on the Annual Performance Plan</w:t>
      </w:r>
      <w:r w:rsidR="000E786F" w:rsidRPr="00332E2C">
        <w:rPr>
          <w:rFonts w:ascii="Arial" w:hAnsi="Arial" w:cs="Arial"/>
          <w:sz w:val="20"/>
          <w:szCs w:val="20"/>
        </w:rPr>
        <w:t>, Strategic Plan (2020-2025)</w:t>
      </w:r>
      <w:r w:rsidR="00EB6B72" w:rsidRPr="00332E2C">
        <w:rPr>
          <w:rFonts w:ascii="Arial" w:hAnsi="Arial" w:cs="Arial"/>
          <w:sz w:val="20"/>
          <w:szCs w:val="20"/>
        </w:rPr>
        <w:t xml:space="preserve"> and 20</w:t>
      </w:r>
      <w:r w:rsidR="000E786F" w:rsidRPr="00332E2C">
        <w:rPr>
          <w:rFonts w:ascii="Arial" w:hAnsi="Arial" w:cs="Arial"/>
          <w:sz w:val="20"/>
          <w:szCs w:val="20"/>
        </w:rPr>
        <w:t>20</w:t>
      </w:r>
      <w:r w:rsidR="00EB6B72" w:rsidRPr="00332E2C">
        <w:rPr>
          <w:rFonts w:ascii="Arial" w:hAnsi="Arial" w:cs="Arial"/>
          <w:sz w:val="20"/>
          <w:szCs w:val="20"/>
        </w:rPr>
        <w:t>/2</w:t>
      </w:r>
      <w:r w:rsidR="000E786F" w:rsidRPr="00332E2C">
        <w:rPr>
          <w:rFonts w:ascii="Arial" w:hAnsi="Arial" w:cs="Arial"/>
          <w:sz w:val="20"/>
          <w:szCs w:val="20"/>
        </w:rPr>
        <w:t>1</w:t>
      </w:r>
      <w:r w:rsidR="00EB6B72" w:rsidRPr="00332E2C">
        <w:rPr>
          <w:rFonts w:ascii="Arial" w:hAnsi="Arial" w:cs="Arial"/>
          <w:sz w:val="20"/>
          <w:szCs w:val="20"/>
        </w:rPr>
        <w:t xml:space="preserve"> Budget on </w:t>
      </w:r>
      <w:r w:rsidR="000E786F" w:rsidRPr="00332E2C">
        <w:rPr>
          <w:rFonts w:ascii="Arial" w:hAnsi="Arial" w:cs="Arial"/>
          <w:sz w:val="20"/>
          <w:szCs w:val="20"/>
        </w:rPr>
        <w:t>13</w:t>
      </w:r>
      <w:r w:rsidRPr="00332E2C">
        <w:rPr>
          <w:rFonts w:ascii="Arial" w:hAnsi="Arial" w:cs="Arial"/>
          <w:sz w:val="20"/>
          <w:szCs w:val="20"/>
        </w:rPr>
        <w:t xml:space="preserve">and 22 </w:t>
      </w:r>
      <w:r w:rsidR="000E786F" w:rsidRPr="00332E2C">
        <w:rPr>
          <w:rFonts w:ascii="Arial" w:hAnsi="Arial" w:cs="Arial"/>
          <w:sz w:val="20"/>
          <w:szCs w:val="20"/>
        </w:rPr>
        <w:t>May 2020</w:t>
      </w:r>
      <w:r w:rsidR="00EB6B72" w:rsidRPr="00332E2C">
        <w:rPr>
          <w:rFonts w:ascii="Arial" w:hAnsi="Arial" w:cs="Arial"/>
          <w:sz w:val="20"/>
          <w:szCs w:val="20"/>
        </w:rPr>
        <w:t>.</w:t>
      </w:r>
    </w:p>
    <w:p w:rsidR="000E786F" w:rsidRPr="00332E2C" w:rsidRDefault="000E786F" w:rsidP="00332E2C">
      <w:pPr>
        <w:spacing w:after="0" w:line="240" w:lineRule="auto"/>
        <w:jc w:val="both"/>
        <w:rPr>
          <w:rFonts w:ascii="Arial" w:hAnsi="Arial" w:cs="Arial"/>
          <w:sz w:val="20"/>
          <w:szCs w:val="20"/>
        </w:rPr>
      </w:pPr>
    </w:p>
    <w:p w:rsidR="000E786F" w:rsidRPr="00332E2C" w:rsidRDefault="000E786F" w:rsidP="00332E2C">
      <w:pPr>
        <w:spacing w:after="0" w:line="240" w:lineRule="auto"/>
        <w:jc w:val="both"/>
        <w:rPr>
          <w:rFonts w:ascii="Arial" w:hAnsi="Arial" w:cs="Arial"/>
          <w:b/>
          <w:sz w:val="20"/>
          <w:szCs w:val="20"/>
        </w:rPr>
      </w:pPr>
      <w:r w:rsidRPr="00332E2C">
        <w:rPr>
          <w:rFonts w:ascii="Arial" w:hAnsi="Arial" w:cs="Arial"/>
          <w:b/>
          <w:sz w:val="20"/>
          <w:szCs w:val="20"/>
        </w:rPr>
        <w:t>1.3</w:t>
      </w:r>
      <w:r w:rsidRPr="00332E2C">
        <w:rPr>
          <w:rFonts w:ascii="Arial" w:hAnsi="Arial" w:cs="Arial"/>
          <w:b/>
          <w:sz w:val="20"/>
          <w:szCs w:val="20"/>
        </w:rPr>
        <w:tab/>
        <w:t>COVID-19 Pandemic</w:t>
      </w:r>
    </w:p>
    <w:p w:rsidR="000E786F"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 xml:space="preserve">The President announced a lockdown of the nation on 23 March 2020 in order to prevent further infections of and spread of the Covid-19 Corona virus. The lockdown took effect on 26 March 2020. The terms of the lockdown period were declared in terms of the Disaster Management Act (57 of 2002), and the Regulations provides that the South African Police Service (SAPS) is supported by the South African National Defence Force (SANDF) and the Metro Police during the period of the lockdown. The period of the national lockdown was declared from 26 March 2020 </w:t>
      </w:r>
      <w:r w:rsidR="0078391F" w:rsidRPr="00332E2C">
        <w:rPr>
          <w:rFonts w:ascii="Arial" w:hAnsi="Arial" w:cs="Arial"/>
          <w:sz w:val="20"/>
          <w:szCs w:val="20"/>
        </w:rPr>
        <w:t>- 16 April 2020 in terms of section 27 of the Disaster Management Act</w:t>
      </w:r>
      <w:r w:rsidRPr="00332E2C">
        <w:rPr>
          <w:rFonts w:ascii="Arial" w:hAnsi="Arial" w:cs="Arial"/>
          <w:sz w:val="20"/>
          <w:szCs w:val="20"/>
        </w:rPr>
        <w:t xml:space="preserve"> announced by the Minister of Co-operative Governance and Traditional Affairs in the Government Notice No. 398, published in the Government Gazette, No. 43148 on 25 March 2020. The lockdown period was subsequently extended by the </w:t>
      </w:r>
      <w:r w:rsidR="0078391F" w:rsidRPr="00332E2C">
        <w:rPr>
          <w:rFonts w:ascii="Arial" w:hAnsi="Arial" w:cs="Arial"/>
          <w:sz w:val="20"/>
          <w:szCs w:val="20"/>
        </w:rPr>
        <w:t>Minister</w:t>
      </w:r>
      <w:r w:rsidRPr="00332E2C">
        <w:rPr>
          <w:rFonts w:ascii="Arial" w:hAnsi="Arial" w:cs="Arial"/>
          <w:sz w:val="20"/>
          <w:szCs w:val="20"/>
        </w:rPr>
        <w:t xml:space="preserve"> to the end of April 2020 and again until the end of May 2020.</w:t>
      </w:r>
    </w:p>
    <w:p w:rsidR="00A7455B"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 xml:space="preserve">The National Regulations provides for the police to enforce the provisions of the lockdown. This includes for the SAPS, SANDF and Metro Police to amongst others, makes sure that the movement of people and goods are restricted and people are confined to their homes; public transport on the public streets are prohibited with the exception of emergency and health workers; businesses that are not essential services are closed and public places such as taxi ranks remain closed. </w:t>
      </w:r>
    </w:p>
    <w:p w:rsidR="00A7455B"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 xml:space="preserve">The provisions of the Disaster Management Act (2002) together with the Lockdown Regulations places certain obligations on the police to enforce the regulations for the duration of the period of the Lockdown. </w:t>
      </w:r>
    </w:p>
    <w:p w:rsidR="00A7455B"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The IPID has the mandate to investigate any police misconduct and that mandate applies even during the State of National Disaster and the lockdown period. The IPID mandate pertains as the lockdown does not presuppose a suspension of the Constitution and all the members of the SAPS and Metro Police are subject to the Constitutional provisions. This means that the rights of the public to human dignity as enshrined in the Constitution, remains intact and the right of people to be treated fairly must be respected. It also means that police officers should be held accountable for their actions during the period of the lockdown.</w:t>
      </w:r>
    </w:p>
    <w:p w:rsidR="00A7455B"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The Committee has held hearings with IPID on the impact and management of the lockdown and reports and allegations of police brutality and heavy-handedness during the lockdown and the impact on IPID investigations on 29 April 2020 and 8 May 2020.</w:t>
      </w:r>
    </w:p>
    <w:p w:rsidR="00A7455B" w:rsidRPr="00332E2C" w:rsidRDefault="00A7455B" w:rsidP="00332E2C">
      <w:pPr>
        <w:spacing w:after="0" w:line="240" w:lineRule="auto"/>
        <w:jc w:val="both"/>
        <w:rPr>
          <w:rFonts w:ascii="Arial" w:hAnsi="Arial" w:cs="Arial"/>
          <w:sz w:val="20"/>
          <w:szCs w:val="20"/>
        </w:rPr>
      </w:pPr>
      <w:r w:rsidRPr="00332E2C">
        <w:rPr>
          <w:rFonts w:ascii="Arial" w:hAnsi="Arial" w:cs="Arial"/>
          <w:sz w:val="20"/>
          <w:szCs w:val="20"/>
        </w:rPr>
        <w:t>It is clear that the C</w:t>
      </w:r>
      <w:r w:rsidR="00B87B57" w:rsidRPr="00332E2C">
        <w:rPr>
          <w:rFonts w:ascii="Arial" w:hAnsi="Arial" w:cs="Arial"/>
          <w:sz w:val="20"/>
          <w:szCs w:val="20"/>
        </w:rPr>
        <w:t>OVID-19 pandemic has already impacted on the IPID operations and investigations.</w:t>
      </w:r>
    </w:p>
    <w:p w:rsidR="0087648D" w:rsidRPr="00332E2C" w:rsidRDefault="0087648D" w:rsidP="00332E2C">
      <w:pPr>
        <w:spacing w:after="0" w:line="240" w:lineRule="auto"/>
        <w:jc w:val="both"/>
        <w:rPr>
          <w:rFonts w:ascii="Arial" w:hAnsi="Arial" w:cs="Arial"/>
          <w:sz w:val="20"/>
          <w:szCs w:val="20"/>
        </w:rPr>
      </w:pPr>
    </w:p>
    <w:p w:rsidR="0087648D" w:rsidRPr="00332E2C" w:rsidRDefault="0087648D" w:rsidP="00332E2C">
      <w:pPr>
        <w:spacing w:after="0" w:line="240" w:lineRule="auto"/>
        <w:jc w:val="both"/>
        <w:rPr>
          <w:rFonts w:ascii="Arial" w:hAnsi="Arial" w:cs="Arial"/>
          <w:b/>
          <w:sz w:val="20"/>
          <w:szCs w:val="20"/>
        </w:rPr>
      </w:pPr>
      <w:r w:rsidRPr="00332E2C">
        <w:rPr>
          <w:rFonts w:ascii="Arial" w:hAnsi="Arial" w:cs="Arial"/>
          <w:b/>
          <w:sz w:val="20"/>
          <w:szCs w:val="20"/>
        </w:rPr>
        <w:t>1.4</w:t>
      </w:r>
      <w:r w:rsidRPr="00332E2C">
        <w:rPr>
          <w:rFonts w:ascii="Arial" w:hAnsi="Arial" w:cs="Arial"/>
          <w:b/>
          <w:sz w:val="20"/>
          <w:szCs w:val="20"/>
        </w:rPr>
        <w:tab/>
        <w:t>IPID Executive Director</w:t>
      </w:r>
    </w:p>
    <w:p w:rsidR="0087648D" w:rsidRPr="00332E2C" w:rsidRDefault="0087648D" w:rsidP="00332E2C">
      <w:pPr>
        <w:spacing w:after="0" w:line="240" w:lineRule="auto"/>
        <w:jc w:val="both"/>
        <w:rPr>
          <w:rFonts w:ascii="Arial" w:hAnsi="Arial" w:cs="Arial"/>
          <w:sz w:val="20"/>
          <w:szCs w:val="20"/>
        </w:rPr>
      </w:pPr>
      <w:r w:rsidRPr="00332E2C">
        <w:rPr>
          <w:rFonts w:ascii="Arial" w:hAnsi="Arial" w:cs="Arial"/>
          <w:sz w:val="20"/>
          <w:szCs w:val="20"/>
        </w:rPr>
        <w:t>The 5th Parliament was marked by conflict over the tenure of the Executive Director of IPID which was the basis of three court cases. The former Executive Director’s contract of employment ended in February 2019 and was not renewed for another term. The former Executive Director challenged the non-renewal in the High Court, which facilitated an agreement that the Portfolio Committee on Police deliberate on the merits of renewal/non-renewal. On 28 February 2019, the Committee recommended that Mr McBride’s contract should not be renewed. The decision is currently being challenge and will presumably be referred back to the Committee depending on the outcome thereof.</w:t>
      </w:r>
    </w:p>
    <w:p w:rsidR="0087648D" w:rsidRPr="00332E2C" w:rsidRDefault="0087648D" w:rsidP="00332E2C">
      <w:pPr>
        <w:spacing w:after="0" w:line="240" w:lineRule="auto"/>
        <w:jc w:val="both"/>
        <w:rPr>
          <w:rFonts w:ascii="Arial" w:hAnsi="Arial" w:cs="Arial"/>
          <w:sz w:val="20"/>
          <w:szCs w:val="20"/>
        </w:rPr>
      </w:pPr>
      <w:r w:rsidRPr="00332E2C">
        <w:rPr>
          <w:rFonts w:ascii="Arial" w:hAnsi="Arial" w:cs="Arial"/>
          <w:sz w:val="20"/>
          <w:szCs w:val="20"/>
        </w:rPr>
        <w:t xml:space="preserve">As stated above, the position of the Executive Director of IPID became vacant from 01 March 2019. On this date, Mr Victor Senna (Chief Financial Officer: IPID) was appointed as Acting Executive Director of the IPID. Since then, the position has not been filled permanently. However, as per the Public Service Act, 1994 (Act No. 103 of 1994), a vacant position may not be filled by an acting person for longer than one year. As such, the Minister of Police appointed Mr Patrick Setshedi </w:t>
      </w:r>
      <w:r w:rsidRPr="00332E2C">
        <w:rPr>
          <w:rFonts w:ascii="Arial" w:hAnsi="Arial" w:cs="Arial"/>
          <w:sz w:val="20"/>
          <w:szCs w:val="20"/>
        </w:rPr>
        <w:lastRenderedPageBreak/>
        <w:t>(Director for Finance: IPID) as Acting Executive Director for a two-month period starting from 01 March 2020 to 30 April 2020.</w:t>
      </w:r>
    </w:p>
    <w:p w:rsidR="0087648D" w:rsidRPr="00332E2C" w:rsidRDefault="0087648D" w:rsidP="00332E2C">
      <w:pPr>
        <w:spacing w:after="0" w:line="240" w:lineRule="auto"/>
        <w:jc w:val="both"/>
        <w:rPr>
          <w:rFonts w:ascii="Arial" w:hAnsi="Arial" w:cs="Arial"/>
          <w:sz w:val="20"/>
          <w:szCs w:val="20"/>
        </w:rPr>
      </w:pPr>
      <w:r w:rsidRPr="00332E2C">
        <w:rPr>
          <w:rFonts w:ascii="Arial" w:hAnsi="Arial" w:cs="Arial"/>
          <w:sz w:val="20"/>
          <w:szCs w:val="20"/>
        </w:rPr>
        <w:t xml:space="preserve">The Portfolio Committee on Police discussed the topic of the Executive Director of IPID on 04 March 2020. The Deputy Minister of Police indicated that the Ministry would embark on a headhunting process to appoint the new Head of IPID, as previous rounds of recruitment did not deliver a suitable candidate. The Committee had a robust discussion on the topic during which the concerns around the headhunting process were raised, including that headhunting is not guided by legislation or regulations. It was decided that three candidates (with CVs) would be presented to the Committee for </w:t>
      </w:r>
      <w:r w:rsidR="00C558E9" w:rsidRPr="00332E2C">
        <w:rPr>
          <w:rFonts w:ascii="Arial" w:hAnsi="Arial" w:cs="Arial"/>
          <w:sz w:val="20"/>
          <w:szCs w:val="20"/>
        </w:rPr>
        <w:t>consideration and approval of one candidate.</w:t>
      </w:r>
    </w:p>
    <w:p w:rsidR="0087648D" w:rsidRPr="00332E2C" w:rsidRDefault="0087648D" w:rsidP="00332E2C">
      <w:pPr>
        <w:spacing w:after="0" w:line="240" w:lineRule="auto"/>
        <w:jc w:val="both"/>
        <w:rPr>
          <w:rFonts w:ascii="Arial" w:hAnsi="Arial" w:cs="Arial"/>
          <w:sz w:val="20"/>
          <w:szCs w:val="20"/>
        </w:rPr>
      </w:pPr>
      <w:r w:rsidRPr="00332E2C">
        <w:rPr>
          <w:rFonts w:ascii="Arial" w:hAnsi="Arial" w:cs="Arial"/>
          <w:sz w:val="20"/>
          <w:szCs w:val="20"/>
        </w:rPr>
        <w:t>The Committee has not yet received any nominations from the Minister at the time the Budget hearings were held.Based on the provisions of the Act, the Minster of Police is in contravention of section 6(5) in that the period provided for the appointment of a permanent Executive Director has lapsed.</w:t>
      </w:r>
    </w:p>
    <w:p w:rsidR="000E786F" w:rsidRPr="00332E2C" w:rsidRDefault="00A7455B" w:rsidP="00332E2C">
      <w:pPr>
        <w:tabs>
          <w:tab w:val="left" w:pos="7050"/>
        </w:tabs>
        <w:spacing w:after="0" w:line="240" w:lineRule="auto"/>
        <w:jc w:val="both"/>
        <w:rPr>
          <w:rFonts w:ascii="Arial" w:hAnsi="Arial" w:cs="Arial"/>
          <w:sz w:val="20"/>
          <w:szCs w:val="20"/>
        </w:rPr>
      </w:pPr>
      <w:r w:rsidRPr="00332E2C">
        <w:rPr>
          <w:rFonts w:ascii="Arial" w:hAnsi="Arial" w:cs="Arial"/>
          <w:sz w:val="20"/>
          <w:szCs w:val="20"/>
        </w:rPr>
        <w:tab/>
      </w: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2.</w:t>
      </w:r>
      <w:r w:rsidRPr="00332E2C">
        <w:rPr>
          <w:rFonts w:ascii="Arial" w:hAnsi="Arial" w:cs="Arial"/>
          <w:b/>
          <w:sz w:val="20"/>
          <w:szCs w:val="20"/>
        </w:rPr>
        <w:tab/>
        <w:t>KEY STRATEGIC PRIORITIES</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IPID has tabled the following key priorities in the 20</w:t>
      </w:r>
      <w:r w:rsidR="00B87B57" w:rsidRPr="00332E2C">
        <w:rPr>
          <w:rFonts w:ascii="Arial" w:hAnsi="Arial" w:cs="Arial"/>
          <w:sz w:val="20"/>
          <w:szCs w:val="20"/>
        </w:rPr>
        <w:t>20</w:t>
      </w:r>
      <w:r w:rsidRPr="00332E2C">
        <w:rPr>
          <w:rFonts w:ascii="Arial" w:hAnsi="Arial" w:cs="Arial"/>
          <w:sz w:val="20"/>
          <w:szCs w:val="20"/>
        </w:rPr>
        <w:t>/2</w:t>
      </w:r>
      <w:r w:rsidR="00B87B57" w:rsidRPr="00332E2C">
        <w:rPr>
          <w:rFonts w:ascii="Arial" w:hAnsi="Arial" w:cs="Arial"/>
          <w:sz w:val="20"/>
          <w:szCs w:val="20"/>
        </w:rPr>
        <w:t>1</w:t>
      </w:r>
      <w:r w:rsidRPr="00332E2C">
        <w:rPr>
          <w:rFonts w:ascii="Arial" w:hAnsi="Arial" w:cs="Arial"/>
          <w:sz w:val="20"/>
          <w:szCs w:val="20"/>
        </w:rPr>
        <w:t xml:space="preserve"> Annual Performance Plan:</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Key Priorities for 20</w:t>
      </w:r>
      <w:r w:rsidR="00B87B57" w:rsidRPr="00332E2C">
        <w:rPr>
          <w:rFonts w:ascii="Arial" w:hAnsi="Arial" w:cs="Arial"/>
          <w:sz w:val="20"/>
          <w:szCs w:val="20"/>
        </w:rPr>
        <w:t>20</w:t>
      </w:r>
      <w:r w:rsidRPr="00332E2C">
        <w:rPr>
          <w:rFonts w:ascii="Arial" w:hAnsi="Arial" w:cs="Arial"/>
          <w:sz w:val="20"/>
          <w:szCs w:val="20"/>
        </w:rPr>
        <w:t>/202</w:t>
      </w:r>
      <w:r w:rsidR="00B87B57" w:rsidRPr="00332E2C">
        <w:rPr>
          <w:rFonts w:ascii="Arial" w:hAnsi="Arial" w:cs="Arial"/>
          <w:sz w:val="20"/>
          <w:szCs w:val="20"/>
        </w:rPr>
        <w:t>1</w:t>
      </w:r>
      <w:r w:rsidRPr="00332E2C">
        <w:rPr>
          <w:rFonts w:ascii="Arial" w:hAnsi="Arial" w:cs="Arial"/>
          <w:sz w:val="20"/>
          <w:szCs w:val="20"/>
        </w:rPr>
        <w:t xml:space="preserve"> financial year:</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Finalisation of IPID Amendment Bill;</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Targets for backlog and current active cases were merged to ensure that all cases receive same attention to contribute towards attainment of APP targets for each classification;</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Prioritisation of cases including GBV in terms of high impact;</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Funds were identified to finalise implementation of Section 23;</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Continue to upgrade ICT infrastructure and Case Management System in support of business operations;</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 xml:space="preserve">Procurement of basic investigative equipment such as, disposable coveralls to ensure effective and efficient investigation of cases; </w:t>
      </w:r>
    </w:p>
    <w:p w:rsidR="00252C96" w:rsidRPr="00332E2C" w:rsidRDefault="00435BB0"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Finalisation of MO</w:t>
      </w:r>
      <w:r w:rsidR="00252C96" w:rsidRPr="00332E2C">
        <w:rPr>
          <w:rFonts w:ascii="Arial" w:hAnsi="Arial" w:cs="Arial"/>
          <w:sz w:val="20"/>
          <w:szCs w:val="20"/>
        </w:rPr>
        <w:t>U with SAPS on sharing of services;</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 xml:space="preserve">Re-opening of some Satellite Offices that were previously closed due to budget constraints </w:t>
      </w:r>
    </w:p>
    <w:p w:rsidR="00252C96" w:rsidRPr="00332E2C" w:rsidRDefault="00252C96" w:rsidP="00332E2C">
      <w:pPr>
        <w:numPr>
          <w:ilvl w:val="1"/>
          <w:numId w:val="13"/>
        </w:numPr>
        <w:spacing w:after="0" w:line="240" w:lineRule="auto"/>
        <w:contextualSpacing/>
        <w:jc w:val="both"/>
        <w:rPr>
          <w:rFonts w:ascii="Arial" w:hAnsi="Arial" w:cs="Arial"/>
          <w:sz w:val="20"/>
          <w:szCs w:val="20"/>
        </w:rPr>
      </w:pPr>
      <w:r w:rsidRPr="00332E2C">
        <w:rPr>
          <w:rFonts w:ascii="Arial" w:hAnsi="Arial" w:cs="Arial"/>
          <w:sz w:val="20"/>
          <w:szCs w:val="20"/>
        </w:rPr>
        <w:t>Upington (NC)</w:t>
      </w:r>
    </w:p>
    <w:p w:rsidR="00252C96" w:rsidRPr="00332E2C" w:rsidRDefault="00252C96" w:rsidP="00332E2C">
      <w:pPr>
        <w:numPr>
          <w:ilvl w:val="1"/>
          <w:numId w:val="13"/>
        </w:numPr>
        <w:spacing w:after="0" w:line="240" w:lineRule="auto"/>
        <w:contextualSpacing/>
        <w:jc w:val="both"/>
        <w:rPr>
          <w:rFonts w:ascii="Arial" w:hAnsi="Arial" w:cs="Arial"/>
          <w:sz w:val="20"/>
          <w:szCs w:val="20"/>
        </w:rPr>
      </w:pPr>
      <w:r w:rsidRPr="00332E2C">
        <w:rPr>
          <w:rFonts w:ascii="Arial" w:hAnsi="Arial" w:cs="Arial"/>
          <w:sz w:val="20"/>
          <w:szCs w:val="20"/>
        </w:rPr>
        <w:t>Rustenburg (NW)</w:t>
      </w:r>
    </w:p>
    <w:p w:rsidR="00252C96" w:rsidRPr="00332E2C" w:rsidRDefault="00252C96" w:rsidP="00332E2C">
      <w:pPr>
        <w:numPr>
          <w:ilvl w:val="1"/>
          <w:numId w:val="13"/>
        </w:numPr>
        <w:spacing w:after="0" w:line="240" w:lineRule="auto"/>
        <w:contextualSpacing/>
        <w:jc w:val="both"/>
        <w:rPr>
          <w:rFonts w:ascii="Arial" w:hAnsi="Arial" w:cs="Arial"/>
          <w:sz w:val="20"/>
          <w:szCs w:val="20"/>
        </w:rPr>
      </w:pPr>
      <w:r w:rsidRPr="00332E2C">
        <w:rPr>
          <w:rFonts w:ascii="Arial" w:hAnsi="Arial" w:cs="Arial"/>
          <w:sz w:val="20"/>
          <w:szCs w:val="20"/>
        </w:rPr>
        <w:t>Qwaqwa (FS)</w:t>
      </w:r>
    </w:p>
    <w:p w:rsidR="00252C96" w:rsidRPr="00332E2C" w:rsidRDefault="00252C96" w:rsidP="00332E2C">
      <w:pPr>
        <w:numPr>
          <w:ilvl w:val="1"/>
          <w:numId w:val="13"/>
        </w:numPr>
        <w:spacing w:after="0" w:line="240" w:lineRule="auto"/>
        <w:contextualSpacing/>
        <w:jc w:val="both"/>
        <w:rPr>
          <w:rFonts w:ascii="Arial" w:hAnsi="Arial" w:cs="Arial"/>
          <w:sz w:val="20"/>
          <w:szCs w:val="20"/>
        </w:rPr>
      </w:pPr>
      <w:r w:rsidRPr="00332E2C">
        <w:rPr>
          <w:rFonts w:ascii="Arial" w:hAnsi="Arial" w:cs="Arial"/>
          <w:sz w:val="20"/>
          <w:szCs w:val="20"/>
        </w:rPr>
        <w:t>Umthata (EC)</w:t>
      </w:r>
    </w:p>
    <w:p w:rsidR="00252C96" w:rsidRPr="00332E2C" w:rsidRDefault="00252C96" w:rsidP="00332E2C">
      <w:pPr>
        <w:numPr>
          <w:ilvl w:val="0"/>
          <w:numId w:val="12"/>
        </w:numPr>
        <w:spacing w:after="0" w:line="240" w:lineRule="auto"/>
        <w:contextualSpacing/>
        <w:jc w:val="both"/>
        <w:rPr>
          <w:rFonts w:ascii="Arial" w:hAnsi="Arial" w:cs="Arial"/>
          <w:sz w:val="20"/>
          <w:szCs w:val="20"/>
        </w:rPr>
      </w:pPr>
      <w:r w:rsidRPr="00332E2C">
        <w:rPr>
          <w:rFonts w:ascii="Arial" w:hAnsi="Arial" w:cs="Arial"/>
          <w:sz w:val="20"/>
          <w:szCs w:val="20"/>
        </w:rPr>
        <w:t>Conduct community outreach events and station lectures.</w:t>
      </w:r>
    </w:p>
    <w:p w:rsidR="00252C96" w:rsidRPr="00332E2C" w:rsidRDefault="00252C96" w:rsidP="00332E2C">
      <w:pPr>
        <w:spacing w:after="0" w:line="240" w:lineRule="auto"/>
        <w:ind w:left="720"/>
        <w:contextualSpacing/>
        <w:jc w:val="both"/>
        <w:rPr>
          <w:rFonts w:ascii="Arial" w:hAnsi="Arial" w:cs="Arial"/>
          <w:sz w:val="20"/>
          <w:szCs w:val="20"/>
        </w:rPr>
      </w:pPr>
    </w:p>
    <w:p w:rsidR="00EB6B72" w:rsidRPr="00332E2C" w:rsidRDefault="00EB6B72" w:rsidP="00332E2C">
      <w:pPr>
        <w:spacing w:after="0" w:line="240" w:lineRule="auto"/>
        <w:jc w:val="both"/>
        <w:rPr>
          <w:rFonts w:ascii="Arial" w:hAnsi="Arial" w:cs="Arial"/>
          <w:sz w:val="20"/>
          <w:szCs w:val="20"/>
        </w:rPr>
      </w:pP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b/>
          <w:sz w:val="20"/>
          <w:szCs w:val="20"/>
        </w:rPr>
        <w:t>3.</w:t>
      </w:r>
      <w:r w:rsidRPr="00332E2C">
        <w:rPr>
          <w:rFonts w:ascii="Arial" w:hAnsi="Arial" w:cs="Arial"/>
          <w:b/>
          <w:sz w:val="20"/>
          <w:szCs w:val="20"/>
        </w:rPr>
        <w:tab/>
        <w:t>IPID BUDGET AND PERFORMANCE TARGETS FOR 2019/20</w:t>
      </w: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ab/>
        <w:t>OVERALL BUDGET ALLOCATION</w:t>
      </w:r>
    </w:p>
    <w:p w:rsidR="00EB6B72" w:rsidRPr="00332E2C" w:rsidRDefault="009000B2"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The IPID received a Main Appropriation of R355.7 million in 2020/21, which is a nominal increase of 5.6%. Taking into account inflation, the Directorate’s allocation increased by 1.19%. Of the total allocation, the largest portion of funds is allocated to Current Payments (R349.4 million/98.2%), of which 69.4% is allocated to Compensation of employees and the remaining funds to Goods and services. In 2020/21, R820 thousand is allocated to Transfers and subsidies, of which R728 thousand was allocated to the Safety and Security Sector Education and Training Authority (SASSETA) and R92 thousand for Communication. The allocation of R5.5 million for Payments for capital assets are for Machinery and equipment in the Administration Programme and the Investigation and Information Management Programme.</w:t>
      </w:r>
    </w:p>
    <w:p w:rsidR="009000B2" w:rsidRPr="00332E2C" w:rsidRDefault="009000B2" w:rsidP="00332E2C">
      <w:pPr>
        <w:spacing w:after="0" w:line="240" w:lineRule="auto"/>
        <w:jc w:val="both"/>
        <w:rPr>
          <w:rFonts w:ascii="Arial" w:eastAsia="Calibri" w:hAnsi="Arial" w:cs="Arial"/>
          <w:sz w:val="20"/>
          <w:szCs w:val="20"/>
        </w:rPr>
      </w:pPr>
    </w:p>
    <w:p w:rsidR="00EB6B72" w:rsidRPr="00332E2C" w:rsidRDefault="009000B2"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Table 1: IPID 2020/21 Budget Summary</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275"/>
        <w:gridCol w:w="1134"/>
        <w:gridCol w:w="1418"/>
        <w:gridCol w:w="1276"/>
        <w:gridCol w:w="1134"/>
        <w:gridCol w:w="1238"/>
      </w:tblGrid>
      <w:tr w:rsidR="009000B2" w:rsidRPr="00332E2C" w:rsidTr="009715CD">
        <w:trPr>
          <w:trHeight w:val="380"/>
        </w:trPr>
        <w:tc>
          <w:tcPr>
            <w:tcW w:w="1663" w:type="dxa"/>
          </w:tcPr>
          <w:p w:rsidR="009000B2" w:rsidRPr="00332E2C" w:rsidRDefault="009000B2" w:rsidP="00332E2C">
            <w:pPr>
              <w:pStyle w:val="Default"/>
              <w:rPr>
                <w:sz w:val="20"/>
                <w:szCs w:val="20"/>
              </w:rPr>
            </w:pPr>
            <w:r w:rsidRPr="00332E2C">
              <w:rPr>
                <w:sz w:val="20"/>
                <w:szCs w:val="20"/>
              </w:rPr>
              <w:t xml:space="preserve">R million </w:t>
            </w:r>
          </w:p>
        </w:tc>
        <w:tc>
          <w:tcPr>
            <w:tcW w:w="3827" w:type="dxa"/>
            <w:gridSpan w:val="3"/>
          </w:tcPr>
          <w:p w:rsidR="009000B2" w:rsidRPr="00332E2C" w:rsidRDefault="009000B2" w:rsidP="00332E2C">
            <w:pPr>
              <w:pStyle w:val="Default"/>
              <w:jc w:val="center"/>
              <w:rPr>
                <w:sz w:val="20"/>
                <w:szCs w:val="20"/>
              </w:rPr>
            </w:pPr>
            <w:r w:rsidRPr="00332E2C">
              <w:rPr>
                <w:b/>
                <w:bCs/>
                <w:sz w:val="20"/>
                <w:szCs w:val="20"/>
              </w:rPr>
              <w:t>2020/21</w:t>
            </w:r>
          </w:p>
        </w:tc>
        <w:tc>
          <w:tcPr>
            <w:tcW w:w="1276" w:type="dxa"/>
          </w:tcPr>
          <w:p w:rsidR="009000B2" w:rsidRPr="00332E2C" w:rsidRDefault="009000B2" w:rsidP="00332E2C">
            <w:pPr>
              <w:pStyle w:val="Default"/>
              <w:rPr>
                <w:b/>
                <w:sz w:val="20"/>
                <w:szCs w:val="20"/>
              </w:rPr>
            </w:pPr>
          </w:p>
        </w:tc>
        <w:tc>
          <w:tcPr>
            <w:tcW w:w="1134" w:type="dxa"/>
          </w:tcPr>
          <w:p w:rsidR="009000B2" w:rsidRPr="00332E2C" w:rsidRDefault="009000B2" w:rsidP="00332E2C">
            <w:pPr>
              <w:pStyle w:val="Default"/>
              <w:rPr>
                <w:b/>
                <w:sz w:val="20"/>
                <w:szCs w:val="20"/>
              </w:rPr>
            </w:pPr>
            <w:r w:rsidRPr="00332E2C">
              <w:rPr>
                <w:b/>
                <w:sz w:val="20"/>
                <w:szCs w:val="20"/>
              </w:rPr>
              <w:t>2021/22</w:t>
            </w:r>
          </w:p>
        </w:tc>
        <w:tc>
          <w:tcPr>
            <w:tcW w:w="1238" w:type="dxa"/>
          </w:tcPr>
          <w:p w:rsidR="009000B2" w:rsidRPr="00332E2C" w:rsidRDefault="009000B2" w:rsidP="00332E2C">
            <w:pPr>
              <w:pStyle w:val="Default"/>
              <w:rPr>
                <w:b/>
                <w:sz w:val="20"/>
                <w:szCs w:val="20"/>
              </w:rPr>
            </w:pPr>
            <w:r w:rsidRPr="00332E2C">
              <w:rPr>
                <w:b/>
                <w:sz w:val="20"/>
                <w:szCs w:val="20"/>
              </w:rPr>
              <w:t>2022/23</w:t>
            </w:r>
          </w:p>
        </w:tc>
      </w:tr>
      <w:tr w:rsidR="009000B2" w:rsidRPr="00332E2C" w:rsidTr="009715CD">
        <w:trPr>
          <w:trHeight w:val="233"/>
        </w:trPr>
        <w:tc>
          <w:tcPr>
            <w:tcW w:w="1663" w:type="dxa"/>
          </w:tcPr>
          <w:p w:rsidR="009000B2" w:rsidRPr="00332E2C" w:rsidRDefault="009000B2" w:rsidP="00332E2C">
            <w:pPr>
              <w:pStyle w:val="Default"/>
              <w:rPr>
                <w:sz w:val="20"/>
                <w:szCs w:val="20"/>
              </w:rPr>
            </w:pPr>
          </w:p>
        </w:tc>
        <w:tc>
          <w:tcPr>
            <w:tcW w:w="1275" w:type="dxa"/>
          </w:tcPr>
          <w:p w:rsidR="009000B2" w:rsidRPr="00332E2C" w:rsidRDefault="009000B2" w:rsidP="00332E2C">
            <w:pPr>
              <w:pStyle w:val="Default"/>
              <w:rPr>
                <w:b/>
                <w:sz w:val="20"/>
                <w:szCs w:val="20"/>
              </w:rPr>
            </w:pPr>
            <w:r w:rsidRPr="00332E2C">
              <w:rPr>
                <w:b/>
                <w:sz w:val="20"/>
                <w:szCs w:val="20"/>
              </w:rPr>
              <w:t>Total</w:t>
            </w:r>
          </w:p>
        </w:tc>
        <w:tc>
          <w:tcPr>
            <w:tcW w:w="1134" w:type="dxa"/>
          </w:tcPr>
          <w:p w:rsidR="009000B2" w:rsidRPr="00332E2C" w:rsidRDefault="009000B2" w:rsidP="00332E2C">
            <w:pPr>
              <w:pStyle w:val="Default"/>
              <w:rPr>
                <w:sz w:val="20"/>
                <w:szCs w:val="20"/>
              </w:rPr>
            </w:pPr>
            <w:r w:rsidRPr="00332E2C">
              <w:rPr>
                <w:b/>
                <w:bCs/>
                <w:sz w:val="20"/>
                <w:szCs w:val="20"/>
              </w:rPr>
              <w:t xml:space="preserve">Current payments </w:t>
            </w:r>
          </w:p>
        </w:tc>
        <w:tc>
          <w:tcPr>
            <w:tcW w:w="1418" w:type="dxa"/>
          </w:tcPr>
          <w:p w:rsidR="009000B2" w:rsidRPr="00332E2C" w:rsidRDefault="009000B2" w:rsidP="00332E2C">
            <w:pPr>
              <w:pStyle w:val="Default"/>
              <w:rPr>
                <w:sz w:val="20"/>
                <w:szCs w:val="20"/>
              </w:rPr>
            </w:pPr>
            <w:r w:rsidRPr="00332E2C">
              <w:rPr>
                <w:b/>
                <w:bCs/>
                <w:sz w:val="20"/>
                <w:szCs w:val="20"/>
              </w:rPr>
              <w:t xml:space="preserve">Transfers and subsidies </w:t>
            </w:r>
          </w:p>
        </w:tc>
        <w:tc>
          <w:tcPr>
            <w:tcW w:w="1276" w:type="dxa"/>
          </w:tcPr>
          <w:p w:rsidR="009000B2" w:rsidRPr="00332E2C" w:rsidRDefault="009000B2" w:rsidP="00332E2C">
            <w:pPr>
              <w:pStyle w:val="Default"/>
              <w:rPr>
                <w:sz w:val="20"/>
                <w:szCs w:val="20"/>
              </w:rPr>
            </w:pPr>
            <w:r w:rsidRPr="00332E2C">
              <w:rPr>
                <w:b/>
                <w:bCs/>
                <w:sz w:val="20"/>
                <w:szCs w:val="20"/>
              </w:rPr>
              <w:t xml:space="preserve">Payments for capital assets </w:t>
            </w:r>
          </w:p>
        </w:tc>
        <w:tc>
          <w:tcPr>
            <w:tcW w:w="1134" w:type="dxa"/>
          </w:tcPr>
          <w:p w:rsidR="009000B2" w:rsidRPr="00332E2C" w:rsidRDefault="009000B2" w:rsidP="00332E2C">
            <w:pPr>
              <w:pStyle w:val="Default"/>
              <w:rPr>
                <w:sz w:val="20"/>
                <w:szCs w:val="20"/>
              </w:rPr>
            </w:pPr>
            <w:r w:rsidRPr="00332E2C">
              <w:rPr>
                <w:sz w:val="20"/>
                <w:szCs w:val="20"/>
              </w:rPr>
              <w:t xml:space="preserve">Total </w:t>
            </w:r>
          </w:p>
        </w:tc>
        <w:tc>
          <w:tcPr>
            <w:tcW w:w="1238" w:type="dxa"/>
          </w:tcPr>
          <w:p w:rsidR="009000B2" w:rsidRPr="00332E2C" w:rsidRDefault="009000B2" w:rsidP="00332E2C">
            <w:pPr>
              <w:pStyle w:val="Default"/>
              <w:rPr>
                <w:sz w:val="20"/>
                <w:szCs w:val="20"/>
              </w:rPr>
            </w:pPr>
            <w:r w:rsidRPr="00332E2C">
              <w:rPr>
                <w:sz w:val="20"/>
                <w:szCs w:val="20"/>
              </w:rPr>
              <w:t xml:space="preserve">Total </w:t>
            </w:r>
          </w:p>
        </w:tc>
      </w:tr>
      <w:tr w:rsidR="009000B2" w:rsidRPr="00332E2C" w:rsidTr="009000B2">
        <w:trPr>
          <w:trHeight w:val="93"/>
        </w:trPr>
        <w:tc>
          <w:tcPr>
            <w:tcW w:w="9138" w:type="dxa"/>
            <w:gridSpan w:val="7"/>
          </w:tcPr>
          <w:p w:rsidR="009000B2" w:rsidRPr="00332E2C" w:rsidRDefault="009000B2" w:rsidP="00332E2C">
            <w:pPr>
              <w:pStyle w:val="Default"/>
              <w:rPr>
                <w:sz w:val="20"/>
                <w:szCs w:val="20"/>
              </w:rPr>
            </w:pPr>
            <w:r w:rsidRPr="00332E2C">
              <w:rPr>
                <w:b/>
                <w:bCs/>
                <w:sz w:val="20"/>
                <w:szCs w:val="20"/>
              </w:rPr>
              <w:t xml:space="preserve">MTEF allocation </w:t>
            </w:r>
          </w:p>
        </w:tc>
      </w:tr>
      <w:tr w:rsidR="009000B2" w:rsidRPr="00332E2C" w:rsidTr="009715CD">
        <w:trPr>
          <w:trHeight w:val="93"/>
        </w:trPr>
        <w:tc>
          <w:tcPr>
            <w:tcW w:w="1663" w:type="dxa"/>
          </w:tcPr>
          <w:p w:rsidR="009000B2" w:rsidRPr="00332E2C" w:rsidRDefault="009000B2" w:rsidP="00332E2C">
            <w:pPr>
              <w:pStyle w:val="Default"/>
              <w:rPr>
                <w:sz w:val="20"/>
                <w:szCs w:val="20"/>
              </w:rPr>
            </w:pPr>
            <w:r w:rsidRPr="00332E2C">
              <w:rPr>
                <w:sz w:val="20"/>
                <w:szCs w:val="20"/>
              </w:rPr>
              <w:t xml:space="preserve">Administration </w:t>
            </w:r>
          </w:p>
        </w:tc>
        <w:tc>
          <w:tcPr>
            <w:tcW w:w="1275" w:type="dxa"/>
          </w:tcPr>
          <w:p w:rsidR="009000B2" w:rsidRPr="00332E2C" w:rsidRDefault="009000B2" w:rsidP="00332E2C">
            <w:pPr>
              <w:pStyle w:val="Default"/>
              <w:jc w:val="center"/>
              <w:rPr>
                <w:sz w:val="20"/>
                <w:szCs w:val="20"/>
              </w:rPr>
            </w:pPr>
            <w:r w:rsidRPr="00332E2C">
              <w:rPr>
                <w:sz w:val="20"/>
                <w:szCs w:val="20"/>
              </w:rPr>
              <w:t>105.0</w:t>
            </w:r>
          </w:p>
        </w:tc>
        <w:tc>
          <w:tcPr>
            <w:tcW w:w="1134" w:type="dxa"/>
          </w:tcPr>
          <w:p w:rsidR="009000B2" w:rsidRPr="00332E2C" w:rsidRDefault="009000B2" w:rsidP="00332E2C">
            <w:pPr>
              <w:pStyle w:val="Default"/>
              <w:jc w:val="center"/>
              <w:rPr>
                <w:sz w:val="20"/>
                <w:szCs w:val="20"/>
              </w:rPr>
            </w:pPr>
            <w:r w:rsidRPr="00332E2C">
              <w:rPr>
                <w:sz w:val="20"/>
                <w:szCs w:val="20"/>
              </w:rPr>
              <w:t>101.1</w:t>
            </w:r>
          </w:p>
        </w:tc>
        <w:tc>
          <w:tcPr>
            <w:tcW w:w="1418" w:type="dxa"/>
          </w:tcPr>
          <w:p w:rsidR="009000B2" w:rsidRPr="00332E2C" w:rsidRDefault="009000B2" w:rsidP="00332E2C">
            <w:pPr>
              <w:pStyle w:val="Default"/>
              <w:jc w:val="center"/>
              <w:rPr>
                <w:sz w:val="20"/>
                <w:szCs w:val="20"/>
              </w:rPr>
            </w:pPr>
            <w:r w:rsidRPr="00332E2C">
              <w:rPr>
                <w:sz w:val="20"/>
                <w:szCs w:val="20"/>
              </w:rPr>
              <w:t>0.728</w:t>
            </w:r>
          </w:p>
        </w:tc>
        <w:tc>
          <w:tcPr>
            <w:tcW w:w="1276" w:type="dxa"/>
          </w:tcPr>
          <w:p w:rsidR="009000B2" w:rsidRPr="00332E2C" w:rsidRDefault="009000B2" w:rsidP="00332E2C">
            <w:pPr>
              <w:pStyle w:val="Default"/>
              <w:jc w:val="center"/>
              <w:rPr>
                <w:sz w:val="20"/>
                <w:szCs w:val="20"/>
              </w:rPr>
            </w:pPr>
            <w:r w:rsidRPr="00332E2C">
              <w:rPr>
                <w:sz w:val="20"/>
                <w:szCs w:val="20"/>
              </w:rPr>
              <w:t>3.2</w:t>
            </w:r>
          </w:p>
        </w:tc>
        <w:tc>
          <w:tcPr>
            <w:tcW w:w="1134" w:type="dxa"/>
          </w:tcPr>
          <w:p w:rsidR="009000B2" w:rsidRPr="00332E2C" w:rsidRDefault="009000B2" w:rsidP="00332E2C">
            <w:pPr>
              <w:pStyle w:val="Default"/>
              <w:jc w:val="center"/>
              <w:rPr>
                <w:sz w:val="20"/>
                <w:szCs w:val="20"/>
              </w:rPr>
            </w:pPr>
            <w:r w:rsidRPr="00332E2C">
              <w:rPr>
                <w:sz w:val="20"/>
                <w:szCs w:val="20"/>
              </w:rPr>
              <w:t>111.6</w:t>
            </w:r>
          </w:p>
        </w:tc>
        <w:tc>
          <w:tcPr>
            <w:tcW w:w="1238" w:type="dxa"/>
          </w:tcPr>
          <w:p w:rsidR="009000B2" w:rsidRPr="00332E2C" w:rsidRDefault="009000B2" w:rsidP="00332E2C">
            <w:pPr>
              <w:pStyle w:val="Default"/>
              <w:jc w:val="center"/>
              <w:rPr>
                <w:sz w:val="20"/>
                <w:szCs w:val="20"/>
              </w:rPr>
            </w:pPr>
            <w:r w:rsidRPr="00332E2C">
              <w:rPr>
                <w:sz w:val="20"/>
                <w:szCs w:val="20"/>
              </w:rPr>
              <w:t>121.5</w:t>
            </w:r>
          </w:p>
        </w:tc>
      </w:tr>
      <w:tr w:rsidR="009000B2" w:rsidRPr="00332E2C" w:rsidTr="009715CD">
        <w:trPr>
          <w:trHeight w:val="234"/>
        </w:trPr>
        <w:tc>
          <w:tcPr>
            <w:tcW w:w="1663" w:type="dxa"/>
          </w:tcPr>
          <w:p w:rsidR="009000B2" w:rsidRPr="00332E2C" w:rsidRDefault="009000B2" w:rsidP="00332E2C">
            <w:pPr>
              <w:pStyle w:val="Default"/>
              <w:rPr>
                <w:sz w:val="20"/>
                <w:szCs w:val="20"/>
              </w:rPr>
            </w:pPr>
            <w:r w:rsidRPr="00332E2C">
              <w:rPr>
                <w:sz w:val="20"/>
                <w:szCs w:val="20"/>
              </w:rPr>
              <w:t xml:space="preserve">Investigation and Information Management </w:t>
            </w:r>
          </w:p>
        </w:tc>
        <w:tc>
          <w:tcPr>
            <w:tcW w:w="1275" w:type="dxa"/>
          </w:tcPr>
          <w:p w:rsidR="009000B2" w:rsidRPr="00332E2C" w:rsidRDefault="009000B2" w:rsidP="00332E2C">
            <w:pPr>
              <w:pStyle w:val="Default"/>
              <w:jc w:val="center"/>
              <w:rPr>
                <w:sz w:val="20"/>
                <w:szCs w:val="20"/>
              </w:rPr>
            </w:pPr>
            <w:r w:rsidRPr="00332E2C">
              <w:rPr>
                <w:sz w:val="20"/>
                <w:szCs w:val="20"/>
              </w:rPr>
              <w:t>231.0</w:t>
            </w:r>
          </w:p>
        </w:tc>
        <w:tc>
          <w:tcPr>
            <w:tcW w:w="1134" w:type="dxa"/>
          </w:tcPr>
          <w:p w:rsidR="009000B2" w:rsidRPr="00332E2C" w:rsidRDefault="009000B2" w:rsidP="00332E2C">
            <w:pPr>
              <w:pStyle w:val="Default"/>
              <w:jc w:val="center"/>
              <w:rPr>
                <w:sz w:val="20"/>
                <w:szCs w:val="20"/>
              </w:rPr>
            </w:pPr>
            <w:r w:rsidRPr="00332E2C">
              <w:rPr>
                <w:sz w:val="20"/>
                <w:szCs w:val="20"/>
              </w:rPr>
              <w:t>228.6</w:t>
            </w:r>
          </w:p>
        </w:tc>
        <w:tc>
          <w:tcPr>
            <w:tcW w:w="1418" w:type="dxa"/>
          </w:tcPr>
          <w:p w:rsidR="009000B2" w:rsidRPr="00332E2C" w:rsidRDefault="009000B2" w:rsidP="00332E2C">
            <w:pPr>
              <w:pStyle w:val="Default"/>
              <w:jc w:val="center"/>
              <w:rPr>
                <w:sz w:val="20"/>
                <w:szCs w:val="20"/>
              </w:rPr>
            </w:pPr>
            <w:r w:rsidRPr="00332E2C">
              <w:rPr>
                <w:sz w:val="20"/>
                <w:szCs w:val="20"/>
              </w:rPr>
              <w:t>0.28</w:t>
            </w:r>
          </w:p>
        </w:tc>
        <w:tc>
          <w:tcPr>
            <w:tcW w:w="1276" w:type="dxa"/>
          </w:tcPr>
          <w:p w:rsidR="009000B2" w:rsidRPr="00332E2C" w:rsidRDefault="009000B2" w:rsidP="00332E2C">
            <w:pPr>
              <w:pStyle w:val="Default"/>
              <w:jc w:val="center"/>
              <w:rPr>
                <w:sz w:val="20"/>
                <w:szCs w:val="20"/>
              </w:rPr>
            </w:pPr>
            <w:r w:rsidRPr="00332E2C">
              <w:rPr>
                <w:sz w:val="20"/>
                <w:szCs w:val="20"/>
              </w:rPr>
              <w:t>2.3</w:t>
            </w:r>
          </w:p>
        </w:tc>
        <w:tc>
          <w:tcPr>
            <w:tcW w:w="1134" w:type="dxa"/>
          </w:tcPr>
          <w:p w:rsidR="009000B2" w:rsidRPr="00332E2C" w:rsidRDefault="009000B2" w:rsidP="00332E2C">
            <w:pPr>
              <w:pStyle w:val="Default"/>
              <w:jc w:val="center"/>
              <w:rPr>
                <w:sz w:val="20"/>
                <w:szCs w:val="20"/>
              </w:rPr>
            </w:pPr>
            <w:r w:rsidRPr="00332E2C">
              <w:rPr>
                <w:sz w:val="20"/>
                <w:szCs w:val="20"/>
              </w:rPr>
              <w:t>245.0</w:t>
            </w:r>
          </w:p>
        </w:tc>
        <w:tc>
          <w:tcPr>
            <w:tcW w:w="1238" w:type="dxa"/>
          </w:tcPr>
          <w:p w:rsidR="009000B2" w:rsidRPr="00332E2C" w:rsidRDefault="009000B2" w:rsidP="00332E2C">
            <w:pPr>
              <w:pStyle w:val="Default"/>
              <w:jc w:val="center"/>
              <w:rPr>
                <w:sz w:val="20"/>
                <w:szCs w:val="20"/>
              </w:rPr>
            </w:pPr>
            <w:r w:rsidRPr="00332E2C">
              <w:rPr>
                <w:sz w:val="20"/>
                <w:szCs w:val="20"/>
              </w:rPr>
              <w:t>248.9</w:t>
            </w:r>
          </w:p>
        </w:tc>
      </w:tr>
      <w:tr w:rsidR="009000B2" w:rsidRPr="00332E2C" w:rsidTr="009715CD">
        <w:trPr>
          <w:trHeight w:val="233"/>
        </w:trPr>
        <w:tc>
          <w:tcPr>
            <w:tcW w:w="1663" w:type="dxa"/>
          </w:tcPr>
          <w:p w:rsidR="009000B2" w:rsidRPr="00332E2C" w:rsidRDefault="009000B2" w:rsidP="00332E2C">
            <w:pPr>
              <w:pStyle w:val="Default"/>
              <w:rPr>
                <w:sz w:val="20"/>
                <w:szCs w:val="20"/>
              </w:rPr>
            </w:pPr>
            <w:r w:rsidRPr="00332E2C">
              <w:rPr>
                <w:sz w:val="20"/>
                <w:szCs w:val="20"/>
              </w:rPr>
              <w:t xml:space="preserve">Legal and Investigation </w:t>
            </w:r>
            <w:r w:rsidRPr="00332E2C">
              <w:rPr>
                <w:sz w:val="20"/>
                <w:szCs w:val="20"/>
              </w:rPr>
              <w:lastRenderedPageBreak/>
              <w:t xml:space="preserve">Advisory Services </w:t>
            </w:r>
          </w:p>
        </w:tc>
        <w:tc>
          <w:tcPr>
            <w:tcW w:w="1275" w:type="dxa"/>
          </w:tcPr>
          <w:p w:rsidR="009000B2" w:rsidRPr="00332E2C" w:rsidRDefault="009000B2" w:rsidP="00332E2C">
            <w:pPr>
              <w:pStyle w:val="Default"/>
              <w:jc w:val="center"/>
              <w:rPr>
                <w:sz w:val="20"/>
                <w:szCs w:val="20"/>
              </w:rPr>
            </w:pPr>
            <w:r w:rsidRPr="00332E2C">
              <w:rPr>
                <w:sz w:val="20"/>
                <w:szCs w:val="20"/>
              </w:rPr>
              <w:lastRenderedPageBreak/>
              <w:t>6.9</w:t>
            </w:r>
          </w:p>
        </w:tc>
        <w:tc>
          <w:tcPr>
            <w:tcW w:w="1134" w:type="dxa"/>
          </w:tcPr>
          <w:p w:rsidR="009000B2" w:rsidRPr="00332E2C" w:rsidRDefault="009000B2" w:rsidP="00332E2C">
            <w:pPr>
              <w:pStyle w:val="Default"/>
              <w:jc w:val="center"/>
              <w:rPr>
                <w:sz w:val="20"/>
                <w:szCs w:val="20"/>
              </w:rPr>
            </w:pPr>
            <w:r w:rsidRPr="00332E2C">
              <w:rPr>
                <w:sz w:val="20"/>
                <w:szCs w:val="20"/>
              </w:rPr>
              <w:t>6.9</w:t>
            </w:r>
          </w:p>
        </w:tc>
        <w:tc>
          <w:tcPr>
            <w:tcW w:w="1418" w:type="dxa"/>
          </w:tcPr>
          <w:p w:rsidR="009000B2" w:rsidRPr="00332E2C" w:rsidRDefault="009000B2" w:rsidP="00332E2C">
            <w:pPr>
              <w:pStyle w:val="Default"/>
              <w:jc w:val="center"/>
              <w:rPr>
                <w:sz w:val="20"/>
                <w:szCs w:val="20"/>
              </w:rPr>
            </w:pPr>
            <w:r w:rsidRPr="00332E2C">
              <w:rPr>
                <w:sz w:val="20"/>
                <w:szCs w:val="20"/>
              </w:rPr>
              <w:t>–</w:t>
            </w:r>
          </w:p>
        </w:tc>
        <w:tc>
          <w:tcPr>
            <w:tcW w:w="1276" w:type="dxa"/>
          </w:tcPr>
          <w:p w:rsidR="009000B2" w:rsidRPr="00332E2C" w:rsidRDefault="009000B2" w:rsidP="00332E2C">
            <w:pPr>
              <w:pStyle w:val="Default"/>
              <w:jc w:val="center"/>
              <w:rPr>
                <w:sz w:val="20"/>
                <w:szCs w:val="20"/>
              </w:rPr>
            </w:pPr>
            <w:r w:rsidRPr="00332E2C">
              <w:rPr>
                <w:sz w:val="20"/>
                <w:szCs w:val="20"/>
              </w:rPr>
              <w:t>–</w:t>
            </w:r>
          </w:p>
        </w:tc>
        <w:tc>
          <w:tcPr>
            <w:tcW w:w="1134" w:type="dxa"/>
          </w:tcPr>
          <w:p w:rsidR="009000B2" w:rsidRPr="00332E2C" w:rsidRDefault="009000B2" w:rsidP="00332E2C">
            <w:pPr>
              <w:pStyle w:val="Default"/>
              <w:jc w:val="center"/>
              <w:rPr>
                <w:sz w:val="20"/>
                <w:szCs w:val="20"/>
              </w:rPr>
            </w:pPr>
            <w:r w:rsidRPr="00332E2C">
              <w:rPr>
                <w:sz w:val="20"/>
                <w:szCs w:val="20"/>
              </w:rPr>
              <w:t>7.5</w:t>
            </w:r>
          </w:p>
        </w:tc>
        <w:tc>
          <w:tcPr>
            <w:tcW w:w="1238" w:type="dxa"/>
          </w:tcPr>
          <w:p w:rsidR="009000B2" w:rsidRPr="00332E2C" w:rsidRDefault="009000B2" w:rsidP="00332E2C">
            <w:pPr>
              <w:pStyle w:val="Default"/>
              <w:jc w:val="center"/>
              <w:rPr>
                <w:sz w:val="20"/>
                <w:szCs w:val="20"/>
              </w:rPr>
            </w:pPr>
            <w:r w:rsidRPr="00332E2C">
              <w:rPr>
                <w:sz w:val="20"/>
                <w:szCs w:val="20"/>
              </w:rPr>
              <w:t>8.6</w:t>
            </w:r>
          </w:p>
        </w:tc>
      </w:tr>
      <w:tr w:rsidR="009000B2" w:rsidRPr="00332E2C" w:rsidTr="009715CD">
        <w:trPr>
          <w:trHeight w:val="233"/>
        </w:trPr>
        <w:tc>
          <w:tcPr>
            <w:tcW w:w="1663" w:type="dxa"/>
          </w:tcPr>
          <w:p w:rsidR="009000B2" w:rsidRPr="00332E2C" w:rsidRDefault="009000B2" w:rsidP="00332E2C">
            <w:pPr>
              <w:pStyle w:val="Default"/>
              <w:rPr>
                <w:sz w:val="20"/>
                <w:szCs w:val="20"/>
              </w:rPr>
            </w:pPr>
            <w:r w:rsidRPr="00332E2C">
              <w:rPr>
                <w:sz w:val="20"/>
                <w:szCs w:val="20"/>
              </w:rPr>
              <w:lastRenderedPageBreak/>
              <w:t xml:space="preserve">Compliance Monitoring and Stakeholder Management </w:t>
            </w:r>
          </w:p>
        </w:tc>
        <w:tc>
          <w:tcPr>
            <w:tcW w:w="1275" w:type="dxa"/>
          </w:tcPr>
          <w:p w:rsidR="009000B2" w:rsidRPr="00332E2C" w:rsidRDefault="009000B2" w:rsidP="00332E2C">
            <w:pPr>
              <w:pStyle w:val="Default"/>
              <w:jc w:val="center"/>
              <w:rPr>
                <w:sz w:val="20"/>
                <w:szCs w:val="20"/>
              </w:rPr>
            </w:pPr>
            <w:r w:rsidRPr="00332E2C">
              <w:rPr>
                <w:sz w:val="20"/>
                <w:szCs w:val="20"/>
              </w:rPr>
              <w:t>12.7</w:t>
            </w:r>
          </w:p>
        </w:tc>
        <w:tc>
          <w:tcPr>
            <w:tcW w:w="1134" w:type="dxa"/>
          </w:tcPr>
          <w:p w:rsidR="009000B2" w:rsidRPr="00332E2C" w:rsidRDefault="009000B2" w:rsidP="00332E2C">
            <w:pPr>
              <w:pStyle w:val="Default"/>
              <w:jc w:val="center"/>
              <w:rPr>
                <w:sz w:val="20"/>
                <w:szCs w:val="20"/>
              </w:rPr>
            </w:pPr>
            <w:r w:rsidRPr="00332E2C">
              <w:rPr>
                <w:sz w:val="20"/>
                <w:szCs w:val="20"/>
              </w:rPr>
              <w:t>12.7</w:t>
            </w:r>
          </w:p>
        </w:tc>
        <w:tc>
          <w:tcPr>
            <w:tcW w:w="1418" w:type="dxa"/>
          </w:tcPr>
          <w:p w:rsidR="009000B2" w:rsidRPr="00332E2C" w:rsidRDefault="009000B2" w:rsidP="00332E2C">
            <w:pPr>
              <w:pStyle w:val="Default"/>
              <w:jc w:val="center"/>
              <w:rPr>
                <w:sz w:val="20"/>
                <w:szCs w:val="20"/>
              </w:rPr>
            </w:pPr>
            <w:r w:rsidRPr="00332E2C">
              <w:rPr>
                <w:sz w:val="20"/>
                <w:szCs w:val="20"/>
              </w:rPr>
              <w:t>–</w:t>
            </w:r>
          </w:p>
        </w:tc>
        <w:tc>
          <w:tcPr>
            <w:tcW w:w="1276" w:type="dxa"/>
          </w:tcPr>
          <w:p w:rsidR="009000B2" w:rsidRPr="00332E2C" w:rsidRDefault="009000B2" w:rsidP="00332E2C">
            <w:pPr>
              <w:pStyle w:val="Default"/>
              <w:jc w:val="center"/>
              <w:rPr>
                <w:sz w:val="20"/>
                <w:szCs w:val="20"/>
              </w:rPr>
            </w:pPr>
            <w:r w:rsidRPr="00332E2C">
              <w:rPr>
                <w:sz w:val="20"/>
                <w:szCs w:val="20"/>
              </w:rPr>
              <w:t>–</w:t>
            </w:r>
          </w:p>
        </w:tc>
        <w:tc>
          <w:tcPr>
            <w:tcW w:w="1134" w:type="dxa"/>
          </w:tcPr>
          <w:p w:rsidR="009000B2" w:rsidRPr="00332E2C" w:rsidRDefault="009000B2" w:rsidP="00332E2C">
            <w:pPr>
              <w:pStyle w:val="Default"/>
              <w:jc w:val="center"/>
              <w:rPr>
                <w:sz w:val="20"/>
                <w:szCs w:val="20"/>
              </w:rPr>
            </w:pPr>
            <w:r w:rsidRPr="00332E2C">
              <w:rPr>
                <w:sz w:val="20"/>
                <w:szCs w:val="20"/>
              </w:rPr>
              <w:t>13.6</w:t>
            </w:r>
          </w:p>
        </w:tc>
        <w:tc>
          <w:tcPr>
            <w:tcW w:w="1238" w:type="dxa"/>
          </w:tcPr>
          <w:p w:rsidR="009000B2" w:rsidRPr="00332E2C" w:rsidRDefault="009000B2" w:rsidP="00332E2C">
            <w:pPr>
              <w:pStyle w:val="Default"/>
              <w:jc w:val="center"/>
              <w:rPr>
                <w:sz w:val="20"/>
                <w:szCs w:val="20"/>
              </w:rPr>
            </w:pPr>
            <w:r w:rsidRPr="00332E2C">
              <w:rPr>
                <w:sz w:val="20"/>
                <w:szCs w:val="20"/>
              </w:rPr>
              <w:t>14.5</w:t>
            </w:r>
          </w:p>
        </w:tc>
      </w:tr>
      <w:tr w:rsidR="009000B2" w:rsidRPr="00332E2C" w:rsidTr="009715CD">
        <w:trPr>
          <w:trHeight w:val="93"/>
        </w:trPr>
        <w:tc>
          <w:tcPr>
            <w:tcW w:w="1663" w:type="dxa"/>
          </w:tcPr>
          <w:p w:rsidR="009000B2" w:rsidRPr="00332E2C" w:rsidRDefault="009000B2" w:rsidP="00332E2C">
            <w:pPr>
              <w:pStyle w:val="Default"/>
              <w:rPr>
                <w:sz w:val="20"/>
                <w:szCs w:val="20"/>
              </w:rPr>
            </w:pPr>
            <w:r w:rsidRPr="00332E2C">
              <w:rPr>
                <w:b/>
                <w:bCs/>
                <w:sz w:val="20"/>
                <w:szCs w:val="20"/>
              </w:rPr>
              <w:t xml:space="preserve">Total expenditure estimates </w:t>
            </w:r>
          </w:p>
        </w:tc>
        <w:tc>
          <w:tcPr>
            <w:tcW w:w="1275" w:type="dxa"/>
          </w:tcPr>
          <w:p w:rsidR="009000B2" w:rsidRPr="00332E2C" w:rsidRDefault="009000B2" w:rsidP="00332E2C">
            <w:pPr>
              <w:pStyle w:val="Default"/>
              <w:jc w:val="center"/>
              <w:rPr>
                <w:sz w:val="20"/>
                <w:szCs w:val="20"/>
              </w:rPr>
            </w:pPr>
            <w:r w:rsidRPr="00332E2C">
              <w:rPr>
                <w:b/>
                <w:bCs/>
                <w:sz w:val="20"/>
                <w:szCs w:val="20"/>
              </w:rPr>
              <w:t>355.7</w:t>
            </w:r>
          </w:p>
        </w:tc>
        <w:tc>
          <w:tcPr>
            <w:tcW w:w="1134" w:type="dxa"/>
          </w:tcPr>
          <w:p w:rsidR="009000B2" w:rsidRPr="00332E2C" w:rsidRDefault="009000B2" w:rsidP="00332E2C">
            <w:pPr>
              <w:pStyle w:val="Default"/>
              <w:jc w:val="center"/>
              <w:rPr>
                <w:sz w:val="20"/>
                <w:szCs w:val="20"/>
              </w:rPr>
            </w:pPr>
            <w:r w:rsidRPr="00332E2C">
              <w:rPr>
                <w:b/>
                <w:bCs/>
                <w:sz w:val="20"/>
                <w:szCs w:val="20"/>
              </w:rPr>
              <w:t>349.4</w:t>
            </w:r>
          </w:p>
        </w:tc>
        <w:tc>
          <w:tcPr>
            <w:tcW w:w="1418" w:type="dxa"/>
          </w:tcPr>
          <w:p w:rsidR="009000B2" w:rsidRPr="00332E2C" w:rsidRDefault="009000B2" w:rsidP="00332E2C">
            <w:pPr>
              <w:pStyle w:val="Default"/>
              <w:jc w:val="center"/>
              <w:rPr>
                <w:sz w:val="20"/>
                <w:szCs w:val="20"/>
              </w:rPr>
            </w:pPr>
            <w:r w:rsidRPr="00332E2C">
              <w:rPr>
                <w:b/>
                <w:bCs/>
                <w:sz w:val="20"/>
                <w:szCs w:val="20"/>
              </w:rPr>
              <w:t>0.82</w:t>
            </w:r>
          </w:p>
        </w:tc>
        <w:tc>
          <w:tcPr>
            <w:tcW w:w="1276" w:type="dxa"/>
          </w:tcPr>
          <w:p w:rsidR="009000B2" w:rsidRPr="00332E2C" w:rsidRDefault="009000B2" w:rsidP="00332E2C">
            <w:pPr>
              <w:pStyle w:val="Default"/>
              <w:jc w:val="center"/>
              <w:rPr>
                <w:sz w:val="20"/>
                <w:szCs w:val="20"/>
              </w:rPr>
            </w:pPr>
            <w:r w:rsidRPr="00332E2C">
              <w:rPr>
                <w:b/>
                <w:bCs/>
                <w:sz w:val="20"/>
                <w:szCs w:val="20"/>
              </w:rPr>
              <w:t>5.5</w:t>
            </w:r>
          </w:p>
        </w:tc>
        <w:tc>
          <w:tcPr>
            <w:tcW w:w="1134" w:type="dxa"/>
          </w:tcPr>
          <w:p w:rsidR="009000B2" w:rsidRPr="00332E2C" w:rsidRDefault="009000B2" w:rsidP="00332E2C">
            <w:pPr>
              <w:pStyle w:val="Default"/>
              <w:jc w:val="center"/>
              <w:rPr>
                <w:sz w:val="20"/>
                <w:szCs w:val="20"/>
              </w:rPr>
            </w:pPr>
            <w:r w:rsidRPr="00332E2C">
              <w:rPr>
                <w:b/>
                <w:bCs/>
                <w:sz w:val="20"/>
                <w:szCs w:val="20"/>
              </w:rPr>
              <w:t>377.7</w:t>
            </w:r>
          </w:p>
        </w:tc>
        <w:tc>
          <w:tcPr>
            <w:tcW w:w="1238" w:type="dxa"/>
          </w:tcPr>
          <w:p w:rsidR="009000B2" w:rsidRPr="00332E2C" w:rsidRDefault="009000B2" w:rsidP="00332E2C">
            <w:pPr>
              <w:pStyle w:val="Default"/>
              <w:jc w:val="center"/>
              <w:rPr>
                <w:sz w:val="20"/>
                <w:szCs w:val="20"/>
              </w:rPr>
            </w:pPr>
            <w:r w:rsidRPr="00332E2C">
              <w:rPr>
                <w:b/>
                <w:bCs/>
                <w:sz w:val="20"/>
                <w:szCs w:val="20"/>
              </w:rPr>
              <w:t>393.4</w:t>
            </w:r>
          </w:p>
        </w:tc>
      </w:tr>
    </w:tbl>
    <w:p w:rsidR="00EB6B72" w:rsidRPr="00332E2C" w:rsidRDefault="00EB6B72" w:rsidP="00332E2C">
      <w:pPr>
        <w:autoSpaceDE w:val="0"/>
        <w:autoSpaceDN w:val="0"/>
        <w:adjustRightInd w:val="0"/>
        <w:spacing w:after="0" w:line="240" w:lineRule="auto"/>
        <w:jc w:val="right"/>
        <w:rPr>
          <w:rFonts w:ascii="Arial" w:eastAsia="Calibri" w:hAnsi="Arial" w:cs="Arial"/>
          <w:b/>
          <w:sz w:val="20"/>
          <w:szCs w:val="20"/>
        </w:rPr>
      </w:pPr>
      <w:r w:rsidRPr="00332E2C">
        <w:rPr>
          <w:rFonts w:ascii="Arial" w:eastAsia="Calibri" w:hAnsi="Arial" w:cs="Arial"/>
          <w:b/>
          <w:sz w:val="20"/>
          <w:szCs w:val="20"/>
        </w:rPr>
        <w:t>Source: National Treasury (20</w:t>
      </w:r>
      <w:r w:rsidR="009000B2" w:rsidRPr="00332E2C">
        <w:rPr>
          <w:rFonts w:ascii="Arial" w:eastAsia="Calibri" w:hAnsi="Arial" w:cs="Arial"/>
          <w:b/>
          <w:sz w:val="20"/>
          <w:szCs w:val="20"/>
        </w:rPr>
        <w:t>20</w:t>
      </w:r>
      <w:r w:rsidRPr="00332E2C">
        <w:rPr>
          <w:rFonts w:ascii="Arial" w:eastAsia="Calibri" w:hAnsi="Arial" w:cs="Arial"/>
          <w:b/>
          <w:sz w:val="20"/>
          <w:szCs w:val="20"/>
        </w:rPr>
        <w:t>)</w:t>
      </w:r>
    </w:p>
    <w:p w:rsidR="00B110E4" w:rsidRPr="00332E2C" w:rsidRDefault="00B110E4" w:rsidP="00332E2C">
      <w:pPr>
        <w:autoSpaceDE w:val="0"/>
        <w:autoSpaceDN w:val="0"/>
        <w:adjustRightInd w:val="0"/>
        <w:spacing w:after="0" w:line="240" w:lineRule="auto"/>
        <w:rPr>
          <w:rFonts w:ascii="Arial" w:eastAsia="Calibri" w:hAnsi="Arial" w:cs="Arial"/>
          <w:sz w:val="20"/>
          <w:szCs w:val="20"/>
        </w:rPr>
      </w:pPr>
    </w:p>
    <w:p w:rsidR="004818B3" w:rsidRPr="00332E2C" w:rsidRDefault="00B110E4" w:rsidP="00332E2C">
      <w:pPr>
        <w:keepNext/>
        <w:keepLines/>
        <w:spacing w:after="0" w:line="240" w:lineRule="auto"/>
        <w:jc w:val="both"/>
        <w:outlineLvl w:val="0"/>
        <w:rPr>
          <w:rFonts w:ascii="Arial" w:eastAsia="Calibri" w:hAnsi="Arial" w:cs="Arial"/>
          <w:sz w:val="20"/>
          <w:szCs w:val="20"/>
        </w:rPr>
      </w:pPr>
      <w:bookmarkStart w:id="1" w:name="_Toc12872908"/>
      <w:r w:rsidRPr="00332E2C">
        <w:rPr>
          <w:rFonts w:ascii="Arial" w:eastAsia="Calibri" w:hAnsi="Arial" w:cs="Arial"/>
          <w:sz w:val="20"/>
          <w:szCs w:val="20"/>
        </w:rPr>
        <w:lastRenderedPageBreak/>
        <w:t>T</w:t>
      </w:r>
      <w:r w:rsidR="004818B3" w:rsidRPr="00332E2C">
        <w:rPr>
          <w:rFonts w:ascii="Arial" w:eastAsia="Calibri" w:hAnsi="Arial" w:cs="Arial"/>
          <w:sz w:val="20"/>
          <w:szCs w:val="20"/>
        </w:rPr>
        <w:t>he Administration Programme received an allocation of R105 million in 2020/21, which is a nominal increase of 13.39% when compared to the previous financial year. Proportionally, the Administration Programme received 29.52% of the total budget allocation of the Directorate.</w:t>
      </w:r>
    </w:p>
    <w:p w:rsidR="004818B3" w:rsidRPr="00332E2C" w:rsidRDefault="004818B3" w:rsidP="00332E2C">
      <w:pPr>
        <w:keepNext/>
        <w:keepLines/>
        <w:spacing w:after="0" w:line="240" w:lineRule="auto"/>
        <w:jc w:val="both"/>
        <w:outlineLvl w:val="0"/>
        <w:rPr>
          <w:rFonts w:ascii="Arial" w:eastAsia="Calibri" w:hAnsi="Arial" w:cs="Arial"/>
          <w:sz w:val="20"/>
          <w:szCs w:val="20"/>
        </w:rPr>
      </w:pPr>
    </w:p>
    <w:p w:rsidR="00EB6B72" w:rsidRPr="00332E2C" w:rsidRDefault="004818B3"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sz w:val="20"/>
          <w:szCs w:val="20"/>
        </w:rPr>
        <w:t>The Investigation and Information Management Programme performs the core mandate of the Directorate and as such, the Programme received 64.94% of the Directorate’s total budget allocation. In 2020/21, the Programme received a budget allocation of R231 million, which is a nominal increase of 1.99%. However, when considering inflation, the Programme received a real decrease of 2.31%.</w:t>
      </w:r>
    </w:p>
    <w:p w:rsidR="00712CC2" w:rsidRPr="00332E2C" w:rsidRDefault="00712CC2" w:rsidP="00332E2C">
      <w:pPr>
        <w:keepNext/>
        <w:keepLines/>
        <w:spacing w:after="0" w:line="240" w:lineRule="auto"/>
        <w:jc w:val="both"/>
        <w:outlineLvl w:val="0"/>
        <w:rPr>
          <w:rFonts w:ascii="Arial" w:eastAsia="Calibri" w:hAnsi="Arial" w:cs="Arial"/>
          <w:sz w:val="20"/>
          <w:szCs w:val="20"/>
        </w:rPr>
      </w:pPr>
    </w:p>
    <w:p w:rsidR="00712CC2" w:rsidRPr="00332E2C" w:rsidRDefault="00712CC2" w:rsidP="00332E2C">
      <w:pPr>
        <w:keepNext/>
        <w:keepLines/>
        <w:spacing w:after="0" w:line="240" w:lineRule="auto"/>
        <w:jc w:val="both"/>
        <w:outlineLvl w:val="0"/>
        <w:rPr>
          <w:rFonts w:ascii="Arial" w:eastAsia="Calibri" w:hAnsi="Arial" w:cs="Arial"/>
          <w:b/>
          <w:sz w:val="20"/>
          <w:szCs w:val="20"/>
        </w:rPr>
      </w:pPr>
      <w:r w:rsidRPr="00332E2C">
        <w:rPr>
          <w:rFonts w:ascii="Arial" w:eastAsia="Calibri" w:hAnsi="Arial" w:cs="Arial"/>
          <w:b/>
          <w:sz w:val="20"/>
          <w:szCs w:val="20"/>
        </w:rPr>
        <w:t>Table 2: IPID Expenditure over the medium-term</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134"/>
        <w:gridCol w:w="1275"/>
        <w:gridCol w:w="1418"/>
        <w:gridCol w:w="1276"/>
        <w:gridCol w:w="1275"/>
        <w:gridCol w:w="29"/>
        <w:gridCol w:w="1347"/>
      </w:tblGrid>
      <w:tr w:rsidR="00712CC2" w:rsidRPr="00332E2C" w:rsidTr="008D0420">
        <w:trPr>
          <w:trHeight w:val="51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Programme </w:t>
            </w:r>
          </w:p>
        </w:tc>
        <w:tc>
          <w:tcPr>
            <w:tcW w:w="2409"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b/>
                <w:bCs/>
                <w:sz w:val="20"/>
                <w:szCs w:val="20"/>
              </w:rPr>
              <w:t>Budget</w:t>
            </w:r>
          </w:p>
        </w:tc>
        <w:tc>
          <w:tcPr>
            <w:tcW w:w="1418"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Nominal Increase / Decrease in 2020/21 </w:t>
            </w:r>
          </w:p>
        </w:tc>
        <w:tc>
          <w:tcPr>
            <w:tcW w:w="1276"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Real Increase / Decrease in 2020/21 </w:t>
            </w:r>
          </w:p>
        </w:tc>
        <w:tc>
          <w:tcPr>
            <w:tcW w:w="1275"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Nominal Percent change in 2020/21 </w:t>
            </w:r>
          </w:p>
        </w:tc>
        <w:tc>
          <w:tcPr>
            <w:tcW w:w="1376" w:type="dxa"/>
            <w:gridSpan w:val="2"/>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Real Percent change in 2020/21 </w:t>
            </w:r>
          </w:p>
        </w:tc>
      </w:tr>
      <w:tr w:rsidR="00712CC2" w:rsidRPr="00332E2C" w:rsidTr="008D0420">
        <w:trPr>
          <w:trHeight w:val="9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R million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b/>
                <w:sz w:val="20"/>
                <w:szCs w:val="20"/>
              </w:rPr>
            </w:pPr>
            <w:r w:rsidRPr="00332E2C">
              <w:rPr>
                <w:rFonts w:ascii="Arial" w:eastAsia="Calibri" w:hAnsi="Arial" w:cs="Arial"/>
                <w:b/>
                <w:sz w:val="20"/>
                <w:szCs w:val="20"/>
              </w:rPr>
              <w:t>2019/20</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b/>
                <w:sz w:val="20"/>
                <w:szCs w:val="20"/>
              </w:rPr>
            </w:pPr>
            <w:r w:rsidRPr="00332E2C">
              <w:rPr>
                <w:rFonts w:ascii="Arial" w:eastAsia="Calibri" w:hAnsi="Arial" w:cs="Arial"/>
                <w:b/>
                <w:sz w:val="20"/>
                <w:szCs w:val="20"/>
              </w:rPr>
              <w:t>2020/21</w:t>
            </w:r>
          </w:p>
        </w:tc>
        <w:tc>
          <w:tcPr>
            <w:tcW w:w="2694" w:type="dxa"/>
            <w:gridSpan w:val="2"/>
          </w:tcPr>
          <w:p w:rsidR="00712CC2" w:rsidRPr="00332E2C" w:rsidRDefault="00712CC2" w:rsidP="00332E2C">
            <w:pPr>
              <w:keepNext/>
              <w:keepLines/>
              <w:spacing w:after="0" w:line="240" w:lineRule="auto"/>
              <w:jc w:val="both"/>
              <w:outlineLvl w:val="0"/>
              <w:rPr>
                <w:rFonts w:ascii="Arial" w:eastAsia="Calibri" w:hAnsi="Arial" w:cs="Arial"/>
                <w:sz w:val="20"/>
                <w:szCs w:val="20"/>
              </w:rPr>
            </w:pPr>
          </w:p>
        </w:tc>
        <w:tc>
          <w:tcPr>
            <w:tcW w:w="2651" w:type="dxa"/>
            <w:gridSpan w:val="3"/>
          </w:tcPr>
          <w:p w:rsidR="00712CC2" w:rsidRPr="00332E2C" w:rsidRDefault="00712CC2" w:rsidP="00332E2C">
            <w:pPr>
              <w:keepNext/>
              <w:keepLines/>
              <w:spacing w:after="0" w:line="240" w:lineRule="auto"/>
              <w:jc w:val="both"/>
              <w:outlineLvl w:val="0"/>
              <w:rPr>
                <w:rFonts w:ascii="Arial" w:eastAsia="Calibri" w:hAnsi="Arial" w:cs="Arial"/>
                <w:sz w:val="20"/>
                <w:szCs w:val="20"/>
              </w:rPr>
            </w:pPr>
          </w:p>
        </w:tc>
      </w:tr>
      <w:tr w:rsidR="00712CC2" w:rsidRPr="00332E2C" w:rsidTr="008D0420">
        <w:trPr>
          <w:trHeight w:val="9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Administration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92.6</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105.0</w:t>
            </w:r>
          </w:p>
        </w:tc>
        <w:tc>
          <w:tcPr>
            <w:tcW w:w="1418"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12.4</w:t>
            </w:r>
          </w:p>
        </w:tc>
        <w:tc>
          <w:tcPr>
            <w:tcW w:w="1276"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8.0</w:t>
            </w:r>
          </w:p>
        </w:tc>
        <w:tc>
          <w:tcPr>
            <w:tcW w:w="1304"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13.39 %</w:t>
            </w:r>
          </w:p>
        </w:tc>
        <w:tc>
          <w:tcPr>
            <w:tcW w:w="1347"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8.61 %</w:t>
            </w:r>
          </w:p>
        </w:tc>
      </w:tr>
      <w:tr w:rsidR="00712CC2" w:rsidRPr="00332E2C" w:rsidTr="008D0420">
        <w:trPr>
          <w:trHeight w:val="23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Investigation and Information Management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226.5</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231.0</w:t>
            </w:r>
          </w:p>
        </w:tc>
        <w:tc>
          <w:tcPr>
            <w:tcW w:w="1418"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4.5</w:t>
            </w:r>
          </w:p>
        </w:tc>
        <w:tc>
          <w:tcPr>
            <w:tcW w:w="1276"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- 5.2</w:t>
            </w:r>
          </w:p>
        </w:tc>
        <w:tc>
          <w:tcPr>
            <w:tcW w:w="1304"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1.99 %</w:t>
            </w:r>
          </w:p>
        </w:tc>
        <w:tc>
          <w:tcPr>
            <w:tcW w:w="1347"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-2.31 %</w:t>
            </w:r>
          </w:p>
        </w:tc>
      </w:tr>
      <w:tr w:rsidR="00712CC2" w:rsidRPr="00332E2C" w:rsidTr="008D0420">
        <w:trPr>
          <w:trHeight w:val="23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Legal and Investigation Advisory Services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5.8</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6.9</w:t>
            </w:r>
          </w:p>
        </w:tc>
        <w:tc>
          <w:tcPr>
            <w:tcW w:w="1418"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1.1</w:t>
            </w:r>
          </w:p>
        </w:tc>
        <w:tc>
          <w:tcPr>
            <w:tcW w:w="1276"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0.8</w:t>
            </w:r>
          </w:p>
        </w:tc>
        <w:tc>
          <w:tcPr>
            <w:tcW w:w="1304"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18.97 %</w:t>
            </w:r>
          </w:p>
        </w:tc>
        <w:tc>
          <w:tcPr>
            <w:tcW w:w="1347"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13.95 %</w:t>
            </w:r>
          </w:p>
        </w:tc>
      </w:tr>
      <w:tr w:rsidR="00712CC2" w:rsidRPr="00332E2C" w:rsidTr="008D0420">
        <w:trPr>
          <w:trHeight w:val="234"/>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Compliance Monitoring and Stakeholder Management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11.8</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12.7</w:t>
            </w:r>
          </w:p>
        </w:tc>
        <w:tc>
          <w:tcPr>
            <w:tcW w:w="1418"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0.9</w:t>
            </w:r>
          </w:p>
        </w:tc>
        <w:tc>
          <w:tcPr>
            <w:tcW w:w="1276"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0.4</w:t>
            </w:r>
          </w:p>
        </w:tc>
        <w:tc>
          <w:tcPr>
            <w:tcW w:w="1304"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7.63 %</w:t>
            </w:r>
          </w:p>
        </w:tc>
        <w:tc>
          <w:tcPr>
            <w:tcW w:w="1347"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3.09 %</w:t>
            </w:r>
          </w:p>
        </w:tc>
      </w:tr>
      <w:tr w:rsidR="00712CC2" w:rsidRPr="00332E2C" w:rsidTr="008D0420">
        <w:trPr>
          <w:trHeight w:val="93"/>
        </w:trPr>
        <w:tc>
          <w:tcPr>
            <w:tcW w:w="1663" w:type="dxa"/>
          </w:tcPr>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b/>
                <w:bCs/>
                <w:sz w:val="20"/>
                <w:szCs w:val="20"/>
              </w:rPr>
              <w:t xml:space="preserve">TOTAL </w:t>
            </w:r>
          </w:p>
        </w:tc>
        <w:tc>
          <w:tcPr>
            <w:tcW w:w="1134"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336.7</w:t>
            </w:r>
          </w:p>
        </w:tc>
        <w:tc>
          <w:tcPr>
            <w:tcW w:w="1275"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355.7</w:t>
            </w:r>
          </w:p>
        </w:tc>
        <w:tc>
          <w:tcPr>
            <w:tcW w:w="1418"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19.0</w:t>
            </w:r>
          </w:p>
        </w:tc>
        <w:tc>
          <w:tcPr>
            <w:tcW w:w="1276"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sz w:val="20"/>
                <w:szCs w:val="20"/>
              </w:rPr>
              <w:t>4.0</w:t>
            </w:r>
          </w:p>
        </w:tc>
        <w:tc>
          <w:tcPr>
            <w:tcW w:w="1304" w:type="dxa"/>
            <w:gridSpan w:val="2"/>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b/>
                <w:bCs/>
                <w:sz w:val="20"/>
                <w:szCs w:val="20"/>
              </w:rPr>
              <w:t>5.6 %</w:t>
            </w:r>
          </w:p>
        </w:tc>
        <w:tc>
          <w:tcPr>
            <w:tcW w:w="1347" w:type="dxa"/>
          </w:tcPr>
          <w:p w:rsidR="00712CC2" w:rsidRPr="00332E2C" w:rsidRDefault="00712CC2" w:rsidP="00332E2C">
            <w:pPr>
              <w:keepNext/>
              <w:keepLines/>
              <w:spacing w:after="0" w:line="240" w:lineRule="auto"/>
              <w:jc w:val="center"/>
              <w:outlineLvl w:val="0"/>
              <w:rPr>
                <w:rFonts w:ascii="Arial" w:eastAsia="Calibri" w:hAnsi="Arial" w:cs="Arial"/>
                <w:sz w:val="20"/>
                <w:szCs w:val="20"/>
              </w:rPr>
            </w:pPr>
            <w:r w:rsidRPr="00332E2C">
              <w:rPr>
                <w:rFonts w:ascii="Arial" w:eastAsia="Calibri" w:hAnsi="Arial" w:cs="Arial"/>
                <w:b/>
                <w:bCs/>
                <w:sz w:val="20"/>
                <w:szCs w:val="20"/>
              </w:rPr>
              <w:t>1.19 %</w:t>
            </w:r>
          </w:p>
        </w:tc>
      </w:tr>
    </w:tbl>
    <w:p w:rsidR="004818B3" w:rsidRPr="00332E2C" w:rsidRDefault="00712CC2" w:rsidP="00332E2C">
      <w:pPr>
        <w:keepNext/>
        <w:keepLines/>
        <w:spacing w:after="0" w:line="240" w:lineRule="auto"/>
        <w:jc w:val="right"/>
        <w:outlineLvl w:val="0"/>
        <w:rPr>
          <w:rFonts w:ascii="Arial" w:eastAsia="Calibri" w:hAnsi="Arial" w:cs="Arial"/>
          <w:b/>
          <w:sz w:val="20"/>
          <w:szCs w:val="20"/>
        </w:rPr>
      </w:pPr>
      <w:r w:rsidRPr="00332E2C">
        <w:rPr>
          <w:rFonts w:ascii="Arial" w:eastAsia="Calibri" w:hAnsi="Arial" w:cs="Arial"/>
          <w:b/>
          <w:sz w:val="20"/>
          <w:szCs w:val="20"/>
        </w:rPr>
        <w:t>Source: National Treasury (2020)</w:t>
      </w:r>
    </w:p>
    <w:p w:rsidR="00712CC2" w:rsidRPr="00332E2C" w:rsidRDefault="00712CC2" w:rsidP="00332E2C">
      <w:pPr>
        <w:keepNext/>
        <w:keepLines/>
        <w:spacing w:after="0" w:line="240" w:lineRule="auto"/>
        <w:jc w:val="right"/>
        <w:outlineLvl w:val="0"/>
        <w:rPr>
          <w:rFonts w:ascii="Arial" w:eastAsia="Calibri" w:hAnsi="Arial" w:cs="Arial"/>
          <w:sz w:val="20"/>
          <w:szCs w:val="20"/>
        </w:rPr>
      </w:pPr>
    </w:p>
    <w:p w:rsidR="004818B3" w:rsidRPr="00332E2C" w:rsidRDefault="004818B3"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sz w:val="20"/>
          <w:szCs w:val="20"/>
        </w:rPr>
        <w:t>The Legal and Investigation Advisory Services Programme received a budget allocation of R6.9 million in 2020/21, which is a nominal increase of 18.97% when compared to the previous financial year. Proportionally, the Programme received 1.94% of the Directorate’s total budget allocation.</w:t>
      </w:r>
    </w:p>
    <w:p w:rsidR="00712CC2" w:rsidRPr="00332E2C" w:rsidRDefault="00712CC2" w:rsidP="00332E2C">
      <w:pPr>
        <w:keepNext/>
        <w:keepLines/>
        <w:spacing w:after="0" w:line="240" w:lineRule="auto"/>
        <w:jc w:val="both"/>
        <w:outlineLvl w:val="0"/>
        <w:rPr>
          <w:rFonts w:ascii="Arial" w:eastAsia="Calibri" w:hAnsi="Arial" w:cs="Arial"/>
          <w:sz w:val="20"/>
          <w:szCs w:val="20"/>
        </w:rPr>
      </w:pPr>
    </w:p>
    <w:p w:rsidR="00712CC2" w:rsidRPr="00332E2C" w:rsidRDefault="004818B3"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sz w:val="20"/>
          <w:szCs w:val="20"/>
        </w:rPr>
        <w:t>The Compliance Monitoring and Stakeholder Management Programme received a budget allocation of R12.7 million in 2020/21, which is a nominal increase of 7.63%. Proportionally, the Programme received 3.57 % of the Directorate’s total budget allocation in 2020/21.</w:t>
      </w:r>
    </w:p>
    <w:p w:rsidR="00712CC2" w:rsidRPr="00332E2C" w:rsidRDefault="00712CC2" w:rsidP="00332E2C">
      <w:pPr>
        <w:keepNext/>
        <w:keepLines/>
        <w:spacing w:after="0" w:line="240" w:lineRule="auto"/>
        <w:jc w:val="both"/>
        <w:outlineLvl w:val="0"/>
        <w:rPr>
          <w:rFonts w:ascii="Arial" w:eastAsia="Calibri" w:hAnsi="Arial" w:cs="Arial"/>
          <w:sz w:val="20"/>
          <w:szCs w:val="20"/>
        </w:rPr>
      </w:pPr>
    </w:p>
    <w:p w:rsidR="00712CC2" w:rsidRPr="00332E2C" w:rsidRDefault="00712CC2"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sz w:val="20"/>
          <w:szCs w:val="20"/>
        </w:rPr>
        <w:t>T</w:t>
      </w:r>
      <w:r w:rsidR="004818B3" w:rsidRPr="00332E2C">
        <w:rPr>
          <w:rFonts w:ascii="Arial" w:eastAsia="Calibri" w:hAnsi="Arial" w:cs="Arial"/>
          <w:sz w:val="20"/>
          <w:szCs w:val="20"/>
        </w:rPr>
        <w:t xml:space="preserve">he Directorate plans to withhold the filling of 24 new posts that were added to the establishment in 2019/20 to strengthen internal controls and compliance. This was done to reprioritise funds for the implementation of section 23 of the Independent Police Investigative Directorate Act (2011), which provides that the salaries of the Directorate’s investigators must be aligned with those of members appointed as detectives in terms of the South African Police Service Act (1995). </w:t>
      </w:r>
    </w:p>
    <w:p w:rsidR="004818B3" w:rsidRPr="00332E2C" w:rsidRDefault="004818B3" w:rsidP="00332E2C">
      <w:pPr>
        <w:keepNext/>
        <w:keepLines/>
        <w:spacing w:after="0" w:line="240" w:lineRule="auto"/>
        <w:jc w:val="both"/>
        <w:outlineLvl w:val="0"/>
        <w:rPr>
          <w:rFonts w:ascii="Arial" w:eastAsia="Calibri" w:hAnsi="Arial" w:cs="Arial"/>
          <w:sz w:val="20"/>
          <w:szCs w:val="20"/>
        </w:rPr>
      </w:pPr>
      <w:r w:rsidRPr="00332E2C">
        <w:rPr>
          <w:rFonts w:ascii="Arial" w:eastAsia="Calibri" w:hAnsi="Arial" w:cs="Arial"/>
          <w:sz w:val="20"/>
          <w:szCs w:val="20"/>
        </w:rPr>
        <w:t>Although the process to align the salaries of investigators with those of detectives commenced in 2018/19, the pension component of the salaries and other benefits could not be adjusted due to funds not being available. However, in the 2019 adjustments budget, the Directorate reprioritised R24.5 million within compensation of employees (and an estimated R45 million over the medium term) to provide for the full implementation of provisions of section 23 of the Act. This will result in a reduction of the funded establishment from 428 in 2019/20, as published in the 2019 ENE, to 399 over the MTEF period.</w:t>
      </w:r>
    </w:p>
    <w:p w:rsidR="004818B3" w:rsidRPr="00332E2C" w:rsidRDefault="004818B3" w:rsidP="00332E2C">
      <w:pPr>
        <w:keepNext/>
        <w:keepLines/>
        <w:spacing w:after="0" w:line="240" w:lineRule="auto"/>
        <w:jc w:val="both"/>
        <w:outlineLvl w:val="0"/>
        <w:rPr>
          <w:rFonts w:ascii="Arial" w:eastAsia="Calibri" w:hAnsi="Arial" w:cs="Arial"/>
          <w:sz w:val="20"/>
          <w:szCs w:val="20"/>
        </w:rPr>
      </w:pPr>
    </w:p>
    <w:p w:rsidR="004818B3" w:rsidRPr="00332E2C" w:rsidRDefault="004818B3" w:rsidP="00332E2C">
      <w:pPr>
        <w:keepNext/>
        <w:keepLines/>
        <w:spacing w:after="0" w:line="240" w:lineRule="auto"/>
        <w:jc w:val="both"/>
        <w:outlineLvl w:val="0"/>
        <w:rPr>
          <w:rFonts w:ascii="Arial" w:eastAsia="Calibri" w:hAnsi="Arial" w:cs="Arial"/>
          <w:sz w:val="20"/>
          <w:szCs w:val="20"/>
        </w:rPr>
      </w:pPr>
    </w:p>
    <w:p w:rsidR="00EB6B72" w:rsidRPr="00332E2C" w:rsidRDefault="00EB6B72" w:rsidP="00332E2C">
      <w:pPr>
        <w:keepNext/>
        <w:keepLines/>
        <w:spacing w:after="0" w:line="240" w:lineRule="auto"/>
        <w:jc w:val="both"/>
        <w:outlineLvl w:val="0"/>
        <w:rPr>
          <w:rFonts w:ascii="Arial" w:eastAsia="Times New Roman" w:hAnsi="Arial" w:cs="Arial"/>
          <w:b/>
          <w:caps/>
          <w:color w:val="000000" w:themeColor="text1"/>
          <w:sz w:val="20"/>
          <w:szCs w:val="20"/>
        </w:rPr>
      </w:pPr>
      <w:r w:rsidRPr="00332E2C">
        <w:rPr>
          <w:rFonts w:ascii="Arial" w:eastAsia="Calibri" w:hAnsi="Arial" w:cs="Arial"/>
          <w:b/>
          <w:sz w:val="20"/>
          <w:szCs w:val="20"/>
        </w:rPr>
        <w:t>3</w:t>
      </w:r>
      <w:r w:rsidRPr="00332E2C">
        <w:rPr>
          <w:rFonts w:ascii="Arial" w:eastAsia="Calibri" w:hAnsi="Arial" w:cs="Arial"/>
          <w:sz w:val="20"/>
          <w:szCs w:val="20"/>
        </w:rPr>
        <w:t>.</w:t>
      </w:r>
      <w:r w:rsidR="00B110E4" w:rsidRPr="00332E2C">
        <w:rPr>
          <w:rFonts w:ascii="Arial" w:eastAsia="Calibri" w:hAnsi="Arial" w:cs="Arial"/>
          <w:b/>
          <w:sz w:val="20"/>
          <w:szCs w:val="20"/>
        </w:rPr>
        <w:t>1</w:t>
      </w:r>
      <w:r w:rsidRPr="00332E2C">
        <w:rPr>
          <w:rFonts w:ascii="Arial" w:eastAsia="Calibri" w:hAnsi="Arial" w:cs="Arial"/>
          <w:sz w:val="20"/>
          <w:szCs w:val="20"/>
        </w:rPr>
        <w:tab/>
      </w:r>
      <w:r w:rsidRPr="00332E2C">
        <w:rPr>
          <w:rFonts w:ascii="Arial" w:eastAsia="Times New Roman" w:hAnsi="Arial" w:cs="Arial"/>
          <w:b/>
          <w:caps/>
          <w:color w:val="000000" w:themeColor="text1"/>
          <w:sz w:val="20"/>
          <w:szCs w:val="20"/>
        </w:rPr>
        <w:t>programme Performance</w:t>
      </w:r>
      <w:bookmarkEnd w:id="1"/>
    </w:p>
    <w:p w:rsidR="00712CC2" w:rsidRPr="00332E2C" w:rsidRDefault="00712CC2" w:rsidP="00332E2C">
      <w:pPr>
        <w:keepNext/>
        <w:keepLines/>
        <w:spacing w:after="0" w:line="240" w:lineRule="auto"/>
        <w:jc w:val="both"/>
        <w:outlineLvl w:val="0"/>
        <w:rPr>
          <w:rFonts w:ascii="Arial" w:eastAsia="Calibri" w:hAnsi="Arial" w:cs="Arial"/>
          <w:sz w:val="20"/>
          <w:szCs w:val="20"/>
        </w:rPr>
      </w:pPr>
    </w:p>
    <w:p w:rsidR="00712CC2" w:rsidRPr="00332E2C" w:rsidRDefault="00712CC2" w:rsidP="00332E2C">
      <w:pPr>
        <w:keepNext/>
        <w:keepLines/>
        <w:spacing w:after="0" w:line="240" w:lineRule="auto"/>
        <w:jc w:val="both"/>
        <w:outlineLvl w:val="0"/>
        <w:rPr>
          <w:rFonts w:ascii="Arial" w:eastAsia="Calibri" w:hAnsi="Arial" w:cs="Arial"/>
          <w:b/>
          <w:sz w:val="20"/>
          <w:szCs w:val="20"/>
        </w:rPr>
      </w:pPr>
      <w:r w:rsidRPr="00332E2C">
        <w:rPr>
          <w:rFonts w:ascii="Arial" w:eastAsia="Calibri" w:hAnsi="Arial" w:cs="Arial"/>
          <w:sz w:val="20"/>
          <w:szCs w:val="20"/>
        </w:rPr>
        <w:tab/>
      </w:r>
      <w:r w:rsidRPr="00332E2C">
        <w:rPr>
          <w:rFonts w:ascii="Arial" w:eastAsia="Calibri" w:hAnsi="Arial" w:cs="Arial"/>
          <w:b/>
          <w:sz w:val="20"/>
          <w:szCs w:val="20"/>
        </w:rPr>
        <w:t>Budget allocation per budget programme</w:t>
      </w:r>
    </w:p>
    <w:p w:rsidR="00EB6B72" w:rsidRPr="00332E2C" w:rsidRDefault="00EB6B72" w:rsidP="00332E2C">
      <w:pPr>
        <w:keepNext/>
        <w:keepLines/>
        <w:spacing w:after="0" w:line="240" w:lineRule="auto"/>
        <w:jc w:val="both"/>
        <w:outlineLvl w:val="1"/>
        <w:rPr>
          <w:rFonts w:ascii="Arial" w:eastAsia="Calibri" w:hAnsi="Arial" w:cs="Arial"/>
          <w:color w:val="000000" w:themeColor="text1"/>
          <w:sz w:val="20"/>
          <w:szCs w:val="20"/>
        </w:rPr>
      </w:pPr>
      <w:bookmarkStart w:id="2" w:name="_Toc12872909"/>
    </w:p>
    <w:p w:rsidR="00EB6B72" w:rsidRPr="00332E2C" w:rsidRDefault="00B110E4" w:rsidP="00332E2C">
      <w:pPr>
        <w:keepNext/>
        <w:keepLines/>
        <w:spacing w:after="0" w:line="240" w:lineRule="auto"/>
        <w:contextualSpacing/>
        <w:jc w:val="both"/>
        <w:outlineLvl w:val="1"/>
        <w:rPr>
          <w:rFonts w:ascii="Arial" w:eastAsia="Times New Roman" w:hAnsi="Arial" w:cs="Arial"/>
          <w:b/>
          <w:color w:val="000000" w:themeColor="text1"/>
          <w:sz w:val="20"/>
          <w:szCs w:val="20"/>
        </w:rPr>
      </w:pPr>
      <w:r w:rsidRPr="00332E2C">
        <w:rPr>
          <w:rFonts w:ascii="Arial" w:eastAsia="Times New Roman" w:hAnsi="Arial" w:cs="Arial"/>
          <w:b/>
          <w:color w:val="000000" w:themeColor="text1"/>
          <w:sz w:val="20"/>
          <w:szCs w:val="20"/>
        </w:rPr>
        <w:t>3.1.1</w:t>
      </w:r>
      <w:r w:rsidR="00EB6B72" w:rsidRPr="00332E2C">
        <w:rPr>
          <w:rFonts w:ascii="Arial" w:eastAsia="Times New Roman" w:hAnsi="Arial" w:cs="Arial"/>
          <w:b/>
          <w:color w:val="000000" w:themeColor="text1"/>
          <w:sz w:val="20"/>
          <w:szCs w:val="20"/>
        </w:rPr>
        <w:t xml:space="preserve">     Programme 1: Administration</w:t>
      </w:r>
      <w:bookmarkEnd w:id="2"/>
    </w:p>
    <w:p w:rsidR="00EB6B72" w:rsidRPr="00332E2C" w:rsidRDefault="00EB6B72" w:rsidP="00332E2C">
      <w:pPr>
        <w:spacing w:after="0" w:line="240" w:lineRule="auto"/>
        <w:jc w:val="both"/>
        <w:rPr>
          <w:rFonts w:ascii="Arial" w:eastAsia="Calibri" w:hAnsi="Arial" w:cs="Arial"/>
          <w:color w:val="000000" w:themeColor="text1"/>
          <w:sz w:val="20"/>
          <w:szCs w:val="20"/>
        </w:rPr>
      </w:pPr>
    </w:p>
    <w:p w:rsidR="00EB6B72" w:rsidRPr="00332E2C" w:rsidRDefault="00EB6B72"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 xml:space="preserve">The purpose of the Administration Programme is to provide for the overall management of the Independent Police Investigative Directorate and support services, including strategic support to the Department. </w:t>
      </w:r>
    </w:p>
    <w:p w:rsidR="00EB6B72" w:rsidRPr="00332E2C" w:rsidRDefault="00EB6B72" w:rsidP="00332E2C">
      <w:pPr>
        <w:autoSpaceDE w:val="0"/>
        <w:autoSpaceDN w:val="0"/>
        <w:adjustRightInd w:val="0"/>
        <w:spacing w:after="0" w:line="240" w:lineRule="auto"/>
        <w:jc w:val="both"/>
        <w:rPr>
          <w:rFonts w:ascii="Arial" w:eastAsia="Calibri" w:hAnsi="Arial" w:cs="Arial"/>
          <w:sz w:val="20"/>
          <w:szCs w:val="20"/>
        </w:rPr>
      </w:pPr>
    </w:p>
    <w:p w:rsidR="002F7AD4" w:rsidRPr="00332E2C" w:rsidRDefault="00712CC2" w:rsidP="00332E2C">
      <w:pPr>
        <w:autoSpaceDE w:val="0"/>
        <w:autoSpaceDN w:val="0"/>
        <w:adjustRightInd w:val="0"/>
        <w:spacing w:after="0" w:line="240" w:lineRule="auto"/>
        <w:jc w:val="both"/>
        <w:rPr>
          <w:rFonts w:ascii="Arial" w:hAnsi="Arial" w:cs="Arial"/>
          <w:sz w:val="20"/>
          <w:szCs w:val="20"/>
        </w:rPr>
      </w:pPr>
      <w:r w:rsidRPr="00332E2C">
        <w:rPr>
          <w:rFonts w:ascii="Arial" w:eastAsia="Calibri" w:hAnsi="Arial" w:cs="Arial"/>
          <w:sz w:val="20"/>
          <w:szCs w:val="20"/>
        </w:rPr>
        <w:t>The Administration Programme received a budget allocation of R105 million in 2020/21, which is a nominal increase of 13.39%. The Department Management sub-programme received a budget allocation of R21.4 million in 2020/21, which is a nominal increase of 34.59%. Considering inflation, the allocation increased by 28.92%. Proportionally, the sub-programme received 20.38% of the total Programme allocation.</w:t>
      </w:r>
    </w:p>
    <w:p w:rsidR="002F7AD4" w:rsidRPr="00332E2C" w:rsidRDefault="002F7AD4" w:rsidP="00332E2C">
      <w:pPr>
        <w:autoSpaceDE w:val="0"/>
        <w:autoSpaceDN w:val="0"/>
        <w:adjustRightInd w:val="0"/>
        <w:spacing w:after="0" w:line="240" w:lineRule="auto"/>
        <w:jc w:val="both"/>
        <w:rPr>
          <w:rFonts w:ascii="Arial" w:hAnsi="Arial" w:cs="Arial"/>
          <w:sz w:val="20"/>
          <w:szCs w:val="20"/>
        </w:rPr>
      </w:pPr>
    </w:p>
    <w:p w:rsidR="00EB6B72" w:rsidRPr="00332E2C" w:rsidRDefault="002F7AD4" w:rsidP="00332E2C">
      <w:pPr>
        <w:autoSpaceDE w:val="0"/>
        <w:autoSpaceDN w:val="0"/>
        <w:adjustRightInd w:val="0"/>
        <w:spacing w:after="0" w:line="240" w:lineRule="auto"/>
        <w:jc w:val="both"/>
        <w:rPr>
          <w:rFonts w:ascii="Arial" w:eastAsia="Calibri" w:hAnsi="Arial" w:cs="Arial"/>
          <w:b/>
          <w:sz w:val="20"/>
          <w:szCs w:val="20"/>
        </w:rPr>
      </w:pPr>
      <w:r w:rsidRPr="00332E2C">
        <w:rPr>
          <w:rFonts w:ascii="Arial" w:eastAsia="Calibri" w:hAnsi="Arial" w:cs="Arial"/>
          <w:b/>
          <w:sz w:val="20"/>
          <w:szCs w:val="20"/>
        </w:rPr>
        <w:t>Table 3: Budget allocation per sub-programme of the Administration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1004"/>
        <w:gridCol w:w="1147"/>
        <w:gridCol w:w="1137"/>
        <w:gridCol w:w="10"/>
        <w:gridCol w:w="1289"/>
        <w:gridCol w:w="1258"/>
        <w:gridCol w:w="32"/>
        <w:gridCol w:w="1251"/>
      </w:tblGrid>
      <w:tr w:rsidR="00B15543" w:rsidRPr="00332E2C" w:rsidTr="00B15543">
        <w:trPr>
          <w:trHeight w:val="517"/>
        </w:trPr>
        <w:tc>
          <w:tcPr>
            <w:tcW w:w="1824" w:type="dxa"/>
          </w:tcPr>
          <w:p w:rsidR="002F7AD4" w:rsidRPr="00332E2C" w:rsidRDefault="002F7AD4" w:rsidP="00332E2C">
            <w:pPr>
              <w:pStyle w:val="Default"/>
              <w:rPr>
                <w:sz w:val="20"/>
                <w:szCs w:val="20"/>
              </w:rPr>
            </w:pPr>
            <w:r w:rsidRPr="00332E2C">
              <w:rPr>
                <w:b/>
                <w:bCs/>
                <w:sz w:val="20"/>
                <w:szCs w:val="20"/>
              </w:rPr>
              <w:t xml:space="preserve">Programme </w:t>
            </w:r>
          </w:p>
        </w:tc>
        <w:tc>
          <w:tcPr>
            <w:tcW w:w="2151" w:type="dxa"/>
            <w:gridSpan w:val="2"/>
          </w:tcPr>
          <w:p w:rsidR="002F7AD4" w:rsidRPr="00332E2C" w:rsidRDefault="002F7AD4" w:rsidP="00332E2C">
            <w:pPr>
              <w:pStyle w:val="Default"/>
              <w:jc w:val="center"/>
              <w:rPr>
                <w:sz w:val="20"/>
                <w:szCs w:val="20"/>
              </w:rPr>
            </w:pPr>
            <w:r w:rsidRPr="00332E2C">
              <w:rPr>
                <w:b/>
                <w:bCs/>
                <w:sz w:val="20"/>
                <w:szCs w:val="20"/>
              </w:rPr>
              <w:t>Budget</w:t>
            </w:r>
          </w:p>
        </w:tc>
        <w:tc>
          <w:tcPr>
            <w:tcW w:w="1147" w:type="dxa"/>
            <w:gridSpan w:val="2"/>
          </w:tcPr>
          <w:p w:rsidR="002F7AD4" w:rsidRPr="00332E2C" w:rsidRDefault="002F7AD4" w:rsidP="00332E2C">
            <w:pPr>
              <w:pStyle w:val="Default"/>
              <w:rPr>
                <w:sz w:val="20"/>
                <w:szCs w:val="20"/>
              </w:rPr>
            </w:pPr>
            <w:r w:rsidRPr="00332E2C">
              <w:rPr>
                <w:b/>
                <w:bCs/>
                <w:sz w:val="20"/>
                <w:szCs w:val="20"/>
              </w:rPr>
              <w:t xml:space="preserve">Nominal Increase / Decrease in 2020/21 </w:t>
            </w:r>
          </w:p>
        </w:tc>
        <w:tc>
          <w:tcPr>
            <w:tcW w:w="1289" w:type="dxa"/>
          </w:tcPr>
          <w:p w:rsidR="002F7AD4" w:rsidRPr="00332E2C" w:rsidRDefault="002F7AD4" w:rsidP="00332E2C">
            <w:pPr>
              <w:pStyle w:val="Default"/>
              <w:rPr>
                <w:sz w:val="20"/>
                <w:szCs w:val="20"/>
              </w:rPr>
            </w:pPr>
            <w:r w:rsidRPr="00332E2C">
              <w:rPr>
                <w:b/>
                <w:bCs/>
                <w:sz w:val="20"/>
                <w:szCs w:val="20"/>
              </w:rPr>
              <w:t xml:space="preserve">Real Increase / Decrease in 2020/21 </w:t>
            </w:r>
          </w:p>
        </w:tc>
        <w:tc>
          <w:tcPr>
            <w:tcW w:w="1290" w:type="dxa"/>
            <w:gridSpan w:val="2"/>
          </w:tcPr>
          <w:p w:rsidR="002F7AD4" w:rsidRPr="00332E2C" w:rsidRDefault="002F7AD4" w:rsidP="00332E2C">
            <w:pPr>
              <w:pStyle w:val="Default"/>
              <w:rPr>
                <w:sz w:val="20"/>
                <w:szCs w:val="20"/>
              </w:rPr>
            </w:pPr>
            <w:r w:rsidRPr="00332E2C">
              <w:rPr>
                <w:b/>
                <w:bCs/>
                <w:sz w:val="20"/>
                <w:szCs w:val="20"/>
              </w:rPr>
              <w:t xml:space="preserve">Nominal Percent change in 2020/21 </w:t>
            </w:r>
          </w:p>
        </w:tc>
        <w:tc>
          <w:tcPr>
            <w:tcW w:w="1251" w:type="dxa"/>
          </w:tcPr>
          <w:p w:rsidR="002F7AD4" w:rsidRPr="00332E2C" w:rsidRDefault="002F7AD4" w:rsidP="00332E2C">
            <w:pPr>
              <w:pStyle w:val="Default"/>
              <w:rPr>
                <w:sz w:val="20"/>
                <w:szCs w:val="20"/>
              </w:rPr>
            </w:pPr>
            <w:r w:rsidRPr="00332E2C">
              <w:rPr>
                <w:b/>
                <w:bCs/>
                <w:sz w:val="20"/>
                <w:szCs w:val="20"/>
              </w:rPr>
              <w:t xml:space="preserve">Real Percent change in 2020/21 </w:t>
            </w:r>
          </w:p>
        </w:tc>
      </w:tr>
      <w:tr w:rsidR="002F7AD4"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R million </w:t>
            </w:r>
          </w:p>
        </w:tc>
        <w:tc>
          <w:tcPr>
            <w:tcW w:w="1004" w:type="dxa"/>
          </w:tcPr>
          <w:p w:rsidR="002F7AD4" w:rsidRPr="00332E2C" w:rsidRDefault="002F7AD4" w:rsidP="00332E2C">
            <w:pPr>
              <w:pStyle w:val="Default"/>
              <w:rPr>
                <w:sz w:val="20"/>
                <w:szCs w:val="20"/>
              </w:rPr>
            </w:pPr>
          </w:p>
        </w:tc>
        <w:tc>
          <w:tcPr>
            <w:tcW w:w="1147" w:type="dxa"/>
          </w:tcPr>
          <w:p w:rsidR="002F7AD4" w:rsidRPr="00332E2C" w:rsidRDefault="002F7AD4" w:rsidP="00332E2C">
            <w:pPr>
              <w:pStyle w:val="Default"/>
              <w:rPr>
                <w:sz w:val="20"/>
                <w:szCs w:val="20"/>
              </w:rPr>
            </w:pPr>
          </w:p>
        </w:tc>
        <w:tc>
          <w:tcPr>
            <w:tcW w:w="2436" w:type="dxa"/>
            <w:gridSpan w:val="3"/>
          </w:tcPr>
          <w:p w:rsidR="002F7AD4" w:rsidRPr="00332E2C" w:rsidRDefault="002F7AD4" w:rsidP="00332E2C">
            <w:pPr>
              <w:pStyle w:val="Default"/>
              <w:rPr>
                <w:sz w:val="20"/>
                <w:szCs w:val="20"/>
              </w:rPr>
            </w:pPr>
            <w:r w:rsidRPr="00332E2C">
              <w:rPr>
                <w:b/>
                <w:bCs/>
                <w:sz w:val="20"/>
                <w:szCs w:val="20"/>
              </w:rPr>
              <w:t xml:space="preserve">2019/20 </w:t>
            </w:r>
          </w:p>
        </w:tc>
        <w:tc>
          <w:tcPr>
            <w:tcW w:w="2541" w:type="dxa"/>
            <w:gridSpan w:val="3"/>
          </w:tcPr>
          <w:p w:rsidR="002F7AD4" w:rsidRPr="00332E2C" w:rsidRDefault="002F7AD4" w:rsidP="00332E2C">
            <w:pPr>
              <w:pStyle w:val="Default"/>
              <w:rPr>
                <w:sz w:val="20"/>
                <w:szCs w:val="20"/>
              </w:rPr>
            </w:pPr>
            <w:r w:rsidRPr="00332E2C">
              <w:rPr>
                <w:b/>
                <w:bCs/>
                <w:sz w:val="20"/>
                <w:szCs w:val="20"/>
              </w:rPr>
              <w:t xml:space="preserve">2020/21 </w:t>
            </w:r>
          </w:p>
        </w:tc>
      </w:tr>
      <w:tr w:rsidR="00B15543"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Department Management </w:t>
            </w:r>
          </w:p>
        </w:tc>
        <w:tc>
          <w:tcPr>
            <w:tcW w:w="1004" w:type="dxa"/>
          </w:tcPr>
          <w:p w:rsidR="002F7AD4" w:rsidRPr="00332E2C" w:rsidRDefault="002F7AD4" w:rsidP="00332E2C">
            <w:pPr>
              <w:pStyle w:val="Default"/>
              <w:rPr>
                <w:sz w:val="20"/>
                <w:szCs w:val="20"/>
              </w:rPr>
            </w:pPr>
            <w:r w:rsidRPr="00332E2C">
              <w:rPr>
                <w:sz w:val="20"/>
                <w:szCs w:val="20"/>
              </w:rPr>
              <w:t xml:space="preserve">15.9 </w:t>
            </w:r>
          </w:p>
        </w:tc>
        <w:tc>
          <w:tcPr>
            <w:tcW w:w="1147" w:type="dxa"/>
          </w:tcPr>
          <w:p w:rsidR="002F7AD4" w:rsidRPr="00332E2C" w:rsidRDefault="002F7AD4" w:rsidP="00332E2C">
            <w:pPr>
              <w:pStyle w:val="Default"/>
              <w:rPr>
                <w:sz w:val="20"/>
                <w:szCs w:val="20"/>
              </w:rPr>
            </w:pPr>
            <w:r w:rsidRPr="00332E2C">
              <w:rPr>
                <w:sz w:val="20"/>
                <w:szCs w:val="20"/>
              </w:rPr>
              <w:t xml:space="preserve">21.4 </w:t>
            </w:r>
          </w:p>
        </w:tc>
        <w:tc>
          <w:tcPr>
            <w:tcW w:w="1137" w:type="dxa"/>
          </w:tcPr>
          <w:p w:rsidR="002F7AD4" w:rsidRPr="00332E2C" w:rsidRDefault="002F7AD4" w:rsidP="00332E2C">
            <w:pPr>
              <w:pStyle w:val="Default"/>
              <w:rPr>
                <w:sz w:val="20"/>
                <w:szCs w:val="20"/>
              </w:rPr>
            </w:pPr>
            <w:r w:rsidRPr="00332E2C">
              <w:rPr>
                <w:sz w:val="20"/>
                <w:szCs w:val="20"/>
              </w:rPr>
              <w:t xml:space="preserve">5.5 </w:t>
            </w:r>
          </w:p>
        </w:tc>
        <w:tc>
          <w:tcPr>
            <w:tcW w:w="1299" w:type="dxa"/>
            <w:gridSpan w:val="2"/>
          </w:tcPr>
          <w:p w:rsidR="002F7AD4" w:rsidRPr="00332E2C" w:rsidRDefault="002F7AD4" w:rsidP="00332E2C">
            <w:pPr>
              <w:pStyle w:val="Default"/>
              <w:rPr>
                <w:sz w:val="20"/>
                <w:szCs w:val="20"/>
              </w:rPr>
            </w:pPr>
            <w:r w:rsidRPr="00332E2C">
              <w:rPr>
                <w:sz w:val="20"/>
                <w:szCs w:val="20"/>
              </w:rPr>
              <w:t xml:space="preserve">4.6 </w:t>
            </w:r>
          </w:p>
        </w:tc>
        <w:tc>
          <w:tcPr>
            <w:tcW w:w="1258" w:type="dxa"/>
          </w:tcPr>
          <w:p w:rsidR="002F7AD4" w:rsidRPr="00332E2C" w:rsidRDefault="002F7AD4" w:rsidP="00332E2C">
            <w:pPr>
              <w:pStyle w:val="Default"/>
              <w:rPr>
                <w:sz w:val="20"/>
                <w:szCs w:val="20"/>
              </w:rPr>
            </w:pPr>
            <w:r w:rsidRPr="00332E2C">
              <w:rPr>
                <w:sz w:val="20"/>
                <w:szCs w:val="20"/>
              </w:rPr>
              <w:t>34.59%</w:t>
            </w:r>
          </w:p>
        </w:tc>
        <w:tc>
          <w:tcPr>
            <w:tcW w:w="1283" w:type="dxa"/>
            <w:gridSpan w:val="2"/>
          </w:tcPr>
          <w:p w:rsidR="002F7AD4" w:rsidRPr="00332E2C" w:rsidRDefault="002F7AD4" w:rsidP="00332E2C">
            <w:pPr>
              <w:pStyle w:val="Default"/>
              <w:rPr>
                <w:sz w:val="20"/>
                <w:szCs w:val="20"/>
              </w:rPr>
            </w:pPr>
            <w:r w:rsidRPr="00332E2C">
              <w:rPr>
                <w:sz w:val="20"/>
                <w:szCs w:val="20"/>
              </w:rPr>
              <w:t>28.92%</w:t>
            </w:r>
          </w:p>
        </w:tc>
      </w:tr>
      <w:tr w:rsidR="00B15543"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Corporate Services </w:t>
            </w:r>
          </w:p>
        </w:tc>
        <w:tc>
          <w:tcPr>
            <w:tcW w:w="1004" w:type="dxa"/>
          </w:tcPr>
          <w:p w:rsidR="002F7AD4" w:rsidRPr="00332E2C" w:rsidRDefault="002F7AD4" w:rsidP="00332E2C">
            <w:pPr>
              <w:pStyle w:val="Default"/>
              <w:rPr>
                <w:sz w:val="20"/>
                <w:szCs w:val="20"/>
              </w:rPr>
            </w:pPr>
            <w:r w:rsidRPr="00332E2C">
              <w:rPr>
                <w:sz w:val="20"/>
                <w:szCs w:val="20"/>
              </w:rPr>
              <w:t xml:space="preserve">36.4 </w:t>
            </w:r>
          </w:p>
        </w:tc>
        <w:tc>
          <w:tcPr>
            <w:tcW w:w="1147" w:type="dxa"/>
          </w:tcPr>
          <w:p w:rsidR="002F7AD4" w:rsidRPr="00332E2C" w:rsidRDefault="002F7AD4" w:rsidP="00332E2C">
            <w:pPr>
              <w:pStyle w:val="Default"/>
              <w:rPr>
                <w:sz w:val="20"/>
                <w:szCs w:val="20"/>
              </w:rPr>
            </w:pPr>
            <w:r w:rsidRPr="00332E2C">
              <w:rPr>
                <w:sz w:val="20"/>
                <w:szCs w:val="20"/>
              </w:rPr>
              <w:t xml:space="preserve">41.7 </w:t>
            </w:r>
          </w:p>
        </w:tc>
        <w:tc>
          <w:tcPr>
            <w:tcW w:w="1137" w:type="dxa"/>
          </w:tcPr>
          <w:p w:rsidR="002F7AD4" w:rsidRPr="00332E2C" w:rsidRDefault="002F7AD4" w:rsidP="00332E2C">
            <w:pPr>
              <w:pStyle w:val="Default"/>
              <w:rPr>
                <w:sz w:val="20"/>
                <w:szCs w:val="20"/>
              </w:rPr>
            </w:pPr>
            <w:r w:rsidRPr="00332E2C">
              <w:rPr>
                <w:sz w:val="20"/>
                <w:szCs w:val="20"/>
              </w:rPr>
              <w:t xml:space="preserve">5.3 </w:t>
            </w:r>
          </w:p>
        </w:tc>
        <w:tc>
          <w:tcPr>
            <w:tcW w:w="1299" w:type="dxa"/>
            <w:gridSpan w:val="2"/>
          </w:tcPr>
          <w:p w:rsidR="002F7AD4" w:rsidRPr="00332E2C" w:rsidRDefault="002F7AD4" w:rsidP="00332E2C">
            <w:pPr>
              <w:pStyle w:val="Default"/>
              <w:rPr>
                <w:sz w:val="20"/>
                <w:szCs w:val="20"/>
              </w:rPr>
            </w:pPr>
            <w:r w:rsidRPr="00332E2C">
              <w:rPr>
                <w:sz w:val="20"/>
                <w:szCs w:val="20"/>
              </w:rPr>
              <w:t xml:space="preserve">3.5 </w:t>
            </w:r>
          </w:p>
        </w:tc>
        <w:tc>
          <w:tcPr>
            <w:tcW w:w="1258" w:type="dxa"/>
          </w:tcPr>
          <w:p w:rsidR="002F7AD4" w:rsidRPr="00332E2C" w:rsidRDefault="002F7AD4" w:rsidP="00332E2C">
            <w:pPr>
              <w:pStyle w:val="Default"/>
              <w:rPr>
                <w:sz w:val="20"/>
                <w:szCs w:val="20"/>
              </w:rPr>
            </w:pPr>
            <w:r w:rsidRPr="00332E2C">
              <w:rPr>
                <w:sz w:val="20"/>
                <w:szCs w:val="20"/>
              </w:rPr>
              <w:t>14.56%</w:t>
            </w:r>
          </w:p>
        </w:tc>
        <w:tc>
          <w:tcPr>
            <w:tcW w:w="1283" w:type="dxa"/>
            <w:gridSpan w:val="2"/>
          </w:tcPr>
          <w:p w:rsidR="002F7AD4" w:rsidRPr="00332E2C" w:rsidRDefault="002F7AD4" w:rsidP="00332E2C">
            <w:pPr>
              <w:pStyle w:val="Default"/>
              <w:rPr>
                <w:sz w:val="20"/>
                <w:szCs w:val="20"/>
              </w:rPr>
            </w:pPr>
            <w:r w:rsidRPr="00332E2C">
              <w:rPr>
                <w:sz w:val="20"/>
                <w:szCs w:val="20"/>
              </w:rPr>
              <w:t>9.73%</w:t>
            </w:r>
          </w:p>
        </w:tc>
      </w:tr>
      <w:tr w:rsidR="00B15543"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Office Accommodation </w:t>
            </w:r>
          </w:p>
        </w:tc>
        <w:tc>
          <w:tcPr>
            <w:tcW w:w="1004" w:type="dxa"/>
          </w:tcPr>
          <w:p w:rsidR="002F7AD4" w:rsidRPr="00332E2C" w:rsidRDefault="002F7AD4" w:rsidP="00332E2C">
            <w:pPr>
              <w:pStyle w:val="Default"/>
              <w:rPr>
                <w:sz w:val="20"/>
                <w:szCs w:val="20"/>
              </w:rPr>
            </w:pPr>
            <w:r w:rsidRPr="00332E2C">
              <w:rPr>
                <w:sz w:val="20"/>
                <w:szCs w:val="20"/>
              </w:rPr>
              <w:t xml:space="preserve">13.1 </w:t>
            </w:r>
          </w:p>
        </w:tc>
        <w:tc>
          <w:tcPr>
            <w:tcW w:w="1147" w:type="dxa"/>
          </w:tcPr>
          <w:p w:rsidR="002F7AD4" w:rsidRPr="00332E2C" w:rsidRDefault="002F7AD4" w:rsidP="00332E2C">
            <w:pPr>
              <w:pStyle w:val="Default"/>
              <w:rPr>
                <w:sz w:val="20"/>
                <w:szCs w:val="20"/>
              </w:rPr>
            </w:pPr>
            <w:r w:rsidRPr="00332E2C">
              <w:rPr>
                <w:sz w:val="20"/>
                <w:szCs w:val="20"/>
              </w:rPr>
              <w:t xml:space="preserve">13.9 </w:t>
            </w:r>
          </w:p>
        </w:tc>
        <w:tc>
          <w:tcPr>
            <w:tcW w:w="1137" w:type="dxa"/>
          </w:tcPr>
          <w:p w:rsidR="002F7AD4" w:rsidRPr="00332E2C" w:rsidRDefault="002F7AD4" w:rsidP="00332E2C">
            <w:pPr>
              <w:pStyle w:val="Default"/>
              <w:rPr>
                <w:sz w:val="20"/>
                <w:szCs w:val="20"/>
              </w:rPr>
            </w:pPr>
            <w:r w:rsidRPr="00332E2C">
              <w:rPr>
                <w:sz w:val="20"/>
                <w:szCs w:val="20"/>
              </w:rPr>
              <w:t xml:space="preserve">0.8 </w:t>
            </w:r>
          </w:p>
        </w:tc>
        <w:tc>
          <w:tcPr>
            <w:tcW w:w="1299" w:type="dxa"/>
            <w:gridSpan w:val="2"/>
          </w:tcPr>
          <w:p w:rsidR="002F7AD4" w:rsidRPr="00332E2C" w:rsidRDefault="002F7AD4" w:rsidP="00332E2C">
            <w:pPr>
              <w:pStyle w:val="Default"/>
              <w:rPr>
                <w:sz w:val="20"/>
                <w:szCs w:val="20"/>
              </w:rPr>
            </w:pPr>
            <w:r w:rsidRPr="00332E2C">
              <w:rPr>
                <w:sz w:val="20"/>
                <w:szCs w:val="20"/>
              </w:rPr>
              <w:t xml:space="preserve">0.2 </w:t>
            </w:r>
          </w:p>
        </w:tc>
        <w:tc>
          <w:tcPr>
            <w:tcW w:w="1258" w:type="dxa"/>
          </w:tcPr>
          <w:p w:rsidR="002F7AD4" w:rsidRPr="00332E2C" w:rsidRDefault="002F7AD4" w:rsidP="00332E2C">
            <w:pPr>
              <w:pStyle w:val="Default"/>
              <w:rPr>
                <w:sz w:val="20"/>
                <w:szCs w:val="20"/>
              </w:rPr>
            </w:pPr>
            <w:r w:rsidRPr="00332E2C">
              <w:rPr>
                <w:sz w:val="20"/>
                <w:szCs w:val="20"/>
              </w:rPr>
              <w:t>6.11%</w:t>
            </w:r>
          </w:p>
        </w:tc>
        <w:tc>
          <w:tcPr>
            <w:tcW w:w="1283" w:type="dxa"/>
            <w:gridSpan w:val="2"/>
          </w:tcPr>
          <w:p w:rsidR="002F7AD4" w:rsidRPr="00332E2C" w:rsidRDefault="002F7AD4" w:rsidP="00332E2C">
            <w:pPr>
              <w:pStyle w:val="Default"/>
              <w:rPr>
                <w:sz w:val="20"/>
                <w:szCs w:val="20"/>
              </w:rPr>
            </w:pPr>
            <w:r w:rsidRPr="00332E2C">
              <w:rPr>
                <w:sz w:val="20"/>
                <w:szCs w:val="20"/>
              </w:rPr>
              <w:t>1.63%</w:t>
            </w:r>
          </w:p>
        </w:tc>
      </w:tr>
      <w:tr w:rsidR="00B15543"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Internal Audit </w:t>
            </w:r>
          </w:p>
        </w:tc>
        <w:tc>
          <w:tcPr>
            <w:tcW w:w="1004" w:type="dxa"/>
          </w:tcPr>
          <w:p w:rsidR="002F7AD4" w:rsidRPr="00332E2C" w:rsidRDefault="002F7AD4" w:rsidP="00332E2C">
            <w:pPr>
              <w:pStyle w:val="Default"/>
              <w:rPr>
                <w:sz w:val="20"/>
                <w:szCs w:val="20"/>
              </w:rPr>
            </w:pPr>
            <w:r w:rsidRPr="00332E2C">
              <w:rPr>
                <w:sz w:val="20"/>
                <w:szCs w:val="20"/>
              </w:rPr>
              <w:t xml:space="preserve">5.5 </w:t>
            </w:r>
          </w:p>
        </w:tc>
        <w:tc>
          <w:tcPr>
            <w:tcW w:w="1147" w:type="dxa"/>
          </w:tcPr>
          <w:p w:rsidR="002F7AD4" w:rsidRPr="00332E2C" w:rsidRDefault="002F7AD4" w:rsidP="00332E2C">
            <w:pPr>
              <w:pStyle w:val="Default"/>
              <w:rPr>
                <w:sz w:val="20"/>
                <w:szCs w:val="20"/>
              </w:rPr>
            </w:pPr>
            <w:r w:rsidRPr="00332E2C">
              <w:rPr>
                <w:sz w:val="20"/>
                <w:szCs w:val="20"/>
              </w:rPr>
              <w:t xml:space="preserve">5.4 </w:t>
            </w:r>
          </w:p>
        </w:tc>
        <w:tc>
          <w:tcPr>
            <w:tcW w:w="1137" w:type="dxa"/>
          </w:tcPr>
          <w:p w:rsidR="002F7AD4" w:rsidRPr="00332E2C" w:rsidRDefault="002F7AD4" w:rsidP="00332E2C">
            <w:pPr>
              <w:pStyle w:val="Default"/>
              <w:rPr>
                <w:sz w:val="20"/>
                <w:szCs w:val="20"/>
              </w:rPr>
            </w:pPr>
            <w:r w:rsidRPr="00332E2C">
              <w:rPr>
                <w:sz w:val="20"/>
                <w:szCs w:val="20"/>
              </w:rPr>
              <w:t xml:space="preserve">- 0.1 </w:t>
            </w:r>
          </w:p>
        </w:tc>
        <w:tc>
          <w:tcPr>
            <w:tcW w:w="1299" w:type="dxa"/>
            <w:gridSpan w:val="2"/>
          </w:tcPr>
          <w:p w:rsidR="002F7AD4" w:rsidRPr="00332E2C" w:rsidRDefault="002F7AD4" w:rsidP="00332E2C">
            <w:pPr>
              <w:pStyle w:val="Default"/>
              <w:rPr>
                <w:sz w:val="20"/>
                <w:szCs w:val="20"/>
              </w:rPr>
            </w:pPr>
            <w:r w:rsidRPr="00332E2C">
              <w:rPr>
                <w:sz w:val="20"/>
                <w:szCs w:val="20"/>
              </w:rPr>
              <w:t xml:space="preserve">- 0.3 </w:t>
            </w:r>
          </w:p>
        </w:tc>
        <w:tc>
          <w:tcPr>
            <w:tcW w:w="1258" w:type="dxa"/>
          </w:tcPr>
          <w:p w:rsidR="002F7AD4" w:rsidRPr="00332E2C" w:rsidRDefault="002F7AD4" w:rsidP="00332E2C">
            <w:pPr>
              <w:pStyle w:val="Default"/>
              <w:rPr>
                <w:sz w:val="20"/>
                <w:szCs w:val="20"/>
              </w:rPr>
            </w:pPr>
            <w:r w:rsidRPr="00332E2C">
              <w:rPr>
                <w:sz w:val="20"/>
                <w:szCs w:val="20"/>
              </w:rPr>
              <w:t>-1.82%</w:t>
            </w:r>
          </w:p>
        </w:tc>
        <w:tc>
          <w:tcPr>
            <w:tcW w:w="1283" w:type="dxa"/>
            <w:gridSpan w:val="2"/>
          </w:tcPr>
          <w:p w:rsidR="002F7AD4" w:rsidRPr="00332E2C" w:rsidRDefault="002F7AD4" w:rsidP="00332E2C">
            <w:pPr>
              <w:pStyle w:val="Default"/>
              <w:rPr>
                <w:sz w:val="20"/>
                <w:szCs w:val="20"/>
              </w:rPr>
            </w:pPr>
            <w:r w:rsidRPr="00332E2C">
              <w:rPr>
                <w:sz w:val="20"/>
                <w:szCs w:val="20"/>
              </w:rPr>
              <w:t>-5.96%</w:t>
            </w:r>
          </w:p>
        </w:tc>
      </w:tr>
      <w:tr w:rsidR="00B15543" w:rsidRPr="00332E2C" w:rsidTr="00B15543">
        <w:trPr>
          <w:trHeight w:val="93"/>
        </w:trPr>
        <w:tc>
          <w:tcPr>
            <w:tcW w:w="1824" w:type="dxa"/>
          </w:tcPr>
          <w:p w:rsidR="002F7AD4" w:rsidRPr="00332E2C" w:rsidRDefault="002F7AD4" w:rsidP="00332E2C">
            <w:pPr>
              <w:pStyle w:val="Default"/>
              <w:rPr>
                <w:sz w:val="20"/>
                <w:szCs w:val="20"/>
              </w:rPr>
            </w:pPr>
            <w:r w:rsidRPr="00332E2C">
              <w:rPr>
                <w:b/>
                <w:bCs/>
                <w:sz w:val="20"/>
                <w:szCs w:val="20"/>
              </w:rPr>
              <w:t xml:space="preserve">Finance Services </w:t>
            </w:r>
          </w:p>
        </w:tc>
        <w:tc>
          <w:tcPr>
            <w:tcW w:w="1004" w:type="dxa"/>
          </w:tcPr>
          <w:p w:rsidR="002F7AD4" w:rsidRPr="00332E2C" w:rsidRDefault="002F7AD4" w:rsidP="00332E2C">
            <w:pPr>
              <w:pStyle w:val="Default"/>
              <w:rPr>
                <w:sz w:val="20"/>
                <w:szCs w:val="20"/>
              </w:rPr>
            </w:pPr>
            <w:r w:rsidRPr="00332E2C">
              <w:rPr>
                <w:sz w:val="20"/>
                <w:szCs w:val="20"/>
              </w:rPr>
              <w:t xml:space="preserve">21.6 </w:t>
            </w:r>
          </w:p>
        </w:tc>
        <w:tc>
          <w:tcPr>
            <w:tcW w:w="1147" w:type="dxa"/>
          </w:tcPr>
          <w:p w:rsidR="002F7AD4" w:rsidRPr="00332E2C" w:rsidRDefault="002F7AD4" w:rsidP="00332E2C">
            <w:pPr>
              <w:pStyle w:val="Default"/>
              <w:rPr>
                <w:sz w:val="20"/>
                <w:szCs w:val="20"/>
              </w:rPr>
            </w:pPr>
            <w:r w:rsidRPr="00332E2C">
              <w:rPr>
                <w:sz w:val="20"/>
                <w:szCs w:val="20"/>
              </w:rPr>
              <w:t xml:space="preserve">22.7 </w:t>
            </w:r>
          </w:p>
        </w:tc>
        <w:tc>
          <w:tcPr>
            <w:tcW w:w="1137" w:type="dxa"/>
          </w:tcPr>
          <w:p w:rsidR="002F7AD4" w:rsidRPr="00332E2C" w:rsidRDefault="002F7AD4" w:rsidP="00332E2C">
            <w:pPr>
              <w:pStyle w:val="Default"/>
              <w:rPr>
                <w:sz w:val="20"/>
                <w:szCs w:val="20"/>
              </w:rPr>
            </w:pPr>
            <w:r w:rsidRPr="00332E2C">
              <w:rPr>
                <w:sz w:val="20"/>
                <w:szCs w:val="20"/>
              </w:rPr>
              <w:t xml:space="preserve">1.1 </w:t>
            </w:r>
          </w:p>
        </w:tc>
        <w:tc>
          <w:tcPr>
            <w:tcW w:w="1299" w:type="dxa"/>
            <w:gridSpan w:val="2"/>
          </w:tcPr>
          <w:p w:rsidR="002F7AD4" w:rsidRPr="00332E2C" w:rsidRDefault="002F7AD4" w:rsidP="00332E2C">
            <w:pPr>
              <w:pStyle w:val="Default"/>
              <w:rPr>
                <w:sz w:val="20"/>
                <w:szCs w:val="20"/>
              </w:rPr>
            </w:pPr>
            <w:r w:rsidRPr="00332E2C">
              <w:rPr>
                <w:sz w:val="20"/>
                <w:szCs w:val="20"/>
              </w:rPr>
              <w:t xml:space="preserve">0.1 </w:t>
            </w:r>
          </w:p>
        </w:tc>
        <w:tc>
          <w:tcPr>
            <w:tcW w:w="1258" w:type="dxa"/>
          </w:tcPr>
          <w:p w:rsidR="002F7AD4" w:rsidRPr="00332E2C" w:rsidRDefault="002F7AD4" w:rsidP="00332E2C">
            <w:pPr>
              <w:pStyle w:val="Default"/>
              <w:rPr>
                <w:sz w:val="20"/>
                <w:szCs w:val="20"/>
              </w:rPr>
            </w:pPr>
            <w:r w:rsidRPr="00332E2C">
              <w:rPr>
                <w:sz w:val="20"/>
                <w:szCs w:val="20"/>
              </w:rPr>
              <w:t>5.09 %</w:t>
            </w:r>
          </w:p>
        </w:tc>
        <w:tc>
          <w:tcPr>
            <w:tcW w:w="1283" w:type="dxa"/>
            <w:gridSpan w:val="2"/>
          </w:tcPr>
          <w:p w:rsidR="002F7AD4" w:rsidRPr="00332E2C" w:rsidRDefault="002F7AD4" w:rsidP="00332E2C">
            <w:pPr>
              <w:pStyle w:val="Default"/>
              <w:rPr>
                <w:sz w:val="20"/>
                <w:szCs w:val="20"/>
              </w:rPr>
            </w:pPr>
            <w:r w:rsidRPr="00332E2C">
              <w:rPr>
                <w:sz w:val="20"/>
                <w:szCs w:val="20"/>
              </w:rPr>
              <w:t>0.66 %</w:t>
            </w:r>
          </w:p>
        </w:tc>
      </w:tr>
      <w:tr w:rsidR="00B15543" w:rsidRPr="00332E2C" w:rsidTr="00B15543">
        <w:trPr>
          <w:trHeight w:val="555"/>
        </w:trPr>
        <w:tc>
          <w:tcPr>
            <w:tcW w:w="1824" w:type="dxa"/>
          </w:tcPr>
          <w:p w:rsidR="002F7AD4" w:rsidRPr="00332E2C" w:rsidRDefault="002F7AD4" w:rsidP="00332E2C">
            <w:pPr>
              <w:pStyle w:val="Default"/>
              <w:rPr>
                <w:sz w:val="20"/>
                <w:szCs w:val="20"/>
              </w:rPr>
            </w:pPr>
            <w:r w:rsidRPr="00332E2C">
              <w:rPr>
                <w:b/>
                <w:bCs/>
                <w:sz w:val="20"/>
                <w:szCs w:val="20"/>
              </w:rPr>
              <w:t xml:space="preserve">TOTAL </w:t>
            </w:r>
          </w:p>
        </w:tc>
        <w:tc>
          <w:tcPr>
            <w:tcW w:w="1004" w:type="dxa"/>
          </w:tcPr>
          <w:p w:rsidR="002F7AD4" w:rsidRPr="00332E2C" w:rsidRDefault="002F7AD4" w:rsidP="00332E2C">
            <w:pPr>
              <w:pStyle w:val="Default"/>
              <w:rPr>
                <w:sz w:val="20"/>
                <w:szCs w:val="20"/>
              </w:rPr>
            </w:pPr>
            <w:r w:rsidRPr="00332E2C">
              <w:rPr>
                <w:sz w:val="20"/>
                <w:szCs w:val="20"/>
              </w:rPr>
              <w:t xml:space="preserve">92.6 </w:t>
            </w:r>
          </w:p>
        </w:tc>
        <w:tc>
          <w:tcPr>
            <w:tcW w:w="1147" w:type="dxa"/>
          </w:tcPr>
          <w:p w:rsidR="002F7AD4" w:rsidRPr="00332E2C" w:rsidRDefault="002F7AD4" w:rsidP="00332E2C">
            <w:pPr>
              <w:pStyle w:val="Default"/>
              <w:rPr>
                <w:sz w:val="20"/>
                <w:szCs w:val="20"/>
              </w:rPr>
            </w:pPr>
            <w:r w:rsidRPr="00332E2C">
              <w:rPr>
                <w:sz w:val="20"/>
                <w:szCs w:val="20"/>
              </w:rPr>
              <w:t xml:space="preserve">105.0 </w:t>
            </w:r>
          </w:p>
        </w:tc>
        <w:tc>
          <w:tcPr>
            <w:tcW w:w="1137" w:type="dxa"/>
          </w:tcPr>
          <w:p w:rsidR="002F7AD4" w:rsidRPr="00332E2C" w:rsidRDefault="002F7AD4" w:rsidP="00332E2C">
            <w:pPr>
              <w:pStyle w:val="Default"/>
              <w:rPr>
                <w:sz w:val="20"/>
                <w:szCs w:val="20"/>
              </w:rPr>
            </w:pPr>
            <w:r w:rsidRPr="00332E2C">
              <w:rPr>
                <w:sz w:val="20"/>
                <w:szCs w:val="20"/>
              </w:rPr>
              <w:t xml:space="preserve">12.4 </w:t>
            </w:r>
          </w:p>
        </w:tc>
        <w:tc>
          <w:tcPr>
            <w:tcW w:w="1299" w:type="dxa"/>
            <w:gridSpan w:val="2"/>
          </w:tcPr>
          <w:p w:rsidR="002F7AD4" w:rsidRPr="00332E2C" w:rsidRDefault="002F7AD4" w:rsidP="00332E2C">
            <w:pPr>
              <w:pStyle w:val="Default"/>
              <w:rPr>
                <w:sz w:val="20"/>
                <w:szCs w:val="20"/>
              </w:rPr>
            </w:pPr>
            <w:r w:rsidRPr="00332E2C">
              <w:rPr>
                <w:sz w:val="20"/>
                <w:szCs w:val="20"/>
              </w:rPr>
              <w:t xml:space="preserve">8.0 </w:t>
            </w:r>
          </w:p>
        </w:tc>
        <w:tc>
          <w:tcPr>
            <w:tcW w:w="1258" w:type="dxa"/>
          </w:tcPr>
          <w:p w:rsidR="002F7AD4" w:rsidRPr="00332E2C" w:rsidRDefault="002F7AD4" w:rsidP="00332E2C">
            <w:pPr>
              <w:pStyle w:val="Default"/>
              <w:rPr>
                <w:sz w:val="20"/>
                <w:szCs w:val="20"/>
              </w:rPr>
            </w:pPr>
            <w:r w:rsidRPr="00332E2C">
              <w:rPr>
                <w:b/>
                <w:bCs/>
                <w:sz w:val="20"/>
                <w:szCs w:val="20"/>
              </w:rPr>
              <w:t>13.4 %</w:t>
            </w:r>
          </w:p>
        </w:tc>
        <w:tc>
          <w:tcPr>
            <w:tcW w:w="1283" w:type="dxa"/>
            <w:gridSpan w:val="2"/>
          </w:tcPr>
          <w:p w:rsidR="002F7AD4" w:rsidRPr="00332E2C" w:rsidRDefault="002F7AD4" w:rsidP="00332E2C">
            <w:pPr>
              <w:pStyle w:val="Default"/>
              <w:rPr>
                <w:sz w:val="20"/>
                <w:szCs w:val="20"/>
              </w:rPr>
            </w:pPr>
            <w:r w:rsidRPr="00332E2C">
              <w:rPr>
                <w:b/>
                <w:bCs/>
                <w:sz w:val="20"/>
                <w:szCs w:val="20"/>
              </w:rPr>
              <w:t>8.61 %</w:t>
            </w:r>
          </w:p>
        </w:tc>
      </w:tr>
    </w:tbl>
    <w:p w:rsidR="00B15543" w:rsidRPr="00332E2C" w:rsidRDefault="00EB6B72" w:rsidP="00332E2C">
      <w:pPr>
        <w:spacing w:after="0" w:line="240" w:lineRule="auto"/>
        <w:jc w:val="center"/>
        <w:rPr>
          <w:rFonts w:ascii="Arial" w:eastAsia="Calibri" w:hAnsi="Arial" w:cs="Arial"/>
          <w:b/>
          <w:sz w:val="20"/>
          <w:szCs w:val="20"/>
        </w:rPr>
      </w:pPr>
      <w:r w:rsidRPr="00332E2C">
        <w:rPr>
          <w:rFonts w:ascii="Arial" w:eastAsia="Calibri" w:hAnsi="Arial" w:cs="Arial"/>
          <w:b/>
          <w:sz w:val="20"/>
          <w:szCs w:val="20"/>
        </w:rPr>
        <w:t xml:space="preserve">Source: </w:t>
      </w:r>
      <w:r w:rsidR="009F60CA" w:rsidRPr="00332E2C">
        <w:rPr>
          <w:rFonts w:ascii="Arial" w:eastAsia="Calibri" w:hAnsi="Arial" w:cs="Arial"/>
          <w:b/>
          <w:sz w:val="20"/>
          <w:szCs w:val="20"/>
        </w:rPr>
        <w:t>National Treasury (</w:t>
      </w:r>
      <w:r w:rsidRPr="00332E2C">
        <w:rPr>
          <w:rFonts w:ascii="Arial" w:eastAsia="Calibri" w:hAnsi="Arial" w:cs="Arial"/>
          <w:b/>
          <w:sz w:val="20"/>
          <w:szCs w:val="20"/>
        </w:rPr>
        <w:t>20</w:t>
      </w:r>
      <w:r w:rsidR="002F7AD4" w:rsidRPr="00332E2C">
        <w:rPr>
          <w:rFonts w:ascii="Arial" w:eastAsia="Calibri" w:hAnsi="Arial" w:cs="Arial"/>
          <w:b/>
          <w:sz w:val="20"/>
          <w:szCs w:val="20"/>
        </w:rPr>
        <w:t>20</w:t>
      </w:r>
      <w:r w:rsidR="009F60CA" w:rsidRPr="00332E2C">
        <w:rPr>
          <w:rFonts w:ascii="Arial" w:eastAsia="Calibri" w:hAnsi="Arial" w:cs="Arial"/>
          <w:b/>
          <w:sz w:val="20"/>
          <w:szCs w:val="20"/>
        </w:rPr>
        <w:t>)</w:t>
      </w:r>
    </w:p>
    <w:p w:rsidR="009F60CA" w:rsidRPr="00332E2C" w:rsidRDefault="009F60CA" w:rsidP="00332E2C">
      <w:pPr>
        <w:spacing w:after="0" w:line="240" w:lineRule="auto"/>
        <w:jc w:val="center"/>
        <w:rPr>
          <w:rFonts w:ascii="Arial" w:eastAsia="Calibri" w:hAnsi="Arial" w:cs="Arial"/>
          <w:b/>
          <w:sz w:val="20"/>
          <w:szCs w:val="20"/>
        </w:rPr>
      </w:pPr>
    </w:p>
    <w:p w:rsidR="00B15543" w:rsidRPr="00332E2C" w:rsidRDefault="00B15543" w:rsidP="00332E2C">
      <w:pPr>
        <w:spacing w:after="0" w:line="240" w:lineRule="auto"/>
        <w:jc w:val="both"/>
        <w:rPr>
          <w:rFonts w:ascii="Arial" w:eastAsia="Calibri" w:hAnsi="Arial" w:cs="Arial"/>
          <w:b/>
          <w:sz w:val="20"/>
          <w:szCs w:val="20"/>
        </w:rPr>
      </w:pPr>
      <w:bookmarkStart w:id="3" w:name="_Toc12872910"/>
      <w:r w:rsidRPr="00332E2C">
        <w:rPr>
          <w:rFonts w:ascii="Arial" w:eastAsia="Calibri" w:hAnsi="Arial" w:cs="Arial"/>
          <w:sz w:val="20"/>
          <w:szCs w:val="20"/>
        </w:rPr>
        <w:t>The Corporate Services sub-programme received a budget allocation of R41.7 million in 2020/21, which is a nominal increase of 14.56%. Proportionally, the sub-programme received 39.71% of the total budget allocation of the Programme, which is the largest portion of the Programme.</w:t>
      </w:r>
    </w:p>
    <w:p w:rsidR="00B15543" w:rsidRPr="00332E2C" w:rsidRDefault="00B15543" w:rsidP="00332E2C">
      <w:pPr>
        <w:keepNext/>
        <w:keepLines/>
        <w:spacing w:after="0" w:line="240" w:lineRule="auto"/>
        <w:jc w:val="both"/>
        <w:outlineLvl w:val="1"/>
        <w:rPr>
          <w:rFonts w:ascii="Arial" w:eastAsia="Calibri" w:hAnsi="Arial" w:cs="Arial"/>
          <w:sz w:val="20"/>
          <w:szCs w:val="20"/>
        </w:rPr>
      </w:pPr>
      <w:r w:rsidRPr="00332E2C">
        <w:rPr>
          <w:rFonts w:ascii="Arial" w:eastAsia="Calibri" w:hAnsi="Arial" w:cs="Arial"/>
          <w:sz w:val="20"/>
          <w:szCs w:val="20"/>
        </w:rPr>
        <w:t>The Office Accommodation sub-programme received a budget allocation of R13.9 million in 2020/21, which is a nominal increase of 6.11%. Proportionally, the sub-programme received 5.14% of the total budget allocation of the Programme.</w:t>
      </w:r>
    </w:p>
    <w:p w:rsidR="00B15543" w:rsidRPr="00332E2C" w:rsidRDefault="00B15543" w:rsidP="00332E2C">
      <w:pPr>
        <w:keepNext/>
        <w:keepLines/>
        <w:spacing w:after="0" w:line="240" w:lineRule="auto"/>
        <w:jc w:val="both"/>
        <w:outlineLvl w:val="1"/>
        <w:rPr>
          <w:rFonts w:ascii="Arial" w:eastAsia="Calibri" w:hAnsi="Arial" w:cs="Arial"/>
          <w:sz w:val="20"/>
          <w:szCs w:val="20"/>
        </w:rPr>
      </w:pPr>
    </w:p>
    <w:p w:rsidR="00B15543" w:rsidRPr="00332E2C" w:rsidRDefault="00B15543" w:rsidP="00332E2C">
      <w:pPr>
        <w:keepNext/>
        <w:keepLines/>
        <w:spacing w:after="0" w:line="240" w:lineRule="auto"/>
        <w:jc w:val="both"/>
        <w:outlineLvl w:val="1"/>
        <w:rPr>
          <w:rFonts w:ascii="Arial" w:eastAsia="Calibri" w:hAnsi="Arial" w:cs="Arial"/>
          <w:sz w:val="20"/>
          <w:szCs w:val="20"/>
        </w:rPr>
      </w:pPr>
      <w:r w:rsidRPr="00332E2C">
        <w:rPr>
          <w:rFonts w:ascii="Arial" w:eastAsia="Calibri" w:hAnsi="Arial" w:cs="Arial"/>
          <w:sz w:val="20"/>
          <w:szCs w:val="20"/>
        </w:rPr>
        <w:t>The Internal Audit sub-programme received a budget allocation of R5.4 million in 2020/21, which is a nominal decrease of 1.82%. Considering inflation, the sub-programme’s budget allocation decreased by 5.96%.</w:t>
      </w:r>
    </w:p>
    <w:p w:rsidR="00B15543" w:rsidRPr="00332E2C" w:rsidRDefault="00B15543" w:rsidP="00332E2C">
      <w:pPr>
        <w:keepNext/>
        <w:keepLines/>
        <w:spacing w:after="0" w:line="240" w:lineRule="auto"/>
        <w:jc w:val="both"/>
        <w:outlineLvl w:val="1"/>
        <w:rPr>
          <w:rFonts w:ascii="Arial" w:eastAsia="Calibri" w:hAnsi="Arial" w:cs="Arial"/>
          <w:sz w:val="20"/>
          <w:szCs w:val="20"/>
        </w:rPr>
      </w:pPr>
    </w:p>
    <w:p w:rsidR="00B15543" w:rsidRPr="00332E2C" w:rsidRDefault="00B15543" w:rsidP="00332E2C">
      <w:pPr>
        <w:keepNext/>
        <w:keepLines/>
        <w:spacing w:after="0" w:line="240" w:lineRule="auto"/>
        <w:jc w:val="both"/>
        <w:outlineLvl w:val="1"/>
        <w:rPr>
          <w:rFonts w:ascii="Arial" w:eastAsia="Calibri" w:hAnsi="Arial" w:cs="Arial"/>
          <w:sz w:val="20"/>
          <w:szCs w:val="20"/>
        </w:rPr>
      </w:pPr>
      <w:r w:rsidRPr="00332E2C">
        <w:rPr>
          <w:rFonts w:ascii="Arial" w:eastAsia="Calibri" w:hAnsi="Arial" w:cs="Arial"/>
          <w:sz w:val="20"/>
          <w:szCs w:val="20"/>
        </w:rPr>
        <w:t>The Finance Services sub-programme received a budget allocation of R22.7 million in 2020/21, which is a nominal increase of 5.09%. Proportionally, the sub-programme received 21.62% of the total budget allocation of the Programme.</w:t>
      </w:r>
    </w:p>
    <w:p w:rsidR="00B15543" w:rsidRPr="00332E2C" w:rsidRDefault="00B15543" w:rsidP="00332E2C">
      <w:pPr>
        <w:keepNext/>
        <w:keepLines/>
        <w:spacing w:after="0" w:line="240" w:lineRule="auto"/>
        <w:jc w:val="both"/>
        <w:outlineLvl w:val="1"/>
        <w:rPr>
          <w:rFonts w:ascii="Arial" w:eastAsia="Calibri" w:hAnsi="Arial" w:cs="Arial"/>
          <w:sz w:val="20"/>
          <w:szCs w:val="20"/>
        </w:rPr>
      </w:pPr>
    </w:p>
    <w:p w:rsidR="00B15543" w:rsidRPr="00332E2C" w:rsidRDefault="00B15543" w:rsidP="00332E2C">
      <w:pPr>
        <w:keepNext/>
        <w:keepLines/>
        <w:spacing w:after="0" w:line="240" w:lineRule="auto"/>
        <w:jc w:val="both"/>
        <w:outlineLvl w:val="1"/>
        <w:rPr>
          <w:rFonts w:ascii="Arial" w:eastAsia="Calibri" w:hAnsi="Arial" w:cs="Arial"/>
          <w:sz w:val="20"/>
          <w:szCs w:val="20"/>
        </w:rPr>
      </w:pPr>
    </w:p>
    <w:p w:rsidR="00EB6B72" w:rsidRPr="00332E2C" w:rsidRDefault="00EB6B72" w:rsidP="00332E2C">
      <w:pPr>
        <w:keepNext/>
        <w:keepLines/>
        <w:spacing w:after="0" w:line="240" w:lineRule="auto"/>
        <w:jc w:val="both"/>
        <w:outlineLvl w:val="1"/>
        <w:rPr>
          <w:rFonts w:ascii="Arial" w:eastAsia="Times New Roman" w:hAnsi="Arial" w:cs="Arial"/>
          <w:b/>
          <w:color w:val="538135"/>
          <w:sz w:val="20"/>
          <w:szCs w:val="20"/>
        </w:rPr>
      </w:pPr>
      <w:r w:rsidRPr="00332E2C">
        <w:rPr>
          <w:rFonts w:ascii="Arial" w:eastAsia="Calibri" w:hAnsi="Arial" w:cs="Arial"/>
          <w:b/>
          <w:sz w:val="20"/>
          <w:szCs w:val="20"/>
        </w:rPr>
        <w:t>3.</w:t>
      </w:r>
      <w:r w:rsidR="00B110E4" w:rsidRPr="00332E2C">
        <w:rPr>
          <w:rFonts w:ascii="Arial" w:eastAsia="Calibri" w:hAnsi="Arial" w:cs="Arial"/>
          <w:b/>
          <w:sz w:val="20"/>
          <w:szCs w:val="20"/>
        </w:rPr>
        <w:t>1.</w:t>
      </w:r>
      <w:r w:rsidRPr="00332E2C">
        <w:rPr>
          <w:rFonts w:ascii="Arial" w:eastAsia="Calibri" w:hAnsi="Arial" w:cs="Arial"/>
          <w:b/>
          <w:sz w:val="20"/>
          <w:szCs w:val="20"/>
        </w:rPr>
        <w:t>2</w:t>
      </w:r>
      <w:r w:rsidRPr="00332E2C">
        <w:rPr>
          <w:rFonts w:ascii="Arial" w:eastAsia="Calibri" w:hAnsi="Arial" w:cs="Arial"/>
          <w:sz w:val="20"/>
          <w:szCs w:val="20"/>
        </w:rPr>
        <w:tab/>
      </w:r>
      <w:r w:rsidRPr="00332E2C">
        <w:rPr>
          <w:rFonts w:ascii="Arial" w:eastAsia="Times New Roman" w:hAnsi="Arial" w:cs="Arial"/>
          <w:b/>
          <w:color w:val="000000" w:themeColor="text1"/>
          <w:sz w:val="20"/>
          <w:szCs w:val="20"/>
        </w:rPr>
        <w:t>Programme 2: Investigation and Information Management</w:t>
      </w:r>
      <w:bookmarkEnd w:id="3"/>
    </w:p>
    <w:p w:rsidR="00EB6B72" w:rsidRPr="00332E2C" w:rsidRDefault="00EB6B72" w:rsidP="00332E2C">
      <w:pPr>
        <w:spacing w:after="0" w:line="240" w:lineRule="auto"/>
        <w:jc w:val="both"/>
        <w:rPr>
          <w:rFonts w:ascii="Arial" w:eastAsia="Calibri" w:hAnsi="Arial" w:cs="Arial"/>
          <w:sz w:val="20"/>
          <w:szCs w:val="20"/>
        </w:rPr>
      </w:pPr>
    </w:p>
    <w:p w:rsidR="00B15543" w:rsidRPr="00332E2C" w:rsidRDefault="00EB6B72"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 xml:space="preserve">The purpose of the Investigation and Information Management Programme is to strengthen the Department’s oversight role over the police service by conducting investigations, in line with the powers granted by the Independent Police Investigative Directorate Act No. 1 of 2011. </w:t>
      </w:r>
    </w:p>
    <w:p w:rsidR="00B15543" w:rsidRPr="00332E2C" w:rsidRDefault="00B15543" w:rsidP="00332E2C">
      <w:pPr>
        <w:autoSpaceDE w:val="0"/>
        <w:autoSpaceDN w:val="0"/>
        <w:adjustRightInd w:val="0"/>
        <w:spacing w:after="0" w:line="240" w:lineRule="auto"/>
        <w:jc w:val="both"/>
        <w:rPr>
          <w:rFonts w:ascii="Arial" w:eastAsia="Calibri" w:hAnsi="Arial" w:cs="Arial"/>
          <w:sz w:val="20"/>
          <w:szCs w:val="20"/>
        </w:rPr>
      </w:pPr>
    </w:p>
    <w:p w:rsidR="00B15543" w:rsidRPr="00332E2C" w:rsidRDefault="00B15543"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The Investigation Management sub-programme received a budget allocation of R20.7 million in 2020/32, which is a nominal increase of 5.08%. Proportionally, the sub-programme received 8.96% of the total budget allocation of the Programme.</w:t>
      </w:r>
    </w:p>
    <w:p w:rsidR="00B15543" w:rsidRPr="00332E2C" w:rsidRDefault="00B15543" w:rsidP="00332E2C">
      <w:pPr>
        <w:autoSpaceDE w:val="0"/>
        <w:autoSpaceDN w:val="0"/>
        <w:adjustRightInd w:val="0"/>
        <w:spacing w:after="0" w:line="240" w:lineRule="auto"/>
        <w:jc w:val="both"/>
        <w:rPr>
          <w:rFonts w:ascii="Arial" w:eastAsia="Calibri" w:hAnsi="Arial" w:cs="Arial"/>
          <w:sz w:val="20"/>
          <w:szCs w:val="20"/>
        </w:rPr>
      </w:pPr>
    </w:p>
    <w:p w:rsidR="00B15543" w:rsidRPr="00332E2C" w:rsidRDefault="00B15543"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The Investigation sub-programme received a budget allocation of R202.6 million in 2020/21, which is a nominal decrease of -0.99%, which is a real decrease of -5.16% (considering inflation). As this is the core mandate of the Directorate, the sub-programme received 56.39% of the Directorate’s total budget allocation for 2020/21.</w:t>
      </w:r>
    </w:p>
    <w:p w:rsidR="00B15543" w:rsidRPr="00332E2C" w:rsidRDefault="00B15543" w:rsidP="00332E2C">
      <w:pPr>
        <w:autoSpaceDE w:val="0"/>
        <w:autoSpaceDN w:val="0"/>
        <w:adjustRightInd w:val="0"/>
        <w:spacing w:after="0" w:line="240" w:lineRule="auto"/>
        <w:jc w:val="both"/>
        <w:rPr>
          <w:rFonts w:ascii="Arial" w:eastAsia="Calibri" w:hAnsi="Arial" w:cs="Arial"/>
          <w:sz w:val="20"/>
          <w:szCs w:val="20"/>
        </w:rPr>
      </w:pPr>
    </w:p>
    <w:p w:rsidR="00EB6B72" w:rsidRPr="00332E2C" w:rsidRDefault="00B15543"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 xml:space="preserve">The Information Management sub-programme received a budget allocation of R9.6 in 2020/21, which is a nominal increase of 128.57% (R5.4 million) and a real increase of 118.94%. Proportionally, the sub-programme received 4.16% of the total budget allocation of the Programme. </w:t>
      </w:r>
      <w:r w:rsidR="00EB6B72" w:rsidRPr="00332E2C">
        <w:rPr>
          <w:rFonts w:ascii="Arial" w:eastAsia="Calibri" w:hAnsi="Arial" w:cs="Arial"/>
          <w:sz w:val="20"/>
          <w:szCs w:val="20"/>
        </w:rPr>
        <w:t xml:space="preserve">The table below summarises the programme performance indicators and targets of the </w:t>
      </w:r>
      <w:r w:rsidR="00EB6B72" w:rsidRPr="00332E2C">
        <w:rPr>
          <w:rFonts w:ascii="Arial" w:eastAsia="Calibri" w:hAnsi="Arial" w:cs="Arial"/>
          <w:i/>
          <w:sz w:val="20"/>
          <w:szCs w:val="20"/>
        </w:rPr>
        <w:t>Investigation and Information Management</w:t>
      </w:r>
      <w:r w:rsidR="00EB6B72" w:rsidRPr="00332E2C">
        <w:rPr>
          <w:rFonts w:ascii="Arial" w:eastAsia="Calibri" w:hAnsi="Arial" w:cs="Arial"/>
          <w:sz w:val="20"/>
          <w:szCs w:val="20"/>
        </w:rPr>
        <w:t xml:space="preserve"> Programme: </w:t>
      </w:r>
    </w:p>
    <w:p w:rsidR="00EB6B72" w:rsidRPr="00332E2C" w:rsidRDefault="00EB6B72" w:rsidP="00332E2C">
      <w:pPr>
        <w:autoSpaceDE w:val="0"/>
        <w:autoSpaceDN w:val="0"/>
        <w:adjustRightInd w:val="0"/>
        <w:spacing w:after="0" w:line="240" w:lineRule="auto"/>
        <w:jc w:val="both"/>
        <w:rPr>
          <w:rFonts w:ascii="Arial" w:eastAsia="Calibri" w:hAnsi="Arial" w:cs="Arial"/>
          <w:sz w:val="20"/>
          <w:szCs w:val="20"/>
          <w:lang w:eastAsia="en-ZA"/>
        </w:rPr>
      </w:pPr>
    </w:p>
    <w:p w:rsidR="00EB6B72" w:rsidRPr="00332E2C" w:rsidRDefault="00EB6B72"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 xml:space="preserve">Table 3: </w:t>
      </w:r>
      <w:r w:rsidR="00B15543" w:rsidRPr="00332E2C">
        <w:rPr>
          <w:rFonts w:ascii="Arial" w:eastAsia="Calibri" w:hAnsi="Arial" w:cs="Arial"/>
          <w:b/>
          <w:sz w:val="20"/>
          <w:szCs w:val="20"/>
        </w:rPr>
        <w:t>Budget allocation per sub-programme of the Investigation and Information Management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992"/>
        <w:gridCol w:w="1134"/>
        <w:gridCol w:w="1276"/>
        <w:gridCol w:w="1276"/>
        <w:gridCol w:w="1275"/>
        <w:gridCol w:w="1523"/>
      </w:tblGrid>
      <w:tr w:rsidR="001C3901" w:rsidRPr="00332E2C" w:rsidTr="001C3901">
        <w:trPr>
          <w:trHeight w:val="513"/>
        </w:trPr>
        <w:tc>
          <w:tcPr>
            <w:tcW w:w="1521" w:type="dxa"/>
          </w:tcPr>
          <w:p w:rsidR="001C3901" w:rsidRPr="00332E2C" w:rsidRDefault="001C3901" w:rsidP="00332E2C">
            <w:pPr>
              <w:pStyle w:val="Default"/>
              <w:rPr>
                <w:sz w:val="20"/>
                <w:szCs w:val="20"/>
              </w:rPr>
            </w:pPr>
            <w:r w:rsidRPr="00332E2C">
              <w:rPr>
                <w:b/>
                <w:bCs/>
                <w:sz w:val="20"/>
                <w:szCs w:val="20"/>
              </w:rPr>
              <w:t xml:space="preserve">Programme </w:t>
            </w:r>
          </w:p>
        </w:tc>
        <w:tc>
          <w:tcPr>
            <w:tcW w:w="2126" w:type="dxa"/>
            <w:gridSpan w:val="2"/>
          </w:tcPr>
          <w:p w:rsidR="001C3901" w:rsidRPr="00332E2C" w:rsidRDefault="001C3901" w:rsidP="00332E2C">
            <w:pPr>
              <w:pStyle w:val="Default"/>
              <w:jc w:val="center"/>
              <w:rPr>
                <w:sz w:val="20"/>
                <w:szCs w:val="20"/>
              </w:rPr>
            </w:pPr>
            <w:r w:rsidRPr="00332E2C">
              <w:rPr>
                <w:b/>
                <w:bCs/>
                <w:sz w:val="20"/>
                <w:szCs w:val="20"/>
              </w:rPr>
              <w:t>Budget</w:t>
            </w:r>
          </w:p>
        </w:tc>
        <w:tc>
          <w:tcPr>
            <w:tcW w:w="1276" w:type="dxa"/>
          </w:tcPr>
          <w:p w:rsidR="001C3901" w:rsidRPr="00332E2C" w:rsidRDefault="001C3901" w:rsidP="00332E2C">
            <w:pPr>
              <w:pStyle w:val="Default"/>
              <w:rPr>
                <w:sz w:val="20"/>
                <w:szCs w:val="20"/>
              </w:rPr>
            </w:pPr>
            <w:r w:rsidRPr="00332E2C">
              <w:rPr>
                <w:b/>
                <w:bCs/>
                <w:sz w:val="20"/>
                <w:szCs w:val="20"/>
              </w:rPr>
              <w:t xml:space="preserve">Nominal Increase / Decrease in 2020/21 </w:t>
            </w:r>
          </w:p>
        </w:tc>
        <w:tc>
          <w:tcPr>
            <w:tcW w:w="1276" w:type="dxa"/>
          </w:tcPr>
          <w:p w:rsidR="001C3901" w:rsidRPr="00332E2C" w:rsidRDefault="001C3901" w:rsidP="00332E2C">
            <w:pPr>
              <w:pStyle w:val="Default"/>
              <w:rPr>
                <w:sz w:val="20"/>
                <w:szCs w:val="20"/>
              </w:rPr>
            </w:pPr>
            <w:r w:rsidRPr="00332E2C">
              <w:rPr>
                <w:b/>
                <w:bCs/>
                <w:sz w:val="20"/>
                <w:szCs w:val="20"/>
              </w:rPr>
              <w:t xml:space="preserve">Real Increase / Decrease in 2020/21 </w:t>
            </w:r>
          </w:p>
        </w:tc>
        <w:tc>
          <w:tcPr>
            <w:tcW w:w="1275" w:type="dxa"/>
          </w:tcPr>
          <w:p w:rsidR="001C3901" w:rsidRPr="00332E2C" w:rsidRDefault="001C3901" w:rsidP="00332E2C">
            <w:pPr>
              <w:pStyle w:val="Default"/>
              <w:rPr>
                <w:sz w:val="20"/>
                <w:szCs w:val="20"/>
              </w:rPr>
            </w:pPr>
            <w:r w:rsidRPr="00332E2C">
              <w:rPr>
                <w:b/>
                <w:bCs/>
                <w:sz w:val="20"/>
                <w:szCs w:val="20"/>
              </w:rPr>
              <w:t xml:space="preserve">Nominal Percent change in 2020/21 </w:t>
            </w:r>
          </w:p>
        </w:tc>
        <w:tc>
          <w:tcPr>
            <w:tcW w:w="1523" w:type="dxa"/>
          </w:tcPr>
          <w:p w:rsidR="001C3901" w:rsidRPr="00332E2C" w:rsidRDefault="001C3901" w:rsidP="00332E2C">
            <w:pPr>
              <w:pStyle w:val="Default"/>
              <w:rPr>
                <w:sz w:val="20"/>
                <w:szCs w:val="20"/>
              </w:rPr>
            </w:pPr>
            <w:r w:rsidRPr="00332E2C">
              <w:rPr>
                <w:b/>
                <w:bCs/>
                <w:sz w:val="20"/>
                <w:szCs w:val="20"/>
              </w:rPr>
              <w:t xml:space="preserve">Real Percent change in 2020/21 </w:t>
            </w:r>
          </w:p>
        </w:tc>
      </w:tr>
      <w:tr w:rsidR="001C3901" w:rsidRPr="00332E2C" w:rsidTr="001C3901">
        <w:trPr>
          <w:trHeight w:val="93"/>
        </w:trPr>
        <w:tc>
          <w:tcPr>
            <w:tcW w:w="1521" w:type="dxa"/>
          </w:tcPr>
          <w:p w:rsidR="001C3901" w:rsidRPr="00332E2C" w:rsidRDefault="001C3901" w:rsidP="00332E2C">
            <w:pPr>
              <w:pStyle w:val="Default"/>
              <w:rPr>
                <w:sz w:val="20"/>
                <w:szCs w:val="20"/>
              </w:rPr>
            </w:pPr>
            <w:r w:rsidRPr="00332E2C">
              <w:rPr>
                <w:b/>
                <w:bCs/>
                <w:sz w:val="20"/>
                <w:szCs w:val="20"/>
              </w:rPr>
              <w:t xml:space="preserve">R million </w:t>
            </w:r>
          </w:p>
        </w:tc>
        <w:tc>
          <w:tcPr>
            <w:tcW w:w="992" w:type="dxa"/>
          </w:tcPr>
          <w:p w:rsidR="001C3901" w:rsidRPr="00332E2C" w:rsidRDefault="001C3901" w:rsidP="00332E2C">
            <w:pPr>
              <w:pStyle w:val="Default"/>
              <w:rPr>
                <w:sz w:val="20"/>
                <w:szCs w:val="20"/>
              </w:rPr>
            </w:pPr>
            <w:r w:rsidRPr="00332E2C">
              <w:rPr>
                <w:b/>
                <w:bCs/>
                <w:sz w:val="20"/>
                <w:szCs w:val="20"/>
              </w:rPr>
              <w:t>2019/20</w:t>
            </w:r>
          </w:p>
        </w:tc>
        <w:tc>
          <w:tcPr>
            <w:tcW w:w="1134" w:type="dxa"/>
          </w:tcPr>
          <w:p w:rsidR="001C3901" w:rsidRPr="00332E2C" w:rsidRDefault="001C3901" w:rsidP="00332E2C">
            <w:pPr>
              <w:pStyle w:val="Default"/>
              <w:rPr>
                <w:sz w:val="20"/>
                <w:szCs w:val="20"/>
              </w:rPr>
            </w:pPr>
            <w:r w:rsidRPr="00332E2C">
              <w:rPr>
                <w:b/>
                <w:bCs/>
                <w:sz w:val="20"/>
                <w:szCs w:val="20"/>
              </w:rPr>
              <w:t>2020/21</w:t>
            </w:r>
          </w:p>
        </w:tc>
        <w:tc>
          <w:tcPr>
            <w:tcW w:w="2552" w:type="dxa"/>
            <w:gridSpan w:val="2"/>
          </w:tcPr>
          <w:p w:rsidR="001C3901" w:rsidRPr="00332E2C" w:rsidRDefault="001C3901" w:rsidP="00332E2C">
            <w:pPr>
              <w:pStyle w:val="Default"/>
              <w:rPr>
                <w:sz w:val="20"/>
                <w:szCs w:val="20"/>
              </w:rPr>
            </w:pPr>
          </w:p>
        </w:tc>
        <w:tc>
          <w:tcPr>
            <w:tcW w:w="2798" w:type="dxa"/>
            <w:gridSpan w:val="2"/>
          </w:tcPr>
          <w:p w:rsidR="001C3901" w:rsidRPr="00332E2C" w:rsidRDefault="001C3901" w:rsidP="00332E2C">
            <w:pPr>
              <w:pStyle w:val="Default"/>
              <w:rPr>
                <w:sz w:val="20"/>
                <w:szCs w:val="20"/>
              </w:rPr>
            </w:pPr>
          </w:p>
        </w:tc>
      </w:tr>
      <w:tr w:rsidR="001C3901" w:rsidRPr="00332E2C" w:rsidTr="001C3901">
        <w:trPr>
          <w:trHeight w:val="93"/>
        </w:trPr>
        <w:tc>
          <w:tcPr>
            <w:tcW w:w="1521" w:type="dxa"/>
          </w:tcPr>
          <w:p w:rsidR="001C3901" w:rsidRPr="00332E2C" w:rsidRDefault="001C3901" w:rsidP="00332E2C">
            <w:pPr>
              <w:pStyle w:val="Default"/>
              <w:rPr>
                <w:sz w:val="20"/>
                <w:szCs w:val="20"/>
              </w:rPr>
            </w:pPr>
            <w:r w:rsidRPr="00332E2C">
              <w:rPr>
                <w:b/>
                <w:bCs/>
                <w:sz w:val="20"/>
                <w:szCs w:val="20"/>
              </w:rPr>
              <w:t xml:space="preserve">Investigation Management </w:t>
            </w:r>
          </w:p>
        </w:tc>
        <w:tc>
          <w:tcPr>
            <w:tcW w:w="992" w:type="dxa"/>
          </w:tcPr>
          <w:p w:rsidR="001C3901" w:rsidRPr="00332E2C" w:rsidRDefault="001C3901" w:rsidP="00332E2C">
            <w:pPr>
              <w:pStyle w:val="Default"/>
              <w:rPr>
                <w:sz w:val="20"/>
                <w:szCs w:val="20"/>
              </w:rPr>
            </w:pPr>
            <w:r w:rsidRPr="00332E2C">
              <w:rPr>
                <w:sz w:val="20"/>
                <w:szCs w:val="20"/>
              </w:rPr>
              <w:t xml:space="preserve">19.7 </w:t>
            </w:r>
          </w:p>
        </w:tc>
        <w:tc>
          <w:tcPr>
            <w:tcW w:w="1134" w:type="dxa"/>
          </w:tcPr>
          <w:p w:rsidR="001C3901" w:rsidRPr="00332E2C" w:rsidRDefault="001C3901" w:rsidP="00332E2C">
            <w:pPr>
              <w:pStyle w:val="Default"/>
              <w:rPr>
                <w:sz w:val="20"/>
                <w:szCs w:val="20"/>
              </w:rPr>
            </w:pPr>
            <w:r w:rsidRPr="00332E2C">
              <w:rPr>
                <w:sz w:val="20"/>
                <w:szCs w:val="20"/>
              </w:rPr>
              <w:t xml:space="preserve">20.7 </w:t>
            </w:r>
          </w:p>
        </w:tc>
        <w:tc>
          <w:tcPr>
            <w:tcW w:w="1276" w:type="dxa"/>
          </w:tcPr>
          <w:p w:rsidR="001C3901" w:rsidRPr="00332E2C" w:rsidRDefault="001C3901" w:rsidP="00332E2C">
            <w:pPr>
              <w:pStyle w:val="Default"/>
              <w:rPr>
                <w:sz w:val="20"/>
                <w:szCs w:val="20"/>
              </w:rPr>
            </w:pPr>
            <w:r w:rsidRPr="00332E2C">
              <w:rPr>
                <w:sz w:val="20"/>
                <w:szCs w:val="20"/>
              </w:rPr>
              <w:t xml:space="preserve">1.0 </w:t>
            </w:r>
          </w:p>
        </w:tc>
        <w:tc>
          <w:tcPr>
            <w:tcW w:w="1276" w:type="dxa"/>
          </w:tcPr>
          <w:p w:rsidR="001C3901" w:rsidRPr="00332E2C" w:rsidRDefault="001C3901" w:rsidP="00332E2C">
            <w:pPr>
              <w:pStyle w:val="Default"/>
              <w:rPr>
                <w:sz w:val="20"/>
                <w:szCs w:val="20"/>
              </w:rPr>
            </w:pPr>
            <w:r w:rsidRPr="00332E2C">
              <w:rPr>
                <w:sz w:val="20"/>
                <w:szCs w:val="20"/>
              </w:rPr>
              <w:t xml:space="preserve">0.1 </w:t>
            </w:r>
          </w:p>
        </w:tc>
        <w:tc>
          <w:tcPr>
            <w:tcW w:w="1275" w:type="dxa"/>
          </w:tcPr>
          <w:p w:rsidR="001C3901" w:rsidRPr="00332E2C" w:rsidRDefault="001C3901" w:rsidP="00332E2C">
            <w:pPr>
              <w:pStyle w:val="Default"/>
              <w:rPr>
                <w:sz w:val="20"/>
                <w:szCs w:val="20"/>
              </w:rPr>
            </w:pPr>
            <w:r w:rsidRPr="00332E2C">
              <w:rPr>
                <w:sz w:val="20"/>
                <w:szCs w:val="20"/>
              </w:rPr>
              <w:t>5.08 %</w:t>
            </w:r>
          </w:p>
        </w:tc>
        <w:tc>
          <w:tcPr>
            <w:tcW w:w="1523" w:type="dxa"/>
          </w:tcPr>
          <w:p w:rsidR="001C3901" w:rsidRPr="00332E2C" w:rsidRDefault="001C3901" w:rsidP="00332E2C">
            <w:pPr>
              <w:pStyle w:val="Default"/>
              <w:rPr>
                <w:sz w:val="20"/>
                <w:szCs w:val="20"/>
              </w:rPr>
            </w:pPr>
            <w:r w:rsidRPr="00332E2C">
              <w:rPr>
                <w:sz w:val="20"/>
                <w:szCs w:val="20"/>
              </w:rPr>
              <w:t>0.65 %</w:t>
            </w:r>
          </w:p>
        </w:tc>
      </w:tr>
      <w:tr w:rsidR="001C3901" w:rsidRPr="00332E2C" w:rsidTr="001C3901">
        <w:trPr>
          <w:trHeight w:val="93"/>
        </w:trPr>
        <w:tc>
          <w:tcPr>
            <w:tcW w:w="1521" w:type="dxa"/>
          </w:tcPr>
          <w:p w:rsidR="001C3901" w:rsidRPr="00332E2C" w:rsidRDefault="001C3901" w:rsidP="00332E2C">
            <w:pPr>
              <w:pStyle w:val="Default"/>
              <w:rPr>
                <w:sz w:val="20"/>
                <w:szCs w:val="20"/>
              </w:rPr>
            </w:pPr>
            <w:r w:rsidRPr="00332E2C">
              <w:rPr>
                <w:b/>
                <w:bCs/>
                <w:sz w:val="20"/>
                <w:szCs w:val="20"/>
              </w:rPr>
              <w:t xml:space="preserve">Investigation Services </w:t>
            </w:r>
          </w:p>
        </w:tc>
        <w:tc>
          <w:tcPr>
            <w:tcW w:w="992" w:type="dxa"/>
          </w:tcPr>
          <w:p w:rsidR="001C3901" w:rsidRPr="00332E2C" w:rsidRDefault="001C3901" w:rsidP="00332E2C">
            <w:pPr>
              <w:pStyle w:val="Default"/>
              <w:rPr>
                <w:sz w:val="20"/>
                <w:szCs w:val="20"/>
              </w:rPr>
            </w:pPr>
            <w:r w:rsidRPr="00332E2C">
              <w:rPr>
                <w:sz w:val="20"/>
                <w:szCs w:val="20"/>
              </w:rPr>
              <w:t xml:space="preserve">202.6 </w:t>
            </w:r>
          </w:p>
        </w:tc>
        <w:tc>
          <w:tcPr>
            <w:tcW w:w="1134" w:type="dxa"/>
          </w:tcPr>
          <w:p w:rsidR="001C3901" w:rsidRPr="00332E2C" w:rsidRDefault="001C3901" w:rsidP="00332E2C">
            <w:pPr>
              <w:pStyle w:val="Default"/>
              <w:rPr>
                <w:sz w:val="20"/>
                <w:szCs w:val="20"/>
              </w:rPr>
            </w:pPr>
            <w:r w:rsidRPr="00332E2C">
              <w:rPr>
                <w:sz w:val="20"/>
                <w:szCs w:val="20"/>
              </w:rPr>
              <w:t xml:space="preserve">200.6 </w:t>
            </w:r>
          </w:p>
        </w:tc>
        <w:tc>
          <w:tcPr>
            <w:tcW w:w="1276" w:type="dxa"/>
          </w:tcPr>
          <w:p w:rsidR="001C3901" w:rsidRPr="00332E2C" w:rsidRDefault="001C3901" w:rsidP="00332E2C">
            <w:pPr>
              <w:pStyle w:val="Default"/>
              <w:rPr>
                <w:sz w:val="20"/>
                <w:szCs w:val="20"/>
              </w:rPr>
            </w:pPr>
            <w:r w:rsidRPr="00332E2C">
              <w:rPr>
                <w:sz w:val="20"/>
                <w:szCs w:val="20"/>
              </w:rPr>
              <w:t xml:space="preserve">- 2.0 </w:t>
            </w:r>
          </w:p>
        </w:tc>
        <w:tc>
          <w:tcPr>
            <w:tcW w:w="1276" w:type="dxa"/>
          </w:tcPr>
          <w:p w:rsidR="001C3901" w:rsidRPr="00332E2C" w:rsidRDefault="001C3901" w:rsidP="00332E2C">
            <w:pPr>
              <w:pStyle w:val="Default"/>
              <w:rPr>
                <w:sz w:val="20"/>
                <w:szCs w:val="20"/>
              </w:rPr>
            </w:pPr>
            <w:r w:rsidRPr="00332E2C">
              <w:rPr>
                <w:sz w:val="20"/>
                <w:szCs w:val="20"/>
              </w:rPr>
              <w:t xml:space="preserve">- 10.5 </w:t>
            </w:r>
          </w:p>
        </w:tc>
        <w:tc>
          <w:tcPr>
            <w:tcW w:w="1275" w:type="dxa"/>
          </w:tcPr>
          <w:p w:rsidR="001C3901" w:rsidRPr="00332E2C" w:rsidRDefault="001C3901" w:rsidP="00332E2C">
            <w:pPr>
              <w:pStyle w:val="Default"/>
              <w:rPr>
                <w:sz w:val="20"/>
                <w:szCs w:val="20"/>
              </w:rPr>
            </w:pPr>
            <w:r w:rsidRPr="00332E2C">
              <w:rPr>
                <w:sz w:val="20"/>
                <w:szCs w:val="20"/>
              </w:rPr>
              <w:t>-0.99 %</w:t>
            </w:r>
          </w:p>
        </w:tc>
        <w:tc>
          <w:tcPr>
            <w:tcW w:w="1523" w:type="dxa"/>
          </w:tcPr>
          <w:p w:rsidR="001C3901" w:rsidRPr="00332E2C" w:rsidRDefault="001C3901" w:rsidP="00332E2C">
            <w:pPr>
              <w:pStyle w:val="Default"/>
              <w:rPr>
                <w:sz w:val="20"/>
                <w:szCs w:val="20"/>
              </w:rPr>
            </w:pPr>
            <w:r w:rsidRPr="00332E2C">
              <w:rPr>
                <w:sz w:val="20"/>
                <w:szCs w:val="20"/>
              </w:rPr>
              <w:t>-5.16%</w:t>
            </w:r>
          </w:p>
        </w:tc>
      </w:tr>
      <w:tr w:rsidR="001C3901" w:rsidRPr="00332E2C" w:rsidTr="001C3901">
        <w:trPr>
          <w:trHeight w:val="93"/>
        </w:trPr>
        <w:tc>
          <w:tcPr>
            <w:tcW w:w="1521" w:type="dxa"/>
          </w:tcPr>
          <w:p w:rsidR="001C3901" w:rsidRPr="00332E2C" w:rsidRDefault="001C3901" w:rsidP="00332E2C">
            <w:pPr>
              <w:pStyle w:val="Default"/>
              <w:rPr>
                <w:sz w:val="20"/>
                <w:szCs w:val="20"/>
              </w:rPr>
            </w:pPr>
            <w:r w:rsidRPr="00332E2C">
              <w:rPr>
                <w:b/>
                <w:bCs/>
                <w:sz w:val="20"/>
                <w:szCs w:val="20"/>
              </w:rPr>
              <w:t xml:space="preserve">Information Management </w:t>
            </w:r>
          </w:p>
        </w:tc>
        <w:tc>
          <w:tcPr>
            <w:tcW w:w="992" w:type="dxa"/>
          </w:tcPr>
          <w:p w:rsidR="001C3901" w:rsidRPr="00332E2C" w:rsidRDefault="001C3901" w:rsidP="00332E2C">
            <w:pPr>
              <w:pStyle w:val="Default"/>
              <w:rPr>
                <w:sz w:val="20"/>
                <w:szCs w:val="20"/>
              </w:rPr>
            </w:pPr>
            <w:r w:rsidRPr="00332E2C">
              <w:rPr>
                <w:sz w:val="20"/>
                <w:szCs w:val="20"/>
              </w:rPr>
              <w:t xml:space="preserve">4.2 </w:t>
            </w:r>
          </w:p>
        </w:tc>
        <w:tc>
          <w:tcPr>
            <w:tcW w:w="1134" w:type="dxa"/>
          </w:tcPr>
          <w:p w:rsidR="001C3901" w:rsidRPr="00332E2C" w:rsidRDefault="001C3901" w:rsidP="00332E2C">
            <w:pPr>
              <w:pStyle w:val="Default"/>
              <w:rPr>
                <w:sz w:val="20"/>
                <w:szCs w:val="20"/>
              </w:rPr>
            </w:pPr>
            <w:r w:rsidRPr="00332E2C">
              <w:rPr>
                <w:sz w:val="20"/>
                <w:szCs w:val="20"/>
              </w:rPr>
              <w:t xml:space="preserve">9.6 </w:t>
            </w:r>
          </w:p>
        </w:tc>
        <w:tc>
          <w:tcPr>
            <w:tcW w:w="1276" w:type="dxa"/>
          </w:tcPr>
          <w:p w:rsidR="001C3901" w:rsidRPr="00332E2C" w:rsidRDefault="001C3901" w:rsidP="00332E2C">
            <w:pPr>
              <w:pStyle w:val="Default"/>
              <w:rPr>
                <w:sz w:val="20"/>
                <w:szCs w:val="20"/>
              </w:rPr>
            </w:pPr>
            <w:r w:rsidRPr="00332E2C">
              <w:rPr>
                <w:sz w:val="20"/>
                <w:szCs w:val="20"/>
              </w:rPr>
              <w:t xml:space="preserve">5.4 </w:t>
            </w:r>
          </w:p>
        </w:tc>
        <w:tc>
          <w:tcPr>
            <w:tcW w:w="1276" w:type="dxa"/>
          </w:tcPr>
          <w:p w:rsidR="001C3901" w:rsidRPr="00332E2C" w:rsidRDefault="001C3901" w:rsidP="00332E2C">
            <w:pPr>
              <w:pStyle w:val="Default"/>
              <w:rPr>
                <w:sz w:val="20"/>
                <w:szCs w:val="20"/>
              </w:rPr>
            </w:pPr>
            <w:r w:rsidRPr="00332E2C">
              <w:rPr>
                <w:sz w:val="20"/>
                <w:szCs w:val="20"/>
              </w:rPr>
              <w:t xml:space="preserve">5.0 </w:t>
            </w:r>
          </w:p>
        </w:tc>
        <w:tc>
          <w:tcPr>
            <w:tcW w:w="1275" w:type="dxa"/>
          </w:tcPr>
          <w:p w:rsidR="001C3901" w:rsidRPr="00332E2C" w:rsidRDefault="001C3901" w:rsidP="00332E2C">
            <w:pPr>
              <w:pStyle w:val="Default"/>
              <w:rPr>
                <w:sz w:val="20"/>
                <w:szCs w:val="20"/>
              </w:rPr>
            </w:pPr>
            <w:r w:rsidRPr="00332E2C">
              <w:rPr>
                <w:sz w:val="20"/>
                <w:szCs w:val="20"/>
              </w:rPr>
              <w:t>128.57 %</w:t>
            </w:r>
          </w:p>
        </w:tc>
        <w:tc>
          <w:tcPr>
            <w:tcW w:w="1523" w:type="dxa"/>
          </w:tcPr>
          <w:p w:rsidR="001C3901" w:rsidRPr="00332E2C" w:rsidRDefault="001C3901" w:rsidP="00332E2C">
            <w:pPr>
              <w:pStyle w:val="Default"/>
              <w:rPr>
                <w:sz w:val="20"/>
                <w:szCs w:val="20"/>
              </w:rPr>
            </w:pPr>
            <w:r w:rsidRPr="00332E2C">
              <w:rPr>
                <w:sz w:val="20"/>
                <w:szCs w:val="20"/>
              </w:rPr>
              <w:t>118.94 %</w:t>
            </w:r>
          </w:p>
        </w:tc>
      </w:tr>
      <w:tr w:rsidR="001C3901" w:rsidRPr="00332E2C" w:rsidTr="001C3901">
        <w:trPr>
          <w:trHeight w:val="93"/>
        </w:trPr>
        <w:tc>
          <w:tcPr>
            <w:tcW w:w="1521" w:type="dxa"/>
          </w:tcPr>
          <w:p w:rsidR="001C3901" w:rsidRPr="00332E2C" w:rsidRDefault="001C3901" w:rsidP="00332E2C">
            <w:pPr>
              <w:pStyle w:val="Default"/>
              <w:rPr>
                <w:sz w:val="20"/>
                <w:szCs w:val="20"/>
              </w:rPr>
            </w:pPr>
            <w:r w:rsidRPr="00332E2C">
              <w:rPr>
                <w:b/>
                <w:bCs/>
                <w:sz w:val="20"/>
                <w:szCs w:val="20"/>
              </w:rPr>
              <w:t xml:space="preserve">TOTAL </w:t>
            </w:r>
          </w:p>
        </w:tc>
        <w:tc>
          <w:tcPr>
            <w:tcW w:w="992" w:type="dxa"/>
          </w:tcPr>
          <w:p w:rsidR="001C3901" w:rsidRPr="00332E2C" w:rsidRDefault="001C3901" w:rsidP="00332E2C">
            <w:pPr>
              <w:pStyle w:val="Default"/>
              <w:rPr>
                <w:sz w:val="20"/>
                <w:szCs w:val="20"/>
              </w:rPr>
            </w:pPr>
            <w:r w:rsidRPr="00332E2C">
              <w:rPr>
                <w:sz w:val="20"/>
                <w:szCs w:val="20"/>
              </w:rPr>
              <w:t xml:space="preserve">226.5 </w:t>
            </w:r>
          </w:p>
        </w:tc>
        <w:tc>
          <w:tcPr>
            <w:tcW w:w="1134" w:type="dxa"/>
          </w:tcPr>
          <w:p w:rsidR="001C3901" w:rsidRPr="00332E2C" w:rsidRDefault="001C3901" w:rsidP="00332E2C">
            <w:pPr>
              <w:pStyle w:val="Default"/>
              <w:rPr>
                <w:sz w:val="20"/>
                <w:szCs w:val="20"/>
              </w:rPr>
            </w:pPr>
            <w:r w:rsidRPr="00332E2C">
              <w:rPr>
                <w:sz w:val="20"/>
                <w:szCs w:val="20"/>
              </w:rPr>
              <w:t xml:space="preserve">231.0 </w:t>
            </w:r>
          </w:p>
        </w:tc>
        <w:tc>
          <w:tcPr>
            <w:tcW w:w="1276" w:type="dxa"/>
          </w:tcPr>
          <w:p w:rsidR="001C3901" w:rsidRPr="00332E2C" w:rsidRDefault="001C3901" w:rsidP="00332E2C">
            <w:pPr>
              <w:pStyle w:val="Default"/>
              <w:rPr>
                <w:sz w:val="20"/>
                <w:szCs w:val="20"/>
              </w:rPr>
            </w:pPr>
            <w:r w:rsidRPr="00332E2C">
              <w:rPr>
                <w:sz w:val="20"/>
                <w:szCs w:val="20"/>
              </w:rPr>
              <w:t xml:space="preserve">4.5 </w:t>
            </w:r>
          </w:p>
        </w:tc>
        <w:tc>
          <w:tcPr>
            <w:tcW w:w="1276" w:type="dxa"/>
          </w:tcPr>
          <w:p w:rsidR="001C3901" w:rsidRPr="00332E2C" w:rsidRDefault="001C3901" w:rsidP="00332E2C">
            <w:pPr>
              <w:pStyle w:val="Default"/>
              <w:rPr>
                <w:sz w:val="20"/>
                <w:szCs w:val="20"/>
              </w:rPr>
            </w:pPr>
            <w:r w:rsidRPr="00332E2C">
              <w:rPr>
                <w:b/>
                <w:bCs/>
                <w:sz w:val="20"/>
                <w:szCs w:val="20"/>
              </w:rPr>
              <w:t xml:space="preserve">- 5.2 </w:t>
            </w:r>
          </w:p>
        </w:tc>
        <w:tc>
          <w:tcPr>
            <w:tcW w:w="1275" w:type="dxa"/>
          </w:tcPr>
          <w:p w:rsidR="001C3901" w:rsidRPr="00332E2C" w:rsidRDefault="001C3901" w:rsidP="00332E2C">
            <w:pPr>
              <w:pStyle w:val="Default"/>
              <w:rPr>
                <w:sz w:val="20"/>
                <w:szCs w:val="20"/>
              </w:rPr>
            </w:pPr>
            <w:r w:rsidRPr="00332E2C">
              <w:rPr>
                <w:b/>
                <w:bCs/>
                <w:sz w:val="20"/>
                <w:szCs w:val="20"/>
              </w:rPr>
              <w:t>2.0 %</w:t>
            </w:r>
          </w:p>
        </w:tc>
        <w:tc>
          <w:tcPr>
            <w:tcW w:w="1523" w:type="dxa"/>
          </w:tcPr>
          <w:p w:rsidR="001C3901" w:rsidRPr="00332E2C" w:rsidRDefault="001C3901" w:rsidP="00332E2C">
            <w:pPr>
              <w:pStyle w:val="Default"/>
              <w:rPr>
                <w:sz w:val="20"/>
                <w:szCs w:val="20"/>
              </w:rPr>
            </w:pPr>
            <w:r w:rsidRPr="00332E2C">
              <w:rPr>
                <w:b/>
                <w:bCs/>
                <w:sz w:val="20"/>
                <w:szCs w:val="20"/>
              </w:rPr>
              <w:t>-2.31 %</w:t>
            </w:r>
          </w:p>
        </w:tc>
      </w:tr>
    </w:tbl>
    <w:p w:rsidR="00EB6B72" w:rsidRPr="00332E2C" w:rsidRDefault="00B15543" w:rsidP="00332E2C">
      <w:pPr>
        <w:spacing w:after="0" w:line="240" w:lineRule="auto"/>
        <w:jc w:val="center"/>
        <w:rPr>
          <w:rFonts w:ascii="Arial" w:eastAsia="Calibri" w:hAnsi="Arial" w:cs="Arial"/>
          <w:b/>
          <w:sz w:val="20"/>
          <w:szCs w:val="20"/>
        </w:rPr>
      </w:pPr>
      <w:r w:rsidRPr="00332E2C">
        <w:rPr>
          <w:rFonts w:ascii="Arial" w:eastAsia="Calibri" w:hAnsi="Arial" w:cs="Arial"/>
          <w:b/>
          <w:sz w:val="20"/>
          <w:szCs w:val="20"/>
        </w:rPr>
        <w:t xml:space="preserve">Source: </w:t>
      </w:r>
      <w:r w:rsidR="009F60CA" w:rsidRPr="00332E2C">
        <w:rPr>
          <w:rFonts w:ascii="Arial" w:eastAsia="Calibri" w:hAnsi="Arial" w:cs="Arial"/>
          <w:b/>
          <w:sz w:val="20"/>
          <w:szCs w:val="20"/>
        </w:rPr>
        <w:t>National Treasury (</w:t>
      </w:r>
      <w:r w:rsidRPr="00332E2C">
        <w:rPr>
          <w:rFonts w:ascii="Arial" w:eastAsia="Calibri" w:hAnsi="Arial" w:cs="Arial"/>
          <w:b/>
          <w:sz w:val="20"/>
          <w:szCs w:val="20"/>
        </w:rPr>
        <w:t>2020</w:t>
      </w:r>
      <w:r w:rsidR="009F60CA" w:rsidRPr="00332E2C">
        <w:rPr>
          <w:rFonts w:ascii="Arial" w:eastAsia="Calibri" w:hAnsi="Arial" w:cs="Arial"/>
          <w:b/>
          <w:sz w:val="20"/>
          <w:szCs w:val="20"/>
        </w:rPr>
        <w:t>)</w:t>
      </w:r>
    </w:p>
    <w:p w:rsidR="00EB6B72" w:rsidRPr="00332E2C" w:rsidRDefault="00EB6B72" w:rsidP="00332E2C">
      <w:pPr>
        <w:spacing w:after="0" w:line="240" w:lineRule="auto"/>
        <w:jc w:val="both"/>
        <w:rPr>
          <w:rFonts w:ascii="Arial" w:eastAsia="Calibri" w:hAnsi="Arial" w:cs="Arial"/>
          <w:sz w:val="20"/>
          <w:szCs w:val="20"/>
        </w:rPr>
      </w:pPr>
    </w:p>
    <w:p w:rsidR="001C3901" w:rsidRPr="00332E2C" w:rsidRDefault="001C3901"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Despite the reduction in its funded establishment, the Directorate intends to focus on investment in human capital, specifically concerning investigations. This is in recognition of the Directorate’s responsibility to gather requisite and necessary evidence to enable the National Prosecuting Authority, the South African Police Service and the Municipal Police Services to make informed decisions on whether to prosecute and/or take disciplinary action against officers.</w:t>
      </w:r>
    </w:p>
    <w:p w:rsidR="001C3901" w:rsidRPr="00332E2C" w:rsidRDefault="001C3901" w:rsidP="00332E2C">
      <w:pPr>
        <w:spacing w:after="0" w:line="240" w:lineRule="auto"/>
        <w:jc w:val="both"/>
        <w:rPr>
          <w:rFonts w:ascii="Arial" w:eastAsia="Calibri" w:hAnsi="Arial" w:cs="Arial"/>
          <w:sz w:val="20"/>
          <w:szCs w:val="20"/>
        </w:rPr>
      </w:pPr>
    </w:p>
    <w:p w:rsidR="00EB6B72" w:rsidRPr="00332E2C" w:rsidRDefault="001C3901"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Accordingly, over the medium term, the Directorate plans to strengthen its investigative capacity by training and upskilling all 179 investigators to respond to advanced criminal activities undertaken by police officers. Training will be provided on conducting investigations of sexual offences, using advanced investigative techniques and methods, and provisions of the Prevention of Organised Crime Act (1998), among other things. For this purpose, R4.5 million is allocated over the MTEF period in the Investigation and Information Management programme.</w:t>
      </w:r>
    </w:p>
    <w:p w:rsidR="00EB6B72" w:rsidRPr="00332E2C" w:rsidRDefault="00EB6B72" w:rsidP="00332E2C">
      <w:pPr>
        <w:spacing w:after="0" w:line="240" w:lineRule="auto"/>
        <w:jc w:val="both"/>
        <w:rPr>
          <w:rFonts w:ascii="Arial" w:eastAsia="Calibri" w:hAnsi="Arial" w:cs="Arial"/>
          <w:sz w:val="20"/>
          <w:szCs w:val="20"/>
        </w:rPr>
      </w:pP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b/>
          <w:sz w:val="20"/>
          <w:szCs w:val="20"/>
        </w:rPr>
        <w:t>3.</w:t>
      </w:r>
      <w:r w:rsidR="00B110E4" w:rsidRPr="00332E2C">
        <w:rPr>
          <w:rFonts w:ascii="Arial" w:hAnsi="Arial" w:cs="Arial"/>
          <w:b/>
          <w:sz w:val="20"/>
          <w:szCs w:val="20"/>
        </w:rPr>
        <w:t>1.</w:t>
      </w:r>
      <w:r w:rsidRPr="00332E2C">
        <w:rPr>
          <w:rFonts w:ascii="Arial" w:hAnsi="Arial" w:cs="Arial"/>
          <w:b/>
          <w:sz w:val="20"/>
          <w:szCs w:val="20"/>
        </w:rPr>
        <w:t>3</w:t>
      </w:r>
      <w:r w:rsidRPr="00332E2C">
        <w:rPr>
          <w:rFonts w:ascii="Arial" w:hAnsi="Arial" w:cs="Arial"/>
          <w:sz w:val="20"/>
          <w:szCs w:val="20"/>
        </w:rPr>
        <w:tab/>
      </w:r>
      <w:r w:rsidRPr="00332E2C">
        <w:rPr>
          <w:rFonts w:ascii="Arial" w:hAnsi="Arial" w:cs="Arial"/>
          <w:b/>
          <w:sz w:val="20"/>
          <w:szCs w:val="20"/>
        </w:rPr>
        <w:t>Programme 3: Legal and Advisory Services</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 xml:space="preserve">The purpose of the Programme is to manage and facilitate the provision of investigation advisory services and provide legal, civil and labour litigation services. </w:t>
      </w:r>
    </w:p>
    <w:p w:rsidR="001C3901" w:rsidRPr="00332E2C" w:rsidRDefault="001C3901" w:rsidP="00332E2C">
      <w:pPr>
        <w:spacing w:after="0" w:line="240" w:lineRule="auto"/>
        <w:jc w:val="both"/>
        <w:rPr>
          <w:rFonts w:ascii="Arial" w:hAnsi="Arial" w:cs="Arial"/>
          <w:sz w:val="20"/>
          <w:szCs w:val="20"/>
        </w:rPr>
      </w:pPr>
      <w:r w:rsidRPr="00332E2C">
        <w:rPr>
          <w:rFonts w:ascii="Arial" w:hAnsi="Arial" w:cs="Arial"/>
          <w:sz w:val="20"/>
          <w:szCs w:val="20"/>
        </w:rPr>
        <w:t>The Legal Support and Administration sub-programme received a budget allocation of R2.5 million, which is a nominal increase of 19.05%. Proportionally, the sub-programme received 36.23% of the total budget allocation of the Programme.</w:t>
      </w:r>
    </w:p>
    <w:p w:rsidR="001C3901" w:rsidRPr="00332E2C" w:rsidRDefault="00EB6B72" w:rsidP="00332E2C">
      <w:pPr>
        <w:spacing w:after="0" w:line="240" w:lineRule="auto"/>
        <w:jc w:val="both"/>
        <w:rPr>
          <w:rFonts w:ascii="Arial" w:eastAsia="Calibri" w:hAnsi="Arial" w:cs="Arial"/>
          <w:b/>
          <w:sz w:val="20"/>
          <w:szCs w:val="20"/>
          <w:lang w:eastAsia="en-ZA"/>
        </w:rPr>
      </w:pPr>
      <w:r w:rsidRPr="00332E2C">
        <w:rPr>
          <w:rFonts w:ascii="Arial" w:eastAsia="Calibri" w:hAnsi="Arial" w:cs="Arial"/>
          <w:b/>
          <w:sz w:val="20"/>
          <w:szCs w:val="20"/>
        </w:rPr>
        <w:t xml:space="preserve">Table 4: </w:t>
      </w:r>
      <w:r w:rsidR="001C3901" w:rsidRPr="00332E2C">
        <w:rPr>
          <w:rFonts w:ascii="Arial" w:eastAsia="Calibri" w:hAnsi="Arial" w:cs="Arial"/>
          <w:b/>
          <w:sz w:val="20"/>
          <w:szCs w:val="20"/>
        </w:rPr>
        <w:t>Budget allocation per sub-programme of the Legal and Investigation Advisory Services Programme</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1276"/>
        <w:gridCol w:w="1275"/>
        <w:gridCol w:w="1276"/>
        <w:gridCol w:w="32"/>
        <w:gridCol w:w="1244"/>
        <w:gridCol w:w="1417"/>
        <w:gridCol w:w="29"/>
        <w:gridCol w:w="1347"/>
      </w:tblGrid>
      <w:tr w:rsidR="009F60CA" w:rsidRPr="00332E2C" w:rsidTr="009F60CA">
        <w:trPr>
          <w:trHeight w:val="513"/>
        </w:trPr>
        <w:tc>
          <w:tcPr>
            <w:tcW w:w="1521" w:type="dxa"/>
          </w:tcPr>
          <w:p w:rsidR="009F60CA" w:rsidRPr="00332E2C" w:rsidRDefault="009F60CA" w:rsidP="00332E2C">
            <w:pPr>
              <w:pStyle w:val="Default"/>
              <w:rPr>
                <w:sz w:val="20"/>
                <w:szCs w:val="20"/>
              </w:rPr>
            </w:pPr>
            <w:r w:rsidRPr="00332E2C">
              <w:rPr>
                <w:b/>
                <w:bCs/>
                <w:sz w:val="20"/>
                <w:szCs w:val="20"/>
              </w:rPr>
              <w:t xml:space="preserve">Programme </w:t>
            </w:r>
          </w:p>
        </w:tc>
        <w:tc>
          <w:tcPr>
            <w:tcW w:w="2551" w:type="dxa"/>
            <w:gridSpan w:val="2"/>
          </w:tcPr>
          <w:p w:rsidR="009F60CA" w:rsidRPr="00332E2C" w:rsidRDefault="009F60CA" w:rsidP="00332E2C">
            <w:pPr>
              <w:pStyle w:val="Default"/>
              <w:jc w:val="center"/>
              <w:rPr>
                <w:sz w:val="20"/>
                <w:szCs w:val="20"/>
              </w:rPr>
            </w:pPr>
            <w:r w:rsidRPr="00332E2C">
              <w:rPr>
                <w:b/>
                <w:bCs/>
                <w:sz w:val="20"/>
                <w:szCs w:val="20"/>
              </w:rPr>
              <w:t>Budget</w:t>
            </w:r>
          </w:p>
        </w:tc>
        <w:tc>
          <w:tcPr>
            <w:tcW w:w="1276" w:type="dxa"/>
          </w:tcPr>
          <w:p w:rsidR="009F60CA" w:rsidRPr="00332E2C" w:rsidRDefault="009F60CA" w:rsidP="00332E2C">
            <w:pPr>
              <w:pStyle w:val="Default"/>
              <w:rPr>
                <w:sz w:val="20"/>
                <w:szCs w:val="20"/>
              </w:rPr>
            </w:pPr>
            <w:r w:rsidRPr="00332E2C">
              <w:rPr>
                <w:b/>
                <w:bCs/>
                <w:sz w:val="20"/>
                <w:szCs w:val="20"/>
              </w:rPr>
              <w:t xml:space="preserve">Nominal Increase / Decrease in 2020/21 </w:t>
            </w:r>
          </w:p>
        </w:tc>
        <w:tc>
          <w:tcPr>
            <w:tcW w:w="1276" w:type="dxa"/>
            <w:gridSpan w:val="2"/>
          </w:tcPr>
          <w:p w:rsidR="009F60CA" w:rsidRPr="00332E2C" w:rsidRDefault="009F60CA" w:rsidP="00332E2C">
            <w:pPr>
              <w:pStyle w:val="Default"/>
              <w:rPr>
                <w:sz w:val="20"/>
                <w:szCs w:val="20"/>
              </w:rPr>
            </w:pPr>
            <w:r w:rsidRPr="00332E2C">
              <w:rPr>
                <w:b/>
                <w:bCs/>
                <w:sz w:val="20"/>
                <w:szCs w:val="20"/>
              </w:rPr>
              <w:t xml:space="preserve">Real Increase / Decrease in 2020/21 </w:t>
            </w:r>
          </w:p>
        </w:tc>
        <w:tc>
          <w:tcPr>
            <w:tcW w:w="1417" w:type="dxa"/>
          </w:tcPr>
          <w:p w:rsidR="009F60CA" w:rsidRPr="00332E2C" w:rsidRDefault="009F60CA" w:rsidP="00332E2C">
            <w:pPr>
              <w:pStyle w:val="Default"/>
              <w:rPr>
                <w:sz w:val="20"/>
                <w:szCs w:val="20"/>
              </w:rPr>
            </w:pPr>
            <w:r w:rsidRPr="00332E2C">
              <w:rPr>
                <w:b/>
                <w:bCs/>
                <w:sz w:val="20"/>
                <w:szCs w:val="20"/>
              </w:rPr>
              <w:t xml:space="preserve">Nominal Percent change in 2020/21 </w:t>
            </w:r>
          </w:p>
        </w:tc>
        <w:tc>
          <w:tcPr>
            <w:tcW w:w="1376" w:type="dxa"/>
            <w:gridSpan w:val="2"/>
          </w:tcPr>
          <w:p w:rsidR="009F60CA" w:rsidRPr="00332E2C" w:rsidRDefault="009F60CA" w:rsidP="00332E2C">
            <w:pPr>
              <w:pStyle w:val="Default"/>
              <w:rPr>
                <w:sz w:val="20"/>
                <w:szCs w:val="20"/>
              </w:rPr>
            </w:pPr>
            <w:r w:rsidRPr="00332E2C">
              <w:rPr>
                <w:b/>
                <w:bCs/>
                <w:sz w:val="20"/>
                <w:szCs w:val="20"/>
              </w:rPr>
              <w:t xml:space="preserve">Real Percent change in 2020/21 </w:t>
            </w:r>
          </w:p>
        </w:tc>
      </w:tr>
      <w:tr w:rsidR="009F60CA" w:rsidRPr="00332E2C" w:rsidTr="009F60CA">
        <w:trPr>
          <w:trHeight w:val="93"/>
        </w:trPr>
        <w:tc>
          <w:tcPr>
            <w:tcW w:w="1521" w:type="dxa"/>
          </w:tcPr>
          <w:p w:rsidR="009F60CA" w:rsidRPr="00332E2C" w:rsidRDefault="009F60CA" w:rsidP="00332E2C">
            <w:pPr>
              <w:pStyle w:val="Default"/>
              <w:rPr>
                <w:sz w:val="20"/>
                <w:szCs w:val="20"/>
              </w:rPr>
            </w:pPr>
            <w:r w:rsidRPr="00332E2C">
              <w:rPr>
                <w:b/>
                <w:bCs/>
                <w:sz w:val="20"/>
                <w:szCs w:val="20"/>
              </w:rPr>
              <w:t xml:space="preserve">R million </w:t>
            </w:r>
          </w:p>
        </w:tc>
        <w:tc>
          <w:tcPr>
            <w:tcW w:w="1276" w:type="dxa"/>
          </w:tcPr>
          <w:p w:rsidR="009F60CA" w:rsidRPr="00332E2C" w:rsidRDefault="009F60CA" w:rsidP="00332E2C">
            <w:pPr>
              <w:pStyle w:val="Default"/>
              <w:rPr>
                <w:sz w:val="20"/>
                <w:szCs w:val="20"/>
              </w:rPr>
            </w:pPr>
          </w:p>
        </w:tc>
        <w:tc>
          <w:tcPr>
            <w:tcW w:w="1275" w:type="dxa"/>
          </w:tcPr>
          <w:p w:rsidR="009F60CA" w:rsidRPr="00332E2C" w:rsidRDefault="009F60CA" w:rsidP="00332E2C">
            <w:pPr>
              <w:pStyle w:val="Default"/>
              <w:rPr>
                <w:sz w:val="20"/>
                <w:szCs w:val="20"/>
              </w:rPr>
            </w:pPr>
          </w:p>
        </w:tc>
        <w:tc>
          <w:tcPr>
            <w:tcW w:w="2552" w:type="dxa"/>
            <w:gridSpan w:val="3"/>
          </w:tcPr>
          <w:p w:rsidR="009F60CA" w:rsidRPr="00332E2C" w:rsidRDefault="009F60CA" w:rsidP="00332E2C">
            <w:pPr>
              <w:pStyle w:val="Default"/>
              <w:rPr>
                <w:sz w:val="20"/>
                <w:szCs w:val="20"/>
              </w:rPr>
            </w:pPr>
            <w:r w:rsidRPr="00332E2C">
              <w:rPr>
                <w:b/>
                <w:bCs/>
                <w:sz w:val="20"/>
                <w:szCs w:val="20"/>
              </w:rPr>
              <w:t xml:space="preserve">2019/20 </w:t>
            </w:r>
          </w:p>
        </w:tc>
        <w:tc>
          <w:tcPr>
            <w:tcW w:w="2793" w:type="dxa"/>
            <w:gridSpan w:val="3"/>
          </w:tcPr>
          <w:p w:rsidR="009F60CA" w:rsidRPr="00332E2C" w:rsidRDefault="009F60CA" w:rsidP="00332E2C">
            <w:pPr>
              <w:pStyle w:val="Default"/>
              <w:rPr>
                <w:sz w:val="20"/>
                <w:szCs w:val="20"/>
              </w:rPr>
            </w:pPr>
            <w:r w:rsidRPr="00332E2C">
              <w:rPr>
                <w:b/>
                <w:bCs/>
                <w:sz w:val="20"/>
                <w:szCs w:val="20"/>
              </w:rPr>
              <w:t xml:space="preserve">2020/21 </w:t>
            </w:r>
          </w:p>
        </w:tc>
      </w:tr>
      <w:tr w:rsidR="009F60CA" w:rsidRPr="00332E2C" w:rsidTr="009F60CA">
        <w:trPr>
          <w:trHeight w:val="93"/>
        </w:trPr>
        <w:tc>
          <w:tcPr>
            <w:tcW w:w="1521" w:type="dxa"/>
          </w:tcPr>
          <w:p w:rsidR="009F60CA" w:rsidRPr="00332E2C" w:rsidRDefault="009F60CA" w:rsidP="00332E2C">
            <w:pPr>
              <w:pStyle w:val="Default"/>
              <w:rPr>
                <w:sz w:val="20"/>
                <w:szCs w:val="20"/>
              </w:rPr>
            </w:pPr>
            <w:r w:rsidRPr="00332E2C">
              <w:rPr>
                <w:b/>
                <w:bCs/>
                <w:sz w:val="20"/>
                <w:szCs w:val="20"/>
              </w:rPr>
              <w:t xml:space="preserve">Legal Support and Administration </w:t>
            </w:r>
          </w:p>
        </w:tc>
        <w:tc>
          <w:tcPr>
            <w:tcW w:w="1276" w:type="dxa"/>
          </w:tcPr>
          <w:p w:rsidR="009F60CA" w:rsidRPr="00332E2C" w:rsidRDefault="009F60CA" w:rsidP="00332E2C">
            <w:pPr>
              <w:pStyle w:val="Default"/>
              <w:rPr>
                <w:sz w:val="20"/>
                <w:szCs w:val="20"/>
              </w:rPr>
            </w:pPr>
            <w:r w:rsidRPr="00332E2C">
              <w:rPr>
                <w:sz w:val="20"/>
                <w:szCs w:val="20"/>
              </w:rPr>
              <w:t xml:space="preserve">2.1 </w:t>
            </w:r>
          </w:p>
        </w:tc>
        <w:tc>
          <w:tcPr>
            <w:tcW w:w="1275" w:type="dxa"/>
          </w:tcPr>
          <w:p w:rsidR="009F60CA" w:rsidRPr="00332E2C" w:rsidRDefault="009F60CA" w:rsidP="00332E2C">
            <w:pPr>
              <w:pStyle w:val="Default"/>
              <w:rPr>
                <w:sz w:val="20"/>
                <w:szCs w:val="20"/>
              </w:rPr>
            </w:pPr>
            <w:r w:rsidRPr="00332E2C">
              <w:rPr>
                <w:sz w:val="20"/>
                <w:szCs w:val="20"/>
              </w:rPr>
              <w:t xml:space="preserve">2.5 </w:t>
            </w:r>
          </w:p>
        </w:tc>
        <w:tc>
          <w:tcPr>
            <w:tcW w:w="1308" w:type="dxa"/>
            <w:gridSpan w:val="2"/>
          </w:tcPr>
          <w:p w:rsidR="009F60CA" w:rsidRPr="00332E2C" w:rsidRDefault="009F60CA" w:rsidP="00332E2C">
            <w:pPr>
              <w:pStyle w:val="Default"/>
              <w:rPr>
                <w:sz w:val="20"/>
                <w:szCs w:val="20"/>
              </w:rPr>
            </w:pPr>
            <w:r w:rsidRPr="00332E2C">
              <w:rPr>
                <w:sz w:val="20"/>
                <w:szCs w:val="20"/>
              </w:rPr>
              <w:t xml:space="preserve">0.4 </w:t>
            </w:r>
          </w:p>
        </w:tc>
        <w:tc>
          <w:tcPr>
            <w:tcW w:w="1244" w:type="dxa"/>
          </w:tcPr>
          <w:p w:rsidR="009F60CA" w:rsidRPr="00332E2C" w:rsidRDefault="009F60CA" w:rsidP="00332E2C">
            <w:pPr>
              <w:pStyle w:val="Default"/>
              <w:rPr>
                <w:sz w:val="20"/>
                <w:szCs w:val="20"/>
              </w:rPr>
            </w:pPr>
            <w:r w:rsidRPr="00332E2C">
              <w:rPr>
                <w:sz w:val="20"/>
                <w:szCs w:val="20"/>
              </w:rPr>
              <w:t xml:space="preserve">0.3 </w:t>
            </w:r>
          </w:p>
        </w:tc>
        <w:tc>
          <w:tcPr>
            <w:tcW w:w="1446" w:type="dxa"/>
            <w:gridSpan w:val="2"/>
          </w:tcPr>
          <w:p w:rsidR="009F60CA" w:rsidRPr="00332E2C" w:rsidRDefault="009F60CA" w:rsidP="00332E2C">
            <w:pPr>
              <w:pStyle w:val="Default"/>
              <w:rPr>
                <w:sz w:val="20"/>
                <w:szCs w:val="20"/>
              </w:rPr>
            </w:pPr>
            <w:r w:rsidRPr="00332E2C">
              <w:rPr>
                <w:sz w:val="20"/>
                <w:szCs w:val="20"/>
              </w:rPr>
              <w:t>19.05%</w:t>
            </w:r>
          </w:p>
        </w:tc>
        <w:tc>
          <w:tcPr>
            <w:tcW w:w="1347" w:type="dxa"/>
          </w:tcPr>
          <w:p w:rsidR="009F60CA" w:rsidRPr="00332E2C" w:rsidRDefault="009F60CA" w:rsidP="00332E2C">
            <w:pPr>
              <w:pStyle w:val="Default"/>
              <w:rPr>
                <w:sz w:val="20"/>
                <w:szCs w:val="20"/>
              </w:rPr>
            </w:pPr>
            <w:r w:rsidRPr="00332E2C">
              <w:rPr>
                <w:sz w:val="20"/>
                <w:szCs w:val="20"/>
              </w:rPr>
              <w:t>14.03%</w:t>
            </w:r>
          </w:p>
        </w:tc>
      </w:tr>
      <w:tr w:rsidR="009F60CA" w:rsidRPr="00332E2C" w:rsidTr="009F60CA">
        <w:trPr>
          <w:trHeight w:val="93"/>
        </w:trPr>
        <w:tc>
          <w:tcPr>
            <w:tcW w:w="1521" w:type="dxa"/>
          </w:tcPr>
          <w:p w:rsidR="009F60CA" w:rsidRPr="00332E2C" w:rsidRDefault="009F60CA" w:rsidP="00332E2C">
            <w:pPr>
              <w:pStyle w:val="Default"/>
              <w:rPr>
                <w:sz w:val="20"/>
                <w:szCs w:val="20"/>
              </w:rPr>
            </w:pPr>
            <w:r w:rsidRPr="00332E2C">
              <w:rPr>
                <w:b/>
                <w:bCs/>
                <w:sz w:val="20"/>
                <w:szCs w:val="20"/>
              </w:rPr>
              <w:t xml:space="preserve">Litigation Advisory Services </w:t>
            </w:r>
          </w:p>
        </w:tc>
        <w:tc>
          <w:tcPr>
            <w:tcW w:w="1276" w:type="dxa"/>
          </w:tcPr>
          <w:p w:rsidR="009F60CA" w:rsidRPr="00332E2C" w:rsidRDefault="009F60CA" w:rsidP="00332E2C">
            <w:pPr>
              <w:pStyle w:val="Default"/>
              <w:rPr>
                <w:sz w:val="20"/>
                <w:szCs w:val="20"/>
              </w:rPr>
            </w:pPr>
            <w:r w:rsidRPr="00332E2C">
              <w:rPr>
                <w:sz w:val="20"/>
                <w:szCs w:val="20"/>
              </w:rPr>
              <w:t xml:space="preserve">1.6 </w:t>
            </w:r>
          </w:p>
        </w:tc>
        <w:tc>
          <w:tcPr>
            <w:tcW w:w="1275" w:type="dxa"/>
          </w:tcPr>
          <w:p w:rsidR="009F60CA" w:rsidRPr="00332E2C" w:rsidRDefault="009F60CA" w:rsidP="00332E2C">
            <w:pPr>
              <w:pStyle w:val="Default"/>
              <w:rPr>
                <w:sz w:val="20"/>
                <w:szCs w:val="20"/>
              </w:rPr>
            </w:pPr>
            <w:r w:rsidRPr="00332E2C">
              <w:rPr>
                <w:sz w:val="20"/>
                <w:szCs w:val="20"/>
              </w:rPr>
              <w:t xml:space="preserve">2.0 </w:t>
            </w:r>
          </w:p>
        </w:tc>
        <w:tc>
          <w:tcPr>
            <w:tcW w:w="1308" w:type="dxa"/>
            <w:gridSpan w:val="2"/>
          </w:tcPr>
          <w:p w:rsidR="009F60CA" w:rsidRPr="00332E2C" w:rsidRDefault="009F60CA" w:rsidP="00332E2C">
            <w:pPr>
              <w:pStyle w:val="Default"/>
              <w:rPr>
                <w:sz w:val="20"/>
                <w:szCs w:val="20"/>
              </w:rPr>
            </w:pPr>
            <w:r w:rsidRPr="00332E2C">
              <w:rPr>
                <w:sz w:val="20"/>
                <w:szCs w:val="20"/>
              </w:rPr>
              <w:t xml:space="preserve">0.4 </w:t>
            </w:r>
          </w:p>
        </w:tc>
        <w:tc>
          <w:tcPr>
            <w:tcW w:w="1244" w:type="dxa"/>
          </w:tcPr>
          <w:p w:rsidR="009F60CA" w:rsidRPr="00332E2C" w:rsidRDefault="009F60CA" w:rsidP="00332E2C">
            <w:pPr>
              <w:pStyle w:val="Default"/>
              <w:rPr>
                <w:sz w:val="20"/>
                <w:szCs w:val="20"/>
              </w:rPr>
            </w:pPr>
            <w:r w:rsidRPr="00332E2C">
              <w:rPr>
                <w:sz w:val="20"/>
                <w:szCs w:val="20"/>
              </w:rPr>
              <w:t xml:space="preserve">0.3 </w:t>
            </w:r>
          </w:p>
        </w:tc>
        <w:tc>
          <w:tcPr>
            <w:tcW w:w="1446" w:type="dxa"/>
            <w:gridSpan w:val="2"/>
          </w:tcPr>
          <w:p w:rsidR="009F60CA" w:rsidRPr="00332E2C" w:rsidRDefault="009F60CA" w:rsidP="00332E2C">
            <w:pPr>
              <w:pStyle w:val="Default"/>
              <w:rPr>
                <w:sz w:val="20"/>
                <w:szCs w:val="20"/>
              </w:rPr>
            </w:pPr>
            <w:r w:rsidRPr="00332E2C">
              <w:rPr>
                <w:sz w:val="20"/>
                <w:szCs w:val="20"/>
              </w:rPr>
              <w:t>25.00 %</w:t>
            </w:r>
          </w:p>
        </w:tc>
        <w:tc>
          <w:tcPr>
            <w:tcW w:w="1347" w:type="dxa"/>
          </w:tcPr>
          <w:p w:rsidR="009F60CA" w:rsidRPr="00332E2C" w:rsidRDefault="009F60CA" w:rsidP="00332E2C">
            <w:pPr>
              <w:pStyle w:val="Default"/>
              <w:rPr>
                <w:sz w:val="20"/>
                <w:szCs w:val="20"/>
              </w:rPr>
            </w:pPr>
            <w:r w:rsidRPr="00332E2C">
              <w:rPr>
                <w:sz w:val="20"/>
                <w:szCs w:val="20"/>
              </w:rPr>
              <w:t>19.73%</w:t>
            </w:r>
          </w:p>
        </w:tc>
      </w:tr>
      <w:tr w:rsidR="009F60CA" w:rsidRPr="00332E2C" w:rsidTr="009F60CA">
        <w:trPr>
          <w:trHeight w:val="93"/>
        </w:trPr>
        <w:tc>
          <w:tcPr>
            <w:tcW w:w="1521" w:type="dxa"/>
          </w:tcPr>
          <w:p w:rsidR="009F60CA" w:rsidRPr="00332E2C" w:rsidRDefault="009F60CA" w:rsidP="00332E2C">
            <w:pPr>
              <w:pStyle w:val="Default"/>
              <w:rPr>
                <w:sz w:val="20"/>
                <w:szCs w:val="20"/>
              </w:rPr>
            </w:pPr>
            <w:r w:rsidRPr="00332E2C">
              <w:rPr>
                <w:b/>
                <w:bCs/>
                <w:sz w:val="20"/>
                <w:szCs w:val="20"/>
              </w:rPr>
              <w:t xml:space="preserve">Investigation Advisory Services </w:t>
            </w:r>
          </w:p>
        </w:tc>
        <w:tc>
          <w:tcPr>
            <w:tcW w:w="1276" w:type="dxa"/>
          </w:tcPr>
          <w:p w:rsidR="009F60CA" w:rsidRPr="00332E2C" w:rsidRDefault="009F60CA" w:rsidP="00332E2C">
            <w:pPr>
              <w:pStyle w:val="Default"/>
              <w:rPr>
                <w:sz w:val="20"/>
                <w:szCs w:val="20"/>
              </w:rPr>
            </w:pPr>
            <w:r w:rsidRPr="00332E2C">
              <w:rPr>
                <w:sz w:val="20"/>
                <w:szCs w:val="20"/>
              </w:rPr>
              <w:t xml:space="preserve">2.1 </w:t>
            </w:r>
          </w:p>
        </w:tc>
        <w:tc>
          <w:tcPr>
            <w:tcW w:w="1275" w:type="dxa"/>
          </w:tcPr>
          <w:p w:rsidR="009F60CA" w:rsidRPr="00332E2C" w:rsidRDefault="009F60CA" w:rsidP="00332E2C">
            <w:pPr>
              <w:pStyle w:val="Default"/>
              <w:rPr>
                <w:sz w:val="20"/>
                <w:szCs w:val="20"/>
              </w:rPr>
            </w:pPr>
            <w:r w:rsidRPr="00332E2C">
              <w:rPr>
                <w:sz w:val="20"/>
                <w:szCs w:val="20"/>
              </w:rPr>
              <w:t xml:space="preserve">2.5 </w:t>
            </w:r>
          </w:p>
        </w:tc>
        <w:tc>
          <w:tcPr>
            <w:tcW w:w="1308" w:type="dxa"/>
            <w:gridSpan w:val="2"/>
          </w:tcPr>
          <w:p w:rsidR="009F60CA" w:rsidRPr="00332E2C" w:rsidRDefault="009F60CA" w:rsidP="00332E2C">
            <w:pPr>
              <w:pStyle w:val="Default"/>
              <w:rPr>
                <w:sz w:val="20"/>
                <w:szCs w:val="20"/>
              </w:rPr>
            </w:pPr>
            <w:r w:rsidRPr="00332E2C">
              <w:rPr>
                <w:sz w:val="20"/>
                <w:szCs w:val="20"/>
              </w:rPr>
              <w:t xml:space="preserve">0.4 </w:t>
            </w:r>
          </w:p>
        </w:tc>
        <w:tc>
          <w:tcPr>
            <w:tcW w:w="1244" w:type="dxa"/>
          </w:tcPr>
          <w:p w:rsidR="009F60CA" w:rsidRPr="00332E2C" w:rsidRDefault="009F60CA" w:rsidP="00332E2C">
            <w:pPr>
              <w:pStyle w:val="Default"/>
              <w:rPr>
                <w:sz w:val="20"/>
                <w:szCs w:val="20"/>
              </w:rPr>
            </w:pPr>
            <w:r w:rsidRPr="00332E2C">
              <w:rPr>
                <w:sz w:val="20"/>
                <w:szCs w:val="20"/>
              </w:rPr>
              <w:t xml:space="preserve">0.3 </w:t>
            </w:r>
          </w:p>
        </w:tc>
        <w:tc>
          <w:tcPr>
            <w:tcW w:w="1446" w:type="dxa"/>
            <w:gridSpan w:val="2"/>
          </w:tcPr>
          <w:p w:rsidR="009F60CA" w:rsidRPr="00332E2C" w:rsidRDefault="009F60CA" w:rsidP="00332E2C">
            <w:pPr>
              <w:pStyle w:val="Default"/>
              <w:rPr>
                <w:sz w:val="20"/>
                <w:szCs w:val="20"/>
              </w:rPr>
            </w:pPr>
            <w:r w:rsidRPr="00332E2C">
              <w:rPr>
                <w:sz w:val="20"/>
                <w:szCs w:val="20"/>
              </w:rPr>
              <w:t>19.05%</w:t>
            </w:r>
          </w:p>
        </w:tc>
        <w:tc>
          <w:tcPr>
            <w:tcW w:w="1347" w:type="dxa"/>
          </w:tcPr>
          <w:p w:rsidR="009F60CA" w:rsidRPr="00332E2C" w:rsidRDefault="009F60CA" w:rsidP="00332E2C">
            <w:pPr>
              <w:pStyle w:val="Default"/>
              <w:rPr>
                <w:sz w:val="20"/>
                <w:szCs w:val="20"/>
              </w:rPr>
            </w:pPr>
            <w:r w:rsidRPr="00332E2C">
              <w:rPr>
                <w:sz w:val="20"/>
                <w:szCs w:val="20"/>
              </w:rPr>
              <w:t>14.03%</w:t>
            </w:r>
          </w:p>
        </w:tc>
      </w:tr>
      <w:tr w:rsidR="009F60CA" w:rsidRPr="00332E2C" w:rsidTr="009F60CA">
        <w:trPr>
          <w:trHeight w:val="93"/>
        </w:trPr>
        <w:tc>
          <w:tcPr>
            <w:tcW w:w="1521" w:type="dxa"/>
          </w:tcPr>
          <w:p w:rsidR="009F60CA" w:rsidRPr="00332E2C" w:rsidRDefault="009F60CA" w:rsidP="00332E2C">
            <w:pPr>
              <w:pStyle w:val="Default"/>
              <w:rPr>
                <w:sz w:val="20"/>
                <w:szCs w:val="20"/>
              </w:rPr>
            </w:pPr>
            <w:r w:rsidRPr="00332E2C">
              <w:rPr>
                <w:b/>
                <w:bCs/>
                <w:sz w:val="20"/>
                <w:szCs w:val="20"/>
              </w:rPr>
              <w:t xml:space="preserve">TOTAL </w:t>
            </w:r>
          </w:p>
        </w:tc>
        <w:tc>
          <w:tcPr>
            <w:tcW w:w="1276" w:type="dxa"/>
          </w:tcPr>
          <w:p w:rsidR="009F60CA" w:rsidRPr="00332E2C" w:rsidRDefault="009F60CA" w:rsidP="00332E2C">
            <w:pPr>
              <w:pStyle w:val="Default"/>
              <w:rPr>
                <w:sz w:val="20"/>
                <w:szCs w:val="20"/>
              </w:rPr>
            </w:pPr>
            <w:r w:rsidRPr="00332E2C">
              <w:rPr>
                <w:sz w:val="20"/>
                <w:szCs w:val="20"/>
              </w:rPr>
              <w:t xml:space="preserve">5.8 </w:t>
            </w:r>
          </w:p>
        </w:tc>
        <w:tc>
          <w:tcPr>
            <w:tcW w:w="1275" w:type="dxa"/>
          </w:tcPr>
          <w:p w:rsidR="009F60CA" w:rsidRPr="00332E2C" w:rsidRDefault="009F60CA" w:rsidP="00332E2C">
            <w:pPr>
              <w:pStyle w:val="Default"/>
              <w:rPr>
                <w:sz w:val="20"/>
                <w:szCs w:val="20"/>
              </w:rPr>
            </w:pPr>
            <w:r w:rsidRPr="00332E2C">
              <w:rPr>
                <w:sz w:val="20"/>
                <w:szCs w:val="20"/>
              </w:rPr>
              <w:t xml:space="preserve">6.9 </w:t>
            </w:r>
          </w:p>
        </w:tc>
        <w:tc>
          <w:tcPr>
            <w:tcW w:w="1308" w:type="dxa"/>
            <w:gridSpan w:val="2"/>
          </w:tcPr>
          <w:p w:rsidR="009F60CA" w:rsidRPr="00332E2C" w:rsidRDefault="009F60CA" w:rsidP="00332E2C">
            <w:pPr>
              <w:pStyle w:val="Default"/>
              <w:rPr>
                <w:sz w:val="20"/>
                <w:szCs w:val="20"/>
              </w:rPr>
            </w:pPr>
            <w:r w:rsidRPr="00332E2C">
              <w:rPr>
                <w:sz w:val="20"/>
                <w:szCs w:val="20"/>
              </w:rPr>
              <w:t xml:space="preserve">1.1 </w:t>
            </w:r>
          </w:p>
        </w:tc>
        <w:tc>
          <w:tcPr>
            <w:tcW w:w="1244" w:type="dxa"/>
          </w:tcPr>
          <w:p w:rsidR="009F60CA" w:rsidRPr="00332E2C" w:rsidRDefault="009F60CA" w:rsidP="00332E2C">
            <w:pPr>
              <w:pStyle w:val="Default"/>
              <w:rPr>
                <w:sz w:val="20"/>
                <w:szCs w:val="20"/>
              </w:rPr>
            </w:pPr>
            <w:r w:rsidRPr="00332E2C">
              <w:rPr>
                <w:sz w:val="20"/>
                <w:szCs w:val="20"/>
              </w:rPr>
              <w:t xml:space="preserve">0.8 </w:t>
            </w:r>
          </w:p>
        </w:tc>
        <w:tc>
          <w:tcPr>
            <w:tcW w:w="1446" w:type="dxa"/>
            <w:gridSpan w:val="2"/>
          </w:tcPr>
          <w:p w:rsidR="009F60CA" w:rsidRPr="00332E2C" w:rsidRDefault="009F60CA" w:rsidP="00332E2C">
            <w:pPr>
              <w:pStyle w:val="Default"/>
              <w:rPr>
                <w:sz w:val="20"/>
                <w:szCs w:val="20"/>
              </w:rPr>
            </w:pPr>
            <w:r w:rsidRPr="00332E2C">
              <w:rPr>
                <w:b/>
                <w:bCs/>
                <w:sz w:val="20"/>
                <w:szCs w:val="20"/>
              </w:rPr>
              <w:t>19.0 %</w:t>
            </w:r>
          </w:p>
        </w:tc>
        <w:tc>
          <w:tcPr>
            <w:tcW w:w="1347" w:type="dxa"/>
          </w:tcPr>
          <w:p w:rsidR="009F60CA" w:rsidRPr="00332E2C" w:rsidRDefault="009F60CA" w:rsidP="00332E2C">
            <w:pPr>
              <w:pStyle w:val="Default"/>
              <w:rPr>
                <w:sz w:val="20"/>
                <w:szCs w:val="20"/>
              </w:rPr>
            </w:pPr>
            <w:r w:rsidRPr="00332E2C">
              <w:rPr>
                <w:b/>
                <w:bCs/>
                <w:sz w:val="20"/>
                <w:szCs w:val="20"/>
              </w:rPr>
              <w:t>13.95 %</w:t>
            </w:r>
          </w:p>
        </w:tc>
      </w:tr>
    </w:tbl>
    <w:p w:rsidR="001C3901" w:rsidRPr="00332E2C" w:rsidRDefault="009F60CA" w:rsidP="00332E2C">
      <w:pPr>
        <w:spacing w:after="0" w:line="240" w:lineRule="auto"/>
        <w:jc w:val="right"/>
        <w:rPr>
          <w:rFonts w:ascii="Arial" w:eastAsia="Calibri" w:hAnsi="Arial" w:cs="Arial"/>
          <w:b/>
          <w:sz w:val="20"/>
          <w:szCs w:val="20"/>
          <w:lang w:eastAsia="en-ZA"/>
        </w:rPr>
      </w:pPr>
      <w:r w:rsidRPr="00332E2C">
        <w:rPr>
          <w:rFonts w:ascii="Arial" w:eastAsia="Calibri" w:hAnsi="Arial" w:cs="Arial"/>
          <w:b/>
          <w:sz w:val="20"/>
          <w:szCs w:val="20"/>
          <w:lang w:eastAsia="en-ZA"/>
        </w:rPr>
        <w:t>Source: National Treasury (2020)</w:t>
      </w:r>
    </w:p>
    <w:p w:rsidR="001C3901" w:rsidRPr="00332E2C" w:rsidRDefault="001C3901" w:rsidP="00332E2C">
      <w:pPr>
        <w:spacing w:after="0" w:line="240" w:lineRule="auto"/>
        <w:jc w:val="both"/>
        <w:rPr>
          <w:rFonts w:ascii="Arial" w:eastAsia="Calibri" w:hAnsi="Arial" w:cs="Arial"/>
          <w:b/>
          <w:sz w:val="20"/>
          <w:szCs w:val="20"/>
          <w:lang w:eastAsia="en-ZA"/>
        </w:rPr>
      </w:pPr>
    </w:p>
    <w:p w:rsidR="009F60CA" w:rsidRPr="00332E2C" w:rsidRDefault="009F60CA"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The Litigation Advisory Services sub-programme received a budget allocation of R2 million in 2020/21, which is a nominal increase of 25.0%. Proportionally, the sub-programme received 28.99% of the total budget allocation of the Programme.</w:t>
      </w:r>
    </w:p>
    <w:p w:rsidR="00EB6B72" w:rsidRPr="00332E2C" w:rsidRDefault="009F60CA" w:rsidP="00332E2C">
      <w:pPr>
        <w:spacing w:after="0" w:line="240" w:lineRule="auto"/>
        <w:jc w:val="both"/>
        <w:rPr>
          <w:rFonts w:ascii="Arial" w:hAnsi="Arial" w:cs="Arial"/>
          <w:sz w:val="20"/>
          <w:szCs w:val="20"/>
        </w:rPr>
      </w:pPr>
      <w:r w:rsidRPr="00332E2C">
        <w:rPr>
          <w:rFonts w:ascii="Arial" w:eastAsia="Calibri" w:hAnsi="Arial" w:cs="Arial"/>
          <w:sz w:val="20"/>
          <w:szCs w:val="20"/>
        </w:rPr>
        <w:t>The Investigation Advisory sub-programme received a budget allocation of R2.5 million in 2020/21, which is a nominal increase of 19.05%. Proportionally, the sub-programme received 36.23% of the total budget allocation of the Programme</w:t>
      </w:r>
      <w:r w:rsidRPr="00332E2C">
        <w:rPr>
          <w:rFonts w:ascii="Arial" w:eastAsia="Calibri" w:hAnsi="Arial" w:cs="Arial"/>
          <w:b/>
          <w:sz w:val="20"/>
          <w:szCs w:val="20"/>
        </w:rPr>
        <w:t>.</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b/>
          <w:sz w:val="20"/>
          <w:szCs w:val="20"/>
        </w:rPr>
        <w:t>3.</w:t>
      </w:r>
      <w:r w:rsidR="00B110E4" w:rsidRPr="00332E2C">
        <w:rPr>
          <w:rFonts w:ascii="Arial" w:hAnsi="Arial" w:cs="Arial"/>
          <w:b/>
          <w:sz w:val="20"/>
          <w:szCs w:val="20"/>
        </w:rPr>
        <w:t>1.</w:t>
      </w:r>
      <w:r w:rsidRPr="00332E2C">
        <w:rPr>
          <w:rFonts w:ascii="Arial" w:hAnsi="Arial" w:cs="Arial"/>
          <w:b/>
          <w:sz w:val="20"/>
          <w:szCs w:val="20"/>
        </w:rPr>
        <w:t>4</w:t>
      </w:r>
      <w:r w:rsidRPr="00332E2C">
        <w:rPr>
          <w:rFonts w:ascii="Arial" w:hAnsi="Arial" w:cs="Arial"/>
          <w:b/>
          <w:sz w:val="20"/>
          <w:szCs w:val="20"/>
        </w:rPr>
        <w:tab/>
        <w:t>Programme 4: Compliance Monitoring and Stakeholder Management</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 xml:space="preserve">The purpose of the Compliance Monitoring and Stakeholder Management Programme is to safeguard the principles of cooperative governance and stakeholder relations. Monitor and evaluate the relevance and appropriateness of recommendations made to the South African Police Service and Municipal Police Services in terms of the Independent Police Investigative Directorate Act, 2011. The programme consists of the following two sub-programmes: </w:t>
      </w:r>
    </w:p>
    <w:p w:rsidR="009F60CA" w:rsidRPr="00332E2C" w:rsidRDefault="009F60CA"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The Compliance Monitoring sub-programme received a budget allocation of R7.6 million in 2020/21, which is a nominal increase of 16.92%. Proportionally, the sub-programme received 59.84% of the total budget allocation of the Programme.</w:t>
      </w:r>
    </w:p>
    <w:p w:rsidR="009F60CA" w:rsidRPr="00332E2C" w:rsidRDefault="009F60CA" w:rsidP="00332E2C">
      <w:pPr>
        <w:autoSpaceDE w:val="0"/>
        <w:autoSpaceDN w:val="0"/>
        <w:adjustRightInd w:val="0"/>
        <w:spacing w:after="0" w:line="240" w:lineRule="auto"/>
        <w:jc w:val="both"/>
        <w:rPr>
          <w:rFonts w:ascii="Arial" w:eastAsia="Calibri" w:hAnsi="Arial" w:cs="Arial"/>
          <w:sz w:val="20"/>
          <w:szCs w:val="20"/>
        </w:rPr>
      </w:pPr>
      <w:r w:rsidRPr="00332E2C">
        <w:rPr>
          <w:rFonts w:ascii="Arial" w:eastAsia="Calibri" w:hAnsi="Arial" w:cs="Arial"/>
          <w:sz w:val="20"/>
          <w:szCs w:val="20"/>
        </w:rPr>
        <w:t>The Stakeholder Management sub-programme received a budget allocation of R5.2 million in 2020/21, which did not change when compared to the previous financial year. As such, the sub-programme decreased in real terms by -4.2% (considering inflation). Proportionally, the sub-programme received 40.94% of the total allocation of the Programme.</w:t>
      </w:r>
    </w:p>
    <w:p w:rsidR="009F60CA" w:rsidRPr="00332E2C" w:rsidRDefault="009F60CA" w:rsidP="00332E2C">
      <w:pPr>
        <w:autoSpaceDE w:val="0"/>
        <w:autoSpaceDN w:val="0"/>
        <w:adjustRightInd w:val="0"/>
        <w:spacing w:after="0" w:line="240" w:lineRule="auto"/>
        <w:jc w:val="both"/>
        <w:rPr>
          <w:rFonts w:ascii="Arial" w:eastAsia="Calibri" w:hAnsi="Arial" w:cs="Arial"/>
          <w:sz w:val="20"/>
          <w:szCs w:val="20"/>
        </w:rPr>
      </w:pPr>
    </w:p>
    <w:p w:rsidR="00EB6B72" w:rsidRPr="00332E2C" w:rsidRDefault="0027450D"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Table 5: Budget allocation per sub-programme of the Compliance and Stakeholder Management Programme</w:t>
      </w:r>
    </w:p>
    <w:p w:rsidR="0027450D" w:rsidRPr="00332E2C" w:rsidRDefault="0027450D" w:rsidP="00332E2C">
      <w:pPr>
        <w:spacing w:after="0" w:line="240" w:lineRule="auto"/>
        <w:jc w:val="both"/>
        <w:rPr>
          <w:rFonts w:ascii="Arial" w:eastAsia="Calibri"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1134"/>
        <w:gridCol w:w="1134"/>
        <w:gridCol w:w="1351"/>
        <w:gridCol w:w="66"/>
        <w:gridCol w:w="1276"/>
        <w:gridCol w:w="1228"/>
        <w:gridCol w:w="48"/>
        <w:gridCol w:w="1237"/>
      </w:tblGrid>
      <w:tr w:rsidR="0027450D" w:rsidRPr="00332E2C" w:rsidTr="0027450D">
        <w:trPr>
          <w:trHeight w:val="513"/>
        </w:trPr>
        <w:tc>
          <w:tcPr>
            <w:tcW w:w="1521" w:type="dxa"/>
          </w:tcPr>
          <w:p w:rsidR="0027450D" w:rsidRPr="00332E2C" w:rsidRDefault="0027450D" w:rsidP="00332E2C">
            <w:pPr>
              <w:pStyle w:val="Default"/>
              <w:rPr>
                <w:sz w:val="20"/>
                <w:szCs w:val="20"/>
              </w:rPr>
            </w:pPr>
            <w:r w:rsidRPr="00332E2C">
              <w:rPr>
                <w:b/>
                <w:bCs/>
                <w:sz w:val="20"/>
                <w:szCs w:val="20"/>
              </w:rPr>
              <w:t xml:space="preserve">Programme </w:t>
            </w:r>
          </w:p>
        </w:tc>
        <w:tc>
          <w:tcPr>
            <w:tcW w:w="2268" w:type="dxa"/>
            <w:gridSpan w:val="2"/>
          </w:tcPr>
          <w:p w:rsidR="0027450D" w:rsidRPr="00332E2C" w:rsidRDefault="0027450D" w:rsidP="00332E2C">
            <w:pPr>
              <w:pStyle w:val="Default"/>
              <w:jc w:val="center"/>
              <w:rPr>
                <w:sz w:val="20"/>
                <w:szCs w:val="20"/>
              </w:rPr>
            </w:pPr>
            <w:r w:rsidRPr="00332E2C">
              <w:rPr>
                <w:b/>
                <w:bCs/>
                <w:sz w:val="20"/>
                <w:szCs w:val="20"/>
              </w:rPr>
              <w:t>Budget</w:t>
            </w:r>
          </w:p>
        </w:tc>
        <w:tc>
          <w:tcPr>
            <w:tcW w:w="1417" w:type="dxa"/>
            <w:gridSpan w:val="2"/>
          </w:tcPr>
          <w:p w:rsidR="0027450D" w:rsidRPr="00332E2C" w:rsidRDefault="0027450D" w:rsidP="00332E2C">
            <w:pPr>
              <w:pStyle w:val="Default"/>
              <w:rPr>
                <w:sz w:val="20"/>
                <w:szCs w:val="20"/>
              </w:rPr>
            </w:pPr>
            <w:r w:rsidRPr="00332E2C">
              <w:rPr>
                <w:b/>
                <w:bCs/>
                <w:sz w:val="20"/>
                <w:szCs w:val="20"/>
              </w:rPr>
              <w:t xml:space="preserve">Nominal Increase / Decrease in 2020/21 </w:t>
            </w:r>
          </w:p>
        </w:tc>
        <w:tc>
          <w:tcPr>
            <w:tcW w:w="1276" w:type="dxa"/>
          </w:tcPr>
          <w:p w:rsidR="0027450D" w:rsidRPr="00332E2C" w:rsidRDefault="0027450D" w:rsidP="00332E2C">
            <w:pPr>
              <w:pStyle w:val="Default"/>
              <w:rPr>
                <w:sz w:val="20"/>
                <w:szCs w:val="20"/>
              </w:rPr>
            </w:pPr>
            <w:r w:rsidRPr="00332E2C">
              <w:rPr>
                <w:b/>
                <w:bCs/>
                <w:sz w:val="20"/>
                <w:szCs w:val="20"/>
              </w:rPr>
              <w:t xml:space="preserve">Real Increase / Decrease in 2020/21 </w:t>
            </w:r>
          </w:p>
        </w:tc>
        <w:tc>
          <w:tcPr>
            <w:tcW w:w="1276" w:type="dxa"/>
            <w:gridSpan w:val="2"/>
          </w:tcPr>
          <w:p w:rsidR="0027450D" w:rsidRPr="00332E2C" w:rsidRDefault="0027450D" w:rsidP="00332E2C">
            <w:pPr>
              <w:pStyle w:val="Default"/>
              <w:rPr>
                <w:sz w:val="20"/>
                <w:szCs w:val="20"/>
              </w:rPr>
            </w:pPr>
            <w:r w:rsidRPr="00332E2C">
              <w:rPr>
                <w:b/>
                <w:bCs/>
                <w:sz w:val="20"/>
                <w:szCs w:val="20"/>
              </w:rPr>
              <w:t xml:space="preserve">Nominal Percent change in 2020/21 </w:t>
            </w:r>
          </w:p>
        </w:tc>
        <w:tc>
          <w:tcPr>
            <w:tcW w:w="1237" w:type="dxa"/>
          </w:tcPr>
          <w:p w:rsidR="0027450D" w:rsidRPr="00332E2C" w:rsidRDefault="0027450D" w:rsidP="00332E2C">
            <w:pPr>
              <w:pStyle w:val="Default"/>
              <w:rPr>
                <w:sz w:val="20"/>
                <w:szCs w:val="20"/>
              </w:rPr>
            </w:pPr>
            <w:r w:rsidRPr="00332E2C">
              <w:rPr>
                <w:b/>
                <w:bCs/>
                <w:sz w:val="20"/>
                <w:szCs w:val="20"/>
              </w:rPr>
              <w:t xml:space="preserve">Real Percent change in 2020/21 </w:t>
            </w:r>
          </w:p>
        </w:tc>
      </w:tr>
      <w:tr w:rsidR="0027450D" w:rsidRPr="00332E2C" w:rsidTr="0027450D">
        <w:trPr>
          <w:trHeight w:val="93"/>
        </w:trPr>
        <w:tc>
          <w:tcPr>
            <w:tcW w:w="1521" w:type="dxa"/>
          </w:tcPr>
          <w:p w:rsidR="0027450D" w:rsidRPr="00332E2C" w:rsidRDefault="0027450D" w:rsidP="00332E2C">
            <w:pPr>
              <w:pStyle w:val="Default"/>
              <w:rPr>
                <w:sz w:val="20"/>
                <w:szCs w:val="20"/>
              </w:rPr>
            </w:pPr>
            <w:r w:rsidRPr="00332E2C">
              <w:rPr>
                <w:b/>
                <w:bCs/>
                <w:sz w:val="20"/>
                <w:szCs w:val="20"/>
              </w:rPr>
              <w:t xml:space="preserve">R million </w:t>
            </w:r>
          </w:p>
        </w:tc>
        <w:tc>
          <w:tcPr>
            <w:tcW w:w="1134" w:type="dxa"/>
          </w:tcPr>
          <w:p w:rsidR="0027450D" w:rsidRPr="00332E2C" w:rsidRDefault="0027450D" w:rsidP="00332E2C">
            <w:pPr>
              <w:pStyle w:val="Default"/>
              <w:jc w:val="center"/>
              <w:rPr>
                <w:sz w:val="20"/>
                <w:szCs w:val="20"/>
              </w:rPr>
            </w:pPr>
            <w:r w:rsidRPr="00332E2C">
              <w:rPr>
                <w:b/>
                <w:bCs/>
                <w:sz w:val="20"/>
                <w:szCs w:val="20"/>
              </w:rPr>
              <w:t>2019/20</w:t>
            </w:r>
          </w:p>
        </w:tc>
        <w:tc>
          <w:tcPr>
            <w:tcW w:w="1134" w:type="dxa"/>
          </w:tcPr>
          <w:p w:rsidR="0027450D" w:rsidRPr="00332E2C" w:rsidRDefault="0027450D" w:rsidP="00332E2C">
            <w:pPr>
              <w:pStyle w:val="Default"/>
              <w:jc w:val="center"/>
              <w:rPr>
                <w:sz w:val="20"/>
                <w:szCs w:val="20"/>
              </w:rPr>
            </w:pPr>
            <w:r w:rsidRPr="00332E2C">
              <w:rPr>
                <w:b/>
                <w:bCs/>
                <w:sz w:val="20"/>
                <w:szCs w:val="20"/>
              </w:rPr>
              <w:t>2020/21</w:t>
            </w:r>
          </w:p>
        </w:tc>
        <w:tc>
          <w:tcPr>
            <w:tcW w:w="2693" w:type="dxa"/>
            <w:gridSpan w:val="3"/>
          </w:tcPr>
          <w:p w:rsidR="0027450D" w:rsidRPr="00332E2C" w:rsidRDefault="0027450D" w:rsidP="00332E2C">
            <w:pPr>
              <w:pStyle w:val="Default"/>
              <w:rPr>
                <w:sz w:val="20"/>
                <w:szCs w:val="20"/>
              </w:rPr>
            </w:pPr>
          </w:p>
        </w:tc>
        <w:tc>
          <w:tcPr>
            <w:tcW w:w="2513" w:type="dxa"/>
            <w:gridSpan w:val="3"/>
          </w:tcPr>
          <w:p w:rsidR="0027450D" w:rsidRPr="00332E2C" w:rsidRDefault="0027450D" w:rsidP="00332E2C">
            <w:pPr>
              <w:pStyle w:val="Default"/>
              <w:rPr>
                <w:sz w:val="20"/>
                <w:szCs w:val="20"/>
              </w:rPr>
            </w:pPr>
          </w:p>
        </w:tc>
      </w:tr>
      <w:tr w:rsidR="0027450D" w:rsidRPr="00332E2C" w:rsidTr="0027450D">
        <w:trPr>
          <w:trHeight w:val="93"/>
        </w:trPr>
        <w:tc>
          <w:tcPr>
            <w:tcW w:w="1521" w:type="dxa"/>
          </w:tcPr>
          <w:p w:rsidR="0027450D" w:rsidRPr="00332E2C" w:rsidRDefault="0027450D" w:rsidP="00332E2C">
            <w:pPr>
              <w:pStyle w:val="Default"/>
              <w:rPr>
                <w:sz w:val="20"/>
                <w:szCs w:val="20"/>
              </w:rPr>
            </w:pPr>
            <w:r w:rsidRPr="00332E2C">
              <w:rPr>
                <w:b/>
                <w:bCs/>
                <w:sz w:val="20"/>
                <w:szCs w:val="20"/>
              </w:rPr>
              <w:t xml:space="preserve">Compliance Monitoring </w:t>
            </w:r>
          </w:p>
        </w:tc>
        <w:tc>
          <w:tcPr>
            <w:tcW w:w="1134" w:type="dxa"/>
          </w:tcPr>
          <w:p w:rsidR="0027450D" w:rsidRPr="00332E2C" w:rsidRDefault="0027450D" w:rsidP="00332E2C">
            <w:pPr>
              <w:pStyle w:val="Default"/>
              <w:jc w:val="center"/>
              <w:rPr>
                <w:sz w:val="20"/>
                <w:szCs w:val="20"/>
              </w:rPr>
            </w:pPr>
            <w:r w:rsidRPr="00332E2C">
              <w:rPr>
                <w:sz w:val="20"/>
                <w:szCs w:val="20"/>
              </w:rPr>
              <w:t>6.5</w:t>
            </w:r>
          </w:p>
        </w:tc>
        <w:tc>
          <w:tcPr>
            <w:tcW w:w="1134" w:type="dxa"/>
          </w:tcPr>
          <w:p w:rsidR="0027450D" w:rsidRPr="00332E2C" w:rsidRDefault="0027450D" w:rsidP="00332E2C">
            <w:pPr>
              <w:pStyle w:val="Default"/>
              <w:jc w:val="center"/>
              <w:rPr>
                <w:sz w:val="20"/>
                <w:szCs w:val="20"/>
              </w:rPr>
            </w:pPr>
            <w:r w:rsidRPr="00332E2C">
              <w:rPr>
                <w:sz w:val="20"/>
                <w:szCs w:val="20"/>
              </w:rPr>
              <w:t>7.6</w:t>
            </w:r>
          </w:p>
        </w:tc>
        <w:tc>
          <w:tcPr>
            <w:tcW w:w="1351" w:type="dxa"/>
          </w:tcPr>
          <w:p w:rsidR="0027450D" w:rsidRPr="00332E2C" w:rsidRDefault="0027450D" w:rsidP="00332E2C">
            <w:pPr>
              <w:pStyle w:val="Default"/>
              <w:jc w:val="center"/>
              <w:rPr>
                <w:sz w:val="20"/>
                <w:szCs w:val="20"/>
              </w:rPr>
            </w:pPr>
            <w:r w:rsidRPr="00332E2C">
              <w:rPr>
                <w:sz w:val="20"/>
                <w:szCs w:val="20"/>
              </w:rPr>
              <w:t>1.1</w:t>
            </w:r>
          </w:p>
        </w:tc>
        <w:tc>
          <w:tcPr>
            <w:tcW w:w="1342" w:type="dxa"/>
            <w:gridSpan w:val="2"/>
          </w:tcPr>
          <w:p w:rsidR="0027450D" w:rsidRPr="00332E2C" w:rsidRDefault="0027450D" w:rsidP="00332E2C">
            <w:pPr>
              <w:pStyle w:val="Default"/>
              <w:jc w:val="center"/>
              <w:rPr>
                <w:sz w:val="20"/>
                <w:szCs w:val="20"/>
              </w:rPr>
            </w:pPr>
            <w:r w:rsidRPr="00332E2C">
              <w:rPr>
                <w:sz w:val="20"/>
                <w:szCs w:val="20"/>
              </w:rPr>
              <w:t>0.8</w:t>
            </w:r>
          </w:p>
        </w:tc>
        <w:tc>
          <w:tcPr>
            <w:tcW w:w="1228" w:type="dxa"/>
          </w:tcPr>
          <w:p w:rsidR="0027450D" w:rsidRPr="00332E2C" w:rsidRDefault="0027450D" w:rsidP="00332E2C">
            <w:pPr>
              <w:pStyle w:val="Default"/>
              <w:jc w:val="center"/>
              <w:rPr>
                <w:sz w:val="20"/>
                <w:szCs w:val="20"/>
              </w:rPr>
            </w:pPr>
            <w:r w:rsidRPr="00332E2C">
              <w:rPr>
                <w:sz w:val="20"/>
                <w:szCs w:val="20"/>
              </w:rPr>
              <w:t>16.92 %</w:t>
            </w:r>
          </w:p>
        </w:tc>
        <w:tc>
          <w:tcPr>
            <w:tcW w:w="1285" w:type="dxa"/>
            <w:gridSpan w:val="2"/>
          </w:tcPr>
          <w:p w:rsidR="0027450D" w:rsidRPr="00332E2C" w:rsidRDefault="0027450D" w:rsidP="00332E2C">
            <w:pPr>
              <w:pStyle w:val="Default"/>
              <w:jc w:val="center"/>
              <w:rPr>
                <w:sz w:val="20"/>
                <w:szCs w:val="20"/>
              </w:rPr>
            </w:pPr>
            <w:r w:rsidRPr="00332E2C">
              <w:rPr>
                <w:sz w:val="20"/>
                <w:szCs w:val="20"/>
              </w:rPr>
              <w:t>12.00 %</w:t>
            </w:r>
          </w:p>
        </w:tc>
      </w:tr>
      <w:tr w:rsidR="0027450D" w:rsidRPr="00332E2C" w:rsidTr="0027450D">
        <w:trPr>
          <w:trHeight w:val="93"/>
        </w:trPr>
        <w:tc>
          <w:tcPr>
            <w:tcW w:w="1521" w:type="dxa"/>
          </w:tcPr>
          <w:p w:rsidR="0027450D" w:rsidRPr="00332E2C" w:rsidRDefault="0027450D" w:rsidP="00332E2C">
            <w:pPr>
              <w:pStyle w:val="Default"/>
              <w:rPr>
                <w:sz w:val="20"/>
                <w:szCs w:val="20"/>
              </w:rPr>
            </w:pPr>
            <w:r w:rsidRPr="00332E2C">
              <w:rPr>
                <w:b/>
                <w:bCs/>
                <w:sz w:val="20"/>
                <w:szCs w:val="20"/>
              </w:rPr>
              <w:t xml:space="preserve">Stakeholder Management </w:t>
            </w:r>
          </w:p>
        </w:tc>
        <w:tc>
          <w:tcPr>
            <w:tcW w:w="1134" w:type="dxa"/>
          </w:tcPr>
          <w:p w:rsidR="0027450D" w:rsidRPr="00332E2C" w:rsidRDefault="0027450D" w:rsidP="00332E2C">
            <w:pPr>
              <w:pStyle w:val="Default"/>
              <w:jc w:val="center"/>
              <w:rPr>
                <w:sz w:val="20"/>
                <w:szCs w:val="20"/>
              </w:rPr>
            </w:pPr>
            <w:r w:rsidRPr="00332E2C">
              <w:rPr>
                <w:sz w:val="20"/>
                <w:szCs w:val="20"/>
              </w:rPr>
              <w:t>5.2</w:t>
            </w:r>
          </w:p>
        </w:tc>
        <w:tc>
          <w:tcPr>
            <w:tcW w:w="1134" w:type="dxa"/>
          </w:tcPr>
          <w:p w:rsidR="0027450D" w:rsidRPr="00332E2C" w:rsidRDefault="0027450D" w:rsidP="00332E2C">
            <w:pPr>
              <w:pStyle w:val="Default"/>
              <w:jc w:val="center"/>
              <w:rPr>
                <w:sz w:val="20"/>
                <w:szCs w:val="20"/>
              </w:rPr>
            </w:pPr>
            <w:r w:rsidRPr="00332E2C">
              <w:rPr>
                <w:sz w:val="20"/>
                <w:szCs w:val="20"/>
              </w:rPr>
              <w:t>5.2</w:t>
            </w:r>
          </w:p>
        </w:tc>
        <w:tc>
          <w:tcPr>
            <w:tcW w:w="1351" w:type="dxa"/>
          </w:tcPr>
          <w:p w:rsidR="0027450D" w:rsidRPr="00332E2C" w:rsidRDefault="0027450D" w:rsidP="00332E2C">
            <w:pPr>
              <w:pStyle w:val="Default"/>
              <w:jc w:val="center"/>
              <w:rPr>
                <w:sz w:val="20"/>
                <w:szCs w:val="20"/>
              </w:rPr>
            </w:pPr>
            <w:r w:rsidRPr="00332E2C">
              <w:rPr>
                <w:sz w:val="20"/>
                <w:szCs w:val="20"/>
              </w:rPr>
              <w:t>0.0</w:t>
            </w:r>
          </w:p>
        </w:tc>
        <w:tc>
          <w:tcPr>
            <w:tcW w:w="1342" w:type="dxa"/>
            <w:gridSpan w:val="2"/>
          </w:tcPr>
          <w:p w:rsidR="0027450D" w:rsidRPr="00332E2C" w:rsidRDefault="0027450D" w:rsidP="00332E2C">
            <w:pPr>
              <w:pStyle w:val="Default"/>
              <w:jc w:val="center"/>
              <w:rPr>
                <w:sz w:val="20"/>
                <w:szCs w:val="20"/>
              </w:rPr>
            </w:pPr>
            <w:r w:rsidRPr="00332E2C">
              <w:rPr>
                <w:sz w:val="20"/>
                <w:szCs w:val="20"/>
              </w:rPr>
              <w:t>- 0.2</w:t>
            </w:r>
          </w:p>
        </w:tc>
        <w:tc>
          <w:tcPr>
            <w:tcW w:w="1228" w:type="dxa"/>
          </w:tcPr>
          <w:p w:rsidR="0027450D" w:rsidRPr="00332E2C" w:rsidRDefault="0027450D" w:rsidP="00332E2C">
            <w:pPr>
              <w:pStyle w:val="Default"/>
              <w:jc w:val="center"/>
              <w:rPr>
                <w:sz w:val="20"/>
                <w:szCs w:val="20"/>
              </w:rPr>
            </w:pPr>
            <w:r w:rsidRPr="00332E2C">
              <w:rPr>
                <w:sz w:val="20"/>
                <w:szCs w:val="20"/>
              </w:rPr>
              <w:t>0.00 %</w:t>
            </w:r>
          </w:p>
        </w:tc>
        <w:tc>
          <w:tcPr>
            <w:tcW w:w="1285" w:type="dxa"/>
            <w:gridSpan w:val="2"/>
          </w:tcPr>
          <w:p w:rsidR="0027450D" w:rsidRPr="00332E2C" w:rsidRDefault="0027450D" w:rsidP="00332E2C">
            <w:pPr>
              <w:pStyle w:val="Default"/>
              <w:jc w:val="center"/>
              <w:rPr>
                <w:sz w:val="20"/>
                <w:szCs w:val="20"/>
              </w:rPr>
            </w:pPr>
            <w:r w:rsidRPr="00332E2C">
              <w:rPr>
                <w:sz w:val="20"/>
                <w:szCs w:val="20"/>
              </w:rPr>
              <w:t>-4.21 %</w:t>
            </w:r>
          </w:p>
        </w:tc>
      </w:tr>
      <w:tr w:rsidR="0027450D" w:rsidRPr="00332E2C" w:rsidTr="0027450D">
        <w:trPr>
          <w:trHeight w:val="93"/>
        </w:trPr>
        <w:tc>
          <w:tcPr>
            <w:tcW w:w="1521" w:type="dxa"/>
          </w:tcPr>
          <w:p w:rsidR="0027450D" w:rsidRPr="00332E2C" w:rsidRDefault="0027450D" w:rsidP="00332E2C">
            <w:pPr>
              <w:pStyle w:val="Default"/>
              <w:rPr>
                <w:sz w:val="20"/>
                <w:szCs w:val="20"/>
              </w:rPr>
            </w:pPr>
            <w:r w:rsidRPr="00332E2C">
              <w:rPr>
                <w:b/>
                <w:bCs/>
                <w:sz w:val="20"/>
                <w:szCs w:val="20"/>
              </w:rPr>
              <w:t xml:space="preserve">TOTAL </w:t>
            </w:r>
          </w:p>
        </w:tc>
        <w:tc>
          <w:tcPr>
            <w:tcW w:w="1134" w:type="dxa"/>
          </w:tcPr>
          <w:p w:rsidR="0027450D" w:rsidRPr="00332E2C" w:rsidRDefault="0027450D" w:rsidP="00332E2C">
            <w:pPr>
              <w:pStyle w:val="Default"/>
              <w:jc w:val="center"/>
              <w:rPr>
                <w:sz w:val="20"/>
                <w:szCs w:val="20"/>
              </w:rPr>
            </w:pPr>
            <w:r w:rsidRPr="00332E2C">
              <w:rPr>
                <w:sz w:val="20"/>
                <w:szCs w:val="20"/>
              </w:rPr>
              <w:t>11.8</w:t>
            </w:r>
          </w:p>
        </w:tc>
        <w:tc>
          <w:tcPr>
            <w:tcW w:w="1134" w:type="dxa"/>
          </w:tcPr>
          <w:p w:rsidR="0027450D" w:rsidRPr="00332E2C" w:rsidRDefault="0027450D" w:rsidP="00332E2C">
            <w:pPr>
              <w:pStyle w:val="Default"/>
              <w:jc w:val="center"/>
              <w:rPr>
                <w:sz w:val="20"/>
                <w:szCs w:val="20"/>
              </w:rPr>
            </w:pPr>
            <w:r w:rsidRPr="00332E2C">
              <w:rPr>
                <w:sz w:val="20"/>
                <w:szCs w:val="20"/>
              </w:rPr>
              <w:t>12.7</w:t>
            </w:r>
          </w:p>
        </w:tc>
        <w:tc>
          <w:tcPr>
            <w:tcW w:w="1351" w:type="dxa"/>
          </w:tcPr>
          <w:p w:rsidR="0027450D" w:rsidRPr="00332E2C" w:rsidRDefault="0027450D" w:rsidP="00332E2C">
            <w:pPr>
              <w:pStyle w:val="Default"/>
              <w:jc w:val="center"/>
              <w:rPr>
                <w:sz w:val="20"/>
                <w:szCs w:val="20"/>
              </w:rPr>
            </w:pPr>
            <w:r w:rsidRPr="00332E2C">
              <w:rPr>
                <w:sz w:val="20"/>
                <w:szCs w:val="20"/>
              </w:rPr>
              <w:t>0.9</w:t>
            </w:r>
          </w:p>
        </w:tc>
        <w:tc>
          <w:tcPr>
            <w:tcW w:w="1342" w:type="dxa"/>
            <w:gridSpan w:val="2"/>
          </w:tcPr>
          <w:p w:rsidR="0027450D" w:rsidRPr="00332E2C" w:rsidRDefault="0027450D" w:rsidP="00332E2C">
            <w:pPr>
              <w:pStyle w:val="Default"/>
              <w:jc w:val="center"/>
              <w:rPr>
                <w:sz w:val="20"/>
                <w:szCs w:val="20"/>
              </w:rPr>
            </w:pPr>
            <w:r w:rsidRPr="00332E2C">
              <w:rPr>
                <w:sz w:val="20"/>
                <w:szCs w:val="20"/>
              </w:rPr>
              <w:t>0.4</w:t>
            </w:r>
          </w:p>
        </w:tc>
        <w:tc>
          <w:tcPr>
            <w:tcW w:w="1228" w:type="dxa"/>
          </w:tcPr>
          <w:p w:rsidR="0027450D" w:rsidRPr="00332E2C" w:rsidRDefault="0027450D" w:rsidP="00332E2C">
            <w:pPr>
              <w:pStyle w:val="Default"/>
              <w:jc w:val="center"/>
              <w:rPr>
                <w:sz w:val="20"/>
                <w:szCs w:val="20"/>
              </w:rPr>
            </w:pPr>
            <w:r w:rsidRPr="00332E2C">
              <w:rPr>
                <w:b/>
                <w:bCs/>
                <w:sz w:val="20"/>
                <w:szCs w:val="20"/>
              </w:rPr>
              <w:t>7.6 %</w:t>
            </w:r>
          </w:p>
        </w:tc>
        <w:tc>
          <w:tcPr>
            <w:tcW w:w="1285" w:type="dxa"/>
            <w:gridSpan w:val="2"/>
          </w:tcPr>
          <w:p w:rsidR="0027450D" w:rsidRPr="00332E2C" w:rsidRDefault="0027450D" w:rsidP="00332E2C">
            <w:pPr>
              <w:pStyle w:val="Default"/>
              <w:jc w:val="center"/>
              <w:rPr>
                <w:sz w:val="20"/>
                <w:szCs w:val="20"/>
              </w:rPr>
            </w:pPr>
            <w:r w:rsidRPr="00332E2C">
              <w:rPr>
                <w:b/>
                <w:bCs/>
                <w:sz w:val="20"/>
                <w:szCs w:val="20"/>
              </w:rPr>
              <w:t>3.09 %</w:t>
            </w:r>
          </w:p>
        </w:tc>
      </w:tr>
    </w:tbl>
    <w:p w:rsidR="0027450D" w:rsidRPr="00332E2C" w:rsidRDefault="0027450D" w:rsidP="00332E2C">
      <w:pPr>
        <w:spacing w:after="0" w:line="240" w:lineRule="auto"/>
        <w:jc w:val="center"/>
        <w:rPr>
          <w:rFonts w:ascii="Arial" w:eastAsia="Calibri" w:hAnsi="Arial" w:cs="Arial"/>
          <w:b/>
          <w:sz w:val="20"/>
          <w:szCs w:val="20"/>
        </w:rPr>
      </w:pPr>
      <w:r w:rsidRPr="00332E2C">
        <w:rPr>
          <w:rFonts w:ascii="Arial" w:eastAsia="Calibri" w:hAnsi="Arial" w:cs="Arial"/>
          <w:b/>
          <w:sz w:val="20"/>
          <w:szCs w:val="20"/>
        </w:rPr>
        <w:t xml:space="preserve">                                                                                        Source: National Treasury (2020)</w:t>
      </w:r>
    </w:p>
    <w:p w:rsidR="0027450D" w:rsidRPr="00332E2C" w:rsidRDefault="0027450D" w:rsidP="00332E2C">
      <w:pPr>
        <w:spacing w:after="0" w:line="240" w:lineRule="auto"/>
        <w:jc w:val="both"/>
        <w:rPr>
          <w:rFonts w:ascii="Arial" w:eastAsia="Calibri" w:hAnsi="Arial" w:cs="Arial"/>
          <w:b/>
          <w:sz w:val="20"/>
          <w:szCs w:val="20"/>
        </w:rPr>
      </w:pPr>
    </w:p>
    <w:p w:rsidR="006F2E2F"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Along with the Civilian Secretariat for the Police Service (CSPS), the Directorate is the primary oversight body of the police service. It meets quarterly with the Civilian Secretariat for the Police Service to discuss collective measures that should be taken by both Departments to advance the professionalisation of the police service as envisaged in the NDP. The Directorate stated, “Over the medium term, the Directorate will work closely with the Civilian Secretariat for the Police Service to ensure that there is regular and stringent monitoring of the implementation of disciplinary recommendations made to the South African Police Service.”</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The Directorate further stated that monthly meetings would be held with the CSPS and the SAPS to review monthly statistics in relation to the implementation of disciplinary recommendations forwarded to the SAPS and cases referred to the National Prosecuting Authority for prosecution.</w:t>
      </w:r>
    </w:p>
    <w:p w:rsidR="006F2E2F" w:rsidRPr="00332E2C" w:rsidRDefault="006F2E2F" w:rsidP="00332E2C">
      <w:pPr>
        <w:spacing w:after="0" w:line="240" w:lineRule="auto"/>
        <w:jc w:val="both"/>
        <w:rPr>
          <w:rFonts w:ascii="Arial" w:eastAsia="Calibri" w:hAnsi="Arial" w:cs="Arial"/>
          <w:sz w:val="20"/>
          <w:szCs w:val="20"/>
        </w:rPr>
      </w:pPr>
    </w:p>
    <w:p w:rsidR="0027450D"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In addition, awareness training sessions will be held with police officers in police stations to strengthen compliance with applicable legislation and regulations, and reduce the number of cases reported for deaths as a result of police action and/or while in police custody, rape by a police officer and/or while in police custody, and systemic corruption. Related activities are carried out in the ComplianceMonitoring and Stakeholder Management programme, allocations to which amount to R40.8 million over the MTEF period.</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B110E4"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3.2</w:t>
      </w:r>
      <w:r w:rsidRPr="00332E2C">
        <w:rPr>
          <w:rFonts w:ascii="Arial" w:eastAsia="Calibri" w:hAnsi="Arial" w:cs="Arial"/>
          <w:b/>
          <w:sz w:val="20"/>
          <w:szCs w:val="20"/>
        </w:rPr>
        <w:tab/>
      </w:r>
      <w:r w:rsidR="006F2E2F" w:rsidRPr="00332E2C">
        <w:rPr>
          <w:rFonts w:ascii="Arial" w:eastAsia="Calibri" w:hAnsi="Arial" w:cs="Arial"/>
          <w:b/>
          <w:sz w:val="20"/>
          <w:szCs w:val="20"/>
        </w:rPr>
        <w:t>PROGRAMME PERFORMANCE</w:t>
      </w:r>
    </w:p>
    <w:p w:rsidR="006F2E2F" w:rsidRPr="00332E2C" w:rsidRDefault="006F2E2F" w:rsidP="00332E2C">
      <w:pPr>
        <w:spacing w:after="0" w:line="240" w:lineRule="auto"/>
        <w:jc w:val="both"/>
        <w:rPr>
          <w:rFonts w:ascii="Arial" w:eastAsia="Calibri" w:hAnsi="Arial" w:cs="Arial"/>
          <w:b/>
          <w:sz w:val="20"/>
          <w:szCs w:val="20"/>
        </w:rPr>
      </w:pPr>
    </w:p>
    <w:p w:rsidR="006F2E2F" w:rsidRPr="00332E2C" w:rsidRDefault="00B110E4"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3.2.1</w:t>
      </w:r>
      <w:r w:rsidRPr="00332E2C">
        <w:rPr>
          <w:rFonts w:ascii="Arial" w:eastAsia="Calibri" w:hAnsi="Arial" w:cs="Arial"/>
          <w:b/>
          <w:sz w:val="20"/>
          <w:szCs w:val="20"/>
        </w:rPr>
        <w:tab/>
      </w:r>
      <w:r w:rsidR="006F2E2F" w:rsidRPr="00332E2C">
        <w:rPr>
          <w:rFonts w:ascii="Arial" w:eastAsia="Calibri" w:hAnsi="Arial" w:cs="Arial"/>
          <w:b/>
          <w:sz w:val="20"/>
          <w:szCs w:val="20"/>
        </w:rPr>
        <w:t>Technical indicator descriptions</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The IPID relies solely on output performance indicators with the method of calculation as a simple count. The IPID also did not publish the technical indicator descriptions as part of its APP. The technical indicator description is one of the key requirements from the National Treasury, as provided for in the Framework for Strategic Planning and Annual Performance Plan. This limits full understanding of the performance indicator. All performance indicators must have Technical Indicator Descriptions, known as the TIDs.</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A Technical Indicator Descriptor seeks to achieve the following:</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the title of the strategic outcome oriented goal, objective or programme performance indicator</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Provide a brief explanation of what the indicator is, with enough detail to give a general understanding of the indicator</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Explain what the indicator is intended to show and why it is important</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Describe where the information comes from and how it is collected</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Describe clearly and specifically how the indicator is calculated</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any limitation with the indicator data, including factors that might be beyond the department’s control</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whether the indicator is measuring inputs, activities, outputs, outcomes or impact, or some other dimension of performance such as efficiency, economy or equity</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whether the reported performance is cumulative, or non-cumulative</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if an indicator is reported quarterly, annually or at longer time intervals</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whether the indicator is new, has significantly changed, or continues without change from the previous year</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whether actual performance that is higher or lower than targeted performance is desirable</w:t>
      </w:r>
    </w:p>
    <w:p w:rsidR="006F2E2F" w:rsidRPr="00332E2C" w:rsidRDefault="006F2E2F" w:rsidP="00332E2C">
      <w:pPr>
        <w:pStyle w:val="ListParagraph"/>
        <w:numPr>
          <w:ilvl w:val="0"/>
          <w:numId w:val="14"/>
        </w:numPr>
        <w:spacing w:after="0" w:line="240" w:lineRule="auto"/>
        <w:jc w:val="both"/>
        <w:rPr>
          <w:rFonts w:ascii="Arial" w:eastAsia="Calibri" w:hAnsi="Arial" w:cs="Arial"/>
          <w:sz w:val="20"/>
          <w:szCs w:val="20"/>
        </w:rPr>
      </w:pPr>
      <w:r w:rsidRPr="00332E2C">
        <w:rPr>
          <w:rFonts w:ascii="Arial" w:eastAsia="Calibri" w:hAnsi="Arial" w:cs="Arial"/>
          <w:sz w:val="20"/>
          <w:szCs w:val="20"/>
        </w:rPr>
        <w:t>Identify who is responsible for managing and reporting the indicator</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6F2E2F" w:rsidP="00332E2C">
      <w:pPr>
        <w:spacing w:after="0" w:line="240" w:lineRule="auto"/>
        <w:jc w:val="both"/>
        <w:rPr>
          <w:rFonts w:ascii="Arial" w:eastAsia="Calibri" w:hAnsi="Arial" w:cs="Arial"/>
          <w:sz w:val="20"/>
          <w:szCs w:val="20"/>
        </w:rPr>
      </w:pPr>
      <w:r w:rsidRPr="00332E2C">
        <w:rPr>
          <w:rFonts w:ascii="Arial" w:eastAsia="Calibri" w:hAnsi="Arial" w:cs="Arial"/>
          <w:sz w:val="20"/>
          <w:szCs w:val="20"/>
        </w:rPr>
        <w:t>In addition to the information above, the purpose of these definitions is to assist the department in improving the reporting processes. It further ensures that the users of performance information identify with the terms and standards used thus eliminating misconceptions of the information reported. Furthermore, the TID forms the basis for audit of predetermined objectives. The TID document must be read together with the submitted Departmental Strategic Plan and the 2019/20 Annual Performance Plan.</w:t>
      </w:r>
    </w:p>
    <w:p w:rsidR="006F2E2F" w:rsidRPr="00332E2C" w:rsidRDefault="006F2E2F" w:rsidP="00332E2C">
      <w:pPr>
        <w:spacing w:after="0" w:line="240" w:lineRule="auto"/>
        <w:jc w:val="both"/>
        <w:rPr>
          <w:rFonts w:ascii="Arial" w:eastAsia="Calibri" w:hAnsi="Arial" w:cs="Arial"/>
          <w:sz w:val="20"/>
          <w:szCs w:val="20"/>
        </w:rPr>
      </w:pPr>
    </w:p>
    <w:p w:rsidR="006F2E2F" w:rsidRPr="00332E2C" w:rsidRDefault="00B110E4"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3.2.2</w:t>
      </w:r>
      <w:r w:rsidRPr="00332E2C">
        <w:rPr>
          <w:rFonts w:ascii="Arial" w:eastAsia="Calibri" w:hAnsi="Arial" w:cs="Arial"/>
          <w:b/>
          <w:sz w:val="20"/>
          <w:szCs w:val="20"/>
        </w:rPr>
        <w:tab/>
      </w:r>
      <w:r w:rsidR="006F2E2F" w:rsidRPr="00332E2C">
        <w:rPr>
          <w:rFonts w:ascii="Arial" w:eastAsia="Calibri" w:hAnsi="Arial" w:cs="Arial"/>
          <w:b/>
          <w:sz w:val="20"/>
          <w:szCs w:val="20"/>
        </w:rPr>
        <w:t>Administration Programme</w:t>
      </w:r>
    </w:p>
    <w:p w:rsidR="006F2E2F" w:rsidRPr="00332E2C" w:rsidRDefault="006F2E2F" w:rsidP="00332E2C">
      <w:pPr>
        <w:pStyle w:val="Default"/>
        <w:rPr>
          <w:sz w:val="20"/>
          <w:szCs w:val="20"/>
        </w:rPr>
      </w:pPr>
      <w:r w:rsidRPr="00332E2C">
        <w:rPr>
          <w:sz w:val="20"/>
          <w:szCs w:val="20"/>
        </w:rPr>
        <w:t xml:space="preserve">The table below provides a summary of the programme performance indicators and targets of the </w:t>
      </w:r>
      <w:r w:rsidRPr="00332E2C">
        <w:rPr>
          <w:i/>
          <w:iCs/>
          <w:sz w:val="20"/>
          <w:szCs w:val="20"/>
        </w:rPr>
        <w:t xml:space="preserve">Administration </w:t>
      </w:r>
      <w:r w:rsidRPr="00332E2C">
        <w:rPr>
          <w:sz w:val="20"/>
          <w:szCs w:val="20"/>
        </w:rPr>
        <w:t>Programme for the 20</w:t>
      </w:r>
      <w:r w:rsidR="008D0420" w:rsidRPr="00332E2C">
        <w:rPr>
          <w:sz w:val="20"/>
          <w:szCs w:val="20"/>
        </w:rPr>
        <w:t>20</w:t>
      </w:r>
      <w:r w:rsidRPr="00332E2C">
        <w:rPr>
          <w:sz w:val="20"/>
          <w:szCs w:val="20"/>
        </w:rPr>
        <w:t>/2</w:t>
      </w:r>
      <w:r w:rsidR="008D0420" w:rsidRPr="00332E2C">
        <w:rPr>
          <w:sz w:val="20"/>
          <w:szCs w:val="20"/>
        </w:rPr>
        <w:t>1</w:t>
      </w:r>
      <w:r w:rsidRPr="00332E2C">
        <w:rPr>
          <w:sz w:val="20"/>
          <w:szCs w:val="20"/>
        </w:rPr>
        <w:t xml:space="preserve"> financial year: </w:t>
      </w:r>
    </w:p>
    <w:p w:rsidR="006F2E2F" w:rsidRPr="00332E2C" w:rsidRDefault="006F2E2F" w:rsidP="00332E2C">
      <w:pPr>
        <w:pStyle w:val="Default"/>
        <w:rPr>
          <w:color w:val="auto"/>
          <w:sz w:val="20"/>
          <w:szCs w:val="20"/>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9"/>
        <w:gridCol w:w="1675"/>
      </w:tblGrid>
      <w:tr w:rsidR="006F2E2F" w:rsidRPr="00332E2C" w:rsidTr="008D0420">
        <w:trPr>
          <w:trHeight w:val="67"/>
          <w:jc w:val="center"/>
        </w:trPr>
        <w:tc>
          <w:tcPr>
            <w:tcW w:w="6799" w:type="dxa"/>
          </w:tcPr>
          <w:p w:rsidR="006F2E2F" w:rsidRPr="00332E2C" w:rsidRDefault="008D0420" w:rsidP="00332E2C">
            <w:pPr>
              <w:pStyle w:val="Default"/>
              <w:jc w:val="center"/>
              <w:rPr>
                <w:b/>
                <w:sz w:val="20"/>
                <w:szCs w:val="20"/>
              </w:rPr>
            </w:pPr>
            <w:r w:rsidRPr="00332E2C">
              <w:rPr>
                <w:b/>
                <w:sz w:val="20"/>
                <w:szCs w:val="20"/>
              </w:rPr>
              <w:t>Performance Indicator</w:t>
            </w:r>
          </w:p>
        </w:tc>
        <w:tc>
          <w:tcPr>
            <w:tcW w:w="1675" w:type="dxa"/>
          </w:tcPr>
          <w:p w:rsidR="006F2E2F" w:rsidRPr="00332E2C" w:rsidRDefault="006F2E2F" w:rsidP="00332E2C">
            <w:pPr>
              <w:pStyle w:val="Default"/>
              <w:rPr>
                <w:sz w:val="20"/>
                <w:szCs w:val="20"/>
              </w:rPr>
            </w:pPr>
            <w:r w:rsidRPr="00332E2C">
              <w:rPr>
                <w:b/>
                <w:bCs/>
                <w:sz w:val="20"/>
                <w:szCs w:val="20"/>
              </w:rPr>
              <w:t xml:space="preserve">Target </w:t>
            </w:r>
          </w:p>
        </w:tc>
      </w:tr>
      <w:tr w:rsidR="006F2E2F" w:rsidRPr="00332E2C" w:rsidTr="008D0420">
        <w:trPr>
          <w:trHeight w:val="67"/>
          <w:jc w:val="center"/>
        </w:trPr>
        <w:tc>
          <w:tcPr>
            <w:tcW w:w="8474" w:type="dxa"/>
            <w:gridSpan w:val="2"/>
          </w:tcPr>
          <w:p w:rsidR="006F2E2F" w:rsidRPr="00332E2C" w:rsidRDefault="006F2E2F" w:rsidP="00332E2C">
            <w:pPr>
              <w:pStyle w:val="Default"/>
              <w:rPr>
                <w:sz w:val="20"/>
                <w:szCs w:val="20"/>
              </w:rPr>
            </w:pPr>
          </w:p>
        </w:tc>
      </w:tr>
      <w:tr w:rsidR="006F2E2F" w:rsidRPr="00332E2C" w:rsidTr="008D0420">
        <w:trPr>
          <w:trHeight w:val="67"/>
          <w:jc w:val="center"/>
        </w:trPr>
        <w:tc>
          <w:tcPr>
            <w:tcW w:w="6799" w:type="dxa"/>
          </w:tcPr>
          <w:p w:rsidR="006F2E2F" w:rsidRPr="00332E2C" w:rsidRDefault="006F2E2F" w:rsidP="00332E2C">
            <w:pPr>
              <w:pStyle w:val="Default"/>
              <w:rPr>
                <w:color w:val="auto"/>
                <w:sz w:val="20"/>
                <w:szCs w:val="20"/>
              </w:rPr>
            </w:pPr>
          </w:p>
          <w:p w:rsidR="006F2E2F" w:rsidRPr="00332E2C" w:rsidRDefault="006F2E2F" w:rsidP="00332E2C">
            <w:pPr>
              <w:pStyle w:val="Default"/>
              <w:rPr>
                <w:sz w:val="20"/>
                <w:szCs w:val="20"/>
              </w:rPr>
            </w:pPr>
            <w:r w:rsidRPr="00332E2C">
              <w:rPr>
                <w:sz w:val="20"/>
                <w:szCs w:val="20"/>
              </w:rPr>
              <w:t xml:space="preserve">1) Percentage vacancy rate per year </w:t>
            </w:r>
          </w:p>
          <w:p w:rsidR="006F2E2F" w:rsidRPr="00332E2C" w:rsidRDefault="006F2E2F" w:rsidP="00332E2C">
            <w:pPr>
              <w:pStyle w:val="Default"/>
              <w:rPr>
                <w:sz w:val="20"/>
                <w:szCs w:val="20"/>
              </w:rPr>
            </w:pPr>
          </w:p>
        </w:tc>
        <w:tc>
          <w:tcPr>
            <w:tcW w:w="1675" w:type="dxa"/>
          </w:tcPr>
          <w:p w:rsidR="006F2E2F" w:rsidRPr="00332E2C" w:rsidRDefault="006F2E2F" w:rsidP="00332E2C">
            <w:pPr>
              <w:pStyle w:val="Default"/>
              <w:jc w:val="center"/>
              <w:rPr>
                <w:sz w:val="20"/>
                <w:szCs w:val="20"/>
              </w:rPr>
            </w:pPr>
            <w:r w:rsidRPr="00332E2C">
              <w:rPr>
                <w:sz w:val="20"/>
                <w:szCs w:val="20"/>
              </w:rPr>
              <w:t>&lt;10%</w:t>
            </w:r>
          </w:p>
        </w:tc>
      </w:tr>
      <w:tr w:rsidR="006F2E2F" w:rsidRPr="00332E2C" w:rsidTr="008D0420">
        <w:trPr>
          <w:trHeight w:val="67"/>
          <w:jc w:val="center"/>
        </w:trPr>
        <w:tc>
          <w:tcPr>
            <w:tcW w:w="6799" w:type="dxa"/>
          </w:tcPr>
          <w:p w:rsidR="006F2E2F" w:rsidRPr="00332E2C" w:rsidRDefault="006F2E2F" w:rsidP="00332E2C">
            <w:pPr>
              <w:pStyle w:val="Default"/>
              <w:rPr>
                <w:color w:val="auto"/>
                <w:sz w:val="20"/>
                <w:szCs w:val="20"/>
              </w:rPr>
            </w:pPr>
          </w:p>
          <w:p w:rsidR="006F2E2F" w:rsidRPr="00332E2C" w:rsidRDefault="006F2E2F" w:rsidP="00332E2C">
            <w:pPr>
              <w:pStyle w:val="Default"/>
              <w:rPr>
                <w:sz w:val="20"/>
                <w:szCs w:val="20"/>
              </w:rPr>
            </w:pPr>
            <w:r w:rsidRPr="00332E2C">
              <w:rPr>
                <w:sz w:val="20"/>
                <w:szCs w:val="20"/>
              </w:rPr>
              <w:t xml:space="preserve">2) Percentage implementation of Annual Internal Audit Plan </w:t>
            </w:r>
          </w:p>
          <w:p w:rsidR="006F2E2F" w:rsidRPr="00332E2C" w:rsidRDefault="006F2E2F" w:rsidP="00332E2C">
            <w:pPr>
              <w:pStyle w:val="Default"/>
              <w:rPr>
                <w:sz w:val="20"/>
                <w:szCs w:val="20"/>
              </w:rPr>
            </w:pPr>
          </w:p>
        </w:tc>
        <w:tc>
          <w:tcPr>
            <w:tcW w:w="1675" w:type="dxa"/>
          </w:tcPr>
          <w:p w:rsidR="006F2E2F" w:rsidRPr="00332E2C" w:rsidRDefault="006F2E2F" w:rsidP="00332E2C">
            <w:pPr>
              <w:pStyle w:val="Default"/>
              <w:jc w:val="center"/>
              <w:rPr>
                <w:sz w:val="20"/>
                <w:szCs w:val="20"/>
              </w:rPr>
            </w:pPr>
            <w:r w:rsidRPr="00332E2C">
              <w:rPr>
                <w:sz w:val="20"/>
                <w:szCs w:val="20"/>
              </w:rPr>
              <w:t>90%</w:t>
            </w:r>
          </w:p>
        </w:tc>
      </w:tr>
      <w:tr w:rsidR="006F2E2F" w:rsidRPr="00332E2C" w:rsidTr="008D0420">
        <w:trPr>
          <w:trHeight w:val="67"/>
          <w:jc w:val="center"/>
        </w:trPr>
        <w:tc>
          <w:tcPr>
            <w:tcW w:w="6799" w:type="dxa"/>
          </w:tcPr>
          <w:p w:rsidR="006F2E2F" w:rsidRPr="00332E2C" w:rsidRDefault="006F2E2F" w:rsidP="00332E2C">
            <w:pPr>
              <w:pStyle w:val="Default"/>
              <w:rPr>
                <w:color w:val="auto"/>
                <w:sz w:val="20"/>
                <w:szCs w:val="20"/>
              </w:rPr>
            </w:pPr>
          </w:p>
          <w:p w:rsidR="006F2E2F" w:rsidRPr="00332E2C" w:rsidRDefault="006F2E2F" w:rsidP="00332E2C">
            <w:pPr>
              <w:pStyle w:val="Default"/>
              <w:rPr>
                <w:sz w:val="20"/>
                <w:szCs w:val="20"/>
              </w:rPr>
            </w:pPr>
            <w:r w:rsidRPr="00332E2C">
              <w:rPr>
                <w:sz w:val="20"/>
                <w:szCs w:val="20"/>
              </w:rPr>
              <w:t xml:space="preserve">3) Percentage implementation of risk mitigating strategies </w:t>
            </w:r>
          </w:p>
          <w:p w:rsidR="006F2E2F" w:rsidRPr="00332E2C" w:rsidRDefault="006F2E2F" w:rsidP="00332E2C">
            <w:pPr>
              <w:pStyle w:val="Default"/>
              <w:rPr>
                <w:sz w:val="20"/>
                <w:szCs w:val="20"/>
              </w:rPr>
            </w:pPr>
          </w:p>
        </w:tc>
        <w:tc>
          <w:tcPr>
            <w:tcW w:w="1675" w:type="dxa"/>
          </w:tcPr>
          <w:p w:rsidR="006F2E2F" w:rsidRPr="00332E2C" w:rsidRDefault="006F2E2F" w:rsidP="00332E2C">
            <w:pPr>
              <w:pStyle w:val="Default"/>
              <w:jc w:val="center"/>
              <w:rPr>
                <w:sz w:val="20"/>
                <w:szCs w:val="20"/>
              </w:rPr>
            </w:pPr>
            <w:r w:rsidRPr="00332E2C">
              <w:rPr>
                <w:sz w:val="20"/>
                <w:szCs w:val="20"/>
              </w:rPr>
              <w:t>60%</w:t>
            </w:r>
          </w:p>
        </w:tc>
      </w:tr>
      <w:tr w:rsidR="006F2E2F" w:rsidRPr="00332E2C" w:rsidTr="008D0420">
        <w:trPr>
          <w:trHeight w:val="169"/>
          <w:jc w:val="center"/>
        </w:trPr>
        <w:tc>
          <w:tcPr>
            <w:tcW w:w="6799" w:type="dxa"/>
          </w:tcPr>
          <w:p w:rsidR="006F2E2F" w:rsidRPr="00332E2C" w:rsidRDefault="006F2E2F" w:rsidP="00332E2C">
            <w:pPr>
              <w:pStyle w:val="Default"/>
              <w:rPr>
                <w:color w:val="auto"/>
                <w:sz w:val="20"/>
                <w:szCs w:val="20"/>
              </w:rPr>
            </w:pPr>
          </w:p>
          <w:p w:rsidR="006F2E2F" w:rsidRPr="00332E2C" w:rsidRDefault="006F2E2F" w:rsidP="00332E2C">
            <w:pPr>
              <w:pStyle w:val="Default"/>
              <w:rPr>
                <w:sz w:val="20"/>
                <w:szCs w:val="20"/>
              </w:rPr>
            </w:pPr>
            <w:r w:rsidRPr="00332E2C">
              <w:rPr>
                <w:sz w:val="20"/>
                <w:szCs w:val="20"/>
              </w:rPr>
              <w:t xml:space="preserve">4) Percentage of compliance of SMS financial interests submitted through e-disclosures </w:t>
            </w:r>
            <w:r w:rsidRPr="00332E2C">
              <w:rPr>
                <w:b/>
                <w:bCs/>
                <w:i/>
                <w:iCs/>
                <w:sz w:val="20"/>
                <w:szCs w:val="20"/>
              </w:rPr>
              <w:t xml:space="preserve">(new) </w:t>
            </w:r>
          </w:p>
          <w:p w:rsidR="006F2E2F" w:rsidRPr="00332E2C" w:rsidRDefault="006F2E2F" w:rsidP="00332E2C">
            <w:pPr>
              <w:pStyle w:val="Default"/>
              <w:rPr>
                <w:sz w:val="20"/>
                <w:szCs w:val="20"/>
              </w:rPr>
            </w:pPr>
          </w:p>
        </w:tc>
        <w:tc>
          <w:tcPr>
            <w:tcW w:w="1675" w:type="dxa"/>
          </w:tcPr>
          <w:p w:rsidR="006F2E2F" w:rsidRPr="00332E2C" w:rsidRDefault="006F2E2F" w:rsidP="00332E2C">
            <w:pPr>
              <w:pStyle w:val="Default"/>
              <w:jc w:val="center"/>
              <w:rPr>
                <w:sz w:val="20"/>
                <w:szCs w:val="20"/>
              </w:rPr>
            </w:pPr>
            <w:r w:rsidRPr="00332E2C">
              <w:rPr>
                <w:sz w:val="20"/>
                <w:szCs w:val="20"/>
              </w:rPr>
              <w:t>100%</w:t>
            </w:r>
          </w:p>
        </w:tc>
      </w:tr>
      <w:tr w:rsidR="006F2E2F" w:rsidRPr="00332E2C" w:rsidTr="008D0420">
        <w:trPr>
          <w:trHeight w:val="67"/>
          <w:jc w:val="center"/>
        </w:trPr>
        <w:tc>
          <w:tcPr>
            <w:tcW w:w="6799" w:type="dxa"/>
          </w:tcPr>
          <w:p w:rsidR="006F2E2F" w:rsidRPr="00332E2C" w:rsidRDefault="006F2E2F" w:rsidP="00332E2C">
            <w:pPr>
              <w:pStyle w:val="Default"/>
              <w:rPr>
                <w:color w:val="auto"/>
                <w:sz w:val="20"/>
                <w:szCs w:val="20"/>
              </w:rPr>
            </w:pPr>
          </w:p>
          <w:p w:rsidR="006F2E2F" w:rsidRPr="00332E2C" w:rsidRDefault="006F2E2F" w:rsidP="00332E2C">
            <w:pPr>
              <w:pStyle w:val="Default"/>
              <w:rPr>
                <w:sz w:val="20"/>
                <w:szCs w:val="20"/>
              </w:rPr>
            </w:pPr>
            <w:r w:rsidRPr="00332E2C">
              <w:rPr>
                <w:sz w:val="20"/>
                <w:szCs w:val="20"/>
              </w:rPr>
              <w:t xml:space="preserve">5) Percentage implementation of ICT Infrastructure Plan </w:t>
            </w:r>
          </w:p>
          <w:p w:rsidR="006F2E2F" w:rsidRPr="00332E2C" w:rsidRDefault="006F2E2F" w:rsidP="00332E2C">
            <w:pPr>
              <w:pStyle w:val="Default"/>
              <w:rPr>
                <w:sz w:val="20"/>
                <w:szCs w:val="20"/>
              </w:rPr>
            </w:pPr>
          </w:p>
        </w:tc>
        <w:tc>
          <w:tcPr>
            <w:tcW w:w="1675" w:type="dxa"/>
          </w:tcPr>
          <w:p w:rsidR="006F2E2F" w:rsidRPr="00332E2C" w:rsidRDefault="006F2E2F" w:rsidP="00332E2C">
            <w:pPr>
              <w:pStyle w:val="Default"/>
              <w:jc w:val="center"/>
              <w:rPr>
                <w:sz w:val="20"/>
                <w:szCs w:val="20"/>
              </w:rPr>
            </w:pPr>
            <w:r w:rsidRPr="00332E2C">
              <w:rPr>
                <w:sz w:val="20"/>
                <w:szCs w:val="20"/>
              </w:rPr>
              <w:t>90%</w:t>
            </w:r>
          </w:p>
        </w:tc>
      </w:tr>
    </w:tbl>
    <w:p w:rsidR="006F2E2F" w:rsidRPr="00332E2C" w:rsidRDefault="008D0420" w:rsidP="00332E2C">
      <w:pPr>
        <w:spacing w:after="0" w:line="240" w:lineRule="auto"/>
        <w:jc w:val="both"/>
        <w:rPr>
          <w:rFonts w:ascii="Arial" w:eastAsia="Calibri" w:hAnsi="Arial" w:cs="Arial"/>
          <w:b/>
          <w:sz w:val="20"/>
          <w:szCs w:val="20"/>
        </w:rPr>
      </w:pPr>
      <w:r w:rsidRPr="00332E2C">
        <w:rPr>
          <w:rFonts w:ascii="Arial" w:eastAsia="Calibri" w:hAnsi="Arial" w:cs="Arial"/>
          <w:b/>
          <w:sz w:val="20"/>
          <w:szCs w:val="20"/>
        </w:rPr>
        <w:t>Source: IPID 2020/21 APP</w:t>
      </w:r>
    </w:p>
    <w:p w:rsidR="006F2E2F" w:rsidRPr="00332E2C" w:rsidRDefault="006F2E2F" w:rsidP="00332E2C">
      <w:pPr>
        <w:spacing w:after="0" w:line="240" w:lineRule="auto"/>
        <w:jc w:val="both"/>
        <w:rPr>
          <w:rFonts w:ascii="Arial" w:hAnsi="Arial" w:cs="Arial"/>
          <w:b/>
          <w:sz w:val="20"/>
          <w:szCs w:val="20"/>
        </w:rPr>
      </w:pPr>
    </w:p>
    <w:p w:rsidR="008D0420" w:rsidRPr="00332E2C" w:rsidRDefault="008D0420" w:rsidP="00332E2C">
      <w:pPr>
        <w:spacing w:after="0" w:line="240" w:lineRule="auto"/>
        <w:jc w:val="both"/>
        <w:rPr>
          <w:rFonts w:ascii="Arial" w:hAnsi="Arial" w:cs="Arial"/>
          <w:sz w:val="20"/>
          <w:szCs w:val="20"/>
        </w:rPr>
      </w:pPr>
      <w:r w:rsidRPr="00332E2C">
        <w:rPr>
          <w:rFonts w:ascii="Arial" w:hAnsi="Arial" w:cs="Arial"/>
          <w:sz w:val="20"/>
          <w:szCs w:val="20"/>
        </w:rPr>
        <w:t>Two performance indicators were removed in 2020/21 when compared to the previous year, including -</w:t>
      </w:r>
    </w:p>
    <w:p w:rsidR="008D0420" w:rsidRPr="00332E2C" w:rsidRDefault="008D0420" w:rsidP="00332E2C">
      <w:pPr>
        <w:pStyle w:val="ListParagraph"/>
        <w:numPr>
          <w:ilvl w:val="0"/>
          <w:numId w:val="15"/>
        </w:numPr>
        <w:spacing w:after="0" w:line="240" w:lineRule="auto"/>
        <w:jc w:val="both"/>
        <w:rPr>
          <w:rFonts w:ascii="Arial" w:hAnsi="Arial" w:cs="Arial"/>
          <w:sz w:val="20"/>
          <w:szCs w:val="20"/>
        </w:rPr>
      </w:pPr>
      <w:r w:rsidRPr="00332E2C">
        <w:rPr>
          <w:rFonts w:ascii="Arial" w:hAnsi="Arial" w:cs="Arial"/>
          <w:sz w:val="20"/>
          <w:szCs w:val="20"/>
        </w:rPr>
        <w:t>To obtain positive audit outcome</w:t>
      </w:r>
    </w:p>
    <w:p w:rsidR="008D0420" w:rsidRPr="00332E2C" w:rsidRDefault="008D0420" w:rsidP="00332E2C">
      <w:pPr>
        <w:pStyle w:val="ListParagraph"/>
        <w:numPr>
          <w:ilvl w:val="0"/>
          <w:numId w:val="15"/>
        </w:numPr>
        <w:spacing w:after="0" w:line="240" w:lineRule="auto"/>
        <w:jc w:val="both"/>
        <w:rPr>
          <w:rFonts w:ascii="Arial" w:hAnsi="Arial" w:cs="Arial"/>
          <w:sz w:val="20"/>
          <w:szCs w:val="20"/>
        </w:rPr>
      </w:pPr>
      <w:r w:rsidRPr="00332E2C">
        <w:rPr>
          <w:rFonts w:ascii="Arial" w:hAnsi="Arial" w:cs="Arial"/>
          <w:sz w:val="20"/>
          <w:szCs w:val="20"/>
        </w:rPr>
        <w:t>Seven strategic training areas undertaken as per IPIDs Training Plan</w:t>
      </w:r>
    </w:p>
    <w:p w:rsidR="006F2E2F" w:rsidRPr="00332E2C" w:rsidRDefault="008D0420" w:rsidP="00332E2C">
      <w:pPr>
        <w:spacing w:after="0" w:line="240" w:lineRule="auto"/>
        <w:jc w:val="both"/>
        <w:rPr>
          <w:rFonts w:ascii="Arial" w:hAnsi="Arial" w:cs="Arial"/>
          <w:sz w:val="20"/>
          <w:szCs w:val="20"/>
        </w:rPr>
      </w:pPr>
      <w:r w:rsidRPr="00332E2C">
        <w:rPr>
          <w:rFonts w:ascii="Arial" w:hAnsi="Arial" w:cs="Arial"/>
          <w:sz w:val="20"/>
          <w:szCs w:val="20"/>
        </w:rPr>
        <w:t>A new performance indicator was added to measure compliance by members of the Senior Management Structure (SMS) on disclosure of financial interests.</w:t>
      </w:r>
    </w:p>
    <w:p w:rsidR="00C930A5" w:rsidRPr="00332E2C" w:rsidRDefault="00C930A5" w:rsidP="00332E2C">
      <w:pPr>
        <w:spacing w:after="0" w:line="240" w:lineRule="auto"/>
        <w:jc w:val="both"/>
        <w:rPr>
          <w:rFonts w:ascii="Arial" w:hAnsi="Arial" w:cs="Arial"/>
          <w:b/>
          <w:sz w:val="20"/>
          <w:szCs w:val="20"/>
        </w:rPr>
      </w:pPr>
    </w:p>
    <w:p w:rsidR="008D0420" w:rsidRPr="00332E2C" w:rsidRDefault="00B110E4" w:rsidP="00332E2C">
      <w:pPr>
        <w:spacing w:after="0" w:line="240" w:lineRule="auto"/>
        <w:jc w:val="both"/>
        <w:rPr>
          <w:rFonts w:ascii="Arial" w:hAnsi="Arial" w:cs="Arial"/>
          <w:b/>
          <w:sz w:val="20"/>
          <w:szCs w:val="20"/>
        </w:rPr>
      </w:pPr>
      <w:r w:rsidRPr="00332E2C">
        <w:rPr>
          <w:rFonts w:ascii="Arial" w:hAnsi="Arial" w:cs="Arial"/>
          <w:b/>
          <w:sz w:val="20"/>
          <w:szCs w:val="20"/>
        </w:rPr>
        <w:t>3.2.3</w:t>
      </w:r>
      <w:r w:rsidRPr="00332E2C">
        <w:rPr>
          <w:rFonts w:ascii="Arial" w:hAnsi="Arial" w:cs="Arial"/>
          <w:b/>
          <w:sz w:val="20"/>
          <w:szCs w:val="20"/>
        </w:rPr>
        <w:tab/>
      </w:r>
      <w:r w:rsidR="008D0420" w:rsidRPr="00332E2C">
        <w:rPr>
          <w:rFonts w:ascii="Arial" w:hAnsi="Arial" w:cs="Arial"/>
          <w:b/>
          <w:sz w:val="20"/>
          <w:szCs w:val="20"/>
        </w:rPr>
        <w:t>Investigation and Information Management Programme</w:t>
      </w:r>
    </w:p>
    <w:p w:rsidR="008D0420" w:rsidRPr="00332E2C" w:rsidRDefault="008D0420" w:rsidP="00332E2C">
      <w:pPr>
        <w:spacing w:after="0" w:line="240" w:lineRule="auto"/>
        <w:jc w:val="both"/>
        <w:rPr>
          <w:rFonts w:ascii="Arial" w:hAnsi="Arial" w:cs="Arial"/>
          <w:sz w:val="20"/>
          <w:szCs w:val="20"/>
        </w:rPr>
      </w:pPr>
      <w:r w:rsidRPr="00332E2C">
        <w:rPr>
          <w:rFonts w:ascii="Arial" w:hAnsi="Arial" w:cs="Arial"/>
          <w:sz w:val="20"/>
          <w:szCs w:val="20"/>
        </w:rPr>
        <w:t>The purpose of the Investigation and Information Management Programme is to strengthen the Department’s oversight role over the police service by conducting investigations, in line with the powers granted by the Independent Police Investigative Directorate Act No. 1 of 2011. This includes making appropriate recommendations on investigations in the various investigation categories and submitting feedback to complainants. The Programme will also enhance efficiency in case management and maintain relationships with other state security agencies, such as the SAPS, the National Prosecuting Authority (NPA), Civilian Secretariat for Police (CSP) and community stakeholders, through on-going national and provincial engagement forums. The core service delivery programme of a Department normally receives the largest portion of the Vote. As such, the Investigation and Information Management Programme received 64.9% of the total Department’s budget.</w:t>
      </w:r>
    </w:p>
    <w:p w:rsidR="008D0420" w:rsidRPr="00332E2C" w:rsidRDefault="008D0420" w:rsidP="00332E2C">
      <w:pPr>
        <w:spacing w:after="0" w:line="240" w:lineRule="auto"/>
        <w:jc w:val="both"/>
        <w:rPr>
          <w:rFonts w:ascii="Arial" w:hAnsi="Arial" w:cs="Arial"/>
          <w:sz w:val="20"/>
          <w:szCs w:val="20"/>
        </w:rPr>
      </w:pPr>
      <w:r w:rsidRPr="00332E2C">
        <w:rPr>
          <w:rFonts w:ascii="Arial" w:hAnsi="Arial" w:cs="Arial"/>
          <w:sz w:val="20"/>
          <w:szCs w:val="20"/>
        </w:rPr>
        <w:t>The table below summarises the programme performance indicators and targets of the Investigation and Information Management Programme:</w:t>
      </w:r>
    </w:p>
    <w:p w:rsidR="008D0420" w:rsidRPr="00332E2C" w:rsidRDefault="008D0420" w:rsidP="00332E2C">
      <w:pPr>
        <w:pStyle w:val="Default"/>
        <w:rPr>
          <w:b/>
          <w:color w:val="auto"/>
          <w:sz w:val="20"/>
          <w:szCs w:val="20"/>
        </w:rPr>
      </w:pPr>
      <w:r w:rsidRPr="00332E2C">
        <w:rPr>
          <w:b/>
          <w:color w:val="auto"/>
          <w:sz w:val="20"/>
          <w:szCs w:val="20"/>
        </w:rPr>
        <w:t>Table 3: Programme Performance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1984"/>
        <w:gridCol w:w="1895"/>
      </w:tblGrid>
      <w:tr w:rsidR="008D0420" w:rsidRPr="00332E2C" w:rsidTr="00C930A5">
        <w:trPr>
          <w:trHeight w:val="165"/>
          <w:jc w:val="center"/>
        </w:trPr>
        <w:tc>
          <w:tcPr>
            <w:tcW w:w="4923" w:type="dxa"/>
          </w:tcPr>
          <w:p w:rsidR="008D0420" w:rsidRPr="00332E2C" w:rsidRDefault="008D0420" w:rsidP="00332E2C">
            <w:pPr>
              <w:pStyle w:val="Default"/>
              <w:rPr>
                <w:sz w:val="20"/>
                <w:szCs w:val="20"/>
              </w:rPr>
            </w:pPr>
            <w:r w:rsidRPr="00332E2C">
              <w:rPr>
                <w:b/>
                <w:bCs/>
                <w:sz w:val="20"/>
                <w:szCs w:val="20"/>
              </w:rPr>
              <w:t xml:space="preserve">Performance indicators </w:t>
            </w:r>
          </w:p>
        </w:tc>
        <w:tc>
          <w:tcPr>
            <w:tcW w:w="3879" w:type="dxa"/>
            <w:gridSpan w:val="2"/>
          </w:tcPr>
          <w:p w:rsidR="008D0420" w:rsidRPr="00332E2C" w:rsidRDefault="008D0420" w:rsidP="00332E2C">
            <w:pPr>
              <w:pStyle w:val="Default"/>
              <w:jc w:val="center"/>
              <w:rPr>
                <w:sz w:val="20"/>
                <w:szCs w:val="20"/>
              </w:rPr>
            </w:pPr>
            <w:r w:rsidRPr="00332E2C">
              <w:rPr>
                <w:b/>
                <w:bCs/>
                <w:sz w:val="20"/>
                <w:szCs w:val="20"/>
              </w:rPr>
              <w:t>Targets</w:t>
            </w:r>
          </w:p>
        </w:tc>
      </w:tr>
      <w:tr w:rsidR="008D0420" w:rsidRPr="00332E2C" w:rsidTr="00C930A5">
        <w:trPr>
          <w:trHeight w:val="93"/>
          <w:jc w:val="center"/>
        </w:trPr>
        <w:tc>
          <w:tcPr>
            <w:tcW w:w="4923" w:type="dxa"/>
          </w:tcPr>
          <w:p w:rsidR="008D0420" w:rsidRPr="00332E2C" w:rsidRDefault="008D0420" w:rsidP="00332E2C">
            <w:pPr>
              <w:pStyle w:val="Default"/>
              <w:rPr>
                <w:sz w:val="20"/>
                <w:szCs w:val="20"/>
              </w:rPr>
            </w:pPr>
          </w:p>
        </w:tc>
        <w:tc>
          <w:tcPr>
            <w:tcW w:w="1984" w:type="dxa"/>
          </w:tcPr>
          <w:p w:rsidR="008D0420" w:rsidRPr="00332E2C" w:rsidRDefault="008D0420" w:rsidP="00332E2C">
            <w:pPr>
              <w:pStyle w:val="Default"/>
              <w:tabs>
                <w:tab w:val="left" w:pos="495"/>
                <w:tab w:val="center" w:pos="1831"/>
              </w:tabs>
              <w:rPr>
                <w:sz w:val="20"/>
                <w:szCs w:val="20"/>
              </w:rPr>
            </w:pPr>
            <w:r w:rsidRPr="00332E2C">
              <w:rPr>
                <w:b/>
                <w:bCs/>
                <w:sz w:val="20"/>
                <w:szCs w:val="20"/>
              </w:rPr>
              <w:tab/>
            </w:r>
            <w:r w:rsidR="00C930A5" w:rsidRPr="00332E2C">
              <w:rPr>
                <w:b/>
                <w:bCs/>
                <w:sz w:val="20"/>
                <w:szCs w:val="20"/>
              </w:rPr>
              <w:t>2019/20</w:t>
            </w:r>
            <w:r w:rsidR="00C930A5" w:rsidRPr="00332E2C">
              <w:rPr>
                <w:b/>
                <w:bCs/>
                <w:sz w:val="20"/>
                <w:szCs w:val="20"/>
              </w:rPr>
              <w:tab/>
            </w:r>
          </w:p>
        </w:tc>
        <w:tc>
          <w:tcPr>
            <w:tcW w:w="1895" w:type="dxa"/>
          </w:tcPr>
          <w:p w:rsidR="008D0420" w:rsidRPr="00332E2C" w:rsidRDefault="00C930A5" w:rsidP="00332E2C">
            <w:pPr>
              <w:pStyle w:val="Default"/>
              <w:tabs>
                <w:tab w:val="center" w:pos="1831"/>
              </w:tabs>
              <w:jc w:val="center"/>
              <w:rPr>
                <w:sz w:val="20"/>
                <w:szCs w:val="20"/>
              </w:rPr>
            </w:pPr>
            <w:r w:rsidRPr="00332E2C">
              <w:rPr>
                <w:b/>
                <w:bCs/>
                <w:sz w:val="20"/>
                <w:szCs w:val="20"/>
              </w:rPr>
              <w:t>2020/21</w:t>
            </w:r>
          </w:p>
        </w:tc>
      </w:tr>
      <w:tr w:rsidR="008D0420" w:rsidRPr="00332E2C" w:rsidTr="00C930A5">
        <w:trPr>
          <w:trHeight w:val="233"/>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1) Number of investigations of deaths in police custody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150</w:t>
            </w:r>
          </w:p>
        </w:tc>
        <w:tc>
          <w:tcPr>
            <w:tcW w:w="1895" w:type="dxa"/>
          </w:tcPr>
          <w:p w:rsidR="008D0420" w:rsidRPr="00332E2C" w:rsidRDefault="008D0420" w:rsidP="00332E2C">
            <w:pPr>
              <w:pStyle w:val="Default"/>
              <w:jc w:val="center"/>
              <w:rPr>
                <w:sz w:val="20"/>
                <w:szCs w:val="20"/>
              </w:rPr>
            </w:pPr>
            <w:r w:rsidRPr="00332E2C">
              <w:rPr>
                <w:sz w:val="20"/>
                <w:szCs w:val="20"/>
              </w:rPr>
              <w:t>180</w:t>
            </w:r>
          </w:p>
        </w:tc>
      </w:tr>
      <w:tr w:rsidR="008D0420" w:rsidRPr="00332E2C" w:rsidTr="00C930A5">
        <w:trPr>
          <w:trHeight w:val="232"/>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2) Number of investigations of death as a result of police action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130</w:t>
            </w:r>
          </w:p>
        </w:tc>
        <w:tc>
          <w:tcPr>
            <w:tcW w:w="1895" w:type="dxa"/>
          </w:tcPr>
          <w:p w:rsidR="008D0420" w:rsidRPr="00332E2C" w:rsidRDefault="00C930A5" w:rsidP="00332E2C">
            <w:pPr>
              <w:pStyle w:val="Default"/>
              <w:jc w:val="center"/>
              <w:rPr>
                <w:sz w:val="20"/>
                <w:szCs w:val="20"/>
              </w:rPr>
            </w:pPr>
            <w:r w:rsidRPr="00332E2C">
              <w:rPr>
                <w:sz w:val="20"/>
                <w:szCs w:val="20"/>
              </w:rPr>
              <w:t>280</w:t>
            </w:r>
          </w:p>
        </w:tc>
      </w:tr>
      <w:tr w:rsidR="008D0420" w:rsidRPr="00332E2C" w:rsidTr="00C930A5">
        <w:trPr>
          <w:trHeight w:val="233"/>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3) Number of cases for investigation of the discharge of an official firearm by a police officer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150</w:t>
            </w:r>
          </w:p>
        </w:tc>
        <w:tc>
          <w:tcPr>
            <w:tcW w:w="1895" w:type="dxa"/>
          </w:tcPr>
          <w:p w:rsidR="008D0420" w:rsidRPr="00332E2C" w:rsidRDefault="008D0420" w:rsidP="00332E2C">
            <w:pPr>
              <w:pStyle w:val="Default"/>
              <w:jc w:val="center"/>
              <w:rPr>
                <w:sz w:val="20"/>
                <w:szCs w:val="20"/>
              </w:rPr>
            </w:pPr>
            <w:r w:rsidRPr="00332E2C">
              <w:rPr>
                <w:sz w:val="20"/>
                <w:szCs w:val="20"/>
              </w:rPr>
              <w:t>370</w:t>
            </w:r>
          </w:p>
        </w:tc>
      </w:tr>
      <w:tr w:rsidR="008D0420" w:rsidRPr="00332E2C" w:rsidTr="00C930A5">
        <w:trPr>
          <w:trHeight w:val="232"/>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4) Number of investigations of rape by a police officer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69</w:t>
            </w:r>
          </w:p>
        </w:tc>
        <w:tc>
          <w:tcPr>
            <w:tcW w:w="1895" w:type="dxa"/>
          </w:tcPr>
          <w:p w:rsidR="008D0420" w:rsidRPr="00332E2C" w:rsidRDefault="008D0420" w:rsidP="00332E2C">
            <w:pPr>
              <w:pStyle w:val="Default"/>
              <w:jc w:val="center"/>
              <w:rPr>
                <w:sz w:val="20"/>
                <w:szCs w:val="20"/>
              </w:rPr>
            </w:pPr>
            <w:r w:rsidRPr="00332E2C">
              <w:rPr>
                <w:sz w:val="20"/>
                <w:szCs w:val="20"/>
              </w:rPr>
              <w:t>130</w:t>
            </w:r>
          </w:p>
        </w:tc>
      </w:tr>
      <w:tr w:rsidR="008D0420" w:rsidRPr="00332E2C" w:rsidTr="00C930A5">
        <w:trPr>
          <w:trHeight w:val="233"/>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5) Number of investigations of rape while in police custody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10</w:t>
            </w:r>
          </w:p>
        </w:tc>
        <w:tc>
          <w:tcPr>
            <w:tcW w:w="1895" w:type="dxa"/>
          </w:tcPr>
          <w:p w:rsidR="008D0420" w:rsidRPr="00332E2C" w:rsidRDefault="008D0420" w:rsidP="00332E2C">
            <w:pPr>
              <w:pStyle w:val="Default"/>
              <w:jc w:val="center"/>
              <w:rPr>
                <w:sz w:val="20"/>
                <w:szCs w:val="20"/>
              </w:rPr>
            </w:pPr>
            <w:r w:rsidRPr="00332E2C">
              <w:rPr>
                <w:sz w:val="20"/>
                <w:szCs w:val="20"/>
              </w:rPr>
              <w:t>15</w:t>
            </w:r>
          </w:p>
        </w:tc>
      </w:tr>
      <w:tr w:rsidR="008D0420" w:rsidRPr="00332E2C" w:rsidTr="00C930A5">
        <w:trPr>
          <w:trHeight w:val="98"/>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6) Number of investigations of torture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45</w:t>
            </w:r>
          </w:p>
        </w:tc>
        <w:tc>
          <w:tcPr>
            <w:tcW w:w="1895" w:type="dxa"/>
          </w:tcPr>
          <w:p w:rsidR="008D0420" w:rsidRPr="00332E2C" w:rsidRDefault="008D0420" w:rsidP="00332E2C">
            <w:pPr>
              <w:pStyle w:val="Default"/>
              <w:jc w:val="center"/>
              <w:rPr>
                <w:sz w:val="20"/>
                <w:szCs w:val="20"/>
              </w:rPr>
            </w:pPr>
            <w:r w:rsidRPr="00332E2C">
              <w:rPr>
                <w:sz w:val="20"/>
                <w:szCs w:val="20"/>
              </w:rPr>
              <w:t>80</w:t>
            </w:r>
          </w:p>
        </w:tc>
      </w:tr>
      <w:tr w:rsidR="008D0420" w:rsidRPr="00332E2C" w:rsidTr="00C930A5">
        <w:trPr>
          <w:trHeight w:val="93"/>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7) Number of investigations of assault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2 000</w:t>
            </w:r>
          </w:p>
        </w:tc>
        <w:tc>
          <w:tcPr>
            <w:tcW w:w="1895" w:type="dxa"/>
          </w:tcPr>
          <w:p w:rsidR="008D0420" w:rsidRPr="00332E2C" w:rsidRDefault="008D0420" w:rsidP="00332E2C">
            <w:pPr>
              <w:pStyle w:val="Default"/>
              <w:jc w:val="center"/>
              <w:rPr>
                <w:sz w:val="20"/>
                <w:szCs w:val="20"/>
              </w:rPr>
            </w:pPr>
            <w:r w:rsidRPr="00332E2C">
              <w:rPr>
                <w:sz w:val="20"/>
                <w:szCs w:val="20"/>
              </w:rPr>
              <w:t>2 000</w:t>
            </w:r>
          </w:p>
        </w:tc>
      </w:tr>
      <w:tr w:rsidR="008D0420" w:rsidRPr="00332E2C" w:rsidTr="00C930A5">
        <w:trPr>
          <w:trHeight w:val="98"/>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8) Number of investigations of corruption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60</w:t>
            </w:r>
          </w:p>
        </w:tc>
        <w:tc>
          <w:tcPr>
            <w:tcW w:w="1895" w:type="dxa"/>
          </w:tcPr>
          <w:p w:rsidR="008D0420" w:rsidRPr="00332E2C" w:rsidRDefault="008D0420" w:rsidP="00332E2C">
            <w:pPr>
              <w:pStyle w:val="Default"/>
              <w:jc w:val="center"/>
              <w:rPr>
                <w:sz w:val="20"/>
                <w:szCs w:val="20"/>
              </w:rPr>
            </w:pPr>
            <w:r w:rsidRPr="00332E2C">
              <w:rPr>
                <w:sz w:val="20"/>
                <w:szCs w:val="20"/>
              </w:rPr>
              <w:t>85</w:t>
            </w:r>
          </w:p>
        </w:tc>
      </w:tr>
      <w:tr w:rsidR="008D0420" w:rsidRPr="00332E2C" w:rsidTr="00C930A5">
        <w:trPr>
          <w:trHeight w:val="374"/>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9) Number of investigations of other criminal and misconduct matters referred to the directorate in terms of s28(1)(h) and s35(1)(c) of the IPID Act that are decision read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40</w:t>
            </w:r>
          </w:p>
        </w:tc>
        <w:tc>
          <w:tcPr>
            <w:tcW w:w="1895" w:type="dxa"/>
          </w:tcPr>
          <w:p w:rsidR="008D0420" w:rsidRPr="00332E2C" w:rsidRDefault="008D0420" w:rsidP="00332E2C">
            <w:pPr>
              <w:pStyle w:val="Default"/>
              <w:jc w:val="center"/>
              <w:rPr>
                <w:sz w:val="20"/>
                <w:szCs w:val="20"/>
              </w:rPr>
            </w:pPr>
            <w:r w:rsidRPr="00332E2C">
              <w:rPr>
                <w:sz w:val="20"/>
                <w:szCs w:val="20"/>
              </w:rPr>
              <w:t>10</w:t>
            </w:r>
          </w:p>
        </w:tc>
      </w:tr>
      <w:tr w:rsidR="008D0420" w:rsidRPr="00332E2C" w:rsidTr="00C930A5">
        <w:trPr>
          <w:trHeight w:val="233"/>
          <w:jc w:val="center"/>
        </w:trPr>
        <w:tc>
          <w:tcPr>
            <w:tcW w:w="4923" w:type="dxa"/>
          </w:tcPr>
          <w:p w:rsidR="008D0420" w:rsidRPr="00332E2C" w:rsidRDefault="008D0420" w:rsidP="00332E2C">
            <w:pPr>
              <w:pStyle w:val="Default"/>
              <w:rPr>
                <w:color w:val="auto"/>
                <w:sz w:val="20"/>
                <w:szCs w:val="20"/>
              </w:rPr>
            </w:pPr>
          </w:p>
          <w:p w:rsidR="008D0420" w:rsidRPr="00332E2C" w:rsidRDefault="008D0420" w:rsidP="00332E2C">
            <w:pPr>
              <w:pStyle w:val="Default"/>
              <w:rPr>
                <w:sz w:val="20"/>
                <w:szCs w:val="20"/>
              </w:rPr>
            </w:pPr>
            <w:r w:rsidRPr="00332E2C">
              <w:rPr>
                <w:sz w:val="20"/>
                <w:szCs w:val="20"/>
              </w:rPr>
              <w:t xml:space="preserve">10) Number of investigations of offences referred to in section 33 of the IPID Act that are decision ready </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10</w:t>
            </w:r>
          </w:p>
        </w:tc>
        <w:tc>
          <w:tcPr>
            <w:tcW w:w="1895" w:type="dxa"/>
          </w:tcPr>
          <w:p w:rsidR="008D0420" w:rsidRPr="00332E2C" w:rsidRDefault="008D0420" w:rsidP="00332E2C">
            <w:pPr>
              <w:pStyle w:val="Default"/>
              <w:jc w:val="center"/>
              <w:rPr>
                <w:sz w:val="20"/>
                <w:szCs w:val="20"/>
              </w:rPr>
            </w:pPr>
            <w:r w:rsidRPr="00332E2C">
              <w:rPr>
                <w:sz w:val="20"/>
                <w:szCs w:val="20"/>
              </w:rPr>
              <w:t>25</w:t>
            </w:r>
          </w:p>
        </w:tc>
      </w:tr>
      <w:tr w:rsidR="008D0420" w:rsidRPr="00332E2C" w:rsidTr="00C930A5">
        <w:trPr>
          <w:trHeight w:val="233"/>
          <w:jc w:val="center"/>
        </w:trPr>
        <w:tc>
          <w:tcPr>
            <w:tcW w:w="4923" w:type="dxa"/>
          </w:tcPr>
          <w:p w:rsidR="008D0420" w:rsidRPr="00332E2C" w:rsidRDefault="00C930A5" w:rsidP="00332E2C">
            <w:pPr>
              <w:pStyle w:val="Default"/>
              <w:rPr>
                <w:color w:val="auto"/>
                <w:sz w:val="20"/>
                <w:szCs w:val="20"/>
              </w:rPr>
            </w:pPr>
            <w:r w:rsidRPr="00332E2C">
              <w:rPr>
                <w:color w:val="auto"/>
                <w:sz w:val="20"/>
                <w:szCs w:val="20"/>
              </w:rPr>
              <w:t>11) Number of approved systemic corruption cases that are decision ready</w:t>
            </w:r>
          </w:p>
          <w:p w:rsidR="008D0420" w:rsidRPr="00332E2C" w:rsidRDefault="008D0420" w:rsidP="00332E2C">
            <w:pPr>
              <w:pStyle w:val="Default"/>
              <w:rPr>
                <w:sz w:val="20"/>
                <w:szCs w:val="20"/>
              </w:rPr>
            </w:pPr>
          </w:p>
        </w:tc>
        <w:tc>
          <w:tcPr>
            <w:tcW w:w="1984" w:type="dxa"/>
          </w:tcPr>
          <w:p w:rsidR="008D0420" w:rsidRPr="00332E2C" w:rsidRDefault="008D0420" w:rsidP="00332E2C">
            <w:pPr>
              <w:pStyle w:val="Default"/>
              <w:jc w:val="center"/>
              <w:rPr>
                <w:sz w:val="20"/>
                <w:szCs w:val="20"/>
              </w:rPr>
            </w:pPr>
            <w:r w:rsidRPr="00332E2C">
              <w:rPr>
                <w:sz w:val="20"/>
                <w:szCs w:val="20"/>
              </w:rPr>
              <w:t>3</w:t>
            </w:r>
          </w:p>
        </w:tc>
        <w:tc>
          <w:tcPr>
            <w:tcW w:w="1895" w:type="dxa"/>
          </w:tcPr>
          <w:p w:rsidR="008D0420" w:rsidRPr="00332E2C" w:rsidRDefault="008D0420" w:rsidP="00332E2C">
            <w:pPr>
              <w:pStyle w:val="Default"/>
              <w:jc w:val="center"/>
              <w:rPr>
                <w:sz w:val="20"/>
                <w:szCs w:val="20"/>
              </w:rPr>
            </w:pPr>
            <w:r w:rsidRPr="00332E2C">
              <w:rPr>
                <w:sz w:val="20"/>
                <w:szCs w:val="20"/>
              </w:rPr>
              <w:t>3</w:t>
            </w:r>
          </w:p>
        </w:tc>
      </w:tr>
      <w:tr w:rsidR="00C930A5" w:rsidRPr="00332E2C" w:rsidTr="00C930A5">
        <w:trPr>
          <w:trHeight w:val="233"/>
          <w:jc w:val="center"/>
        </w:trPr>
        <w:tc>
          <w:tcPr>
            <w:tcW w:w="4923"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rPr>
                <w:color w:val="auto"/>
                <w:sz w:val="20"/>
                <w:szCs w:val="20"/>
              </w:rPr>
            </w:pPr>
          </w:p>
          <w:p w:rsidR="00C930A5" w:rsidRPr="00332E2C" w:rsidRDefault="00C930A5" w:rsidP="00332E2C">
            <w:pPr>
              <w:pStyle w:val="Default"/>
              <w:rPr>
                <w:color w:val="auto"/>
                <w:sz w:val="20"/>
                <w:szCs w:val="20"/>
              </w:rPr>
            </w:pPr>
            <w:r w:rsidRPr="00332E2C">
              <w:rPr>
                <w:color w:val="auto"/>
                <w:sz w:val="20"/>
                <w:szCs w:val="20"/>
              </w:rPr>
              <w:t xml:space="preserve">12) Percentage of criminal recommendation reports referred to the NPA within 30 days of recommendation report being signed off </w:t>
            </w:r>
          </w:p>
          <w:p w:rsidR="00C930A5" w:rsidRPr="00332E2C" w:rsidRDefault="00C930A5" w:rsidP="00332E2C">
            <w:pPr>
              <w:pStyle w:val="Default"/>
              <w:rPr>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jc w:val="center"/>
              <w:rPr>
                <w:sz w:val="20"/>
                <w:szCs w:val="20"/>
              </w:rPr>
            </w:pPr>
            <w:r w:rsidRPr="00332E2C">
              <w:rPr>
                <w:sz w:val="20"/>
                <w:szCs w:val="20"/>
              </w:rPr>
              <w:t xml:space="preserve">90% </w:t>
            </w:r>
          </w:p>
        </w:tc>
        <w:tc>
          <w:tcPr>
            <w:tcW w:w="1895"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jc w:val="center"/>
              <w:rPr>
                <w:sz w:val="20"/>
                <w:szCs w:val="20"/>
              </w:rPr>
            </w:pPr>
            <w:r w:rsidRPr="00332E2C">
              <w:rPr>
                <w:sz w:val="20"/>
                <w:szCs w:val="20"/>
              </w:rPr>
              <w:t xml:space="preserve">90% </w:t>
            </w:r>
          </w:p>
        </w:tc>
      </w:tr>
      <w:tr w:rsidR="00C930A5" w:rsidRPr="00332E2C" w:rsidTr="00C930A5">
        <w:trPr>
          <w:trHeight w:val="233"/>
          <w:jc w:val="center"/>
        </w:trPr>
        <w:tc>
          <w:tcPr>
            <w:tcW w:w="4923"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rPr>
                <w:color w:val="auto"/>
                <w:sz w:val="20"/>
                <w:szCs w:val="20"/>
              </w:rPr>
            </w:pPr>
          </w:p>
          <w:p w:rsidR="00C930A5" w:rsidRPr="00332E2C" w:rsidRDefault="00C930A5" w:rsidP="00332E2C">
            <w:pPr>
              <w:pStyle w:val="Default"/>
              <w:rPr>
                <w:color w:val="auto"/>
                <w:sz w:val="20"/>
                <w:szCs w:val="20"/>
              </w:rPr>
            </w:pPr>
            <w:r w:rsidRPr="00332E2C">
              <w:rPr>
                <w:color w:val="auto"/>
                <w:sz w:val="20"/>
                <w:szCs w:val="20"/>
              </w:rPr>
              <w:t xml:space="preserve">13) Percentage of disciplinary recommendation reports referred to the SAPS or MPS within 30 days of recommendation report being signed </w:t>
            </w:r>
          </w:p>
          <w:p w:rsidR="00C930A5" w:rsidRPr="00332E2C" w:rsidRDefault="00C930A5" w:rsidP="00332E2C">
            <w:pPr>
              <w:pStyle w:val="Default"/>
              <w:rPr>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jc w:val="center"/>
              <w:rPr>
                <w:sz w:val="20"/>
                <w:szCs w:val="20"/>
              </w:rPr>
            </w:pPr>
            <w:r w:rsidRPr="00332E2C">
              <w:rPr>
                <w:sz w:val="20"/>
                <w:szCs w:val="20"/>
              </w:rPr>
              <w:t xml:space="preserve">90% </w:t>
            </w:r>
          </w:p>
        </w:tc>
        <w:tc>
          <w:tcPr>
            <w:tcW w:w="1895" w:type="dxa"/>
            <w:tcBorders>
              <w:top w:val="single" w:sz="4" w:space="0" w:color="auto"/>
              <w:left w:val="single" w:sz="4" w:space="0" w:color="auto"/>
              <w:bottom w:val="single" w:sz="4" w:space="0" w:color="auto"/>
              <w:right w:val="single" w:sz="4" w:space="0" w:color="auto"/>
            </w:tcBorders>
          </w:tcPr>
          <w:p w:rsidR="00C930A5" w:rsidRPr="00332E2C" w:rsidRDefault="00C930A5" w:rsidP="00332E2C">
            <w:pPr>
              <w:pStyle w:val="Default"/>
              <w:jc w:val="center"/>
              <w:rPr>
                <w:sz w:val="20"/>
                <w:szCs w:val="20"/>
              </w:rPr>
            </w:pPr>
            <w:r w:rsidRPr="00332E2C">
              <w:rPr>
                <w:sz w:val="20"/>
                <w:szCs w:val="20"/>
              </w:rPr>
              <w:t xml:space="preserve">90% </w:t>
            </w:r>
          </w:p>
        </w:tc>
      </w:tr>
    </w:tbl>
    <w:p w:rsidR="008D0420" w:rsidRPr="00332E2C" w:rsidRDefault="00C930A5" w:rsidP="00332E2C">
      <w:pPr>
        <w:spacing w:after="0" w:line="240" w:lineRule="auto"/>
        <w:jc w:val="center"/>
        <w:rPr>
          <w:rFonts w:ascii="Arial" w:hAnsi="Arial" w:cs="Arial"/>
          <w:sz w:val="20"/>
          <w:szCs w:val="20"/>
        </w:rPr>
      </w:pPr>
      <w:r w:rsidRPr="00332E2C">
        <w:rPr>
          <w:rFonts w:ascii="Arial" w:hAnsi="Arial" w:cs="Arial"/>
          <w:sz w:val="20"/>
          <w:szCs w:val="20"/>
        </w:rPr>
        <w:t>Source: IPID 2020/21 APP</w:t>
      </w:r>
    </w:p>
    <w:p w:rsidR="00C930A5" w:rsidRPr="00332E2C" w:rsidRDefault="00C930A5" w:rsidP="00332E2C">
      <w:pPr>
        <w:spacing w:after="0" w:line="240" w:lineRule="auto"/>
        <w:jc w:val="center"/>
        <w:rPr>
          <w:rFonts w:ascii="Arial" w:hAnsi="Arial" w:cs="Arial"/>
          <w:sz w:val="20"/>
          <w:szCs w:val="20"/>
        </w:rPr>
      </w:pPr>
    </w:p>
    <w:p w:rsidR="00C930A5" w:rsidRPr="00332E2C" w:rsidRDefault="00C930A5" w:rsidP="00332E2C">
      <w:pPr>
        <w:spacing w:after="0" w:line="240" w:lineRule="auto"/>
        <w:rPr>
          <w:rFonts w:ascii="Arial" w:hAnsi="Arial" w:cs="Arial"/>
          <w:sz w:val="20"/>
          <w:szCs w:val="20"/>
        </w:rPr>
      </w:pPr>
      <w:r w:rsidRPr="00332E2C">
        <w:rPr>
          <w:rFonts w:ascii="Arial" w:hAnsi="Arial" w:cs="Arial"/>
          <w:sz w:val="20"/>
          <w:szCs w:val="20"/>
        </w:rPr>
        <w:t>The following performance indicators were removed in the 2020/21 APP -</w:t>
      </w:r>
    </w:p>
    <w:p w:rsidR="00C930A5" w:rsidRPr="00332E2C" w:rsidRDefault="00C930A5" w:rsidP="00332E2C">
      <w:pPr>
        <w:pStyle w:val="ListParagraph"/>
        <w:numPr>
          <w:ilvl w:val="0"/>
          <w:numId w:val="16"/>
        </w:numPr>
        <w:spacing w:after="0" w:line="240" w:lineRule="auto"/>
        <w:rPr>
          <w:rFonts w:ascii="Arial" w:hAnsi="Arial" w:cs="Arial"/>
          <w:sz w:val="20"/>
          <w:szCs w:val="20"/>
        </w:rPr>
      </w:pPr>
      <w:r w:rsidRPr="00332E2C">
        <w:rPr>
          <w:rFonts w:ascii="Arial" w:hAnsi="Arial" w:cs="Arial"/>
          <w:sz w:val="20"/>
          <w:szCs w:val="20"/>
        </w:rPr>
        <w:t>Number of investigators trained on specialised services (75)</w:t>
      </w:r>
    </w:p>
    <w:p w:rsidR="00C930A5" w:rsidRPr="00332E2C" w:rsidRDefault="00C930A5" w:rsidP="00332E2C">
      <w:pPr>
        <w:pStyle w:val="ListParagraph"/>
        <w:numPr>
          <w:ilvl w:val="0"/>
          <w:numId w:val="16"/>
        </w:numPr>
        <w:spacing w:after="0" w:line="240" w:lineRule="auto"/>
        <w:rPr>
          <w:rFonts w:ascii="Arial" w:hAnsi="Arial" w:cs="Arial"/>
          <w:sz w:val="20"/>
          <w:szCs w:val="20"/>
        </w:rPr>
      </w:pPr>
      <w:r w:rsidRPr="00332E2C">
        <w:rPr>
          <w:rFonts w:ascii="Arial" w:hAnsi="Arial" w:cs="Arial"/>
          <w:sz w:val="20"/>
          <w:szCs w:val="20"/>
        </w:rPr>
        <w:t>Percentage of decision ready cases completed from total cases received (45%)</w:t>
      </w:r>
    </w:p>
    <w:p w:rsidR="00C930A5" w:rsidRPr="00332E2C" w:rsidRDefault="00C930A5" w:rsidP="00332E2C">
      <w:pPr>
        <w:pStyle w:val="ListParagraph"/>
        <w:numPr>
          <w:ilvl w:val="0"/>
          <w:numId w:val="16"/>
        </w:numPr>
        <w:spacing w:after="0" w:line="240" w:lineRule="auto"/>
        <w:rPr>
          <w:rFonts w:ascii="Arial" w:hAnsi="Arial" w:cs="Arial"/>
          <w:sz w:val="20"/>
          <w:szCs w:val="20"/>
        </w:rPr>
      </w:pPr>
      <w:r w:rsidRPr="00332E2C">
        <w:rPr>
          <w:rFonts w:ascii="Arial" w:hAnsi="Arial" w:cs="Arial"/>
          <w:sz w:val="20"/>
          <w:szCs w:val="20"/>
        </w:rPr>
        <w:t>Percentage of cases registered and allocated within 72 hours of written notification (80%)</w:t>
      </w:r>
    </w:p>
    <w:p w:rsidR="00C930A5" w:rsidRPr="00332E2C" w:rsidRDefault="00C930A5" w:rsidP="00332E2C">
      <w:pPr>
        <w:pStyle w:val="ListParagraph"/>
        <w:numPr>
          <w:ilvl w:val="0"/>
          <w:numId w:val="16"/>
        </w:numPr>
        <w:spacing w:after="0" w:line="240" w:lineRule="auto"/>
        <w:rPr>
          <w:rFonts w:ascii="Arial" w:hAnsi="Arial" w:cs="Arial"/>
          <w:sz w:val="20"/>
          <w:szCs w:val="20"/>
        </w:rPr>
      </w:pPr>
      <w:r w:rsidRPr="00332E2C">
        <w:rPr>
          <w:rFonts w:ascii="Arial" w:hAnsi="Arial" w:cs="Arial"/>
          <w:sz w:val="20"/>
          <w:szCs w:val="20"/>
        </w:rPr>
        <w:t>Number of statistical reports on investigations generated (2)</w:t>
      </w:r>
    </w:p>
    <w:p w:rsidR="00C930A5" w:rsidRPr="00332E2C" w:rsidRDefault="00C930A5" w:rsidP="00332E2C">
      <w:pPr>
        <w:pStyle w:val="ListParagraph"/>
        <w:numPr>
          <w:ilvl w:val="0"/>
          <w:numId w:val="16"/>
        </w:numPr>
        <w:spacing w:after="0" w:line="240" w:lineRule="auto"/>
        <w:rPr>
          <w:rFonts w:ascii="Arial" w:hAnsi="Arial" w:cs="Arial"/>
          <w:sz w:val="20"/>
          <w:szCs w:val="20"/>
        </w:rPr>
      </w:pPr>
      <w:r w:rsidRPr="00332E2C">
        <w:rPr>
          <w:rFonts w:ascii="Arial" w:hAnsi="Arial" w:cs="Arial"/>
          <w:sz w:val="20"/>
          <w:szCs w:val="20"/>
        </w:rPr>
        <w:t>Number of backlog decision ready cases completed (excluding cases of systemic corruption) (1 490 cases).</w:t>
      </w:r>
    </w:p>
    <w:p w:rsidR="00C930A5" w:rsidRPr="00332E2C" w:rsidRDefault="00C930A5" w:rsidP="00332E2C">
      <w:pPr>
        <w:spacing w:after="0" w:line="240" w:lineRule="auto"/>
        <w:jc w:val="both"/>
        <w:rPr>
          <w:rFonts w:ascii="Arial" w:hAnsi="Arial" w:cs="Arial"/>
          <w:sz w:val="20"/>
          <w:szCs w:val="20"/>
        </w:rPr>
      </w:pPr>
      <w:r w:rsidRPr="00332E2C">
        <w:rPr>
          <w:rFonts w:ascii="Arial" w:hAnsi="Arial" w:cs="Arial"/>
          <w:sz w:val="20"/>
          <w:szCs w:val="20"/>
        </w:rPr>
        <w:t>The majority of targets were increased in 2020/21 when compared to the previous financial year.</w:t>
      </w:r>
    </w:p>
    <w:p w:rsidR="00C930A5" w:rsidRPr="00332E2C" w:rsidRDefault="00C930A5" w:rsidP="00332E2C">
      <w:pPr>
        <w:spacing w:after="0" w:line="240" w:lineRule="auto"/>
        <w:jc w:val="both"/>
        <w:rPr>
          <w:rFonts w:ascii="Arial" w:hAnsi="Arial" w:cs="Arial"/>
          <w:sz w:val="20"/>
          <w:szCs w:val="20"/>
        </w:rPr>
      </w:pPr>
      <w:r w:rsidRPr="00332E2C">
        <w:rPr>
          <w:rFonts w:ascii="Arial" w:hAnsi="Arial" w:cs="Arial"/>
          <w:sz w:val="20"/>
          <w:szCs w:val="20"/>
        </w:rPr>
        <w:t>The target for the number of investigations of other criminal and misconduct matters referred to the Directorate in terms of s28(1)(h) and s35(1)(c) of the IPID Act that are decision ready was reduced from 80 cases in 2018/19 to 40 cases in 2019/20. The target was further decreased to 10 cases in 2020/21.</w:t>
      </w:r>
    </w:p>
    <w:p w:rsidR="00C930A5" w:rsidRPr="00332E2C" w:rsidRDefault="00B110E4" w:rsidP="00332E2C">
      <w:pPr>
        <w:spacing w:after="0" w:line="240" w:lineRule="auto"/>
        <w:rPr>
          <w:rFonts w:ascii="Arial" w:hAnsi="Arial" w:cs="Arial"/>
          <w:b/>
          <w:sz w:val="20"/>
          <w:szCs w:val="20"/>
        </w:rPr>
      </w:pPr>
      <w:r w:rsidRPr="00332E2C">
        <w:rPr>
          <w:rFonts w:ascii="Arial" w:hAnsi="Arial" w:cs="Arial"/>
          <w:b/>
          <w:sz w:val="20"/>
          <w:szCs w:val="20"/>
        </w:rPr>
        <w:t>3.2</w:t>
      </w:r>
      <w:r w:rsidR="00C930A5" w:rsidRPr="00332E2C">
        <w:rPr>
          <w:rFonts w:ascii="Arial" w:hAnsi="Arial" w:cs="Arial"/>
          <w:b/>
          <w:sz w:val="20"/>
          <w:szCs w:val="20"/>
        </w:rPr>
        <w:t>.4. Legal and Investigation Advisory Services Programme</w:t>
      </w:r>
    </w:p>
    <w:p w:rsidR="00C930A5" w:rsidRPr="00332E2C" w:rsidRDefault="00C930A5" w:rsidP="00332E2C">
      <w:pPr>
        <w:spacing w:after="0" w:line="240" w:lineRule="auto"/>
        <w:rPr>
          <w:rFonts w:ascii="Arial" w:hAnsi="Arial" w:cs="Arial"/>
          <w:sz w:val="20"/>
          <w:szCs w:val="20"/>
        </w:rPr>
      </w:pPr>
      <w:r w:rsidRPr="00332E2C">
        <w:rPr>
          <w:rFonts w:ascii="Arial" w:hAnsi="Arial" w:cs="Arial"/>
          <w:sz w:val="20"/>
          <w:szCs w:val="20"/>
        </w:rPr>
        <w:t>The purpose of the Programme is to manage and facilitate the provision of investigation advisory services and to provide legal, civil and labour litigation services. The programme consists of the following three sub-programmes:</w:t>
      </w:r>
    </w:p>
    <w:p w:rsidR="00C930A5" w:rsidRPr="00332E2C" w:rsidRDefault="00C930A5" w:rsidP="00332E2C">
      <w:pPr>
        <w:pStyle w:val="ListParagraph"/>
        <w:numPr>
          <w:ilvl w:val="0"/>
          <w:numId w:val="17"/>
        </w:numPr>
        <w:spacing w:after="0" w:line="240" w:lineRule="auto"/>
        <w:rPr>
          <w:rFonts w:ascii="Arial" w:hAnsi="Arial" w:cs="Arial"/>
          <w:sz w:val="20"/>
          <w:szCs w:val="20"/>
        </w:rPr>
      </w:pPr>
      <w:r w:rsidRPr="00332E2C">
        <w:rPr>
          <w:rFonts w:ascii="Arial" w:hAnsi="Arial" w:cs="Arial"/>
          <w:sz w:val="20"/>
          <w:szCs w:val="20"/>
        </w:rPr>
        <w:t>Legal Support and Administration: The sub-programme manages the Directorate’s legal obligations by developing and maintaining systems, procedures and standards to assist, guide and direct legal support within the Directorate.</w:t>
      </w:r>
    </w:p>
    <w:p w:rsidR="00C930A5" w:rsidRPr="00332E2C" w:rsidRDefault="00C930A5" w:rsidP="00332E2C">
      <w:pPr>
        <w:pStyle w:val="ListParagraph"/>
        <w:numPr>
          <w:ilvl w:val="0"/>
          <w:numId w:val="17"/>
        </w:numPr>
        <w:spacing w:after="0" w:line="240" w:lineRule="auto"/>
        <w:rPr>
          <w:rFonts w:ascii="Arial" w:hAnsi="Arial" w:cs="Arial"/>
          <w:sz w:val="20"/>
          <w:szCs w:val="20"/>
        </w:rPr>
      </w:pPr>
      <w:r w:rsidRPr="00332E2C">
        <w:rPr>
          <w:rFonts w:ascii="Arial" w:hAnsi="Arial" w:cs="Arial"/>
          <w:sz w:val="20"/>
          <w:szCs w:val="20"/>
        </w:rPr>
        <w:t>Litigation Advisory Services: The sub-programme coordinates civil and labour litigation, and grants policing powers. Other key activities and outputs include finalising contracts and service level agreements.</w:t>
      </w:r>
    </w:p>
    <w:p w:rsidR="00C930A5" w:rsidRPr="00332E2C" w:rsidRDefault="00C930A5" w:rsidP="00332E2C">
      <w:pPr>
        <w:spacing w:after="0" w:line="240" w:lineRule="auto"/>
        <w:rPr>
          <w:rFonts w:ascii="Arial" w:hAnsi="Arial" w:cs="Arial"/>
          <w:sz w:val="20"/>
          <w:szCs w:val="20"/>
        </w:rPr>
      </w:pPr>
      <w:r w:rsidRPr="00332E2C">
        <w:rPr>
          <w:rFonts w:ascii="Arial" w:hAnsi="Arial" w:cs="Arial"/>
          <w:sz w:val="20"/>
          <w:szCs w:val="20"/>
        </w:rPr>
        <w:t>The table below summarises the programme performance indicators and targets of the Legal and Advisory Services Programme:</w:t>
      </w:r>
    </w:p>
    <w:p w:rsidR="00C930A5" w:rsidRPr="00332E2C" w:rsidRDefault="00C930A5" w:rsidP="00332E2C">
      <w:pPr>
        <w:spacing w:after="0" w:line="240" w:lineRule="auto"/>
        <w:rPr>
          <w:rFonts w:ascii="Arial" w:hAnsi="Arial" w:cs="Arial"/>
          <w:b/>
          <w:sz w:val="20"/>
          <w:szCs w:val="20"/>
        </w:rPr>
      </w:pPr>
      <w:r w:rsidRPr="00332E2C">
        <w:rPr>
          <w:rFonts w:ascii="Arial" w:hAnsi="Arial" w:cs="Arial"/>
          <w:b/>
          <w:sz w:val="20"/>
          <w:szCs w:val="20"/>
        </w:rPr>
        <w:t>Table 4: Programme Performance Indicators and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9"/>
        <w:gridCol w:w="1803"/>
      </w:tblGrid>
      <w:tr w:rsidR="00C930A5" w:rsidRPr="00332E2C" w:rsidTr="00C930A5">
        <w:trPr>
          <w:trHeight w:val="93"/>
        </w:trPr>
        <w:tc>
          <w:tcPr>
            <w:tcW w:w="7049" w:type="dxa"/>
          </w:tcPr>
          <w:p w:rsidR="00C930A5" w:rsidRPr="00332E2C" w:rsidRDefault="00C930A5" w:rsidP="00332E2C">
            <w:pPr>
              <w:pStyle w:val="Default"/>
              <w:rPr>
                <w:sz w:val="20"/>
                <w:szCs w:val="20"/>
              </w:rPr>
            </w:pPr>
            <w:r w:rsidRPr="00332E2C">
              <w:rPr>
                <w:b/>
                <w:bCs/>
                <w:sz w:val="20"/>
                <w:szCs w:val="20"/>
              </w:rPr>
              <w:t xml:space="preserve">Performance Indicator </w:t>
            </w:r>
          </w:p>
        </w:tc>
        <w:tc>
          <w:tcPr>
            <w:tcW w:w="1803" w:type="dxa"/>
          </w:tcPr>
          <w:p w:rsidR="00C930A5" w:rsidRPr="00332E2C" w:rsidRDefault="00C930A5" w:rsidP="00332E2C">
            <w:pPr>
              <w:pStyle w:val="Default"/>
              <w:rPr>
                <w:sz w:val="20"/>
                <w:szCs w:val="20"/>
              </w:rPr>
            </w:pPr>
            <w:r w:rsidRPr="00332E2C">
              <w:rPr>
                <w:b/>
                <w:bCs/>
                <w:sz w:val="20"/>
                <w:szCs w:val="20"/>
              </w:rPr>
              <w:t xml:space="preserve">2020/21 Target </w:t>
            </w:r>
          </w:p>
        </w:tc>
      </w:tr>
      <w:tr w:rsidR="00C930A5" w:rsidRPr="00332E2C" w:rsidTr="00C930A5">
        <w:trPr>
          <w:trHeight w:val="233"/>
        </w:trPr>
        <w:tc>
          <w:tcPr>
            <w:tcW w:w="7049" w:type="dxa"/>
          </w:tcPr>
          <w:p w:rsidR="00C930A5" w:rsidRPr="00332E2C" w:rsidRDefault="00C930A5" w:rsidP="00332E2C">
            <w:pPr>
              <w:pStyle w:val="Default"/>
              <w:rPr>
                <w:color w:val="auto"/>
                <w:sz w:val="20"/>
                <w:szCs w:val="20"/>
              </w:rPr>
            </w:pPr>
          </w:p>
          <w:p w:rsidR="00C930A5" w:rsidRPr="00332E2C" w:rsidRDefault="00C930A5" w:rsidP="00332E2C">
            <w:pPr>
              <w:pStyle w:val="Default"/>
              <w:rPr>
                <w:sz w:val="20"/>
                <w:szCs w:val="20"/>
              </w:rPr>
            </w:pPr>
            <w:r w:rsidRPr="00332E2C">
              <w:rPr>
                <w:sz w:val="20"/>
                <w:szCs w:val="20"/>
              </w:rPr>
              <w:t xml:space="preserve">1) Percentage of written legal advice provided to the Department within 30 working days of the request </w:t>
            </w:r>
          </w:p>
          <w:p w:rsidR="00C930A5" w:rsidRPr="00332E2C" w:rsidRDefault="00C930A5" w:rsidP="00332E2C">
            <w:pPr>
              <w:pStyle w:val="Default"/>
              <w:rPr>
                <w:sz w:val="20"/>
                <w:szCs w:val="20"/>
              </w:rPr>
            </w:pPr>
          </w:p>
        </w:tc>
        <w:tc>
          <w:tcPr>
            <w:tcW w:w="1803" w:type="dxa"/>
          </w:tcPr>
          <w:p w:rsidR="00C930A5" w:rsidRPr="00332E2C" w:rsidRDefault="00C930A5" w:rsidP="00332E2C">
            <w:pPr>
              <w:pStyle w:val="Default"/>
              <w:jc w:val="center"/>
              <w:rPr>
                <w:sz w:val="20"/>
                <w:szCs w:val="20"/>
              </w:rPr>
            </w:pPr>
            <w:r w:rsidRPr="00332E2C">
              <w:rPr>
                <w:sz w:val="20"/>
                <w:szCs w:val="20"/>
              </w:rPr>
              <w:t>70%</w:t>
            </w:r>
          </w:p>
        </w:tc>
      </w:tr>
      <w:tr w:rsidR="00C930A5" w:rsidRPr="00332E2C" w:rsidTr="00C930A5">
        <w:trPr>
          <w:trHeight w:val="233"/>
        </w:trPr>
        <w:tc>
          <w:tcPr>
            <w:tcW w:w="7049" w:type="dxa"/>
          </w:tcPr>
          <w:p w:rsidR="00C930A5" w:rsidRPr="00332E2C" w:rsidRDefault="00C930A5" w:rsidP="00332E2C">
            <w:pPr>
              <w:pStyle w:val="Default"/>
              <w:rPr>
                <w:color w:val="auto"/>
                <w:sz w:val="20"/>
                <w:szCs w:val="20"/>
              </w:rPr>
            </w:pPr>
          </w:p>
          <w:p w:rsidR="00C930A5" w:rsidRPr="00332E2C" w:rsidRDefault="00C930A5" w:rsidP="00332E2C">
            <w:pPr>
              <w:pStyle w:val="Default"/>
              <w:rPr>
                <w:sz w:val="20"/>
                <w:szCs w:val="20"/>
              </w:rPr>
            </w:pPr>
            <w:r w:rsidRPr="00332E2C">
              <w:rPr>
                <w:sz w:val="20"/>
                <w:szCs w:val="20"/>
              </w:rPr>
              <w:t xml:space="preserve">2) Percentage of written legal advice provided to investigators within 2 working days of request </w:t>
            </w:r>
          </w:p>
          <w:p w:rsidR="00C930A5" w:rsidRPr="00332E2C" w:rsidRDefault="00C930A5" w:rsidP="00332E2C">
            <w:pPr>
              <w:pStyle w:val="Default"/>
              <w:rPr>
                <w:sz w:val="20"/>
                <w:szCs w:val="20"/>
              </w:rPr>
            </w:pPr>
          </w:p>
        </w:tc>
        <w:tc>
          <w:tcPr>
            <w:tcW w:w="1803" w:type="dxa"/>
          </w:tcPr>
          <w:p w:rsidR="00C930A5" w:rsidRPr="00332E2C" w:rsidRDefault="00C930A5" w:rsidP="00332E2C">
            <w:pPr>
              <w:pStyle w:val="Default"/>
              <w:jc w:val="center"/>
              <w:rPr>
                <w:sz w:val="20"/>
                <w:szCs w:val="20"/>
              </w:rPr>
            </w:pPr>
            <w:r w:rsidRPr="00332E2C">
              <w:rPr>
                <w:sz w:val="20"/>
                <w:szCs w:val="20"/>
              </w:rPr>
              <w:t>95%</w:t>
            </w:r>
          </w:p>
        </w:tc>
      </w:tr>
      <w:tr w:rsidR="00C930A5" w:rsidRPr="00332E2C" w:rsidTr="00C930A5">
        <w:trPr>
          <w:trHeight w:val="233"/>
        </w:trPr>
        <w:tc>
          <w:tcPr>
            <w:tcW w:w="7049" w:type="dxa"/>
          </w:tcPr>
          <w:p w:rsidR="00C930A5" w:rsidRPr="00332E2C" w:rsidRDefault="00C930A5" w:rsidP="00332E2C">
            <w:pPr>
              <w:pStyle w:val="Default"/>
              <w:rPr>
                <w:color w:val="auto"/>
                <w:sz w:val="20"/>
                <w:szCs w:val="20"/>
              </w:rPr>
            </w:pPr>
          </w:p>
          <w:p w:rsidR="00C930A5" w:rsidRPr="00332E2C" w:rsidRDefault="00C930A5" w:rsidP="00332E2C">
            <w:pPr>
              <w:pStyle w:val="Default"/>
              <w:rPr>
                <w:color w:val="auto"/>
                <w:sz w:val="20"/>
                <w:szCs w:val="20"/>
              </w:rPr>
            </w:pPr>
            <w:r w:rsidRPr="00332E2C">
              <w:rPr>
                <w:color w:val="auto"/>
                <w:sz w:val="20"/>
                <w:szCs w:val="20"/>
              </w:rPr>
              <w:t xml:space="preserve">3) Percentage of contracts/service level agreements finalised within 30 working days of the request per year. </w:t>
            </w:r>
          </w:p>
          <w:p w:rsidR="00C930A5" w:rsidRPr="00332E2C" w:rsidRDefault="00C930A5" w:rsidP="00332E2C">
            <w:pPr>
              <w:pStyle w:val="Default"/>
              <w:rPr>
                <w:color w:val="auto"/>
                <w:sz w:val="20"/>
                <w:szCs w:val="20"/>
              </w:rPr>
            </w:pPr>
          </w:p>
        </w:tc>
        <w:tc>
          <w:tcPr>
            <w:tcW w:w="1803" w:type="dxa"/>
          </w:tcPr>
          <w:p w:rsidR="00C930A5" w:rsidRPr="00332E2C" w:rsidRDefault="00C930A5" w:rsidP="00332E2C">
            <w:pPr>
              <w:pStyle w:val="Default"/>
              <w:jc w:val="center"/>
              <w:rPr>
                <w:sz w:val="20"/>
                <w:szCs w:val="20"/>
              </w:rPr>
            </w:pPr>
            <w:r w:rsidRPr="00332E2C">
              <w:rPr>
                <w:sz w:val="20"/>
                <w:szCs w:val="20"/>
              </w:rPr>
              <w:t>90%</w:t>
            </w:r>
          </w:p>
        </w:tc>
      </w:tr>
      <w:tr w:rsidR="00C930A5" w:rsidRPr="00332E2C" w:rsidTr="00C930A5">
        <w:trPr>
          <w:trHeight w:val="233"/>
        </w:trPr>
        <w:tc>
          <w:tcPr>
            <w:tcW w:w="7049" w:type="dxa"/>
          </w:tcPr>
          <w:p w:rsidR="00C930A5" w:rsidRPr="00332E2C" w:rsidRDefault="00C930A5" w:rsidP="00332E2C">
            <w:pPr>
              <w:pStyle w:val="Default"/>
              <w:rPr>
                <w:color w:val="auto"/>
                <w:sz w:val="20"/>
                <w:szCs w:val="20"/>
              </w:rPr>
            </w:pPr>
          </w:p>
          <w:p w:rsidR="00C930A5" w:rsidRPr="00332E2C" w:rsidRDefault="00C930A5" w:rsidP="00332E2C">
            <w:pPr>
              <w:pStyle w:val="Default"/>
              <w:rPr>
                <w:color w:val="auto"/>
                <w:sz w:val="20"/>
                <w:szCs w:val="20"/>
              </w:rPr>
            </w:pPr>
            <w:r w:rsidRPr="00332E2C">
              <w:rPr>
                <w:color w:val="auto"/>
                <w:sz w:val="20"/>
                <w:szCs w:val="20"/>
              </w:rPr>
              <w:t xml:space="preserve">4) Percentage of litigation matters referred with instructions to the State Attorney within 10 working days of receipt per year (New) </w:t>
            </w:r>
          </w:p>
          <w:p w:rsidR="00C930A5" w:rsidRPr="00332E2C" w:rsidRDefault="00C930A5" w:rsidP="00332E2C">
            <w:pPr>
              <w:pStyle w:val="Default"/>
              <w:rPr>
                <w:color w:val="auto"/>
                <w:sz w:val="20"/>
                <w:szCs w:val="20"/>
              </w:rPr>
            </w:pPr>
          </w:p>
        </w:tc>
        <w:tc>
          <w:tcPr>
            <w:tcW w:w="1803" w:type="dxa"/>
          </w:tcPr>
          <w:p w:rsidR="00C930A5" w:rsidRPr="00332E2C" w:rsidRDefault="00C930A5" w:rsidP="00332E2C">
            <w:pPr>
              <w:pStyle w:val="Default"/>
              <w:jc w:val="center"/>
              <w:rPr>
                <w:sz w:val="20"/>
                <w:szCs w:val="20"/>
              </w:rPr>
            </w:pPr>
            <w:r w:rsidRPr="00332E2C">
              <w:rPr>
                <w:sz w:val="20"/>
                <w:szCs w:val="20"/>
              </w:rPr>
              <w:t>100%</w:t>
            </w:r>
          </w:p>
        </w:tc>
      </w:tr>
    </w:tbl>
    <w:p w:rsidR="006F2E2F" w:rsidRPr="00332E2C" w:rsidRDefault="00C930A5" w:rsidP="00332E2C">
      <w:pPr>
        <w:spacing w:after="0" w:line="240" w:lineRule="auto"/>
        <w:jc w:val="both"/>
        <w:rPr>
          <w:rFonts w:ascii="Arial" w:hAnsi="Arial" w:cs="Arial"/>
          <w:b/>
          <w:sz w:val="20"/>
          <w:szCs w:val="20"/>
        </w:rPr>
      </w:pPr>
      <w:r w:rsidRPr="00332E2C">
        <w:rPr>
          <w:rFonts w:ascii="Arial" w:hAnsi="Arial" w:cs="Arial"/>
          <w:b/>
          <w:sz w:val="20"/>
          <w:szCs w:val="20"/>
        </w:rPr>
        <w:t>Source: IPID 2020/21 APP</w:t>
      </w:r>
    </w:p>
    <w:p w:rsidR="006F2E2F" w:rsidRPr="00332E2C" w:rsidRDefault="006F2E2F" w:rsidP="00332E2C">
      <w:pPr>
        <w:spacing w:after="0" w:line="240" w:lineRule="auto"/>
        <w:jc w:val="both"/>
        <w:rPr>
          <w:rFonts w:ascii="Arial" w:hAnsi="Arial" w:cs="Arial"/>
          <w:b/>
          <w:sz w:val="20"/>
          <w:szCs w:val="20"/>
        </w:rPr>
      </w:pP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sz w:val="20"/>
          <w:szCs w:val="20"/>
        </w:rPr>
        <w:t>The following indicators were removed from the 2020/21 APP compared to the previous year -</w:t>
      </w:r>
    </w:p>
    <w:p w:rsidR="004B2F79" w:rsidRPr="00332E2C" w:rsidRDefault="004B2F79" w:rsidP="00332E2C">
      <w:pPr>
        <w:pStyle w:val="ListParagraph"/>
        <w:numPr>
          <w:ilvl w:val="0"/>
          <w:numId w:val="18"/>
        </w:numPr>
        <w:spacing w:after="0" w:line="240" w:lineRule="auto"/>
        <w:jc w:val="both"/>
        <w:rPr>
          <w:rFonts w:ascii="Arial" w:hAnsi="Arial" w:cs="Arial"/>
          <w:sz w:val="20"/>
          <w:szCs w:val="20"/>
        </w:rPr>
      </w:pPr>
      <w:r w:rsidRPr="00332E2C">
        <w:rPr>
          <w:rFonts w:ascii="Arial" w:hAnsi="Arial" w:cs="Arial"/>
          <w:sz w:val="20"/>
          <w:szCs w:val="20"/>
        </w:rPr>
        <w:t>Percentage of legal advice provided to the Department on litigation matters within 12 working days of receipt of the action or application (100%). This performance indicator was only introduced in 2019/20, thus removed the next year.</w:t>
      </w:r>
    </w:p>
    <w:p w:rsidR="004B2F79" w:rsidRPr="00332E2C" w:rsidRDefault="004B2F79" w:rsidP="00332E2C">
      <w:pPr>
        <w:pStyle w:val="ListParagraph"/>
        <w:numPr>
          <w:ilvl w:val="0"/>
          <w:numId w:val="18"/>
        </w:numPr>
        <w:spacing w:after="0" w:line="240" w:lineRule="auto"/>
        <w:jc w:val="both"/>
        <w:rPr>
          <w:rFonts w:ascii="Arial" w:hAnsi="Arial" w:cs="Arial"/>
          <w:sz w:val="20"/>
          <w:szCs w:val="20"/>
        </w:rPr>
      </w:pPr>
      <w:r w:rsidRPr="00332E2C">
        <w:rPr>
          <w:rFonts w:ascii="Arial" w:hAnsi="Arial" w:cs="Arial"/>
          <w:sz w:val="20"/>
          <w:szCs w:val="20"/>
        </w:rPr>
        <w:t>Percentage of PAIA requests finalised within 30 days (100%).</w:t>
      </w:r>
    </w:p>
    <w:p w:rsidR="004B2F79" w:rsidRPr="00332E2C" w:rsidRDefault="004B2F79" w:rsidP="00332E2C">
      <w:pPr>
        <w:pStyle w:val="ListParagraph"/>
        <w:numPr>
          <w:ilvl w:val="0"/>
          <w:numId w:val="18"/>
        </w:numPr>
        <w:spacing w:after="0" w:line="240" w:lineRule="auto"/>
        <w:jc w:val="both"/>
        <w:rPr>
          <w:rFonts w:ascii="Arial" w:hAnsi="Arial" w:cs="Arial"/>
          <w:sz w:val="20"/>
          <w:szCs w:val="20"/>
        </w:rPr>
      </w:pPr>
      <w:r w:rsidRPr="00332E2C">
        <w:rPr>
          <w:rFonts w:ascii="Arial" w:hAnsi="Arial" w:cs="Arial"/>
          <w:sz w:val="20"/>
          <w:szCs w:val="20"/>
        </w:rPr>
        <w:t>Number of workshops conducted with investigators on practice notes produced per year (3). This indicator was introduced in 2019/20 and removed in 2020/21.</w:t>
      </w:r>
    </w:p>
    <w:p w:rsidR="004B2F79" w:rsidRPr="00332E2C" w:rsidRDefault="004B2F79" w:rsidP="00332E2C">
      <w:pPr>
        <w:pStyle w:val="ListParagraph"/>
        <w:numPr>
          <w:ilvl w:val="0"/>
          <w:numId w:val="18"/>
        </w:numPr>
        <w:spacing w:after="0" w:line="240" w:lineRule="auto"/>
        <w:jc w:val="both"/>
        <w:rPr>
          <w:rFonts w:ascii="Arial" w:hAnsi="Arial" w:cs="Arial"/>
          <w:sz w:val="20"/>
          <w:szCs w:val="20"/>
        </w:rPr>
      </w:pPr>
      <w:r w:rsidRPr="00332E2C">
        <w:rPr>
          <w:rFonts w:ascii="Arial" w:hAnsi="Arial" w:cs="Arial"/>
          <w:sz w:val="20"/>
          <w:szCs w:val="20"/>
        </w:rPr>
        <w:t>Percentage of written legal advice provided to investigators within 24 hours of request (90%).</w:t>
      </w:r>
    </w:p>
    <w:p w:rsidR="004B2F79" w:rsidRPr="00332E2C" w:rsidRDefault="004B2F79" w:rsidP="00332E2C">
      <w:pPr>
        <w:spacing w:after="0" w:line="240" w:lineRule="auto"/>
        <w:jc w:val="both"/>
        <w:rPr>
          <w:rFonts w:ascii="Arial" w:hAnsi="Arial" w:cs="Arial"/>
          <w:b/>
          <w:sz w:val="20"/>
          <w:szCs w:val="20"/>
        </w:rPr>
      </w:pPr>
    </w:p>
    <w:p w:rsidR="004B2F79" w:rsidRPr="00332E2C" w:rsidRDefault="00B110E4" w:rsidP="00332E2C">
      <w:pPr>
        <w:spacing w:after="0" w:line="240" w:lineRule="auto"/>
        <w:jc w:val="both"/>
        <w:rPr>
          <w:rFonts w:ascii="Arial" w:hAnsi="Arial" w:cs="Arial"/>
          <w:b/>
          <w:sz w:val="20"/>
          <w:szCs w:val="20"/>
        </w:rPr>
      </w:pPr>
      <w:r w:rsidRPr="00332E2C">
        <w:rPr>
          <w:rFonts w:ascii="Arial" w:hAnsi="Arial" w:cs="Arial"/>
          <w:b/>
          <w:sz w:val="20"/>
          <w:szCs w:val="20"/>
        </w:rPr>
        <w:t>3.2.</w:t>
      </w:r>
      <w:r w:rsidR="004B2F79" w:rsidRPr="00332E2C">
        <w:rPr>
          <w:rFonts w:ascii="Arial" w:hAnsi="Arial" w:cs="Arial"/>
          <w:b/>
          <w:sz w:val="20"/>
          <w:szCs w:val="20"/>
        </w:rPr>
        <w:t>5 Compliance Monitoring and Stakeholder Management Programme</w:t>
      </w: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sz w:val="20"/>
          <w:szCs w:val="20"/>
        </w:rPr>
        <w:t>The purpose of the Compliance Monitoring and Stakeholder Management Programme is to safeguard the principles of cooperative governance and stakeholder relations and to monitor and evaluate the relevance and appropriateness of recommendations made to the South African Police Service and Municipal Police Services in terms of the Independent Police Investigative Directorate Act, 2011. The programme consists of the following two sub-programmes:</w:t>
      </w: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sz w:val="20"/>
          <w:szCs w:val="20"/>
        </w:rPr>
        <w:t>Compliance Monitoring: The Sub-programme monitors and evaluates the quality of recommendations made and responses received from on such recommendations from the South African Police Service, Municipal Police Services and National Prosecuting Authority in compliance with the reporting obligations in terms of the IPID Act, 2011.</w:t>
      </w: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sz w:val="20"/>
          <w:szCs w:val="20"/>
        </w:rPr>
        <w:t>Stakeholder Management: The Sub-programme manages relations and liaises with the Directorate’s key stakeholders such as the South African Police Service, Municipal Police Services, Civilian Secretariat for Police, National Prosecuting Authority, the Special Investigating Unit, the Public Protector of South Africa, the State Security Agency and civil society organisations, in line with the requirements of the IPID Act.</w:t>
      </w: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sz w:val="20"/>
          <w:szCs w:val="20"/>
        </w:rPr>
        <w:t>The table below summarises the programme performance indicators and targets of the Programme:</w:t>
      </w:r>
    </w:p>
    <w:p w:rsidR="004B2F79" w:rsidRPr="00332E2C" w:rsidRDefault="004B2F79" w:rsidP="00332E2C">
      <w:pPr>
        <w:spacing w:after="0" w:line="240" w:lineRule="auto"/>
        <w:jc w:val="both"/>
        <w:rPr>
          <w:rFonts w:ascii="Arial" w:hAnsi="Arial" w:cs="Arial"/>
          <w:sz w:val="20"/>
          <w:szCs w:val="20"/>
        </w:rPr>
      </w:pPr>
      <w:r w:rsidRPr="00332E2C">
        <w:rPr>
          <w:rFonts w:ascii="Arial" w:hAnsi="Arial" w:cs="Arial"/>
          <w:b/>
          <w:bCs/>
          <w:sz w:val="20"/>
          <w:szCs w:val="20"/>
        </w:rPr>
        <w:t>Table 5: Programme Performance Indicators and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1"/>
        <w:gridCol w:w="1661"/>
      </w:tblGrid>
      <w:tr w:rsidR="004B2F79" w:rsidRPr="00332E2C" w:rsidTr="004B2F79">
        <w:trPr>
          <w:trHeight w:val="93"/>
        </w:trPr>
        <w:tc>
          <w:tcPr>
            <w:tcW w:w="7191" w:type="dxa"/>
          </w:tcPr>
          <w:p w:rsidR="004B2F79" w:rsidRPr="00332E2C" w:rsidRDefault="004B2F79" w:rsidP="00332E2C">
            <w:pPr>
              <w:pStyle w:val="Default"/>
              <w:rPr>
                <w:sz w:val="20"/>
                <w:szCs w:val="20"/>
              </w:rPr>
            </w:pPr>
            <w:r w:rsidRPr="00332E2C">
              <w:rPr>
                <w:b/>
                <w:bCs/>
                <w:sz w:val="20"/>
                <w:szCs w:val="20"/>
              </w:rPr>
              <w:t xml:space="preserve">Performance Indicator </w:t>
            </w:r>
          </w:p>
        </w:tc>
        <w:tc>
          <w:tcPr>
            <w:tcW w:w="1661" w:type="dxa"/>
          </w:tcPr>
          <w:p w:rsidR="004B2F79" w:rsidRPr="00332E2C" w:rsidRDefault="004B2F79" w:rsidP="00332E2C">
            <w:pPr>
              <w:pStyle w:val="Default"/>
              <w:rPr>
                <w:sz w:val="20"/>
                <w:szCs w:val="20"/>
              </w:rPr>
            </w:pPr>
            <w:r w:rsidRPr="00332E2C">
              <w:rPr>
                <w:b/>
                <w:bCs/>
                <w:sz w:val="20"/>
                <w:szCs w:val="20"/>
              </w:rPr>
              <w:t xml:space="preserve">2020/21 Target </w:t>
            </w:r>
          </w:p>
        </w:tc>
      </w:tr>
      <w:tr w:rsidR="004B2F79" w:rsidRPr="00332E2C" w:rsidTr="004B2F79">
        <w:trPr>
          <w:trHeight w:val="98"/>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sz w:val="20"/>
                <w:szCs w:val="20"/>
              </w:rPr>
            </w:pPr>
            <w:r w:rsidRPr="00332E2C">
              <w:rPr>
                <w:sz w:val="20"/>
                <w:szCs w:val="20"/>
              </w:rPr>
              <w:t xml:space="preserve">1) Number of community outreach events conducted per year </w:t>
            </w:r>
          </w:p>
          <w:p w:rsidR="004B2F79" w:rsidRPr="00332E2C" w:rsidRDefault="004B2F79" w:rsidP="00332E2C">
            <w:pPr>
              <w:pStyle w:val="Default"/>
              <w:rPr>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40</w:t>
            </w:r>
          </w:p>
        </w:tc>
      </w:tr>
      <w:tr w:rsidR="004B2F79" w:rsidRPr="00332E2C" w:rsidTr="004B2F79">
        <w:trPr>
          <w:trHeight w:val="93"/>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sz w:val="20"/>
                <w:szCs w:val="20"/>
              </w:rPr>
            </w:pPr>
            <w:r w:rsidRPr="00332E2C">
              <w:rPr>
                <w:sz w:val="20"/>
                <w:szCs w:val="20"/>
              </w:rPr>
              <w:t xml:space="preserve">2) Number of formal engagements held with key stakeholders </w:t>
            </w:r>
          </w:p>
          <w:p w:rsidR="004B2F79" w:rsidRPr="00332E2C" w:rsidRDefault="004B2F79" w:rsidP="00332E2C">
            <w:pPr>
              <w:pStyle w:val="Default"/>
              <w:rPr>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136</w:t>
            </w:r>
          </w:p>
        </w:tc>
      </w:tr>
      <w:tr w:rsidR="004B2F79" w:rsidRPr="00332E2C" w:rsidTr="004B2F79">
        <w:trPr>
          <w:trHeight w:val="93"/>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sz w:val="20"/>
                <w:szCs w:val="20"/>
              </w:rPr>
            </w:pPr>
            <w:r w:rsidRPr="00332E2C">
              <w:rPr>
                <w:sz w:val="20"/>
                <w:szCs w:val="20"/>
              </w:rPr>
              <w:t xml:space="preserve">3) Number of station lecture awareness trainings per year </w:t>
            </w:r>
            <w:r w:rsidRPr="00332E2C">
              <w:rPr>
                <w:b/>
                <w:bCs/>
                <w:i/>
                <w:iCs/>
                <w:sz w:val="20"/>
                <w:szCs w:val="20"/>
              </w:rPr>
              <w:t xml:space="preserve">(New) </w:t>
            </w:r>
          </w:p>
          <w:p w:rsidR="004B2F79" w:rsidRPr="00332E2C" w:rsidRDefault="004B2F79" w:rsidP="00332E2C">
            <w:pPr>
              <w:pStyle w:val="Default"/>
              <w:rPr>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56</w:t>
            </w:r>
          </w:p>
        </w:tc>
      </w:tr>
      <w:tr w:rsidR="004B2F79" w:rsidRPr="00332E2C" w:rsidTr="004B2F79">
        <w:trPr>
          <w:trHeight w:val="232"/>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sz w:val="20"/>
                <w:szCs w:val="20"/>
              </w:rPr>
            </w:pPr>
            <w:r w:rsidRPr="00332E2C">
              <w:rPr>
                <w:sz w:val="20"/>
                <w:szCs w:val="20"/>
              </w:rPr>
              <w:t xml:space="preserve">4) Number of disciplinary recommendations referred to the SAPS and MPS that are analysed </w:t>
            </w:r>
          </w:p>
          <w:p w:rsidR="004B2F79" w:rsidRPr="00332E2C" w:rsidRDefault="004B2F79" w:rsidP="00332E2C">
            <w:pPr>
              <w:pStyle w:val="Default"/>
              <w:rPr>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1 100</w:t>
            </w:r>
          </w:p>
        </w:tc>
      </w:tr>
      <w:tr w:rsidR="004B2F79" w:rsidRPr="00332E2C" w:rsidTr="004B2F79">
        <w:trPr>
          <w:trHeight w:val="98"/>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sz w:val="20"/>
                <w:szCs w:val="20"/>
              </w:rPr>
            </w:pPr>
            <w:r w:rsidRPr="00332E2C">
              <w:rPr>
                <w:sz w:val="20"/>
                <w:szCs w:val="20"/>
              </w:rPr>
              <w:t xml:space="preserve">5) Number of criminal referrals forwarded to the NPA that are analysed </w:t>
            </w:r>
          </w:p>
          <w:p w:rsidR="004B2F79" w:rsidRPr="00332E2C" w:rsidRDefault="004B2F79" w:rsidP="00332E2C">
            <w:pPr>
              <w:pStyle w:val="Default"/>
              <w:rPr>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1 500</w:t>
            </w:r>
          </w:p>
        </w:tc>
      </w:tr>
      <w:tr w:rsidR="004B2F79" w:rsidRPr="00332E2C" w:rsidTr="004B2F79">
        <w:trPr>
          <w:trHeight w:val="98"/>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color w:val="auto"/>
                <w:sz w:val="20"/>
                <w:szCs w:val="20"/>
              </w:rPr>
            </w:pPr>
            <w:r w:rsidRPr="00332E2C">
              <w:rPr>
                <w:color w:val="auto"/>
                <w:sz w:val="20"/>
                <w:szCs w:val="20"/>
              </w:rPr>
              <w:t xml:space="preserve">6) Percentage of responses from SAPS and MPS that are analysed </w:t>
            </w:r>
          </w:p>
          <w:p w:rsidR="004B2F79" w:rsidRPr="00332E2C" w:rsidRDefault="004B2F79" w:rsidP="00332E2C">
            <w:pPr>
              <w:pStyle w:val="Default"/>
              <w:rPr>
                <w:color w:val="auto"/>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60%</w:t>
            </w:r>
          </w:p>
        </w:tc>
      </w:tr>
      <w:tr w:rsidR="004B2F79" w:rsidRPr="00332E2C" w:rsidTr="004B2F79">
        <w:trPr>
          <w:trHeight w:val="98"/>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color w:val="auto"/>
                <w:sz w:val="20"/>
                <w:szCs w:val="20"/>
              </w:rPr>
            </w:pPr>
            <w:r w:rsidRPr="00332E2C">
              <w:rPr>
                <w:color w:val="auto"/>
                <w:sz w:val="20"/>
                <w:szCs w:val="20"/>
              </w:rPr>
              <w:t xml:space="preserve">7) Percentage of responses from NPA that are analysed </w:t>
            </w:r>
          </w:p>
          <w:p w:rsidR="004B2F79" w:rsidRPr="00332E2C" w:rsidRDefault="004B2F79" w:rsidP="00332E2C">
            <w:pPr>
              <w:pStyle w:val="Default"/>
              <w:rPr>
                <w:color w:val="auto"/>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50%</w:t>
            </w:r>
          </w:p>
        </w:tc>
      </w:tr>
      <w:tr w:rsidR="004B2F79" w:rsidRPr="00332E2C" w:rsidTr="004B2F79">
        <w:trPr>
          <w:trHeight w:val="98"/>
        </w:trPr>
        <w:tc>
          <w:tcPr>
            <w:tcW w:w="7191" w:type="dxa"/>
          </w:tcPr>
          <w:p w:rsidR="004B2F79" w:rsidRPr="00332E2C" w:rsidRDefault="004B2F79" w:rsidP="00332E2C">
            <w:pPr>
              <w:pStyle w:val="Default"/>
              <w:rPr>
                <w:color w:val="auto"/>
                <w:sz w:val="20"/>
                <w:szCs w:val="20"/>
              </w:rPr>
            </w:pPr>
          </w:p>
          <w:p w:rsidR="004B2F79" w:rsidRPr="00332E2C" w:rsidRDefault="004B2F79" w:rsidP="00332E2C">
            <w:pPr>
              <w:pStyle w:val="Default"/>
              <w:rPr>
                <w:color w:val="auto"/>
                <w:sz w:val="20"/>
                <w:szCs w:val="20"/>
              </w:rPr>
            </w:pPr>
            <w:r w:rsidRPr="00332E2C">
              <w:rPr>
                <w:color w:val="auto"/>
                <w:sz w:val="20"/>
                <w:szCs w:val="20"/>
              </w:rPr>
              <w:t xml:space="preserve">8) Number of case docket inspections conducted per year </w:t>
            </w:r>
          </w:p>
          <w:p w:rsidR="004B2F79" w:rsidRPr="00332E2C" w:rsidRDefault="004B2F79" w:rsidP="00332E2C">
            <w:pPr>
              <w:pStyle w:val="Default"/>
              <w:rPr>
                <w:color w:val="auto"/>
                <w:sz w:val="20"/>
                <w:szCs w:val="20"/>
              </w:rPr>
            </w:pPr>
          </w:p>
        </w:tc>
        <w:tc>
          <w:tcPr>
            <w:tcW w:w="1661" w:type="dxa"/>
          </w:tcPr>
          <w:p w:rsidR="004B2F79" w:rsidRPr="00332E2C" w:rsidRDefault="004B2F79" w:rsidP="00332E2C">
            <w:pPr>
              <w:pStyle w:val="Default"/>
              <w:jc w:val="center"/>
              <w:rPr>
                <w:sz w:val="20"/>
                <w:szCs w:val="20"/>
              </w:rPr>
            </w:pPr>
            <w:r w:rsidRPr="00332E2C">
              <w:rPr>
                <w:sz w:val="20"/>
                <w:szCs w:val="20"/>
              </w:rPr>
              <w:t>5</w:t>
            </w:r>
          </w:p>
        </w:tc>
      </w:tr>
    </w:tbl>
    <w:p w:rsidR="004B2F79" w:rsidRPr="00332E2C" w:rsidRDefault="004B2F79" w:rsidP="00332E2C">
      <w:pPr>
        <w:spacing w:after="0" w:line="240" w:lineRule="auto"/>
        <w:jc w:val="center"/>
        <w:rPr>
          <w:rFonts w:ascii="Arial" w:hAnsi="Arial" w:cs="Arial"/>
          <w:b/>
          <w:sz w:val="20"/>
          <w:szCs w:val="20"/>
        </w:rPr>
      </w:pPr>
      <w:r w:rsidRPr="00332E2C">
        <w:rPr>
          <w:rFonts w:ascii="Arial" w:hAnsi="Arial" w:cs="Arial"/>
          <w:b/>
          <w:sz w:val="20"/>
          <w:szCs w:val="20"/>
        </w:rPr>
        <w:t>Source: IPID 2020/21 APP</w:t>
      </w:r>
    </w:p>
    <w:p w:rsidR="006F2E2F" w:rsidRPr="00332E2C" w:rsidRDefault="006F2E2F" w:rsidP="00332E2C">
      <w:pPr>
        <w:spacing w:after="0" w:line="240" w:lineRule="auto"/>
        <w:jc w:val="both"/>
        <w:rPr>
          <w:rFonts w:ascii="Arial" w:hAnsi="Arial" w:cs="Arial"/>
          <w:b/>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 xml:space="preserve">4. </w:t>
      </w:r>
      <w:r w:rsidRPr="00332E2C">
        <w:rPr>
          <w:rFonts w:ascii="Arial" w:hAnsi="Arial" w:cs="Arial"/>
          <w:b/>
          <w:sz w:val="20"/>
          <w:szCs w:val="20"/>
        </w:rPr>
        <w:tab/>
        <w:t>Committee Observations</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The Committee made the follo</w:t>
      </w:r>
      <w:r w:rsidR="0042316F" w:rsidRPr="00332E2C">
        <w:rPr>
          <w:rFonts w:ascii="Arial" w:hAnsi="Arial" w:cs="Arial"/>
          <w:sz w:val="20"/>
          <w:szCs w:val="20"/>
        </w:rPr>
        <w:t>wing observations during the 2020</w:t>
      </w:r>
      <w:r w:rsidRPr="00332E2C">
        <w:rPr>
          <w:rFonts w:ascii="Arial" w:hAnsi="Arial" w:cs="Arial"/>
          <w:sz w:val="20"/>
          <w:szCs w:val="20"/>
        </w:rPr>
        <w:t>/2</w:t>
      </w:r>
      <w:r w:rsidR="0042316F" w:rsidRPr="00332E2C">
        <w:rPr>
          <w:rFonts w:ascii="Arial" w:hAnsi="Arial" w:cs="Arial"/>
          <w:sz w:val="20"/>
          <w:szCs w:val="20"/>
        </w:rPr>
        <w:t>1</w:t>
      </w:r>
      <w:r w:rsidRPr="00332E2C">
        <w:rPr>
          <w:rFonts w:ascii="Arial" w:hAnsi="Arial" w:cs="Arial"/>
          <w:sz w:val="20"/>
          <w:szCs w:val="20"/>
        </w:rPr>
        <w:t xml:space="preserve"> budget hearings:</w:t>
      </w:r>
    </w:p>
    <w:p w:rsidR="0042316F"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4.1</w:t>
      </w:r>
      <w:r w:rsidRPr="00332E2C">
        <w:rPr>
          <w:rFonts w:ascii="Arial" w:hAnsi="Arial" w:cs="Arial"/>
          <w:sz w:val="20"/>
          <w:szCs w:val="20"/>
        </w:rPr>
        <w:tab/>
        <w:t>The Committee noted the</w:t>
      </w:r>
      <w:r w:rsidR="0042316F" w:rsidRPr="00332E2C">
        <w:rPr>
          <w:rFonts w:ascii="Arial" w:hAnsi="Arial" w:cs="Arial"/>
          <w:sz w:val="20"/>
          <w:szCs w:val="20"/>
        </w:rPr>
        <w:t xml:space="preserve">ir concern with the reduced IPID budget and it appeared that the core business of IPID Business which was Programme 2 has not been adjusted downwards with respect to its targets. </w:t>
      </w:r>
      <w:r w:rsidR="00A14F14" w:rsidRPr="00332E2C">
        <w:rPr>
          <w:rFonts w:ascii="Arial" w:hAnsi="Arial" w:cs="Arial"/>
          <w:sz w:val="20"/>
          <w:szCs w:val="20"/>
        </w:rPr>
        <w:t xml:space="preserve">The Committee wanted IPID to indicate what their optimal budget was for them to operate at full capacity. </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 xml:space="preserve">4.2 </w:t>
      </w:r>
      <w:r w:rsidRPr="00332E2C">
        <w:rPr>
          <w:rFonts w:ascii="Arial" w:hAnsi="Arial" w:cs="Arial"/>
          <w:sz w:val="20"/>
          <w:szCs w:val="20"/>
        </w:rPr>
        <w:tab/>
        <w:t xml:space="preserve">The Committee </w:t>
      </w:r>
      <w:r w:rsidR="0042316F" w:rsidRPr="00332E2C">
        <w:rPr>
          <w:rFonts w:ascii="Arial" w:hAnsi="Arial" w:cs="Arial"/>
          <w:sz w:val="20"/>
          <w:szCs w:val="20"/>
        </w:rPr>
        <w:t xml:space="preserve">again questioned the funding challenge and budget for IPID as it </w:t>
      </w:r>
      <w:r w:rsidRPr="00332E2C">
        <w:rPr>
          <w:rFonts w:ascii="Arial" w:hAnsi="Arial" w:cs="Arial"/>
          <w:sz w:val="20"/>
          <w:szCs w:val="20"/>
        </w:rPr>
        <w:t>was</w:t>
      </w:r>
      <w:r w:rsidR="0042316F" w:rsidRPr="00332E2C">
        <w:rPr>
          <w:rFonts w:ascii="Arial" w:hAnsi="Arial" w:cs="Arial"/>
          <w:sz w:val="20"/>
          <w:szCs w:val="20"/>
        </w:rPr>
        <w:t xml:space="preserve"> clearly underfunded in the Compensation of Employees and operations</w:t>
      </w:r>
      <w:r w:rsidR="002C3750" w:rsidRPr="00332E2C">
        <w:rPr>
          <w:rFonts w:ascii="Arial" w:hAnsi="Arial" w:cs="Arial"/>
          <w:sz w:val="20"/>
          <w:szCs w:val="20"/>
        </w:rPr>
        <w:t xml:space="preserve"> and spent over R200 million</w:t>
      </w:r>
      <w:r w:rsidR="0042316F" w:rsidRPr="00332E2C">
        <w:rPr>
          <w:rFonts w:ascii="Arial" w:hAnsi="Arial" w:cs="Arial"/>
          <w:sz w:val="20"/>
          <w:szCs w:val="20"/>
        </w:rPr>
        <w:t xml:space="preserve">. The IPID only has R8.9 million for operations and this was of particular concern given that it wanted to re-open closed offices. </w:t>
      </w:r>
      <w:r w:rsidR="007C4DE5" w:rsidRPr="00332E2C">
        <w:rPr>
          <w:rFonts w:ascii="Arial" w:hAnsi="Arial" w:cs="Arial"/>
          <w:sz w:val="20"/>
          <w:szCs w:val="20"/>
        </w:rPr>
        <w:t>Members pointed out that if those offices were to re-open, they would be expected to be fully operational.</w:t>
      </w:r>
    </w:p>
    <w:p w:rsidR="0042316F" w:rsidRPr="00332E2C" w:rsidRDefault="0042316F" w:rsidP="00332E2C">
      <w:pPr>
        <w:spacing w:after="0" w:line="240" w:lineRule="auto"/>
        <w:ind w:left="720" w:hanging="720"/>
        <w:jc w:val="both"/>
        <w:rPr>
          <w:rFonts w:ascii="Arial" w:hAnsi="Arial" w:cs="Arial"/>
          <w:sz w:val="20"/>
          <w:szCs w:val="20"/>
        </w:rPr>
      </w:pPr>
    </w:p>
    <w:p w:rsidR="00FD5E1D"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4.3</w:t>
      </w:r>
      <w:r w:rsidRPr="00332E2C">
        <w:rPr>
          <w:rFonts w:ascii="Arial" w:hAnsi="Arial" w:cs="Arial"/>
          <w:sz w:val="20"/>
          <w:szCs w:val="20"/>
        </w:rPr>
        <w:tab/>
      </w:r>
      <w:r w:rsidR="00FD5E1D" w:rsidRPr="00332E2C">
        <w:rPr>
          <w:rFonts w:ascii="Arial" w:hAnsi="Arial" w:cs="Arial"/>
          <w:sz w:val="20"/>
          <w:szCs w:val="20"/>
        </w:rPr>
        <w:t>A</w:t>
      </w:r>
      <w:r w:rsidR="0012376D" w:rsidRPr="00332E2C">
        <w:rPr>
          <w:rFonts w:ascii="Arial" w:hAnsi="Arial" w:cs="Arial"/>
          <w:sz w:val="20"/>
          <w:szCs w:val="20"/>
        </w:rPr>
        <w:t xml:space="preserve">Member </w:t>
      </w:r>
      <w:r w:rsidR="00FD5E1D" w:rsidRPr="00332E2C">
        <w:rPr>
          <w:rFonts w:ascii="Arial" w:hAnsi="Arial" w:cs="Arial"/>
          <w:sz w:val="20"/>
          <w:szCs w:val="20"/>
        </w:rPr>
        <w:t>pointed out that the Free State budget allocation was decreasing every year and has decreased from 11.7% to just over 11% during the current budget year. There are clear indications that the number of complaints received in the Free state is the most in the country and the Member wanted to know how the IPID was going to manage the pr</w:t>
      </w:r>
      <w:r w:rsidR="00E87595" w:rsidRPr="00332E2C">
        <w:rPr>
          <w:rFonts w:ascii="Arial" w:hAnsi="Arial" w:cs="Arial"/>
          <w:sz w:val="20"/>
          <w:szCs w:val="20"/>
        </w:rPr>
        <w:t>oblem in</w:t>
      </w:r>
      <w:r w:rsidR="00FD5E1D" w:rsidRPr="00332E2C">
        <w:rPr>
          <w:rFonts w:ascii="Arial" w:hAnsi="Arial" w:cs="Arial"/>
          <w:sz w:val="20"/>
          <w:szCs w:val="20"/>
        </w:rPr>
        <w:t xml:space="preserve"> the province?</w:t>
      </w:r>
    </w:p>
    <w:p w:rsidR="00897621"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 xml:space="preserve">4.4 </w:t>
      </w:r>
      <w:r w:rsidRPr="00332E2C">
        <w:rPr>
          <w:rFonts w:ascii="Arial" w:hAnsi="Arial" w:cs="Arial"/>
          <w:sz w:val="20"/>
          <w:szCs w:val="20"/>
        </w:rPr>
        <w:tab/>
        <w:t xml:space="preserve">The Committee enquired about the </w:t>
      </w:r>
      <w:r w:rsidR="00897621" w:rsidRPr="00332E2C">
        <w:rPr>
          <w:rFonts w:ascii="Arial" w:hAnsi="Arial" w:cs="Arial"/>
          <w:sz w:val="20"/>
          <w:szCs w:val="20"/>
        </w:rPr>
        <w:t xml:space="preserve">reasons for the increase in the number of complaints of assaults by police officers during the lockdown and wanted an explanation from the Department. </w:t>
      </w:r>
      <w:r w:rsidR="00E87595" w:rsidRPr="00332E2C">
        <w:rPr>
          <w:rFonts w:ascii="Arial" w:hAnsi="Arial" w:cs="Arial"/>
          <w:sz w:val="20"/>
          <w:szCs w:val="20"/>
        </w:rPr>
        <w:t>Members were worried that the case backlogs would increase as a result.</w:t>
      </w:r>
    </w:p>
    <w:p w:rsidR="00897621"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4.5</w:t>
      </w:r>
      <w:r w:rsidRPr="00332E2C">
        <w:rPr>
          <w:rFonts w:ascii="Arial" w:hAnsi="Arial" w:cs="Arial"/>
          <w:sz w:val="20"/>
          <w:szCs w:val="20"/>
        </w:rPr>
        <w:tab/>
        <w:t xml:space="preserve">The Committee </w:t>
      </w:r>
      <w:r w:rsidR="00897621" w:rsidRPr="00332E2C">
        <w:rPr>
          <w:rFonts w:ascii="Arial" w:hAnsi="Arial" w:cs="Arial"/>
          <w:sz w:val="20"/>
          <w:szCs w:val="20"/>
        </w:rPr>
        <w:t>asked the Department to outline the areas where they have capacity constraints as they only outlined the areas where they have achieved targets</w:t>
      </w:r>
    </w:p>
    <w:p w:rsidR="00854755" w:rsidRPr="00332E2C" w:rsidRDefault="00E87595" w:rsidP="00332E2C">
      <w:pPr>
        <w:spacing w:after="0" w:line="240" w:lineRule="auto"/>
        <w:ind w:left="720" w:hanging="720"/>
        <w:jc w:val="both"/>
        <w:rPr>
          <w:rFonts w:ascii="Arial" w:hAnsi="Arial" w:cs="Arial"/>
          <w:sz w:val="20"/>
          <w:szCs w:val="20"/>
        </w:rPr>
      </w:pPr>
      <w:r w:rsidRPr="00332E2C">
        <w:rPr>
          <w:rFonts w:ascii="Arial" w:hAnsi="Arial" w:cs="Arial"/>
          <w:sz w:val="20"/>
          <w:szCs w:val="20"/>
        </w:rPr>
        <w:t>4.6</w:t>
      </w:r>
      <w:r w:rsidRPr="00332E2C">
        <w:rPr>
          <w:rFonts w:ascii="Arial" w:hAnsi="Arial" w:cs="Arial"/>
          <w:sz w:val="20"/>
          <w:szCs w:val="20"/>
        </w:rPr>
        <w:tab/>
        <w:t>The Committee wanted to know about the numbers of the top management of the SAPS were the target of anti-corruption investigations and how many have been arrested, suspended, arrested and /or convicted. Where there were such cases, Members wanted to know if there were such cases, how long they were under investigation.</w:t>
      </w:r>
    </w:p>
    <w:p w:rsidR="00854755" w:rsidRPr="00332E2C" w:rsidRDefault="00854755" w:rsidP="00332E2C">
      <w:pPr>
        <w:spacing w:after="0" w:line="240" w:lineRule="auto"/>
        <w:ind w:left="720" w:hanging="720"/>
        <w:jc w:val="both"/>
        <w:rPr>
          <w:rFonts w:ascii="Arial" w:hAnsi="Arial" w:cs="Arial"/>
          <w:sz w:val="20"/>
          <w:szCs w:val="20"/>
        </w:rPr>
      </w:pPr>
      <w:r w:rsidRPr="00332E2C">
        <w:rPr>
          <w:rFonts w:ascii="Arial" w:hAnsi="Arial" w:cs="Arial"/>
          <w:sz w:val="20"/>
          <w:szCs w:val="20"/>
        </w:rPr>
        <w:t>4.7</w:t>
      </w:r>
      <w:r w:rsidRPr="00332E2C">
        <w:rPr>
          <w:rFonts w:ascii="Arial" w:hAnsi="Arial" w:cs="Arial"/>
          <w:sz w:val="20"/>
          <w:szCs w:val="20"/>
        </w:rPr>
        <w:tab/>
        <w:t>The Committee noted its displeasure with the fact that the IPID Executive Director has not been appointed and no nominee has been brought to the Committee for approval from the Minister. The Committee noted that the Executive Director had to be appointed at the end of February 2020. The Minister was in cont</w:t>
      </w:r>
      <w:r w:rsidR="00A14F14" w:rsidRPr="00332E2C">
        <w:rPr>
          <w:rFonts w:ascii="Arial" w:hAnsi="Arial" w:cs="Arial"/>
          <w:sz w:val="20"/>
          <w:szCs w:val="20"/>
        </w:rPr>
        <w:t>ravention</w:t>
      </w:r>
      <w:r w:rsidRPr="00332E2C">
        <w:rPr>
          <w:rFonts w:ascii="Arial" w:hAnsi="Arial" w:cs="Arial"/>
          <w:sz w:val="20"/>
          <w:szCs w:val="20"/>
        </w:rPr>
        <w:t xml:space="preserve"> of the IPID Act by not bringing his nominee to Parliament for approval. This led to instability in the current leadership with acting appointments being made and the Committee wanted this changed as it did not inspire confidence and led to a loss of morale amongst the staff. The Members of the Committee was unanimous in its demand for the appointment of the Executive Director to be made within three months.</w:t>
      </w:r>
    </w:p>
    <w:p w:rsidR="00A14F14" w:rsidRPr="00332E2C" w:rsidRDefault="00854755" w:rsidP="00332E2C">
      <w:pPr>
        <w:spacing w:after="0" w:line="240" w:lineRule="auto"/>
        <w:ind w:left="720" w:hanging="720"/>
        <w:jc w:val="both"/>
        <w:rPr>
          <w:rFonts w:ascii="Arial" w:hAnsi="Arial" w:cs="Arial"/>
          <w:sz w:val="20"/>
          <w:szCs w:val="20"/>
        </w:rPr>
      </w:pPr>
      <w:r w:rsidRPr="00332E2C">
        <w:rPr>
          <w:rFonts w:ascii="Arial" w:hAnsi="Arial" w:cs="Arial"/>
          <w:sz w:val="20"/>
          <w:szCs w:val="20"/>
        </w:rPr>
        <w:t>4.8</w:t>
      </w:r>
      <w:r w:rsidRPr="00332E2C">
        <w:rPr>
          <w:rFonts w:ascii="Arial" w:hAnsi="Arial" w:cs="Arial"/>
          <w:sz w:val="20"/>
          <w:szCs w:val="20"/>
        </w:rPr>
        <w:tab/>
        <w:t xml:space="preserve">The Committee noted that the Department was under-performing as they </w:t>
      </w:r>
      <w:r w:rsidR="00A14F14" w:rsidRPr="00332E2C">
        <w:rPr>
          <w:rFonts w:ascii="Arial" w:hAnsi="Arial" w:cs="Arial"/>
          <w:sz w:val="20"/>
          <w:szCs w:val="20"/>
        </w:rPr>
        <w:t xml:space="preserve">have prematurely </w:t>
      </w:r>
      <w:r w:rsidRPr="00332E2C">
        <w:rPr>
          <w:rFonts w:ascii="Arial" w:hAnsi="Arial" w:cs="Arial"/>
          <w:sz w:val="20"/>
          <w:szCs w:val="20"/>
        </w:rPr>
        <w:t>closed 2015 cases, referred 23 to the NPA without success and they looking for additional space.</w:t>
      </w:r>
    </w:p>
    <w:p w:rsidR="00A14F14" w:rsidRPr="00332E2C" w:rsidRDefault="00A14F14" w:rsidP="00332E2C">
      <w:pPr>
        <w:spacing w:after="0" w:line="240" w:lineRule="auto"/>
        <w:ind w:left="720" w:hanging="720"/>
        <w:jc w:val="both"/>
        <w:rPr>
          <w:rFonts w:ascii="Arial" w:hAnsi="Arial" w:cs="Arial"/>
          <w:sz w:val="20"/>
          <w:szCs w:val="20"/>
        </w:rPr>
      </w:pPr>
      <w:r w:rsidRPr="00332E2C">
        <w:rPr>
          <w:rFonts w:ascii="Arial" w:hAnsi="Arial" w:cs="Arial"/>
          <w:sz w:val="20"/>
          <w:szCs w:val="20"/>
        </w:rPr>
        <w:t>4.9</w:t>
      </w:r>
      <w:r w:rsidRPr="00332E2C">
        <w:rPr>
          <w:rFonts w:ascii="Arial" w:hAnsi="Arial" w:cs="Arial"/>
          <w:sz w:val="20"/>
          <w:szCs w:val="20"/>
        </w:rPr>
        <w:tab/>
        <w:t>Members questioned the matter of decision-ready cases and the fact that the APCOF had made some recommendations. The IPID was asked if they would cooperate with APCOF to rectify the APP targets. Members also wanted to know why they only had five case docket investigations.</w:t>
      </w:r>
    </w:p>
    <w:p w:rsidR="00A14F14" w:rsidRPr="00332E2C" w:rsidRDefault="00A14F14" w:rsidP="00332E2C">
      <w:pPr>
        <w:spacing w:after="0" w:line="240" w:lineRule="auto"/>
        <w:ind w:left="720" w:hanging="720"/>
        <w:jc w:val="both"/>
        <w:rPr>
          <w:rFonts w:ascii="Arial" w:hAnsi="Arial" w:cs="Arial"/>
          <w:sz w:val="20"/>
          <w:szCs w:val="20"/>
        </w:rPr>
      </w:pPr>
      <w:r w:rsidRPr="00332E2C">
        <w:rPr>
          <w:rFonts w:ascii="Arial" w:hAnsi="Arial" w:cs="Arial"/>
          <w:sz w:val="20"/>
          <w:szCs w:val="20"/>
        </w:rPr>
        <w:t>4.10</w:t>
      </w:r>
      <w:r w:rsidRPr="00332E2C">
        <w:rPr>
          <w:rFonts w:ascii="Arial" w:hAnsi="Arial" w:cs="Arial"/>
          <w:sz w:val="20"/>
          <w:szCs w:val="20"/>
        </w:rPr>
        <w:tab/>
        <w:t>The Committee was not satisfied with the IPID’s explanation of the distinction between COVID-19 cases and ordinary cases. The Committee asked what the criteria was for a case to be classified in the COVID-19 category.</w:t>
      </w:r>
    </w:p>
    <w:p w:rsidR="00A14F14" w:rsidRPr="00332E2C" w:rsidRDefault="00A14F14" w:rsidP="00332E2C">
      <w:pPr>
        <w:spacing w:after="0" w:line="240" w:lineRule="auto"/>
        <w:ind w:left="720" w:hanging="720"/>
        <w:jc w:val="both"/>
        <w:rPr>
          <w:rFonts w:ascii="Arial" w:hAnsi="Arial" w:cs="Arial"/>
          <w:sz w:val="20"/>
          <w:szCs w:val="20"/>
        </w:rPr>
      </w:pPr>
      <w:r w:rsidRPr="00332E2C">
        <w:rPr>
          <w:rFonts w:ascii="Arial" w:hAnsi="Arial" w:cs="Arial"/>
          <w:sz w:val="20"/>
          <w:szCs w:val="20"/>
        </w:rPr>
        <w:t>4.11</w:t>
      </w:r>
      <w:r w:rsidRPr="00332E2C">
        <w:rPr>
          <w:rFonts w:ascii="Arial" w:hAnsi="Arial" w:cs="Arial"/>
          <w:sz w:val="20"/>
          <w:szCs w:val="20"/>
        </w:rPr>
        <w:tab/>
        <w:t xml:space="preserve">The Department was asked to provide cases per province and what the case monitoring statistics were. </w:t>
      </w:r>
      <w:r w:rsidR="00854755" w:rsidRPr="00332E2C">
        <w:rPr>
          <w:rFonts w:ascii="Arial" w:hAnsi="Arial" w:cs="Arial"/>
          <w:sz w:val="20"/>
          <w:szCs w:val="20"/>
        </w:rPr>
        <w:tab/>
      </w:r>
    </w:p>
    <w:p w:rsidR="00E87595" w:rsidRPr="00332E2C" w:rsidRDefault="00A14F14" w:rsidP="00332E2C">
      <w:pPr>
        <w:spacing w:after="0" w:line="240" w:lineRule="auto"/>
        <w:ind w:left="720" w:hanging="720"/>
        <w:jc w:val="both"/>
        <w:rPr>
          <w:rFonts w:ascii="Arial" w:hAnsi="Arial" w:cs="Arial"/>
          <w:sz w:val="20"/>
          <w:szCs w:val="20"/>
        </w:rPr>
      </w:pPr>
      <w:r w:rsidRPr="00332E2C">
        <w:rPr>
          <w:rFonts w:ascii="Arial" w:hAnsi="Arial" w:cs="Arial"/>
          <w:sz w:val="20"/>
          <w:szCs w:val="20"/>
        </w:rPr>
        <w:t>4.12</w:t>
      </w:r>
      <w:r w:rsidRPr="00332E2C">
        <w:rPr>
          <w:rFonts w:ascii="Arial" w:hAnsi="Arial" w:cs="Arial"/>
          <w:sz w:val="20"/>
          <w:szCs w:val="20"/>
        </w:rPr>
        <w:tab/>
        <w:t xml:space="preserve">The Committee question the IPID if there was any interference in their investigations by the senior management of SAPS </w:t>
      </w:r>
      <w:r w:rsidR="00227075" w:rsidRPr="00332E2C">
        <w:rPr>
          <w:rFonts w:ascii="Arial" w:hAnsi="Arial" w:cs="Arial"/>
          <w:sz w:val="20"/>
          <w:szCs w:val="20"/>
        </w:rPr>
        <w:t xml:space="preserve">or political leaders. Members wanted to know what the root cause of the attitude of police officers was when they abused citizens. Members wanted to know if this attitude was as a result of the training the SAPS received. </w:t>
      </w:r>
      <w:r w:rsidR="003825C9" w:rsidRPr="00332E2C">
        <w:rPr>
          <w:rFonts w:ascii="Arial" w:hAnsi="Arial" w:cs="Arial"/>
          <w:sz w:val="20"/>
          <w:szCs w:val="20"/>
        </w:rPr>
        <w:t xml:space="preserve">Members noted that the role the Minister plays provide a particular culture to police officers.  </w:t>
      </w:r>
    </w:p>
    <w:p w:rsidR="003825C9" w:rsidRPr="00332E2C" w:rsidRDefault="00227075" w:rsidP="00332E2C">
      <w:pPr>
        <w:spacing w:after="0" w:line="240" w:lineRule="auto"/>
        <w:ind w:left="720" w:hanging="720"/>
        <w:jc w:val="both"/>
        <w:rPr>
          <w:rFonts w:ascii="Arial" w:hAnsi="Arial" w:cs="Arial"/>
          <w:sz w:val="20"/>
          <w:szCs w:val="20"/>
        </w:rPr>
      </w:pPr>
      <w:r w:rsidRPr="00332E2C">
        <w:rPr>
          <w:rFonts w:ascii="Arial" w:hAnsi="Arial" w:cs="Arial"/>
          <w:sz w:val="20"/>
          <w:szCs w:val="20"/>
        </w:rPr>
        <w:t>4.13</w:t>
      </w:r>
      <w:r w:rsidRPr="00332E2C">
        <w:rPr>
          <w:rFonts w:ascii="Arial" w:hAnsi="Arial" w:cs="Arial"/>
          <w:sz w:val="20"/>
          <w:szCs w:val="20"/>
        </w:rPr>
        <w:tab/>
      </w:r>
      <w:r w:rsidR="003825C9" w:rsidRPr="00332E2C">
        <w:rPr>
          <w:rFonts w:ascii="Arial" w:hAnsi="Arial" w:cs="Arial"/>
          <w:sz w:val="20"/>
          <w:szCs w:val="20"/>
        </w:rPr>
        <w:t>The Committee was reminded that the Committee has powers and obligations with respect to the IPID Amendment Bill and the role of the Committee was to hold the Executive to account. Members asked that Committee enquire about the Amendment Bill and whether it has been signed by the President. There was a second judgement with respect to IPID in the form of the Khosa Judgement and it was time that the Committee look at a possible amendment. Members favoured the principle of independence for IPID as encapsulated in the McBride judgement.</w:t>
      </w:r>
    </w:p>
    <w:p w:rsidR="003825C9" w:rsidRPr="00332E2C" w:rsidRDefault="003709D0" w:rsidP="00332E2C">
      <w:pPr>
        <w:spacing w:after="0" w:line="240" w:lineRule="auto"/>
        <w:ind w:left="720" w:hanging="720"/>
        <w:jc w:val="both"/>
        <w:rPr>
          <w:rFonts w:ascii="Arial" w:hAnsi="Arial" w:cs="Arial"/>
          <w:sz w:val="20"/>
          <w:szCs w:val="20"/>
        </w:rPr>
      </w:pPr>
      <w:r w:rsidRPr="00332E2C">
        <w:rPr>
          <w:rFonts w:ascii="Arial" w:hAnsi="Arial" w:cs="Arial"/>
          <w:sz w:val="20"/>
          <w:szCs w:val="20"/>
        </w:rPr>
        <w:t>4.14</w:t>
      </w:r>
      <w:r w:rsidRPr="00332E2C">
        <w:rPr>
          <w:rFonts w:ascii="Arial" w:hAnsi="Arial" w:cs="Arial"/>
          <w:sz w:val="20"/>
          <w:szCs w:val="20"/>
        </w:rPr>
        <w:tab/>
        <w:t>The Committee had an extensive discussion on the implications of the Khosa Judgement with respect to the implications of the death of Mr Collins Khosa. Members noted that it was an opportunity to uphold the independence of the IPID.</w:t>
      </w:r>
    </w:p>
    <w:p w:rsidR="003709D0" w:rsidRPr="00332E2C" w:rsidRDefault="003709D0" w:rsidP="00332E2C">
      <w:pPr>
        <w:spacing w:after="0" w:line="240" w:lineRule="auto"/>
        <w:ind w:left="720" w:hanging="720"/>
        <w:jc w:val="both"/>
        <w:rPr>
          <w:rFonts w:ascii="Arial" w:hAnsi="Arial" w:cs="Arial"/>
          <w:sz w:val="20"/>
          <w:szCs w:val="20"/>
        </w:rPr>
      </w:pPr>
      <w:r w:rsidRPr="00332E2C">
        <w:rPr>
          <w:rFonts w:ascii="Arial" w:hAnsi="Arial" w:cs="Arial"/>
          <w:sz w:val="20"/>
          <w:szCs w:val="20"/>
        </w:rPr>
        <w:t>4.15</w:t>
      </w:r>
      <w:r w:rsidRPr="00332E2C">
        <w:rPr>
          <w:rFonts w:ascii="Arial" w:hAnsi="Arial" w:cs="Arial"/>
          <w:sz w:val="20"/>
          <w:szCs w:val="20"/>
        </w:rPr>
        <w:tab/>
        <w:t>The Committee again questioned the Minister about a case of police brutality in the Stand where a woman was allegedly manhandled by the SAPS. It was pointed out that the Khosa judgement stated that the purpose of arrest should not be to punish, scare or harass the individual and the SAPS did that with the woman in Strand. Members also wanted to know how the Ministry and the department intended to implement the Khosa judgement.</w:t>
      </w:r>
    </w:p>
    <w:p w:rsidR="003709D0" w:rsidRPr="00332E2C" w:rsidRDefault="003709D0" w:rsidP="00332E2C">
      <w:pPr>
        <w:spacing w:after="0" w:line="240" w:lineRule="auto"/>
        <w:ind w:left="720" w:hanging="720"/>
        <w:jc w:val="both"/>
        <w:rPr>
          <w:rFonts w:ascii="Arial" w:hAnsi="Arial" w:cs="Arial"/>
          <w:sz w:val="20"/>
          <w:szCs w:val="20"/>
        </w:rPr>
      </w:pPr>
      <w:r w:rsidRPr="00332E2C">
        <w:rPr>
          <w:rFonts w:ascii="Arial" w:hAnsi="Arial" w:cs="Arial"/>
          <w:sz w:val="20"/>
          <w:szCs w:val="20"/>
        </w:rPr>
        <w:t>4.16</w:t>
      </w:r>
      <w:r w:rsidRPr="00332E2C">
        <w:rPr>
          <w:rFonts w:ascii="Arial" w:hAnsi="Arial" w:cs="Arial"/>
          <w:sz w:val="20"/>
          <w:szCs w:val="20"/>
        </w:rPr>
        <w:tab/>
        <w:t xml:space="preserve">The Committee was concerned that the SAPS members were not trained in conflict resolution and were not professional enough. They are not equipped to debrief people and the SAPS officers are not properly debriefed themselves. They cannot calm people they police, especially rape survivors and Gender Based Violence survivors. Women were not happy with the service they receive through toll-free numbers.  Police officers should be trained and they should </w:t>
      </w:r>
      <w:r w:rsidR="00B57C2E" w:rsidRPr="00332E2C">
        <w:rPr>
          <w:rFonts w:ascii="Arial" w:hAnsi="Arial" w:cs="Arial"/>
          <w:sz w:val="20"/>
          <w:szCs w:val="20"/>
        </w:rPr>
        <w:t>not be responding to provocation from the public and there should be measures in place to prevent police officers responding.</w:t>
      </w:r>
    </w:p>
    <w:p w:rsidR="00B57C2E" w:rsidRPr="00332E2C" w:rsidRDefault="00B57C2E" w:rsidP="00332E2C">
      <w:pPr>
        <w:spacing w:after="0" w:line="240" w:lineRule="auto"/>
        <w:ind w:left="720" w:hanging="720"/>
        <w:jc w:val="both"/>
        <w:rPr>
          <w:rFonts w:ascii="Arial" w:hAnsi="Arial" w:cs="Arial"/>
          <w:sz w:val="20"/>
          <w:szCs w:val="20"/>
        </w:rPr>
      </w:pPr>
      <w:r w:rsidRPr="00332E2C">
        <w:rPr>
          <w:rFonts w:ascii="Arial" w:hAnsi="Arial" w:cs="Arial"/>
          <w:sz w:val="20"/>
          <w:szCs w:val="20"/>
        </w:rPr>
        <w:t>4.17</w:t>
      </w:r>
      <w:r w:rsidRPr="00332E2C">
        <w:rPr>
          <w:rFonts w:ascii="Arial" w:hAnsi="Arial" w:cs="Arial"/>
          <w:sz w:val="20"/>
          <w:szCs w:val="20"/>
        </w:rPr>
        <w:tab/>
        <w:t>The Committee questioned the IPID about the reopening of the Miggels case where the police assaulted an individual who subsequently died of a heart attack. The IPID was asked to also look for the journalist that was chased by the police and subsequently fled to Lesotho.</w:t>
      </w:r>
    </w:p>
    <w:p w:rsidR="00B57C2E" w:rsidRPr="00332E2C" w:rsidRDefault="00B57C2E" w:rsidP="00332E2C">
      <w:pPr>
        <w:spacing w:after="0" w:line="240" w:lineRule="auto"/>
        <w:ind w:left="720" w:hanging="720"/>
        <w:jc w:val="both"/>
        <w:rPr>
          <w:rFonts w:ascii="Arial" w:hAnsi="Arial" w:cs="Arial"/>
          <w:sz w:val="20"/>
          <w:szCs w:val="20"/>
        </w:rPr>
      </w:pPr>
      <w:r w:rsidRPr="00332E2C">
        <w:rPr>
          <w:rFonts w:ascii="Arial" w:hAnsi="Arial" w:cs="Arial"/>
          <w:sz w:val="20"/>
          <w:szCs w:val="20"/>
        </w:rPr>
        <w:t>4.19</w:t>
      </w:r>
      <w:r w:rsidRPr="00332E2C">
        <w:rPr>
          <w:rFonts w:ascii="Arial" w:hAnsi="Arial" w:cs="Arial"/>
          <w:sz w:val="20"/>
          <w:szCs w:val="20"/>
        </w:rPr>
        <w:tab/>
        <w:t>Members raised their misgivings about people making complaints to political parties. These complaints should not go to political parties but to the IPID.</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ab/>
      </w:r>
    </w:p>
    <w:p w:rsidR="00897621" w:rsidRPr="00332E2C" w:rsidRDefault="00A03D4D" w:rsidP="00332E2C">
      <w:pPr>
        <w:spacing w:after="0" w:line="240" w:lineRule="auto"/>
        <w:ind w:left="720" w:hanging="720"/>
        <w:jc w:val="both"/>
        <w:rPr>
          <w:rFonts w:ascii="Arial" w:hAnsi="Arial" w:cs="Arial"/>
          <w:b/>
          <w:sz w:val="20"/>
          <w:szCs w:val="20"/>
        </w:rPr>
      </w:pPr>
      <w:r w:rsidRPr="00332E2C">
        <w:rPr>
          <w:rFonts w:ascii="Arial" w:hAnsi="Arial" w:cs="Arial"/>
          <w:b/>
          <w:sz w:val="20"/>
          <w:szCs w:val="20"/>
        </w:rPr>
        <w:t>4.2</w:t>
      </w:r>
      <w:r w:rsidRPr="00332E2C">
        <w:rPr>
          <w:rFonts w:ascii="Arial" w:hAnsi="Arial" w:cs="Arial"/>
          <w:b/>
          <w:sz w:val="20"/>
          <w:szCs w:val="20"/>
        </w:rPr>
        <w:tab/>
      </w:r>
      <w:r w:rsidR="00897621" w:rsidRPr="00332E2C">
        <w:rPr>
          <w:rFonts w:ascii="Arial" w:hAnsi="Arial" w:cs="Arial"/>
          <w:b/>
          <w:sz w:val="20"/>
          <w:szCs w:val="20"/>
        </w:rPr>
        <w:t>IPID Responses</w:t>
      </w:r>
    </w:p>
    <w:p w:rsidR="00A62C50" w:rsidRPr="00332E2C" w:rsidRDefault="00A62C50" w:rsidP="00332E2C">
      <w:pPr>
        <w:spacing w:after="0" w:line="240" w:lineRule="auto"/>
        <w:jc w:val="both"/>
        <w:rPr>
          <w:rFonts w:ascii="Arial" w:hAnsi="Arial" w:cs="Arial"/>
          <w:sz w:val="20"/>
          <w:szCs w:val="20"/>
        </w:rPr>
      </w:pPr>
      <w:r w:rsidRPr="00332E2C">
        <w:rPr>
          <w:rFonts w:ascii="Arial" w:hAnsi="Arial" w:cs="Arial"/>
          <w:sz w:val="20"/>
          <w:szCs w:val="20"/>
        </w:rPr>
        <w:t>I</w:t>
      </w:r>
      <w:r w:rsidR="00897621" w:rsidRPr="00332E2C">
        <w:rPr>
          <w:rFonts w:ascii="Arial" w:hAnsi="Arial" w:cs="Arial"/>
          <w:sz w:val="20"/>
          <w:szCs w:val="20"/>
        </w:rPr>
        <w:t xml:space="preserve">n its response, the IPID stated that the targets for Programme 2 was reviewed after a </w:t>
      </w:r>
      <w:r w:rsidRPr="00332E2C">
        <w:rPr>
          <w:rFonts w:ascii="Arial" w:hAnsi="Arial" w:cs="Arial"/>
          <w:sz w:val="20"/>
          <w:szCs w:val="20"/>
        </w:rPr>
        <w:t>Lekgothla and due to its previous performance, the Department had used historical data</w:t>
      </w:r>
      <w:r w:rsidR="002C3750" w:rsidRPr="00332E2C">
        <w:rPr>
          <w:rFonts w:ascii="Arial" w:hAnsi="Arial" w:cs="Arial"/>
          <w:sz w:val="20"/>
          <w:szCs w:val="20"/>
        </w:rPr>
        <w:t xml:space="preserve">. The performance targets, backlog cases and active cases in the new APP were merged. This resulted in the perceived increase in targets. </w:t>
      </w:r>
    </w:p>
    <w:p w:rsidR="002C3750" w:rsidRPr="00332E2C" w:rsidRDefault="002C3750" w:rsidP="00332E2C">
      <w:pPr>
        <w:spacing w:after="0" w:line="240" w:lineRule="auto"/>
        <w:jc w:val="both"/>
        <w:rPr>
          <w:rFonts w:ascii="Arial" w:hAnsi="Arial" w:cs="Arial"/>
          <w:sz w:val="20"/>
          <w:szCs w:val="20"/>
        </w:rPr>
      </w:pPr>
      <w:r w:rsidRPr="00332E2C">
        <w:rPr>
          <w:rFonts w:ascii="Arial" w:hAnsi="Arial" w:cs="Arial"/>
          <w:sz w:val="20"/>
          <w:szCs w:val="20"/>
        </w:rPr>
        <w:t xml:space="preserve">The Department also indicated that the APP and the Strategic Plan was conceptualised in consultation with the Department of Performance Monitoring and Evaluation and the IPID was advised to report on the indicators in the Annual Operational Plan.  </w:t>
      </w:r>
    </w:p>
    <w:p w:rsidR="002C3750" w:rsidRPr="00332E2C" w:rsidRDefault="00A62C50" w:rsidP="00332E2C">
      <w:pPr>
        <w:spacing w:after="0" w:line="240" w:lineRule="auto"/>
        <w:jc w:val="both"/>
        <w:rPr>
          <w:rFonts w:ascii="Arial" w:hAnsi="Arial" w:cs="Arial"/>
          <w:sz w:val="20"/>
          <w:szCs w:val="20"/>
        </w:rPr>
      </w:pPr>
      <w:r w:rsidRPr="00332E2C">
        <w:rPr>
          <w:rFonts w:ascii="Arial" w:hAnsi="Arial" w:cs="Arial"/>
          <w:sz w:val="20"/>
          <w:szCs w:val="20"/>
        </w:rPr>
        <w:t>The Department was considering how the satellite offices it wants to re-open, could save the Department money. In view of the great distances that the investigators had to travel to the areas where there were no offices, they incurred huge fuel bills. They would be saving on these costs to re-open the satellite offices and have access to the community.</w:t>
      </w:r>
      <w:r w:rsidR="002C3750" w:rsidRPr="00332E2C">
        <w:rPr>
          <w:rFonts w:ascii="Arial" w:hAnsi="Arial" w:cs="Arial"/>
          <w:sz w:val="20"/>
          <w:szCs w:val="20"/>
        </w:rPr>
        <w:t xml:space="preserve"> The Department would strive to re-prioritise and reduce expenditure on non-core items.</w:t>
      </w:r>
    </w:p>
    <w:p w:rsidR="002C3750" w:rsidRPr="00332E2C" w:rsidRDefault="002C3750" w:rsidP="00332E2C">
      <w:pPr>
        <w:spacing w:after="0" w:line="240" w:lineRule="auto"/>
        <w:jc w:val="both"/>
        <w:rPr>
          <w:rFonts w:ascii="Arial" w:hAnsi="Arial" w:cs="Arial"/>
          <w:sz w:val="20"/>
          <w:szCs w:val="20"/>
        </w:rPr>
      </w:pPr>
      <w:r w:rsidRPr="00332E2C">
        <w:rPr>
          <w:rFonts w:ascii="Arial" w:hAnsi="Arial" w:cs="Arial"/>
          <w:sz w:val="20"/>
          <w:szCs w:val="20"/>
        </w:rPr>
        <w:t xml:space="preserve">The Department has used the following criteria to consider allocating resources to the provinces: size of the province; case intake numbers and the number of investigators. The Free State province was allocated more investigators </w:t>
      </w:r>
      <w:r w:rsidR="00C255F4" w:rsidRPr="00332E2C">
        <w:rPr>
          <w:rFonts w:ascii="Arial" w:hAnsi="Arial" w:cs="Arial"/>
          <w:sz w:val="20"/>
          <w:szCs w:val="20"/>
        </w:rPr>
        <w:t xml:space="preserve">during the COVID-19 lockdown. </w:t>
      </w:r>
    </w:p>
    <w:p w:rsidR="00A62C50" w:rsidRPr="00332E2C" w:rsidRDefault="002C3750" w:rsidP="00332E2C">
      <w:pPr>
        <w:spacing w:after="0" w:line="240" w:lineRule="auto"/>
        <w:jc w:val="both"/>
        <w:rPr>
          <w:rFonts w:ascii="Arial" w:hAnsi="Arial" w:cs="Arial"/>
          <w:sz w:val="20"/>
          <w:szCs w:val="20"/>
        </w:rPr>
      </w:pPr>
      <w:r w:rsidRPr="00332E2C">
        <w:rPr>
          <w:rFonts w:ascii="Arial" w:hAnsi="Arial" w:cs="Arial"/>
          <w:sz w:val="20"/>
          <w:szCs w:val="20"/>
        </w:rPr>
        <w:t xml:space="preserve">The Department has also aligned its budget and reprioritised high impact cases such as death, rape, Gender Based Violence and corruption. </w:t>
      </w:r>
    </w:p>
    <w:p w:rsidR="00A62C50" w:rsidRPr="00332E2C" w:rsidRDefault="00A62C50" w:rsidP="00332E2C">
      <w:pPr>
        <w:spacing w:after="0" w:line="240" w:lineRule="auto"/>
        <w:jc w:val="both"/>
        <w:rPr>
          <w:rFonts w:ascii="Arial" w:hAnsi="Arial" w:cs="Arial"/>
          <w:sz w:val="20"/>
          <w:szCs w:val="20"/>
        </w:rPr>
      </w:pPr>
      <w:r w:rsidRPr="00332E2C">
        <w:rPr>
          <w:rFonts w:ascii="Arial" w:hAnsi="Arial" w:cs="Arial"/>
          <w:sz w:val="20"/>
          <w:szCs w:val="20"/>
        </w:rPr>
        <w:t>As far as relocation was concerned, the Department will move into its new offices procured by the Department of Public works at the end of July. The rental is currently less than what the Department is spending and this will translate into a saving.</w:t>
      </w:r>
    </w:p>
    <w:p w:rsidR="00C255F4" w:rsidRPr="00332E2C" w:rsidRDefault="00A62C50" w:rsidP="00332E2C">
      <w:pPr>
        <w:spacing w:after="0" w:line="240" w:lineRule="auto"/>
        <w:jc w:val="both"/>
        <w:rPr>
          <w:rFonts w:ascii="Arial" w:hAnsi="Arial" w:cs="Arial"/>
          <w:sz w:val="20"/>
          <w:szCs w:val="20"/>
        </w:rPr>
      </w:pPr>
      <w:r w:rsidRPr="00332E2C">
        <w:rPr>
          <w:rFonts w:ascii="Arial" w:hAnsi="Arial" w:cs="Arial"/>
          <w:sz w:val="20"/>
          <w:szCs w:val="20"/>
        </w:rPr>
        <w:t xml:space="preserve">The Department reported that the figures provided on the COVID-19 pandemic was as </w:t>
      </w:r>
      <w:r w:rsidR="00402DD0" w:rsidRPr="00332E2C">
        <w:rPr>
          <w:rFonts w:ascii="Arial" w:hAnsi="Arial" w:cs="Arial"/>
          <w:sz w:val="20"/>
          <w:szCs w:val="20"/>
        </w:rPr>
        <w:t xml:space="preserve">initially presented to the Committee in a presentation and was part of the 403 intake cases, of which 199 was COVID -19 related cases. On the revised presentation, the numbers had increased 828 intake cases, of which 376 were COVID-19 cases. The difference was when the police were conducting COVID -19 operations.  </w:t>
      </w:r>
    </w:p>
    <w:p w:rsidR="007E6670" w:rsidRPr="00332E2C" w:rsidRDefault="00C255F4" w:rsidP="00332E2C">
      <w:pPr>
        <w:spacing w:after="0" w:line="240" w:lineRule="auto"/>
        <w:jc w:val="both"/>
        <w:rPr>
          <w:rFonts w:ascii="Arial" w:hAnsi="Arial" w:cs="Arial"/>
          <w:sz w:val="20"/>
          <w:szCs w:val="20"/>
        </w:rPr>
      </w:pPr>
      <w:r w:rsidRPr="00332E2C">
        <w:rPr>
          <w:rFonts w:ascii="Arial" w:hAnsi="Arial" w:cs="Arial"/>
          <w:sz w:val="20"/>
          <w:szCs w:val="20"/>
        </w:rPr>
        <w:t xml:space="preserve">The IPID was experiencing difficulties in some investigations that were taking long due to the non-availability of post–mortem reports and unavailability of witnesses during the lockdown period. The Department indicated that it was committed to ensure that all cases are fully investigated and has established intervention teams to assist the provinces. The Department is also developing a database on a panel of experts to fast-track the finalisation of cases.  </w:t>
      </w:r>
    </w:p>
    <w:p w:rsidR="007E6670" w:rsidRPr="00332E2C" w:rsidRDefault="005466DF" w:rsidP="00332E2C">
      <w:pPr>
        <w:spacing w:after="0" w:line="240" w:lineRule="auto"/>
        <w:jc w:val="both"/>
        <w:rPr>
          <w:rFonts w:ascii="Arial" w:hAnsi="Arial" w:cs="Arial"/>
          <w:sz w:val="20"/>
          <w:szCs w:val="20"/>
        </w:rPr>
      </w:pPr>
      <w:r w:rsidRPr="00332E2C">
        <w:rPr>
          <w:rFonts w:ascii="Arial" w:hAnsi="Arial" w:cs="Arial"/>
          <w:sz w:val="20"/>
          <w:szCs w:val="20"/>
        </w:rPr>
        <w:t>The acting Executive Director reported that as far a</w:t>
      </w:r>
      <w:r w:rsidR="00C558E9" w:rsidRPr="00332E2C">
        <w:rPr>
          <w:rFonts w:ascii="Arial" w:hAnsi="Arial" w:cs="Arial"/>
          <w:sz w:val="20"/>
          <w:szCs w:val="20"/>
        </w:rPr>
        <w:t>s</w:t>
      </w:r>
      <w:r w:rsidRPr="00332E2C">
        <w:rPr>
          <w:rFonts w:ascii="Arial" w:hAnsi="Arial" w:cs="Arial"/>
          <w:sz w:val="20"/>
          <w:szCs w:val="20"/>
        </w:rPr>
        <w:t xml:space="preserve"> quality a</w:t>
      </w:r>
      <w:r w:rsidR="007E6670" w:rsidRPr="00332E2C">
        <w:rPr>
          <w:rFonts w:ascii="Arial" w:hAnsi="Arial" w:cs="Arial"/>
          <w:sz w:val="20"/>
          <w:szCs w:val="20"/>
        </w:rPr>
        <w:t>ssurance on investigations</w:t>
      </w:r>
      <w:r w:rsidRPr="00332E2C">
        <w:rPr>
          <w:rFonts w:ascii="Arial" w:hAnsi="Arial" w:cs="Arial"/>
          <w:sz w:val="20"/>
          <w:szCs w:val="20"/>
        </w:rPr>
        <w:t xml:space="preserve"> were concerned, </w:t>
      </w:r>
      <w:r w:rsidR="007E6670" w:rsidRPr="00332E2C">
        <w:rPr>
          <w:rFonts w:ascii="Arial" w:hAnsi="Arial" w:cs="Arial"/>
          <w:sz w:val="20"/>
          <w:szCs w:val="20"/>
        </w:rPr>
        <w:t xml:space="preserve">some cases </w:t>
      </w:r>
      <w:r w:rsidRPr="00332E2C">
        <w:rPr>
          <w:rFonts w:ascii="Arial" w:hAnsi="Arial" w:cs="Arial"/>
          <w:sz w:val="20"/>
          <w:szCs w:val="20"/>
        </w:rPr>
        <w:t xml:space="preserve">were </w:t>
      </w:r>
      <w:r w:rsidR="007E6670" w:rsidRPr="00332E2C">
        <w:rPr>
          <w:rFonts w:ascii="Arial" w:hAnsi="Arial" w:cs="Arial"/>
          <w:sz w:val="20"/>
          <w:szCs w:val="20"/>
        </w:rPr>
        <w:t>closed prematurely</w:t>
      </w:r>
      <w:r w:rsidRPr="00332E2C">
        <w:rPr>
          <w:rFonts w:ascii="Arial" w:hAnsi="Arial" w:cs="Arial"/>
          <w:sz w:val="20"/>
          <w:szCs w:val="20"/>
        </w:rPr>
        <w:t>. As a result, a directive has been issued to</w:t>
      </w:r>
      <w:r w:rsidR="007E6670" w:rsidRPr="00332E2C">
        <w:rPr>
          <w:rFonts w:ascii="Arial" w:hAnsi="Arial" w:cs="Arial"/>
          <w:sz w:val="20"/>
          <w:szCs w:val="20"/>
        </w:rPr>
        <w:t xml:space="preserve"> all provincial heads</w:t>
      </w:r>
      <w:r w:rsidRPr="00332E2C">
        <w:rPr>
          <w:rFonts w:ascii="Arial" w:hAnsi="Arial" w:cs="Arial"/>
          <w:sz w:val="20"/>
          <w:szCs w:val="20"/>
        </w:rPr>
        <w:t xml:space="preserve"> to carefully satisfy themselves that the work has been done, before such cases are closed. The IPID has also e</w:t>
      </w:r>
      <w:r w:rsidR="007E6670" w:rsidRPr="00332E2C">
        <w:rPr>
          <w:rFonts w:ascii="Arial" w:hAnsi="Arial" w:cs="Arial"/>
          <w:sz w:val="20"/>
          <w:szCs w:val="20"/>
        </w:rPr>
        <w:t xml:space="preserve">xtended the scope of the statistics confirmation task team, </w:t>
      </w:r>
      <w:r w:rsidRPr="00332E2C">
        <w:rPr>
          <w:rFonts w:ascii="Arial" w:hAnsi="Arial" w:cs="Arial"/>
          <w:sz w:val="20"/>
          <w:szCs w:val="20"/>
        </w:rPr>
        <w:t xml:space="preserve">with respect to </w:t>
      </w:r>
      <w:r w:rsidR="007E6670" w:rsidRPr="00332E2C">
        <w:rPr>
          <w:rFonts w:ascii="Arial" w:hAnsi="Arial" w:cs="Arial"/>
          <w:sz w:val="20"/>
          <w:szCs w:val="20"/>
        </w:rPr>
        <w:t>quality assurance</w:t>
      </w:r>
      <w:r w:rsidRPr="00332E2C">
        <w:rPr>
          <w:rFonts w:ascii="Arial" w:hAnsi="Arial" w:cs="Arial"/>
          <w:sz w:val="20"/>
          <w:szCs w:val="20"/>
        </w:rPr>
        <w:t xml:space="preserve"> and the </w:t>
      </w:r>
      <w:r w:rsidR="007E6670" w:rsidRPr="00332E2C">
        <w:rPr>
          <w:rFonts w:ascii="Arial" w:hAnsi="Arial" w:cs="Arial"/>
          <w:sz w:val="20"/>
          <w:szCs w:val="20"/>
        </w:rPr>
        <w:t>national committee will look into those cases</w:t>
      </w:r>
      <w:r w:rsidRPr="00332E2C">
        <w:rPr>
          <w:rFonts w:ascii="Arial" w:hAnsi="Arial" w:cs="Arial"/>
          <w:sz w:val="20"/>
          <w:szCs w:val="20"/>
        </w:rPr>
        <w:t>. The IPID is focussing on high impact cases to deal with capacity challenges.</w:t>
      </w:r>
    </w:p>
    <w:p w:rsidR="007E6670" w:rsidRPr="00332E2C" w:rsidRDefault="005466DF" w:rsidP="00332E2C">
      <w:pPr>
        <w:spacing w:after="0" w:line="240" w:lineRule="auto"/>
        <w:jc w:val="both"/>
        <w:rPr>
          <w:rFonts w:ascii="Arial" w:hAnsi="Arial" w:cs="Arial"/>
          <w:sz w:val="20"/>
          <w:szCs w:val="20"/>
        </w:rPr>
      </w:pPr>
      <w:r w:rsidRPr="00332E2C">
        <w:rPr>
          <w:rFonts w:ascii="Arial" w:hAnsi="Arial" w:cs="Arial"/>
          <w:sz w:val="20"/>
          <w:szCs w:val="20"/>
        </w:rPr>
        <w:t>A new CommunicationsDi</w:t>
      </w:r>
      <w:r w:rsidR="007E6670" w:rsidRPr="00332E2C">
        <w:rPr>
          <w:rFonts w:ascii="Arial" w:hAnsi="Arial" w:cs="Arial"/>
          <w:sz w:val="20"/>
          <w:szCs w:val="20"/>
        </w:rPr>
        <w:t xml:space="preserve">rector </w:t>
      </w:r>
      <w:r w:rsidRPr="00332E2C">
        <w:rPr>
          <w:rFonts w:ascii="Arial" w:hAnsi="Arial" w:cs="Arial"/>
          <w:sz w:val="20"/>
          <w:szCs w:val="20"/>
        </w:rPr>
        <w:t>was appointed and will start on I June 2020 after the previous director resigned.</w:t>
      </w:r>
    </w:p>
    <w:p w:rsidR="007E6670" w:rsidRPr="00332E2C" w:rsidRDefault="005466DF" w:rsidP="00332E2C">
      <w:pPr>
        <w:spacing w:after="0" w:line="240" w:lineRule="auto"/>
        <w:jc w:val="both"/>
        <w:rPr>
          <w:rFonts w:ascii="Arial" w:hAnsi="Arial" w:cs="Arial"/>
          <w:sz w:val="20"/>
          <w:szCs w:val="20"/>
        </w:rPr>
      </w:pPr>
      <w:r w:rsidRPr="00332E2C">
        <w:rPr>
          <w:rFonts w:ascii="Arial" w:hAnsi="Arial" w:cs="Arial"/>
          <w:sz w:val="20"/>
          <w:szCs w:val="20"/>
        </w:rPr>
        <w:t>The acting ED responded that t</w:t>
      </w:r>
      <w:r w:rsidR="007E6670" w:rsidRPr="00332E2C">
        <w:rPr>
          <w:rFonts w:ascii="Arial" w:hAnsi="Arial" w:cs="Arial"/>
          <w:sz w:val="20"/>
          <w:szCs w:val="20"/>
        </w:rPr>
        <w:t xml:space="preserve">here </w:t>
      </w:r>
      <w:r w:rsidRPr="00332E2C">
        <w:rPr>
          <w:rFonts w:ascii="Arial" w:hAnsi="Arial" w:cs="Arial"/>
          <w:sz w:val="20"/>
          <w:szCs w:val="20"/>
        </w:rPr>
        <w:t xml:space="preserve">was </w:t>
      </w:r>
      <w:r w:rsidR="007E6670" w:rsidRPr="00332E2C">
        <w:rPr>
          <w:rFonts w:ascii="Arial" w:hAnsi="Arial" w:cs="Arial"/>
          <w:sz w:val="20"/>
          <w:szCs w:val="20"/>
        </w:rPr>
        <w:t xml:space="preserve">no issue </w:t>
      </w:r>
      <w:r w:rsidRPr="00332E2C">
        <w:rPr>
          <w:rFonts w:ascii="Arial" w:hAnsi="Arial" w:cs="Arial"/>
          <w:sz w:val="20"/>
          <w:szCs w:val="20"/>
        </w:rPr>
        <w:t>with the leadership s</w:t>
      </w:r>
      <w:r w:rsidR="007E6670" w:rsidRPr="00332E2C">
        <w:rPr>
          <w:rFonts w:ascii="Arial" w:hAnsi="Arial" w:cs="Arial"/>
          <w:sz w:val="20"/>
          <w:szCs w:val="20"/>
        </w:rPr>
        <w:t xml:space="preserve">tability, </w:t>
      </w:r>
      <w:r w:rsidRPr="00332E2C">
        <w:rPr>
          <w:rFonts w:ascii="Arial" w:hAnsi="Arial" w:cs="Arial"/>
          <w:sz w:val="20"/>
          <w:szCs w:val="20"/>
        </w:rPr>
        <w:t xml:space="preserve">and as the IPID they required </w:t>
      </w:r>
      <w:r w:rsidR="007E6670" w:rsidRPr="00332E2C">
        <w:rPr>
          <w:rFonts w:ascii="Arial" w:hAnsi="Arial" w:cs="Arial"/>
          <w:sz w:val="20"/>
          <w:szCs w:val="20"/>
        </w:rPr>
        <w:t>535 p</w:t>
      </w:r>
      <w:r w:rsidRPr="00332E2C">
        <w:rPr>
          <w:rFonts w:ascii="Arial" w:hAnsi="Arial" w:cs="Arial"/>
          <w:sz w:val="20"/>
          <w:szCs w:val="20"/>
        </w:rPr>
        <w:t xml:space="preserve">eople to operate optimally, but they only had </w:t>
      </w:r>
      <w:r w:rsidR="007E6670" w:rsidRPr="00332E2C">
        <w:rPr>
          <w:rFonts w:ascii="Arial" w:hAnsi="Arial" w:cs="Arial"/>
          <w:sz w:val="20"/>
          <w:szCs w:val="20"/>
        </w:rPr>
        <w:t>391 people</w:t>
      </w:r>
      <w:r w:rsidRPr="00332E2C">
        <w:rPr>
          <w:rFonts w:ascii="Arial" w:hAnsi="Arial" w:cs="Arial"/>
          <w:sz w:val="20"/>
          <w:szCs w:val="20"/>
        </w:rPr>
        <w:t xml:space="preserve"> on their staff establishment.</w:t>
      </w:r>
    </w:p>
    <w:p w:rsidR="005466DF" w:rsidRPr="00332E2C" w:rsidRDefault="005466DF" w:rsidP="00332E2C">
      <w:pPr>
        <w:spacing w:after="0" w:line="240" w:lineRule="auto"/>
        <w:jc w:val="both"/>
        <w:rPr>
          <w:rFonts w:ascii="Arial" w:hAnsi="Arial" w:cs="Arial"/>
          <w:sz w:val="20"/>
          <w:szCs w:val="20"/>
        </w:rPr>
      </w:pPr>
      <w:r w:rsidRPr="00332E2C">
        <w:rPr>
          <w:rFonts w:ascii="Arial" w:hAnsi="Arial" w:cs="Arial"/>
          <w:sz w:val="20"/>
          <w:szCs w:val="20"/>
        </w:rPr>
        <w:t xml:space="preserve">The IPID was working with the National Prosecutions Authority’s Investigative Directorate on corruption cases of senior police managers and they have scheduled a meeting in the following week, after which they will know what progress has been made with prosecutions.  </w:t>
      </w:r>
    </w:p>
    <w:p w:rsidR="007E6670" w:rsidRPr="00332E2C" w:rsidRDefault="00C355E8" w:rsidP="00332E2C">
      <w:pPr>
        <w:spacing w:after="0" w:line="240" w:lineRule="auto"/>
        <w:jc w:val="both"/>
        <w:rPr>
          <w:rFonts w:ascii="Arial" w:hAnsi="Arial" w:cs="Arial"/>
          <w:sz w:val="20"/>
          <w:szCs w:val="20"/>
        </w:rPr>
      </w:pPr>
      <w:r w:rsidRPr="00332E2C">
        <w:rPr>
          <w:rFonts w:ascii="Arial" w:hAnsi="Arial" w:cs="Arial"/>
          <w:sz w:val="20"/>
          <w:szCs w:val="20"/>
        </w:rPr>
        <w:t>There was a distinction of pre-COVID-19 cases and those encountered and reported during the lockdown. The cases that have occurred during the lockdown are lockdown cases. The c</w:t>
      </w:r>
      <w:r w:rsidR="005466DF" w:rsidRPr="00332E2C">
        <w:rPr>
          <w:rFonts w:ascii="Arial" w:hAnsi="Arial" w:cs="Arial"/>
          <w:sz w:val="20"/>
          <w:szCs w:val="20"/>
        </w:rPr>
        <w:t>ases</w:t>
      </w:r>
      <w:r w:rsidRPr="00332E2C">
        <w:rPr>
          <w:rFonts w:ascii="Arial" w:hAnsi="Arial" w:cs="Arial"/>
          <w:sz w:val="20"/>
          <w:szCs w:val="20"/>
        </w:rPr>
        <w:t xml:space="preserve"> t</w:t>
      </w:r>
      <w:r w:rsidR="007E6670" w:rsidRPr="00332E2C">
        <w:rPr>
          <w:rFonts w:ascii="Arial" w:hAnsi="Arial" w:cs="Arial"/>
          <w:sz w:val="20"/>
          <w:szCs w:val="20"/>
        </w:rPr>
        <w:t>hat happened before lockdown, they are not lockdown cases.</w:t>
      </w:r>
      <w:r w:rsidRPr="00332E2C">
        <w:rPr>
          <w:rFonts w:ascii="Arial" w:hAnsi="Arial" w:cs="Arial"/>
          <w:sz w:val="20"/>
          <w:szCs w:val="20"/>
        </w:rPr>
        <w:t xml:space="preserve"> Some are </w:t>
      </w:r>
      <w:r w:rsidR="007E6670" w:rsidRPr="00332E2C">
        <w:rPr>
          <w:rFonts w:ascii="Arial" w:hAnsi="Arial" w:cs="Arial"/>
          <w:sz w:val="20"/>
          <w:szCs w:val="20"/>
        </w:rPr>
        <w:t>domestic violence cases, not lockdown cases</w:t>
      </w:r>
      <w:r w:rsidRPr="00332E2C">
        <w:rPr>
          <w:rFonts w:ascii="Arial" w:hAnsi="Arial" w:cs="Arial"/>
          <w:sz w:val="20"/>
          <w:szCs w:val="20"/>
        </w:rPr>
        <w:t>. There were l</w:t>
      </w:r>
      <w:r w:rsidR="007E6670" w:rsidRPr="00332E2C">
        <w:rPr>
          <w:rFonts w:ascii="Arial" w:hAnsi="Arial" w:cs="Arial"/>
          <w:sz w:val="20"/>
          <w:szCs w:val="20"/>
        </w:rPr>
        <w:t>imited cases</w:t>
      </w:r>
      <w:r w:rsidRPr="00332E2C">
        <w:rPr>
          <w:rFonts w:ascii="Arial" w:hAnsi="Arial" w:cs="Arial"/>
          <w:sz w:val="20"/>
          <w:szCs w:val="20"/>
        </w:rPr>
        <w:t xml:space="preserve"> initially and it increased,</w:t>
      </w:r>
      <w:r w:rsidR="007E6670" w:rsidRPr="00332E2C">
        <w:rPr>
          <w:rFonts w:ascii="Arial" w:hAnsi="Arial" w:cs="Arial"/>
          <w:sz w:val="20"/>
          <w:szCs w:val="20"/>
        </w:rPr>
        <w:t xml:space="preserve"> and </w:t>
      </w:r>
      <w:r w:rsidRPr="00332E2C">
        <w:rPr>
          <w:rFonts w:ascii="Arial" w:hAnsi="Arial" w:cs="Arial"/>
          <w:sz w:val="20"/>
          <w:szCs w:val="20"/>
        </w:rPr>
        <w:t xml:space="preserve">as a result, after working with a skeleton staff, the acting ED has requested that all </w:t>
      </w:r>
      <w:r w:rsidR="007E6670" w:rsidRPr="00332E2C">
        <w:rPr>
          <w:rFonts w:ascii="Arial" w:hAnsi="Arial" w:cs="Arial"/>
          <w:sz w:val="20"/>
          <w:szCs w:val="20"/>
        </w:rPr>
        <w:t>investigators be brought back in compliance with PPE’s</w:t>
      </w:r>
      <w:r w:rsidRPr="00332E2C">
        <w:rPr>
          <w:rFonts w:ascii="Arial" w:hAnsi="Arial" w:cs="Arial"/>
          <w:sz w:val="20"/>
          <w:szCs w:val="20"/>
        </w:rPr>
        <w:t>. The</w:t>
      </w:r>
      <w:r w:rsidR="007E6670" w:rsidRPr="00332E2C">
        <w:rPr>
          <w:rFonts w:ascii="Arial" w:hAnsi="Arial" w:cs="Arial"/>
          <w:sz w:val="20"/>
          <w:szCs w:val="20"/>
        </w:rPr>
        <w:t>y are dealing with the cases</w:t>
      </w:r>
    </w:p>
    <w:p w:rsidR="00C355E8" w:rsidRPr="00332E2C" w:rsidRDefault="007E6670" w:rsidP="00332E2C">
      <w:pPr>
        <w:spacing w:after="0" w:line="240" w:lineRule="auto"/>
        <w:jc w:val="both"/>
        <w:rPr>
          <w:rFonts w:ascii="Arial" w:hAnsi="Arial" w:cs="Arial"/>
          <w:sz w:val="20"/>
          <w:szCs w:val="20"/>
        </w:rPr>
      </w:pPr>
      <w:r w:rsidRPr="00332E2C">
        <w:rPr>
          <w:rFonts w:ascii="Arial" w:hAnsi="Arial" w:cs="Arial"/>
          <w:sz w:val="20"/>
          <w:szCs w:val="20"/>
        </w:rPr>
        <w:t xml:space="preserve">APCOF </w:t>
      </w:r>
      <w:r w:rsidR="00C355E8" w:rsidRPr="00332E2C">
        <w:rPr>
          <w:rFonts w:ascii="Arial" w:hAnsi="Arial" w:cs="Arial"/>
          <w:sz w:val="20"/>
          <w:szCs w:val="20"/>
        </w:rPr>
        <w:t>is one of IPID’s external stakeh</w:t>
      </w:r>
      <w:r w:rsidRPr="00332E2C">
        <w:rPr>
          <w:rFonts w:ascii="Arial" w:hAnsi="Arial" w:cs="Arial"/>
          <w:sz w:val="20"/>
          <w:szCs w:val="20"/>
        </w:rPr>
        <w:t xml:space="preserve">olders, </w:t>
      </w:r>
      <w:r w:rsidR="00C355E8" w:rsidRPr="00332E2C">
        <w:rPr>
          <w:rFonts w:ascii="Arial" w:hAnsi="Arial" w:cs="Arial"/>
          <w:sz w:val="20"/>
          <w:szCs w:val="20"/>
        </w:rPr>
        <w:t xml:space="preserve">and the IPID was </w:t>
      </w:r>
      <w:r w:rsidRPr="00332E2C">
        <w:rPr>
          <w:rFonts w:ascii="Arial" w:hAnsi="Arial" w:cs="Arial"/>
          <w:sz w:val="20"/>
          <w:szCs w:val="20"/>
        </w:rPr>
        <w:t xml:space="preserve">supposed to meet with them to discuss </w:t>
      </w:r>
      <w:r w:rsidR="00C355E8" w:rsidRPr="00332E2C">
        <w:rPr>
          <w:rFonts w:ascii="Arial" w:hAnsi="Arial" w:cs="Arial"/>
          <w:sz w:val="20"/>
          <w:szCs w:val="20"/>
        </w:rPr>
        <w:t>t</w:t>
      </w:r>
      <w:r w:rsidRPr="00332E2C">
        <w:rPr>
          <w:rFonts w:ascii="Arial" w:hAnsi="Arial" w:cs="Arial"/>
          <w:sz w:val="20"/>
          <w:szCs w:val="20"/>
        </w:rPr>
        <w:t>he APP and Strat</w:t>
      </w:r>
      <w:r w:rsidR="00C355E8" w:rsidRPr="00332E2C">
        <w:rPr>
          <w:rFonts w:ascii="Arial" w:hAnsi="Arial" w:cs="Arial"/>
          <w:sz w:val="20"/>
          <w:szCs w:val="20"/>
        </w:rPr>
        <w:t>egic P</w:t>
      </w:r>
      <w:r w:rsidRPr="00332E2C">
        <w:rPr>
          <w:rFonts w:ascii="Arial" w:hAnsi="Arial" w:cs="Arial"/>
          <w:sz w:val="20"/>
          <w:szCs w:val="20"/>
        </w:rPr>
        <w:t xml:space="preserve">lan, </w:t>
      </w:r>
      <w:r w:rsidR="00C355E8" w:rsidRPr="00332E2C">
        <w:rPr>
          <w:rFonts w:ascii="Arial" w:hAnsi="Arial" w:cs="Arial"/>
          <w:sz w:val="20"/>
          <w:szCs w:val="20"/>
        </w:rPr>
        <w:t xml:space="preserve">but the lockdown interfered. Another attempt is being made to meet with them. </w:t>
      </w:r>
    </w:p>
    <w:p w:rsidR="007E6670" w:rsidRPr="00332E2C" w:rsidRDefault="00C355E8" w:rsidP="00332E2C">
      <w:pPr>
        <w:spacing w:after="0" w:line="240" w:lineRule="auto"/>
        <w:jc w:val="both"/>
        <w:rPr>
          <w:rFonts w:ascii="Arial" w:hAnsi="Arial" w:cs="Arial"/>
          <w:sz w:val="20"/>
          <w:szCs w:val="20"/>
        </w:rPr>
      </w:pPr>
      <w:r w:rsidRPr="00332E2C">
        <w:rPr>
          <w:rFonts w:ascii="Arial" w:hAnsi="Arial" w:cs="Arial"/>
          <w:sz w:val="20"/>
          <w:szCs w:val="20"/>
        </w:rPr>
        <w:t xml:space="preserve">The IPID, as a result of the </w:t>
      </w:r>
      <w:r w:rsidR="007E6670" w:rsidRPr="00332E2C">
        <w:rPr>
          <w:rFonts w:ascii="Arial" w:hAnsi="Arial" w:cs="Arial"/>
          <w:sz w:val="20"/>
          <w:szCs w:val="20"/>
        </w:rPr>
        <w:t xml:space="preserve">expansion strategy, </w:t>
      </w:r>
      <w:r w:rsidRPr="00332E2C">
        <w:rPr>
          <w:rFonts w:ascii="Arial" w:hAnsi="Arial" w:cs="Arial"/>
          <w:sz w:val="20"/>
          <w:szCs w:val="20"/>
        </w:rPr>
        <w:t>require</w:t>
      </w:r>
      <w:r w:rsidR="00C558E9" w:rsidRPr="00332E2C">
        <w:rPr>
          <w:rFonts w:ascii="Arial" w:hAnsi="Arial" w:cs="Arial"/>
          <w:sz w:val="20"/>
          <w:szCs w:val="20"/>
        </w:rPr>
        <w:t>d</w:t>
      </w:r>
      <w:r w:rsidRPr="00332E2C">
        <w:rPr>
          <w:rFonts w:ascii="Arial" w:hAnsi="Arial" w:cs="Arial"/>
          <w:sz w:val="20"/>
          <w:szCs w:val="20"/>
        </w:rPr>
        <w:t xml:space="preserve"> R230 million to </w:t>
      </w:r>
      <w:r w:rsidR="007E6670" w:rsidRPr="00332E2C">
        <w:rPr>
          <w:rFonts w:ascii="Arial" w:hAnsi="Arial" w:cs="Arial"/>
          <w:sz w:val="20"/>
          <w:szCs w:val="20"/>
        </w:rPr>
        <w:t>increase the footprint of IPID</w:t>
      </w:r>
      <w:r w:rsidRPr="00332E2C">
        <w:rPr>
          <w:rFonts w:ascii="Arial" w:hAnsi="Arial" w:cs="Arial"/>
          <w:sz w:val="20"/>
          <w:szCs w:val="20"/>
        </w:rPr>
        <w:t xml:space="preserve"> during the 2019/20 </w:t>
      </w:r>
      <w:r w:rsidR="007E6670" w:rsidRPr="00332E2C">
        <w:rPr>
          <w:rFonts w:ascii="Arial" w:hAnsi="Arial" w:cs="Arial"/>
          <w:sz w:val="20"/>
          <w:szCs w:val="20"/>
        </w:rPr>
        <w:t>financial year</w:t>
      </w:r>
      <w:r w:rsidR="00C558E9" w:rsidRPr="00332E2C">
        <w:rPr>
          <w:rFonts w:ascii="Arial" w:hAnsi="Arial" w:cs="Arial"/>
          <w:sz w:val="20"/>
          <w:szCs w:val="20"/>
        </w:rPr>
        <w:t>which was never allocated.</w:t>
      </w:r>
    </w:p>
    <w:p w:rsidR="007E6670" w:rsidRPr="00332E2C" w:rsidRDefault="00C355E8" w:rsidP="00332E2C">
      <w:pPr>
        <w:spacing w:after="0" w:line="240" w:lineRule="auto"/>
        <w:jc w:val="both"/>
        <w:rPr>
          <w:rFonts w:ascii="Arial" w:hAnsi="Arial" w:cs="Arial"/>
          <w:sz w:val="20"/>
          <w:szCs w:val="20"/>
        </w:rPr>
      </w:pPr>
      <w:r w:rsidRPr="00332E2C">
        <w:rPr>
          <w:rFonts w:ascii="Arial" w:hAnsi="Arial" w:cs="Arial"/>
          <w:sz w:val="20"/>
          <w:szCs w:val="20"/>
        </w:rPr>
        <w:t xml:space="preserve">The IPID reported that they despatched a team of investigators to meet with the journalist who alleged that the police abused him and chased him. When they wanted to meet with him, he indicated that he </w:t>
      </w:r>
      <w:r w:rsidR="00C558E9" w:rsidRPr="00332E2C">
        <w:rPr>
          <w:rFonts w:ascii="Arial" w:hAnsi="Arial" w:cs="Arial"/>
          <w:sz w:val="20"/>
          <w:szCs w:val="20"/>
        </w:rPr>
        <w:t>w</w:t>
      </w:r>
      <w:r w:rsidRPr="00332E2C">
        <w:rPr>
          <w:rFonts w:ascii="Arial" w:hAnsi="Arial" w:cs="Arial"/>
          <w:sz w:val="20"/>
          <w:szCs w:val="20"/>
        </w:rPr>
        <w:t xml:space="preserve">as in a meeting. When they were supposed to meet the next day, he did not attend and they did not get hold of him. The IPID </w:t>
      </w:r>
      <w:r w:rsidR="007E6670" w:rsidRPr="00332E2C">
        <w:rPr>
          <w:rFonts w:ascii="Arial" w:hAnsi="Arial" w:cs="Arial"/>
          <w:sz w:val="20"/>
          <w:szCs w:val="20"/>
        </w:rPr>
        <w:t xml:space="preserve">released a statement that he should come forward, if he feels his life is in danger, </w:t>
      </w:r>
      <w:r w:rsidRPr="00332E2C">
        <w:rPr>
          <w:rFonts w:ascii="Arial" w:hAnsi="Arial" w:cs="Arial"/>
          <w:sz w:val="20"/>
          <w:szCs w:val="20"/>
        </w:rPr>
        <w:t xml:space="preserve">but the subsequently discovered that he had fled </w:t>
      </w:r>
      <w:r w:rsidR="007E6670" w:rsidRPr="00332E2C">
        <w:rPr>
          <w:rFonts w:ascii="Arial" w:hAnsi="Arial" w:cs="Arial"/>
          <w:sz w:val="20"/>
          <w:szCs w:val="20"/>
        </w:rPr>
        <w:t>the country.</w:t>
      </w:r>
    </w:p>
    <w:p w:rsidR="007E6670" w:rsidRPr="00332E2C" w:rsidRDefault="00A03D4D" w:rsidP="00332E2C">
      <w:pPr>
        <w:spacing w:after="0" w:line="240" w:lineRule="auto"/>
        <w:jc w:val="both"/>
        <w:rPr>
          <w:rFonts w:ascii="Arial" w:hAnsi="Arial" w:cs="Arial"/>
          <w:sz w:val="20"/>
          <w:szCs w:val="20"/>
        </w:rPr>
      </w:pPr>
      <w:r w:rsidRPr="00332E2C">
        <w:rPr>
          <w:rFonts w:ascii="Arial" w:hAnsi="Arial" w:cs="Arial"/>
          <w:sz w:val="20"/>
          <w:szCs w:val="20"/>
        </w:rPr>
        <w:t>The IPID reported that as far as d</w:t>
      </w:r>
      <w:r w:rsidR="007E6670" w:rsidRPr="00332E2C">
        <w:rPr>
          <w:rFonts w:ascii="Arial" w:hAnsi="Arial" w:cs="Arial"/>
          <w:sz w:val="20"/>
          <w:szCs w:val="20"/>
        </w:rPr>
        <w:t>ecision</w:t>
      </w:r>
      <w:r w:rsidRPr="00332E2C">
        <w:rPr>
          <w:rFonts w:ascii="Arial" w:hAnsi="Arial" w:cs="Arial"/>
          <w:sz w:val="20"/>
          <w:szCs w:val="20"/>
        </w:rPr>
        <w:t>-</w:t>
      </w:r>
      <w:r w:rsidR="007E6670" w:rsidRPr="00332E2C">
        <w:rPr>
          <w:rFonts w:ascii="Arial" w:hAnsi="Arial" w:cs="Arial"/>
          <w:sz w:val="20"/>
          <w:szCs w:val="20"/>
        </w:rPr>
        <w:t>ready cases vs the quality</w:t>
      </w:r>
      <w:r w:rsidRPr="00332E2C">
        <w:rPr>
          <w:rFonts w:ascii="Arial" w:hAnsi="Arial" w:cs="Arial"/>
          <w:sz w:val="20"/>
          <w:szCs w:val="20"/>
        </w:rPr>
        <w:t xml:space="preserve"> of investigations </w:t>
      </w:r>
      <w:r w:rsidR="00C558E9" w:rsidRPr="00332E2C">
        <w:rPr>
          <w:rFonts w:ascii="Arial" w:hAnsi="Arial" w:cs="Arial"/>
          <w:sz w:val="20"/>
          <w:szCs w:val="20"/>
        </w:rPr>
        <w:t>was</w:t>
      </w:r>
      <w:r w:rsidRPr="00332E2C">
        <w:rPr>
          <w:rFonts w:ascii="Arial" w:hAnsi="Arial" w:cs="Arial"/>
          <w:sz w:val="20"/>
          <w:szCs w:val="20"/>
        </w:rPr>
        <w:t xml:space="preserve"> concerned, they </w:t>
      </w:r>
      <w:r w:rsidR="007E6670" w:rsidRPr="00332E2C">
        <w:rPr>
          <w:rFonts w:ascii="Arial" w:hAnsi="Arial" w:cs="Arial"/>
          <w:sz w:val="20"/>
          <w:szCs w:val="20"/>
        </w:rPr>
        <w:t>have such dockets and it</w:t>
      </w:r>
      <w:r w:rsidRPr="00332E2C">
        <w:rPr>
          <w:rFonts w:ascii="Arial" w:hAnsi="Arial" w:cs="Arial"/>
          <w:sz w:val="20"/>
          <w:szCs w:val="20"/>
        </w:rPr>
        <w:t xml:space="preserve"> is </w:t>
      </w:r>
      <w:r w:rsidR="007E6670" w:rsidRPr="00332E2C">
        <w:rPr>
          <w:rFonts w:ascii="Arial" w:hAnsi="Arial" w:cs="Arial"/>
          <w:sz w:val="20"/>
          <w:szCs w:val="20"/>
        </w:rPr>
        <w:t>with the courts</w:t>
      </w:r>
      <w:r w:rsidRPr="00332E2C">
        <w:rPr>
          <w:rFonts w:ascii="Arial" w:hAnsi="Arial" w:cs="Arial"/>
          <w:sz w:val="20"/>
          <w:szCs w:val="20"/>
        </w:rPr>
        <w:t xml:space="preserve">. The IPID are awaiting </w:t>
      </w:r>
      <w:r w:rsidR="007E6670" w:rsidRPr="00332E2C">
        <w:rPr>
          <w:rFonts w:ascii="Arial" w:hAnsi="Arial" w:cs="Arial"/>
          <w:sz w:val="20"/>
          <w:szCs w:val="20"/>
        </w:rPr>
        <w:t>further instructions by the courts</w:t>
      </w:r>
      <w:r w:rsidRPr="00332E2C">
        <w:rPr>
          <w:rFonts w:ascii="Arial" w:hAnsi="Arial" w:cs="Arial"/>
          <w:sz w:val="20"/>
          <w:szCs w:val="20"/>
        </w:rPr>
        <w:t>.</w:t>
      </w:r>
    </w:p>
    <w:p w:rsidR="007E6670" w:rsidRPr="00332E2C" w:rsidRDefault="007E6670" w:rsidP="00332E2C">
      <w:pPr>
        <w:spacing w:after="0" w:line="240" w:lineRule="auto"/>
        <w:jc w:val="both"/>
        <w:rPr>
          <w:rFonts w:ascii="Arial" w:hAnsi="Arial" w:cs="Arial"/>
          <w:sz w:val="20"/>
          <w:szCs w:val="20"/>
        </w:rPr>
      </w:pPr>
      <w:r w:rsidRPr="00332E2C">
        <w:rPr>
          <w:rFonts w:ascii="Arial" w:hAnsi="Arial" w:cs="Arial"/>
          <w:sz w:val="20"/>
          <w:szCs w:val="20"/>
        </w:rPr>
        <w:t>The case</w:t>
      </w:r>
      <w:r w:rsidR="00EE79E1" w:rsidRPr="00332E2C">
        <w:rPr>
          <w:rFonts w:ascii="Arial" w:hAnsi="Arial" w:cs="Arial"/>
          <w:sz w:val="20"/>
          <w:szCs w:val="20"/>
        </w:rPr>
        <w:t>sare</w:t>
      </w:r>
      <w:r w:rsidRPr="00332E2C">
        <w:rPr>
          <w:rFonts w:ascii="Arial" w:hAnsi="Arial" w:cs="Arial"/>
          <w:sz w:val="20"/>
          <w:szCs w:val="20"/>
        </w:rPr>
        <w:t xml:space="preserve"> thoroughly</w:t>
      </w:r>
      <w:r w:rsidR="00EE79E1" w:rsidRPr="00332E2C">
        <w:rPr>
          <w:rFonts w:ascii="Arial" w:hAnsi="Arial" w:cs="Arial"/>
          <w:sz w:val="20"/>
          <w:szCs w:val="20"/>
        </w:rPr>
        <w:t xml:space="preserve"> checked </w:t>
      </w:r>
      <w:r w:rsidRPr="00332E2C">
        <w:rPr>
          <w:rFonts w:ascii="Arial" w:hAnsi="Arial" w:cs="Arial"/>
          <w:sz w:val="20"/>
          <w:szCs w:val="20"/>
        </w:rPr>
        <w:t>by the management in the provinces before it</w:t>
      </w:r>
      <w:r w:rsidR="00C558E9" w:rsidRPr="00332E2C">
        <w:rPr>
          <w:rFonts w:ascii="Arial" w:hAnsi="Arial" w:cs="Arial"/>
          <w:sz w:val="20"/>
          <w:szCs w:val="20"/>
        </w:rPr>
        <w:t xml:space="preserve"> is</w:t>
      </w:r>
      <w:r w:rsidRPr="00332E2C">
        <w:rPr>
          <w:rFonts w:ascii="Arial" w:hAnsi="Arial" w:cs="Arial"/>
          <w:sz w:val="20"/>
          <w:szCs w:val="20"/>
        </w:rPr>
        <w:t xml:space="preserve"> sent to court, there is a report compiled for the NPA and the other matters are referred to the SAPS </w:t>
      </w:r>
    </w:p>
    <w:p w:rsidR="007E6670" w:rsidRPr="00332E2C" w:rsidRDefault="007E6670" w:rsidP="00332E2C">
      <w:pPr>
        <w:spacing w:after="0" w:line="240" w:lineRule="auto"/>
        <w:jc w:val="both"/>
        <w:rPr>
          <w:rFonts w:ascii="Arial" w:hAnsi="Arial" w:cs="Arial"/>
          <w:sz w:val="20"/>
          <w:szCs w:val="20"/>
        </w:rPr>
      </w:pPr>
      <w:r w:rsidRPr="00332E2C">
        <w:rPr>
          <w:rFonts w:ascii="Arial" w:hAnsi="Arial" w:cs="Arial"/>
          <w:sz w:val="20"/>
          <w:szCs w:val="20"/>
        </w:rPr>
        <w:t>Due to the magnitude of the cases, it is sometimes difficult for our members to respond to those instructions timeously due to the magnitude</w:t>
      </w:r>
    </w:p>
    <w:p w:rsidR="00B57C2E" w:rsidRPr="00332E2C" w:rsidRDefault="00B57C2E" w:rsidP="00332E2C">
      <w:pPr>
        <w:spacing w:after="0" w:line="240" w:lineRule="auto"/>
        <w:jc w:val="both"/>
        <w:rPr>
          <w:rFonts w:ascii="Arial" w:hAnsi="Arial" w:cs="Arial"/>
          <w:sz w:val="20"/>
          <w:szCs w:val="20"/>
        </w:rPr>
      </w:pPr>
    </w:p>
    <w:p w:rsidR="00F55DC6" w:rsidRPr="00332E2C" w:rsidRDefault="00A03D4D" w:rsidP="00332E2C">
      <w:pPr>
        <w:spacing w:after="0" w:line="240" w:lineRule="auto"/>
        <w:ind w:left="720" w:hanging="720"/>
        <w:jc w:val="both"/>
        <w:rPr>
          <w:rFonts w:ascii="Arial" w:hAnsi="Arial" w:cs="Arial"/>
          <w:b/>
          <w:sz w:val="20"/>
          <w:szCs w:val="20"/>
        </w:rPr>
      </w:pPr>
      <w:r w:rsidRPr="00332E2C">
        <w:rPr>
          <w:rFonts w:ascii="Arial" w:hAnsi="Arial" w:cs="Arial"/>
          <w:b/>
          <w:sz w:val="20"/>
          <w:szCs w:val="20"/>
        </w:rPr>
        <w:t>4.3</w:t>
      </w:r>
      <w:r w:rsidRPr="00332E2C">
        <w:rPr>
          <w:rFonts w:ascii="Arial" w:hAnsi="Arial" w:cs="Arial"/>
          <w:b/>
          <w:sz w:val="20"/>
          <w:szCs w:val="20"/>
        </w:rPr>
        <w:tab/>
      </w:r>
      <w:r w:rsidR="00B57C2E" w:rsidRPr="00332E2C">
        <w:rPr>
          <w:rFonts w:ascii="Arial" w:hAnsi="Arial" w:cs="Arial"/>
          <w:b/>
          <w:sz w:val="20"/>
          <w:szCs w:val="20"/>
        </w:rPr>
        <w:t>Deputy Minister’s response</w:t>
      </w:r>
    </w:p>
    <w:p w:rsidR="00F55DC6" w:rsidRPr="00332E2C" w:rsidRDefault="00F55DC6" w:rsidP="00332E2C">
      <w:pPr>
        <w:spacing w:after="0" w:line="240" w:lineRule="auto"/>
        <w:jc w:val="both"/>
        <w:rPr>
          <w:rFonts w:ascii="Arial" w:hAnsi="Arial" w:cs="Arial"/>
          <w:sz w:val="20"/>
          <w:szCs w:val="20"/>
        </w:rPr>
      </w:pPr>
      <w:r w:rsidRPr="00332E2C">
        <w:rPr>
          <w:rFonts w:ascii="Arial" w:hAnsi="Arial" w:cs="Arial"/>
          <w:sz w:val="20"/>
          <w:szCs w:val="20"/>
        </w:rPr>
        <w:t>The Deputy Minister responded by indicating that he takes seriously the advice the Committee has given and that for IPID to be taken seriously, it has to do its work. It was a task that should be done together with the oversight of the Committee.</w:t>
      </w:r>
    </w:p>
    <w:p w:rsidR="00F55DC6" w:rsidRPr="00332E2C" w:rsidRDefault="00F55DC6" w:rsidP="00332E2C">
      <w:pPr>
        <w:spacing w:after="0" w:line="240" w:lineRule="auto"/>
        <w:jc w:val="both"/>
        <w:rPr>
          <w:rFonts w:ascii="Arial" w:hAnsi="Arial" w:cs="Arial"/>
          <w:sz w:val="20"/>
          <w:szCs w:val="20"/>
        </w:rPr>
      </w:pPr>
      <w:r w:rsidRPr="00332E2C">
        <w:rPr>
          <w:rFonts w:ascii="Arial" w:hAnsi="Arial" w:cs="Arial"/>
          <w:sz w:val="20"/>
          <w:szCs w:val="20"/>
        </w:rPr>
        <w:t>The question raised by the Members show that the Committee was being reasonable with the Ministry for a long time to bring finality to the matter of the appointment of the appointment of the Executive Director and the sooner it is settled, the better.</w:t>
      </w:r>
      <w:r w:rsidR="00B13BC0" w:rsidRPr="00332E2C">
        <w:rPr>
          <w:rFonts w:ascii="Arial" w:hAnsi="Arial" w:cs="Arial"/>
          <w:sz w:val="20"/>
          <w:szCs w:val="20"/>
        </w:rPr>
        <w:t xml:space="preserve"> The Deputy Minister reported that there are m</w:t>
      </w:r>
      <w:r w:rsidRPr="00332E2C">
        <w:rPr>
          <w:rFonts w:ascii="Arial" w:hAnsi="Arial" w:cs="Arial"/>
          <w:sz w:val="20"/>
          <w:szCs w:val="20"/>
        </w:rPr>
        <w:t xml:space="preserve">echanisms of how people </w:t>
      </w:r>
      <w:r w:rsidR="00B13BC0" w:rsidRPr="00332E2C">
        <w:rPr>
          <w:rFonts w:ascii="Arial" w:hAnsi="Arial" w:cs="Arial"/>
          <w:sz w:val="20"/>
          <w:szCs w:val="20"/>
        </w:rPr>
        <w:t xml:space="preserve">can </w:t>
      </w:r>
      <w:r w:rsidRPr="00332E2C">
        <w:rPr>
          <w:rFonts w:ascii="Arial" w:hAnsi="Arial" w:cs="Arial"/>
          <w:sz w:val="20"/>
          <w:szCs w:val="20"/>
        </w:rPr>
        <w:t>report their problems</w:t>
      </w:r>
      <w:r w:rsidR="00B13BC0" w:rsidRPr="00332E2C">
        <w:rPr>
          <w:rFonts w:ascii="Arial" w:hAnsi="Arial" w:cs="Arial"/>
          <w:sz w:val="20"/>
          <w:szCs w:val="20"/>
        </w:rPr>
        <w:t xml:space="preserve"> and that they should use the 0800 numbers, the toll-free numbers, life line numbers. If all of that fails, there is recourse to the Commissioners and the Ministry. The SAPS is also trying to communicate with people and people should use their station commissioners and provincial commissioners to report.</w:t>
      </w:r>
    </w:p>
    <w:p w:rsidR="00F55DC6" w:rsidRPr="00332E2C" w:rsidRDefault="00B13BC0" w:rsidP="00332E2C">
      <w:pPr>
        <w:spacing w:after="0" w:line="240" w:lineRule="auto"/>
        <w:jc w:val="both"/>
        <w:rPr>
          <w:rFonts w:ascii="Arial" w:hAnsi="Arial" w:cs="Arial"/>
          <w:sz w:val="20"/>
          <w:szCs w:val="20"/>
        </w:rPr>
      </w:pPr>
      <w:r w:rsidRPr="00332E2C">
        <w:rPr>
          <w:rFonts w:ascii="Arial" w:hAnsi="Arial" w:cs="Arial"/>
          <w:sz w:val="20"/>
          <w:szCs w:val="20"/>
        </w:rPr>
        <w:t>The Deputy Minister reported that m</w:t>
      </w:r>
      <w:r w:rsidR="00F55DC6" w:rsidRPr="00332E2C">
        <w:rPr>
          <w:rFonts w:ascii="Arial" w:hAnsi="Arial" w:cs="Arial"/>
          <w:sz w:val="20"/>
          <w:szCs w:val="20"/>
        </w:rPr>
        <w:t xml:space="preserve">ost of the cases that IPID is involved with, </w:t>
      </w:r>
      <w:r w:rsidRPr="00332E2C">
        <w:rPr>
          <w:rFonts w:ascii="Arial" w:hAnsi="Arial" w:cs="Arial"/>
          <w:sz w:val="20"/>
          <w:szCs w:val="20"/>
        </w:rPr>
        <w:t xml:space="preserve">because the public raised it and that is why </w:t>
      </w:r>
      <w:r w:rsidR="00F55DC6" w:rsidRPr="00332E2C">
        <w:rPr>
          <w:rFonts w:ascii="Arial" w:hAnsi="Arial" w:cs="Arial"/>
          <w:sz w:val="20"/>
          <w:szCs w:val="20"/>
        </w:rPr>
        <w:t>the Khosa case</w:t>
      </w:r>
      <w:r w:rsidRPr="00332E2C">
        <w:rPr>
          <w:rFonts w:ascii="Arial" w:hAnsi="Arial" w:cs="Arial"/>
          <w:sz w:val="20"/>
          <w:szCs w:val="20"/>
        </w:rPr>
        <w:t xml:space="preserve"> was included. </w:t>
      </w:r>
    </w:p>
    <w:p w:rsidR="00F55DC6" w:rsidRPr="00332E2C" w:rsidRDefault="00B13BC0" w:rsidP="00332E2C">
      <w:pPr>
        <w:spacing w:after="0" w:line="240" w:lineRule="auto"/>
        <w:jc w:val="both"/>
        <w:rPr>
          <w:rFonts w:ascii="Arial" w:hAnsi="Arial" w:cs="Arial"/>
          <w:sz w:val="20"/>
          <w:szCs w:val="20"/>
        </w:rPr>
      </w:pPr>
      <w:r w:rsidRPr="00332E2C">
        <w:rPr>
          <w:rFonts w:ascii="Arial" w:hAnsi="Arial" w:cs="Arial"/>
          <w:sz w:val="20"/>
          <w:szCs w:val="20"/>
        </w:rPr>
        <w:t xml:space="preserve">He appealed to the Committee Members </w:t>
      </w:r>
      <w:r w:rsidR="00F55DC6" w:rsidRPr="00332E2C">
        <w:rPr>
          <w:rFonts w:ascii="Arial" w:hAnsi="Arial" w:cs="Arial"/>
          <w:sz w:val="20"/>
          <w:szCs w:val="20"/>
        </w:rPr>
        <w:t>who witnesses something, they should feel free to communicate with the Commissioner or the Minister, PC or station commissioner</w:t>
      </w:r>
      <w:r w:rsidRPr="00332E2C">
        <w:rPr>
          <w:rFonts w:ascii="Arial" w:hAnsi="Arial" w:cs="Arial"/>
          <w:sz w:val="20"/>
          <w:szCs w:val="20"/>
        </w:rPr>
        <w:t xml:space="preserve">. The SAPS have also developed a </w:t>
      </w:r>
      <w:r w:rsidR="00F55DC6" w:rsidRPr="00332E2C">
        <w:rPr>
          <w:rFonts w:ascii="Arial" w:hAnsi="Arial" w:cs="Arial"/>
          <w:sz w:val="20"/>
          <w:szCs w:val="20"/>
        </w:rPr>
        <w:t>directory of contacts so that people can easily and without difficulty contact the right officials</w:t>
      </w:r>
      <w:r w:rsidRPr="00332E2C">
        <w:rPr>
          <w:rFonts w:ascii="Arial" w:hAnsi="Arial" w:cs="Arial"/>
          <w:sz w:val="20"/>
          <w:szCs w:val="20"/>
        </w:rPr>
        <w:t xml:space="preserve">. </w:t>
      </w:r>
      <w:r w:rsidR="00F55DC6" w:rsidRPr="00332E2C">
        <w:rPr>
          <w:rFonts w:ascii="Arial" w:hAnsi="Arial" w:cs="Arial"/>
          <w:sz w:val="20"/>
          <w:szCs w:val="20"/>
        </w:rPr>
        <w:t xml:space="preserve">Any </w:t>
      </w:r>
      <w:r w:rsidRPr="00332E2C">
        <w:rPr>
          <w:rFonts w:ascii="Arial" w:hAnsi="Arial" w:cs="Arial"/>
          <w:sz w:val="20"/>
          <w:szCs w:val="20"/>
        </w:rPr>
        <w:t xml:space="preserve">police officer </w:t>
      </w:r>
      <w:r w:rsidR="00F55DC6" w:rsidRPr="00332E2C">
        <w:rPr>
          <w:rFonts w:ascii="Arial" w:hAnsi="Arial" w:cs="Arial"/>
          <w:sz w:val="20"/>
          <w:szCs w:val="20"/>
        </w:rPr>
        <w:t>who does not comply with the spirit of the constitution, w</w:t>
      </w:r>
      <w:r w:rsidRPr="00332E2C">
        <w:rPr>
          <w:rFonts w:ascii="Arial" w:hAnsi="Arial" w:cs="Arial"/>
          <w:sz w:val="20"/>
          <w:szCs w:val="20"/>
        </w:rPr>
        <w:t xml:space="preserve">ould </w:t>
      </w:r>
      <w:r w:rsidR="00F55DC6" w:rsidRPr="00332E2C">
        <w:rPr>
          <w:rFonts w:ascii="Arial" w:hAnsi="Arial" w:cs="Arial"/>
          <w:sz w:val="20"/>
          <w:szCs w:val="20"/>
        </w:rPr>
        <w:t>be dealt with seriously, include police officers who violate the rights of everyone.</w:t>
      </w:r>
    </w:p>
    <w:p w:rsidR="00F55DC6" w:rsidRPr="00332E2C" w:rsidRDefault="00F55DC6" w:rsidP="00332E2C">
      <w:pPr>
        <w:spacing w:after="0" w:line="240" w:lineRule="auto"/>
        <w:jc w:val="both"/>
        <w:rPr>
          <w:rFonts w:ascii="Arial" w:hAnsi="Arial" w:cs="Arial"/>
          <w:sz w:val="20"/>
          <w:szCs w:val="20"/>
        </w:rPr>
      </w:pPr>
      <w:r w:rsidRPr="00332E2C">
        <w:rPr>
          <w:rFonts w:ascii="Arial" w:hAnsi="Arial" w:cs="Arial"/>
          <w:sz w:val="20"/>
          <w:szCs w:val="20"/>
        </w:rPr>
        <w:t xml:space="preserve">It has not been easy 25 years into democracy, </w:t>
      </w:r>
      <w:r w:rsidR="00B13BC0" w:rsidRPr="00332E2C">
        <w:rPr>
          <w:rFonts w:ascii="Arial" w:hAnsi="Arial" w:cs="Arial"/>
          <w:sz w:val="20"/>
          <w:szCs w:val="20"/>
        </w:rPr>
        <w:t xml:space="preserve">to accept </w:t>
      </w:r>
      <w:r w:rsidRPr="00332E2C">
        <w:rPr>
          <w:rFonts w:ascii="Arial" w:hAnsi="Arial" w:cs="Arial"/>
          <w:sz w:val="20"/>
          <w:szCs w:val="20"/>
        </w:rPr>
        <w:t>what the security forces have do</w:t>
      </w:r>
      <w:r w:rsidR="00B13BC0" w:rsidRPr="00332E2C">
        <w:rPr>
          <w:rFonts w:ascii="Arial" w:hAnsi="Arial" w:cs="Arial"/>
          <w:sz w:val="20"/>
          <w:szCs w:val="20"/>
        </w:rPr>
        <w:t>n</w:t>
      </w:r>
      <w:r w:rsidRPr="00332E2C">
        <w:rPr>
          <w:rFonts w:ascii="Arial" w:hAnsi="Arial" w:cs="Arial"/>
          <w:sz w:val="20"/>
          <w:szCs w:val="20"/>
        </w:rPr>
        <w:t xml:space="preserve">e, but </w:t>
      </w:r>
      <w:r w:rsidR="00B13BC0" w:rsidRPr="00332E2C">
        <w:rPr>
          <w:rFonts w:ascii="Arial" w:hAnsi="Arial" w:cs="Arial"/>
          <w:sz w:val="20"/>
          <w:szCs w:val="20"/>
        </w:rPr>
        <w:t xml:space="preserve">such incidents are still </w:t>
      </w:r>
      <w:r w:rsidRPr="00332E2C">
        <w:rPr>
          <w:rFonts w:ascii="Arial" w:hAnsi="Arial" w:cs="Arial"/>
          <w:sz w:val="20"/>
          <w:szCs w:val="20"/>
        </w:rPr>
        <w:t>encounter</w:t>
      </w:r>
      <w:r w:rsidR="00B13BC0" w:rsidRPr="00332E2C">
        <w:rPr>
          <w:rFonts w:ascii="Arial" w:hAnsi="Arial" w:cs="Arial"/>
          <w:sz w:val="20"/>
          <w:szCs w:val="20"/>
        </w:rPr>
        <w:t xml:space="preserve">ed, but the blame cannot be shifted. The </w:t>
      </w:r>
      <w:r w:rsidRPr="00332E2C">
        <w:rPr>
          <w:rFonts w:ascii="Arial" w:hAnsi="Arial" w:cs="Arial"/>
          <w:sz w:val="20"/>
          <w:szCs w:val="20"/>
        </w:rPr>
        <w:t>SAPS should become the pride of all South Africans</w:t>
      </w:r>
      <w:r w:rsidR="00B13BC0" w:rsidRPr="00332E2C">
        <w:rPr>
          <w:rFonts w:ascii="Arial" w:hAnsi="Arial" w:cs="Arial"/>
          <w:sz w:val="20"/>
          <w:szCs w:val="20"/>
        </w:rPr>
        <w:t xml:space="preserve">. </w:t>
      </w:r>
    </w:p>
    <w:p w:rsidR="00F55DC6" w:rsidRPr="00332E2C" w:rsidRDefault="00B13BC0" w:rsidP="00332E2C">
      <w:pPr>
        <w:spacing w:after="0" w:line="240" w:lineRule="auto"/>
        <w:jc w:val="both"/>
        <w:rPr>
          <w:rFonts w:ascii="Arial" w:hAnsi="Arial" w:cs="Arial"/>
          <w:sz w:val="20"/>
          <w:szCs w:val="20"/>
        </w:rPr>
      </w:pPr>
      <w:r w:rsidRPr="00332E2C">
        <w:rPr>
          <w:rFonts w:ascii="Arial" w:hAnsi="Arial" w:cs="Arial"/>
          <w:sz w:val="20"/>
          <w:szCs w:val="20"/>
        </w:rPr>
        <w:t xml:space="preserve">The IPID </w:t>
      </w:r>
      <w:r w:rsidR="00F55DC6" w:rsidRPr="00332E2C">
        <w:rPr>
          <w:rFonts w:ascii="Arial" w:hAnsi="Arial" w:cs="Arial"/>
          <w:sz w:val="20"/>
          <w:szCs w:val="20"/>
        </w:rPr>
        <w:t xml:space="preserve">Amendment Bill </w:t>
      </w:r>
      <w:r w:rsidRPr="00332E2C">
        <w:rPr>
          <w:rFonts w:ascii="Arial" w:hAnsi="Arial" w:cs="Arial"/>
          <w:sz w:val="20"/>
          <w:szCs w:val="20"/>
        </w:rPr>
        <w:t>w</w:t>
      </w:r>
      <w:r w:rsidR="00C869F9" w:rsidRPr="00332E2C">
        <w:rPr>
          <w:rFonts w:ascii="Arial" w:hAnsi="Arial" w:cs="Arial"/>
          <w:sz w:val="20"/>
          <w:szCs w:val="20"/>
        </w:rPr>
        <w:t>ill</w:t>
      </w:r>
      <w:r w:rsidRPr="00332E2C">
        <w:rPr>
          <w:rFonts w:ascii="Arial" w:hAnsi="Arial" w:cs="Arial"/>
          <w:sz w:val="20"/>
          <w:szCs w:val="20"/>
        </w:rPr>
        <w:t xml:space="preserve"> be </w:t>
      </w:r>
      <w:r w:rsidR="00F55DC6" w:rsidRPr="00332E2C">
        <w:rPr>
          <w:rFonts w:ascii="Arial" w:hAnsi="Arial" w:cs="Arial"/>
          <w:sz w:val="20"/>
          <w:szCs w:val="20"/>
        </w:rPr>
        <w:t>present</w:t>
      </w:r>
      <w:r w:rsidRPr="00332E2C">
        <w:rPr>
          <w:rFonts w:ascii="Arial" w:hAnsi="Arial" w:cs="Arial"/>
          <w:sz w:val="20"/>
          <w:szCs w:val="20"/>
        </w:rPr>
        <w:t>ed</w:t>
      </w:r>
      <w:r w:rsidR="00C869F9" w:rsidRPr="00332E2C">
        <w:rPr>
          <w:rFonts w:ascii="Arial" w:hAnsi="Arial" w:cs="Arial"/>
          <w:sz w:val="20"/>
          <w:szCs w:val="20"/>
        </w:rPr>
        <w:t xml:space="preserve">to Parliament </w:t>
      </w:r>
      <w:r w:rsidR="00F55DC6" w:rsidRPr="00332E2C">
        <w:rPr>
          <w:rFonts w:ascii="Arial" w:hAnsi="Arial" w:cs="Arial"/>
          <w:sz w:val="20"/>
          <w:szCs w:val="20"/>
        </w:rPr>
        <w:t xml:space="preserve">in the first quarter </w:t>
      </w:r>
      <w:r w:rsidRPr="00332E2C">
        <w:rPr>
          <w:rFonts w:ascii="Arial" w:hAnsi="Arial" w:cs="Arial"/>
          <w:sz w:val="20"/>
          <w:szCs w:val="20"/>
        </w:rPr>
        <w:t xml:space="preserve">of </w:t>
      </w:r>
      <w:r w:rsidR="00F55DC6" w:rsidRPr="00332E2C">
        <w:rPr>
          <w:rFonts w:ascii="Arial" w:hAnsi="Arial" w:cs="Arial"/>
          <w:sz w:val="20"/>
          <w:szCs w:val="20"/>
        </w:rPr>
        <w:t>2021</w:t>
      </w:r>
      <w:r w:rsidRPr="00332E2C">
        <w:rPr>
          <w:rFonts w:ascii="Arial" w:hAnsi="Arial" w:cs="Arial"/>
          <w:sz w:val="20"/>
          <w:szCs w:val="20"/>
        </w:rPr>
        <w:t>. As far as the appointment of the IPID Executive Director was concerned, the Ministry have started a h</w:t>
      </w:r>
      <w:r w:rsidR="00F55DC6" w:rsidRPr="00332E2C">
        <w:rPr>
          <w:rFonts w:ascii="Arial" w:hAnsi="Arial" w:cs="Arial"/>
          <w:sz w:val="20"/>
          <w:szCs w:val="20"/>
        </w:rPr>
        <w:t>ead</w:t>
      </w:r>
      <w:r w:rsidRPr="00332E2C">
        <w:rPr>
          <w:rFonts w:ascii="Arial" w:hAnsi="Arial" w:cs="Arial"/>
          <w:sz w:val="20"/>
          <w:szCs w:val="20"/>
        </w:rPr>
        <w:t>-</w:t>
      </w:r>
      <w:r w:rsidR="00F55DC6" w:rsidRPr="00332E2C">
        <w:rPr>
          <w:rFonts w:ascii="Arial" w:hAnsi="Arial" w:cs="Arial"/>
          <w:sz w:val="20"/>
          <w:szCs w:val="20"/>
        </w:rPr>
        <w:t xml:space="preserve"> hunting process, </w:t>
      </w:r>
      <w:r w:rsidRPr="00332E2C">
        <w:rPr>
          <w:rFonts w:ascii="Arial" w:hAnsi="Arial" w:cs="Arial"/>
          <w:sz w:val="20"/>
          <w:szCs w:val="20"/>
        </w:rPr>
        <w:t xml:space="preserve">but </w:t>
      </w:r>
      <w:r w:rsidR="00C869F9" w:rsidRPr="00332E2C">
        <w:rPr>
          <w:rFonts w:ascii="Arial" w:hAnsi="Arial" w:cs="Arial"/>
          <w:sz w:val="20"/>
          <w:szCs w:val="20"/>
        </w:rPr>
        <w:t xml:space="preserve">this is still subject to a recruitment process. </w:t>
      </w:r>
      <w:r w:rsidR="00D70882" w:rsidRPr="00332E2C">
        <w:rPr>
          <w:rFonts w:ascii="Arial" w:hAnsi="Arial" w:cs="Arial"/>
          <w:sz w:val="20"/>
          <w:szCs w:val="20"/>
        </w:rPr>
        <w:t xml:space="preserve">The </w:t>
      </w:r>
      <w:r w:rsidR="002477DD" w:rsidRPr="00332E2C">
        <w:rPr>
          <w:rFonts w:ascii="Arial" w:hAnsi="Arial" w:cs="Arial"/>
          <w:sz w:val="20"/>
          <w:szCs w:val="20"/>
        </w:rPr>
        <w:t xml:space="preserve">head-hunting </w:t>
      </w:r>
      <w:r w:rsidR="00D70882" w:rsidRPr="00332E2C">
        <w:rPr>
          <w:rFonts w:ascii="Arial" w:hAnsi="Arial" w:cs="Arial"/>
          <w:sz w:val="20"/>
          <w:szCs w:val="20"/>
        </w:rPr>
        <w:t xml:space="preserve">process was started </w:t>
      </w:r>
      <w:r w:rsidR="002477DD" w:rsidRPr="00332E2C">
        <w:rPr>
          <w:rFonts w:ascii="Arial" w:hAnsi="Arial" w:cs="Arial"/>
          <w:sz w:val="20"/>
          <w:szCs w:val="20"/>
        </w:rPr>
        <w:t xml:space="preserve">but </w:t>
      </w:r>
      <w:r w:rsidR="00D70882" w:rsidRPr="00332E2C">
        <w:rPr>
          <w:rFonts w:ascii="Arial" w:hAnsi="Arial" w:cs="Arial"/>
          <w:sz w:val="20"/>
          <w:szCs w:val="20"/>
        </w:rPr>
        <w:t xml:space="preserve">the </w:t>
      </w:r>
      <w:r w:rsidR="00F55DC6" w:rsidRPr="00332E2C">
        <w:rPr>
          <w:rFonts w:ascii="Arial" w:hAnsi="Arial" w:cs="Arial"/>
          <w:sz w:val="20"/>
          <w:szCs w:val="20"/>
        </w:rPr>
        <w:t>COVID</w:t>
      </w:r>
      <w:r w:rsidR="00C869F9" w:rsidRPr="00332E2C">
        <w:rPr>
          <w:rFonts w:ascii="Arial" w:hAnsi="Arial" w:cs="Arial"/>
          <w:sz w:val="20"/>
          <w:szCs w:val="20"/>
        </w:rPr>
        <w:t>-</w:t>
      </w:r>
      <w:r w:rsidR="00F55DC6" w:rsidRPr="00332E2C">
        <w:rPr>
          <w:rFonts w:ascii="Arial" w:hAnsi="Arial" w:cs="Arial"/>
          <w:sz w:val="20"/>
          <w:szCs w:val="20"/>
        </w:rPr>
        <w:t xml:space="preserve">19 </w:t>
      </w:r>
      <w:r w:rsidR="00D70882" w:rsidRPr="00332E2C">
        <w:rPr>
          <w:rFonts w:ascii="Arial" w:hAnsi="Arial" w:cs="Arial"/>
          <w:sz w:val="20"/>
          <w:szCs w:val="20"/>
        </w:rPr>
        <w:t xml:space="preserve">pandemic and lockdown </w:t>
      </w:r>
      <w:r w:rsidR="00C869F9" w:rsidRPr="00332E2C">
        <w:rPr>
          <w:rFonts w:ascii="Arial" w:hAnsi="Arial" w:cs="Arial"/>
          <w:sz w:val="20"/>
          <w:szCs w:val="20"/>
        </w:rPr>
        <w:t xml:space="preserve">disrupted </w:t>
      </w:r>
      <w:r w:rsidR="00D70882" w:rsidRPr="00332E2C">
        <w:rPr>
          <w:rFonts w:ascii="Arial" w:hAnsi="Arial" w:cs="Arial"/>
          <w:sz w:val="20"/>
          <w:szCs w:val="20"/>
        </w:rPr>
        <w:t>the process. The Ministry was confident that the issue w</w:t>
      </w:r>
      <w:r w:rsidR="00C869F9" w:rsidRPr="00332E2C">
        <w:rPr>
          <w:rFonts w:ascii="Arial" w:hAnsi="Arial" w:cs="Arial"/>
          <w:sz w:val="20"/>
          <w:szCs w:val="20"/>
        </w:rPr>
        <w:t xml:space="preserve">ould be resolved </w:t>
      </w:r>
      <w:r w:rsidR="00D70882" w:rsidRPr="00332E2C">
        <w:rPr>
          <w:rFonts w:ascii="Arial" w:hAnsi="Arial" w:cs="Arial"/>
          <w:sz w:val="20"/>
          <w:szCs w:val="20"/>
        </w:rPr>
        <w:t>and the public requires a vibrant and viable IPID which must be independent,</w:t>
      </w:r>
      <w:r w:rsidR="00F55DC6" w:rsidRPr="00332E2C">
        <w:rPr>
          <w:rFonts w:ascii="Arial" w:hAnsi="Arial" w:cs="Arial"/>
          <w:sz w:val="20"/>
          <w:szCs w:val="20"/>
        </w:rPr>
        <w:t xml:space="preserve"> robust and </w:t>
      </w:r>
      <w:r w:rsidR="00D70882" w:rsidRPr="00332E2C">
        <w:rPr>
          <w:rFonts w:ascii="Arial" w:hAnsi="Arial" w:cs="Arial"/>
          <w:sz w:val="20"/>
          <w:szCs w:val="20"/>
        </w:rPr>
        <w:t xml:space="preserve">able to </w:t>
      </w:r>
      <w:r w:rsidR="00F55DC6" w:rsidRPr="00332E2C">
        <w:rPr>
          <w:rFonts w:ascii="Arial" w:hAnsi="Arial" w:cs="Arial"/>
          <w:sz w:val="20"/>
          <w:szCs w:val="20"/>
        </w:rPr>
        <w:t>do its work</w:t>
      </w:r>
      <w:r w:rsidR="00D70882" w:rsidRPr="00332E2C">
        <w:rPr>
          <w:rFonts w:ascii="Arial" w:hAnsi="Arial" w:cs="Arial"/>
          <w:sz w:val="20"/>
          <w:szCs w:val="20"/>
        </w:rPr>
        <w:t>.</w:t>
      </w:r>
    </w:p>
    <w:p w:rsidR="00A03D4D" w:rsidRPr="00332E2C" w:rsidRDefault="00A03D4D" w:rsidP="00332E2C">
      <w:pPr>
        <w:spacing w:after="0" w:line="240" w:lineRule="auto"/>
        <w:jc w:val="both"/>
        <w:rPr>
          <w:rFonts w:ascii="Arial" w:hAnsi="Arial" w:cs="Arial"/>
          <w:sz w:val="20"/>
          <w:szCs w:val="20"/>
        </w:rPr>
      </w:pPr>
    </w:p>
    <w:p w:rsidR="00D70882" w:rsidRPr="00332E2C" w:rsidRDefault="00A03D4D" w:rsidP="00332E2C">
      <w:pPr>
        <w:spacing w:after="0" w:line="240" w:lineRule="auto"/>
        <w:jc w:val="both"/>
        <w:rPr>
          <w:rFonts w:ascii="Arial" w:hAnsi="Arial" w:cs="Arial"/>
          <w:b/>
          <w:sz w:val="20"/>
          <w:szCs w:val="20"/>
        </w:rPr>
      </w:pPr>
      <w:r w:rsidRPr="00332E2C">
        <w:rPr>
          <w:rFonts w:ascii="Arial" w:hAnsi="Arial" w:cs="Arial"/>
          <w:b/>
          <w:sz w:val="20"/>
          <w:szCs w:val="20"/>
        </w:rPr>
        <w:t>4.3.1</w:t>
      </w:r>
      <w:r w:rsidRPr="00332E2C">
        <w:rPr>
          <w:rFonts w:ascii="Arial" w:hAnsi="Arial" w:cs="Arial"/>
          <w:b/>
          <w:sz w:val="20"/>
          <w:szCs w:val="20"/>
        </w:rPr>
        <w:tab/>
      </w:r>
      <w:r w:rsidR="00D70882" w:rsidRPr="00332E2C">
        <w:rPr>
          <w:rFonts w:ascii="Arial" w:hAnsi="Arial" w:cs="Arial"/>
          <w:b/>
          <w:sz w:val="20"/>
          <w:szCs w:val="20"/>
        </w:rPr>
        <w:t>The KHOSA Judgement</w:t>
      </w:r>
    </w:p>
    <w:p w:rsidR="00D70882" w:rsidRPr="00332E2C" w:rsidRDefault="00D70882" w:rsidP="00332E2C">
      <w:pPr>
        <w:spacing w:after="0" w:line="240" w:lineRule="auto"/>
        <w:jc w:val="both"/>
        <w:rPr>
          <w:rFonts w:ascii="Arial" w:hAnsi="Arial" w:cs="Arial"/>
          <w:sz w:val="20"/>
          <w:szCs w:val="20"/>
        </w:rPr>
      </w:pPr>
      <w:r w:rsidRPr="00332E2C">
        <w:rPr>
          <w:rFonts w:ascii="Arial" w:hAnsi="Arial" w:cs="Arial"/>
          <w:sz w:val="20"/>
          <w:szCs w:val="20"/>
        </w:rPr>
        <w:t>The Deputy Minister indicated that the Ministry and SAPS was complying with the judgement, although they were taking certain sections on appeal. As far as he was concerned, the judgement was a restating of the law. This was what was expected from the South African community which was that citizens and the security forces should collaborate to implement the findings.</w:t>
      </w:r>
    </w:p>
    <w:p w:rsidR="00D70882" w:rsidRPr="00332E2C" w:rsidRDefault="00D70882" w:rsidP="00332E2C">
      <w:pPr>
        <w:spacing w:after="0" w:line="240" w:lineRule="auto"/>
        <w:jc w:val="both"/>
        <w:rPr>
          <w:rFonts w:ascii="Arial" w:hAnsi="Arial" w:cs="Arial"/>
          <w:sz w:val="20"/>
          <w:szCs w:val="20"/>
        </w:rPr>
      </w:pPr>
      <w:r w:rsidRPr="00332E2C">
        <w:rPr>
          <w:rFonts w:ascii="Arial" w:hAnsi="Arial" w:cs="Arial"/>
          <w:sz w:val="20"/>
          <w:szCs w:val="20"/>
        </w:rPr>
        <w:t>He pointed out that sections 3-6 provided for the security forces to do certain things and that the SAPS have complied with the judgement with respect to the code of conduct, the guidelines on use of force, restriction of movement and other activities. The Ministers of Police and Defence must sign an affidavit as to the sections to do with the code of conduct by the police and army, must be lodged by 12 midnight on 22 May 2020.</w:t>
      </w:r>
    </w:p>
    <w:p w:rsidR="00D70882" w:rsidRPr="00332E2C" w:rsidRDefault="00D70882" w:rsidP="00332E2C">
      <w:pPr>
        <w:spacing w:after="0" w:line="240" w:lineRule="auto"/>
        <w:jc w:val="both"/>
        <w:rPr>
          <w:rFonts w:ascii="Arial" w:hAnsi="Arial" w:cs="Arial"/>
          <w:sz w:val="20"/>
          <w:szCs w:val="20"/>
        </w:rPr>
      </w:pPr>
      <w:r w:rsidRPr="00332E2C">
        <w:rPr>
          <w:rFonts w:ascii="Arial" w:hAnsi="Arial" w:cs="Arial"/>
          <w:sz w:val="20"/>
          <w:szCs w:val="20"/>
        </w:rPr>
        <w:t>The joint affidavit was being signed, afterwards it will be published and sent to the court</w:t>
      </w:r>
      <w:r w:rsidR="007E6670" w:rsidRPr="00332E2C">
        <w:rPr>
          <w:rFonts w:ascii="Arial" w:hAnsi="Arial" w:cs="Arial"/>
          <w:sz w:val="20"/>
          <w:szCs w:val="20"/>
        </w:rPr>
        <w:t xml:space="preserve">. The SAPS </w:t>
      </w:r>
      <w:r w:rsidRPr="00332E2C">
        <w:rPr>
          <w:rFonts w:ascii="Arial" w:hAnsi="Arial" w:cs="Arial"/>
          <w:sz w:val="20"/>
          <w:szCs w:val="20"/>
        </w:rPr>
        <w:t>have outlined what the judgement said w</w:t>
      </w:r>
      <w:r w:rsidR="007E6670" w:rsidRPr="00332E2C">
        <w:rPr>
          <w:rFonts w:ascii="Arial" w:hAnsi="Arial" w:cs="Arial"/>
          <w:sz w:val="20"/>
          <w:szCs w:val="20"/>
        </w:rPr>
        <w:t xml:space="preserve">ith </w:t>
      </w:r>
      <w:r w:rsidRPr="00332E2C">
        <w:rPr>
          <w:rFonts w:ascii="Arial" w:hAnsi="Arial" w:cs="Arial"/>
          <w:sz w:val="20"/>
          <w:szCs w:val="20"/>
        </w:rPr>
        <w:t>r</w:t>
      </w:r>
      <w:r w:rsidR="007E6670" w:rsidRPr="00332E2C">
        <w:rPr>
          <w:rFonts w:ascii="Arial" w:hAnsi="Arial" w:cs="Arial"/>
          <w:sz w:val="20"/>
          <w:szCs w:val="20"/>
        </w:rPr>
        <w:t xml:space="preserve">egard </w:t>
      </w:r>
      <w:r w:rsidRPr="00332E2C">
        <w:rPr>
          <w:rFonts w:ascii="Arial" w:hAnsi="Arial" w:cs="Arial"/>
          <w:sz w:val="20"/>
          <w:szCs w:val="20"/>
        </w:rPr>
        <w:t xml:space="preserve">to </w:t>
      </w:r>
      <w:r w:rsidR="007E6670" w:rsidRPr="00332E2C">
        <w:rPr>
          <w:rFonts w:ascii="Arial" w:hAnsi="Arial" w:cs="Arial"/>
          <w:sz w:val="20"/>
          <w:szCs w:val="20"/>
        </w:rPr>
        <w:t xml:space="preserve">sections </w:t>
      </w:r>
      <w:r w:rsidRPr="00332E2C">
        <w:rPr>
          <w:rFonts w:ascii="Arial" w:hAnsi="Arial" w:cs="Arial"/>
          <w:sz w:val="20"/>
          <w:szCs w:val="20"/>
        </w:rPr>
        <w:t>3.1-3.5</w:t>
      </w:r>
      <w:r w:rsidR="007E6670" w:rsidRPr="00332E2C">
        <w:rPr>
          <w:rFonts w:ascii="Arial" w:hAnsi="Arial" w:cs="Arial"/>
          <w:sz w:val="20"/>
          <w:szCs w:val="20"/>
        </w:rPr>
        <w:t>. There has a</w:t>
      </w:r>
      <w:r w:rsidRPr="00332E2C">
        <w:rPr>
          <w:rFonts w:ascii="Arial" w:hAnsi="Arial" w:cs="Arial"/>
          <w:sz w:val="20"/>
          <w:szCs w:val="20"/>
        </w:rPr>
        <w:t xml:space="preserve">lready </w:t>
      </w:r>
      <w:r w:rsidR="007E6670" w:rsidRPr="00332E2C">
        <w:rPr>
          <w:rFonts w:ascii="Arial" w:hAnsi="Arial" w:cs="Arial"/>
          <w:sz w:val="20"/>
          <w:szCs w:val="20"/>
        </w:rPr>
        <w:t xml:space="preserve">been a </w:t>
      </w:r>
      <w:r w:rsidRPr="00332E2C">
        <w:rPr>
          <w:rFonts w:ascii="Arial" w:hAnsi="Arial" w:cs="Arial"/>
          <w:sz w:val="20"/>
          <w:szCs w:val="20"/>
        </w:rPr>
        <w:t xml:space="preserve">command </w:t>
      </w:r>
      <w:r w:rsidR="007E6670" w:rsidRPr="00332E2C">
        <w:rPr>
          <w:rFonts w:ascii="Arial" w:hAnsi="Arial" w:cs="Arial"/>
          <w:sz w:val="20"/>
          <w:szCs w:val="20"/>
        </w:rPr>
        <w:t xml:space="preserve">to police </w:t>
      </w:r>
      <w:r w:rsidRPr="00332E2C">
        <w:rPr>
          <w:rFonts w:ascii="Arial" w:hAnsi="Arial" w:cs="Arial"/>
          <w:sz w:val="20"/>
          <w:szCs w:val="20"/>
        </w:rPr>
        <w:t>members to comply with prohibition on torture</w:t>
      </w:r>
      <w:r w:rsidR="007E6670" w:rsidRPr="00332E2C">
        <w:rPr>
          <w:rFonts w:ascii="Arial" w:hAnsi="Arial" w:cs="Arial"/>
          <w:sz w:val="20"/>
          <w:szCs w:val="20"/>
        </w:rPr>
        <w:t xml:space="preserve"> and the </w:t>
      </w:r>
      <w:r w:rsidRPr="00332E2C">
        <w:rPr>
          <w:rFonts w:ascii="Arial" w:hAnsi="Arial" w:cs="Arial"/>
          <w:sz w:val="20"/>
          <w:szCs w:val="20"/>
        </w:rPr>
        <w:t>Na</w:t>
      </w:r>
      <w:r w:rsidR="007E6670" w:rsidRPr="00332E2C">
        <w:rPr>
          <w:rFonts w:ascii="Arial" w:hAnsi="Arial" w:cs="Arial"/>
          <w:sz w:val="20"/>
          <w:szCs w:val="20"/>
        </w:rPr>
        <w:t xml:space="preserve">tional Commissioner has </w:t>
      </w:r>
      <w:r w:rsidRPr="00332E2C">
        <w:rPr>
          <w:rFonts w:ascii="Arial" w:hAnsi="Arial" w:cs="Arial"/>
          <w:sz w:val="20"/>
          <w:szCs w:val="20"/>
        </w:rPr>
        <w:t>complied</w:t>
      </w:r>
      <w:r w:rsidR="007E6670" w:rsidRPr="00332E2C">
        <w:rPr>
          <w:rFonts w:ascii="Arial" w:hAnsi="Arial" w:cs="Arial"/>
          <w:sz w:val="20"/>
          <w:szCs w:val="20"/>
        </w:rPr>
        <w:t>.</w:t>
      </w:r>
    </w:p>
    <w:p w:rsidR="00F55DC6" w:rsidRPr="00332E2C" w:rsidRDefault="007E6670" w:rsidP="00332E2C">
      <w:pPr>
        <w:spacing w:after="0" w:line="240" w:lineRule="auto"/>
        <w:jc w:val="both"/>
        <w:rPr>
          <w:rFonts w:ascii="Arial" w:hAnsi="Arial" w:cs="Arial"/>
          <w:sz w:val="20"/>
          <w:szCs w:val="20"/>
        </w:rPr>
      </w:pPr>
      <w:r w:rsidRPr="00332E2C">
        <w:rPr>
          <w:rFonts w:ascii="Arial" w:hAnsi="Arial" w:cs="Arial"/>
          <w:sz w:val="20"/>
          <w:szCs w:val="20"/>
        </w:rPr>
        <w:t>The Minister is appealing section 6.1.2 of the judgement which states that t</w:t>
      </w:r>
      <w:r w:rsidR="00D70882" w:rsidRPr="00332E2C">
        <w:rPr>
          <w:rFonts w:ascii="Arial" w:hAnsi="Arial" w:cs="Arial"/>
          <w:sz w:val="20"/>
          <w:szCs w:val="20"/>
        </w:rPr>
        <w:t xml:space="preserve">he 1st and 4th respondent </w:t>
      </w:r>
      <w:r w:rsidRPr="00332E2C">
        <w:rPr>
          <w:rFonts w:ascii="Arial" w:hAnsi="Arial" w:cs="Arial"/>
          <w:sz w:val="20"/>
          <w:szCs w:val="20"/>
        </w:rPr>
        <w:t xml:space="preserve">should </w:t>
      </w:r>
      <w:r w:rsidR="00D70882" w:rsidRPr="00332E2C">
        <w:rPr>
          <w:rFonts w:ascii="Arial" w:hAnsi="Arial" w:cs="Arial"/>
          <w:sz w:val="20"/>
          <w:szCs w:val="20"/>
        </w:rPr>
        <w:t>ensure investigations are completed and reported</w:t>
      </w:r>
      <w:r w:rsidRPr="00332E2C">
        <w:rPr>
          <w:rFonts w:ascii="Arial" w:hAnsi="Arial" w:cs="Arial"/>
          <w:sz w:val="20"/>
          <w:szCs w:val="20"/>
        </w:rPr>
        <w:t xml:space="preserve">, including </w:t>
      </w:r>
      <w:r w:rsidR="00D70882" w:rsidRPr="00332E2C">
        <w:rPr>
          <w:rFonts w:ascii="Arial" w:hAnsi="Arial" w:cs="Arial"/>
          <w:sz w:val="20"/>
          <w:szCs w:val="20"/>
        </w:rPr>
        <w:t>the treatment of any person whose rights have be</w:t>
      </w:r>
      <w:r w:rsidRPr="00332E2C">
        <w:rPr>
          <w:rFonts w:ascii="Arial" w:hAnsi="Arial" w:cs="Arial"/>
          <w:sz w:val="20"/>
          <w:szCs w:val="20"/>
        </w:rPr>
        <w:t>e</w:t>
      </w:r>
      <w:r w:rsidR="00D70882" w:rsidRPr="00332E2C">
        <w:rPr>
          <w:rFonts w:ascii="Arial" w:hAnsi="Arial" w:cs="Arial"/>
          <w:sz w:val="20"/>
          <w:szCs w:val="20"/>
        </w:rPr>
        <w:t>n infringed by the SAPS, SANDF and the Metro Police dep</w:t>
      </w:r>
      <w:r w:rsidRPr="00332E2C">
        <w:rPr>
          <w:rFonts w:ascii="Arial" w:hAnsi="Arial" w:cs="Arial"/>
          <w:sz w:val="20"/>
          <w:szCs w:val="20"/>
        </w:rPr>
        <w:t>artment</w:t>
      </w:r>
      <w:r w:rsidR="00D70882" w:rsidRPr="00332E2C">
        <w:rPr>
          <w:rFonts w:ascii="Arial" w:hAnsi="Arial" w:cs="Arial"/>
          <w:sz w:val="20"/>
          <w:szCs w:val="20"/>
        </w:rPr>
        <w:t xml:space="preserve">.The judgement </w:t>
      </w:r>
      <w:r w:rsidRPr="00332E2C">
        <w:rPr>
          <w:rFonts w:ascii="Arial" w:hAnsi="Arial" w:cs="Arial"/>
          <w:sz w:val="20"/>
          <w:szCs w:val="20"/>
        </w:rPr>
        <w:t>was</w:t>
      </w:r>
      <w:r w:rsidR="00D70882" w:rsidRPr="00332E2C">
        <w:rPr>
          <w:rFonts w:ascii="Arial" w:hAnsi="Arial" w:cs="Arial"/>
          <w:sz w:val="20"/>
          <w:szCs w:val="20"/>
        </w:rPr>
        <w:t xml:space="preserve"> restating the law</w:t>
      </w:r>
      <w:r w:rsidRPr="00332E2C">
        <w:rPr>
          <w:rFonts w:ascii="Arial" w:hAnsi="Arial" w:cs="Arial"/>
          <w:sz w:val="20"/>
          <w:szCs w:val="20"/>
        </w:rPr>
        <w:t xml:space="preserve"> and there were police officers </w:t>
      </w:r>
      <w:r w:rsidR="00D70882" w:rsidRPr="00332E2C">
        <w:rPr>
          <w:rFonts w:ascii="Arial" w:hAnsi="Arial" w:cs="Arial"/>
          <w:sz w:val="20"/>
          <w:szCs w:val="20"/>
        </w:rPr>
        <w:t>who did not conduct themselves in the way they should</w:t>
      </w:r>
      <w:r w:rsidRPr="00332E2C">
        <w:rPr>
          <w:rFonts w:ascii="Arial" w:hAnsi="Arial" w:cs="Arial"/>
          <w:sz w:val="20"/>
          <w:szCs w:val="20"/>
        </w:rPr>
        <w:t xml:space="preserve">. The </w:t>
      </w:r>
      <w:r w:rsidR="00D70882" w:rsidRPr="00332E2C">
        <w:rPr>
          <w:rFonts w:ascii="Arial" w:hAnsi="Arial" w:cs="Arial"/>
          <w:sz w:val="20"/>
          <w:szCs w:val="20"/>
        </w:rPr>
        <w:t xml:space="preserve">court </w:t>
      </w:r>
      <w:r w:rsidRPr="00332E2C">
        <w:rPr>
          <w:rFonts w:ascii="Arial" w:hAnsi="Arial" w:cs="Arial"/>
          <w:sz w:val="20"/>
          <w:szCs w:val="20"/>
        </w:rPr>
        <w:t>wa</w:t>
      </w:r>
      <w:r w:rsidR="00D70882" w:rsidRPr="00332E2C">
        <w:rPr>
          <w:rFonts w:ascii="Arial" w:hAnsi="Arial" w:cs="Arial"/>
          <w:sz w:val="20"/>
          <w:szCs w:val="20"/>
        </w:rPr>
        <w:t xml:space="preserve">s reminding </w:t>
      </w:r>
      <w:r w:rsidRPr="00332E2C">
        <w:rPr>
          <w:rFonts w:ascii="Arial" w:hAnsi="Arial" w:cs="Arial"/>
          <w:sz w:val="20"/>
          <w:szCs w:val="20"/>
        </w:rPr>
        <w:t xml:space="preserve">the Ministry and the SAPS </w:t>
      </w:r>
      <w:r w:rsidR="00D70882" w:rsidRPr="00332E2C">
        <w:rPr>
          <w:rFonts w:ascii="Arial" w:hAnsi="Arial" w:cs="Arial"/>
          <w:sz w:val="20"/>
          <w:szCs w:val="20"/>
        </w:rPr>
        <w:t>to work with</w:t>
      </w:r>
      <w:r w:rsidRPr="00332E2C">
        <w:rPr>
          <w:rFonts w:ascii="Arial" w:hAnsi="Arial" w:cs="Arial"/>
          <w:sz w:val="20"/>
          <w:szCs w:val="20"/>
        </w:rPr>
        <w:t>in</w:t>
      </w:r>
      <w:r w:rsidR="00D70882" w:rsidRPr="00332E2C">
        <w:rPr>
          <w:rFonts w:ascii="Arial" w:hAnsi="Arial" w:cs="Arial"/>
          <w:sz w:val="20"/>
          <w:szCs w:val="20"/>
        </w:rPr>
        <w:t xml:space="preserve"> the prescripts in line with the law</w:t>
      </w:r>
    </w:p>
    <w:p w:rsidR="00B57C2E" w:rsidRPr="00332E2C" w:rsidRDefault="00B57C2E" w:rsidP="00332E2C">
      <w:pPr>
        <w:spacing w:after="0" w:line="240" w:lineRule="auto"/>
        <w:ind w:left="720" w:hanging="720"/>
        <w:jc w:val="both"/>
        <w:rPr>
          <w:rFonts w:ascii="Arial" w:hAnsi="Arial" w:cs="Arial"/>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 xml:space="preserve">5. </w:t>
      </w:r>
      <w:r w:rsidRPr="00332E2C">
        <w:rPr>
          <w:rFonts w:ascii="Arial" w:hAnsi="Arial" w:cs="Arial"/>
          <w:b/>
          <w:sz w:val="20"/>
          <w:szCs w:val="20"/>
        </w:rPr>
        <w:tab/>
        <w:t>Committee Recommendations</w:t>
      </w:r>
    </w:p>
    <w:p w:rsidR="00D6120C" w:rsidRPr="00332E2C" w:rsidRDefault="00D6120C" w:rsidP="00332E2C">
      <w:pPr>
        <w:spacing w:after="0" w:line="240" w:lineRule="auto"/>
        <w:jc w:val="both"/>
        <w:rPr>
          <w:rFonts w:ascii="Arial" w:hAnsi="Arial" w:cs="Arial"/>
          <w:b/>
          <w:sz w:val="20"/>
          <w:szCs w:val="20"/>
        </w:rPr>
      </w:pPr>
      <w:r w:rsidRPr="00332E2C">
        <w:rPr>
          <w:rFonts w:ascii="Arial" w:hAnsi="Arial" w:cs="Arial"/>
          <w:b/>
          <w:sz w:val="20"/>
          <w:szCs w:val="20"/>
        </w:rPr>
        <w:t>Additional Information</w:t>
      </w:r>
    </w:p>
    <w:p w:rsidR="00D6120C" w:rsidRPr="00332E2C" w:rsidRDefault="00D6120C" w:rsidP="00332E2C">
      <w:pPr>
        <w:pStyle w:val="ListParagraph"/>
        <w:numPr>
          <w:ilvl w:val="0"/>
          <w:numId w:val="28"/>
        </w:numPr>
        <w:spacing w:after="0" w:line="240" w:lineRule="auto"/>
        <w:jc w:val="both"/>
        <w:rPr>
          <w:rFonts w:ascii="Arial" w:hAnsi="Arial" w:cs="Arial"/>
          <w:sz w:val="20"/>
          <w:szCs w:val="20"/>
        </w:rPr>
      </w:pPr>
      <w:r w:rsidRPr="00332E2C">
        <w:rPr>
          <w:rFonts w:ascii="Arial" w:hAnsi="Arial" w:cs="Arial"/>
          <w:sz w:val="20"/>
          <w:szCs w:val="20"/>
        </w:rPr>
        <w:t>The IPID is to provide the Committee with a detailed list of all disciplinary case recommendations made to SAPS.</w:t>
      </w:r>
    </w:p>
    <w:p w:rsidR="00D6120C" w:rsidRPr="00332E2C" w:rsidRDefault="00D6120C" w:rsidP="00332E2C">
      <w:pPr>
        <w:pStyle w:val="ListParagraph"/>
        <w:numPr>
          <w:ilvl w:val="0"/>
          <w:numId w:val="28"/>
        </w:numPr>
        <w:spacing w:after="0" w:line="240" w:lineRule="auto"/>
        <w:jc w:val="both"/>
        <w:rPr>
          <w:rFonts w:ascii="Arial" w:hAnsi="Arial" w:cs="Arial"/>
          <w:sz w:val="20"/>
          <w:szCs w:val="20"/>
        </w:rPr>
      </w:pPr>
      <w:r w:rsidRPr="00332E2C">
        <w:rPr>
          <w:rFonts w:ascii="Arial" w:hAnsi="Arial" w:cs="Arial"/>
          <w:sz w:val="20"/>
          <w:szCs w:val="20"/>
        </w:rPr>
        <w:t xml:space="preserve">The IPID is to provide the Committee with the detailed classification of all the cases, and all police stations where such offences occurred. </w:t>
      </w:r>
    </w:p>
    <w:p w:rsidR="00D6120C" w:rsidRPr="00332E2C" w:rsidRDefault="00D6120C" w:rsidP="00332E2C">
      <w:pPr>
        <w:pStyle w:val="ListParagraph"/>
        <w:numPr>
          <w:ilvl w:val="0"/>
          <w:numId w:val="28"/>
        </w:numPr>
        <w:spacing w:after="0" w:line="240" w:lineRule="auto"/>
        <w:jc w:val="both"/>
        <w:rPr>
          <w:rFonts w:ascii="Arial" w:hAnsi="Arial" w:cs="Arial"/>
          <w:sz w:val="20"/>
          <w:szCs w:val="20"/>
        </w:rPr>
      </w:pPr>
      <w:r w:rsidRPr="00332E2C">
        <w:rPr>
          <w:rFonts w:ascii="Arial" w:hAnsi="Arial" w:cs="Arial"/>
          <w:sz w:val="20"/>
          <w:szCs w:val="20"/>
        </w:rPr>
        <w:t xml:space="preserve">The IPID must make available a list of all provincial statistics.     </w:t>
      </w:r>
    </w:p>
    <w:p w:rsidR="00EB6B72" w:rsidRPr="00332E2C" w:rsidRDefault="00EB6B72" w:rsidP="00332E2C">
      <w:pPr>
        <w:spacing w:after="0" w:line="240" w:lineRule="auto"/>
        <w:jc w:val="both"/>
        <w:rPr>
          <w:rFonts w:ascii="Arial" w:hAnsi="Arial" w:cs="Arial"/>
          <w:b/>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 xml:space="preserve">The Committee made the following recommendations </w:t>
      </w:r>
    </w:p>
    <w:p w:rsidR="00A03D4D" w:rsidRPr="00332E2C" w:rsidRDefault="00A03D4D" w:rsidP="00332E2C">
      <w:pPr>
        <w:spacing w:after="0" w:line="240" w:lineRule="auto"/>
        <w:ind w:left="720" w:hanging="720"/>
        <w:jc w:val="both"/>
        <w:rPr>
          <w:rFonts w:ascii="Arial" w:hAnsi="Arial" w:cs="Arial"/>
          <w:sz w:val="20"/>
          <w:szCs w:val="20"/>
        </w:rPr>
      </w:pPr>
      <w:r w:rsidRPr="00332E2C">
        <w:rPr>
          <w:rFonts w:ascii="Arial" w:hAnsi="Arial" w:cs="Arial"/>
          <w:sz w:val="20"/>
          <w:szCs w:val="20"/>
        </w:rPr>
        <w:t>5.1</w:t>
      </w:r>
      <w:r w:rsidRPr="00332E2C">
        <w:rPr>
          <w:rFonts w:ascii="Arial" w:hAnsi="Arial" w:cs="Arial"/>
          <w:sz w:val="20"/>
          <w:szCs w:val="20"/>
        </w:rPr>
        <w:tab/>
        <w:t xml:space="preserve">The Committee notes that the Executive Authority is in contravention of the IPID Act with the appointment of the IPID Executive Director and </w:t>
      </w:r>
      <w:r w:rsidR="00EB6B72" w:rsidRPr="00332E2C">
        <w:rPr>
          <w:rFonts w:ascii="Arial" w:hAnsi="Arial" w:cs="Arial"/>
          <w:sz w:val="20"/>
          <w:szCs w:val="20"/>
        </w:rPr>
        <w:t xml:space="preserve">recommends that the Minister of Police should fast track the process of </w:t>
      </w:r>
      <w:r w:rsidR="00D6120C" w:rsidRPr="00332E2C">
        <w:rPr>
          <w:rFonts w:ascii="Arial" w:hAnsi="Arial" w:cs="Arial"/>
          <w:sz w:val="20"/>
          <w:szCs w:val="20"/>
        </w:rPr>
        <w:t xml:space="preserve">nominating the </w:t>
      </w:r>
      <w:r w:rsidR="00EB6B72" w:rsidRPr="00332E2C">
        <w:rPr>
          <w:rFonts w:ascii="Arial" w:hAnsi="Arial" w:cs="Arial"/>
          <w:sz w:val="20"/>
          <w:szCs w:val="20"/>
        </w:rPr>
        <w:t>Executive Director</w:t>
      </w:r>
      <w:r w:rsidR="00D6120C" w:rsidRPr="00332E2C">
        <w:rPr>
          <w:rFonts w:ascii="Arial" w:hAnsi="Arial" w:cs="Arial"/>
          <w:sz w:val="20"/>
          <w:szCs w:val="20"/>
        </w:rPr>
        <w:t xml:space="preserve"> of IPID for Parliament’s approval within the next three months</w:t>
      </w:r>
      <w:r w:rsidR="00EB6B72" w:rsidRPr="00332E2C">
        <w:rPr>
          <w:rFonts w:ascii="Arial" w:hAnsi="Arial" w:cs="Arial"/>
          <w:sz w:val="20"/>
          <w:szCs w:val="20"/>
        </w:rPr>
        <w:t>.</w:t>
      </w:r>
      <w:r w:rsidR="00BB0241" w:rsidRPr="00332E2C">
        <w:rPr>
          <w:rFonts w:ascii="Arial" w:hAnsi="Arial" w:cs="Arial"/>
          <w:sz w:val="20"/>
          <w:szCs w:val="20"/>
        </w:rPr>
        <w:t xml:space="preserve"> The </w:t>
      </w:r>
      <w:r w:rsidR="00C70649" w:rsidRPr="00332E2C">
        <w:rPr>
          <w:rFonts w:ascii="Arial" w:hAnsi="Arial" w:cs="Arial"/>
          <w:sz w:val="20"/>
          <w:szCs w:val="20"/>
        </w:rPr>
        <w:t xml:space="preserve">Committee also recommended that the </w:t>
      </w:r>
      <w:r w:rsidR="00BB0241" w:rsidRPr="00332E2C">
        <w:rPr>
          <w:rFonts w:ascii="Arial" w:hAnsi="Arial" w:cs="Arial"/>
          <w:sz w:val="20"/>
          <w:szCs w:val="20"/>
        </w:rPr>
        <w:t xml:space="preserve">acting IPID Executive Director should be </w:t>
      </w:r>
      <w:r w:rsidR="00C70649" w:rsidRPr="00332E2C">
        <w:rPr>
          <w:rFonts w:ascii="Arial" w:hAnsi="Arial" w:cs="Arial"/>
          <w:sz w:val="20"/>
          <w:szCs w:val="20"/>
        </w:rPr>
        <w:t xml:space="preserve">not be </w:t>
      </w:r>
      <w:r w:rsidR="00BB0241" w:rsidRPr="00332E2C">
        <w:rPr>
          <w:rFonts w:ascii="Arial" w:hAnsi="Arial" w:cs="Arial"/>
          <w:sz w:val="20"/>
          <w:szCs w:val="20"/>
        </w:rPr>
        <w:t xml:space="preserve">moved </w:t>
      </w:r>
      <w:r w:rsidR="00C70649" w:rsidRPr="00332E2C">
        <w:rPr>
          <w:rFonts w:ascii="Arial" w:hAnsi="Arial" w:cs="Arial"/>
          <w:sz w:val="20"/>
          <w:szCs w:val="20"/>
        </w:rPr>
        <w:t xml:space="preserve">during the next three months </w:t>
      </w:r>
      <w:r w:rsidR="00BB0241" w:rsidRPr="00332E2C">
        <w:rPr>
          <w:rFonts w:ascii="Arial" w:hAnsi="Arial" w:cs="Arial"/>
          <w:sz w:val="20"/>
          <w:szCs w:val="20"/>
        </w:rPr>
        <w:t>until such time th</w:t>
      </w:r>
      <w:r w:rsidR="00C70649" w:rsidRPr="00332E2C">
        <w:rPr>
          <w:rFonts w:ascii="Arial" w:hAnsi="Arial" w:cs="Arial"/>
          <w:sz w:val="20"/>
          <w:szCs w:val="20"/>
        </w:rPr>
        <w:t>a</w:t>
      </w:r>
      <w:r w:rsidR="00BB0241" w:rsidRPr="00332E2C">
        <w:rPr>
          <w:rFonts w:ascii="Arial" w:hAnsi="Arial" w:cs="Arial"/>
          <w:sz w:val="20"/>
          <w:szCs w:val="20"/>
        </w:rPr>
        <w:t>t</w:t>
      </w:r>
      <w:r w:rsidR="00C70649" w:rsidRPr="00332E2C">
        <w:rPr>
          <w:rFonts w:ascii="Arial" w:hAnsi="Arial" w:cs="Arial"/>
          <w:sz w:val="20"/>
          <w:szCs w:val="20"/>
        </w:rPr>
        <w:t xml:space="preserve"> a</w:t>
      </w:r>
      <w:r w:rsidR="00BB0241" w:rsidRPr="00332E2C">
        <w:rPr>
          <w:rFonts w:ascii="Arial" w:hAnsi="Arial" w:cs="Arial"/>
          <w:sz w:val="20"/>
          <w:szCs w:val="20"/>
        </w:rPr>
        <w:t xml:space="preserve"> new Executi</w:t>
      </w:r>
      <w:r w:rsidR="00C70649" w:rsidRPr="00332E2C">
        <w:rPr>
          <w:rFonts w:ascii="Arial" w:hAnsi="Arial" w:cs="Arial"/>
          <w:sz w:val="20"/>
          <w:szCs w:val="20"/>
        </w:rPr>
        <w:t>v</w:t>
      </w:r>
      <w:r w:rsidR="00BB0241" w:rsidRPr="00332E2C">
        <w:rPr>
          <w:rFonts w:ascii="Arial" w:hAnsi="Arial" w:cs="Arial"/>
          <w:sz w:val="20"/>
          <w:szCs w:val="20"/>
        </w:rPr>
        <w:t>e D</w:t>
      </w:r>
      <w:r w:rsidR="00C70649" w:rsidRPr="00332E2C">
        <w:rPr>
          <w:rFonts w:ascii="Arial" w:hAnsi="Arial" w:cs="Arial"/>
          <w:sz w:val="20"/>
          <w:szCs w:val="20"/>
        </w:rPr>
        <w:t>i</w:t>
      </w:r>
      <w:r w:rsidR="00BB0241" w:rsidRPr="00332E2C">
        <w:rPr>
          <w:rFonts w:ascii="Arial" w:hAnsi="Arial" w:cs="Arial"/>
          <w:sz w:val="20"/>
          <w:szCs w:val="20"/>
        </w:rPr>
        <w:t xml:space="preserve">rector </w:t>
      </w:r>
      <w:r w:rsidR="00C70649" w:rsidRPr="00332E2C">
        <w:rPr>
          <w:rFonts w:ascii="Arial" w:hAnsi="Arial" w:cs="Arial"/>
          <w:sz w:val="20"/>
          <w:szCs w:val="20"/>
        </w:rPr>
        <w:t>has been</w:t>
      </w:r>
      <w:r w:rsidR="00BB0241" w:rsidRPr="00332E2C">
        <w:rPr>
          <w:rFonts w:ascii="Arial" w:hAnsi="Arial" w:cs="Arial"/>
          <w:sz w:val="20"/>
          <w:szCs w:val="20"/>
        </w:rPr>
        <w:t xml:space="preserve"> appointed.</w:t>
      </w:r>
    </w:p>
    <w:p w:rsidR="00D6120C"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 xml:space="preserve">5.2 </w:t>
      </w:r>
      <w:r w:rsidRPr="00332E2C">
        <w:rPr>
          <w:rFonts w:ascii="Arial" w:hAnsi="Arial" w:cs="Arial"/>
          <w:sz w:val="20"/>
          <w:szCs w:val="20"/>
        </w:rPr>
        <w:tab/>
        <w:t xml:space="preserve">The Committee recommends that the IPID </w:t>
      </w:r>
      <w:r w:rsidR="00D6120C" w:rsidRPr="00332E2C">
        <w:rPr>
          <w:rFonts w:ascii="Arial" w:hAnsi="Arial" w:cs="Arial"/>
          <w:sz w:val="20"/>
          <w:szCs w:val="20"/>
        </w:rPr>
        <w:t xml:space="preserve">work to rectify the decision–ready case APP targets with its stakeholders. </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5.3</w:t>
      </w:r>
      <w:r w:rsidRPr="00332E2C">
        <w:rPr>
          <w:rFonts w:ascii="Arial" w:hAnsi="Arial" w:cs="Arial"/>
          <w:sz w:val="20"/>
          <w:szCs w:val="20"/>
        </w:rPr>
        <w:tab/>
        <w:t xml:space="preserve">The Committee recommends that the IPID management must </w:t>
      </w:r>
      <w:r w:rsidR="00D6120C" w:rsidRPr="00332E2C">
        <w:rPr>
          <w:rFonts w:ascii="Arial" w:hAnsi="Arial" w:cs="Arial"/>
          <w:sz w:val="20"/>
          <w:szCs w:val="20"/>
        </w:rPr>
        <w:t xml:space="preserve">review the basic training course of the SAPS to ensure that the members undergo conflict resolution, anger management and debriefing skills training. </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5.4</w:t>
      </w:r>
      <w:r w:rsidRPr="00332E2C">
        <w:rPr>
          <w:rFonts w:ascii="Arial" w:hAnsi="Arial" w:cs="Arial"/>
          <w:sz w:val="20"/>
          <w:szCs w:val="20"/>
        </w:rPr>
        <w:tab/>
        <w:t xml:space="preserve">The Committee recommends that the IPID </w:t>
      </w:r>
      <w:r w:rsidR="008F60D8" w:rsidRPr="00332E2C">
        <w:rPr>
          <w:rFonts w:ascii="Arial" w:hAnsi="Arial" w:cs="Arial"/>
          <w:sz w:val="20"/>
          <w:szCs w:val="20"/>
        </w:rPr>
        <w:t>re-open the Miggels case and provide feedback to the family of the deceased.</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 xml:space="preserve">5.5 </w:t>
      </w:r>
      <w:r w:rsidRPr="00332E2C">
        <w:rPr>
          <w:rFonts w:ascii="Arial" w:hAnsi="Arial" w:cs="Arial"/>
          <w:sz w:val="20"/>
          <w:szCs w:val="20"/>
        </w:rPr>
        <w:tab/>
        <w:t xml:space="preserve">The Committee recommends that the IPID should </w:t>
      </w:r>
      <w:r w:rsidR="008F60D8" w:rsidRPr="00332E2C">
        <w:rPr>
          <w:rFonts w:ascii="Arial" w:hAnsi="Arial" w:cs="Arial"/>
          <w:sz w:val="20"/>
          <w:szCs w:val="20"/>
        </w:rPr>
        <w:t xml:space="preserve">implement all the recommendations of the Khosa judgement and ensure that the SAPS co-operates with it to implement all the outstanding areas of the judgement.  </w:t>
      </w:r>
    </w:p>
    <w:p w:rsidR="00EB6B72" w:rsidRPr="00332E2C" w:rsidRDefault="00EB6B72" w:rsidP="00332E2C">
      <w:pPr>
        <w:spacing w:after="0" w:line="240" w:lineRule="auto"/>
        <w:ind w:left="720" w:hanging="720"/>
        <w:jc w:val="both"/>
        <w:rPr>
          <w:rFonts w:ascii="Arial" w:hAnsi="Arial" w:cs="Arial"/>
          <w:sz w:val="20"/>
          <w:szCs w:val="20"/>
        </w:rPr>
      </w:pPr>
      <w:r w:rsidRPr="00332E2C">
        <w:rPr>
          <w:rFonts w:ascii="Arial" w:hAnsi="Arial" w:cs="Arial"/>
          <w:sz w:val="20"/>
          <w:szCs w:val="20"/>
        </w:rPr>
        <w:t>5.6</w:t>
      </w:r>
      <w:r w:rsidRPr="00332E2C">
        <w:rPr>
          <w:rFonts w:ascii="Arial" w:hAnsi="Arial" w:cs="Arial"/>
          <w:sz w:val="20"/>
          <w:szCs w:val="20"/>
        </w:rPr>
        <w:tab/>
        <w:t xml:space="preserve">The Committee </w:t>
      </w:r>
      <w:r w:rsidR="008F60D8" w:rsidRPr="00332E2C">
        <w:rPr>
          <w:rFonts w:ascii="Arial" w:hAnsi="Arial" w:cs="Arial"/>
          <w:sz w:val="20"/>
          <w:szCs w:val="20"/>
        </w:rPr>
        <w:t xml:space="preserve">recommends that the IPID reviews all its low APP targets. </w:t>
      </w:r>
    </w:p>
    <w:p w:rsidR="008F60D8" w:rsidRPr="00332E2C" w:rsidRDefault="008F60D8" w:rsidP="00332E2C">
      <w:pPr>
        <w:spacing w:after="0" w:line="240" w:lineRule="auto"/>
        <w:ind w:left="720" w:hanging="720"/>
        <w:jc w:val="both"/>
        <w:rPr>
          <w:rFonts w:ascii="Arial" w:hAnsi="Arial" w:cs="Arial"/>
          <w:sz w:val="20"/>
          <w:szCs w:val="20"/>
        </w:rPr>
      </w:pPr>
      <w:r w:rsidRPr="00332E2C">
        <w:rPr>
          <w:rFonts w:ascii="Arial" w:hAnsi="Arial" w:cs="Arial"/>
          <w:sz w:val="20"/>
          <w:szCs w:val="20"/>
        </w:rPr>
        <w:t>5.7</w:t>
      </w:r>
      <w:r w:rsidRPr="00332E2C">
        <w:rPr>
          <w:rFonts w:ascii="Arial" w:hAnsi="Arial" w:cs="Arial"/>
          <w:sz w:val="20"/>
          <w:szCs w:val="20"/>
        </w:rPr>
        <w:tab/>
        <w:t xml:space="preserve">The Committee recommends that the IPID provides a plan for the re-prioritisation of the budget to deal with areas where there are shortfalls and provide a report to Parliament.  </w:t>
      </w:r>
    </w:p>
    <w:p w:rsidR="008F60D8" w:rsidRPr="00332E2C" w:rsidRDefault="008F60D8" w:rsidP="00332E2C">
      <w:pPr>
        <w:spacing w:after="0" w:line="240" w:lineRule="auto"/>
        <w:ind w:left="720" w:hanging="720"/>
        <w:jc w:val="both"/>
        <w:rPr>
          <w:rFonts w:ascii="Arial" w:hAnsi="Arial" w:cs="Arial"/>
          <w:sz w:val="20"/>
          <w:szCs w:val="20"/>
        </w:rPr>
      </w:pPr>
      <w:r w:rsidRPr="00332E2C">
        <w:rPr>
          <w:rFonts w:ascii="Arial" w:hAnsi="Arial" w:cs="Arial"/>
          <w:sz w:val="20"/>
          <w:szCs w:val="20"/>
        </w:rPr>
        <w:t>5.8</w:t>
      </w:r>
      <w:r w:rsidRPr="00332E2C">
        <w:rPr>
          <w:rFonts w:ascii="Arial" w:hAnsi="Arial" w:cs="Arial"/>
          <w:sz w:val="20"/>
          <w:szCs w:val="20"/>
        </w:rPr>
        <w:tab/>
        <w:t>The Committee recommends that the IPID consider other government funding sources to recover the areas where funding shortfalls exist.</w:t>
      </w:r>
    </w:p>
    <w:p w:rsidR="008F60D8" w:rsidRPr="00332E2C" w:rsidRDefault="008F60D8" w:rsidP="00332E2C">
      <w:pPr>
        <w:spacing w:after="0" w:line="240" w:lineRule="auto"/>
        <w:ind w:left="720" w:hanging="720"/>
        <w:jc w:val="both"/>
        <w:rPr>
          <w:rFonts w:ascii="Arial" w:hAnsi="Arial" w:cs="Arial"/>
          <w:sz w:val="20"/>
          <w:szCs w:val="20"/>
        </w:rPr>
      </w:pPr>
      <w:r w:rsidRPr="00332E2C">
        <w:rPr>
          <w:rFonts w:ascii="Arial" w:hAnsi="Arial" w:cs="Arial"/>
          <w:sz w:val="20"/>
          <w:szCs w:val="20"/>
        </w:rPr>
        <w:t>5.9</w:t>
      </w:r>
      <w:r w:rsidRPr="00332E2C">
        <w:rPr>
          <w:rFonts w:ascii="Arial" w:hAnsi="Arial" w:cs="Arial"/>
          <w:sz w:val="20"/>
          <w:szCs w:val="20"/>
        </w:rPr>
        <w:tab/>
        <w:t>The Committee recommends that the IPID develop a plan to deal with its underperformance.</w:t>
      </w:r>
    </w:p>
    <w:p w:rsidR="008F60D8" w:rsidRPr="00332E2C" w:rsidRDefault="008F60D8" w:rsidP="00332E2C">
      <w:pPr>
        <w:spacing w:after="0" w:line="240" w:lineRule="auto"/>
        <w:ind w:left="720" w:hanging="720"/>
        <w:jc w:val="both"/>
        <w:rPr>
          <w:rFonts w:ascii="Arial" w:hAnsi="Arial" w:cs="Arial"/>
          <w:sz w:val="20"/>
          <w:szCs w:val="20"/>
        </w:rPr>
      </w:pPr>
      <w:r w:rsidRPr="00332E2C">
        <w:rPr>
          <w:rFonts w:ascii="Arial" w:hAnsi="Arial" w:cs="Arial"/>
          <w:sz w:val="20"/>
          <w:szCs w:val="20"/>
        </w:rPr>
        <w:t>5.10</w:t>
      </w:r>
      <w:r w:rsidRPr="00332E2C">
        <w:rPr>
          <w:rFonts w:ascii="Arial" w:hAnsi="Arial" w:cs="Arial"/>
          <w:sz w:val="20"/>
          <w:szCs w:val="20"/>
        </w:rPr>
        <w:tab/>
        <w:t xml:space="preserve">The Committee will monitor the IPID Amendment Bill and wait for the further IPID </w:t>
      </w:r>
      <w:r w:rsidR="00A03D4D" w:rsidRPr="00332E2C">
        <w:rPr>
          <w:rFonts w:ascii="Arial" w:hAnsi="Arial" w:cs="Arial"/>
          <w:sz w:val="20"/>
          <w:szCs w:val="20"/>
        </w:rPr>
        <w:t>amendments.</w:t>
      </w:r>
    </w:p>
    <w:p w:rsidR="007B534B" w:rsidRPr="00332E2C" w:rsidRDefault="007B534B" w:rsidP="00332E2C">
      <w:pPr>
        <w:spacing w:after="0" w:line="240" w:lineRule="auto"/>
        <w:ind w:left="720" w:hanging="720"/>
        <w:jc w:val="both"/>
        <w:rPr>
          <w:rFonts w:ascii="Arial" w:hAnsi="Arial" w:cs="Arial"/>
          <w:sz w:val="20"/>
          <w:szCs w:val="20"/>
        </w:rPr>
      </w:pPr>
      <w:r w:rsidRPr="00332E2C">
        <w:rPr>
          <w:rFonts w:ascii="Arial" w:hAnsi="Arial" w:cs="Arial"/>
          <w:sz w:val="20"/>
          <w:szCs w:val="20"/>
        </w:rPr>
        <w:t>5.11</w:t>
      </w:r>
      <w:r w:rsidRPr="00332E2C">
        <w:rPr>
          <w:rFonts w:ascii="Arial" w:hAnsi="Arial" w:cs="Arial"/>
          <w:sz w:val="20"/>
          <w:szCs w:val="20"/>
        </w:rPr>
        <w:tab/>
        <w:t xml:space="preserve">The Committee recommends that all CIVID-19 related cases during the lockdown be forwarded to the IPID National Office for quality control before being closed or processed. </w:t>
      </w:r>
    </w:p>
    <w:p w:rsidR="007B534B" w:rsidRPr="00332E2C" w:rsidRDefault="007B534B" w:rsidP="00332E2C">
      <w:pPr>
        <w:spacing w:after="0" w:line="240" w:lineRule="auto"/>
        <w:ind w:left="720" w:hanging="720"/>
        <w:jc w:val="both"/>
        <w:rPr>
          <w:rFonts w:ascii="Arial" w:hAnsi="Arial" w:cs="Arial"/>
          <w:sz w:val="20"/>
          <w:szCs w:val="20"/>
        </w:rPr>
      </w:pPr>
      <w:r w:rsidRPr="00332E2C">
        <w:rPr>
          <w:rFonts w:ascii="Arial" w:hAnsi="Arial" w:cs="Arial"/>
          <w:sz w:val="20"/>
          <w:szCs w:val="20"/>
        </w:rPr>
        <w:t>5.12</w:t>
      </w:r>
      <w:r w:rsidRPr="00332E2C">
        <w:rPr>
          <w:rFonts w:ascii="Arial" w:hAnsi="Arial" w:cs="Arial"/>
          <w:sz w:val="20"/>
          <w:szCs w:val="20"/>
        </w:rPr>
        <w:tab/>
        <w:t>The Committee recommends that all provincial reports of cases closed be made available to the Members.</w:t>
      </w:r>
    </w:p>
    <w:p w:rsidR="00EB6B72" w:rsidRPr="00332E2C" w:rsidRDefault="00EB6B72" w:rsidP="00332E2C">
      <w:pPr>
        <w:spacing w:after="0" w:line="240" w:lineRule="auto"/>
        <w:ind w:left="720" w:hanging="720"/>
        <w:jc w:val="both"/>
        <w:rPr>
          <w:rFonts w:ascii="Arial" w:hAnsi="Arial" w:cs="Arial"/>
          <w:sz w:val="20"/>
          <w:szCs w:val="20"/>
        </w:rPr>
      </w:pPr>
    </w:p>
    <w:p w:rsidR="00EB6B72" w:rsidRPr="00332E2C" w:rsidRDefault="00EB6B72" w:rsidP="00332E2C">
      <w:pPr>
        <w:spacing w:after="0" w:line="240" w:lineRule="auto"/>
        <w:jc w:val="both"/>
        <w:rPr>
          <w:rFonts w:ascii="Arial" w:hAnsi="Arial" w:cs="Arial"/>
          <w:b/>
          <w:sz w:val="20"/>
          <w:szCs w:val="20"/>
        </w:rPr>
      </w:pPr>
      <w:r w:rsidRPr="00332E2C">
        <w:rPr>
          <w:rFonts w:ascii="Arial" w:hAnsi="Arial" w:cs="Arial"/>
          <w:b/>
          <w:sz w:val="20"/>
          <w:szCs w:val="20"/>
        </w:rPr>
        <w:t xml:space="preserve">6. </w:t>
      </w:r>
      <w:r w:rsidRPr="00332E2C">
        <w:rPr>
          <w:rFonts w:ascii="Arial" w:hAnsi="Arial" w:cs="Arial"/>
          <w:b/>
          <w:sz w:val="20"/>
          <w:szCs w:val="20"/>
        </w:rPr>
        <w:tab/>
        <w:t>Conclusion</w:t>
      </w:r>
    </w:p>
    <w:p w:rsidR="00A03D4D"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 xml:space="preserve">In conclusion, the Committee noted </w:t>
      </w:r>
      <w:r w:rsidR="00A03D4D" w:rsidRPr="00332E2C">
        <w:rPr>
          <w:rFonts w:ascii="Arial" w:hAnsi="Arial" w:cs="Arial"/>
          <w:sz w:val="20"/>
          <w:szCs w:val="20"/>
        </w:rPr>
        <w:t xml:space="preserve">its serious concerns that the budget shortfall will have on the ability of the IPID to implement its mandate and effective oversight over the police. </w:t>
      </w:r>
      <w:r w:rsidRPr="00332E2C">
        <w:rPr>
          <w:rFonts w:ascii="Arial" w:hAnsi="Arial" w:cs="Arial"/>
          <w:sz w:val="20"/>
          <w:szCs w:val="20"/>
        </w:rPr>
        <w:t xml:space="preserve">The Committee </w:t>
      </w:r>
      <w:r w:rsidR="00A03D4D" w:rsidRPr="00332E2C">
        <w:rPr>
          <w:rFonts w:ascii="Arial" w:hAnsi="Arial" w:cs="Arial"/>
          <w:sz w:val="20"/>
          <w:szCs w:val="20"/>
        </w:rPr>
        <w:t>is also seriously concerned about the instability in the leadership of IPID by the fact that an Executive Director has not been appointed. The Committee wants the Executive Authority to move with speed to complete the process it has started to appoint the Executive Director.</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 xml:space="preserve">The Committee </w:t>
      </w:r>
      <w:r w:rsidR="00A03D4D" w:rsidRPr="00332E2C">
        <w:rPr>
          <w:rFonts w:ascii="Arial" w:hAnsi="Arial" w:cs="Arial"/>
          <w:sz w:val="20"/>
          <w:szCs w:val="20"/>
        </w:rPr>
        <w:t xml:space="preserve">notes that the public must have public trust in the police and the IPID should be effective to hold the police to account and for that to happen, the IPID </w:t>
      </w:r>
      <w:r w:rsidRPr="00332E2C">
        <w:rPr>
          <w:rFonts w:ascii="Arial" w:hAnsi="Arial" w:cs="Arial"/>
          <w:sz w:val="20"/>
          <w:szCs w:val="20"/>
        </w:rPr>
        <w:t xml:space="preserve">needs to work hard to improve their marketing strategy and to bring their services to areas that will be accessible to communities. The Portfolio Committee thanked the Department for their co-operation in the annual budget hearings.  </w:t>
      </w:r>
    </w:p>
    <w:p w:rsidR="00EB6B72" w:rsidRPr="00332E2C" w:rsidRDefault="00EB6B72" w:rsidP="00332E2C">
      <w:pPr>
        <w:spacing w:after="0" w:line="240" w:lineRule="auto"/>
        <w:jc w:val="both"/>
        <w:rPr>
          <w:rFonts w:ascii="Arial" w:hAnsi="Arial" w:cs="Arial"/>
          <w:sz w:val="20"/>
          <w:szCs w:val="20"/>
        </w:rPr>
      </w:pPr>
      <w:r w:rsidRPr="00332E2C">
        <w:rPr>
          <w:rFonts w:ascii="Arial" w:hAnsi="Arial" w:cs="Arial"/>
          <w:sz w:val="20"/>
          <w:szCs w:val="20"/>
        </w:rPr>
        <w:t>The Portfolio Committee on Police supports the budget of the Independent Police Investigative Directorate (IPID) for 20</w:t>
      </w:r>
      <w:r w:rsidR="00A03D4D" w:rsidRPr="00332E2C">
        <w:rPr>
          <w:rFonts w:ascii="Arial" w:hAnsi="Arial" w:cs="Arial"/>
          <w:sz w:val="20"/>
          <w:szCs w:val="20"/>
        </w:rPr>
        <w:t>20</w:t>
      </w:r>
      <w:r w:rsidRPr="00332E2C">
        <w:rPr>
          <w:rFonts w:ascii="Arial" w:hAnsi="Arial" w:cs="Arial"/>
          <w:sz w:val="20"/>
          <w:szCs w:val="20"/>
        </w:rPr>
        <w:t>/2</w:t>
      </w:r>
      <w:r w:rsidR="00A03D4D" w:rsidRPr="00332E2C">
        <w:rPr>
          <w:rFonts w:ascii="Arial" w:hAnsi="Arial" w:cs="Arial"/>
          <w:sz w:val="20"/>
          <w:szCs w:val="20"/>
        </w:rPr>
        <w:t>1</w:t>
      </w:r>
      <w:r w:rsidRPr="00332E2C">
        <w:rPr>
          <w:rFonts w:ascii="Arial" w:hAnsi="Arial" w:cs="Arial"/>
          <w:sz w:val="20"/>
          <w:szCs w:val="20"/>
        </w:rPr>
        <w:t xml:space="preserve"> and recommends that the Budget Vote 2</w:t>
      </w:r>
      <w:r w:rsidR="00A03D4D" w:rsidRPr="00332E2C">
        <w:rPr>
          <w:rFonts w:ascii="Arial" w:hAnsi="Arial" w:cs="Arial"/>
          <w:sz w:val="20"/>
          <w:szCs w:val="20"/>
        </w:rPr>
        <w:t>4</w:t>
      </w:r>
      <w:r w:rsidRPr="00332E2C">
        <w:rPr>
          <w:rFonts w:ascii="Arial" w:hAnsi="Arial" w:cs="Arial"/>
          <w:sz w:val="20"/>
          <w:szCs w:val="20"/>
        </w:rPr>
        <w:t xml:space="preserve"> be adopted.</w:t>
      </w:r>
    </w:p>
    <w:p w:rsidR="009A3D60" w:rsidRPr="00332E2C" w:rsidRDefault="009A3D60" w:rsidP="00332E2C">
      <w:pPr>
        <w:spacing w:after="0" w:line="240" w:lineRule="auto"/>
        <w:jc w:val="both"/>
        <w:rPr>
          <w:rFonts w:ascii="Arial" w:hAnsi="Arial" w:cs="Arial"/>
          <w:sz w:val="20"/>
          <w:szCs w:val="20"/>
        </w:rPr>
      </w:pPr>
      <w:r w:rsidRPr="00332E2C">
        <w:rPr>
          <w:rFonts w:ascii="Arial" w:hAnsi="Arial" w:cs="Arial"/>
          <w:sz w:val="20"/>
          <w:szCs w:val="20"/>
        </w:rPr>
        <w:t xml:space="preserve">The Democratic Alliance and the Economic Freedom Fighters reserved its rights with respect to the adoption of the report. </w:t>
      </w:r>
    </w:p>
    <w:p w:rsidR="00A03D4D" w:rsidRPr="00332E2C" w:rsidRDefault="00A03D4D" w:rsidP="00332E2C">
      <w:pPr>
        <w:tabs>
          <w:tab w:val="left" w:pos="4056"/>
          <w:tab w:val="left" w:pos="6444"/>
        </w:tabs>
        <w:spacing w:after="0" w:line="240" w:lineRule="auto"/>
        <w:jc w:val="both"/>
        <w:rPr>
          <w:rFonts w:ascii="Arial" w:hAnsi="Arial" w:cs="Arial"/>
          <w:b/>
          <w:sz w:val="20"/>
          <w:szCs w:val="20"/>
        </w:rPr>
      </w:pPr>
    </w:p>
    <w:p w:rsidR="00341FC9" w:rsidRPr="00332E2C" w:rsidRDefault="00EB6B72" w:rsidP="00332E2C">
      <w:pPr>
        <w:tabs>
          <w:tab w:val="left" w:pos="4056"/>
          <w:tab w:val="left" w:pos="6444"/>
        </w:tabs>
        <w:spacing w:after="0" w:line="240" w:lineRule="auto"/>
        <w:jc w:val="both"/>
        <w:rPr>
          <w:rFonts w:ascii="Arial" w:hAnsi="Arial" w:cs="Arial"/>
          <w:sz w:val="20"/>
          <w:szCs w:val="20"/>
        </w:rPr>
      </w:pPr>
      <w:r w:rsidRPr="00332E2C">
        <w:rPr>
          <w:rFonts w:ascii="Arial" w:hAnsi="Arial" w:cs="Arial"/>
          <w:b/>
          <w:sz w:val="20"/>
          <w:szCs w:val="20"/>
        </w:rPr>
        <w:t>Report to be considered.</w:t>
      </w:r>
    </w:p>
    <w:sectPr w:rsidR="00341FC9" w:rsidRPr="00332E2C" w:rsidSect="006D564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2D" w:rsidRDefault="00DA572D">
      <w:pPr>
        <w:spacing w:after="0" w:line="240" w:lineRule="auto"/>
      </w:pPr>
      <w:r>
        <w:separator/>
      </w:r>
    </w:p>
  </w:endnote>
  <w:endnote w:type="continuationSeparator" w:id="1">
    <w:p w:rsidR="00DA572D" w:rsidRDefault="00DA5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EF" w:rsidRDefault="006D5643">
    <w:pPr>
      <w:pStyle w:val="Footer"/>
      <w:jc w:val="center"/>
      <w:rPr>
        <w:caps/>
        <w:noProof/>
        <w:color w:val="5B9BD5" w:themeColor="accent1"/>
      </w:rPr>
    </w:pPr>
    <w:r w:rsidRPr="00F905A0">
      <w:rPr>
        <w:caps/>
      </w:rPr>
      <w:fldChar w:fldCharType="begin"/>
    </w:r>
    <w:r w:rsidR="001D6FEF" w:rsidRPr="00F905A0">
      <w:rPr>
        <w:caps/>
      </w:rPr>
      <w:instrText xml:space="preserve"> PAGE   \* MERGEFORMAT </w:instrText>
    </w:r>
    <w:r w:rsidRPr="00F905A0">
      <w:rPr>
        <w:caps/>
      </w:rPr>
      <w:fldChar w:fldCharType="separate"/>
    </w:r>
    <w:r w:rsidR="00332E2C">
      <w:rPr>
        <w:caps/>
        <w:noProof/>
      </w:rPr>
      <w:t>1</w:t>
    </w:r>
    <w:r w:rsidRPr="00F905A0">
      <w:rPr>
        <w:caps/>
        <w:noProof/>
      </w:rPr>
      <w:fldChar w:fldCharType="end"/>
    </w:r>
  </w:p>
  <w:p w:rsidR="001D6FEF" w:rsidRDefault="001D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2D" w:rsidRDefault="00DA572D">
      <w:pPr>
        <w:spacing w:after="0" w:line="240" w:lineRule="auto"/>
      </w:pPr>
      <w:r>
        <w:separator/>
      </w:r>
    </w:p>
  </w:footnote>
  <w:footnote w:type="continuationSeparator" w:id="1">
    <w:p w:rsidR="00DA572D" w:rsidRDefault="00DA5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10A"/>
    <w:multiLevelType w:val="hybridMultilevel"/>
    <w:tmpl w:val="2ABE3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71706"/>
    <w:multiLevelType w:val="multilevel"/>
    <w:tmpl w:val="109C9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E5FDE"/>
    <w:multiLevelType w:val="hybridMultilevel"/>
    <w:tmpl w:val="DE1458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0458F"/>
    <w:multiLevelType w:val="hybridMultilevel"/>
    <w:tmpl w:val="8D1E3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7252B7"/>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DA5684"/>
    <w:multiLevelType w:val="hybridMultilevel"/>
    <w:tmpl w:val="C2248F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42209"/>
    <w:multiLevelType w:val="hybridMultilevel"/>
    <w:tmpl w:val="E892A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E44392"/>
    <w:multiLevelType w:val="hybridMultilevel"/>
    <w:tmpl w:val="CF7696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986BE5"/>
    <w:multiLevelType w:val="hybridMultilevel"/>
    <w:tmpl w:val="0A8C1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D4F16"/>
    <w:multiLevelType w:val="hybridMultilevel"/>
    <w:tmpl w:val="98BE2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A90AE4"/>
    <w:multiLevelType w:val="hybridMultilevel"/>
    <w:tmpl w:val="FD043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E3766D"/>
    <w:multiLevelType w:val="hybridMultilevel"/>
    <w:tmpl w:val="1EC02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3D42A5"/>
    <w:multiLevelType w:val="hybridMultilevel"/>
    <w:tmpl w:val="C9FE9300"/>
    <w:lvl w:ilvl="0" w:tplc="7C542896">
      <w:numFmt w:val="bullet"/>
      <w:lvlText w:val="•"/>
      <w:lvlJc w:val="left"/>
      <w:pPr>
        <w:ind w:left="270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01A59AF"/>
    <w:multiLevelType w:val="hybridMultilevel"/>
    <w:tmpl w:val="B7304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DA1901"/>
    <w:multiLevelType w:val="hybridMultilevel"/>
    <w:tmpl w:val="CF1AB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6A1541D"/>
    <w:multiLevelType w:val="hybridMultilevel"/>
    <w:tmpl w:val="3BF696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7E900C0"/>
    <w:multiLevelType w:val="hybridMultilevel"/>
    <w:tmpl w:val="BDC6F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8F40689"/>
    <w:multiLevelType w:val="hybridMultilevel"/>
    <w:tmpl w:val="A7E81B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0146146"/>
    <w:multiLevelType w:val="hybridMultilevel"/>
    <w:tmpl w:val="F030F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E214B5"/>
    <w:multiLevelType w:val="hybridMultilevel"/>
    <w:tmpl w:val="4CB668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2145B9"/>
    <w:multiLevelType w:val="hybridMultilevel"/>
    <w:tmpl w:val="057A8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3B3612"/>
    <w:multiLevelType w:val="hybridMultilevel"/>
    <w:tmpl w:val="1CB0D62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FA21DDB"/>
    <w:multiLevelType w:val="hybridMultilevel"/>
    <w:tmpl w:val="0D468FD2"/>
    <w:lvl w:ilvl="0" w:tplc="7C542896">
      <w:numFmt w:val="bullet"/>
      <w:lvlText w:val="•"/>
      <w:lvlJc w:val="left"/>
      <w:pPr>
        <w:ind w:left="270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7E55E2"/>
    <w:multiLevelType w:val="hybridMultilevel"/>
    <w:tmpl w:val="19AA110C"/>
    <w:lvl w:ilvl="0" w:tplc="7C542896">
      <w:numFmt w:val="bullet"/>
      <w:lvlText w:val="•"/>
      <w:lvlJc w:val="left"/>
      <w:pPr>
        <w:ind w:left="4680" w:hanging="720"/>
      </w:pPr>
      <w:rPr>
        <w:rFonts w:ascii="Times New Roman" w:eastAsiaTheme="minorHAnsi" w:hAnsi="Times New Roman" w:cs="Times New Roman" w:hint="default"/>
      </w:rPr>
    </w:lvl>
    <w:lvl w:ilvl="1" w:tplc="1C090003" w:tentative="1">
      <w:start w:val="1"/>
      <w:numFmt w:val="bullet"/>
      <w:lvlText w:val="o"/>
      <w:lvlJc w:val="left"/>
      <w:pPr>
        <w:ind w:left="3420" w:hanging="360"/>
      </w:pPr>
      <w:rPr>
        <w:rFonts w:ascii="Courier New" w:hAnsi="Courier New" w:cs="Courier New" w:hint="default"/>
      </w:rPr>
    </w:lvl>
    <w:lvl w:ilvl="2" w:tplc="1C090005">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24">
    <w:nsid w:val="6D243CA1"/>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356EFF"/>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2D63EF4"/>
    <w:multiLevelType w:val="hybridMultilevel"/>
    <w:tmpl w:val="94121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E35F11"/>
    <w:multiLevelType w:val="hybridMultilevel"/>
    <w:tmpl w:val="ABEC1E2A"/>
    <w:lvl w:ilvl="0" w:tplc="1C090017">
      <w:start w:val="1"/>
      <w:numFmt w:val="lowerLetter"/>
      <w:lvlText w:val="%1)"/>
      <w:lvlJc w:val="left"/>
      <w:pPr>
        <w:ind w:left="720" w:hanging="360"/>
      </w:pPr>
    </w:lvl>
    <w:lvl w:ilvl="1" w:tplc="1C09000F">
      <w:start w:val="1"/>
      <w:numFmt w:val="decimal"/>
      <w:lvlText w:val="%2."/>
      <w:lvlJc w:val="left"/>
      <w:pPr>
        <w:ind w:left="1440" w:hanging="360"/>
      </w:pPr>
    </w:lvl>
    <w:lvl w:ilvl="2" w:tplc="7C542896">
      <w:numFmt w:val="bullet"/>
      <w:lvlText w:val="•"/>
      <w:lvlJc w:val="left"/>
      <w:pPr>
        <w:ind w:left="2700" w:hanging="720"/>
      </w:pPr>
      <w:rPr>
        <w:rFonts w:ascii="Times New Roman" w:eastAsiaTheme="minorHAnsi" w:hAnsi="Times New Roman"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9"/>
  </w:num>
  <w:num w:numId="5">
    <w:abstractNumId w:val="21"/>
  </w:num>
  <w:num w:numId="6">
    <w:abstractNumId w:val="25"/>
  </w:num>
  <w:num w:numId="7">
    <w:abstractNumId w:val="24"/>
  </w:num>
  <w:num w:numId="8">
    <w:abstractNumId w:val="4"/>
  </w:num>
  <w:num w:numId="9">
    <w:abstractNumId w:val="1"/>
  </w:num>
  <w:num w:numId="10">
    <w:abstractNumId w:val="19"/>
  </w:num>
  <w:num w:numId="11">
    <w:abstractNumId w:val="5"/>
  </w:num>
  <w:num w:numId="12">
    <w:abstractNumId w:val="7"/>
  </w:num>
  <w:num w:numId="13">
    <w:abstractNumId w:val="27"/>
  </w:num>
  <w:num w:numId="14">
    <w:abstractNumId w:val="14"/>
  </w:num>
  <w:num w:numId="15">
    <w:abstractNumId w:val="26"/>
  </w:num>
  <w:num w:numId="16">
    <w:abstractNumId w:val="10"/>
  </w:num>
  <w:num w:numId="17">
    <w:abstractNumId w:val="3"/>
  </w:num>
  <w:num w:numId="18">
    <w:abstractNumId w:val="8"/>
  </w:num>
  <w:num w:numId="19">
    <w:abstractNumId w:val="15"/>
  </w:num>
  <w:num w:numId="20">
    <w:abstractNumId w:val="17"/>
  </w:num>
  <w:num w:numId="21">
    <w:abstractNumId w:val="0"/>
  </w:num>
  <w:num w:numId="22">
    <w:abstractNumId w:val="23"/>
  </w:num>
  <w:num w:numId="23">
    <w:abstractNumId w:val="22"/>
  </w:num>
  <w:num w:numId="24">
    <w:abstractNumId w:val="12"/>
  </w:num>
  <w:num w:numId="25">
    <w:abstractNumId w:val="13"/>
  </w:num>
  <w:num w:numId="26">
    <w:abstractNumId w:val="11"/>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B6B72"/>
    <w:rsid w:val="000E786F"/>
    <w:rsid w:val="0012376D"/>
    <w:rsid w:val="00155CEE"/>
    <w:rsid w:val="001C3901"/>
    <w:rsid w:val="001D6FEF"/>
    <w:rsid w:val="00227075"/>
    <w:rsid w:val="002477DD"/>
    <w:rsid w:val="00252C96"/>
    <w:rsid w:val="0027450D"/>
    <w:rsid w:val="002C3750"/>
    <w:rsid w:val="002E4BA9"/>
    <w:rsid w:val="002F7AD4"/>
    <w:rsid w:val="00332E2C"/>
    <w:rsid w:val="00341FC9"/>
    <w:rsid w:val="003709D0"/>
    <w:rsid w:val="003825C9"/>
    <w:rsid w:val="003B78CC"/>
    <w:rsid w:val="00402DD0"/>
    <w:rsid w:val="0042316F"/>
    <w:rsid w:val="00435BB0"/>
    <w:rsid w:val="004818B3"/>
    <w:rsid w:val="004B2F79"/>
    <w:rsid w:val="004F652D"/>
    <w:rsid w:val="005466DF"/>
    <w:rsid w:val="005B1080"/>
    <w:rsid w:val="005D7DA1"/>
    <w:rsid w:val="00623BFB"/>
    <w:rsid w:val="006D5643"/>
    <w:rsid w:val="006E264B"/>
    <w:rsid w:val="006F2E2F"/>
    <w:rsid w:val="00707B7A"/>
    <w:rsid w:val="00712CC2"/>
    <w:rsid w:val="0078391F"/>
    <w:rsid w:val="007B534B"/>
    <w:rsid w:val="007C4DE5"/>
    <w:rsid w:val="007E6670"/>
    <w:rsid w:val="00854755"/>
    <w:rsid w:val="0087648D"/>
    <w:rsid w:val="00897621"/>
    <w:rsid w:val="008D0420"/>
    <w:rsid w:val="008F60D8"/>
    <w:rsid w:val="009000B2"/>
    <w:rsid w:val="00905A28"/>
    <w:rsid w:val="009715CD"/>
    <w:rsid w:val="009A3D60"/>
    <w:rsid w:val="009F60CA"/>
    <w:rsid w:val="00A03D4D"/>
    <w:rsid w:val="00A14F14"/>
    <w:rsid w:val="00A613C0"/>
    <w:rsid w:val="00A62C50"/>
    <w:rsid w:val="00A7455B"/>
    <w:rsid w:val="00A858BD"/>
    <w:rsid w:val="00AA6A10"/>
    <w:rsid w:val="00B110E4"/>
    <w:rsid w:val="00B13BC0"/>
    <w:rsid w:val="00B15543"/>
    <w:rsid w:val="00B57C2E"/>
    <w:rsid w:val="00B87B57"/>
    <w:rsid w:val="00BB0241"/>
    <w:rsid w:val="00BB0954"/>
    <w:rsid w:val="00C255F4"/>
    <w:rsid w:val="00C355E8"/>
    <w:rsid w:val="00C43A9E"/>
    <w:rsid w:val="00C558E9"/>
    <w:rsid w:val="00C579E0"/>
    <w:rsid w:val="00C70649"/>
    <w:rsid w:val="00C74418"/>
    <w:rsid w:val="00C869F9"/>
    <w:rsid w:val="00C930A5"/>
    <w:rsid w:val="00D2493A"/>
    <w:rsid w:val="00D6120C"/>
    <w:rsid w:val="00D70882"/>
    <w:rsid w:val="00D90E1F"/>
    <w:rsid w:val="00DA572D"/>
    <w:rsid w:val="00DD46F5"/>
    <w:rsid w:val="00E041AF"/>
    <w:rsid w:val="00E47C56"/>
    <w:rsid w:val="00E87595"/>
    <w:rsid w:val="00EB6B72"/>
    <w:rsid w:val="00EE79E1"/>
    <w:rsid w:val="00F03893"/>
    <w:rsid w:val="00F55DC6"/>
    <w:rsid w:val="00FD5E1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B72"/>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6B72"/>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B6B72"/>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B6B72"/>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B6B72"/>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72"/>
  </w:style>
  <w:style w:type="paragraph" w:styleId="Footer">
    <w:name w:val="footer"/>
    <w:basedOn w:val="Normal"/>
    <w:link w:val="FooterChar"/>
    <w:uiPriority w:val="99"/>
    <w:unhideWhenUsed/>
    <w:rsid w:val="00EB6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72"/>
  </w:style>
  <w:style w:type="paragraph" w:customStyle="1" w:styleId="Default">
    <w:name w:val="Default"/>
    <w:rsid w:val="009000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2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3E9A-7D8D-4220-A070-ACB026ED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PMG User</cp:lastModifiedBy>
  <cp:revision>2</cp:revision>
  <dcterms:created xsi:type="dcterms:W3CDTF">2020-06-05T11:26:00Z</dcterms:created>
  <dcterms:modified xsi:type="dcterms:W3CDTF">2020-06-05T11:26:00Z</dcterms:modified>
</cp:coreProperties>
</file>