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CA" w:rsidRPr="0085143C" w:rsidRDefault="000A126B" w:rsidP="0085143C">
      <w:pPr>
        <w:spacing w:after="0" w:line="240" w:lineRule="auto"/>
        <w:jc w:val="both"/>
        <w:rPr>
          <w:rFonts w:ascii="Arial" w:hAnsi="Arial" w:cs="Arial"/>
          <w:b/>
          <w:sz w:val="20"/>
          <w:szCs w:val="20"/>
        </w:rPr>
      </w:pPr>
      <w:r>
        <w:rPr>
          <w:rFonts w:ascii="Arial" w:hAnsi="Arial" w:cs="Arial"/>
          <w:b/>
          <w:sz w:val="20"/>
          <w:szCs w:val="20"/>
        </w:rPr>
        <w:t>Report of t</w:t>
      </w:r>
      <w:r w:rsidRPr="0085143C">
        <w:rPr>
          <w:rFonts w:ascii="Arial" w:hAnsi="Arial" w:cs="Arial"/>
          <w:b/>
          <w:sz w:val="20"/>
          <w:szCs w:val="20"/>
        </w:rPr>
        <w:t>he Po</w:t>
      </w:r>
      <w:r>
        <w:rPr>
          <w:rFonts w:ascii="Arial" w:hAnsi="Arial" w:cs="Arial"/>
          <w:b/>
          <w:sz w:val="20"/>
          <w:szCs w:val="20"/>
        </w:rPr>
        <w:t>rtfolio Committee On Police on t</w:t>
      </w:r>
      <w:r w:rsidRPr="0085143C">
        <w:rPr>
          <w:rFonts w:ascii="Arial" w:hAnsi="Arial" w:cs="Arial"/>
          <w:b/>
          <w:sz w:val="20"/>
          <w:szCs w:val="20"/>
        </w:rPr>
        <w:t>he 2020/21 B</w:t>
      </w:r>
      <w:r>
        <w:rPr>
          <w:rFonts w:ascii="Arial" w:hAnsi="Arial" w:cs="Arial"/>
          <w:b/>
          <w:sz w:val="20"/>
          <w:szCs w:val="20"/>
        </w:rPr>
        <w:t>udget, Annual Performance Plan of the Civilian Secretariat f</w:t>
      </w:r>
      <w:r w:rsidRPr="0085143C">
        <w:rPr>
          <w:rFonts w:ascii="Arial" w:hAnsi="Arial" w:cs="Arial"/>
          <w:b/>
          <w:sz w:val="20"/>
          <w:szCs w:val="20"/>
        </w:rPr>
        <w:t>or Police Services (C</w:t>
      </w:r>
      <w:r>
        <w:rPr>
          <w:rFonts w:ascii="Arial" w:hAnsi="Arial" w:cs="Arial"/>
          <w:b/>
          <w:sz w:val="20"/>
          <w:szCs w:val="20"/>
        </w:rPr>
        <w:t>SPS</w:t>
      </w:r>
      <w:r w:rsidRPr="0085143C">
        <w:rPr>
          <w:rFonts w:ascii="Arial" w:hAnsi="Arial" w:cs="Arial"/>
          <w:b/>
          <w:sz w:val="20"/>
          <w:szCs w:val="20"/>
        </w:rPr>
        <w:t>) Vote 21, Dated 27 May 2020</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 xml:space="preserve">The Portfolio Committee on Police examined the Budget, Annual Performance </w:t>
      </w:r>
      <w:r w:rsidR="007A4542" w:rsidRPr="0085143C">
        <w:rPr>
          <w:rFonts w:ascii="Arial" w:hAnsi="Arial" w:cs="Arial"/>
          <w:sz w:val="20"/>
          <w:szCs w:val="20"/>
        </w:rPr>
        <w:t xml:space="preserve">Plan </w:t>
      </w:r>
      <w:r w:rsidRPr="0085143C">
        <w:rPr>
          <w:rFonts w:ascii="Arial" w:hAnsi="Arial" w:cs="Arial"/>
          <w:sz w:val="20"/>
          <w:szCs w:val="20"/>
        </w:rPr>
        <w:t>of the Civilian Secretariat for Police Services (CSPS) for the 20</w:t>
      </w:r>
      <w:r w:rsidR="00B36FB4" w:rsidRPr="0085143C">
        <w:rPr>
          <w:rFonts w:ascii="Arial" w:hAnsi="Arial" w:cs="Arial"/>
          <w:sz w:val="20"/>
          <w:szCs w:val="20"/>
        </w:rPr>
        <w:t>20</w:t>
      </w:r>
      <w:r w:rsidRPr="0085143C">
        <w:rPr>
          <w:rFonts w:ascii="Arial" w:hAnsi="Arial" w:cs="Arial"/>
          <w:sz w:val="20"/>
          <w:szCs w:val="20"/>
        </w:rPr>
        <w:t>/2</w:t>
      </w:r>
      <w:r w:rsidR="00B36FB4" w:rsidRPr="0085143C">
        <w:rPr>
          <w:rFonts w:ascii="Arial" w:hAnsi="Arial" w:cs="Arial"/>
          <w:sz w:val="20"/>
          <w:szCs w:val="20"/>
        </w:rPr>
        <w:t>1</w:t>
      </w:r>
      <w:r w:rsidRPr="0085143C">
        <w:rPr>
          <w:rFonts w:ascii="Arial" w:hAnsi="Arial" w:cs="Arial"/>
          <w:sz w:val="20"/>
          <w:szCs w:val="20"/>
        </w:rPr>
        <w:t xml:space="preserve"> financial year</w:t>
      </w:r>
      <w:r w:rsidR="007A4542" w:rsidRPr="0085143C">
        <w:rPr>
          <w:rFonts w:ascii="Arial" w:hAnsi="Arial" w:cs="Arial"/>
          <w:sz w:val="20"/>
          <w:szCs w:val="20"/>
        </w:rPr>
        <w:t xml:space="preserve"> as well as the Strategic Plan 2020-25</w:t>
      </w:r>
      <w:r w:rsidRPr="0085143C">
        <w:rPr>
          <w:rFonts w:ascii="Arial" w:hAnsi="Arial" w:cs="Arial"/>
          <w:sz w:val="20"/>
          <w:szCs w:val="20"/>
        </w:rPr>
        <w:t>. The Committee reports as follows:</w:t>
      </w:r>
    </w:p>
    <w:p w:rsidR="00162DCA" w:rsidRPr="0085143C" w:rsidRDefault="00162DCA" w:rsidP="0085143C">
      <w:pPr>
        <w:numPr>
          <w:ilvl w:val="1"/>
          <w:numId w:val="0"/>
        </w:numPr>
        <w:spacing w:after="0" w:line="240" w:lineRule="auto"/>
        <w:rPr>
          <w:rFonts w:ascii="Arial" w:eastAsiaTheme="minorEastAsia" w:hAnsi="Arial" w:cs="Arial"/>
          <w:color w:val="5A5A5A" w:themeColor="text1" w:themeTint="A5"/>
          <w:spacing w:val="15"/>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1. INTRODUCTION</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 xml:space="preserve">The Civilian Secretariat for Police Services (CSPS) derives its mandate from section 208 of the Constitution of South Africa, 1996 (Act No. 108 of 1996), which states that a Civilian Secretariat for the police must be established by national legislation to function under the direction of the Cabinet member responsible for policing. </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 xml:space="preserve">The legislative mandate of the Civilian Secretariat is laid out in the Civilian Secretariat for Police Services Service Act, 2011 (Act No. 2 of 2011). The Act was promulgated on 01 December 2011 and provides for the Secretariat to provide advice to the Minister of Police. The Civilian Secretariat became a designated department on 1 April 2014 in terms of the Act, </w:t>
      </w:r>
      <w:r w:rsidR="00B36FB4" w:rsidRPr="0085143C">
        <w:rPr>
          <w:rFonts w:ascii="Arial" w:hAnsi="Arial" w:cs="Arial"/>
          <w:sz w:val="20"/>
          <w:szCs w:val="20"/>
        </w:rPr>
        <w:t>and previously the</w:t>
      </w:r>
      <w:r w:rsidRPr="0085143C">
        <w:rPr>
          <w:rFonts w:ascii="Arial" w:hAnsi="Arial" w:cs="Arial"/>
          <w:sz w:val="20"/>
          <w:szCs w:val="20"/>
        </w:rPr>
        <w:t xml:space="preserve"> budget was being presented as part of the SAPS budget in the Estimate of National Expenditure 201</w:t>
      </w:r>
      <w:r w:rsidR="00B36FB4" w:rsidRPr="0085143C">
        <w:rPr>
          <w:rFonts w:ascii="Arial" w:hAnsi="Arial" w:cs="Arial"/>
          <w:sz w:val="20"/>
          <w:szCs w:val="20"/>
        </w:rPr>
        <w:t>9</w:t>
      </w:r>
      <w:r w:rsidRPr="0085143C">
        <w:rPr>
          <w:rFonts w:ascii="Arial" w:hAnsi="Arial" w:cs="Arial"/>
          <w:sz w:val="20"/>
          <w:szCs w:val="20"/>
        </w:rPr>
        <w:t>.</w:t>
      </w:r>
      <w:r w:rsidR="00B36FB4" w:rsidRPr="0085143C">
        <w:rPr>
          <w:rFonts w:ascii="Arial" w:hAnsi="Arial" w:cs="Arial"/>
          <w:sz w:val="20"/>
          <w:szCs w:val="20"/>
        </w:rPr>
        <w:t xml:space="preserve"> This year, in the 2020 Estimates of National Expenditure (ENE), the Civilian Secretariat for Police is presented as a separate Budget Vote (Vote 21)</w:t>
      </w:r>
      <w:r w:rsidR="007A4542" w:rsidRPr="0085143C">
        <w:rPr>
          <w:rFonts w:ascii="Arial" w:hAnsi="Arial" w:cs="Arial"/>
          <w:sz w:val="20"/>
          <w:szCs w:val="20"/>
        </w:rPr>
        <w:t>.</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1.1 Structure</w:t>
      </w: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sz w:val="20"/>
          <w:szCs w:val="20"/>
        </w:rPr>
        <w:t>The Report provides an overview of the 20</w:t>
      </w:r>
      <w:r w:rsidR="00B36FB4" w:rsidRPr="0085143C">
        <w:rPr>
          <w:rFonts w:ascii="Arial" w:hAnsi="Arial" w:cs="Arial"/>
          <w:sz w:val="20"/>
          <w:szCs w:val="20"/>
        </w:rPr>
        <w:t>20</w:t>
      </w:r>
      <w:r w:rsidRPr="0085143C">
        <w:rPr>
          <w:rFonts w:ascii="Arial" w:hAnsi="Arial" w:cs="Arial"/>
          <w:sz w:val="20"/>
          <w:szCs w:val="20"/>
        </w:rPr>
        <w:t>/2</w:t>
      </w:r>
      <w:r w:rsidR="00B36FB4" w:rsidRPr="0085143C">
        <w:rPr>
          <w:rFonts w:ascii="Arial" w:hAnsi="Arial" w:cs="Arial"/>
          <w:sz w:val="20"/>
          <w:szCs w:val="20"/>
        </w:rPr>
        <w:t>1</w:t>
      </w:r>
      <w:r w:rsidRPr="0085143C">
        <w:rPr>
          <w:rFonts w:ascii="Arial" w:hAnsi="Arial" w:cs="Arial"/>
          <w:sz w:val="20"/>
          <w:szCs w:val="20"/>
        </w:rPr>
        <w:t xml:space="preserve"> Budget Hearings of the CSPS and is divided into the following sections:</w:t>
      </w:r>
    </w:p>
    <w:p w:rsidR="008C2D9A" w:rsidRPr="0085143C" w:rsidRDefault="008C2D9A" w:rsidP="0085143C">
      <w:pPr>
        <w:spacing w:after="0" w:line="240" w:lineRule="auto"/>
        <w:jc w:val="both"/>
        <w:rPr>
          <w:rFonts w:ascii="Arial" w:hAnsi="Arial" w:cs="Arial"/>
          <w:b/>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b/>
          <w:sz w:val="20"/>
          <w:szCs w:val="20"/>
        </w:rPr>
        <w:t>Section 1</w:t>
      </w:r>
      <w:r w:rsidRPr="0085143C">
        <w:rPr>
          <w:rFonts w:ascii="Arial" w:hAnsi="Arial" w:cs="Arial"/>
          <w:sz w:val="20"/>
          <w:szCs w:val="20"/>
        </w:rPr>
        <w:t>: Introduction. This section provides an introduction to this Report as well as a summary of meetings held during the hearings.</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b/>
          <w:sz w:val="20"/>
          <w:szCs w:val="20"/>
        </w:rPr>
        <w:t>Section 2</w:t>
      </w:r>
      <w:r w:rsidRPr="0085143C">
        <w:rPr>
          <w:rFonts w:ascii="Arial" w:hAnsi="Arial" w:cs="Arial"/>
          <w:sz w:val="20"/>
          <w:szCs w:val="20"/>
        </w:rPr>
        <w:t>: Key concerns of the Committee during the 201</w:t>
      </w:r>
      <w:r w:rsidR="00B36FB4" w:rsidRPr="0085143C">
        <w:rPr>
          <w:rFonts w:ascii="Arial" w:hAnsi="Arial" w:cs="Arial"/>
          <w:sz w:val="20"/>
          <w:szCs w:val="20"/>
        </w:rPr>
        <w:t>9</w:t>
      </w:r>
      <w:r w:rsidRPr="0085143C">
        <w:rPr>
          <w:rFonts w:ascii="Arial" w:hAnsi="Arial" w:cs="Arial"/>
          <w:sz w:val="20"/>
          <w:szCs w:val="20"/>
        </w:rPr>
        <w:t>/</w:t>
      </w:r>
      <w:r w:rsidR="00C46E1F" w:rsidRPr="0085143C">
        <w:rPr>
          <w:rFonts w:ascii="Arial" w:hAnsi="Arial" w:cs="Arial"/>
          <w:sz w:val="20"/>
          <w:szCs w:val="20"/>
        </w:rPr>
        <w:t>20</w:t>
      </w:r>
      <w:r w:rsidRPr="0085143C">
        <w:rPr>
          <w:rFonts w:ascii="Arial" w:hAnsi="Arial" w:cs="Arial"/>
          <w:sz w:val="20"/>
          <w:szCs w:val="20"/>
        </w:rPr>
        <w:t xml:space="preserve"> financial year. This section provides a summary of the key concerns raised by the Committee during the previous financial year.</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b/>
          <w:sz w:val="20"/>
          <w:szCs w:val="20"/>
        </w:rPr>
        <w:t>Section 3</w:t>
      </w:r>
      <w:r w:rsidRPr="0085143C">
        <w:rPr>
          <w:rFonts w:ascii="Arial" w:hAnsi="Arial" w:cs="Arial"/>
          <w:sz w:val="20"/>
          <w:szCs w:val="20"/>
        </w:rPr>
        <w:t>: Strategic Priorities of the CSPS for the 20</w:t>
      </w:r>
      <w:r w:rsidR="00C46E1F" w:rsidRPr="0085143C">
        <w:rPr>
          <w:rFonts w:ascii="Arial" w:hAnsi="Arial" w:cs="Arial"/>
          <w:sz w:val="20"/>
          <w:szCs w:val="20"/>
        </w:rPr>
        <w:t>20</w:t>
      </w:r>
      <w:r w:rsidRPr="0085143C">
        <w:rPr>
          <w:rFonts w:ascii="Arial" w:hAnsi="Arial" w:cs="Arial"/>
          <w:sz w:val="20"/>
          <w:szCs w:val="20"/>
        </w:rPr>
        <w:t>/2</w:t>
      </w:r>
      <w:r w:rsidR="00C46E1F" w:rsidRPr="0085143C">
        <w:rPr>
          <w:rFonts w:ascii="Arial" w:hAnsi="Arial" w:cs="Arial"/>
          <w:sz w:val="20"/>
          <w:szCs w:val="20"/>
        </w:rPr>
        <w:t>1</w:t>
      </w:r>
      <w:r w:rsidRPr="0085143C">
        <w:rPr>
          <w:rFonts w:ascii="Arial" w:hAnsi="Arial" w:cs="Arial"/>
          <w:sz w:val="20"/>
          <w:szCs w:val="20"/>
        </w:rPr>
        <w:t xml:space="preserve"> financial year. This section provides a summary of the strategic focus areas for the Secretariat for the year under review.</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b/>
          <w:sz w:val="20"/>
          <w:szCs w:val="20"/>
        </w:rPr>
        <w:t>Section 4</w:t>
      </w:r>
      <w:r w:rsidRPr="0085143C">
        <w:rPr>
          <w:rFonts w:ascii="Arial" w:hAnsi="Arial" w:cs="Arial"/>
          <w:sz w:val="20"/>
          <w:szCs w:val="20"/>
        </w:rPr>
        <w:t>: CSPS Budget and Performance targets for 20</w:t>
      </w:r>
      <w:r w:rsidR="00C46E1F" w:rsidRPr="0085143C">
        <w:rPr>
          <w:rFonts w:ascii="Arial" w:hAnsi="Arial" w:cs="Arial"/>
          <w:sz w:val="20"/>
          <w:szCs w:val="20"/>
        </w:rPr>
        <w:t>20</w:t>
      </w:r>
      <w:r w:rsidRPr="0085143C">
        <w:rPr>
          <w:rFonts w:ascii="Arial" w:hAnsi="Arial" w:cs="Arial"/>
          <w:sz w:val="20"/>
          <w:szCs w:val="20"/>
        </w:rPr>
        <w:t>/2</w:t>
      </w:r>
      <w:r w:rsidR="00C46E1F" w:rsidRPr="0085143C">
        <w:rPr>
          <w:rFonts w:ascii="Arial" w:hAnsi="Arial" w:cs="Arial"/>
          <w:sz w:val="20"/>
          <w:szCs w:val="20"/>
        </w:rPr>
        <w:t>1</w:t>
      </w:r>
      <w:r w:rsidRPr="0085143C">
        <w:rPr>
          <w:rFonts w:ascii="Arial" w:hAnsi="Arial" w:cs="Arial"/>
          <w:sz w:val="20"/>
          <w:szCs w:val="20"/>
        </w:rPr>
        <w:t>. This section provides an overall analysis of the estimates of national expenditure of the CSPS for the 20</w:t>
      </w:r>
      <w:r w:rsidR="00545CA1" w:rsidRPr="0085143C">
        <w:rPr>
          <w:rFonts w:ascii="Arial" w:hAnsi="Arial" w:cs="Arial"/>
          <w:sz w:val="20"/>
          <w:szCs w:val="20"/>
        </w:rPr>
        <w:t>20</w:t>
      </w:r>
      <w:r w:rsidRPr="0085143C">
        <w:rPr>
          <w:rFonts w:ascii="Arial" w:hAnsi="Arial" w:cs="Arial"/>
          <w:sz w:val="20"/>
          <w:szCs w:val="20"/>
        </w:rPr>
        <w:t>/</w:t>
      </w:r>
      <w:r w:rsidR="00C46E1F" w:rsidRPr="0085143C">
        <w:rPr>
          <w:rFonts w:ascii="Arial" w:hAnsi="Arial" w:cs="Arial"/>
          <w:sz w:val="20"/>
          <w:szCs w:val="20"/>
        </w:rPr>
        <w:t>2</w:t>
      </w:r>
      <w:r w:rsidR="00545CA1" w:rsidRPr="0085143C">
        <w:rPr>
          <w:rFonts w:ascii="Arial" w:hAnsi="Arial" w:cs="Arial"/>
          <w:sz w:val="20"/>
          <w:szCs w:val="20"/>
        </w:rPr>
        <w:t>1</w:t>
      </w:r>
      <w:r w:rsidRPr="0085143C">
        <w:rPr>
          <w:rFonts w:ascii="Arial" w:hAnsi="Arial" w:cs="Arial"/>
          <w:sz w:val="20"/>
          <w:szCs w:val="20"/>
        </w:rPr>
        <w:t xml:space="preserve"> financial year. This section also provides a programme analysis of the CSPS.</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b/>
          <w:sz w:val="20"/>
          <w:szCs w:val="20"/>
        </w:rPr>
        <w:t>Section 5</w:t>
      </w:r>
      <w:r w:rsidRPr="0085143C">
        <w:rPr>
          <w:rFonts w:ascii="Arial" w:hAnsi="Arial" w:cs="Arial"/>
          <w:sz w:val="20"/>
          <w:szCs w:val="20"/>
        </w:rPr>
        <w:t>: Committee observations. This section highlights selected observations made by the Portfolio Committee on Police on the annual performance targets and programme specific issues during the 2019/20 budget hearings and subsequent responses by the CSPS.</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b/>
          <w:sz w:val="20"/>
          <w:szCs w:val="20"/>
        </w:rPr>
        <w:t>Section 6</w:t>
      </w:r>
      <w:r w:rsidRPr="0085143C">
        <w:rPr>
          <w:rFonts w:ascii="Arial" w:hAnsi="Arial" w:cs="Arial"/>
          <w:sz w:val="20"/>
          <w:szCs w:val="20"/>
        </w:rPr>
        <w:t>: Recommendations and additional information. This section summarises the recommendations made by the Portfolio Committee on Police, as well as the additional information requested from the CSPS.</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b/>
          <w:sz w:val="20"/>
          <w:szCs w:val="20"/>
        </w:rPr>
        <w:t>Section 7</w:t>
      </w:r>
      <w:r w:rsidRPr="0085143C">
        <w:rPr>
          <w:rFonts w:ascii="Arial" w:hAnsi="Arial" w:cs="Arial"/>
          <w:sz w:val="20"/>
          <w:szCs w:val="20"/>
        </w:rPr>
        <w:t>: Conclusion. This section provides a conclusion to this Report.</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eastAsia="Times New Roman" w:hAnsi="Arial" w:cs="Arial"/>
          <w:color w:val="000000"/>
          <w:sz w:val="20"/>
          <w:szCs w:val="20"/>
          <w:lang w:val="en-GB" w:eastAsia="en-GB"/>
        </w:rPr>
      </w:pPr>
      <w:r w:rsidRPr="0085143C">
        <w:rPr>
          <w:rFonts w:ascii="Arial" w:eastAsia="Times New Roman" w:hAnsi="Arial" w:cs="Arial"/>
          <w:color w:val="000000"/>
          <w:sz w:val="20"/>
          <w:szCs w:val="20"/>
          <w:lang w:val="en-GB" w:eastAsia="en-GB"/>
        </w:rPr>
        <w:t>The Committee received a briefing by CSPS on the</w:t>
      </w:r>
      <w:r w:rsidR="007A4542" w:rsidRPr="0085143C">
        <w:rPr>
          <w:rFonts w:ascii="Arial" w:eastAsia="Times New Roman" w:hAnsi="Arial" w:cs="Arial"/>
          <w:color w:val="000000"/>
          <w:sz w:val="20"/>
          <w:szCs w:val="20"/>
          <w:lang w:val="en-GB" w:eastAsia="en-GB"/>
        </w:rPr>
        <w:t xml:space="preserve">2020/21 </w:t>
      </w:r>
      <w:r w:rsidRPr="0085143C">
        <w:rPr>
          <w:rFonts w:ascii="Arial" w:eastAsia="Times New Roman" w:hAnsi="Arial" w:cs="Arial"/>
          <w:color w:val="000000"/>
          <w:sz w:val="20"/>
          <w:szCs w:val="20"/>
          <w:lang w:val="en-GB" w:eastAsia="en-GB"/>
        </w:rPr>
        <w:t>Annual Performance Plan</w:t>
      </w:r>
      <w:r w:rsidR="00C15A3F" w:rsidRPr="0085143C">
        <w:rPr>
          <w:rFonts w:ascii="Arial" w:eastAsia="Times New Roman" w:hAnsi="Arial" w:cs="Arial"/>
          <w:color w:val="000000"/>
          <w:sz w:val="20"/>
          <w:szCs w:val="20"/>
          <w:lang w:val="en-GB" w:eastAsia="en-GB"/>
        </w:rPr>
        <w:t xml:space="preserve">, </w:t>
      </w:r>
      <w:r w:rsidRPr="0085143C">
        <w:rPr>
          <w:rFonts w:ascii="Arial" w:eastAsia="Times New Roman" w:hAnsi="Arial" w:cs="Arial"/>
          <w:color w:val="000000"/>
          <w:sz w:val="20"/>
          <w:szCs w:val="20"/>
          <w:lang w:val="en-GB" w:eastAsia="en-GB"/>
        </w:rPr>
        <w:t>and Budget</w:t>
      </w:r>
      <w:r w:rsidR="007A4542" w:rsidRPr="0085143C">
        <w:rPr>
          <w:rFonts w:ascii="Arial" w:eastAsia="Times New Roman" w:hAnsi="Arial" w:cs="Arial"/>
          <w:color w:val="000000"/>
          <w:sz w:val="20"/>
          <w:szCs w:val="20"/>
          <w:lang w:val="en-GB" w:eastAsia="en-GB"/>
        </w:rPr>
        <w:t>, together with the 2020-25 Strategic Plan</w:t>
      </w:r>
      <w:r w:rsidRPr="0085143C">
        <w:rPr>
          <w:rFonts w:ascii="Arial" w:eastAsia="Times New Roman" w:hAnsi="Arial" w:cs="Arial"/>
          <w:color w:val="000000"/>
          <w:sz w:val="20"/>
          <w:szCs w:val="20"/>
          <w:lang w:val="en-GB" w:eastAsia="en-GB"/>
        </w:rPr>
        <w:t xml:space="preserve"> on </w:t>
      </w:r>
      <w:r w:rsidR="009C1236" w:rsidRPr="0085143C">
        <w:rPr>
          <w:rFonts w:ascii="Arial" w:eastAsia="Times New Roman" w:hAnsi="Arial" w:cs="Arial"/>
          <w:color w:val="000000"/>
          <w:sz w:val="20"/>
          <w:szCs w:val="20"/>
          <w:lang w:val="en-GB" w:eastAsia="en-GB"/>
        </w:rPr>
        <w:t>13 May 202</w:t>
      </w:r>
      <w:r w:rsidRPr="0085143C">
        <w:rPr>
          <w:rFonts w:ascii="Arial" w:eastAsia="Times New Roman" w:hAnsi="Arial" w:cs="Arial"/>
          <w:color w:val="000000"/>
          <w:sz w:val="20"/>
          <w:szCs w:val="20"/>
          <w:lang w:val="en-GB" w:eastAsia="en-GB"/>
        </w:rPr>
        <w:t xml:space="preserve">0. The </w:t>
      </w:r>
      <w:r w:rsidR="008C2D9A" w:rsidRPr="0085143C">
        <w:rPr>
          <w:rFonts w:ascii="Arial" w:eastAsia="Times New Roman" w:hAnsi="Arial" w:cs="Arial"/>
          <w:color w:val="000000"/>
          <w:sz w:val="20"/>
          <w:szCs w:val="20"/>
          <w:lang w:val="en-GB" w:eastAsia="en-GB"/>
        </w:rPr>
        <w:t xml:space="preserve">meeting was held on virtual platform because </w:t>
      </w:r>
      <w:r w:rsidR="004442C5" w:rsidRPr="0085143C">
        <w:rPr>
          <w:rFonts w:ascii="Arial" w:eastAsia="Times New Roman" w:hAnsi="Arial" w:cs="Arial"/>
          <w:color w:val="000000"/>
          <w:sz w:val="20"/>
          <w:szCs w:val="20"/>
          <w:lang w:val="en-GB" w:eastAsia="en-GB"/>
        </w:rPr>
        <w:t xml:space="preserve">of the </w:t>
      </w:r>
      <w:r w:rsidR="00C15A3F" w:rsidRPr="0085143C">
        <w:rPr>
          <w:rFonts w:ascii="Arial" w:eastAsia="Times New Roman" w:hAnsi="Arial" w:cs="Arial"/>
          <w:color w:val="000000"/>
          <w:sz w:val="20"/>
          <w:szCs w:val="20"/>
          <w:lang w:val="en-GB" w:eastAsia="en-GB"/>
        </w:rPr>
        <w:t xml:space="preserve">lockdown due to the COVID-19 pandemic. The </w:t>
      </w:r>
      <w:r w:rsidRPr="0085143C">
        <w:rPr>
          <w:rFonts w:ascii="Arial" w:eastAsia="Times New Roman" w:hAnsi="Arial" w:cs="Arial"/>
          <w:color w:val="000000"/>
          <w:sz w:val="20"/>
          <w:szCs w:val="20"/>
          <w:lang w:val="en-GB" w:eastAsia="en-GB"/>
        </w:rPr>
        <w:t xml:space="preserve">Committee was </w:t>
      </w:r>
      <w:r w:rsidR="00C15A3F" w:rsidRPr="0085143C">
        <w:rPr>
          <w:rFonts w:ascii="Arial" w:eastAsia="Times New Roman" w:hAnsi="Arial" w:cs="Arial"/>
          <w:color w:val="000000"/>
          <w:sz w:val="20"/>
          <w:szCs w:val="20"/>
          <w:lang w:val="en-GB" w:eastAsia="en-GB"/>
        </w:rPr>
        <w:t>unable to</w:t>
      </w:r>
      <w:r w:rsidR="00CE0A99" w:rsidRPr="0085143C">
        <w:rPr>
          <w:rFonts w:ascii="Arial" w:eastAsia="Times New Roman" w:hAnsi="Arial" w:cs="Arial"/>
          <w:color w:val="000000"/>
          <w:sz w:val="20"/>
          <w:szCs w:val="20"/>
          <w:lang w:val="en-GB" w:eastAsia="en-GB"/>
        </w:rPr>
        <w:t>,</w:t>
      </w:r>
      <w:r w:rsidR="00593AF0" w:rsidRPr="0085143C">
        <w:rPr>
          <w:rFonts w:ascii="Arial" w:eastAsia="Times New Roman" w:hAnsi="Arial" w:cs="Arial"/>
          <w:color w:val="000000"/>
          <w:sz w:val="20"/>
          <w:szCs w:val="20"/>
          <w:lang w:val="en-GB" w:eastAsia="en-GB"/>
        </w:rPr>
        <w:t xml:space="preserve"> in the allocated time</w:t>
      </w:r>
      <w:r w:rsidR="00CE0A99" w:rsidRPr="0085143C">
        <w:rPr>
          <w:rFonts w:ascii="Arial" w:eastAsia="Times New Roman" w:hAnsi="Arial" w:cs="Arial"/>
          <w:color w:val="000000"/>
          <w:sz w:val="20"/>
          <w:szCs w:val="20"/>
          <w:lang w:val="en-GB" w:eastAsia="en-GB"/>
        </w:rPr>
        <w:t>,</w:t>
      </w:r>
      <w:r w:rsidR="00C15A3F" w:rsidRPr="0085143C">
        <w:rPr>
          <w:rFonts w:ascii="Arial" w:eastAsia="Times New Roman" w:hAnsi="Arial" w:cs="Arial"/>
          <w:color w:val="000000"/>
          <w:sz w:val="20"/>
          <w:szCs w:val="20"/>
          <w:lang w:val="en-GB" w:eastAsia="en-GB"/>
        </w:rPr>
        <w:t xml:space="preserve"> receive civil society and academic expert opinions on the </w:t>
      </w:r>
      <w:r w:rsidR="00CE0A99" w:rsidRPr="0085143C">
        <w:rPr>
          <w:rFonts w:ascii="Arial" w:eastAsia="Times New Roman" w:hAnsi="Arial" w:cs="Arial"/>
          <w:color w:val="000000"/>
          <w:sz w:val="20"/>
          <w:szCs w:val="20"/>
          <w:lang w:val="en-GB" w:eastAsia="en-GB"/>
        </w:rPr>
        <w:t xml:space="preserve">budget. </w:t>
      </w:r>
    </w:p>
    <w:p w:rsidR="00411694" w:rsidRPr="0085143C" w:rsidRDefault="00411694" w:rsidP="0085143C">
      <w:pPr>
        <w:spacing w:after="0" w:line="240" w:lineRule="auto"/>
        <w:jc w:val="both"/>
        <w:rPr>
          <w:rFonts w:ascii="Arial" w:eastAsia="Times New Roman" w:hAnsi="Arial" w:cs="Arial"/>
          <w:b/>
          <w:color w:val="000000"/>
          <w:sz w:val="20"/>
          <w:szCs w:val="20"/>
          <w:lang w:val="en-GB" w:eastAsia="en-GB"/>
        </w:rPr>
      </w:pPr>
    </w:p>
    <w:p w:rsidR="00411694" w:rsidRPr="0085143C" w:rsidRDefault="009A757D" w:rsidP="0085143C">
      <w:pPr>
        <w:spacing w:after="0" w:line="240" w:lineRule="auto"/>
        <w:jc w:val="both"/>
        <w:rPr>
          <w:rFonts w:ascii="Arial" w:eastAsia="Times New Roman" w:hAnsi="Arial" w:cs="Arial"/>
          <w:b/>
          <w:color w:val="000000"/>
          <w:sz w:val="20"/>
          <w:szCs w:val="20"/>
          <w:lang w:val="en-GB" w:eastAsia="en-GB"/>
        </w:rPr>
      </w:pPr>
      <w:r w:rsidRPr="0085143C">
        <w:rPr>
          <w:rFonts w:ascii="Arial" w:eastAsia="Times New Roman" w:hAnsi="Arial" w:cs="Arial"/>
          <w:b/>
          <w:color w:val="000000"/>
          <w:sz w:val="20"/>
          <w:szCs w:val="20"/>
          <w:lang w:val="en-GB" w:eastAsia="en-GB"/>
        </w:rPr>
        <w:t>1.2</w:t>
      </w:r>
      <w:r w:rsidRPr="0085143C">
        <w:rPr>
          <w:rFonts w:ascii="Arial" w:eastAsia="Times New Roman" w:hAnsi="Arial" w:cs="Arial"/>
          <w:b/>
          <w:color w:val="000000"/>
          <w:sz w:val="20"/>
          <w:szCs w:val="20"/>
          <w:lang w:val="en-GB" w:eastAsia="en-GB"/>
        </w:rPr>
        <w:tab/>
      </w:r>
      <w:r w:rsidR="008B7C23" w:rsidRPr="0085143C">
        <w:rPr>
          <w:rFonts w:ascii="Arial" w:eastAsia="Times New Roman" w:hAnsi="Arial" w:cs="Arial"/>
          <w:b/>
          <w:color w:val="000000"/>
          <w:sz w:val="20"/>
          <w:szCs w:val="20"/>
          <w:lang w:val="en-GB" w:eastAsia="en-GB"/>
        </w:rPr>
        <w:t>Impact of COVID-19 p</w:t>
      </w:r>
      <w:r w:rsidR="00411694" w:rsidRPr="0085143C">
        <w:rPr>
          <w:rFonts w:ascii="Arial" w:eastAsia="Times New Roman" w:hAnsi="Arial" w:cs="Arial"/>
          <w:b/>
          <w:color w:val="000000"/>
          <w:sz w:val="20"/>
          <w:szCs w:val="20"/>
          <w:lang w:val="en-GB" w:eastAsia="en-GB"/>
        </w:rPr>
        <w:t>andemic</w:t>
      </w:r>
    </w:p>
    <w:p w:rsidR="009A757D" w:rsidRPr="0085143C" w:rsidRDefault="009A757D" w:rsidP="0085143C">
      <w:pPr>
        <w:spacing w:after="0" w:line="240" w:lineRule="auto"/>
        <w:jc w:val="both"/>
        <w:rPr>
          <w:rFonts w:ascii="Arial" w:eastAsia="Times New Roman" w:hAnsi="Arial" w:cs="Arial"/>
          <w:b/>
          <w:color w:val="000000"/>
          <w:sz w:val="20"/>
          <w:szCs w:val="20"/>
          <w:lang w:val="en-GB" w:eastAsia="en-GB"/>
        </w:rPr>
      </w:pPr>
    </w:p>
    <w:p w:rsidR="008B7C23" w:rsidRPr="0085143C" w:rsidRDefault="00411694" w:rsidP="0085143C">
      <w:pPr>
        <w:spacing w:after="0" w:line="240" w:lineRule="auto"/>
        <w:jc w:val="both"/>
        <w:rPr>
          <w:rFonts w:ascii="Arial" w:eastAsia="Times New Roman" w:hAnsi="Arial" w:cs="Arial"/>
          <w:color w:val="000000"/>
          <w:sz w:val="20"/>
          <w:szCs w:val="20"/>
          <w:lang w:val="en-GB" w:eastAsia="en-GB"/>
        </w:rPr>
      </w:pPr>
      <w:r w:rsidRPr="0085143C">
        <w:rPr>
          <w:rFonts w:ascii="Arial" w:eastAsia="Times New Roman" w:hAnsi="Arial" w:cs="Arial"/>
          <w:color w:val="000000"/>
          <w:sz w:val="20"/>
          <w:szCs w:val="20"/>
          <w:lang w:val="en-GB" w:eastAsia="en-GB"/>
        </w:rPr>
        <w:t>South Africa has be</w:t>
      </w:r>
      <w:r w:rsidR="008B7C23" w:rsidRPr="0085143C">
        <w:rPr>
          <w:rFonts w:ascii="Arial" w:eastAsia="Times New Roman" w:hAnsi="Arial" w:cs="Arial"/>
          <w:color w:val="000000"/>
          <w:sz w:val="20"/>
          <w:szCs w:val="20"/>
          <w:lang w:val="en-GB" w:eastAsia="en-GB"/>
        </w:rPr>
        <w:t>e</w:t>
      </w:r>
      <w:r w:rsidRPr="0085143C">
        <w:rPr>
          <w:rFonts w:ascii="Arial" w:eastAsia="Times New Roman" w:hAnsi="Arial" w:cs="Arial"/>
          <w:color w:val="000000"/>
          <w:sz w:val="20"/>
          <w:szCs w:val="20"/>
          <w:lang w:val="en-GB" w:eastAsia="en-GB"/>
        </w:rPr>
        <w:t>n</w:t>
      </w:r>
      <w:r w:rsidR="008B7C23" w:rsidRPr="0085143C">
        <w:rPr>
          <w:rFonts w:ascii="Arial" w:eastAsia="Times New Roman" w:hAnsi="Arial" w:cs="Arial"/>
          <w:color w:val="000000"/>
          <w:sz w:val="20"/>
          <w:szCs w:val="20"/>
          <w:lang w:val="en-GB" w:eastAsia="en-GB"/>
        </w:rPr>
        <w:t xml:space="preserve"> adversely </w:t>
      </w:r>
      <w:r w:rsidRPr="0085143C">
        <w:rPr>
          <w:rFonts w:ascii="Arial" w:eastAsia="Times New Roman" w:hAnsi="Arial" w:cs="Arial"/>
          <w:color w:val="000000"/>
          <w:sz w:val="20"/>
          <w:szCs w:val="20"/>
          <w:lang w:val="en-GB" w:eastAsia="en-GB"/>
        </w:rPr>
        <w:t xml:space="preserve">affected by </w:t>
      </w:r>
      <w:r w:rsidR="008B7C23" w:rsidRPr="0085143C">
        <w:rPr>
          <w:rFonts w:ascii="Arial" w:eastAsia="Times New Roman" w:hAnsi="Arial" w:cs="Arial"/>
          <w:color w:val="000000"/>
          <w:sz w:val="20"/>
          <w:szCs w:val="20"/>
          <w:lang w:val="en-GB" w:eastAsia="en-GB"/>
        </w:rPr>
        <w:t>COVID-19 pandemic including Parliament and its committees. The Department of Civilian Secretariat for Police have also been affected and it resulted in a national lockdown being declared by the President from 26 March 2020.</w:t>
      </w:r>
    </w:p>
    <w:p w:rsidR="008B7C23" w:rsidRPr="0085143C" w:rsidRDefault="008B7C23" w:rsidP="0085143C">
      <w:pPr>
        <w:spacing w:after="0" w:line="240" w:lineRule="auto"/>
        <w:jc w:val="both"/>
        <w:rPr>
          <w:rFonts w:ascii="Arial" w:eastAsia="Times New Roman" w:hAnsi="Arial" w:cs="Arial"/>
          <w:color w:val="000000"/>
          <w:sz w:val="20"/>
          <w:szCs w:val="20"/>
          <w:lang w:val="en-GB" w:eastAsia="en-GB"/>
        </w:rPr>
      </w:pPr>
    </w:p>
    <w:p w:rsidR="008B7C23" w:rsidRPr="0085143C" w:rsidRDefault="008B7C23" w:rsidP="0085143C">
      <w:pPr>
        <w:spacing w:after="0" w:line="240" w:lineRule="auto"/>
        <w:jc w:val="both"/>
        <w:rPr>
          <w:rFonts w:ascii="Arial" w:eastAsia="Times New Roman" w:hAnsi="Arial" w:cs="Arial"/>
          <w:color w:val="FF0000"/>
          <w:sz w:val="20"/>
          <w:szCs w:val="20"/>
          <w:lang w:val="en-GB" w:eastAsia="en-GB"/>
        </w:rPr>
      </w:pPr>
      <w:r w:rsidRPr="0085143C">
        <w:rPr>
          <w:rFonts w:ascii="Arial" w:eastAsia="Times New Roman" w:hAnsi="Arial" w:cs="Arial"/>
          <w:color w:val="000000"/>
          <w:sz w:val="20"/>
          <w:szCs w:val="20"/>
          <w:lang w:val="en-GB" w:eastAsia="en-GB"/>
        </w:rPr>
        <w:t xml:space="preserve">The President announced a lockdown of the nation on 23 March 2020 in order to prevent further infections of and spread of the Covid-19 </w:t>
      </w:r>
      <w:r w:rsidR="00B06A54" w:rsidRPr="0085143C">
        <w:rPr>
          <w:rFonts w:ascii="Arial" w:eastAsia="Times New Roman" w:hAnsi="Arial" w:cs="Arial"/>
          <w:color w:val="000000"/>
          <w:sz w:val="20"/>
          <w:szCs w:val="20"/>
          <w:lang w:val="en-GB" w:eastAsia="en-GB"/>
        </w:rPr>
        <w:t>pandemic</w:t>
      </w:r>
      <w:r w:rsidRPr="0085143C">
        <w:rPr>
          <w:rFonts w:ascii="Arial" w:eastAsia="Times New Roman" w:hAnsi="Arial" w:cs="Arial"/>
          <w:color w:val="000000"/>
          <w:sz w:val="20"/>
          <w:szCs w:val="20"/>
          <w:lang w:val="en-GB" w:eastAsia="en-GB"/>
        </w:rPr>
        <w:t xml:space="preserve">. The lockdown took effect on 26 March 2020. The terms of the lockdown period were declared in terms of the Disaster Management Act (57 of 2002), and the Regulations provides that the South African Police Service (SAPS) is supported by the South African National Defence Force (SANDF) and the Metro Police during the period of the lockdown. The period of the national lockdown was declared from 26 March 2020 - 16 April 2020 in terms </w:t>
      </w:r>
      <w:r w:rsidR="0029032D" w:rsidRPr="0085143C">
        <w:rPr>
          <w:rFonts w:ascii="Arial" w:eastAsia="Times New Roman" w:hAnsi="Arial" w:cs="Arial"/>
          <w:color w:val="000000"/>
          <w:sz w:val="20"/>
          <w:szCs w:val="20"/>
          <w:lang w:val="en-GB" w:eastAsia="en-GB"/>
        </w:rPr>
        <w:t xml:space="preserve">section 27 of the Disaster Management Act </w:t>
      </w:r>
      <w:r w:rsidRPr="0085143C">
        <w:rPr>
          <w:rFonts w:ascii="Arial" w:eastAsia="Times New Roman" w:hAnsi="Arial" w:cs="Arial"/>
          <w:color w:val="000000"/>
          <w:sz w:val="20"/>
          <w:szCs w:val="20"/>
          <w:lang w:val="en-GB" w:eastAsia="en-GB"/>
        </w:rPr>
        <w:t xml:space="preserve">announced by the Minister of Co-operative Governance and </w:t>
      </w:r>
      <w:r w:rsidRPr="0085143C">
        <w:rPr>
          <w:rFonts w:ascii="Arial" w:eastAsia="Times New Roman" w:hAnsi="Arial" w:cs="Arial"/>
          <w:color w:val="000000"/>
          <w:sz w:val="20"/>
          <w:szCs w:val="20"/>
          <w:lang w:val="en-GB" w:eastAsia="en-GB"/>
        </w:rPr>
        <w:lastRenderedPageBreak/>
        <w:t xml:space="preserve">Traditional Affairs in the Government Notice No. 398, published in the Government Gazette, No. 43148 on 25 March 2020. The lockdown period was subsequently extended by the </w:t>
      </w:r>
      <w:r w:rsidR="0029032D" w:rsidRPr="0085143C">
        <w:rPr>
          <w:rFonts w:ascii="Arial" w:eastAsia="Times New Roman" w:hAnsi="Arial" w:cs="Arial"/>
          <w:color w:val="000000"/>
          <w:sz w:val="20"/>
          <w:szCs w:val="20"/>
          <w:lang w:val="en-GB" w:eastAsia="en-GB"/>
        </w:rPr>
        <w:t>Minister</w:t>
      </w:r>
      <w:r w:rsidRPr="0085143C">
        <w:rPr>
          <w:rFonts w:ascii="Arial" w:eastAsia="Times New Roman" w:hAnsi="Arial" w:cs="Arial"/>
          <w:color w:val="000000"/>
          <w:sz w:val="20"/>
          <w:szCs w:val="20"/>
          <w:lang w:val="en-GB" w:eastAsia="en-GB"/>
        </w:rPr>
        <w:t xml:space="preserve"> to the end of April and again until the end of May 2020.</w:t>
      </w:r>
    </w:p>
    <w:p w:rsidR="008B7C23" w:rsidRPr="0085143C" w:rsidRDefault="008B7C23" w:rsidP="0085143C">
      <w:pPr>
        <w:spacing w:after="0" w:line="240" w:lineRule="auto"/>
        <w:jc w:val="both"/>
        <w:rPr>
          <w:rFonts w:ascii="Arial" w:eastAsia="Times New Roman" w:hAnsi="Arial" w:cs="Arial"/>
          <w:color w:val="000000"/>
          <w:sz w:val="20"/>
          <w:szCs w:val="20"/>
          <w:lang w:val="en-GB" w:eastAsia="en-GB"/>
        </w:rPr>
      </w:pPr>
    </w:p>
    <w:p w:rsidR="00CB1C0A" w:rsidRPr="0085143C" w:rsidRDefault="008B7C23" w:rsidP="0085143C">
      <w:pPr>
        <w:spacing w:after="0" w:line="240" w:lineRule="auto"/>
        <w:jc w:val="both"/>
        <w:rPr>
          <w:rFonts w:ascii="Arial" w:eastAsia="Times New Roman" w:hAnsi="Arial" w:cs="Arial"/>
          <w:color w:val="000000"/>
          <w:sz w:val="20"/>
          <w:szCs w:val="20"/>
          <w:lang w:val="en-GB" w:eastAsia="en-GB"/>
        </w:rPr>
      </w:pPr>
      <w:r w:rsidRPr="0085143C">
        <w:rPr>
          <w:rFonts w:ascii="Arial" w:eastAsia="Times New Roman" w:hAnsi="Arial" w:cs="Arial"/>
          <w:color w:val="000000"/>
          <w:sz w:val="20"/>
          <w:szCs w:val="20"/>
          <w:lang w:val="en-GB" w:eastAsia="en-GB"/>
        </w:rPr>
        <w:t>The</w:t>
      </w:r>
      <w:r w:rsidR="009A757D" w:rsidRPr="0085143C">
        <w:rPr>
          <w:rFonts w:ascii="Arial" w:eastAsia="Times New Roman" w:hAnsi="Arial" w:cs="Arial"/>
          <w:color w:val="000000"/>
          <w:sz w:val="20"/>
          <w:szCs w:val="20"/>
          <w:lang w:val="en-GB" w:eastAsia="en-GB"/>
        </w:rPr>
        <w:t>re has</w:t>
      </w:r>
      <w:r w:rsidR="00CB1C0A" w:rsidRPr="0085143C">
        <w:rPr>
          <w:rFonts w:ascii="Arial" w:eastAsia="Times New Roman" w:hAnsi="Arial" w:cs="Arial"/>
          <w:color w:val="000000"/>
          <w:sz w:val="20"/>
          <w:szCs w:val="20"/>
          <w:lang w:val="en-GB" w:eastAsia="en-GB"/>
        </w:rPr>
        <w:t xml:space="preserve"> as a result of the lockdown</w:t>
      </w:r>
      <w:r w:rsidR="009A757D" w:rsidRPr="0085143C">
        <w:rPr>
          <w:rFonts w:ascii="Arial" w:eastAsia="Times New Roman" w:hAnsi="Arial" w:cs="Arial"/>
          <w:color w:val="000000"/>
          <w:sz w:val="20"/>
          <w:szCs w:val="20"/>
          <w:lang w:val="en-GB" w:eastAsia="en-GB"/>
        </w:rPr>
        <w:t>,</w:t>
      </w:r>
      <w:r w:rsidR="00CB1C0A" w:rsidRPr="0085143C">
        <w:rPr>
          <w:rFonts w:ascii="Arial" w:eastAsia="Times New Roman" w:hAnsi="Arial" w:cs="Arial"/>
          <w:color w:val="000000"/>
          <w:sz w:val="20"/>
          <w:szCs w:val="20"/>
          <w:lang w:val="en-GB" w:eastAsia="en-GB"/>
        </w:rPr>
        <w:t xml:space="preserve"> been allegations of police brutality against the SAPS, Metro Police agencies and the South African National Defence Force. The </w:t>
      </w:r>
      <w:r w:rsidRPr="0085143C">
        <w:rPr>
          <w:rFonts w:ascii="Arial" w:eastAsia="Times New Roman" w:hAnsi="Arial" w:cs="Arial"/>
          <w:color w:val="000000"/>
          <w:sz w:val="20"/>
          <w:szCs w:val="20"/>
          <w:lang w:val="en-GB" w:eastAsia="en-GB"/>
        </w:rPr>
        <w:t>I</w:t>
      </w:r>
      <w:r w:rsidR="00CB1C0A" w:rsidRPr="0085143C">
        <w:rPr>
          <w:rFonts w:ascii="Arial" w:eastAsia="Times New Roman" w:hAnsi="Arial" w:cs="Arial"/>
          <w:color w:val="000000"/>
          <w:sz w:val="20"/>
          <w:szCs w:val="20"/>
          <w:lang w:val="en-GB" w:eastAsia="en-GB"/>
        </w:rPr>
        <w:t xml:space="preserve">ndependent </w:t>
      </w:r>
      <w:r w:rsidRPr="0085143C">
        <w:rPr>
          <w:rFonts w:ascii="Arial" w:eastAsia="Times New Roman" w:hAnsi="Arial" w:cs="Arial"/>
          <w:color w:val="000000"/>
          <w:sz w:val="20"/>
          <w:szCs w:val="20"/>
          <w:lang w:val="en-GB" w:eastAsia="en-GB"/>
        </w:rPr>
        <w:t>P</w:t>
      </w:r>
      <w:r w:rsidR="00CB1C0A" w:rsidRPr="0085143C">
        <w:rPr>
          <w:rFonts w:ascii="Arial" w:eastAsia="Times New Roman" w:hAnsi="Arial" w:cs="Arial"/>
          <w:color w:val="000000"/>
          <w:sz w:val="20"/>
          <w:szCs w:val="20"/>
          <w:lang w:val="en-GB" w:eastAsia="en-GB"/>
        </w:rPr>
        <w:t xml:space="preserve">olice </w:t>
      </w:r>
      <w:r w:rsidRPr="0085143C">
        <w:rPr>
          <w:rFonts w:ascii="Arial" w:eastAsia="Times New Roman" w:hAnsi="Arial" w:cs="Arial"/>
          <w:color w:val="000000"/>
          <w:sz w:val="20"/>
          <w:szCs w:val="20"/>
          <w:lang w:val="en-GB" w:eastAsia="en-GB"/>
        </w:rPr>
        <w:t>I</w:t>
      </w:r>
      <w:r w:rsidR="00CB1C0A" w:rsidRPr="0085143C">
        <w:rPr>
          <w:rFonts w:ascii="Arial" w:eastAsia="Times New Roman" w:hAnsi="Arial" w:cs="Arial"/>
          <w:color w:val="000000"/>
          <w:sz w:val="20"/>
          <w:szCs w:val="20"/>
          <w:lang w:val="en-GB" w:eastAsia="en-GB"/>
        </w:rPr>
        <w:t xml:space="preserve">nvestigative </w:t>
      </w:r>
      <w:r w:rsidRPr="0085143C">
        <w:rPr>
          <w:rFonts w:ascii="Arial" w:eastAsia="Times New Roman" w:hAnsi="Arial" w:cs="Arial"/>
          <w:color w:val="000000"/>
          <w:sz w:val="20"/>
          <w:szCs w:val="20"/>
          <w:lang w:val="en-GB" w:eastAsia="en-GB"/>
        </w:rPr>
        <w:t>D</w:t>
      </w:r>
      <w:r w:rsidR="00CB1C0A" w:rsidRPr="0085143C">
        <w:rPr>
          <w:rFonts w:ascii="Arial" w:eastAsia="Times New Roman" w:hAnsi="Arial" w:cs="Arial"/>
          <w:color w:val="000000"/>
          <w:sz w:val="20"/>
          <w:szCs w:val="20"/>
          <w:lang w:val="en-GB" w:eastAsia="en-GB"/>
        </w:rPr>
        <w:t>irectorate (IPID)</w:t>
      </w:r>
      <w:r w:rsidRPr="0085143C">
        <w:rPr>
          <w:rFonts w:ascii="Arial" w:eastAsia="Times New Roman" w:hAnsi="Arial" w:cs="Arial"/>
          <w:color w:val="000000"/>
          <w:sz w:val="20"/>
          <w:szCs w:val="20"/>
          <w:lang w:val="en-GB" w:eastAsia="en-GB"/>
        </w:rPr>
        <w:t xml:space="preserve"> has the mandate to investigate any police misconduct and that mandate applies even during the State of National Disaster and the lockdown peri</w:t>
      </w:r>
      <w:r w:rsidR="00CB1C0A" w:rsidRPr="0085143C">
        <w:rPr>
          <w:rFonts w:ascii="Arial" w:eastAsia="Times New Roman" w:hAnsi="Arial" w:cs="Arial"/>
          <w:color w:val="000000"/>
          <w:sz w:val="20"/>
          <w:szCs w:val="20"/>
          <w:lang w:val="en-GB" w:eastAsia="en-GB"/>
        </w:rPr>
        <w:t xml:space="preserve">od, and were called on to investigate such police heavy-handedness. </w:t>
      </w:r>
    </w:p>
    <w:p w:rsidR="00B06A54" w:rsidRPr="0085143C" w:rsidRDefault="00B06A54" w:rsidP="0085143C">
      <w:pPr>
        <w:spacing w:after="0" w:line="240" w:lineRule="auto"/>
        <w:jc w:val="both"/>
        <w:rPr>
          <w:rFonts w:ascii="Arial" w:eastAsia="Times New Roman" w:hAnsi="Arial" w:cs="Arial"/>
          <w:color w:val="000000"/>
          <w:sz w:val="20"/>
          <w:szCs w:val="20"/>
          <w:lang w:val="en-GB" w:eastAsia="en-GB"/>
        </w:rPr>
      </w:pPr>
    </w:p>
    <w:p w:rsidR="00B06A54" w:rsidRPr="0085143C" w:rsidRDefault="00B06A54" w:rsidP="0085143C">
      <w:pPr>
        <w:spacing w:after="0" w:line="240" w:lineRule="auto"/>
        <w:jc w:val="both"/>
        <w:rPr>
          <w:rFonts w:ascii="Arial" w:eastAsia="Times New Roman" w:hAnsi="Arial" w:cs="Arial"/>
          <w:color w:val="000000"/>
          <w:sz w:val="20"/>
          <w:szCs w:val="20"/>
          <w:lang w:val="en-GB" w:eastAsia="en-GB"/>
        </w:rPr>
      </w:pPr>
      <w:r w:rsidRPr="0085143C">
        <w:rPr>
          <w:rFonts w:ascii="Arial" w:eastAsia="Times New Roman" w:hAnsi="Arial" w:cs="Arial"/>
          <w:color w:val="000000"/>
          <w:sz w:val="20"/>
          <w:szCs w:val="20"/>
          <w:lang w:val="en-GB" w:eastAsia="en-GB"/>
        </w:rPr>
        <w:t xml:space="preserve">The National Regulations provides for the police to enforce the provisions of the lockdown. This includes for the SAPS, SANDF and Metro Police to amongst others, makes sure that the movement of people and goods are restricted and people are confined to their homes; public transport on the public streets are prohibited with the exception of emergency and health workers; businesses that are not essential services are closed and public places such as taxi ranks remain closed. </w:t>
      </w:r>
    </w:p>
    <w:p w:rsidR="00B06A54" w:rsidRPr="0085143C" w:rsidRDefault="00B06A54" w:rsidP="0085143C">
      <w:pPr>
        <w:spacing w:after="0" w:line="240" w:lineRule="auto"/>
        <w:jc w:val="both"/>
        <w:rPr>
          <w:rFonts w:ascii="Arial" w:eastAsia="Times New Roman" w:hAnsi="Arial" w:cs="Arial"/>
          <w:color w:val="000000"/>
          <w:sz w:val="20"/>
          <w:szCs w:val="20"/>
          <w:lang w:val="en-GB" w:eastAsia="en-GB"/>
        </w:rPr>
      </w:pPr>
    </w:p>
    <w:p w:rsidR="00B06A54" w:rsidRPr="0085143C" w:rsidRDefault="00B06A54" w:rsidP="0085143C">
      <w:pPr>
        <w:spacing w:after="0" w:line="240" w:lineRule="auto"/>
        <w:jc w:val="both"/>
        <w:rPr>
          <w:rFonts w:ascii="Arial" w:eastAsia="Times New Roman" w:hAnsi="Arial" w:cs="Arial"/>
          <w:color w:val="000000"/>
          <w:sz w:val="20"/>
          <w:szCs w:val="20"/>
          <w:lang w:val="en-GB" w:eastAsia="en-GB"/>
        </w:rPr>
      </w:pPr>
      <w:r w:rsidRPr="0085143C">
        <w:rPr>
          <w:rFonts w:ascii="Arial" w:eastAsia="Times New Roman" w:hAnsi="Arial" w:cs="Arial"/>
          <w:color w:val="000000"/>
          <w:sz w:val="20"/>
          <w:szCs w:val="20"/>
          <w:lang w:val="en-GB" w:eastAsia="en-GB"/>
        </w:rPr>
        <w:t>The provisions of the Disaster Management Act (2002) together with the Lockdown Regulations places certain obligations on the police to enforce the regulations for the duration of the period of the Lockdown</w:t>
      </w:r>
    </w:p>
    <w:p w:rsidR="00CB1C0A" w:rsidRPr="0085143C" w:rsidRDefault="00CB1C0A" w:rsidP="0085143C">
      <w:pPr>
        <w:spacing w:after="0" w:line="240" w:lineRule="auto"/>
        <w:jc w:val="both"/>
        <w:rPr>
          <w:rFonts w:ascii="Arial" w:eastAsia="Times New Roman" w:hAnsi="Arial" w:cs="Arial"/>
          <w:color w:val="000000"/>
          <w:sz w:val="20"/>
          <w:szCs w:val="20"/>
          <w:lang w:val="en-GB" w:eastAsia="en-GB"/>
        </w:rPr>
      </w:pPr>
    </w:p>
    <w:p w:rsidR="00411694" w:rsidRPr="0085143C" w:rsidRDefault="00CB1C0A" w:rsidP="0085143C">
      <w:pPr>
        <w:spacing w:after="0" w:line="240" w:lineRule="auto"/>
        <w:jc w:val="both"/>
        <w:rPr>
          <w:rFonts w:ascii="Arial" w:eastAsia="Times New Roman" w:hAnsi="Arial" w:cs="Arial"/>
          <w:color w:val="000000"/>
          <w:sz w:val="20"/>
          <w:szCs w:val="20"/>
          <w:lang w:val="en-GB" w:eastAsia="en-GB"/>
        </w:rPr>
      </w:pPr>
      <w:r w:rsidRPr="0085143C">
        <w:rPr>
          <w:rFonts w:ascii="Arial" w:eastAsia="Times New Roman" w:hAnsi="Arial" w:cs="Arial"/>
          <w:color w:val="000000"/>
          <w:sz w:val="20"/>
          <w:szCs w:val="20"/>
          <w:lang w:val="en-GB" w:eastAsia="en-GB"/>
        </w:rPr>
        <w:t xml:space="preserve">The Civilian Secretariat as the technical adviser to the Minister of Police </w:t>
      </w:r>
      <w:r w:rsidR="00B06A54" w:rsidRPr="0085143C">
        <w:rPr>
          <w:rFonts w:ascii="Arial" w:eastAsia="Times New Roman" w:hAnsi="Arial" w:cs="Arial"/>
          <w:color w:val="000000"/>
          <w:sz w:val="20"/>
          <w:szCs w:val="20"/>
          <w:lang w:val="en-GB" w:eastAsia="en-GB"/>
        </w:rPr>
        <w:t>h</w:t>
      </w:r>
      <w:r w:rsidRPr="0085143C">
        <w:rPr>
          <w:rFonts w:ascii="Arial" w:eastAsia="Times New Roman" w:hAnsi="Arial" w:cs="Arial"/>
          <w:color w:val="000000"/>
          <w:sz w:val="20"/>
          <w:szCs w:val="20"/>
          <w:lang w:val="en-GB" w:eastAsia="en-GB"/>
        </w:rPr>
        <w:t>as a policy-related role with respect to the monitoring of the implementation of the Disaster Management Act (2002) Regulations. T</w:t>
      </w:r>
      <w:r w:rsidR="008B7C23" w:rsidRPr="0085143C">
        <w:rPr>
          <w:rFonts w:ascii="Arial" w:eastAsia="Times New Roman" w:hAnsi="Arial" w:cs="Arial"/>
          <w:color w:val="000000"/>
          <w:sz w:val="20"/>
          <w:szCs w:val="20"/>
          <w:lang w:val="en-GB" w:eastAsia="en-GB"/>
        </w:rPr>
        <w:t xml:space="preserve">he </w:t>
      </w:r>
      <w:r w:rsidRPr="0085143C">
        <w:rPr>
          <w:rFonts w:ascii="Arial" w:eastAsia="Times New Roman" w:hAnsi="Arial" w:cs="Arial"/>
          <w:color w:val="000000"/>
          <w:sz w:val="20"/>
          <w:szCs w:val="20"/>
          <w:lang w:val="en-GB" w:eastAsia="en-GB"/>
        </w:rPr>
        <w:t xml:space="preserve">Regulations </w:t>
      </w:r>
      <w:r w:rsidR="008B7C23" w:rsidRPr="0085143C">
        <w:rPr>
          <w:rFonts w:ascii="Arial" w:eastAsia="Times New Roman" w:hAnsi="Arial" w:cs="Arial"/>
          <w:color w:val="000000"/>
          <w:sz w:val="20"/>
          <w:szCs w:val="20"/>
          <w:lang w:val="en-GB" w:eastAsia="en-GB"/>
        </w:rPr>
        <w:t xml:space="preserve">does not presuppose a suspension of the Constitution and all the members of the SAPS and Metro Police are subject to the Constitutional provisions. This means that the rights of the public to human dignity as enshrined in the Constitution, remains intact and the right of people to be treated fairly must be respected. It also means that police officers should be held accountable by the IPID for their actions during the period of the lockdown. </w:t>
      </w:r>
      <w:r w:rsidRPr="0085143C">
        <w:rPr>
          <w:rFonts w:ascii="Arial" w:eastAsia="Times New Roman" w:hAnsi="Arial" w:cs="Arial"/>
          <w:sz w:val="20"/>
          <w:szCs w:val="20"/>
          <w:lang w:val="en-GB" w:eastAsia="en-GB"/>
        </w:rPr>
        <w:t xml:space="preserve">The </w:t>
      </w:r>
      <w:r w:rsidR="002E1208" w:rsidRPr="0085143C">
        <w:rPr>
          <w:rFonts w:ascii="Arial" w:eastAsia="Times New Roman" w:hAnsi="Arial" w:cs="Arial"/>
          <w:sz w:val="20"/>
          <w:szCs w:val="20"/>
          <w:lang w:val="en-GB" w:eastAsia="en-GB"/>
        </w:rPr>
        <w:t xml:space="preserve">mandate of the </w:t>
      </w:r>
      <w:r w:rsidRPr="0085143C">
        <w:rPr>
          <w:rFonts w:ascii="Arial" w:eastAsia="Times New Roman" w:hAnsi="Arial" w:cs="Arial"/>
          <w:sz w:val="20"/>
          <w:szCs w:val="20"/>
          <w:lang w:val="en-GB" w:eastAsia="en-GB"/>
        </w:rPr>
        <w:t>Committee</w:t>
      </w:r>
      <w:r w:rsidR="002E1208" w:rsidRPr="0085143C">
        <w:rPr>
          <w:rFonts w:ascii="Arial" w:eastAsia="Times New Roman" w:hAnsi="Arial" w:cs="Arial"/>
          <w:sz w:val="20"/>
          <w:szCs w:val="20"/>
          <w:lang w:val="en-GB" w:eastAsia="en-GB"/>
        </w:rPr>
        <w:t xml:space="preserve"> is to conduct</w:t>
      </w:r>
      <w:r w:rsidR="00593AF0" w:rsidRPr="0085143C">
        <w:rPr>
          <w:rFonts w:ascii="Arial" w:eastAsia="Times New Roman" w:hAnsi="Arial" w:cs="Arial"/>
          <w:sz w:val="20"/>
          <w:szCs w:val="20"/>
          <w:lang w:val="en-GB" w:eastAsia="en-GB"/>
        </w:rPr>
        <w:t xml:space="preserve"> oversight</w:t>
      </w:r>
      <w:r w:rsidR="002E1208" w:rsidRPr="0085143C">
        <w:rPr>
          <w:rFonts w:ascii="Arial" w:eastAsia="Times New Roman" w:hAnsi="Arial" w:cs="Arial"/>
          <w:sz w:val="20"/>
          <w:szCs w:val="20"/>
          <w:lang w:val="en-GB" w:eastAsia="en-GB"/>
        </w:rPr>
        <w:t xml:space="preserve"> over the police. Consequently,</w:t>
      </w:r>
      <w:r w:rsidR="00593AF0" w:rsidRPr="0085143C">
        <w:rPr>
          <w:rFonts w:ascii="Arial" w:eastAsia="Times New Roman" w:hAnsi="Arial" w:cs="Arial"/>
          <w:sz w:val="20"/>
          <w:szCs w:val="20"/>
          <w:lang w:val="en-GB" w:eastAsia="en-GB"/>
        </w:rPr>
        <w:t xml:space="preserve"> the </w:t>
      </w:r>
      <w:r w:rsidR="002E1208" w:rsidRPr="0085143C">
        <w:rPr>
          <w:rFonts w:ascii="Arial" w:eastAsia="Times New Roman" w:hAnsi="Arial" w:cs="Arial"/>
          <w:sz w:val="20"/>
          <w:szCs w:val="20"/>
          <w:lang w:val="en-GB" w:eastAsia="en-GB"/>
        </w:rPr>
        <w:t>enquiryinto the alleged brutality of the police will be imperative, in order for the public to win back the trust in the police during the lockdown period.</w:t>
      </w:r>
    </w:p>
    <w:p w:rsidR="00CE0A99" w:rsidRPr="0085143C" w:rsidRDefault="00CE0A99"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2. KEY CONCERNS RAISED BY THE COMMITTEE DURING THE 201</w:t>
      </w:r>
      <w:r w:rsidR="00545CA1" w:rsidRPr="0085143C">
        <w:rPr>
          <w:rFonts w:ascii="Arial" w:hAnsi="Arial" w:cs="Arial"/>
          <w:b/>
          <w:sz w:val="20"/>
          <w:szCs w:val="20"/>
        </w:rPr>
        <w:t>9</w:t>
      </w:r>
      <w:r w:rsidRPr="0085143C">
        <w:rPr>
          <w:rFonts w:ascii="Arial" w:hAnsi="Arial" w:cs="Arial"/>
          <w:b/>
          <w:sz w:val="20"/>
          <w:szCs w:val="20"/>
        </w:rPr>
        <w:t>/</w:t>
      </w:r>
      <w:r w:rsidR="00545CA1" w:rsidRPr="0085143C">
        <w:rPr>
          <w:rFonts w:ascii="Arial" w:hAnsi="Arial" w:cs="Arial"/>
          <w:b/>
          <w:sz w:val="20"/>
          <w:szCs w:val="20"/>
        </w:rPr>
        <w:t>20</w:t>
      </w:r>
      <w:r w:rsidRPr="0085143C">
        <w:rPr>
          <w:rFonts w:ascii="Arial" w:hAnsi="Arial" w:cs="Arial"/>
          <w:b/>
          <w:sz w:val="20"/>
          <w:szCs w:val="20"/>
        </w:rPr>
        <w:t xml:space="preserve"> FINANCIAL YEAR (HISTORIC CHALLENGES)</w:t>
      </w:r>
    </w:p>
    <w:p w:rsidR="00162DCA" w:rsidRPr="0085143C" w:rsidRDefault="00162DCA" w:rsidP="0085143C">
      <w:pPr>
        <w:spacing w:after="0" w:line="240" w:lineRule="auto"/>
        <w:jc w:val="both"/>
        <w:rPr>
          <w:rFonts w:ascii="Arial" w:hAnsi="Arial" w:cs="Arial"/>
          <w:b/>
          <w:sz w:val="20"/>
          <w:szCs w:val="20"/>
        </w:rPr>
      </w:pPr>
    </w:p>
    <w:p w:rsidR="008B7C23" w:rsidRPr="0085143C" w:rsidRDefault="008B7C23" w:rsidP="0085143C">
      <w:pPr>
        <w:spacing w:after="0" w:line="240" w:lineRule="auto"/>
        <w:jc w:val="both"/>
        <w:rPr>
          <w:rFonts w:ascii="Arial" w:hAnsi="Arial" w:cs="Arial"/>
          <w:sz w:val="20"/>
          <w:szCs w:val="20"/>
        </w:rPr>
      </w:pPr>
      <w:r w:rsidRPr="0085143C">
        <w:rPr>
          <w:rFonts w:ascii="Arial" w:hAnsi="Arial" w:cs="Arial"/>
          <w:sz w:val="20"/>
          <w:szCs w:val="20"/>
        </w:rPr>
        <w:t xml:space="preserve">The matters </w:t>
      </w:r>
      <w:r w:rsidR="00401A9D" w:rsidRPr="0085143C">
        <w:rPr>
          <w:rFonts w:ascii="Arial" w:hAnsi="Arial" w:cs="Arial"/>
          <w:sz w:val="20"/>
          <w:szCs w:val="20"/>
        </w:rPr>
        <w:t xml:space="preserve">listed </w:t>
      </w:r>
      <w:r w:rsidRPr="0085143C">
        <w:rPr>
          <w:rFonts w:ascii="Arial" w:hAnsi="Arial" w:cs="Arial"/>
          <w:sz w:val="20"/>
          <w:szCs w:val="20"/>
        </w:rPr>
        <w:t>below are some of the key concerns raised by the Committee during the 2019/20 budget hearings with the Civilian Secretariat of Police.</w:t>
      </w:r>
      <w:r w:rsidR="00401A9D" w:rsidRPr="0085143C">
        <w:rPr>
          <w:rFonts w:ascii="Arial" w:hAnsi="Arial" w:cs="Arial"/>
          <w:sz w:val="20"/>
          <w:szCs w:val="20"/>
        </w:rPr>
        <w:t xml:space="preserve"> These observations and key issues are included in this report to </w:t>
      </w:r>
      <w:r w:rsidR="009A757D" w:rsidRPr="0085143C">
        <w:rPr>
          <w:rFonts w:ascii="Arial" w:hAnsi="Arial" w:cs="Arial"/>
          <w:sz w:val="20"/>
          <w:szCs w:val="20"/>
        </w:rPr>
        <w:t>re-</w:t>
      </w:r>
      <w:r w:rsidR="00401A9D" w:rsidRPr="0085143C">
        <w:rPr>
          <w:rFonts w:ascii="Arial" w:hAnsi="Arial" w:cs="Arial"/>
          <w:sz w:val="20"/>
          <w:szCs w:val="20"/>
        </w:rPr>
        <w:t xml:space="preserve">emphasise the areas that Committee noted at the time. </w:t>
      </w:r>
    </w:p>
    <w:p w:rsidR="008B7C23" w:rsidRPr="0085143C" w:rsidRDefault="008B7C23"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Leadership and accountability</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Chairperson of the Committee indicated that he was informed by the Secretary of Police that he would not attend and he apologised as he had to attend a MINMEC meeting. The Committee raised concerns as it was the Department’s Budget vote hearing and the accounting officer should have been there to account. The CSPS should ensure that there is compliance with prescripts and it has to lead by example.  For this reason, there needs to be better compliance from the leadership of the Secretariat. If the CSPS monitors the police and IPID, then it should lead by example and be accountable itself.</w:t>
      </w:r>
    </w:p>
    <w:p w:rsidR="00162DCA" w:rsidRPr="0085143C" w:rsidRDefault="00162DCA" w:rsidP="0085143C">
      <w:pPr>
        <w:spacing w:after="0" w:line="240" w:lineRule="auto"/>
        <w:jc w:val="both"/>
        <w:rPr>
          <w:rFonts w:ascii="Arial" w:hAnsi="Arial" w:cs="Arial"/>
          <w:sz w:val="20"/>
          <w:szCs w:val="20"/>
        </w:rPr>
      </w:pPr>
    </w:p>
    <w:p w:rsidR="009A757D"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Advertising costs</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 xml:space="preserve">Members questioned the large increases in advertising costs and wanted an explanation of the reasons for the cost escalation. The Secretariat reported that it has spent almost R2 million rand on advertising costs which was mainly to advertise staff in the Office of the DPCI Judge. </w:t>
      </w:r>
    </w:p>
    <w:p w:rsidR="00162DCA" w:rsidRPr="0085143C" w:rsidRDefault="00162DCA" w:rsidP="0085143C">
      <w:pPr>
        <w:spacing w:after="0" w:line="240" w:lineRule="auto"/>
        <w:jc w:val="both"/>
        <w:rPr>
          <w:rFonts w:ascii="Arial" w:hAnsi="Arial" w:cs="Arial"/>
          <w:sz w:val="20"/>
          <w:szCs w:val="20"/>
        </w:rPr>
      </w:pPr>
    </w:p>
    <w:p w:rsidR="009A757D"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Budget Vote of the Secretariat</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 xml:space="preserve">The Committee questioned why the Secretariat does not have its own Vote and still functions as a cost centre of the SAPS. The Secretariat has been a designated department since 2014 and it appears that it is not making a concerted effort to break the financial cord with the SAPS. The Committee urged the Secretariat to move to its own budget vote as soon as possible. The Secretariat responded by stating that the changes in the leadership of the SAPS has not helped it as every year they prepare a management letter with which they hope to engage the SAPS leadership. When the leadership changes, they have to start the negotiations all over again. </w:t>
      </w:r>
    </w:p>
    <w:p w:rsidR="00162DCA" w:rsidRPr="0085143C" w:rsidRDefault="00162DCA" w:rsidP="0085143C">
      <w:pPr>
        <w:spacing w:after="0" w:line="240" w:lineRule="auto"/>
        <w:jc w:val="both"/>
        <w:rPr>
          <w:rFonts w:ascii="Arial" w:hAnsi="Arial" w:cs="Arial"/>
          <w:sz w:val="20"/>
          <w:szCs w:val="20"/>
        </w:rPr>
      </w:pPr>
    </w:p>
    <w:p w:rsidR="009A757D"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lastRenderedPageBreak/>
        <w:t>Budget spend of 95%</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 xml:space="preserve">The Committee welcomed the fact that the Secretariat spent 95% of its budget, but questioned if it was value for money spent. The reason was the fact that the SAPS was not taking the Secretariat seriously. In addition, the Provincial Secretariats were not taken seriously by their Heads of Department with respect to the National Secretariat. The Committee raised questions over the fact that the staff bursaries were doubled, consultants were employed and the advertising budget increased by 450%. Members wanted to know how the Secretariat was going to remedy the problem of the SAPS ignoring the recommendations of the Secretariat.  </w:t>
      </w:r>
    </w:p>
    <w:p w:rsidR="00162DCA" w:rsidRPr="0085143C" w:rsidRDefault="00162DCA" w:rsidP="0085143C">
      <w:pPr>
        <w:spacing w:after="0" w:line="240" w:lineRule="auto"/>
        <w:jc w:val="both"/>
        <w:rPr>
          <w:rFonts w:ascii="Arial" w:hAnsi="Arial" w:cs="Arial"/>
          <w:sz w:val="20"/>
          <w:szCs w:val="20"/>
        </w:rPr>
      </w:pPr>
    </w:p>
    <w:p w:rsidR="009A757D"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DNA Board Annual Report</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 xml:space="preserve">The Committee expressed its dissatisfaction with the fact that there was no Annual Report for the DNA Forensic Oversight and Accountability Ethics Board. The Chairperson raised </w:t>
      </w:r>
      <w:r w:rsidR="00593AF0" w:rsidRPr="0085143C">
        <w:rPr>
          <w:rFonts w:ascii="Arial" w:hAnsi="Arial" w:cs="Arial"/>
          <w:sz w:val="20"/>
          <w:szCs w:val="20"/>
        </w:rPr>
        <w:t>her</w:t>
      </w:r>
      <w:r w:rsidRPr="0085143C">
        <w:rPr>
          <w:rFonts w:ascii="Arial" w:hAnsi="Arial" w:cs="Arial"/>
          <w:sz w:val="20"/>
          <w:szCs w:val="20"/>
        </w:rPr>
        <w:t xml:space="preserve"> concerns with the non-tabling of the report. He urged the Secretariat to ensure compliance of any entity that it overseas.</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Inspecting DPCI Judge</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Committee raised concerns about the manner in which the Civilian Secretariat spent its budget on the DPCI Judge. It was reported that a vehicle was purchased for the Judge. According to the Secretariat, the Judge also wanted his PA to be upgraded in her post, which was not in keeping with the Public Service Regulations. The Committee expressed its unhappiness about the situation and asked the Secretariat to provide a full report and which policy they were following when purchasing a vehicle for the Judge.</w:t>
      </w:r>
    </w:p>
    <w:p w:rsidR="00162DCA" w:rsidRPr="0085143C" w:rsidRDefault="00162DCA" w:rsidP="0085143C">
      <w:pPr>
        <w:spacing w:after="0" w:line="240" w:lineRule="auto"/>
        <w:jc w:val="both"/>
        <w:rPr>
          <w:rFonts w:ascii="Arial" w:hAnsi="Arial" w:cs="Arial"/>
          <w:sz w:val="20"/>
          <w:szCs w:val="20"/>
        </w:rPr>
      </w:pPr>
    </w:p>
    <w:p w:rsidR="009A757D"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Disjuncture between National and Provincial Secretariats</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TheCommittee noted that there was a disjuncture between the National and Provincial Secretariats. It was clear that there was no proper alignment between the national and Provincial Secretariats as the Provincial Secretariats developed their own programme and priorities if they did not agree with the national policy. Members pointed to a legislative amendment that was required to bring the provincial secretariats into line with the National Secretariat. The provincial Heads of Departments were not taking the Provincial Secretariats seriously. It has consequences for the full implementation of the mandate of the CSPS.</w:t>
      </w:r>
    </w:p>
    <w:p w:rsidR="00162DCA" w:rsidRPr="0085143C" w:rsidRDefault="00162DCA" w:rsidP="0085143C">
      <w:pPr>
        <w:spacing w:after="0" w:line="240" w:lineRule="auto"/>
        <w:jc w:val="both"/>
        <w:rPr>
          <w:rFonts w:ascii="Arial" w:hAnsi="Arial" w:cs="Arial"/>
          <w:sz w:val="20"/>
          <w:szCs w:val="20"/>
        </w:rPr>
      </w:pPr>
    </w:p>
    <w:p w:rsidR="009A757D"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Indicators for the CSFs</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Committee questioned why theCommunity Safety Forums had no proper indicators of a public private partnership. The members wanted the Secretariat to explain what they meant by a public private partnership. In addition, the members of community police forums are also requesting money and stipends for the work they do in the communities.</w:t>
      </w:r>
    </w:p>
    <w:p w:rsidR="00162DCA" w:rsidRPr="0085143C" w:rsidRDefault="00162DCA" w:rsidP="0085143C">
      <w:pPr>
        <w:spacing w:after="0" w:line="240" w:lineRule="auto"/>
        <w:jc w:val="both"/>
        <w:rPr>
          <w:rFonts w:ascii="Arial" w:hAnsi="Arial" w:cs="Arial"/>
          <w:sz w:val="20"/>
          <w:szCs w:val="20"/>
        </w:rPr>
      </w:pPr>
    </w:p>
    <w:p w:rsidR="009A757D"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State of Policing report</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Committee questioned why the Secretariat has not delivered on the State of Policing Report after promising the Committee that it would be completed. The Secretariat was asked to make sure that the report is finalised so that the country can have an idea as to what the state of policing in South Africa looks like.</w:t>
      </w:r>
    </w:p>
    <w:p w:rsidR="00162DCA" w:rsidRPr="0085143C" w:rsidRDefault="00162DCA" w:rsidP="0085143C">
      <w:pPr>
        <w:spacing w:after="0" w:line="240" w:lineRule="auto"/>
        <w:jc w:val="both"/>
        <w:rPr>
          <w:rFonts w:ascii="Arial" w:hAnsi="Arial" w:cs="Arial"/>
          <w:sz w:val="20"/>
          <w:szCs w:val="20"/>
        </w:rPr>
      </w:pPr>
    </w:p>
    <w:p w:rsidR="009A757D"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Community Policing Forums (CPFs)</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 xml:space="preserve">The Committee has noted that the provision to deal with the community police forums are enshrined in the White Paper on Policing and the function of the CSPS is to support the CPF’s. However, this can only be effected if the SAPS Act is amended. </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 xml:space="preserve">3. </w:t>
      </w:r>
      <w:r w:rsidRPr="0085143C">
        <w:rPr>
          <w:rFonts w:ascii="Arial" w:hAnsi="Arial" w:cs="Arial"/>
          <w:b/>
          <w:sz w:val="20"/>
          <w:szCs w:val="20"/>
        </w:rPr>
        <w:tab/>
        <w:t>STRATEGIC PRIORITIES OF THE CSPS FOR 20</w:t>
      </w:r>
      <w:r w:rsidR="00545CA1" w:rsidRPr="0085143C">
        <w:rPr>
          <w:rFonts w:ascii="Arial" w:hAnsi="Arial" w:cs="Arial"/>
          <w:b/>
          <w:sz w:val="20"/>
          <w:szCs w:val="20"/>
        </w:rPr>
        <w:t>20</w:t>
      </w:r>
      <w:r w:rsidRPr="0085143C">
        <w:rPr>
          <w:rFonts w:ascii="Arial" w:hAnsi="Arial" w:cs="Arial"/>
          <w:b/>
          <w:sz w:val="20"/>
          <w:szCs w:val="20"/>
        </w:rPr>
        <w:t>/</w:t>
      </w:r>
      <w:r w:rsidR="00545CA1" w:rsidRPr="0085143C">
        <w:rPr>
          <w:rFonts w:ascii="Arial" w:hAnsi="Arial" w:cs="Arial"/>
          <w:b/>
          <w:sz w:val="20"/>
          <w:szCs w:val="20"/>
        </w:rPr>
        <w:t>2</w:t>
      </w:r>
      <w:r w:rsidRPr="0085143C">
        <w:rPr>
          <w:rFonts w:ascii="Arial" w:hAnsi="Arial" w:cs="Arial"/>
          <w:b/>
          <w:sz w:val="20"/>
          <w:szCs w:val="20"/>
        </w:rPr>
        <w:t>1</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overall strategic goal of the Secretariat is to conduct civilian oversight over the police and provide the Minister of Police with strategic support (police advice, legislative support, public participation and monitoring and evaluation of the SAPS).</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3.1</w:t>
      </w:r>
      <w:r w:rsidRPr="0085143C">
        <w:rPr>
          <w:rFonts w:ascii="Arial" w:hAnsi="Arial" w:cs="Arial"/>
          <w:b/>
          <w:sz w:val="20"/>
          <w:szCs w:val="20"/>
        </w:rPr>
        <w:tab/>
      </w:r>
      <w:r w:rsidR="009A757D" w:rsidRPr="0085143C">
        <w:rPr>
          <w:rFonts w:ascii="Arial" w:hAnsi="Arial" w:cs="Arial"/>
          <w:b/>
          <w:sz w:val="20"/>
          <w:szCs w:val="20"/>
        </w:rPr>
        <w:t>Ministerial Priorities</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Minister of Police highlighted the following priorities for the 20</w:t>
      </w:r>
      <w:r w:rsidR="00545CA1" w:rsidRPr="0085143C">
        <w:rPr>
          <w:rFonts w:ascii="Arial" w:hAnsi="Arial" w:cs="Arial"/>
          <w:sz w:val="20"/>
          <w:szCs w:val="20"/>
        </w:rPr>
        <w:t>20</w:t>
      </w:r>
      <w:r w:rsidRPr="0085143C">
        <w:rPr>
          <w:rFonts w:ascii="Arial" w:hAnsi="Arial" w:cs="Arial"/>
          <w:sz w:val="20"/>
          <w:szCs w:val="20"/>
        </w:rPr>
        <w:t>/2</w:t>
      </w:r>
      <w:r w:rsidR="00545CA1" w:rsidRPr="0085143C">
        <w:rPr>
          <w:rFonts w:ascii="Arial" w:hAnsi="Arial" w:cs="Arial"/>
          <w:sz w:val="20"/>
          <w:szCs w:val="20"/>
        </w:rPr>
        <w:t>1</w:t>
      </w:r>
      <w:r w:rsidRPr="0085143C">
        <w:rPr>
          <w:rFonts w:ascii="Arial" w:hAnsi="Arial" w:cs="Arial"/>
          <w:sz w:val="20"/>
          <w:szCs w:val="20"/>
        </w:rPr>
        <w:t xml:space="preserve"> financial year</w:t>
      </w:r>
      <w:r w:rsidR="005154DC" w:rsidRPr="0085143C">
        <w:rPr>
          <w:rFonts w:ascii="Arial" w:hAnsi="Arial" w:cs="Arial"/>
          <w:sz w:val="20"/>
          <w:szCs w:val="20"/>
        </w:rPr>
        <w:t xml:space="preserve"> and over the medium term</w:t>
      </w:r>
      <w:r w:rsidRPr="0085143C">
        <w:rPr>
          <w:rFonts w:ascii="Arial" w:hAnsi="Arial" w:cs="Arial"/>
          <w:sz w:val="20"/>
          <w:szCs w:val="20"/>
        </w:rPr>
        <w:t>:</w:t>
      </w:r>
    </w:p>
    <w:p w:rsidR="00545CA1" w:rsidRPr="0085143C" w:rsidRDefault="00545CA1"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lastRenderedPageBreak/>
        <w:t>The services provided by the police and lack of trust in the police continue to be at the forefront of discussions concerning policing and crimein the country.</w:t>
      </w:r>
    </w:p>
    <w:p w:rsidR="00F531C1" w:rsidRPr="0085143C" w:rsidRDefault="00F531C1"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t xml:space="preserve">The need for a localised approach to addressing crime concerns. </w:t>
      </w:r>
    </w:p>
    <w:p w:rsidR="00F531C1" w:rsidRPr="0085143C" w:rsidRDefault="00593AF0"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t>T</w:t>
      </w:r>
      <w:r w:rsidR="00F531C1" w:rsidRPr="0085143C">
        <w:rPr>
          <w:rFonts w:ascii="Arial" w:hAnsi="Arial" w:cs="Arial"/>
          <w:sz w:val="20"/>
          <w:szCs w:val="20"/>
        </w:rPr>
        <w:t>argeted implementation of the Provincial and Local Crime Prevention Frameworks and District Action Plans.</w:t>
      </w:r>
    </w:p>
    <w:p w:rsidR="00F531C1" w:rsidRPr="0085143C" w:rsidRDefault="00F531C1"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t>The implementation of the 2016 White Paper on Safety and Security.</w:t>
      </w:r>
    </w:p>
    <w:p w:rsidR="00F531C1" w:rsidRPr="0085143C" w:rsidRDefault="00F531C1"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t>Beefing up the detective service and forensics, as well as modernising the SAPS, amongst others, remains at the top of the list of priorities.</w:t>
      </w:r>
    </w:p>
    <w:p w:rsidR="00F531C1" w:rsidRPr="0085143C" w:rsidRDefault="00F531C1"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t>Align the Annual Performance Plan of the civilian Secretariat with the SAPS priorities to ensure that the SAPS is able to effectively deliver on its mandate.</w:t>
      </w:r>
    </w:p>
    <w:p w:rsidR="00F531C1" w:rsidRPr="0085143C" w:rsidRDefault="00F531C1"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t>Strengthen the administrative and operational functions of the Civilian Secretariat to ensure improved oversight over the SAPS.</w:t>
      </w:r>
    </w:p>
    <w:p w:rsidR="005154DC" w:rsidRPr="0085143C" w:rsidRDefault="005154DC"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t>The CSPS will over the next five years focus on the finalisation and implementation of an Integrated Crime and Violence Prevention Strategy.</w:t>
      </w:r>
    </w:p>
    <w:p w:rsidR="005154DC" w:rsidRPr="0085143C" w:rsidRDefault="005154DC"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t>The CSPS will also ensure the implementation of a Partnership Strategy and Framework which seeks to mobilise key role-players and harness the social capital in communities by facilitatinggreater involvement of various community safety structures in the fight against crime.</w:t>
      </w:r>
    </w:p>
    <w:p w:rsidR="005154DC" w:rsidRPr="0085143C" w:rsidRDefault="005154DC"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t>The development and implementation of an e-Policing Policy, the objective of which is to contribute to the professionalisation of SAPS and to enhance policing efficiencies.</w:t>
      </w:r>
    </w:p>
    <w:p w:rsidR="005154DC" w:rsidRPr="0085143C" w:rsidRDefault="005154DC" w:rsidP="0085143C">
      <w:pPr>
        <w:pStyle w:val="ListParagraph"/>
        <w:numPr>
          <w:ilvl w:val="0"/>
          <w:numId w:val="5"/>
        </w:numPr>
        <w:spacing w:after="0" w:line="240" w:lineRule="auto"/>
        <w:jc w:val="both"/>
        <w:rPr>
          <w:rFonts w:ascii="Arial" w:hAnsi="Arial" w:cs="Arial"/>
          <w:sz w:val="20"/>
          <w:szCs w:val="20"/>
        </w:rPr>
      </w:pPr>
      <w:r w:rsidRPr="0085143C">
        <w:rPr>
          <w:rFonts w:ascii="Arial" w:hAnsi="Arial" w:cs="Arial"/>
          <w:sz w:val="20"/>
          <w:szCs w:val="20"/>
        </w:rPr>
        <w:t>The CSPS will be strengthening its role in exercising civilian oversight over the Police Service, mobilising communities, providing legislative support, and strategic policy advice, amongst its other responsibilities.</w:t>
      </w:r>
    </w:p>
    <w:p w:rsidR="00162DCA" w:rsidRPr="0085143C" w:rsidRDefault="00162DCA" w:rsidP="0085143C">
      <w:pPr>
        <w:spacing w:after="0" w:line="240" w:lineRule="auto"/>
        <w:jc w:val="both"/>
        <w:rPr>
          <w:rFonts w:ascii="Arial" w:hAnsi="Arial" w:cs="Arial"/>
          <w:sz w:val="20"/>
          <w:szCs w:val="20"/>
        </w:rPr>
      </w:pPr>
    </w:p>
    <w:p w:rsidR="00162DCA" w:rsidRPr="0085143C" w:rsidRDefault="009A757D" w:rsidP="0085143C">
      <w:pPr>
        <w:spacing w:after="0" w:line="240" w:lineRule="auto"/>
        <w:jc w:val="both"/>
        <w:rPr>
          <w:rFonts w:ascii="Arial" w:hAnsi="Arial" w:cs="Arial"/>
          <w:b/>
          <w:sz w:val="20"/>
          <w:szCs w:val="20"/>
        </w:rPr>
      </w:pPr>
      <w:r w:rsidRPr="0085143C">
        <w:rPr>
          <w:rFonts w:ascii="Arial" w:hAnsi="Arial" w:cs="Arial"/>
          <w:b/>
          <w:sz w:val="20"/>
          <w:szCs w:val="20"/>
        </w:rPr>
        <w:t>3.2</w:t>
      </w:r>
      <w:r w:rsidRPr="0085143C">
        <w:rPr>
          <w:rFonts w:ascii="Arial" w:hAnsi="Arial" w:cs="Arial"/>
          <w:b/>
          <w:sz w:val="20"/>
          <w:szCs w:val="20"/>
        </w:rPr>
        <w:tab/>
        <w:t>State of The Nation Address</w:t>
      </w:r>
    </w:p>
    <w:p w:rsidR="00162DCA" w:rsidRPr="0085143C" w:rsidRDefault="00162DCA" w:rsidP="0085143C">
      <w:pPr>
        <w:spacing w:after="0" w:line="240" w:lineRule="auto"/>
        <w:jc w:val="both"/>
        <w:rPr>
          <w:rFonts w:ascii="Arial" w:hAnsi="Arial" w:cs="Arial"/>
          <w:sz w:val="20"/>
          <w:szCs w:val="20"/>
        </w:rPr>
      </w:pPr>
    </w:p>
    <w:p w:rsidR="00611F80" w:rsidRPr="0085143C" w:rsidRDefault="00611F80" w:rsidP="0085143C">
      <w:pPr>
        <w:spacing w:after="0" w:line="240" w:lineRule="auto"/>
        <w:jc w:val="both"/>
        <w:rPr>
          <w:rFonts w:ascii="Arial" w:hAnsi="Arial" w:cs="Arial"/>
          <w:sz w:val="20"/>
          <w:szCs w:val="20"/>
        </w:rPr>
      </w:pPr>
      <w:r w:rsidRPr="0085143C">
        <w:rPr>
          <w:rFonts w:ascii="Arial" w:hAnsi="Arial" w:cs="Arial"/>
          <w:sz w:val="20"/>
          <w:szCs w:val="20"/>
        </w:rPr>
        <w:t xml:space="preserve">The areas highlighted by the President in his State of the Nation Address in February 2020 all relate directly to the monitoring and evaluation function of the Civilian Secretariat for Police. </w:t>
      </w:r>
    </w:p>
    <w:p w:rsidR="00611F80" w:rsidRPr="0085143C" w:rsidRDefault="00611F80" w:rsidP="0085143C">
      <w:pPr>
        <w:spacing w:after="0" w:line="240" w:lineRule="auto"/>
        <w:jc w:val="both"/>
        <w:rPr>
          <w:rFonts w:ascii="Arial" w:hAnsi="Arial" w:cs="Arial"/>
          <w:sz w:val="20"/>
          <w:szCs w:val="20"/>
        </w:rPr>
      </w:pPr>
      <w:r w:rsidRPr="0085143C">
        <w:rPr>
          <w:rFonts w:ascii="Arial" w:hAnsi="Arial" w:cs="Arial"/>
          <w:sz w:val="20"/>
          <w:szCs w:val="20"/>
        </w:rPr>
        <w:t>In terms of security issues, the President focused on the realisation of the National Development Plan (NDP) Vision 2030 in building safe communities, especially in terms of police training, improved professionalism and adequate resource allocation to police stations.</w:t>
      </w:r>
    </w:p>
    <w:p w:rsidR="00611F80" w:rsidRPr="0085143C" w:rsidRDefault="00611F80" w:rsidP="0085143C">
      <w:pPr>
        <w:spacing w:after="0" w:line="240" w:lineRule="auto"/>
        <w:jc w:val="both"/>
        <w:rPr>
          <w:rFonts w:ascii="Arial" w:hAnsi="Arial" w:cs="Arial"/>
          <w:sz w:val="20"/>
          <w:szCs w:val="20"/>
        </w:rPr>
      </w:pPr>
    </w:p>
    <w:p w:rsidR="00611F80" w:rsidRPr="0085143C" w:rsidRDefault="00611F80" w:rsidP="0085143C">
      <w:pPr>
        <w:spacing w:after="0" w:line="240" w:lineRule="auto"/>
        <w:jc w:val="both"/>
        <w:rPr>
          <w:rFonts w:ascii="Arial" w:hAnsi="Arial" w:cs="Arial"/>
          <w:sz w:val="20"/>
          <w:szCs w:val="20"/>
        </w:rPr>
      </w:pPr>
      <w:r w:rsidRPr="0085143C">
        <w:rPr>
          <w:rFonts w:ascii="Arial" w:hAnsi="Arial" w:cs="Arial"/>
          <w:sz w:val="20"/>
          <w:szCs w:val="20"/>
        </w:rPr>
        <w:t>The President highlighted the following areas in the</w:t>
      </w:r>
      <w:r w:rsidR="00624F4D" w:rsidRPr="0085143C">
        <w:rPr>
          <w:rFonts w:ascii="Arial" w:hAnsi="Arial" w:cs="Arial"/>
          <w:sz w:val="20"/>
          <w:szCs w:val="20"/>
        </w:rPr>
        <w:t xml:space="preserve"> policing and </w:t>
      </w:r>
      <w:r w:rsidRPr="0085143C">
        <w:rPr>
          <w:rFonts w:ascii="Arial" w:hAnsi="Arial" w:cs="Arial"/>
          <w:sz w:val="20"/>
          <w:szCs w:val="20"/>
        </w:rPr>
        <w:t>safety sector:</w:t>
      </w:r>
    </w:p>
    <w:p w:rsidR="00611F80" w:rsidRPr="0085143C" w:rsidRDefault="00611F80" w:rsidP="0085143C">
      <w:pPr>
        <w:spacing w:after="0" w:line="240" w:lineRule="auto"/>
        <w:jc w:val="both"/>
        <w:rPr>
          <w:rFonts w:ascii="Arial" w:hAnsi="Arial" w:cs="Arial"/>
          <w:sz w:val="20"/>
          <w:szCs w:val="20"/>
        </w:rPr>
      </w:pPr>
    </w:p>
    <w:p w:rsidR="00611F80" w:rsidRPr="0085143C" w:rsidRDefault="00611F80" w:rsidP="0085143C">
      <w:pPr>
        <w:pStyle w:val="ListParagraph"/>
        <w:numPr>
          <w:ilvl w:val="0"/>
          <w:numId w:val="17"/>
        </w:numPr>
        <w:spacing w:after="0" w:line="240" w:lineRule="auto"/>
        <w:jc w:val="both"/>
        <w:rPr>
          <w:rFonts w:ascii="Arial" w:hAnsi="Arial" w:cs="Arial"/>
          <w:sz w:val="20"/>
          <w:szCs w:val="20"/>
        </w:rPr>
      </w:pPr>
      <w:r w:rsidRPr="0085143C">
        <w:rPr>
          <w:rFonts w:ascii="Arial" w:hAnsi="Arial" w:cs="Arial"/>
          <w:sz w:val="20"/>
          <w:szCs w:val="20"/>
        </w:rPr>
        <w:t>The President acknowledged that investment and growth require a safe, stable and crime-free environment. This is one of the key tenets of the NDP. The President further stated that living in security, peace and comfort is a fundamental aspiration of all South Africans as one of the fundamental human rights as enshrined in the Constitution.</w:t>
      </w:r>
    </w:p>
    <w:p w:rsidR="00611F80" w:rsidRPr="0085143C" w:rsidRDefault="00611F80" w:rsidP="0085143C">
      <w:pPr>
        <w:pStyle w:val="ListParagraph"/>
        <w:numPr>
          <w:ilvl w:val="0"/>
          <w:numId w:val="17"/>
        </w:numPr>
        <w:spacing w:after="0" w:line="240" w:lineRule="auto"/>
        <w:jc w:val="both"/>
        <w:rPr>
          <w:rFonts w:ascii="Arial" w:hAnsi="Arial" w:cs="Arial"/>
          <w:sz w:val="20"/>
          <w:szCs w:val="20"/>
        </w:rPr>
      </w:pPr>
      <w:r w:rsidRPr="0085143C">
        <w:rPr>
          <w:rFonts w:ascii="Arial" w:hAnsi="Arial" w:cs="Arial"/>
          <w:sz w:val="20"/>
          <w:szCs w:val="20"/>
        </w:rPr>
        <w:t>The President noted that priority would be placed on Government’s response to the growing problem of criminal groups that extort money from construction and other businesses. Specialised units within the SAPS and the National Prosecuting Authority (NPA) will be established to combat crimes of economic disruption.</w:t>
      </w:r>
    </w:p>
    <w:p w:rsidR="00611F80" w:rsidRPr="0085143C" w:rsidRDefault="00611F80" w:rsidP="0085143C">
      <w:pPr>
        <w:pStyle w:val="ListParagraph"/>
        <w:numPr>
          <w:ilvl w:val="0"/>
          <w:numId w:val="17"/>
        </w:numPr>
        <w:spacing w:after="0" w:line="240" w:lineRule="auto"/>
        <w:jc w:val="both"/>
        <w:rPr>
          <w:rFonts w:ascii="Arial" w:hAnsi="Arial" w:cs="Arial"/>
          <w:sz w:val="20"/>
          <w:szCs w:val="20"/>
        </w:rPr>
      </w:pPr>
      <w:r w:rsidRPr="0085143C">
        <w:rPr>
          <w:rFonts w:ascii="Arial" w:hAnsi="Arial" w:cs="Arial"/>
          <w:sz w:val="20"/>
          <w:szCs w:val="20"/>
        </w:rPr>
        <w:t>Tourism Safety Monitors will be trained and a reserve police capacity will be established to focus on the policing of tourist attraction areas</w:t>
      </w:r>
      <w:r w:rsidR="00624F4D" w:rsidRPr="0085143C">
        <w:rPr>
          <w:rFonts w:ascii="Arial" w:hAnsi="Arial" w:cs="Arial"/>
          <w:sz w:val="20"/>
          <w:szCs w:val="20"/>
        </w:rPr>
        <w:t>.</w:t>
      </w:r>
    </w:p>
    <w:p w:rsidR="00624F4D" w:rsidRPr="0085143C" w:rsidRDefault="00624F4D" w:rsidP="0085143C">
      <w:pPr>
        <w:pStyle w:val="ListParagraph"/>
        <w:numPr>
          <w:ilvl w:val="0"/>
          <w:numId w:val="17"/>
        </w:numPr>
        <w:spacing w:after="0" w:line="240" w:lineRule="auto"/>
        <w:jc w:val="both"/>
        <w:rPr>
          <w:rFonts w:ascii="Arial" w:hAnsi="Arial" w:cs="Arial"/>
          <w:sz w:val="20"/>
          <w:szCs w:val="20"/>
        </w:rPr>
      </w:pPr>
      <w:r w:rsidRPr="0085143C">
        <w:rPr>
          <w:rFonts w:ascii="Arial" w:hAnsi="Arial" w:cs="Arial"/>
          <w:sz w:val="20"/>
          <w:szCs w:val="20"/>
        </w:rPr>
        <w:t>The President stated that Anti-Gang Units would be further strengthened, with priority given to the Western Cape, Eastern Cape, Gauteng and Free State.</w:t>
      </w:r>
    </w:p>
    <w:p w:rsidR="00624F4D" w:rsidRPr="0085143C" w:rsidRDefault="00624F4D" w:rsidP="0085143C">
      <w:pPr>
        <w:pStyle w:val="ListParagraph"/>
        <w:numPr>
          <w:ilvl w:val="0"/>
          <w:numId w:val="17"/>
        </w:numPr>
        <w:spacing w:after="0" w:line="240" w:lineRule="auto"/>
        <w:jc w:val="both"/>
        <w:rPr>
          <w:rFonts w:ascii="Arial" w:hAnsi="Arial" w:cs="Arial"/>
          <w:sz w:val="20"/>
          <w:szCs w:val="20"/>
        </w:rPr>
      </w:pPr>
      <w:r w:rsidRPr="0085143C">
        <w:rPr>
          <w:rFonts w:ascii="Arial" w:hAnsi="Arial" w:cs="Arial"/>
          <w:sz w:val="20"/>
          <w:szCs w:val="20"/>
        </w:rPr>
        <w:t>The President stated that priority would be given to increasing police visibility. He further stated that following the graduation of 5,000 police trainees last year, 7,000 new police trainees have been enlisted this year to strengthen local policing.</w:t>
      </w:r>
    </w:p>
    <w:p w:rsidR="00624F4D" w:rsidRPr="0085143C" w:rsidRDefault="00624F4D" w:rsidP="0085143C">
      <w:pPr>
        <w:pStyle w:val="ListParagraph"/>
        <w:numPr>
          <w:ilvl w:val="0"/>
          <w:numId w:val="17"/>
        </w:numPr>
        <w:spacing w:after="0" w:line="240" w:lineRule="auto"/>
        <w:jc w:val="both"/>
        <w:rPr>
          <w:rFonts w:ascii="Arial" w:hAnsi="Arial" w:cs="Arial"/>
          <w:sz w:val="20"/>
          <w:szCs w:val="20"/>
        </w:rPr>
      </w:pPr>
      <w:r w:rsidRPr="0085143C">
        <w:rPr>
          <w:rFonts w:ascii="Arial" w:hAnsi="Arial" w:cs="Arial"/>
          <w:sz w:val="20"/>
          <w:szCs w:val="20"/>
        </w:rPr>
        <w:t>The President stated that priority would be given to better resourcing of police stations.</w:t>
      </w:r>
    </w:p>
    <w:p w:rsidR="00624F4D" w:rsidRPr="0085143C" w:rsidRDefault="00624F4D" w:rsidP="0085143C">
      <w:pPr>
        <w:pStyle w:val="ListParagraph"/>
        <w:numPr>
          <w:ilvl w:val="0"/>
          <w:numId w:val="17"/>
        </w:numPr>
        <w:spacing w:after="0" w:line="240" w:lineRule="auto"/>
        <w:jc w:val="both"/>
        <w:rPr>
          <w:rFonts w:ascii="Arial" w:hAnsi="Arial" w:cs="Arial"/>
          <w:sz w:val="20"/>
          <w:szCs w:val="20"/>
        </w:rPr>
      </w:pPr>
      <w:r w:rsidRPr="0085143C">
        <w:rPr>
          <w:rFonts w:ascii="Arial" w:hAnsi="Arial" w:cs="Arial"/>
          <w:sz w:val="20"/>
          <w:szCs w:val="20"/>
        </w:rPr>
        <w:t>The President stated that a Crime Detection University would be established in Hammanskraal (Gauteng) to improve the quality of general and specialised SAPS investigations.</w:t>
      </w:r>
    </w:p>
    <w:p w:rsidR="007F24E4" w:rsidRPr="0085143C" w:rsidRDefault="007F24E4" w:rsidP="0085143C">
      <w:pPr>
        <w:pStyle w:val="ListParagraph"/>
        <w:numPr>
          <w:ilvl w:val="0"/>
          <w:numId w:val="17"/>
        </w:numPr>
        <w:spacing w:after="0" w:line="240" w:lineRule="auto"/>
        <w:jc w:val="both"/>
        <w:rPr>
          <w:rFonts w:ascii="Arial" w:hAnsi="Arial" w:cs="Arial"/>
          <w:sz w:val="20"/>
          <w:szCs w:val="20"/>
        </w:rPr>
      </w:pPr>
      <w:r w:rsidRPr="0085143C">
        <w:rPr>
          <w:rFonts w:ascii="Arial" w:hAnsi="Arial" w:cs="Arial"/>
          <w:sz w:val="20"/>
          <w:szCs w:val="20"/>
        </w:rPr>
        <w:t>The National Anti-</w:t>
      </w:r>
      <w:r w:rsidR="00C7609D" w:rsidRPr="0085143C">
        <w:rPr>
          <w:rFonts w:ascii="Arial" w:hAnsi="Arial" w:cs="Arial"/>
          <w:sz w:val="20"/>
          <w:szCs w:val="20"/>
        </w:rPr>
        <w:t>Corruption</w:t>
      </w:r>
      <w:r w:rsidRPr="0085143C">
        <w:rPr>
          <w:rFonts w:ascii="Arial" w:hAnsi="Arial" w:cs="Arial"/>
          <w:sz w:val="20"/>
          <w:szCs w:val="20"/>
        </w:rPr>
        <w:t xml:space="preserve"> Strategy (NACS) that was developed by a joint government and civil society working group would be launched in the mid-year.</w:t>
      </w:r>
    </w:p>
    <w:p w:rsidR="007F24E4" w:rsidRPr="0085143C" w:rsidRDefault="007F24E4" w:rsidP="0085143C">
      <w:pPr>
        <w:pStyle w:val="ListParagraph"/>
        <w:numPr>
          <w:ilvl w:val="0"/>
          <w:numId w:val="17"/>
        </w:numPr>
        <w:spacing w:after="0" w:line="240" w:lineRule="auto"/>
        <w:jc w:val="both"/>
        <w:rPr>
          <w:rFonts w:ascii="Arial" w:hAnsi="Arial" w:cs="Arial"/>
          <w:sz w:val="20"/>
          <w:szCs w:val="20"/>
        </w:rPr>
      </w:pPr>
      <w:r w:rsidRPr="0085143C">
        <w:rPr>
          <w:rFonts w:ascii="Arial" w:hAnsi="Arial" w:cs="Arial"/>
          <w:sz w:val="20"/>
          <w:szCs w:val="20"/>
        </w:rPr>
        <w:t>The President highlighted various efforts to address gender-based violence, including:</w:t>
      </w:r>
    </w:p>
    <w:p w:rsidR="007F24E4" w:rsidRPr="0085143C" w:rsidRDefault="007F24E4" w:rsidP="0085143C">
      <w:pPr>
        <w:pStyle w:val="ListParagraph"/>
        <w:numPr>
          <w:ilvl w:val="1"/>
          <w:numId w:val="17"/>
        </w:numPr>
        <w:spacing w:after="0" w:line="240" w:lineRule="auto"/>
        <w:jc w:val="both"/>
        <w:rPr>
          <w:rFonts w:ascii="Arial" w:hAnsi="Arial" w:cs="Arial"/>
          <w:sz w:val="20"/>
          <w:szCs w:val="20"/>
        </w:rPr>
      </w:pPr>
      <w:r w:rsidRPr="0085143C">
        <w:rPr>
          <w:rFonts w:ascii="Arial" w:hAnsi="Arial" w:cs="Arial"/>
          <w:sz w:val="20"/>
          <w:szCs w:val="20"/>
        </w:rPr>
        <w:t>Social compacts must be built across society to fight gender-based violence.</w:t>
      </w:r>
    </w:p>
    <w:p w:rsidR="007F24E4" w:rsidRPr="0085143C" w:rsidRDefault="007F24E4" w:rsidP="0085143C">
      <w:pPr>
        <w:pStyle w:val="ListParagraph"/>
        <w:numPr>
          <w:ilvl w:val="1"/>
          <w:numId w:val="17"/>
        </w:numPr>
        <w:spacing w:after="0" w:line="240" w:lineRule="auto"/>
        <w:jc w:val="both"/>
        <w:rPr>
          <w:rFonts w:ascii="Arial" w:hAnsi="Arial" w:cs="Arial"/>
          <w:sz w:val="20"/>
          <w:szCs w:val="20"/>
        </w:rPr>
      </w:pPr>
      <w:r w:rsidRPr="0085143C">
        <w:rPr>
          <w:rFonts w:ascii="Arial" w:hAnsi="Arial" w:cs="Arial"/>
          <w:sz w:val="20"/>
          <w:szCs w:val="20"/>
        </w:rPr>
        <w:t>An emergency action plan was implemented and R1.6 billion was reprioritised to support the plan until the end of the current financial year (2019/20).</w:t>
      </w:r>
    </w:p>
    <w:p w:rsidR="007F24E4" w:rsidRPr="0085143C" w:rsidRDefault="007F24E4" w:rsidP="0085143C">
      <w:pPr>
        <w:pStyle w:val="ListParagraph"/>
        <w:numPr>
          <w:ilvl w:val="1"/>
          <w:numId w:val="17"/>
        </w:numPr>
        <w:spacing w:after="0" w:line="240" w:lineRule="auto"/>
        <w:jc w:val="both"/>
        <w:rPr>
          <w:rFonts w:ascii="Arial" w:hAnsi="Arial" w:cs="Arial"/>
          <w:sz w:val="20"/>
          <w:szCs w:val="20"/>
        </w:rPr>
      </w:pPr>
      <w:r w:rsidRPr="0085143C">
        <w:rPr>
          <w:rFonts w:ascii="Arial" w:hAnsi="Arial" w:cs="Arial"/>
          <w:sz w:val="20"/>
          <w:szCs w:val="20"/>
        </w:rPr>
        <w:lastRenderedPageBreak/>
        <w:t>The Domestic Violence Act, 1998 (Act No 116 of 1998) will be amended to improve the protection of victims in violent domestic relationships.</w:t>
      </w:r>
    </w:p>
    <w:p w:rsidR="007F24E4" w:rsidRPr="0085143C" w:rsidRDefault="007F24E4" w:rsidP="0085143C">
      <w:pPr>
        <w:pStyle w:val="ListParagraph"/>
        <w:numPr>
          <w:ilvl w:val="1"/>
          <w:numId w:val="17"/>
        </w:numPr>
        <w:spacing w:after="0" w:line="240" w:lineRule="auto"/>
        <w:jc w:val="both"/>
        <w:rPr>
          <w:rFonts w:ascii="Arial" w:hAnsi="Arial" w:cs="Arial"/>
          <w:sz w:val="20"/>
          <w:szCs w:val="20"/>
        </w:rPr>
      </w:pPr>
      <w:r w:rsidRPr="0085143C">
        <w:rPr>
          <w:rFonts w:ascii="Arial" w:hAnsi="Arial" w:cs="Arial"/>
          <w:sz w:val="20"/>
          <w:szCs w:val="20"/>
        </w:rPr>
        <w:t>The Sexual Offences Act, 2007 will be amended to broaden the categories of sex offenders whose names must be included in the National Register for sex offenders.</w:t>
      </w:r>
    </w:p>
    <w:p w:rsidR="007F24E4" w:rsidRPr="0085143C" w:rsidRDefault="007F24E4" w:rsidP="0085143C">
      <w:pPr>
        <w:pStyle w:val="ListParagraph"/>
        <w:numPr>
          <w:ilvl w:val="1"/>
          <w:numId w:val="17"/>
        </w:numPr>
        <w:spacing w:after="0" w:line="240" w:lineRule="auto"/>
        <w:jc w:val="both"/>
        <w:rPr>
          <w:rFonts w:ascii="Arial" w:hAnsi="Arial" w:cs="Arial"/>
          <w:sz w:val="20"/>
          <w:szCs w:val="20"/>
        </w:rPr>
      </w:pPr>
      <w:r w:rsidRPr="0085143C">
        <w:rPr>
          <w:rFonts w:ascii="Arial" w:hAnsi="Arial" w:cs="Arial"/>
          <w:sz w:val="20"/>
          <w:szCs w:val="20"/>
        </w:rPr>
        <w:t>Legislation will be passed to strengthen bail and sentencing conditions in cases that involve gender-based violence.</w:t>
      </w:r>
    </w:p>
    <w:p w:rsidR="00B556BB" w:rsidRPr="0085143C" w:rsidRDefault="00B556BB" w:rsidP="0085143C">
      <w:pPr>
        <w:spacing w:after="0" w:line="240" w:lineRule="auto"/>
        <w:jc w:val="both"/>
        <w:rPr>
          <w:rFonts w:ascii="Arial" w:hAnsi="Arial" w:cs="Arial"/>
          <w:sz w:val="20"/>
          <w:szCs w:val="20"/>
        </w:rPr>
      </w:pPr>
    </w:p>
    <w:p w:rsidR="00B556BB" w:rsidRPr="0085143C" w:rsidRDefault="009A757D" w:rsidP="0085143C">
      <w:pPr>
        <w:spacing w:after="0" w:line="240" w:lineRule="auto"/>
        <w:jc w:val="both"/>
        <w:rPr>
          <w:rFonts w:ascii="Arial" w:hAnsi="Arial" w:cs="Arial"/>
          <w:b/>
          <w:sz w:val="20"/>
          <w:szCs w:val="20"/>
        </w:rPr>
      </w:pPr>
      <w:r w:rsidRPr="0085143C">
        <w:rPr>
          <w:rFonts w:ascii="Arial" w:hAnsi="Arial" w:cs="Arial"/>
          <w:b/>
          <w:sz w:val="20"/>
          <w:szCs w:val="20"/>
        </w:rPr>
        <w:t>3.3</w:t>
      </w:r>
      <w:r w:rsidRPr="0085143C">
        <w:rPr>
          <w:rFonts w:ascii="Arial" w:hAnsi="Arial" w:cs="Arial"/>
          <w:b/>
          <w:sz w:val="20"/>
          <w:szCs w:val="20"/>
        </w:rPr>
        <w:tab/>
      </w:r>
      <w:r w:rsidR="00B556BB" w:rsidRPr="0085143C">
        <w:rPr>
          <w:rFonts w:ascii="Arial" w:hAnsi="Arial" w:cs="Arial"/>
          <w:b/>
          <w:sz w:val="20"/>
          <w:szCs w:val="20"/>
        </w:rPr>
        <w:t xml:space="preserve">Civilian Secretariat Priorities </w:t>
      </w:r>
    </w:p>
    <w:p w:rsidR="00122FD9" w:rsidRPr="0085143C" w:rsidRDefault="00122FD9" w:rsidP="0085143C">
      <w:pPr>
        <w:spacing w:after="0" w:line="240" w:lineRule="auto"/>
        <w:jc w:val="both"/>
        <w:rPr>
          <w:rFonts w:ascii="Arial" w:hAnsi="Arial" w:cs="Arial"/>
          <w:sz w:val="20"/>
          <w:szCs w:val="20"/>
        </w:rPr>
      </w:pPr>
      <w:r w:rsidRPr="0085143C">
        <w:rPr>
          <w:rFonts w:ascii="Arial" w:hAnsi="Arial" w:cs="Arial"/>
          <w:sz w:val="20"/>
          <w:szCs w:val="20"/>
        </w:rPr>
        <w:t>The Civilian Secretariat has indicated that their priorities for the 2020/21 financial year includes the following priorities:</w:t>
      </w:r>
    </w:p>
    <w:p w:rsidR="00122FD9" w:rsidRPr="0085143C" w:rsidRDefault="00122FD9" w:rsidP="0085143C">
      <w:pPr>
        <w:pStyle w:val="ListParagraph"/>
        <w:numPr>
          <w:ilvl w:val="0"/>
          <w:numId w:val="18"/>
        </w:numPr>
        <w:spacing w:after="0" w:line="240" w:lineRule="auto"/>
        <w:jc w:val="both"/>
        <w:rPr>
          <w:rFonts w:ascii="Arial" w:hAnsi="Arial" w:cs="Arial"/>
          <w:sz w:val="20"/>
          <w:szCs w:val="20"/>
        </w:rPr>
      </w:pPr>
      <w:r w:rsidRPr="0085143C">
        <w:rPr>
          <w:rFonts w:ascii="Arial" w:hAnsi="Arial" w:cs="Arial"/>
          <w:sz w:val="20"/>
          <w:szCs w:val="20"/>
        </w:rPr>
        <w:t>The implementation of the revised mission: “A transformed and accountable Police Service that reflects the democratic values and principles of the Constitution of the Republic of South Africa”.</w:t>
      </w:r>
    </w:p>
    <w:p w:rsidR="00122FD9" w:rsidRPr="0085143C" w:rsidRDefault="00122FD9" w:rsidP="0085143C">
      <w:pPr>
        <w:pStyle w:val="ListParagraph"/>
        <w:numPr>
          <w:ilvl w:val="0"/>
          <w:numId w:val="18"/>
        </w:numPr>
        <w:spacing w:after="0" w:line="240" w:lineRule="auto"/>
        <w:jc w:val="both"/>
        <w:rPr>
          <w:rFonts w:ascii="Arial" w:hAnsi="Arial" w:cs="Arial"/>
          <w:sz w:val="20"/>
          <w:szCs w:val="20"/>
        </w:rPr>
      </w:pPr>
      <w:r w:rsidRPr="0085143C">
        <w:rPr>
          <w:rFonts w:ascii="Arial" w:hAnsi="Arial" w:cs="Arial"/>
          <w:sz w:val="20"/>
          <w:szCs w:val="20"/>
        </w:rPr>
        <w:t>Reducing and maintaining the current vacancy rate close to the total number of posts approved in order to improve and sustain high levels of productivity within the Department.</w:t>
      </w:r>
    </w:p>
    <w:p w:rsidR="00122FD9" w:rsidRPr="0085143C" w:rsidRDefault="00122FD9" w:rsidP="0085143C">
      <w:pPr>
        <w:pStyle w:val="ListParagraph"/>
        <w:numPr>
          <w:ilvl w:val="0"/>
          <w:numId w:val="18"/>
        </w:numPr>
        <w:spacing w:after="0" w:line="240" w:lineRule="auto"/>
        <w:jc w:val="both"/>
        <w:rPr>
          <w:rFonts w:ascii="Arial" w:hAnsi="Arial" w:cs="Arial"/>
          <w:sz w:val="20"/>
          <w:szCs w:val="20"/>
        </w:rPr>
      </w:pPr>
      <w:r w:rsidRPr="0085143C">
        <w:rPr>
          <w:rFonts w:ascii="Arial" w:hAnsi="Arial" w:cs="Arial"/>
          <w:sz w:val="20"/>
          <w:szCs w:val="20"/>
        </w:rPr>
        <w:t>Research studies that focus on examining the effectiveness of SAPS disciplinary management on policing, and the impact of the SAPS Training Programme on service delivery.</w:t>
      </w:r>
    </w:p>
    <w:p w:rsidR="00122FD9" w:rsidRPr="0085143C" w:rsidRDefault="00122FD9" w:rsidP="0085143C">
      <w:pPr>
        <w:pStyle w:val="ListParagraph"/>
        <w:numPr>
          <w:ilvl w:val="0"/>
          <w:numId w:val="18"/>
        </w:numPr>
        <w:spacing w:after="0" w:line="240" w:lineRule="auto"/>
        <w:jc w:val="both"/>
        <w:rPr>
          <w:rFonts w:ascii="Arial" w:hAnsi="Arial" w:cs="Arial"/>
          <w:sz w:val="20"/>
          <w:szCs w:val="20"/>
        </w:rPr>
      </w:pPr>
      <w:r w:rsidRPr="0085143C">
        <w:rPr>
          <w:rFonts w:ascii="Arial" w:hAnsi="Arial" w:cs="Arial"/>
          <w:sz w:val="20"/>
          <w:szCs w:val="20"/>
        </w:rPr>
        <w:t>The establishment of the National Centre for Crime and Violence Prevention.</w:t>
      </w:r>
    </w:p>
    <w:p w:rsidR="00122FD9" w:rsidRPr="0085143C" w:rsidRDefault="00072165" w:rsidP="0085143C">
      <w:pPr>
        <w:pStyle w:val="ListParagraph"/>
        <w:numPr>
          <w:ilvl w:val="0"/>
          <w:numId w:val="18"/>
        </w:numPr>
        <w:spacing w:after="0" w:line="240" w:lineRule="auto"/>
        <w:jc w:val="both"/>
        <w:rPr>
          <w:rFonts w:ascii="Arial" w:hAnsi="Arial" w:cs="Arial"/>
          <w:sz w:val="20"/>
          <w:szCs w:val="20"/>
        </w:rPr>
      </w:pPr>
      <w:r w:rsidRPr="0085143C">
        <w:rPr>
          <w:rFonts w:ascii="Arial" w:hAnsi="Arial" w:cs="Arial"/>
          <w:sz w:val="20"/>
          <w:szCs w:val="20"/>
        </w:rPr>
        <w:t xml:space="preserve">The </w:t>
      </w:r>
      <w:r w:rsidR="00122FD9" w:rsidRPr="0085143C">
        <w:rPr>
          <w:rFonts w:ascii="Arial" w:hAnsi="Arial" w:cs="Arial"/>
          <w:sz w:val="20"/>
          <w:szCs w:val="20"/>
        </w:rPr>
        <w:t>build</w:t>
      </w:r>
      <w:r w:rsidRPr="0085143C">
        <w:rPr>
          <w:rFonts w:ascii="Arial" w:hAnsi="Arial" w:cs="Arial"/>
          <w:sz w:val="20"/>
          <w:szCs w:val="20"/>
        </w:rPr>
        <w:t>ing of</w:t>
      </w:r>
      <w:r w:rsidR="00122FD9" w:rsidRPr="0085143C">
        <w:rPr>
          <w:rFonts w:ascii="Arial" w:hAnsi="Arial" w:cs="Arial"/>
          <w:sz w:val="20"/>
          <w:szCs w:val="20"/>
        </w:rPr>
        <w:t xml:space="preserve"> capacity in terms of community safety and to establish C</w:t>
      </w:r>
      <w:r w:rsidRPr="0085143C">
        <w:rPr>
          <w:rFonts w:ascii="Arial" w:hAnsi="Arial" w:cs="Arial"/>
          <w:sz w:val="20"/>
          <w:szCs w:val="20"/>
        </w:rPr>
        <w:t xml:space="preserve">ommunity Safety Forums </w:t>
      </w:r>
      <w:r w:rsidR="00122FD9" w:rsidRPr="0085143C">
        <w:rPr>
          <w:rFonts w:ascii="Arial" w:hAnsi="Arial" w:cs="Arial"/>
          <w:sz w:val="20"/>
          <w:szCs w:val="20"/>
        </w:rPr>
        <w:t>across different municipalities.</w:t>
      </w:r>
    </w:p>
    <w:p w:rsidR="00072165" w:rsidRPr="0085143C" w:rsidRDefault="00072165" w:rsidP="0085143C">
      <w:pPr>
        <w:pStyle w:val="ListParagraph"/>
        <w:numPr>
          <w:ilvl w:val="0"/>
          <w:numId w:val="18"/>
        </w:numPr>
        <w:spacing w:after="0" w:line="240" w:lineRule="auto"/>
        <w:jc w:val="both"/>
        <w:rPr>
          <w:rFonts w:ascii="Arial" w:hAnsi="Arial" w:cs="Arial"/>
          <w:sz w:val="20"/>
          <w:szCs w:val="20"/>
        </w:rPr>
      </w:pPr>
      <w:r w:rsidRPr="0085143C">
        <w:rPr>
          <w:rFonts w:ascii="Arial" w:hAnsi="Arial" w:cs="Arial"/>
          <w:sz w:val="20"/>
          <w:szCs w:val="20"/>
        </w:rPr>
        <w:t>Prioritising community awareness of crimes against women and children.</w:t>
      </w:r>
    </w:p>
    <w:p w:rsidR="00122FD9" w:rsidRPr="0085143C" w:rsidRDefault="00122FD9" w:rsidP="0085143C">
      <w:pPr>
        <w:spacing w:after="0" w:line="240" w:lineRule="auto"/>
        <w:jc w:val="both"/>
        <w:rPr>
          <w:rFonts w:ascii="Arial" w:hAnsi="Arial" w:cs="Arial"/>
          <w:sz w:val="20"/>
          <w:szCs w:val="20"/>
        </w:rPr>
      </w:pPr>
    </w:p>
    <w:p w:rsidR="00162DCA" w:rsidRPr="0085143C" w:rsidRDefault="009A757D" w:rsidP="0085143C">
      <w:pPr>
        <w:spacing w:after="0" w:line="240" w:lineRule="auto"/>
        <w:jc w:val="both"/>
        <w:rPr>
          <w:rFonts w:ascii="Arial" w:hAnsi="Arial" w:cs="Arial"/>
          <w:b/>
          <w:sz w:val="20"/>
          <w:szCs w:val="20"/>
        </w:rPr>
      </w:pPr>
      <w:r w:rsidRPr="0085143C">
        <w:rPr>
          <w:rFonts w:ascii="Arial" w:hAnsi="Arial" w:cs="Arial"/>
          <w:b/>
          <w:sz w:val="20"/>
          <w:szCs w:val="20"/>
        </w:rPr>
        <w:t>3.4</w:t>
      </w:r>
      <w:r w:rsidRPr="0085143C">
        <w:rPr>
          <w:rFonts w:ascii="Arial" w:hAnsi="Arial" w:cs="Arial"/>
          <w:b/>
          <w:sz w:val="20"/>
          <w:szCs w:val="20"/>
        </w:rPr>
        <w:tab/>
      </w:r>
      <w:r w:rsidR="00072165" w:rsidRPr="0085143C">
        <w:rPr>
          <w:rFonts w:ascii="Arial" w:hAnsi="Arial" w:cs="Arial"/>
          <w:b/>
          <w:sz w:val="20"/>
          <w:szCs w:val="20"/>
        </w:rPr>
        <w:t xml:space="preserve">Medium Term Strategic Priorities </w:t>
      </w:r>
    </w:p>
    <w:p w:rsidR="00072165" w:rsidRPr="0085143C" w:rsidRDefault="00072165" w:rsidP="0085143C">
      <w:pPr>
        <w:spacing w:after="0" w:line="240" w:lineRule="auto"/>
        <w:jc w:val="both"/>
        <w:rPr>
          <w:rFonts w:ascii="Arial" w:hAnsi="Arial" w:cs="Arial"/>
          <w:sz w:val="20"/>
          <w:szCs w:val="20"/>
        </w:rPr>
      </w:pPr>
    </w:p>
    <w:p w:rsidR="00072165" w:rsidRPr="0085143C" w:rsidRDefault="00072165" w:rsidP="0085143C">
      <w:pPr>
        <w:spacing w:after="0" w:line="240" w:lineRule="auto"/>
        <w:jc w:val="both"/>
        <w:rPr>
          <w:rFonts w:ascii="Arial" w:hAnsi="Arial" w:cs="Arial"/>
          <w:sz w:val="20"/>
          <w:szCs w:val="20"/>
        </w:rPr>
      </w:pPr>
      <w:r w:rsidRPr="0085143C">
        <w:rPr>
          <w:rFonts w:ascii="Arial" w:hAnsi="Arial" w:cs="Arial"/>
          <w:sz w:val="20"/>
          <w:szCs w:val="20"/>
        </w:rPr>
        <w:t>In the 2020-202</w:t>
      </w:r>
      <w:r w:rsidR="006917E6" w:rsidRPr="0085143C">
        <w:rPr>
          <w:rFonts w:ascii="Arial" w:hAnsi="Arial" w:cs="Arial"/>
          <w:sz w:val="20"/>
          <w:szCs w:val="20"/>
        </w:rPr>
        <w:t>5</w:t>
      </w:r>
      <w:r w:rsidRPr="0085143C">
        <w:rPr>
          <w:rFonts w:ascii="Arial" w:hAnsi="Arial" w:cs="Arial"/>
          <w:sz w:val="20"/>
          <w:szCs w:val="20"/>
        </w:rPr>
        <w:t xml:space="preserve"> Strategic Plan of the Civilian Secretariat for Police, the </w:t>
      </w:r>
      <w:r w:rsidR="00EE6BCB" w:rsidRPr="0085143C">
        <w:rPr>
          <w:rFonts w:ascii="Arial" w:hAnsi="Arial" w:cs="Arial"/>
          <w:sz w:val="20"/>
          <w:szCs w:val="20"/>
        </w:rPr>
        <w:t>Secretariat has committed to the implementation of the following priorities during the next five years:</w:t>
      </w:r>
    </w:p>
    <w:p w:rsidR="00EE6BCB" w:rsidRPr="0085143C" w:rsidRDefault="00EE6BCB" w:rsidP="0085143C">
      <w:pPr>
        <w:spacing w:after="0" w:line="240" w:lineRule="auto"/>
        <w:jc w:val="both"/>
        <w:rPr>
          <w:rFonts w:ascii="Arial" w:hAnsi="Arial" w:cs="Arial"/>
          <w:sz w:val="20"/>
          <w:szCs w:val="20"/>
        </w:rPr>
      </w:pP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Facilitating the implementation of the 2016 White Paper on Safety and Security and the Integrated Crime and Violence Prevention Strategy.</w:t>
      </w: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Drafting and promoting constitutionally sound legislation to give effect to government policies related to policing.</w:t>
      </w: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Repositioning of the Civilian Secretariat for Police Service as a new Department of Police and the primary policy advisor to the Minister, which requires a review of the current organisational structure.</w:t>
      </w: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Organisational renewal, strategic leadership and the enforcement of the Civilian Secretariat for Police Service Act and Regulations.</w:t>
      </w: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 xml:space="preserve">Strengthening the capacity of the Department to influence international developments for the Ministry of Police. </w:t>
      </w: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Facilitating the creation of a smart or e-policing environment.</w:t>
      </w: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Strengthening the Heads of Departments (HoDs) Forum and Senior Management Forum to monitor the progress of the Department’s oversight functions.</w:t>
      </w: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Establishing a Knowledge Information Management System as a nerve centre to drive the policy and strategic mandate of the Department.</w:t>
      </w:r>
    </w:p>
    <w:p w:rsidR="00EE6BCB" w:rsidRPr="0085143C" w:rsidRDefault="00B92600"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Implementing the D</w:t>
      </w:r>
      <w:r w:rsidR="00EE6BCB" w:rsidRPr="0085143C">
        <w:rPr>
          <w:rFonts w:ascii="Arial" w:hAnsi="Arial" w:cs="Arial"/>
          <w:sz w:val="20"/>
          <w:szCs w:val="20"/>
        </w:rPr>
        <w:t>epartmental Communication Strategy.</w:t>
      </w: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Implementing a Partnership Strategy and Framework to strengthen engagements with key stakeholders and galvanise communities on crime prevention initiatives.</w:t>
      </w: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Building strong ICT infrastructure for the department.</w:t>
      </w:r>
    </w:p>
    <w:p w:rsidR="00EE6BCB" w:rsidRPr="0085143C" w:rsidRDefault="00EE6BCB" w:rsidP="0085143C">
      <w:pPr>
        <w:pStyle w:val="ListParagraph"/>
        <w:numPr>
          <w:ilvl w:val="0"/>
          <w:numId w:val="19"/>
        </w:numPr>
        <w:spacing w:after="0" w:line="240" w:lineRule="auto"/>
        <w:jc w:val="both"/>
        <w:rPr>
          <w:rFonts w:ascii="Arial" w:hAnsi="Arial" w:cs="Arial"/>
          <w:sz w:val="20"/>
          <w:szCs w:val="20"/>
        </w:rPr>
      </w:pPr>
      <w:r w:rsidRPr="0085143C">
        <w:rPr>
          <w:rFonts w:ascii="Arial" w:hAnsi="Arial" w:cs="Arial"/>
          <w:sz w:val="20"/>
          <w:szCs w:val="20"/>
        </w:rPr>
        <w:t>Implementing an integrated Human Capital Strategy and the related operational excellence strategies.</w:t>
      </w:r>
    </w:p>
    <w:p w:rsidR="00072165" w:rsidRPr="0085143C" w:rsidRDefault="00072165" w:rsidP="0085143C">
      <w:pPr>
        <w:spacing w:after="0" w:line="240" w:lineRule="auto"/>
        <w:jc w:val="both"/>
        <w:rPr>
          <w:rFonts w:ascii="Arial" w:hAnsi="Arial" w:cs="Arial"/>
          <w:sz w:val="20"/>
          <w:szCs w:val="20"/>
        </w:rPr>
      </w:pPr>
    </w:p>
    <w:p w:rsidR="00072165" w:rsidRPr="0085143C" w:rsidRDefault="00072165" w:rsidP="0085143C">
      <w:pPr>
        <w:spacing w:after="0" w:line="240" w:lineRule="auto"/>
        <w:jc w:val="both"/>
        <w:rPr>
          <w:rFonts w:ascii="Arial" w:hAnsi="Arial" w:cs="Arial"/>
          <w:sz w:val="20"/>
          <w:szCs w:val="20"/>
        </w:rPr>
      </w:pPr>
    </w:p>
    <w:p w:rsidR="00162DCA" w:rsidRPr="0085143C" w:rsidRDefault="00F06F2A" w:rsidP="0085143C">
      <w:pPr>
        <w:spacing w:after="0" w:line="240" w:lineRule="auto"/>
        <w:jc w:val="both"/>
        <w:rPr>
          <w:rFonts w:ascii="Arial" w:hAnsi="Arial" w:cs="Arial"/>
          <w:sz w:val="20"/>
          <w:szCs w:val="20"/>
        </w:rPr>
      </w:pPr>
      <w:r w:rsidRPr="0085143C">
        <w:rPr>
          <w:rFonts w:ascii="Arial" w:hAnsi="Arial" w:cs="Arial"/>
          <w:sz w:val="20"/>
          <w:szCs w:val="20"/>
        </w:rPr>
        <w:t>In 2020</w:t>
      </w:r>
      <w:r w:rsidR="00162DCA" w:rsidRPr="0085143C">
        <w:rPr>
          <w:rFonts w:ascii="Arial" w:hAnsi="Arial" w:cs="Arial"/>
          <w:sz w:val="20"/>
          <w:szCs w:val="20"/>
        </w:rPr>
        <w:t>/2</w:t>
      </w:r>
      <w:r w:rsidRPr="0085143C">
        <w:rPr>
          <w:rFonts w:ascii="Arial" w:hAnsi="Arial" w:cs="Arial"/>
          <w:sz w:val="20"/>
          <w:szCs w:val="20"/>
        </w:rPr>
        <w:t>1</w:t>
      </w:r>
      <w:r w:rsidR="00162DCA" w:rsidRPr="0085143C">
        <w:rPr>
          <w:rFonts w:ascii="Arial" w:hAnsi="Arial" w:cs="Arial"/>
          <w:sz w:val="20"/>
          <w:szCs w:val="20"/>
        </w:rPr>
        <w:t xml:space="preserve">, the CSPS will focus on piloting the implementation plan for the 2016 White Paper on Safety and Security. The White Paper replaced the 1998 White Paper on Safety and Security and provides a comprehensive policy approach to crime prevention. The White Paper is focussed on realising the vision of the NDP and calls for an integrated and holistic approach to safety and security across all government departments and civil society. However, the timeframes for implementation and responsible political authority are uncertain. Currently, the political authority and effective oversight of the White Paper is located within the Presidency with the CSPS providing a coordinating role to </w:t>
      </w:r>
      <w:r w:rsidR="00162DCA" w:rsidRPr="0085143C">
        <w:rPr>
          <w:rFonts w:ascii="Arial" w:hAnsi="Arial" w:cs="Arial"/>
          <w:sz w:val="20"/>
          <w:szCs w:val="20"/>
        </w:rPr>
        <w:lastRenderedPageBreak/>
        <w:t>support implementation and facilitate engagements with civil society and Government on community safety.</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establishment of Community Policing Forums (CPFs) and Community Safety Forums (CSFs) has been a challenge since the adoption of a community policing approach post-1994. But it was only in October 2018, that an official Community Policing Strategy was launched by the SAPS. To date, there are CPFs attached to most police stations countrywide, but the functionality of these forums is questionable.</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eradication of gender based violence (GBV) and femicide was highlighted as a key focus area during both of the 2019 SONA’s. As part of an ongoing effort to address GBV, a Gender Based Violence and Femicide Council will be established and a National Strategic Plan developed to guide Government’s efforts. Another key aspect raised to reduce GBV is the capacitation and equipping the police and court system to support survivors of GBV.</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 xml:space="preserve">The Civilian Secretariat for Police Service (CSPS) is mandated to produce bi-annual reports on the implementation of the Domestic Violence Act, 1998 (Act No 116 of 1998) (“DVA”). Although the CSPS produces these documents, the compliance levels of the SAPS remain very low. </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Medium Term Strategic Framework (MTSF) provides for the Secretariat’s strategic objectives to include the following:</w:t>
      </w:r>
    </w:p>
    <w:p w:rsidR="00162DCA" w:rsidRPr="0085143C" w:rsidRDefault="00162DCA" w:rsidP="0085143C">
      <w:pPr>
        <w:numPr>
          <w:ilvl w:val="0"/>
          <w:numId w:val="1"/>
        </w:numPr>
        <w:spacing w:after="0" w:line="240" w:lineRule="auto"/>
        <w:contextualSpacing/>
        <w:jc w:val="both"/>
        <w:rPr>
          <w:rFonts w:ascii="Arial" w:hAnsi="Arial" w:cs="Arial"/>
          <w:sz w:val="20"/>
          <w:szCs w:val="20"/>
        </w:rPr>
      </w:pPr>
      <w:r w:rsidRPr="0085143C">
        <w:rPr>
          <w:rFonts w:ascii="Arial" w:hAnsi="Arial" w:cs="Arial"/>
          <w:sz w:val="20"/>
          <w:szCs w:val="20"/>
        </w:rPr>
        <w:t>Enhancing stakeholder and community participation in safety and crime prevention;</w:t>
      </w:r>
    </w:p>
    <w:p w:rsidR="00162DCA" w:rsidRPr="0085143C" w:rsidRDefault="00162DCA" w:rsidP="0085143C">
      <w:pPr>
        <w:numPr>
          <w:ilvl w:val="0"/>
          <w:numId w:val="1"/>
        </w:numPr>
        <w:spacing w:after="0" w:line="240" w:lineRule="auto"/>
        <w:contextualSpacing/>
        <w:jc w:val="both"/>
        <w:rPr>
          <w:rFonts w:ascii="Arial" w:hAnsi="Arial" w:cs="Arial"/>
          <w:sz w:val="20"/>
          <w:szCs w:val="20"/>
        </w:rPr>
      </w:pPr>
      <w:r w:rsidRPr="0085143C">
        <w:rPr>
          <w:rFonts w:ascii="Arial" w:hAnsi="Arial" w:cs="Arial"/>
          <w:sz w:val="20"/>
          <w:szCs w:val="20"/>
        </w:rPr>
        <w:t>Developing policies for legislation for the effectiveness of the police service; and</w:t>
      </w:r>
    </w:p>
    <w:p w:rsidR="00162DCA" w:rsidRPr="0085143C" w:rsidRDefault="00162DCA" w:rsidP="0085143C">
      <w:pPr>
        <w:numPr>
          <w:ilvl w:val="0"/>
          <w:numId w:val="1"/>
        </w:numPr>
        <w:spacing w:after="0" w:line="240" w:lineRule="auto"/>
        <w:contextualSpacing/>
        <w:jc w:val="both"/>
        <w:rPr>
          <w:rFonts w:ascii="Arial" w:hAnsi="Arial" w:cs="Arial"/>
          <w:sz w:val="20"/>
          <w:szCs w:val="20"/>
        </w:rPr>
      </w:pPr>
      <w:r w:rsidRPr="0085143C">
        <w:rPr>
          <w:rFonts w:ascii="Arial" w:hAnsi="Arial" w:cs="Arial"/>
          <w:sz w:val="20"/>
          <w:szCs w:val="20"/>
        </w:rPr>
        <w:t xml:space="preserve">Regular monitoring of the implementation of legislation, policies and regulations. </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 xml:space="preserve">The National Development Plan proposes that crime prevention and detection should be carried out through an integrated approach between state and non-state institutions, with active involvement from civil society. The emphasis on community partnerships and citizen participation in the fight against crime is a strategic priority for the Secretariat. </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outputs (strategic objectives) of the CSPS are directly linked to the following Strategic outcome oriented goals (outcomes), as reflected in the CSPS Strategic Plan for 2015-2020:</w:t>
      </w:r>
    </w:p>
    <w:p w:rsidR="00162DCA" w:rsidRPr="0085143C" w:rsidRDefault="00162DCA" w:rsidP="0085143C">
      <w:pPr>
        <w:numPr>
          <w:ilvl w:val="0"/>
          <w:numId w:val="4"/>
        </w:numPr>
        <w:spacing w:after="0" w:line="240" w:lineRule="auto"/>
        <w:contextualSpacing/>
        <w:jc w:val="both"/>
        <w:rPr>
          <w:rFonts w:ascii="Arial" w:hAnsi="Arial" w:cs="Arial"/>
          <w:sz w:val="20"/>
          <w:szCs w:val="20"/>
        </w:rPr>
      </w:pPr>
      <w:r w:rsidRPr="0085143C">
        <w:rPr>
          <w:rFonts w:ascii="Arial" w:hAnsi="Arial" w:cs="Arial"/>
          <w:b/>
          <w:sz w:val="20"/>
          <w:szCs w:val="20"/>
        </w:rPr>
        <w:t>Strategic Goal 1</w:t>
      </w:r>
      <w:r w:rsidRPr="0085143C">
        <w:rPr>
          <w:rFonts w:ascii="Arial" w:hAnsi="Arial" w:cs="Arial"/>
          <w:sz w:val="20"/>
          <w:szCs w:val="20"/>
        </w:rPr>
        <w:t>: A well-advised and supported Minister for a service-delivery oriented police service that is accountable.</w:t>
      </w:r>
    </w:p>
    <w:p w:rsidR="00162DCA" w:rsidRPr="0085143C" w:rsidRDefault="00162DCA" w:rsidP="0085143C">
      <w:pPr>
        <w:numPr>
          <w:ilvl w:val="0"/>
          <w:numId w:val="4"/>
        </w:numPr>
        <w:spacing w:after="0" w:line="240" w:lineRule="auto"/>
        <w:contextualSpacing/>
        <w:jc w:val="both"/>
        <w:rPr>
          <w:rFonts w:ascii="Arial" w:hAnsi="Arial" w:cs="Arial"/>
          <w:sz w:val="20"/>
          <w:szCs w:val="20"/>
        </w:rPr>
      </w:pPr>
      <w:r w:rsidRPr="0085143C">
        <w:rPr>
          <w:rFonts w:ascii="Arial" w:hAnsi="Arial" w:cs="Arial"/>
          <w:b/>
          <w:sz w:val="20"/>
          <w:szCs w:val="20"/>
        </w:rPr>
        <w:t>Strategic Goal 2</w:t>
      </w:r>
      <w:r w:rsidRPr="0085143C">
        <w:rPr>
          <w:rFonts w:ascii="Arial" w:hAnsi="Arial" w:cs="Arial"/>
          <w:sz w:val="20"/>
          <w:szCs w:val="20"/>
        </w:rPr>
        <w:t>: Quality. Timeous evidence-based strategic research, policy advice and legislative support to the Minister.</w:t>
      </w:r>
    </w:p>
    <w:p w:rsidR="00162DCA" w:rsidRPr="0085143C" w:rsidRDefault="00162DCA" w:rsidP="0085143C">
      <w:pPr>
        <w:numPr>
          <w:ilvl w:val="0"/>
          <w:numId w:val="4"/>
        </w:numPr>
        <w:spacing w:after="0" w:line="240" w:lineRule="auto"/>
        <w:contextualSpacing/>
        <w:jc w:val="both"/>
        <w:rPr>
          <w:rFonts w:ascii="Arial" w:hAnsi="Arial" w:cs="Arial"/>
          <w:sz w:val="20"/>
          <w:szCs w:val="20"/>
        </w:rPr>
      </w:pPr>
      <w:r w:rsidRPr="0085143C">
        <w:rPr>
          <w:rFonts w:ascii="Arial" w:hAnsi="Arial" w:cs="Arial"/>
          <w:b/>
          <w:sz w:val="20"/>
          <w:szCs w:val="20"/>
        </w:rPr>
        <w:t>Strategic Goal 3</w:t>
      </w:r>
      <w:r w:rsidRPr="0085143C">
        <w:rPr>
          <w:rFonts w:ascii="Arial" w:hAnsi="Arial" w:cs="Arial"/>
          <w:sz w:val="20"/>
          <w:szCs w:val="20"/>
        </w:rPr>
        <w:t>: Deepened public participation in the fight against crime.</w:t>
      </w:r>
    </w:p>
    <w:p w:rsidR="00162DCA" w:rsidRPr="0085143C" w:rsidRDefault="00162DCA" w:rsidP="0085143C">
      <w:pPr>
        <w:numPr>
          <w:ilvl w:val="0"/>
          <w:numId w:val="4"/>
        </w:numPr>
        <w:spacing w:after="0" w:line="240" w:lineRule="auto"/>
        <w:contextualSpacing/>
        <w:jc w:val="both"/>
        <w:rPr>
          <w:rFonts w:ascii="Arial" w:hAnsi="Arial" w:cs="Arial"/>
          <w:sz w:val="20"/>
          <w:szCs w:val="20"/>
        </w:rPr>
      </w:pPr>
      <w:r w:rsidRPr="0085143C">
        <w:rPr>
          <w:rFonts w:ascii="Arial" w:hAnsi="Arial" w:cs="Arial"/>
          <w:b/>
          <w:sz w:val="20"/>
          <w:szCs w:val="20"/>
        </w:rPr>
        <w:t>Strategic Goal 4</w:t>
      </w:r>
      <w:r w:rsidRPr="0085143C">
        <w:rPr>
          <w:rFonts w:ascii="Arial" w:hAnsi="Arial" w:cs="Arial"/>
          <w:sz w:val="20"/>
          <w:szCs w:val="20"/>
        </w:rPr>
        <w:t>: Enhanced accountability and transformation of the South African Police Service.</w:t>
      </w:r>
    </w:p>
    <w:p w:rsidR="00162DCA" w:rsidRPr="0085143C" w:rsidRDefault="00162DCA" w:rsidP="0085143C">
      <w:pPr>
        <w:spacing w:after="0" w:line="240" w:lineRule="auto"/>
        <w:ind w:left="720"/>
        <w:contextualSpacing/>
        <w:jc w:val="both"/>
        <w:rPr>
          <w:rFonts w:ascii="Arial" w:hAnsi="Arial" w:cs="Arial"/>
          <w:sz w:val="20"/>
          <w:szCs w:val="20"/>
        </w:rPr>
      </w:pPr>
    </w:p>
    <w:p w:rsidR="001651D1" w:rsidRPr="0085143C" w:rsidRDefault="001651D1" w:rsidP="0085143C">
      <w:pPr>
        <w:spacing w:after="0" w:line="240" w:lineRule="auto"/>
        <w:ind w:left="720"/>
        <w:contextualSpacing/>
        <w:jc w:val="both"/>
        <w:rPr>
          <w:rFonts w:ascii="Arial" w:hAnsi="Arial" w:cs="Arial"/>
          <w:sz w:val="20"/>
          <w:szCs w:val="20"/>
        </w:rPr>
      </w:pPr>
    </w:p>
    <w:p w:rsidR="00162DCA" w:rsidRPr="0085143C" w:rsidRDefault="00162DCA" w:rsidP="0085143C">
      <w:pPr>
        <w:pStyle w:val="ListParagraph"/>
        <w:numPr>
          <w:ilvl w:val="0"/>
          <w:numId w:val="1"/>
        </w:numPr>
        <w:spacing w:after="0" w:line="240" w:lineRule="auto"/>
        <w:jc w:val="both"/>
        <w:rPr>
          <w:rFonts w:ascii="Arial" w:hAnsi="Arial" w:cs="Arial"/>
          <w:b/>
          <w:sz w:val="20"/>
          <w:szCs w:val="20"/>
        </w:rPr>
      </w:pPr>
      <w:r w:rsidRPr="0085143C">
        <w:rPr>
          <w:rFonts w:ascii="Arial" w:hAnsi="Arial" w:cs="Arial"/>
          <w:b/>
          <w:sz w:val="20"/>
          <w:szCs w:val="20"/>
        </w:rPr>
        <w:t xml:space="preserve">CSPS BUDGET ANALYSIS </w:t>
      </w:r>
      <w:r w:rsidR="00B92600" w:rsidRPr="0085143C">
        <w:rPr>
          <w:rFonts w:ascii="Arial" w:hAnsi="Arial" w:cs="Arial"/>
          <w:b/>
          <w:sz w:val="20"/>
          <w:szCs w:val="20"/>
        </w:rPr>
        <w:t>AND PERFORMANCE TARGETS FOR 2020</w:t>
      </w:r>
      <w:r w:rsidRPr="0085143C">
        <w:rPr>
          <w:rFonts w:ascii="Arial" w:hAnsi="Arial" w:cs="Arial"/>
          <w:b/>
          <w:sz w:val="20"/>
          <w:szCs w:val="20"/>
        </w:rPr>
        <w:t>/2</w:t>
      </w:r>
      <w:r w:rsidR="00B92600" w:rsidRPr="0085143C">
        <w:rPr>
          <w:rFonts w:ascii="Arial" w:hAnsi="Arial" w:cs="Arial"/>
          <w:b/>
          <w:sz w:val="20"/>
          <w:szCs w:val="20"/>
        </w:rPr>
        <w:t>1</w:t>
      </w:r>
    </w:p>
    <w:p w:rsidR="00162DCA" w:rsidRPr="0085143C" w:rsidRDefault="00162DCA" w:rsidP="0085143C">
      <w:pPr>
        <w:spacing w:after="0" w:line="240" w:lineRule="auto"/>
        <w:jc w:val="both"/>
        <w:rPr>
          <w:rFonts w:ascii="Arial" w:hAnsi="Arial" w:cs="Arial"/>
          <w:b/>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BUDGET ANALYSIS</w:t>
      </w:r>
    </w:p>
    <w:p w:rsidR="00EC4482" w:rsidRPr="0085143C" w:rsidRDefault="00EC4482" w:rsidP="0085143C">
      <w:pPr>
        <w:spacing w:after="0" w:line="240" w:lineRule="auto"/>
        <w:jc w:val="both"/>
        <w:rPr>
          <w:rFonts w:ascii="Arial" w:hAnsi="Arial" w:cs="Arial"/>
          <w:b/>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 xml:space="preserve">4.1. </w:t>
      </w:r>
      <w:r w:rsidR="00EC4482" w:rsidRPr="0085143C">
        <w:rPr>
          <w:rFonts w:ascii="Arial" w:hAnsi="Arial" w:cs="Arial"/>
          <w:b/>
          <w:sz w:val="20"/>
          <w:szCs w:val="20"/>
        </w:rPr>
        <w:t>Overall budget allocation</w:t>
      </w:r>
    </w:p>
    <w:p w:rsidR="00EC4482" w:rsidRPr="0085143C" w:rsidRDefault="00EC4482" w:rsidP="0085143C">
      <w:pPr>
        <w:spacing w:after="0" w:line="240" w:lineRule="auto"/>
        <w:jc w:val="both"/>
        <w:rPr>
          <w:rFonts w:ascii="Arial" w:hAnsi="Arial" w:cs="Arial"/>
          <w:sz w:val="20"/>
          <w:szCs w:val="20"/>
        </w:rPr>
      </w:pPr>
      <w:r w:rsidRPr="0085143C">
        <w:rPr>
          <w:rFonts w:ascii="Arial" w:hAnsi="Arial" w:cs="Arial"/>
          <w:sz w:val="20"/>
          <w:szCs w:val="20"/>
        </w:rPr>
        <w:t>The total Vote allocation to be appropriated by Parliament is categorised into the Main Budget Programmes and economic classification. The economic classification is divided into current payments, transfers and subsidies, payments for capital assets and payments for financial assets.</w:t>
      </w:r>
    </w:p>
    <w:p w:rsidR="00EC4482" w:rsidRPr="0085143C" w:rsidRDefault="00EC4482" w:rsidP="0085143C">
      <w:pPr>
        <w:spacing w:after="0" w:line="240" w:lineRule="auto"/>
        <w:jc w:val="both"/>
        <w:rPr>
          <w:rFonts w:ascii="Arial" w:hAnsi="Arial" w:cs="Arial"/>
          <w:sz w:val="20"/>
          <w:szCs w:val="20"/>
        </w:rPr>
      </w:pPr>
    </w:p>
    <w:p w:rsidR="00EC4482" w:rsidRPr="0085143C" w:rsidRDefault="00EC4482" w:rsidP="0085143C">
      <w:pPr>
        <w:pStyle w:val="ListParagraph"/>
        <w:numPr>
          <w:ilvl w:val="0"/>
          <w:numId w:val="20"/>
        </w:numPr>
        <w:spacing w:after="0" w:line="240" w:lineRule="auto"/>
        <w:jc w:val="both"/>
        <w:rPr>
          <w:rFonts w:ascii="Arial" w:hAnsi="Arial" w:cs="Arial"/>
          <w:sz w:val="20"/>
          <w:szCs w:val="20"/>
        </w:rPr>
      </w:pPr>
      <w:r w:rsidRPr="0085143C">
        <w:rPr>
          <w:rFonts w:ascii="Arial" w:hAnsi="Arial" w:cs="Arial"/>
          <w:sz w:val="20"/>
          <w:szCs w:val="20"/>
        </w:rPr>
        <w:t>Current payments are payments made by the Secretariat for its operational requirements.</w:t>
      </w:r>
    </w:p>
    <w:p w:rsidR="00EC4482" w:rsidRPr="0085143C" w:rsidRDefault="00EC4482" w:rsidP="0085143C">
      <w:pPr>
        <w:pStyle w:val="ListParagraph"/>
        <w:numPr>
          <w:ilvl w:val="0"/>
          <w:numId w:val="20"/>
        </w:numPr>
        <w:spacing w:after="0" w:line="240" w:lineRule="auto"/>
        <w:jc w:val="both"/>
        <w:rPr>
          <w:rFonts w:ascii="Arial" w:hAnsi="Arial" w:cs="Arial"/>
          <w:sz w:val="20"/>
          <w:szCs w:val="20"/>
        </w:rPr>
      </w:pPr>
      <w:r w:rsidRPr="0085143C">
        <w:rPr>
          <w:rFonts w:ascii="Arial" w:hAnsi="Arial" w:cs="Arial"/>
          <w:sz w:val="20"/>
          <w:szCs w:val="20"/>
        </w:rPr>
        <w:t>Transfers and subsidies are payments made by the Secretariat for which it does not directly receive anything in return.</w:t>
      </w:r>
    </w:p>
    <w:p w:rsidR="00EC4482" w:rsidRPr="0085143C" w:rsidRDefault="00EC4482" w:rsidP="0085143C">
      <w:pPr>
        <w:pStyle w:val="ListParagraph"/>
        <w:numPr>
          <w:ilvl w:val="0"/>
          <w:numId w:val="20"/>
        </w:numPr>
        <w:spacing w:after="0" w:line="240" w:lineRule="auto"/>
        <w:jc w:val="both"/>
        <w:rPr>
          <w:rFonts w:ascii="Arial" w:hAnsi="Arial" w:cs="Arial"/>
          <w:sz w:val="20"/>
          <w:szCs w:val="20"/>
        </w:rPr>
      </w:pPr>
      <w:r w:rsidRPr="0085143C">
        <w:rPr>
          <w:rFonts w:ascii="Arial" w:hAnsi="Arial" w:cs="Arial"/>
          <w:sz w:val="20"/>
          <w:szCs w:val="20"/>
        </w:rPr>
        <w:t>Payments for capital assets are payments made by the Secretariat for an asset that can be used for more than one year, and from which future economic benefits or service potential are expected to flow.</w:t>
      </w:r>
    </w:p>
    <w:p w:rsidR="00EC4482" w:rsidRPr="0085143C" w:rsidRDefault="00EC4482" w:rsidP="0085143C">
      <w:pPr>
        <w:spacing w:after="0" w:line="240" w:lineRule="auto"/>
        <w:jc w:val="both"/>
        <w:rPr>
          <w:rFonts w:ascii="Arial" w:hAnsi="Arial" w:cs="Arial"/>
          <w:sz w:val="20"/>
          <w:szCs w:val="20"/>
        </w:rPr>
      </w:pPr>
    </w:p>
    <w:p w:rsidR="00EC4482" w:rsidRPr="0085143C" w:rsidRDefault="00EC4482" w:rsidP="0085143C">
      <w:pPr>
        <w:spacing w:after="0" w:line="240" w:lineRule="auto"/>
        <w:jc w:val="both"/>
        <w:rPr>
          <w:rFonts w:ascii="Arial" w:hAnsi="Arial" w:cs="Arial"/>
          <w:sz w:val="20"/>
          <w:szCs w:val="20"/>
        </w:rPr>
      </w:pPr>
      <w:r w:rsidRPr="0085143C">
        <w:rPr>
          <w:rFonts w:ascii="Arial" w:hAnsi="Arial" w:cs="Arial"/>
          <w:sz w:val="20"/>
          <w:szCs w:val="20"/>
        </w:rPr>
        <w:t xml:space="preserve">The CSPS received a main appropriation of R156.3 million in 2020/21, which is a nominal increase of 9.2% (increase of R13.2 million). Taking inflation into consideration, the Department’s main </w:t>
      </w:r>
      <w:r w:rsidRPr="0085143C">
        <w:rPr>
          <w:rFonts w:ascii="Arial" w:hAnsi="Arial" w:cs="Arial"/>
          <w:sz w:val="20"/>
          <w:szCs w:val="20"/>
        </w:rPr>
        <w:lastRenderedPageBreak/>
        <w:t xml:space="preserve">appropriation increased by 4.62% in 2020/21 when compared to the previous financial year. The table below shows that 98.7% of the Department’s budget is for </w:t>
      </w:r>
    </w:p>
    <w:p w:rsidR="00EC4482" w:rsidRPr="0085143C" w:rsidRDefault="00EC4482" w:rsidP="0085143C">
      <w:pPr>
        <w:spacing w:after="0" w:line="240" w:lineRule="auto"/>
        <w:jc w:val="both"/>
        <w:rPr>
          <w:rFonts w:ascii="Arial" w:hAnsi="Arial" w:cs="Arial"/>
          <w:sz w:val="20"/>
          <w:szCs w:val="20"/>
        </w:rPr>
      </w:pPr>
      <w:r w:rsidRPr="0085143C">
        <w:rPr>
          <w:rFonts w:ascii="Arial" w:hAnsi="Arial" w:cs="Arial"/>
          <w:sz w:val="20"/>
          <w:szCs w:val="20"/>
        </w:rPr>
        <w:t>Current payments, of which 72.5% is for Compensation of employees (R112.0 million). The remaining funds (R42.2 million) are appropriated for Goods and services.</w:t>
      </w:r>
    </w:p>
    <w:p w:rsidR="00EC4482" w:rsidRPr="0085143C" w:rsidRDefault="00EC4482" w:rsidP="0085143C">
      <w:pPr>
        <w:spacing w:after="0" w:line="240" w:lineRule="auto"/>
        <w:jc w:val="both"/>
        <w:rPr>
          <w:rFonts w:ascii="Arial" w:hAnsi="Arial" w:cs="Arial"/>
          <w:sz w:val="20"/>
          <w:szCs w:val="20"/>
        </w:rPr>
      </w:pPr>
    </w:p>
    <w:p w:rsidR="0035784C" w:rsidRPr="0085143C" w:rsidRDefault="00EC4482" w:rsidP="0085143C">
      <w:pPr>
        <w:spacing w:after="0" w:line="240" w:lineRule="auto"/>
        <w:jc w:val="both"/>
        <w:rPr>
          <w:rFonts w:ascii="Arial" w:hAnsi="Arial" w:cs="Arial"/>
          <w:sz w:val="20"/>
          <w:szCs w:val="20"/>
        </w:rPr>
      </w:pPr>
      <w:r w:rsidRPr="0085143C">
        <w:rPr>
          <w:rFonts w:ascii="Arial" w:hAnsi="Arial" w:cs="Arial"/>
          <w:sz w:val="20"/>
          <w:szCs w:val="20"/>
        </w:rPr>
        <w:t>In 2020/21, R200 thousand (0.2% of the total budget) is appropriated to Transfers and subsidies, which is made to the Safety and Security Sector Education and Training Authority (SASSETA). Payments for capital assets received R1.8 million in 2020/21, of which the majority is for Machinery and equipment.</w:t>
      </w:r>
    </w:p>
    <w:p w:rsidR="0035784C" w:rsidRPr="0085143C" w:rsidRDefault="0035784C" w:rsidP="0085143C">
      <w:pPr>
        <w:spacing w:after="0" w:line="240" w:lineRule="auto"/>
        <w:jc w:val="both"/>
        <w:rPr>
          <w:rFonts w:ascii="Arial" w:hAnsi="Arial" w:cs="Arial"/>
          <w:sz w:val="20"/>
          <w:szCs w:val="20"/>
        </w:rPr>
      </w:pPr>
    </w:p>
    <w:p w:rsidR="00EC4482" w:rsidRPr="0085143C" w:rsidRDefault="0035784C" w:rsidP="0085143C">
      <w:pPr>
        <w:spacing w:after="0" w:line="240" w:lineRule="auto"/>
        <w:jc w:val="both"/>
        <w:rPr>
          <w:rFonts w:ascii="Arial" w:hAnsi="Arial" w:cs="Arial"/>
          <w:b/>
          <w:sz w:val="20"/>
          <w:szCs w:val="20"/>
        </w:rPr>
      </w:pPr>
      <w:r w:rsidRPr="0085143C">
        <w:rPr>
          <w:rFonts w:ascii="Arial" w:hAnsi="Arial" w:cs="Arial"/>
          <w:b/>
          <w:sz w:val="20"/>
          <w:szCs w:val="20"/>
        </w:rPr>
        <w:t>Table 1: CSPS 2020/21 Budget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992"/>
        <w:gridCol w:w="1276"/>
        <w:gridCol w:w="1417"/>
        <w:gridCol w:w="1418"/>
        <w:gridCol w:w="1134"/>
        <w:gridCol w:w="1134"/>
      </w:tblGrid>
      <w:tr w:rsidR="0035784C" w:rsidRPr="0085143C" w:rsidTr="0035784C">
        <w:trPr>
          <w:trHeight w:val="386"/>
        </w:trPr>
        <w:tc>
          <w:tcPr>
            <w:tcW w:w="1663" w:type="dxa"/>
          </w:tcPr>
          <w:p w:rsidR="0035784C" w:rsidRPr="0085143C" w:rsidRDefault="0035784C" w:rsidP="0085143C">
            <w:pPr>
              <w:pStyle w:val="Default"/>
              <w:rPr>
                <w:sz w:val="20"/>
                <w:szCs w:val="20"/>
              </w:rPr>
            </w:pPr>
            <w:r w:rsidRPr="0085143C">
              <w:rPr>
                <w:sz w:val="20"/>
                <w:szCs w:val="20"/>
              </w:rPr>
              <w:t xml:space="preserve">R million </w:t>
            </w:r>
          </w:p>
        </w:tc>
        <w:tc>
          <w:tcPr>
            <w:tcW w:w="5103" w:type="dxa"/>
            <w:gridSpan w:val="4"/>
          </w:tcPr>
          <w:p w:rsidR="0035784C" w:rsidRPr="0085143C" w:rsidRDefault="0035784C" w:rsidP="0085143C">
            <w:pPr>
              <w:pStyle w:val="Default"/>
              <w:jc w:val="center"/>
              <w:rPr>
                <w:sz w:val="20"/>
                <w:szCs w:val="20"/>
              </w:rPr>
            </w:pPr>
            <w:r w:rsidRPr="0085143C">
              <w:rPr>
                <w:b/>
                <w:bCs/>
                <w:sz w:val="20"/>
                <w:szCs w:val="20"/>
              </w:rPr>
              <w:t>2020/21</w:t>
            </w:r>
          </w:p>
        </w:tc>
        <w:tc>
          <w:tcPr>
            <w:tcW w:w="1134" w:type="dxa"/>
          </w:tcPr>
          <w:p w:rsidR="0035784C" w:rsidRPr="0085143C" w:rsidRDefault="0035784C" w:rsidP="0085143C">
            <w:pPr>
              <w:pStyle w:val="Default"/>
              <w:rPr>
                <w:b/>
                <w:sz w:val="20"/>
                <w:szCs w:val="20"/>
              </w:rPr>
            </w:pPr>
            <w:r w:rsidRPr="0085143C">
              <w:rPr>
                <w:b/>
                <w:sz w:val="20"/>
                <w:szCs w:val="20"/>
              </w:rPr>
              <w:t>2021/22</w:t>
            </w:r>
          </w:p>
        </w:tc>
        <w:tc>
          <w:tcPr>
            <w:tcW w:w="1134" w:type="dxa"/>
          </w:tcPr>
          <w:p w:rsidR="0035784C" w:rsidRPr="0085143C" w:rsidRDefault="0035784C" w:rsidP="0085143C">
            <w:pPr>
              <w:pStyle w:val="Default"/>
              <w:rPr>
                <w:sz w:val="20"/>
                <w:szCs w:val="20"/>
              </w:rPr>
            </w:pPr>
            <w:r w:rsidRPr="0085143C">
              <w:rPr>
                <w:b/>
                <w:bCs/>
                <w:sz w:val="20"/>
                <w:szCs w:val="20"/>
              </w:rPr>
              <w:t>2022/23</w:t>
            </w:r>
          </w:p>
        </w:tc>
      </w:tr>
      <w:tr w:rsidR="0035784C" w:rsidRPr="0085143C" w:rsidTr="0035784C">
        <w:trPr>
          <w:trHeight w:val="233"/>
        </w:trPr>
        <w:tc>
          <w:tcPr>
            <w:tcW w:w="1663" w:type="dxa"/>
          </w:tcPr>
          <w:p w:rsidR="0035784C" w:rsidRPr="0085143C" w:rsidRDefault="0035784C" w:rsidP="0085143C">
            <w:pPr>
              <w:pStyle w:val="Default"/>
              <w:rPr>
                <w:sz w:val="20"/>
                <w:szCs w:val="20"/>
              </w:rPr>
            </w:pPr>
          </w:p>
        </w:tc>
        <w:tc>
          <w:tcPr>
            <w:tcW w:w="992" w:type="dxa"/>
          </w:tcPr>
          <w:p w:rsidR="0035784C" w:rsidRPr="0085143C" w:rsidRDefault="0035784C" w:rsidP="0085143C">
            <w:pPr>
              <w:pStyle w:val="Default"/>
              <w:rPr>
                <w:b/>
                <w:sz w:val="20"/>
                <w:szCs w:val="20"/>
              </w:rPr>
            </w:pPr>
            <w:r w:rsidRPr="0085143C">
              <w:rPr>
                <w:b/>
                <w:sz w:val="20"/>
                <w:szCs w:val="20"/>
              </w:rPr>
              <w:t>Total</w:t>
            </w:r>
          </w:p>
        </w:tc>
        <w:tc>
          <w:tcPr>
            <w:tcW w:w="1276" w:type="dxa"/>
          </w:tcPr>
          <w:p w:rsidR="0035784C" w:rsidRPr="0085143C" w:rsidRDefault="0035784C" w:rsidP="0085143C">
            <w:pPr>
              <w:pStyle w:val="Default"/>
              <w:rPr>
                <w:sz w:val="20"/>
                <w:szCs w:val="20"/>
              </w:rPr>
            </w:pPr>
            <w:r w:rsidRPr="0085143C">
              <w:rPr>
                <w:b/>
                <w:bCs/>
                <w:sz w:val="20"/>
                <w:szCs w:val="20"/>
              </w:rPr>
              <w:t xml:space="preserve">Current payments </w:t>
            </w:r>
          </w:p>
        </w:tc>
        <w:tc>
          <w:tcPr>
            <w:tcW w:w="1417" w:type="dxa"/>
          </w:tcPr>
          <w:p w:rsidR="0035784C" w:rsidRPr="0085143C" w:rsidRDefault="0035784C" w:rsidP="0085143C">
            <w:pPr>
              <w:pStyle w:val="Default"/>
              <w:rPr>
                <w:sz w:val="20"/>
                <w:szCs w:val="20"/>
              </w:rPr>
            </w:pPr>
            <w:r w:rsidRPr="0085143C">
              <w:rPr>
                <w:b/>
                <w:bCs/>
                <w:sz w:val="20"/>
                <w:szCs w:val="20"/>
              </w:rPr>
              <w:t xml:space="preserve">Transfers and subsidies </w:t>
            </w:r>
          </w:p>
        </w:tc>
        <w:tc>
          <w:tcPr>
            <w:tcW w:w="1418" w:type="dxa"/>
          </w:tcPr>
          <w:p w:rsidR="0035784C" w:rsidRPr="0085143C" w:rsidRDefault="0035784C" w:rsidP="0085143C">
            <w:pPr>
              <w:pStyle w:val="Default"/>
              <w:rPr>
                <w:sz w:val="20"/>
                <w:szCs w:val="20"/>
              </w:rPr>
            </w:pPr>
            <w:r w:rsidRPr="0085143C">
              <w:rPr>
                <w:b/>
                <w:bCs/>
                <w:sz w:val="20"/>
                <w:szCs w:val="20"/>
              </w:rPr>
              <w:t xml:space="preserve">Payments for capital assets </w:t>
            </w:r>
          </w:p>
        </w:tc>
        <w:tc>
          <w:tcPr>
            <w:tcW w:w="1134" w:type="dxa"/>
          </w:tcPr>
          <w:p w:rsidR="0035784C" w:rsidRPr="0085143C" w:rsidRDefault="0035784C" w:rsidP="0085143C">
            <w:pPr>
              <w:pStyle w:val="Default"/>
              <w:rPr>
                <w:sz w:val="20"/>
                <w:szCs w:val="20"/>
              </w:rPr>
            </w:pPr>
            <w:r w:rsidRPr="0085143C">
              <w:rPr>
                <w:sz w:val="20"/>
                <w:szCs w:val="20"/>
              </w:rPr>
              <w:t xml:space="preserve">Total </w:t>
            </w:r>
          </w:p>
        </w:tc>
        <w:tc>
          <w:tcPr>
            <w:tcW w:w="1134" w:type="dxa"/>
          </w:tcPr>
          <w:p w:rsidR="0035784C" w:rsidRPr="0085143C" w:rsidRDefault="0035784C" w:rsidP="0085143C">
            <w:pPr>
              <w:pStyle w:val="Default"/>
              <w:rPr>
                <w:sz w:val="20"/>
                <w:szCs w:val="20"/>
              </w:rPr>
            </w:pPr>
            <w:r w:rsidRPr="0085143C">
              <w:rPr>
                <w:sz w:val="20"/>
                <w:szCs w:val="20"/>
              </w:rPr>
              <w:t xml:space="preserve">Total </w:t>
            </w:r>
          </w:p>
        </w:tc>
      </w:tr>
      <w:tr w:rsidR="0035784C" w:rsidRPr="0085143C" w:rsidTr="0035784C">
        <w:trPr>
          <w:trHeight w:val="93"/>
        </w:trPr>
        <w:tc>
          <w:tcPr>
            <w:tcW w:w="9034" w:type="dxa"/>
            <w:gridSpan w:val="7"/>
          </w:tcPr>
          <w:p w:rsidR="0035784C" w:rsidRPr="0085143C" w:rsidRDefault="0035784C" w:rsidP="0085143C">
            <w:pPr>
              <w:pStyle w:val="Default"/>
              <w:rPr>
                <w:sz w:val="20"/>
                <w:szCs w:val="20"/>
              </w:rPr>
            </w:pPr>
            <w:r w:rsidRPr="0085143C">
              <w:rPr>
                <w:b/>
                <w:bCs/>
                <w:sz w:val="20"/>
                <w:szCs w:val="20"/>
              </w:rPr>
              <w:t xml:space="preserve">MTEF allocation </w:t>
            </w:r>
          </w:p>
        </w:tc>
      </w:tr>
      <w:tr w:rsidR="0035784C" w:rsidRPr="0085143C" w:rsidTr="0035784C">
        <w:trPr>
          <w:trHeight w:val="93"/>
        </w:trPr>
        <w:tc>
          <w:tcPr>
            <w:tcW w:w="1663" w:type="dxa"/>
          </w:tcPr>
          <w:p w:rsidR="0035784C" w:rsidRPr="0085143C" w:rsidRDefault="0035784C" w:rsidP="0085143C">
            <w:pPr>
              <w:pStyle w:val="Default"/>
              <w:rPr>
                <w:sz w:val="20"/>
                <w:szCs w:val="20"/>
              </w:rPr>
            </w:pPr>
            <w:r w:rsidRPr="0085143C">
              <w:rPr>
                <w:sz w:val="20"/>
                <w:szCs w:val="20"/>
              </w:rPr>
              <w:t xml:space="preserve">Administration </w:t>
            </w:r>
          </w:p>
        </w:tc>
        <w:tc>
          <w:tcPr>
            <w:tcW w:w="992" w:type="dxa"/>
          </w:tcPr>
          <w:p w:rsidR="0035784C" w:rsidRPr="0085143C" w:rsidRDefault="0035784C" w:rsidP="0085143C">
            <w:pPr>
              <w:pStyle w:val="Default"/>
              <w:jc w:val="center"/>
              <w:rPr>
                <w:sz w:val="20"/>
                <w:szCs w:val="20"/>
              </w:rPr>
            </w:pPr>
            <w:r w:rsidRPr="0085143C">
              <w:rPr>
                <w:sz w:val="20"/>
                <w:szCs w:val="20"/>
              </w:rPr>
              <w:t>69.4</w:t>
            </w:r>
          </w:p>
        </w:tc>
        <w:tc>
          <w:tcPr>
            <w:tcW w:w="1276" w:type="dxa"/>
          </w:tcPr>
          <w:p w:rsidR="0035784C" w:rsidRPr="0085143C" w:rsidRDefault="0035784C" w:rsidP="0085143C">
            <w:pPr>
              <w:pStyle w:val="Default"/>
              <w:jc w:val="center"/>
              <w:rPr>
                <w:sz w:val="20"/>
                <w:szCs w:val="20"/>
              </w:rPr>
            </w:pPr>
            <w:r w:rsidRPr="0085143C">
              <w:rPr>
                <w:sz w:val="20"/>
                <w:szCs w:val="20"/>
              </w:rPr>
              <w:t>68.4</w:t>
            </w:r>
          </w:p>
        </w:tc>
        <w:tc>
          <w:tcPr>
            <w:tcW w:w="1417" w:type="dxa"/>
          </w:tcPr>
          <w:p w:rsidR="0035784C" w:rsidRPr="0085143C" w:rsidRDefault="0035784C" w:rsidP="0085143C">
            <w:pPr>
              <w:pStyle w:val="Default"/>
              <w:jc w:val="center"/>
              <w:rPr>
                <w:sz w:val="20"/>
                <w:szCs w:val="20"/>
              </w:rPr>
            </w:pPr>
            <w:r w:rsidRPr="0085143C">
              <w:rPr>
                <w:sz w:val="20"/>
                <w:szCs w:val="20"/>
              </w:rPr>
              <w:t>0.2</w:t>
            </w:r>
          </w:p>
        </w:tc>
        <w:tc>
          <w:tcPr>
            <w:tcW w:w="1418" w:type="dxa"/>
          </w:tcPr>
          <w:p w:rsidR="0035784C" w:rsidRPr="0085143C" w:rsidRDefault="0035784C" w:rsidP="0085143C">
            <w:pPr>
              <w:pStyle w:val="Default"/>
              <w:jc w:val="center"/>
              <w:rPr>
                <w:sz w:val="20"/>
                <w:szCs w:val="20"/>
              </w:rPr>
            </w:pPr>
            <w:r w:rsidRPr="0085143C">
              <w:rPr>
                <w:sz w:val="20"/>
                <w:szCs w:val="20"/>
              </w:rPr>
              <w:t>0.8</w:t>
            </w:r>
          </w:p>
        </w:tc>
        <w:tc>
          <w:tcPr>
            <w:tcW w:w="1134" w:type="dxa"/>
          </w:tcPr>
          <w:p w:rsidR="0035784C" w:rsidRPr="0085143C" w:rsidRDefault="0035784C" w:rsidP="0085143C">
            <w:pPr>
              <w:pStyle w:val="Default"/>
              <w:jc w:val="center"/>
              <w:rPr>
                <w:sz w:val="20"/>
                <w:szCs w:val="20"/>
              </w:rPr>
            </w:pPr>
            <w:r w:rsidRPr="0085143C">
              <w:rPr>
                <w:sz w:val="20"/>
                <w:szCs w:val="20"/>
              </w:rPr>
              <w:t>74.0</w:t>
            </w:r>
          </w:p>
        </w:tc>
        <w:tc>
          <w:tcPr>
            <w:tcW w:w="1134" w:type="dxa"/>
          </w:tcPr>
          <w:p w:rsidR="0035784C" w:rsidRPr="0085143C" w:rsidRDefault="0035784C" w:rsidP="0085143C">
            <w:pPr>
              <w:pStyle w:val="Default"/>
              <w:jc w:val="center"/>
              <w:rPr>
                <w:sz w:val="20"/>
                <w:szCs w:val="20"/>
              </w:rPr>
            </w:pPr>
            <w:r w:rsidRPr="0085143C">
              <w:rPr>
                <w:sz w:val="20"/>
                <w:szCs w:val="20"/>
              </w:rPr>
              <w:t>77.2</w:t>
            </w:r>
          </w:p>
        </w:tc>
      </w:tr>
      <w:tr w:rsidR="0035784C" w:rsidRPr="0085143C" w:rsidTr="0035784C">
        <w:trPr>
          <w:trHeight w:val="232"/>
        </w:trPr>
        <w:tc>
          <w:tcPr>
            <w:tcW w:w="1663" w:type="dxa"/>
          </w:tcPr>
          <w:p w:rsidR="0035784C" w:rsidRPr="0085143C" w:rsidRDefault="0035784C" w:rsidP="0085143C">
            <w:pPr>
              <w:pStyle w:val="Default"/>
              <w:rPr>
                <w:sz w:val="20"/>
                <w:szCs w:val="20"/>
              </w:rPr>
            </w:pPr>
            <w:r w:rsidRPr="0085143C">
              <w:rPr>
                <w:sz w:val="20"/>
                <w:szCs w:val="20"/>
              </w:rPr>
              <w:t xml:space="preserve">Intersectoral Coordination and Strategic Partnerships </w:t>
            </w:r>
          </w:p>
        </w:tc>
        <w:tc>
          <w:tcPr>
            <w:tcW w:w="992" w:type="dxa"/>
          </w:tcPr>
          <w:p w:rsidR="0035784C" w:rsidRPr="0085143C" w:rsidRDefault="0035784C" w:rsidP="0085143C">
            <w:pPr>
              <w:pStyle w:val="Default"/>
              <w:jc w:val="center"/>
              <w:rPr>
                <w:sz w:val="20"/>
                <w:szCs w:val="20"/>
              </w:rPr>
            </w:pPr>
            <w:r w:rsidRPr="0085143C">
              <w:rPr>
                <w:sz w:val="20"/>
                <w:szCs w:val="20"/>
              </w:rPr>
              <w:t>26.7</w:t>
            </w:r>
          </w:p>
        </w:tc>
        <w:tc>
          <w:tcPr>
            <w:tcW w:w="1276" w:type="dxa"/>
          </w:tcPr>
          <w:p w:rsidR="0035784C" w:rsidRPr="0085143C" w:rsidRDefault="0035784C" w:rsidP="0085143C">
            <w:pPr>
              <w:pStyle w:val="Default"/>
              <w:jc w:val="center"/>
              <w:rPr>
                <w:sz w:val="20"/>
                <w:szCs w:val="20"/>
              </w:rPr>
            </w:pPr>
            <w:r w:rsidRPr="0085143C">
              <w:rPr>
                <w:sz w:val="20"/>
                <w:szCs w:val="20"/>
              </w:rPr>
              <w:t>26.4</w:t>
            </w:r>
          </w:p>
        </w:tc>
        <w:tc>
          <w:tcPr>
            <w:tcW w:w="1417" w:type="dxa"/>
          </w:tcPr>
          <w:p w:rsidR="0035784C" w:rsidRPr="0085143C" w:rsidRDefault="0035784C" w:rsidP="0085143C">
            <w:pPr>
              <w:pStyle w:val="Default"/>
              <w:jc w:val="center"/>
              <w:rPr>
                <w:sz w:val="20"/>
                <w:szCs w:val="20"/>
              </w:rPr>
            </w:pPr>
            <w:r w:rsidRPr="0085143C">
              <w:rPr>
                <w:sz w:val="20"/>
                <w:szCs w:val="20"/>
              </w:rPr>
              <w:t>–</w:t>
            </w:r>
          </w:p>
        </w:tc>
        <w:tc>
          <w:tcPr>
            <w:tcW w:w="1418" w:type="dxa"/>
          </w:tcPr>
          <w:p w:rsidR="0035784C" w:rsidRPr="0085143C" w:rsidRDefault="0035784C" w:rsidP="0085143C">
            <w:pPr>
              <w:pStyle w:val="Default"/>
              <w:jc w:val="center"/>
              <w:rPr>
                <w:sz w:val="20"/>
                <w:szCs w:val="20"/>
              </w:rPr>
            </w:pPr>
            <w:r w:rsidRPr="0085143C">
              <w:rPr>
                <w:sz w:val="20"/>
                <w:szCs w:val="20"/>
              </w:rPr>
              <w:t>0.3</w:t>
            </w:r>
          </w:p>
        </w:tc>
        <w:tc>
          <w:tcPr>
            <w:tcW w:w="1134" w:type="dxa"/>
          </w:tcPr>
          <w:p w:rsidR="0035784C" w:rsidRPr="0085143C" w:rsidRDefault="0035784C" w:rsidP="0085143C">
            <w:pPr>
              <w:pStyle w:val="Default"/>
              <w:jc w:val="center"/>
              <w:rPr>
                <w:sz w:val="20"/>
                <w:szCs w:val="20"/>
              </w:rPr>
            </w:pPr>
            <w:r w:rsidRPr="0085143C">
              <w:rPr>
                <w:sz w:val="20"/>
                <w:szCs w:val="20"/>
              </w:rPr>
              <w:t>28.4</w:t>
            </w:r>
          </w:p>
        </w:tc>
        <w:tc>
          <w:tcPr>
            <w:tcW w:w="1134" w:type="dxa"/>
          </w:tcPr>
          <w:p w:rsidR="0035784C" w:rsidRPr="0085143C" w:rsidRDefault="0035784C" w:rsidP="0085143C">
            <w:pPr>
              <w:pStyle w:val="Default"/>
              <w:jc w:val="center"/>
              <w:rPr>
                <w:sz w:val="20"/>
                <w:szCs w:val="20"/>
              </w:rPr>
            </w:pPr>
            <w:r w:rsidRPr="0085143C">
              <w:rPr>
                <w:sz w:val="20"/>
                <w:szCs w:val="20"/>
              </w:rPr>
              <w:t>29.9</w:t>
            </w:r>
          </w:p>
        </w:tc>
      </w:tr>
      <w:tr w:rsidR="0035784C" w:rsidRPr="0085143C" w:rsidTr="0035784C">
        <w:trPr>
          <w:trHeight w:val="93"/>
        </w:trPr>
        <w:tc>
          <w:tcPr>
            <w:tcW w:w="1663" w:type="dxa"/>
          </w:tcPr>
          <w:p w:rsidR="0035784C" w:rsidRPr="0085143C" w:rsidRDefault="0035784C" w:rsidP="0085143C">
            <w:pPr>
              <w:pStyle w:val="Default"/>
              <w:rPr>
                <w:sz w:val="20"/>
                <w:szCs w:val="20"/>
              </w:rPr>
            </w:pPr>
            <w:r w:rsidRPr="0085143C">
              <w:rPr>
                <w:sz w:val="20"/>
                <w:szCs w:val="20"/>
              </w:rPr>
              <w:t xml:space="preserve">Legislation and Policy Development </w:t>
            </w:r>
          </w:p>
        </w:tc>
        <w:tc>
          <w:tcPr>
            <w:tcW w:w="992" w:type="dxa"/>
          </w:tcPr>
          <w:p w:rsidR="0035784C" w:rsidRPr="0085143C" w:rsidRDefault="0035784C" w:rsidP="0085143C">
            <w:pPr>
              <w:pStyle w:val="Default"/>
              <w:jc w:val="center"/>
              <w:rPr>
                <w:sz w:val="20"/>
                <w:szCs w:val="20"/>
              </w:rPr>
            </w:pPr>
            <w:r w:rsidRPr="0085143C">
              <w:rPr>
                <w:sz w:val="20"/>
                <w:szCs w:val="20"/>
              </w:rPr>
              <w:t>24.8</w:t>
            </w:r>
          </w:p>
        </w:tc>
        <w:tc>
          <w:tcPr>
            <w:tcW w:w="1276" w:type="dxa"/>
          </w:tcPr>
          <w:p w:rsidR="0035784C" w:rsidRPr="0085143C" w:rsidRDefault="0035784C" w:rsidP="0085143C">
            <w:pPr>
              <w:pStyle w:val="Default"/>
              <w:jc w:val="center"/>
              <w:rPr>
                <w:sz w:val="20"/>
                <w:szCs w:val="20"/>
              </w:rPr>
            </w:pPr>
            <w:r w:rsidRPr="0085143C">
              <w:rPr>
                <w:sz w:val="20"/>
                <w:szCs w:val="20"/>
              </w:rPr>
              <w:t>24.5</w:t>
            </w:r>
          </w:p>
        </w:tc>
        <w:tc>
          <w:tcPr>
            <w:tcW w:w="1417" w:type="dxa"/>
          </w:tcPr>
          <w:p w:rsidR="0035784C" w:rsidRPr="0085143C" w:rsidRDefault="0035784C" w:rsidP="0085143C">
            <w:pPr>
              <w:pStyle w:val="Default"/>
              <w:jc w:val="center"/>
              <w:rPr>
                <w:sz w:val="20"/>
                <w:szCs w:val="20"/>
              </w:rPr>
            </w:pPr>
            <w:r w:rsidRPr="0085143C">
              <w:rPr>
                <w:sz w:val="20"/>
                <w:szCs w:val="20"/>
              </w:rPr>
              <w:t>–</w:t>
            </w:r>
          </w:p>
        </w:tc>
        <w:tc>
          <w:tcPr>
            <w:tcW w:w="1418" w:type="dxa"/>
          </w:tcPr>
          <w:p w:rsidR="0035784C" w:rsidRPr="0085143C" w:rsidRDefault="0035784C" w:rsidP="0085143C">
            <w:pPr>
              <w:pStyle w:val="Default"/>
              <w:jc w:val="center"/>
              <w:rPr>
                <w:sz w:val="20"/>
                <w:szCs w:val="20"/>
              </w:rPr>
            </w:pPr>
            <w:r w:rsidRPr="0085143C">
              <w:rPr>
                <w:sz w:val="20"/>
                <w:szCs w:val="20"/>
              </w:rPr>
              <w:t>0.3</w:t>
            </w:r>
          </w:p>
        </w:tc>
        <w:tc>
          <w:tcPr>
            <w:tcW w:w="1134" w:type="dxa"/>
          </w:tcPr>
          <w:p w:rsidR="0035784C" w:rsidRPr="0085143C" w:rsidRDefault="0035784C" w:rsidP="0085143C">
            <w:pPr>
              <w:pStyle w:val="Default"/>
              <w:jc w:val="center"/>
              <w:rPr>
                <w:sz w:val="20"/>
                <w:szCs w:val="20"/>
              </w:rPr>
            </w:pPr>
            <w:r w:rsidRPr="0085143C">
              <w:rPr>
                <w:sz w:val="20"/>
                <w:szCs w:val="20"/>
              </w:rPr>
              <w:t>26.4</w:t>
            </w:r>
          </w:p>
        </w:tc>
        <w:tc>
          <w:tcPr>
            <w:tcW w:w="1134" w:type="dxa"/>
          </w:tcPr>
          <w:p w:rsidR="0035784C" w:rsidRPr="0085143C" w:rsidRDefault="0035784C" w:rsidP="0085143C">
            <w:pPr>
              <w:pStyle w:val="Default"/>
              <w:jc w:val="center"/>
              <w:rPr>
                <w:sz w:val="20"/>
                <w:szCs w:val="20"/>
              </w:rPr>
            </w:pPr>
            <w:r w:rsidRPr="0085143C">
              <w:rPr>
                <w:sz w:val="20"/>
                <w:szCs w:val="20"/>
              </w:rPr>
              <w:t>26.5</w:t>
            </w:r>
          </w:p>
        </w:tc>
      </w:tr>
      <w:tr w:rsidR="0035784C" w:rsidRPr="0085143C" w:rsidTr="0035784C">
        <w:trPr>
          <w:trHeight w:val="233"/>
        </w:trPr>
        <w:tc>
          <w:tcPr>
            <w:tcW w:w="1663" w:type="dxa"/>
          </w:tcPr>
          <w:p w:rsidR="0035784C" w:rsidRPr="0085143C" w:rsidRDefault="0035784C" w:rsidP="0085143C">
            <w:pPr>
              <w:pStyle w:val="Default"/>
              <w:rPr>
                <w:sz w:val="20"/>
                <w:szCs w:val="20"/>
              </w:rPr>
            </w:pPr>
            <w:r w:rsidRPr="0085143C">
              <w:rPr>
                <w:sz w:val="20"/>
                <w:szCs w:val="20"/>
              </w:rPr>
              <w:t xml:space="preserve">Civilian Oversight, Monitoring and Evaluations </w:t>
            </w:r>
          </w:p>
        </w:tc>
        <w:tc>
          <w:tcPr>
            <w:tcW w:w="992" w:type="dxa"/>
          </w:tcPr>
          <w:p w:rsidR="0035784C" w:rsidRPr="0085143C" w:rsidRDefault="0035784C" w:rsidP="0085143C">
            <w:pPr>
              <w:pStyle w:val="Default"/>
              <w:jc w:val="center"/>
              <w:rPr>
                <w:sz w:val="20"/>
                <w:szCs w:val="20"/>
              </w:rPr>
            </w:pPr>
            <w:r w:rsidRPr="0085143C">
              <w:rPr>
                <w:sz w:val="20"/>
                <w:szCs w:val="20"/>
              </w:rPr>
              <w:t>35.4</w:t>
            </w:r>
          </w:p>
        </w:tc>
        <w:tc>
          <w:tcPr>
            <w:tcW w:w="1276" w:type="dxa"/>
          </w:tcPr>
          <w:p w:rsidR="0035784C" w:rsidRPr="0085143C" w:rsidRDefault="0035784C" w:rsidP="0085143C">
            <w:pPr>
              <w:pStyle w:val="Default"/>
              <w:jc w:val="center"/>
              <w:rPr>
                <w:sz w:val="20"/>
                <w:szCs w:val="20"/>
              </w:rPr>
            </w:pPr>
            <w:r w:rsidRPr="0085143C">
              <w:rPr>
                <w:sz w:val="20"/>
                <w:szCs w:val="20"/>
              </w:rPr>
              <w:t>34.9</w:t>
            </w:r>
          </w:p>
        </w:tc>
        <w:tc>
          <w:tcPr>
            <w:tcW w:w="1417" w:type="dxa"/>
          </w:tcPr>
          <w:p w:rsidR="0035784C" w:rsidRPr="0085143C" w:rsidRDefault="0035784C" w:rsidP="0085143C">
            <w:pPr>
              <w:pStyle w:val="Default"/>
              <w:jc w:val="center"/>
              <w:rPr>
                <w:sz w:val="20"/>
                <w:szCs w:val="20"/>
              </w:rPr>
            </w:pPr>
            <w:r w:rsidRPr="0085143C">
              <w:rPr>
                <w:sz w:val="20"/>
                <w:szCs w:val="20"/>
              </w:rPr>
              <w:t>–</w:t>
            </w:r>
          </w:p>
        </w:tc>
        <w:tc>
          <w:tcPr>
            <w:tcW w:w="1418" w:type="dxa"/>
          </w:tcPr>
          <w:p w:rsidR="0035784C" w:rsidRPr="0085143C" w:rsidRDefault="0035784C" w:rsidP="0085143C">
            <w:pPr>
              <w:pStyle w:val="Default"/>
              <w:jc w:val="center"/>
              <w:rPr>
                <w:sz w:val="20"/>
                <w:szCs w:val="20"/>
              </w:rPr>
            </w:pPr>
            <w:r w:rsidRPr="0085143C">
              <w:rPr>
                <w:sz w:val="20"/>
                <w:szCs w:val="20"/>
              </w:rPr>
              <w:t>0.4</w:t>
            </w:r>
          </w:p>
        </w:tc>
        <w:tc>
          <w:tcPr>
            <w:tcW w:w="1134" w:type="dxa"/>
          </w:tcPr>
          <w:p w:rsidR="0035784C" w:rsidRPr="0085143C" w:rsidRDefault="0035784C" w:rsidP="0085143C">
            <w:pPr>
              <w:pStyle w:val="Default"/>
              <w:jc w:val="center"/>
              <w:rPr>
                <w:sz w:val="20"/>
                <w:szCs w:val="20"/>
              </w:rPr>
            </w:pPr>
            <w:r w:rsidRPr="0085143C">
              <w:rPr>
                <w:sz w:val="20"/>
                <w:szCs w:val="20"/>
              </w:rPr>
              <w:t>37.6</w:t>
            </w:r>
          </w:p>
        </w:tc>
        <w:tc>
          <w:tcPr>
            <w:tcW w:w="1134" w:type="dxa"/>
          </w:tcPr>
          <w:p w:rsidR="0035784C" w:rsidRPr="0085143C" w:rsidRDefault="0035784C" w:rsidP="0085143C">
            <w:pPr>
              <w:pStyle w:val="Default"/>
              <w:jc w:val="center"/>
              <w:rPr>
                <w:sz w:val="20"/>
                <w:szCs w:val="20"/>
              </w:rPr>
            </w:pPr>
            <w:r w:rsidRPr="0085143C">
              <w:rPr>
                <w:sz w:val="20"/>
                <w:szCs w:val="20"/>
              </w:rPr>
              <w:t>39.7</w:t>
            </w:r>
          </w:p>
        </w:tc>
      </w:tr>
      <w:tr w:rsidR="0035784C" w:rsidRPr="0085143C" w:rsidTr="0035784C">
        <w:trPr>
          <w:trHeight w:val="93"/>
        </w:trPr>
        <w:tc>
          <w:tcPr>
            <w:tcW w:w="1663" w:type="dxa"/>
          </w:tcPr>
          <w:p w:rsidR="0035784C" w:rsidRPr="0085143C" w:rsidRDefault="0035784C" w:rsidP="0085143C">
            <w:pPr>
              <w:pStyle w:val="Default"/>
              <w:rPr>
                <w:sz w:val="20"/>
                <w:szCs w:val="20"/>
              </w:rPr>
            </w:pPr>
            <w:r w:rsidRPr="0085143C">
              <w:rPr>
                <w:b/>
                <w:bCs/>
                <w:sz w:val="20"/>
                <w:szCs w:val="20"/>
              </w:rPr>
              <w:t xml:space="preserve">Total expenditure estimates </w:t>
            </w:r>
          </w:p>
        </w:tc>
        <w:tc>
          <w:tcPr>
            <w:tcW w:w="992" w:type="dxa"/>
          </w:tcPr>
          <w:p w:rsidR="0035784C" w:rsidRPr="0085143C" w:rsidRDefault="0035784C" w:rsidP="0085143C">
            <w:pPr>
              <w:pStyle w:val="Default"/>
              <w:jc w:val="center"/>
              <w:rPr>
                <w:sz w:val="20"/>
                <w:szCs w:val="20"/>
              </w:rPr>
            </w:pPr>
            <w:r w:rsidRPr="0085143C">
              <w:rPr>
                <w:b/>
                <w:bCs/>
                <w:sz w:val="20"/>
                <w:szCs w:val="20"/>
              </w:rPr>
              <w:t>156.3</w:t>
            </w:r>
          </w:p>
        </w:tc>
        <w:tc>
          <w:tcPr>
            <w:tcW w:w="1276" w:type="dxa"/>
          </w:tcPr>
          <w:p w:rsidR="0035784C" w:rsidRPr="0085143C" w:rsidRDefault="0035784C" w:rsidP="0085143C">
            <w:pPr>
              <w:pStyle w:val="Default"/>
              <w:jc w:val="center"/>
              <w:rPr>
                <w:sz w:val="20"/>
                <w:szCs w:val="20"/>
              </w:rPr>
            </w:pPr>
            <w:r w:rsidRPr="0085143C">
              <w:rPr>
                <w:b/>
                <w:bCs/>
                <w:sz w:val="20"/>
                <w:szCs w:val="20"/>
              </w:rPr>
              <w:t>154.3</w:t>
            </w:r>
          </w:p>
        </w:tc>
        <w:tc>
          <w:tcPr>
            <w:tcW w:w="1417" w:type="dxa"/>
          </w:tcPr>
          <w:p w:rsidR="0035784C" w:rsidRPr="0085143C" w:rsidRDefault="0035784C" w:rsidP="0085143C">
            <w:pPr>
              <w:pStyle w:val="Default"/>
              <w:jc w:val="center"/>
              <w:rPr>
                <w:sz w:val="20"/>
                <w:szCs w:val="20"/>
              </w:rPr>
            </w:pPr>
            <w:r w:rsidRPr="0085143C">
              <w:rPr>
                <w:b/>
                <w:bCs/>
                <w:sz w:val="20"/>
                <w:szCs w:val="20"/>
              </w:rPr>
              <w:t>0.2</w:t>
            </w:r>
          </w:p>
        </w:tc>
        <w:tc>
          <w:tcPr>
            <w:tcW w:w="1418" w:type="dxa"/>
          </w:tcPr>
          <w:p w:rsidR="0035784C" w:rsidRPr="0085143C" w:rsidRDefault="0035784C" w:rsidP="0085143C">
            <w:pPr>
              <w:pStyle w:val="Default"/>
              <w:jc w:val="center"/>
              <w:rPr>
                <w:sz w:val="20"/>
                <w:szCs w:val="20"/>
              </w:rPr>
            </w:pPr>
            <w:r w:rsidRPr="0085143C">
              <w:rPr>
                <w:b/>
                <w:bCs/>
                <w:sz w:val="20"/>
                <w:szCs w:val="20"/>
              </w:rPr>
              <w:t>1.8</w:t>
            </w:r>
          </w:p>
        </w:tc>
        <w:tc>
          <w:tcPr>
            <w:tcW w:w="1134" w:type="dxa"/>
          </w:tcPr>
          <w:p w:rsidR="0035784C" w:rsidRPr="0085143C" w:rsidRDefault="0035784C" w:rsidP="0085143C">
            <w:pPr>
              <w:pStyle w:val="Default"/>
              <w:jc w:val="center"/>
              <w:rPr>
                <w:sz w:val="20"/>
                <w:szCs w:val="20"/>
              </w:rPr>
            </w:pPr>
            <w:r w:rsidRPr="0085143C">
              <w:rPr>
                <w:b/>
                <w:bCs/>
                <w:sz w:val="20"/>
                <w:szCs w:val="20"/>
              </w:rPr>
              <w:t>166.3</w:t>
            </w:r>
          </w:p>
        </w:tc>
        <w:tc>
          <w:tcPr>
            <w:tcW w:w="1134" w:type="dxa"/>
          </w:tcPr>
          <w:p w:rsidR="0035784C" w:rsidRPr="0085143C" w:rsidRDefault="0035784C" w:rsidP="0085143C">
            <w:pPr>
              <w:pStyle w:val="Default"/>
              <w:jc w:val="center"/>
              <w:rPr>
                <w:sz w:val="20"/>
                <w:szCs w:val="20"/>
              </w:rPr>
            </w:pPr>
            <w:r w:rsidRPr="0085143C">
              <w:rPr>
                <w:b/>
                <w:bCs/>
                <w:sz w:val="20"/>
                <w:szCs w:val="20"/>
              </w:rPr>
              <w:t>173.3</w:t>
            </w:r>
          </w:p>
        </w:tc>
      </w:tr>
    </w:tbl>
    <w:p w:rsidR="0035784C" w:rsidRPr="0085143C" w:rsidRDefault="0035784C" w:rsidP="0085143C">
      <w:pPr>
        <w:spacing w:after="0" w:line="240" w:lineRule="auto"/>
        <w:jc w:val="right"/>
        <w:rPr>
          <w:rFonts w:ascii="Arial" w:hAnsi="Arial" w:cs="Arial"/>
          <w:b/>
          <w:sz w:val="20"/>
          <w:szCs w:val="20"/>
        </w:rPr>
      </w:pPr>
      <w:r w:rsidRPr="0085143C">
        <w:rPr>
          <w:rFonts w:ascii="Arial" w:hAnsi="Arial" w:cs="Arial"/>
          <w:b/>
          <w:sz w:val="20"/>
          <w:szCs w:val="20"/>
        </w:rPr>
        <w:t>Source: National Treasury (2020)</w:t>
      </w:r>
    </w:p>
    <w:p w:rsidR="00EC4482" w:rsidRPr="0085143C" w:rsidRDefault="00EC4482" w:rsidP="0085143C">
      <w:pPr>
        <w:spacing w:after="0" w:line="240" w:lineRule="auto"/>
        <w:jc w:val="both"/>
        <w:rPr>
          <w:rFonts w:ascii="Arial" w:hAnsi="Arial" w:cs="Arial"/>
          <w:b/>
          <w:sz w:val="20"/>
          <w:szCs w:val="20"/>
        </w:rPr>
      </w:pPr>
    </w:p>
    <w:p w:rsidR="0035784C" w:rsidRPr="0085143C" w:rsidRDefault="0035784C" w:rsidP="0085143C">
      <w:pPr>
        <w:spacing w:after="0" w:line="240" w:lineRule="auto"/>
        <w:jc w:val="both"/>
        <w:rPr>
          <w:rFonts w:ascii="Arial" w:hAnsi="Arial" w:cs="Arial"/>
          <w:sz w:val="20"/>
          <w:szCs w:val="20"/>
        </w:rPr>
      </w:pPr>
      <w:r w:rsidRPr="0085143C">
        <w:rPr>
          <w:rFonts w:ascii="Arial" w:hAnsi="Arial" w:cs="Arial"/>
          <w:sz w:val="20"/>
          <w:szCs w:val="20"/>
        </w:rPr>
        <w:t>Over the medium term, the Department will focus on:</w:t>
      </w:r>
    </w:p>
    <w:p w:rsidR="0035784C" w:rsidRPr="0085143C" w:rsidRDefault="0035784C" w:rsidP="0085143C">
      <w:pPr>
        <w:pStyle w:val="ListParagraph"/>
        <w:numPr>
          <w:ilvl w:val="0"/>
          <w:numId w:val="21"/>
        </w:numPr>
        <w:spacing w:after="0" w:line="240" w:lineRule="auto"/>
        <w:jc w:val="both"/>
        <w:rPr>
          <w:rFonts w:ascii="Arial" w:hAnsi="Arial" w:cs="Arial"/>
          <w:sz w:val="20"/>
          <w:szCs w:val="20"/>
        </w:rPr>
      </w:pPr>
      <w:r w:rsidRPr="0085143C">
        <w:rPr>
          <w:rFonts w:ascii="Arial" w:hAnsi="Arial" w:cs="Arial"/>
          <w:sz w:val="20"/>
          <w:szCs w:val="20"/>
        </w:rPr>
        <w:t>Strengthening community participation in the fight against crime, by</w:t>
      </w:r>
    </w:p>
    <w:p w:rsidR="0035784C" w:rsidRPr="0085143C" w:rsidRDefault="0035784C" w:rsidP="0085143C">
      <w:pPr>
        <w:pStyle w:val="ListParagraph"/>
        <w:numPr>
          <w:ilvl w:val="0"/>
          <w:numId w:val="22"/>
        </w:numPr>
        <w:spacing w:after="0" w:line="240" w:lineRule="auto"/>
        <w:jc w:val="both"/>
        <w:rPr>
          <w:rFonts w:ascii="Arial" w:hAnsi="Arial" w:cs="Arial"/>
          <w:sz w:val="20"/>
          <w:szCs w:val="20"/>
        </w:rPr>
      </w:pPr>
      <w:r w:rsidRPr="0085143C">
        <w:rPr>
          <w:rFonts w:ascii="Arial" w:hAnsi="Arial" w:cs="Arial"/>
          <w:sz w:val="20"/>
          <w:szCs w:val="20"/>
        </w:rPr>
        <w:t>Implementing crime prevention campaigns,</w:t>
      </w:r>
    </w:p>
    <w:p w:rsidR="0035784C" w:rsidRPr="0085143C" w:rsidRDefault="0035784C" w:rsidP="0085143C">
      <w:pPr>
        <w:pStyle w:val="ListParagraph"/>
        <w:numPr>
          <w:ilvl w:val="0"/>
          <w:numId w:val="22"/>
        </w:numPr>
        <w:spacing w:after="0" w:line="240" w:lineRule="auto"/>
        <w:jc w:val="both"/>
        <w:rPr>
          <w:rFonts w:ascii="Arial" w:hAnsi="Arial" w:cs="Arial"/>
          <w:sz w:val="20"/>
          <w:szCs w:val="20"/>
        </w:rPr>
      </w:pPr>
      <w:r w:rsidRPr="0085143C">
        <w:rPr>
          <w:rFonts w:ascii="Arial" w:hAnsi="Arial" w:cs="Arial"/>
          <w:sz w:val="20"/>
          <w:szCs w:val="20"/>
        </w:rPr>
        <w:t>Hosting provincial imbizos and establishing additional community safety forums at the municipal level;</w:t>
      </w:r>
    </w:p>
    <w:p w:rsidR="00EC4482" w:rsidRPr="0085143C" w:rsidRDefault="0035784C" w:rsidP="0085143C">
      <w:pPr>
        <w:pStyle w:val="ListParagraph"/>
        <w:numPr>
          <w:ilvl w:val="0"/>
          <w:numId w:val="21"/>
        </w:numPr>
        <w:spacing w:after="0" w:line="240" w:lineRule="auto"/>
        <w:jc w:val="both"/>
        <w:rPr>
          <w:rFonts w:ascii="Arial" w:hAnsi="Arial" w:cs="Arial"/>
          <w:sz w:val="20"/>
          <w:szCs w:val="20"/>
        </w:rPr>
      </w:pPr>
      <w:r w:rsidRPr="0085143C">
        <w:rPr>
          <w:rFonts w:ascii="Arial" w:hAnsi="Arial" w:cs="Arial"/>
          <w:sz w:val="20"/>
          <w:szCs w:val="20"/>
        </w:rPr>
        <w:t>Strengthening regulation by developing new policies and legislation for the police sector; and</w:t>
      </w:r>
    </w:p>
    <w:p w:rsidR="00725CB6" w:rsidRPr="0085143C" w:rsidRDefault="00725CB6" w:rsidP="0085143C">
      <w:pPr>
        <w:pStyle w:val="ListParagraph"/>
        <w:numPr>
          <w:ilvl w:val="0"/>
          <w:numId w:val="21"/>
        </w:numPr>
        <w:spacing w:after="0" w:line="240" w:lineRule="auto"/>
        <w:jc w:val="both"/>
        <w:rPr>
          <w:rFonts w:ascii="Arial" w:hAnsi="Arial" w:cs="Arial"/>
          <w:sz w:val="20"/>
          <w:szCs w:val="20"/>
        </w:rPr>
      </w:pPr>
      <w:r w:rsidRPr="0085143C">
        <w:rPr>
          <w:rFonts w:ascii="Arial" w:hAnsi="Arial" w:cs="Arial"/>
          <w:sz w:val="20"/>
          <w:szCs w:val="20"/>
        </w:rPr>
        <w:t>Monitoring the performance of the police service through oversight visits to police stations.</w:t>
      </w:r>
    </w:p>
    <w:p w:rsidR="008908C6" w:rsidRPr="0085143C" w:rsidRDefault="008908C6" w:rsidP="0085143C">
      <w:pPr>
        <w:spacing w:after="0" w:line="240" w:lineRule="auto"/>
        <w:jc w:val="both"/>
        <w:rPr>
          <w:rFonts w:ascii="Arial" w:hAnsi="Arial" w:cs="Arial"/>
          <w:sz w:val="20"/>
          <w:szCs w:val="20"/>
        </w:rPr>
      </w:pPr>
    </w:p>
    <w:p w:rsidR="00725CB6" w:rsidRPr="0085143C" w:rsidRDefault="00725CB6" w:rsidP="0085143C">
      <w:pPr>
        <w:spacing w:after="0" w:line="240" w:lineRule="auto"/>
        <w:jc w:val="both"/>
        <w:rPr>
          <w:rFonts w:ascii="Arial" w:hAnsi="Arial" w:cs="Arial"/>
          <w:sz w:val="20"/>
          <w:szCs w:val="20"/>
        </w:rPr>
      </w:pPr>
      <w:r w:rsidRPr="0085143C">
        <w:rPr>
          <w:rFonts w:ascii="Arial" w:hAnsi="Arial" w:cs="Arial"/>
          <w:sz w:val="20"/>
          <w:szCs w:val="20"/>
        </w:rPr>
        <w:t xml:space="preserve">Expenditure increases at an average annual rate of 6.6%, from R143.1 million in 2019/20 to R173.3 million in 2022/23. Spending on Compensation of employees accounts for 71.5% (R355.9 million) of total expenditure over the medium term. However, allocations for Compensation of employees have been reduced by R676 000 in 2020/21 and R720 000 in 2021/22 in line with Government’s expenditure ceiling for Compensation of employees. </w:t>
      </w:r>
    </w:p>
    <w:p w:rsidR="00725CB6" w:rsidRPr="0085143C" w:rsidRDefault="00725CB6" w:rsidP="0085143C">
      <w:pPr>
        <w:spacing w:after="0" w:line="240" w:lineRule="auto"/>
        <w:jc w:val="both"/>
        <w:rPr>
          <w:rFonts w:ascii="Arial" w:hAnsi="Arial" w:cs="Arial"/>
          <w:sz w:val="20"/>
          <w:szCs w:val="20"/>
        </w:rPr>
      </w:pPr>
    </w:p>
    <w:p w:rsidR="00725CB6" w:rsidRPr="0085143C" w:rsidRDefault="00725CB6" w:rsidP="0085143C">
      <w:pPr>
        <w:spacing w:after="0" w:line="240" w:lineRule="auto"/>
        <w:jc w:val="both"/>
        <w:rPr>
          <w:rFonts w:ascii="Arial" w:hAnsi="Arial" w:cs="Arial"/>
          <w:sz w:val="20"/>
          <w:szCs w:val="20"/>
        </w:rPr>
      </w:pPr>
      <w:r w:rsidRPr="0085143C">
        <w:rPr>
          <w:rFonts w:ascii="Arial" w:hAnsi="Arial" w:cs="Arial"/>
          <w:sz w:val="20"/>
          <w:szCs w:val="20"/>
        </w:rPr>
        <w:t>Despite these reductions, the Department’s funded establishment will increase from 153 posts in 2019/20 to 156 posts in 2022/23, due to the planned filling of vacant funded posts.</w:t>
      </w:r>
    </w:p>
    <w:p w:rsidR="00725CB6" w:rsidRPr="0085143C" w:rsidRDefault="00725CB6" w:rsidP="0085143C">
      <w:pPr>
        <w:spacing w:after="0" w:line="240" w:lineRule="auto"/>
        <w:jc w:val="both"/>
        <w:rPr>
          <w:rFonts w:ascii="Arial" w:hAnsi="Arial" w:cs="Arial"/>
          <w:sz w:val="20"/>
          <w:szCs w:val="20"/>
        </w:rPr>
      </w:pPr>
      <w:r w:rsidRPr="0085143C">
        <w:rPr>
          <w:rFonts w:ascii="Arial" w:hAnsi="Arial" w:cs="Arial"/>
          <w:sz w:val="20"/>
          <w:szCs w:val="20"/>
        </w:rPr>
        <w:t>The Administration Programme received a Main Appropriation of R69.4 million in 2020/21, which is a nominal increase of 8.78% (considering inflation, it is a real increase of 4.19%) when compared to the previous financial year. The Administration Programme received 44.4% of the total budget allocation in the Department during 2020/21.</w:t>
      </w:r>
    </w:p>
    <w:p w:rsidR="00725CB6" w:rsidRPr="0085143C" w:rsidRDefault="00725CB6" w:rsidP="0085143C">
      <w:pPr>
        <w:spacing w:after="0" w:line="240" w:lineRule="auto"/>
        <w:jc w:val="both"/>
        <w:rPr>
          <w:rFonts w:ascii="Arial" w:hAnsi="Arial" w:cs="Arial"/>
          <w:sz w:val="20"/>
          <w:szCs w:val="20"/>
        </w:rPr>
      </w:pPr>
    </w:p>
    <w:p w:rsidR="00725CB6" w:rsidRPr="0085143C" w:rsidRDefault="00725CB6" w:rsidP="0085143C">
      <w:pPr>
        <w:spacing w:after="0" w:line="240" w:lineRule="auto"/>
        <w:jc w:val="both"/>
        <w:rPr>
          <w:rFonts w:ascii="Arial" w:hAnsi="Arial" w:cs="Arial"/>
          <w:sz w:val="20"/>
          <w:szCs w:val="20"/>
        </w:rPr>
      </w:pPr>
      <w:r w:rsidRPr="0085143C">
        <w:rPr>
          <w:rFonts w:ascii="Arial" w:hAnsi="Arial" w:cs="Arial"/>
          <w:sz w:val="20"/>
          <w:szCs w:val="20"/>
        </w:rPr>
        <w:t>The Intersectoral Coordination and Strategic Partnerships Programme received a Main Appropriation of R26.7 million in 2020/21, which is a nominal increase of 7.23% when compared to the previous financial year. Proportionally, the Programme received 17.07% of the total budget allocation of the Department.</w:t>
      </w:r>
    </w:p>
    <w:p w:rsidR="00725CB6" w:rsidRPr="0085143C" w:rsidRDefault="00725CB6" w:rsidP="0085143C">
      <w:pPr>
        <w:spacing w:after="0" w:line="240" w:lineRule="auto"/>
        <w:jc w:val="both"/>
        <w:rPr>
          <w:rFonts w:ascii="Arial" w:hAnsi="Arial" w:cs="Arial"/>
          <w:sz w:val="20"/>
          <w:szCs w:val="20"/>
        </w:rPr>
      </w:pPr>
    </w:p>
    <w:p w:rsidR="00725CB6" w:rsidRPr="0085143C" w:rsidRDefault="00725CB6" w:rsidP="0085143C">
      <w:pPr>
        <w:spacing w:after="0" w:line="240" w:lineRule="auto"/>
        <w:jc w:val="both"/>
        <w:rPr>
          <w:rFonts w:ascii="Arial" w:hAnsi="Arial" w:cs="Arial"/>
          <w:sz w:val="20"/>
          <w:szCs w:val="20"/>
        </w:rPr>
      </w:pPr>
      <w:r w:rsidRPr="0085143C">
        <w:rPr>
          <w:rFonts w:ascii="Arial" w:hAnsi="Arial" w:cs="Arial"/>
          <w:sz w:val="20"/>
          <w:szCs w:val="20"/>
        </w:rPr>
        <w:lastRenderedPageBreak/>
        <w:t>The Legislation and Policy Development Programme received a Main Appropriation of R24.8 million in 2020/21, which is a nominal increase of 13.24% (real increase of 8.47%). This is the largest increase in budget allocation across the four budget Programmes of the Department. Proportionally, the Programme received 15.87% of the total budget in 2020/21.</w:t>
      </w:r>
    </w:p>
    <w:p w:rsidR="00EC4482" w:rsidRPr="0085143C" w:rsidRDefault="00EC4482" w:rsidP="0085143C">
      <w:pPr>
        <w:spacing w:after="0" w:line="240" w:lineRule="auto"/>
        <w:jc w:val="both"/>
        <w:rPr>
          <w:rFonts w:ascii="Arial" w:hAnsi="Arial" w:cs="Arial"/>
          <w:sz w:val="20"/>
          <w:szCs w:val="20"/>
        </w:rPr>
      </w:pPr>
    </w:p>
    <w:p w:rsidR="00EC4482" w:rsidRPr="0085143C" w:rsidRDefault="00725CB6" w:rsidP="0085143C">
      <w:pPr>
        <w:spacing w:after="0" w:line="240" w:lineRule="auto"/>
        <w:jc w:val="both"/>
        <w:rPr>
          <w:rFonts w:ascii="Arial" w:hAnsi="Arial" w:cs="Arial"/>
          <w:b/>
          <w:sz w:val="20"/>
          <w:szCs w:val="20"/>
        </w:rPr>
      </w:pPr>
      <w:r w:rsidRPr="0085143C">
        <w:rPr>
          <w:rFonts w:ascii="Arial" w:hAnsi="Arial" w:cs="Arial"/>
          <w:b/>
          <w:sz w:val="20"/>
          <w:szCs w:val="20"/>
        </w:rPr>
        <w:t>Table 2: Comparative changes in expenditure estimates by programme: 2019/20 to 2020/21</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1134"/>
        <w:gridCol w:w="1275"/>
        <w:gridCol w:w="1276"/>
        <w:gridCol w:w="1418"/>
        <w:gridCol w:w="1417"/>
        <w:gridCol w:w="13"/>
        <w:gridCol w:w="1368"/>
      </w:tblGrid>
      <w:tr w:rsidR="00725CB6" w:rsidRPr="0085143C" w:rsidTr="00725CB6">
        <w:trPr>
          <w:trHeight w:val="513"/>
        </w:trPr>
        <w:tc>
          <w:tcPr>
            <w:tcW w:w="1663" w:type="dxa"/>
          </w:tcPr>
          <w:p w:rsidR="00725CB6" w:rsidRPr="0085143C" w:rsidRDefault="00725CB6" w:rsidP="0085143C">
            <w:pPr>
              <w:pStyle w:val="Default"/>
              <w:rPr>
                <w:sz w:val="20"/>
                <w:szCs w:val="20"/>
              </w:rPr>
            </w:pPr>
            <w:r w:rsidRPr="0085143C">
              <w:rPr>
                <w:b/>
                <w:bCs/>
                <w:sz w:val="20"/>
                <w:szCs w:val="20"/>
              </w:rPr>
              <w:t xml:space="preserve">Programme </w:t>
            </w:r>
          </w:p>
        </w:tc>
        <w:tc>
          <w:tcPr>
            <w:tcW w:w="2409" w:type="dxa"/>
            <w:gridSpan w:val="2"/>
          </w:tcPr>
          <w:p w:rsidR="00725CB6" w:rsidRPr="0085143C" w:rsidRDefault="00725CB6" w:rsidP="0085143C">
            <w:pPr>
              <w:pStyle w:val="Default"/>
              <w:rPr>
                <w:sz w:val="20"/>
                <w:szCs w:val="20"/>
              </w:rPr>
            </w:pPr>
            <w:r w:rsidRPr="0085143C">
              <w:rPr>
                <w:b/>
                <w:bCs/>
                <w:sz w:val="20"/>
                <w:szCs w:val="20"/>
              </w:rPr>
              <w:t xml:space="preserve">Budget </w:t>
            </w:r>
          </w:p>
        </w:tc>
        <w:tc>
          <w:tcPr>
            <w:tcW w:w="1276" w:type="dxa"/>
          </w:tcPr>
          <w:p w:rsidR="00725CB6" w:rsidRPr="0085143C" w:rsidRDefault="00725CB6" w:rsidP="0085143C">
            <w:pPr>
              <w:pStyle w:val="Default"/>
              <w:rPr>
                <w:sz w:val="20"/>
                <w:szCs w:val="20"/>
              </w:rPr>
            </w:pPr>
            <w:r w:rsidRPr="0085143C">
              <w:rPr>
                <w:b/>
                <w:bCs/>
                <w:sz w:val="20"/>
                <w:szCs w:val="20"/>
              </w:rPr>
              <w:t xml:space="preserve">Nominal Increase / Decrease in 2020/21 </w:t>
            </w:r>
          </w:p>
        </w:tc>
        <w:tc>
          <w:tcPr>
            <w:tcW w:w="1418" w:type="dxa"/>
          </w:tcPr>
          <w:p w:rsidR="00725CB6" w:rsidRPr="0085143C" w:rsidRDefault="00725CB6" w:rsidP="0085143C">
            <w:pPr>
              <w:pStyle w:val="Default"/>
              <w:rPr>
                <w:sz w:val="20"/>
                <w:szCs w:val="20"/>
              </w:rPr>
            </w:pPr>
            <w:r w:rsidRPr="0085143C">
              <w:rPr>
                <w:b/>
                <w:bCs/>
                <w:sz w:val="20"/>
                <w:szCs w:val="20"/>
              </w:rPr>
              <w:t xml:space="preserve">Real Increase / Decrease in 2020/21 </w:t>
            </w:r>
          </w:p>
        </w:tc>
        <w:tc>
          <w:tcPr>
            <w:tcW w:w="1417" w:type="dxa"/>
          </w:tcPr>
          <w:p w:rsidR="00725CB6" w:rsidRPr="0085143C" w:rsidRDefault="00725CB6" w:rsidP="0085143C">
            <w:pPr>
              <w:pStyle w:val="Default"/>
              <w:rPr>
                <w:sz w:val="20"/>
                <w:szCs w:val="20"/>
              </w:rPr>
            </w:pPr>
            <w:r w:rsidRPr="0085143C">
              <w:rPr>
                <w:b/>
                <w:bCs/>
                <w:sz w:val="20"/>
                <w:szCs w:val="20"/>
              </w:rPr>
              <w:t xml:space="preserve">Nominal Percent change in 2020/21 </w:t>
            </w:r>
          </w:p>
        </w:tc>
        <w:tc>
          <w:tcPr>
            <w:tcW w:w="1381" w:type="dxa"/>
            <w:gridSpan w:val="2"/>
          </w:tcPr>
          <w:p w:rsidR="00725CB6" w:rsidRPr="0085143C" w:rsidRDefault="00725CB6" w:rsidP="0085143C">
            <w:pPr>
              <w:pStyle w:val="Default"/>
              <w:rPr>
                <w:sz w:val="20"/>
                <w:szCs w:val="20"/>
              </w:rPr>
            </w:pPr>
            <w:r w:rsidRPr="0085143C">
              <w:rPr>
                <w:b/>
                <w:bCs/>
                <w:sz w:val="20"/>
                <w:szCs w:val="20"/>
              </w:rPr>
              <w:t xml:space="preserve">Real Percent change in 2020/21 </w:t>
            </w:r>
          </w:p>
        </w:tc>
      </w:tr>
      <w:tr w:rsidR="00725CB6" w:rsidRPr="0085143C" w:rsidTr="00725CB6">
        <w:trPr>
          <w:trHeight w:val="93"/>
        </w:trPr>
        <w:tc>
          <w:tcPr>
            <w:tcW w:w="1663" w:type="dxa"/>
          </w:tcPr>
          <w:p w:rsidR="00725CB6" w:rsidRPr="0085143C" w:rsidRDefault="00725CB6" w:rsidP="0085143C">
            <w:pPr>
              <w:pStyle w:val="Default"/>
              <w:rPr>
                <w:sz w:val="20"/>
                <w:szCs w:val="20"/>
              </w:rPr>
            </w:pPr>
            <w:r w:rsidRPr="0085143C">
              <w:rPr>
                <w:b/>
                <w:bCs/>
                <w:sz w:val="20"/>
                <w:szCs w:val="20"/>
              </w:rPr>
              <w:t xml:space="preserve">R million </w:t>
            </w:r>
          </w:p>
        </w:tc>
        <w:tc>
          <w:tcPr>
            <w:tcW w:w="1134" w:type="dxa"/>
          </w:tcPr>
          <w:p w:rsidR="00725CB6" w:rsidRPr="0085143C" w:rsidRDefault="00725CB6" w:rsidP="0085143C">
            <w:pPr>
              <w:pStyle w:val="Default"/>
              <w:rPr>
                <w:sz w:val="20"/>
                <w:szCs w:val="20"/>
              </w:rPr>
            </w:pPr>
            <w:r w:rsidRPr="0085143C">
              <w:rPr>
                <w:sz w:val="20"/>
                <w:szCs w:val="20"/>
              </w:rPr>
              <w:t>2019/20</w:t>
            </w:r>
          </w:p>
        </w:tc>
        <w:tc>
          <w:tcPr>
            <w:tcW w:w="1275" w:type="dxa"/>
          </w:tcPr>
          <w:p w:rsidR="00725CB6" w:rsidRPr="0085143C" w:rsidRDefault="00725CB6" w:rsidP="0085143C">
            <w:pPr>
              <w:pStyle w:val="Default"/>
              <w:rPr>
                <w:sz w:val="20"/>
                <w:szCs w:val="20"/>
              </w:rPr>
            </w:pPr>
            <w:r w:rsidRPr="0085143C">
              <w:rPr>
                <w:sz w:val="20"/>
                <w:szCs w:val="20"/>
              </w:rPr>
              <w:t>2020/21</w:t>
            </w:r>
          </w:p>
        </w:tc>
        <w:tc>
          <w:tcPr>
            <w:tcW w:w="2694" w:type="dxa"/>
            <w:gridSpan w:val="2"/>
          </w:tcPr>
          <w:p w:rsidR="00725CB6" w:rsidRPr="0085143C" w:rsidRDefault="00725CB6" w:rsidP="0085143C">
            <w:pPr>
              <w:pStyle w:val="Default"/>
              <w:rPr>
                <w:sz w:val="20"/>
                <w:szCs w:val="20"/>
              </w:rPr>
            </w:pPr>
          </w:p>
        </w:tc>
        <w:tc>
          <w:tcPr>
            <w:tcW w:w="2798" w:type="dxa"/>
            <w:gridSpan w:val="3"/>
          </w:tcPr>
          <w:p w:rsidR="00725CB6" w:rsidRPr="0085143C" w:rsidRDefault="00725CB6" w:rsidP="0085143C">
            <w:pPr>
              <w:pStyle w:val="Default"/>
              <w:rPr>
                <w:sz w:val="20"/>
                <w:szCs w:val="20"/>
              </w:rPr>
            </w:pPr>
          </w:p>
        </w:tc>
      </w:tr>
      <w:tr w:rsidR="00725CB6" w:rsidRPr="0085143C" w:rsidTr="00725CB6">
        <w:trPr>
          <w:trHeight w:val="93"/>
        </w:trPr>
        <w:tc>
          <w:tcPr>
            <w:tcW w:w="1663" w:type="dxa"/>
          </w:tcPr>
          <w:p w:rsidR="00725CB6" w:rsidRPr="0085143C" w:rsidRDefault="00725CB6" w:rsidP="0085143C">
            <w:pPr>
              <w:pStyle w:val="Default"/>
              <w:rPr>
                <w:sz w:val="20"/>
                <w:szCs w:val="20"/>
              </w:rPr>
            </w:pPr>
            <w:r w:rsidRPr="0085143C">
              <w:rPr>
                <w:b/>
                <w:bCs/>
                <w:sz w:val="20"/>
                <w:szCs w:val="20"/>
              </w:rPr>
              <w:t xml:space="preserve">Administration </w:t>
            </w:r>
          </w:p>
        </w:tc>
        <w:tc>
          <w:tcPr>
            <w:tcW w:w="1134" w:type="dxa"/>
          </w:tcPr>
          <w:p w:rsidR="00725CB6" w:rsidRPr="0085143C" w:rsidRDefault="00725CB6" w:rsidP="0085143C">
            <w:pPr>
              <w:pStyle w:val="Default"/>
              <w:jc w:val="center"/>
              <w:rPr>
                <w:sz w:val="20"/>
                <w:szCs w:val="20"/>
              </w:rPr>
            </w:pPr>
            <w:r w:rsidRPr="0085143C">
              <w:rPr>
                <w:sz w:val="20"/>
                <w:szCs w:val="20"/>
              </w:rPr>
              <w:t>63.8</w:t>
            </w:r>
          </w:p>
        </w:tc>
        <w:tc>
          <w:tcPr>
            <w:tcW w:w="1275" w:type="dxa"/>
          </w:tcPr>
          <w:p w:rsidR="00725CB6" w:rsidRPr="0085143C" w:rsidRDefault="00725CB6" w:rsidP="0085143C">
            <w:pPr>
              <w:pStyle w:val="Default"/>
              <w:jc w:val="center"/>
              <w:rPr>
                <w:sz w:val="20"/>
                <w:szCs w:val="20"/>
              </w:rPr>
            </w:pPr>
            <w:r w:rsidRPr="0085143C">
              <w:rPr>
                <w:sz w:val="20"/>
                <w:szCs w:val="20"/>
              </w:rPr>
              <w:t>69.4</w:t>
            </w:r>
          </w:p>
        </w:tc>
        <w:tc>
          <w:tcPr>
            <w:tcW w:w="1276" w:type="dxa"/>
          </w:tcPr>
          <w:p w:rsidR="00725CB6" w:rsidRPr="0085143C" w:rsidRDefault="00725CB6" w:rsidP="0085143C">
            <w:pPr>
              <w:pStyle w:val="Default"/>
              <w:jc w:val="center"/>
              <w:rPr>
                <w:sz w:val="20"/>
                <w:szCs w:val="20"/>
              </w:rPr>
            </w:pPr>
            <w:r w:rsidRPr="0085143C">
              <w:rPr>
                <w:sz w:val="20"/>
                <w:szCs w:val="20"/>
              </w:rPr>
              <w:t>5.6</w:t>
            </w:r>
          </w:p>
        </w:tc>
        <w:tc>
          <w:tcPr>
            <w:tcW w:w="1418" w:type="dxa"/>
          </w:tcPr>
          <w:p w:rsidR="00725CB6" w:rsidRPr="0085143C" w:rsidRDefault="00725CB6" w:rsidP="0085143C">
            <w:pPr>
              <w:pStyle w:val="Default"/>
              <w:jc w:val="center"/>
              <w:rPr>
                <w:sz w:val="20"/>
                <w:szCs w:val="20"/>
              </w:rPr>
            </w:pPr>
            <w:r w:rsidRPr="0085143C">
              <w:rPr>
                <w:sz w:val="20"/>
                <w:szCs w:val="20"/>
              </w:rPr>
              <w:t>2.7</w:t>
            </w:r>
          </w:p>
        </w:tc>
        <w:tc>
          <w:tcPr>
            <w:tcW w:w="1430" w:type="dxa"/>
            <w:gridSpan w:val="2"/>
          </w:tcPr>
          <w:p w:rsidR="00725CB6" w:rsidRPr="0085143C" w:rsidRDefault="00725CB6" w:rsidP="0085143C">
            <w:pPr>
              <w:pStyle w:val="Default"/>
              <w:jc w:val="center"/>
              <w:rPr>
                <w:sz w:val="20"/>
                <w:szCs w:val="20"/>
              </w:rPr>
            </w:pPr>
            <w:r w:rsidRPr="0085143C">
              <w:rPr>
                <w:sz w:val="20"/>
                <w:szCs w:val="20"/>
              </w:rPr>
              <w:t>8.78 %</w:t>
            </w:r>
          </w:p>
        </w:tc>
        <w:tc>
          <w:tcPr>
            <w:tcW w:w="1368" w:type="dxa"/>
          </w:tcPr>
          <w:p w:rsidR="00725CB6" w:rsidRPr="0085143C" w:rsidRDefault="00725CB6" w:rsidP="0085143C">
            <w:pPr>
              <w:pStyle w:val="Default"/>
              <w:jc w:val="center"/>
              <w:rPr>
                <w:sz w:val="20"/>
                <w:szCs w:val="20"/>
              </w:rPr>
            </w:pPr>
            <w:r w:rsidRPr="0085143C">
              <w:rPr>
                <w:sz w:val="20"/>
                <w:szCs w:val="20"/>
              </w:rPr>
              <w:t>4.19 %</w:t>
            </w:r>
          </w:p>
        </w:tc>
      </w:tr>
      <w:tr w:rsidR="00725CB6" w:rsidRPr="0085143C" w:rsidTr="00725CB6">
        <w:trPr>
          <w:trHeight w:val="233"/>
        </w:trPr>
        <w:tc>
          <w:tcPr>
            <w:tcW w:w="1663" w:type="dxa"/>
          </w:tcPr>
          <w:p w:rsidR="00725CB6" w:rsidRPr="0085143C" w:rsidRDefault="00725CB6" w:rsidP="0085143C">
            <w:pPr>
              <w:pStyle w:val="Default"/>
              <w:rPr>
                <w:sz w:val="20"/>
                <w:szCs w:val="20"/>
              </w:rPr>
            </w:pPr>
            <w:r w:rsidRPr="0085143C">
              <w:rPr>
                <w:b/>
                <w:bCs/>
                <w:sz w:val="20"/>
                <w:szCs w:val="20"/>
              </w:rPr>
              <w:t xml:space="preserve">Intersectoral Coordination and Strategic Partnerships </w:t>
            </w:r>
          </w:p>
        </w:tc>
        <w:tc>
          <w:tcPr>
            <w:tcW w:w="1134" w:type="dxa"/>
          </w:tcPr>
          <w:p w:rsidR="00725CB6" w:rsidRPr="0085143C" w:rsidRDefault="00725CB6" w:rsidP="0085143C">
            <w:pPr>
              <w:pStyle w:val="Default"/>
              <w:jc w:val="center"/>
              <w:rPr>
                <w:sz w:val="20"/>
                <w:szCs w:val="20"/>
              </w:rPr>
            </w:pPr>
            <w:r w:rsidRPr="0085143C">
              <w:rPr>
                <w:sz w:val="20"/>
                <w:szCs w:val="20"/>
              </w:rPr>
              <w:t>24.9</w:t>
            </w:r>
          </w:p>
        </w:tc>
        <w:tc>
          <w:tcPr>
            <w:tcW w:w="1275" w:type="dxa"/>
          </w:tcPr>
          <w:p w:rsidR="00725CB6" w:rsidRPr="0085143C" w:rsidRDefault="00725CB6" w:rsidP="0085143C">
            <w:pPr>
              <w:pStyle w:val="Default"/>
              <w:jc w:val="center"/>
              <w:rPr>
                <w:sz w:val="20"/>
                <w:szCs w:val="20"/>
              </w:rPr>
            </w:pPr>
            <w:r w:rsidRPr="0085143C">
              <w:rPr>
                <w:sz w:val="20"/>
                <w:szCs w:val="20"/>
              </w:rPr>
              <w:t>26.7</w:t>
            </w:r>
          </w:p>
        </w:tc>
        <w:tc>
          <w:tcPr>
            <w:tcW w:w="1276" w:type="dxa"/>
          </w:tcPr>
          <w:p w:rsidR="00725CB6" w:rsidRPr="0085143C" w:rsidRDefault="00725CB6" w:rsidP="0085143C">
            <w:pPr>
              <w:pStyle w:val="Default"/>
              <w:jc w:val="center"/>
              <w:rPr>
                <w:sz w:val="20"/>
                <w:szCs w:val="20"/>
              </w:rPr>
            </w:pPr>
            <w:r w:rsidRPr="0085143C">
              <w:rPr>
                <w:sz w:val="20"/>
                <w:szCs w:val="20"/>
              </w:rPr>
              <w:t>1.8</w:t>
            </w:r>
          </w:p>
        </w:tc>
        <w:tc>
          <w:tcPr>
            <w:tcW w:w="1418" w:type="dxa"/>
          </w:tcPr>
          <w:p w:rsidR="00725CB6" w:rsidRPr="0085143C" w:rsidRDefault="00725CB6" w:rsidP="0085143C">
            <w:pPr>
              <w:pStyle w:val="Default"/>
              <w:jc w:val="center"/>
              <w:rPr>
                <w:sz w:val="20"/>
                <w:szCs w:val="20"/>
              </w:rPr>
            </w:pPr>
            <w:r w:rsidRPr="0085143C">
              <w:rPr>
                <w:sz w:val="20"/>
                <w:szCs w:val="20"/>
              </w:rPr>
              <w:t>0.7</w:t>
            </w:r>
          </w:p>
        </w:tc>
        <w:tc>
          <w:tcPr>
            <w:tcW w:w="1430" w:type="dxa"/>
            <w:gridSpan w:val="2"/>
          </w:tcPr>
          <w:p w:rsidR="00725CB6" w:rsidRPr="0085143C" w:rsidRDefault="00725CB6" w:rsidP="0085143C">
            <w:pPr>
              <w:pStyle w:val="Default"/>
              <w:jc w:val="center"/>
              <w:rPr>
                <w:sz w:val="20"/>
                <w:szCs w:val="20"/>
              </w:rPr>
            </w:pPr>
            <w:r w:rsidRPr="0085143C">
              <w:rPr>
                <w:sz w:val="20"/>
                <w:szCs w:val="20"/>
              </w:rPr>
              <w:t>7.23 %</w:t>
            </w:r>
          </w:p>
        </w:tc>
        <w:tc>
          <w:tcPr>
            <w:tcW w:w="1368" w:type="dxa"/>
          </w:tcPr>
          <w:p w:rsidR="00725CB6" w:rsidRPr="0085143C" w:rsidRDefault="00725CB6" w:rsidP="0085143C">
            <w:pPr>
              <w:pStyle w:val="Default"/>
              <w:jc w:val="center"/>
              <w:rPr>
                <w:sz w:val="20"/>
                <w:szCs w:val="20"/>
              </w:rPr>
            </w:pPr>
            <w:r w:rsidRPr="0085143C">
              <w:rPr>
                <w:sz w:val="20"/>
                <w:szCs w:val="20"/>
              </w:rPr>
              <w:t>2.71 %</w:t>
            </w:r>
          </w:p>
        </w:tc>
      </w:tr>
      <w:tr w:rsidR="00725CB6" w:rsidRPr="0085143C" w:rsidTr="00725CB6">
        <w:trPr>
          <w:trHeight w:val="93"/>
        </w:trPr>
        <w:tc>
          <w:tcPr>
            <w:tcW w:w="1663" w:type="dxa"/>
          </w:tcPr>
          <w:p w:rsidR="00725CB6" w:rsidRPr="0085143C" w:rsidRDefault="00725CB6" w:rsidP="0085143C">
            <w:pPr>
              <w:pStyle w:val="Default"/>
              <w:rPr>
                <w:sz w:val="20"/>
                <w:szCs w:val="20"/>
              </w:rPr>
            </w:pPr>
            <w:r w:rsidRPr="0085143C">
              <w:rPr>
                <w:b/>
                <w:bCs/>
                <w:sz w:val="20"/>
                <w:szCs w:val="20"/>
              </w:rPr>
              <w:t xml:space="preserve">Legislation and Policy Development </w:t>
            </w:r>
          </w:p>
        </w:tc>
        <w:tc>
          <w:tcPr>
            <w:tcW w:w="1134" w:type="dxa"/>
          </w:tcPr>
          <w:p w:rsidR="00725CB6" w:rsidRPr="0085143C" w:rsidRDefault="00725CB6" w:rsidP="0085143C">
            <w:pPr>
              <w:pStyle w:val="Default"/>
              <w:jc w:val="center"/>
              <w:rPr>
                <w:sz w:val="20"/>
                <w:szCs w:val="20"/>
              </w:rPr>
            </w:pPr>
            <w:r w:rsidRPr="0085143C">
              <w:rPr>
                <w:sz w:val="20"/>
                <w:szCs w:val="20"/>
              </w:rPr>
              <w:t>21.9</w:t>
            </w:r>
          </w:p>
        </w:tc>
        <w:tc>
          <w:tcPr>
            <w:tcW w:w="1275" w:type="dxa"/>
          </w:tcPr>
          <w:p w:rsidR="00725CB6" w:rsidRPr="0085143C" w:rsidRDefault="00725CB6" w:rsidP="0085143C">
            <w:pPr>
              <w:pStyle w:val="Default"/>
              <w:jc w:val="center"/>
              <w:rPr>
                <w:sz w:val="20"/>
                <w:szCs w:val="20"/>
              </w:rPr>
            </w:pPr>
            <w:r w:rsidRPr="0085143C">
              <w:rPr>
                <w:sz w:val="20"/>
                <w:szCs w:val="20"/>
              </w:rPr>
              <w:t>24.8</w:t>
            </w:r>
          </w:p>
        </w:tc>
        <w:tc>
          <w:tcPr>
            <w:tcW w:w="1276" w:type="dxa"/>
          </w:tcPr>
          <w:p w:rsidR="00725CB6" w:rsidRPr="0085143C" w:rsidRDefault="00725CB6" w:rsidP="0085143C">
            <w:pPr>
              <w:pStyle w:val="Default"/>
              <w:jc w:val="center"/>
              <w:rPr>
                <w:sz w:val="20"/>
                <w:szCs w:val="20"/>
              </w:rPr>
            </w:pPr>
            <w:r w:rsidRPr="0085143C">
              <w:rPr>
                <w:sz w:val="20"/>
                <w:szCs w:val="20"/>
              </w:rPr>
              <w:t>2.9</w:t>
            </w:r>
          </w:p>
        </w:tc>
        <w:tc>
          <w:tcPr>
            <w:tcW w:w="1418" w:type="dxa"/>
          </w:tcPr>
          <w:p w:rsidR="00725CB6" w:rsidRPr="0085143C" w:rsidRDefault="00725CB6" w:rsidP="0085143C">
            <w:pPr>
              <w:pStyle w:val="Default"/>
              <w:jc w:val="center"/>
              <w:rPr>
                <w:sz w:val="20"/>
                <w:szCs w:val="20"/>
              </w:rPr>
            </w:pPr>
            <w:r w:rsidRPr="0085143C">
              <w:rPr>
                <w:sz w:val="20"/>
                <w:szCs w:val="20"/>
              </w:rPr>
              <w:t>1.9</w:t>
            </w:r>
          </w:p>
        </w:tc>
        <w:tc>
          <w:tcPr>
            <w:tcW w:w="1430" w:type="dxa"/>
            <w:gridSpan w:val="2"/>
          </w:tcPr>
          <w:p w:rsidR="00725CB6" w:rsidRPr="0085143C" w:rsidRDefault="00725CB6" w:rsidP="0085143C">
            <w:pPr>
              <w:pStyle w:val="Default"/>
              <w:jc w:val="center"/>
              <w:rPr>
                <w:sz w:val="20"/>
                <w:szCs w:val="20"/>
              </w:rPr>
            </w:pPr>
            <w:r w:rsidRPr="0085143C">
              <w:rPr>
                <w:sz w:val="20"/>
                <w:szCs w:val="20"/>
              </w:rPr>
              <w:t>13.24 %</w:t>
            </w:r>
          </w:p>
        </w:tc>
        <w:tc>
          <w:tcPr>
            <w:tcW w:w="1368" w:type="dxa"/>
          </w:tcPr>
          <w:p w:rsidR="00725CB6" w:rsidRPr="0085143C" w:rsidRDefault="00725CB6" w:rsidP="0085143C">
            <w:pPr>
              <w:pStyle w:val="Default"/>
              <w:jc w:val="center"/>
              <w:rPr>
                <w:sz w:val="20"/>
                <w:szCs w:val="20"/>
              </w:rPr>
            </w:pPr>
            <w:r w:rsidRPr="0085143C">
              <w:rPr>
                <w:sz w:val="20"/>
                <w:szCs w:val="20"/>
              </w:rPr>
              <w:t>8.47 %</w:t>
            </w:r>
          </w:p>
        </w:tc>
      </w:tr>
      <w:tr w:rsidR="00725CB6" w:rsidRPr="0085143C" w:rsidTr="00725CB6">
        <w:trPr>
          <w:trHeight w:val="233"/>
        </w:trPr>
        <w:tc>
          <w:tcPr>
            <w:tcW w:w="1663" w:type="dxa"/>
          </w:tcPr>
          <w:p w:rsidR="00725CB6" w:rsidRPr="0085143C" w:rsidRDefault="00725CB6" w:rsidP="0085143C">
            <w:pPr>
              <w:pStyle w:val="Default"/>
              <w:rPr>
                <w:sz w:val="20"/>
                <w:szCs w:val="20"/>
              </w:rPr>
            </w:pPr>
            <w:r w:rsidRPr="0085143C">
              <w:rPr>
                <w:b/>
                <w:bCs/>
                <w:sz w:val="20"/>
                <w:szCs w:val="20"/>
              </w:rPr>
              <w:t xml:space="preserve">Civilian Oversight, Monitoring and Evaluation </w:t>
            </w:r>
          </w:p>
        </w:tc>
        <w:tc>
          <w:tcPr>
            <w:tcW w:w="1134" w:type="dxa"/>
          </w:tcPr>
          <w:p w:rsidR="00725CB6" w:rsidRPr="0085143C" w:rsidRDefault="00725CB6" w:rsidP="0085143C">
            <w:pPr>
              <w:pStyle w:val="Default"/>
              <w:jc w:val="center"/>
              <w:rPr>
                <w:sz w:val="20"/>
                <w:szCs w:val="20"/>
              </w:rPr>
            </w:pPr>
            <w:r w:rsidRPr="0085143C">
              <w:rPr>
                <w:sz w:val="20"/>
                <w:szCs w:val="20"/>
              </w:rPr>
              <w:t>32.5</w:t>
            </w:r>
          </w:p>
        </w:tc>
        <w:tc>
          <w:tcPr>
            <w:tcW w:w="1275" w:type="dxa"/>
          </w:tcPr>
          <w:p w:rsidR="00725CB6" w:rsidRPr="0085143C" w:rsidRDefault="00725CB6" w:rsidP="0085143C">
            <w:pPr>
              <w:pStyle w:val="Default"/>
              <w:jc w:val="center"/>
              <w:rPr>
                <w:sz w:val="20"/>
                <w:szCs w:val="20"/>
              </w:rPr>
            </w:pPr>
            <w:r w:rsidRPr="0085143C">
              <w:rPr>
                <w:sz w:val="20"/>
                <w:szCs w:val="20"/>
              </w:rPr>
              <w:t>35.4</w:t>
            </w:r>
          </w:p>
        </w:tc>
        <w:tc>
          <w:tcPr>
            <w:tcW w:w="1276" w:type="dxa"/>
          </w:tcPr>
          <w:p w:rsidR="00725CB6" w:rsidRPr="0085143C" w:rsidRDefault="00725CB6" w:rsidP="0085143C">
            <w:pPr>
              <w:pStyle w:val="Default"/>
              <w:jc w:val="center"/>
              <w:rPr>
                <w:sz w:val="20"/>
                <w:szCs w:val="20"/>
              </w:rPr>
            </w:pPr>
            <w:r w:rsidRPr="0085143C">
              <w:rPr>
                <w:sz w:val="20"/>
                <w:szCs w:val="20"/>
              </w:rPr>
              <w:t>2.9</w:t>
            </w:r>
          </w:p>
        </w:tc>
        <w:tc>
          <w:tcPr>
            <w:tcW w:w="1418" w:type="dxa"/>
          </w:tcPr>
          <w:p w:rsidR="00725CB6" w:rsidRPr="0085143C" w:rsidRDefault="00725CB6" w:rsidP="0085143C">
            <w:pPr>
              <w:pStyle w:val="Default"/>
              <w:jc w:val="center"/>
              <w:rPr>
                <w:sz w:val="20"/>
                <w:szCs w:val="20"/>
              </w:rPr>
            </w:pPr>
            <w:r w:rsidRPr="0085143C">
              <w:rPr>
                <w:sz w:val="20"/>
                <w:szCs w:val="20"/>
              </w:rPr>
              <w:t>1.4</w:t>
            </w:r>
          </w:p>
        </w:tc>
        <w:tc>
          <w:tcPr>
            <w:tcW w:w="1430" w:type="dxa"/>
            <w:gridSpan w:val="2"/>
          </w:tcPr>
          <w:p w:rsidR="00725CB6" w:rsidRPr="0085143C" w:rsidRDefault="00725CB6" w:rsidP="0085143C">
            <w:pPr>
              <w:pStyle w:val="Default"/>
              <w:jc w:val="center"/>
              <w:rPr>
                <w:sz w:val="20"/>
                <w:szCs w:val="20"/>
              </w:rPr>
            </w:pPr>
            <w:r w:rsidRPr="0085143C">
              <w:rPr>
                <w:sz w:val="20"/>
                <w:szCs w:val="20"/>
              </w:rPr>
              <w:t>8.92 %</w:t>
            </w:r>
          </w:p>
        </w:tc>
        <w:tc>
          <w:tcPr>
            <w:tcW w:w="1368" w:type="dxa"/>
          </w:tcPr>
          <w:p w:rsidR="00725CB6" w:rsidRPr="0085143C" w:rsidRDefault="00725CB6" w:rsidP="0085143C">
            <w:pPr>
              <w:pStyle w:val="Default"/>
              <w:jc w:val="center"/>
              <w:rPr>
                <w:sz w:val="20"/>
                <w:szCs w:val="20"/>
              </w:rPr>
            </w:pPr>
            <w:r w:rsidRPr="0085143C">
              <w:rPr>
                <w:sz w:val="20"/>
                <w:szCs w:val="20"/>
              </w:rPr>
              <w:t>4.33 %</w:t>
            </w:r>
          </w:p>
        </w:tc>
      </w:tr>
      <w:tr w:rsidR="00725CB6" w:rsidRPr="0085143C" w:rsidTr="00725CB6">
        <w:trPr>
          <w:trHeight w:val="93"/>
        </w:trPr>
        <w:tc>
          <w:tcPr>
            <w:tcW w:w="1663" w:type="dxa"/>
          </w:tcPr>
          <w:p w:rsidR="00725CB6" w:rsidRPr="0085143C" w:rsidRDefault="00725CB6" w:rsidP="0085143C">
            <w:pPr>
              <w:pStyle w:val="Default"/>
              <w:rPr>
                <w:sz w:val="20"/>
                <w:szCs w:val="20"/>
              </w:rPr>
            </w:pPr>
            <w:r w:rsidRPr="0085143C">
              <w:rPr>
                <w:b/>
                <w:bCs/>
                <w:sz w:val="20"/>
                <w:szCs w:val="20"/>
              </w:rPr>
              <w:t xml:space="preserve">TOTAL </w:t>
            </w:r>
          </w:p>
        </w:tc>
        <w:tc>
          <w:tcPr>
            <w:tcW w:w="1134" w:type="dxa"/>
          </w:tcPr>
          <w:p w:rsidR="00725CB6" w:rsidRPr="0085143C" w:rsidRDefault="00725CB6" w:rsidP="0085143C">
            <w:pPr>
              <w:pStyle w:val="Default"/>
              <w:jc w:val="center"/>
              <w:rPr>
                <w:b/>
                <w:sz w:val="20"/>
                <w:szCs w:val="20"/>
              </w:rPr>
            </w:pPr>
            <w:r w:rsidRPr="0085143C">
              <w:rPr>
                <w:b/>
                <w:sz w:val="20"/>
                <w:szCs w:val="20"/>
              </w:rPr>
              <w:t>143.1</w:t>
            </w:r>
          </w:p>
        </w:tc>
        <w:tc>
          <w:tcPr>
            <w:tcW w:w="1275" w:type="dxa"/>
          </w:tcPr>
          <w:p w:rsidR="00725CB6" w:rsidRPr="0085143C" w:rsidRDefault="00725CB6" w:rsidP="0085143C">
            <w:pPr>
              <w:pStyle w:val="Default"/>
              <w:jc w:val="center"/>
              <w:rPr>
                <w:b/>
                <w:sz w:val="20"/>
                <w:szCs w:val="20"/>
              </w:rPr>
            </w:pPr>
            <w:r w:rsidRPr="0085143C">
              <w:rPr>
                <w:b/>
                <w:sz w:val="20"/>
                <w:szCs w:val="20"/>
              </w:rPr>
              <w:t>156.3</w:t>
            </w:r>
          </w:p>
        </w:tc>
        <w:tc>
          <w:tcPr>
            <w:tcW w:w="1276" w:type="dxa"/>
          </w:tcPr>
          <w:p w:rsidR="00725CB6" w:rsidRPr="0085143C" w:rsidRDefault="00725CB6" w:rsidP="0085143C">
            <w:pPr>
              <w:pStyle w:val="Default"/>
              <w:jc w:val="center"/>
              <w:rPr>
                <w:b/>
                <w:sz w:val="20"/>
                <w:szCs w:val="20"/>
              </w:rPr>
            </w:pPr>
            <w:r w:rsidRPr="0085143C">
              <w:rPr>
                <w:b/>
                <w:sz w:val="20"/>
                <w:szCs w:val="20"/>
              </w:rPr>
              <w:t>13.2</w:t>
            </w:r>
          </w:p>
        </w:tc>
        <w:tc>
          <w:tcPr>
            <w:tcW w:w="1418" w:type="dxa"/>
          </w:tcPr>
          <w:p w:rsidR="00725CB6" w:rsidRPr="0085143C" w:rsidRDefault="00725CB6" w:rsidP="0085143C">
            <w:pPr>
              <w:pStyle w:val="Default"/>
              <w:jc w:val="center"/>
              <w:rPr>
                <w:b/>
                <w:sz w:val="20"/>
                <w:szCs w:val="20"/>
              </w:rPr>
            </w:pPr>
            <w:r w:rsidRPr="0085143C">
              <w:rPr>
                <w:b/>
                <w:sz w:val="20"/>
                <w:szCs w:val="20"/>
              </w:rPr>
              <w:t>6.6</w:t>
            </w:r>
          </w:p>
        </w:tc>
        <w:tc>
          <w:tcPr>
            <w:tcW w:w="1430" w:type="dxa"/>
            <w:gridSpan w:val="2"/>
          </w:tcPr>
          <w:p w:rsidR="00725CB6" w:rsidRPr="0085143C" w:rsidRDefault="00725CB6" w:rsidP="0085143C">
            <w:pPr>
              <w:pStyle w:val="Default"/>
              <w:jc w:val="center"/>
              <w:rPr>
                <w:b/>
                <w:sz w:val="20"/>
                <w:szCs w:val="20"/>
              </w:rPr>
            </w:pPr>
            <w:r w:rsidRPr="0085143C">
              <w:rPr>
                <w:b/>
                <w:bCs/>
                <w:sz w:val="20"/>
                <w:szCs w:val="20"/>
              </w:rPr>
              <w:t>9.2 %</w:t>
            </w:r>
          </w:p>
        </w:tc>
        <w:tc>
          <w:tcPr>
            <w:tcW w:w="1368" w:type="dxa"/>
          </w:tcPr>
          <w:p w:rsidR="00725CB6" w:rsidRPr="0085143C" w:rsidRDefault="00725CB6" w:rsidP="0085143C">
            <w:pPr>
              <w:pStyle w:val="Default"/>
              <w:jc w:val="center"/>
              <w:rPr>
                <w:b/>
                <w:sz w:val="20"/>
                <w:szCs w:val="20"/>
              </w:rPr>
            </w:pPr>
            <w:r w:rsidRPr="0085143C">
              <w:rPr>
                <w:b/>
                <w:bCs/>
                <w:sz w:val="20"/>
                <w:szCs w:val="20"/>
              </w:rPr>
              <w:t>4.62 %</w:t>
            </w:r>
          </w:p>
        </w:tc>
      </w:tr>
    </w:tbl>
    <w:p w:rsidR="00725CB6" w:rsidRPr="0085143C" w:rsidRDefault="008908C6" w:rsidP="0085143C">
      <w:pPr>
        <w:spacing w:after="0" w:line="240" w:lineRule="auto"/>
        <w:jc w:val="right"/>
        <w:rPr>
          <w:rFonts w:ascii="Arial" w:hAnsi="Arial" w:cs="Arial"/>
          <w:b/>
          <w:sz w:val="20"/>
          <w:szCs w:val="20"/>
        </w:rPr>
      </w:pPr>
      <w:r w:rsidRPr="0085143C">
        <w:rPr>
          <w:rFonts w:ascii="Arial" w:hAnsi="Arial" w:cs="Arial"/>
          <w:b/>
          <w:sz w:val="20"/>
          <w:szCs w:val="20"/>
        </w:rPr>
        <w:t xml:space="preserve">      Source: National Treasury (2020)</w:t>
      </w:r>
    </w:p>
    <w:p w:rsidR="008908C6" w:rsidRPr="0085143C" w:rsidRDefault="008908C6" w:rsidP="0085143C">
      <w:pPr>
        <w:spacing w:after="0" w:line="240" w:lineRule="auto"/>
        <w:jc w:val="right"/>
        <w:rPr>
          <w:rFonts w:ascii="Arial" w:hAnsi="Arial" w:cs="Arial"/>
          <w:b/>
          <w:sz w:val="20"/>
          <w:szCs w:val="20"/>
        </w:rPr>
      </w:pPr>
    </w:p>
    <w:p w:rsidR="00EC4482" w:rsidRPr="0085143C" w:rsidRDefault="008908C6" w:rsidP="0085143C">
      <w:pPr>
        <w:spacing w:after="0" w:line="240" w:lineRule="auto"/>
        <w:jc w:val="both"/>
        <w:rPr>
          <w:rFonts w:ascii="Arial" w:hAnsi="Arial" w:cs="Arial"/>
          <w:sz w:val="20"/>
          <w:szCs w:val="20"/>
        </w:rPr>
      </w:pPr>
      <w:r w:rsidRPr="0085143C">
        <w:rPr>
          <w:rFonts w:ascii="Arial" w:hAnsi="Arial" w:cs="Arial"/>
          <w:sz w:val="20"/>
          <w:szCs w:val="20"/>
        </w:rPr>
        <w:t>The Civilian Oversight, Monitoring and Evaluation Programme received a Main Appropriation of R35.4 million in 2020/21, which is a nominal increase of 8.92% when compared to the previous financial year. Proportionally, the Programme received 22.65% of the total Departmental budget in 202/21, which makes it the second largest budget allocation of all budget Programmes of the Department.</w:t>
      </w:r>
    </w:p>
    <w:p w:rsidR="00EC4482" w:rsidRPr="0085143C" w:rsidRDefault="00EC4482" w:rsidP="0085143C">
      <w:pPr>
        <w:spacing w:after="0" w:line="240" w:lineRule="auto"/>
        <w:jc w:val="both"/>
        <w:rPr>
          <w:rFonts w:ascii="Arial" w:hAnsi="Arial" w:cs="Arial"/>
          <w:b/>
          <w:sz w:val="20"/>
          <w:szCs w:val="20"/>
        </w:rPr>
      </w:pPr>
    </w:p>
    <w:p w:rsidR="008908C6" w:rsidRPr="0085143C" w:rsidRDefault="009A757D" w:rsidP="0085143C">
      <w:pPr>
        <w:spacing w:after="0" w:line="240" w:lineRule="auto"/>
        <w:jc w:val="both"/>
        <w:rPr>
          <w:rFonts w:ascii="Arial" w:hAnsi="Arial" w:cs="Arial"/>
          <w:b/>
          <w:sz w:val="20"/>
          <w:szCs w:val="20"/>
        </w:rPr>
      </w:pPr>
      <w:r w:rsidRPr="0085143C">
        <w:rPr>
          <w:rFonts w:ascii="Arial" w:hAnsi="Arial" w:cs="Arial"/>
          <w:b/>
          <w:sz w:val="20"/>
          <w:szCs w:val="20"/>
        </w:rPr>
        <w:t>4.2</w:t>
      </w:r>
      <w:r w:rsidRPr="0085143C">
        <w:rPr>
          <w:rFonts w:ascii="Arial" w:hAnsi="Arial" w:cs="Arial"/>
          <w:b/>
          <w:sz w:val="20"/>
          <w:szCs w:val="20"/>
        </w:rPr>
        <w:tab/>
      </w:r>
      <w:r w:rsidR="008908C6" w:rsidRPr="0085143C">
        <w:rPr>
          <w:rFonts w:ascii="Arial" w:hAnsi="Arial" w:cs="Arial"/>
          <w:b/>
          <w:sz w:val="20"/>
          <w:szCs w:val="20"/>
        </w:rPr>
        <w:t>Budget allocation per programme</w:t>
      </w:r>
    </w:p>
    <w:p w:rsidR="00EC4482" w:rsidRPr="0085143C" w:rsidRDefault="00EC4482" w:rsidP="0085143C">
      <w:pPr>
        <w:spacing w:after="0" w:line="240" w:lineRule="auto"/>
        <w:jc w:val="both"/>
        <w:rPr>
          <w:rFonts w:ascii="Arial" w:hAnsi="Arial" w:cs="Arial"/>
          <w:b/>
          <w:sz w:val="20"/>
          <w:szCs w:val="20"/>
        </w:rPr>
      </w:pPr>
    </w:p>
    <w:p w:rsidR="008908C6" w:rsidRPr="0085143C" w:rsidRDefault="009A757D" w:rsidP="0085143C">
      <w:pPr>
        <w:spacing w:after="0" w:line="240" w:lineRule="auto"/>
        <w:jc w:val="both"/>
        <w:rPr>
          <w:rFonts w:ascii="Arial" w:hAnsi="Arial" w:cs="Arial"/>
          <w:b/>
          <w:sz w:val="20"/>
          <w:szCs w:val="20"/>
        </w:rPr>
      </w:pPr>
      <w:r w:rsidRPr="0085143C">
        <w:rPr>
          <w:rFonts w:ascii="Arial" w:hAnsi="Arial" w:cs="Arial"/>
          <w:b/>
          <w:sz w:val="20"/>
          <w:szCs w:val="20"/>
        </w:rPr>
        <w:t>4</w:t>
      </w:r>
      <w:r w:rsidR="008908C6" w:rsidRPr="0085143C">
        <w:rPr>
          <w:rFonts w:ascii="Arial" w:hAnsi="Arial" w:cs="Arial"/>
          <w:b/>
          <w:sz w:val="20"/>
          <w:szCs w:val="20"/>
        </w:rPr>
        <w:t>.2.1. Programme 1: Administration</w:t>
      </w:r>
    </w:p>
    <w:p w:rsidR="00162DCA" w:rsidRPr="0085143C" w:rsidRDefault="008908C6" w:rsidP="0085143C">
      <w:pPr>
        <w:spacing w:after="0" w:line="240" w:lineRule="auto"/>
        <w:jc w:val="both"/>
        <w:rPr>
          <w:rFonts w:ascii="Arial" w:hAnsi="Arial" w:cs="Arial"/>
          <w:sz w:val="20"/>
          <w:szCs w:val="20"/>
        </w:rPr>
      </w:pPr>
      <w:r w:rsidRPr="0085143C">
        <w:rPr>
          <w:rFonts w:ascii="Arial" w:hAnsi="Arial" w:cs="Arial"/>
          <w:sz w:val="20"/>
          <w:szCs w:val="20"/>
        </w:rPr>
        <w:t>The Administration Programme’s budget allocation increased from R63.8 million in 2019/20 to R69.4 million in 2020/21, which is a nominal increase of 8.8%. Taking inflation into consideration, the Programme’s allocation increased by 4.19% when compared to the previous financial year.</w:t>
      </w:r>
    </w:p>
    <w:p w:rsidR="008908C6" w:rsidRPr="0085143C" w:rsidRDefault="008908C6" w:rsidP="0085143C">
      <w:pPr>
        <w:spacing w:after="0" w:line="240" w:lineRule="auto"/>
        <w:jc w:val="both"/>
        <w:rPr>
          <w:rFonts w:ascii="Arial" w:hAnsi="Arial" w:cs="Arial"/>
          <w:sz w:val="20"/>
          <w:szCs w:val="20"/>
        </w:rPr>
      </w:pPr>
    </w:p>
    <w:p w:rsidR="008908C6" w:rsidRPr="0085143C" w:rsidRDefault="008908C6" w:rsidP="0085143C">
      <w:pPr>
        <w:spacing w:after="0" w:line="240" w:lineRule="auto"/>
        <w:jc w:val="both"/>
        <w:rPr>
          <w:rFonts w:ascii="Arial" w:hAnsi="Arial" w:cs="Arial"/>
          <w:b/>
          <w:sz w:val="20"/>
          <w:szCs w:val="20"/>
        </w:rPr>
      </w:pPr>
      <w:r w:rsidRPr="0085143C">
        <w:rPr>
          <w:rFonts w:ascii="Arial" w:hAnsi="Arial" w:cs="Arial"/>
          <w:b/>
          <w:sz w:val="20"/>
          <w:szCs w:val="20"/>
        </w:rPr>
        <w:t xml:space="preserve">Table </w:t>
      </w:r>
      <w:r w:rsidR="009A757D" w:rsidRPr="0085143C">
        <w:rPr>
          <w:rFonts w:ascii="Arial" w:hAnsi="Arial" w:cs="Arial"/>
          <w:b/>
          <w:sz w:val="20"/>
          <w:szCs w:val="20"/>
        </w:rPr>
        <w:t>3</w:t>
      </w:r>
      <w:r w:rsidRPr="0085143C">
        <w:rPr>
          <w:rFonts w:ascii="Arial" w:hAnsi="Arial" w:cs="Arial"/>
          <w:b/>
          <w:sz w:val="20"/>
          <w:szCs w:val="20"/>
        </w:rPr>
        <w:t>: Budget allocation: Administration Programme per sub-programme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4"/>
        <w:gridCol w:w="993"/>
        <w:gridCol w:w="992"/>
        <w:gridCol w:w="1134"/>
        <w:gridCol w:w="1134"/>
        <w:gridCol w:w="1276"/>
        <w:gridCol w:w="11"/>
        <w:gridCol w:w="1224"/>
      </w:tblGrid>
      <w:tr w:rsidR="008908C6" w:rsidRPr="0085143C" w:rsidTr="0041080E">
        <w:trPr>
          <w:trHeight w:val="513"/>
          <w:jc w:val="center"/>
        </w:trPr>
        <w:tc>
          <w:tcPr>
            <w:tcW w:w="1804" w:type="dxa"/>
          </w:tcPr>
          <w:p w:rsidR="008908C6" w:rsidRPr="0085143C" w:rsidRDefault="008908C6" w:rsidP="0085143C">
            <w:pPr>
              <w:pStyle w:val="Default"/>
              <w:rPr>
                <w:sz w:val="20"/>
                <w:szCs w:val="20"/>
              </w:rPr>
            </w:pPr>
            <w:r w:rsidRPr="0085143C">
              <w:rPr>
                <w:b/>
                <w:bCs/>
                <w:sz w:val="20"/>
                <w:szCs w:val="20"/>
              </w:rPr>
              <w:t xml:space="preserve">Programme </w:t>
            </w:r>
          </w:p>
        </w:tc>
        <w:tc>
          <w:tcPr>
            <w:tcW w:w="1985" w:type="dxa"/>
            <w:gridSpan w:val="2"/>
          </w:tcPr>
          <w:p w:rsidR="008908C6" w:rsidRPr="0085143C" w:rsidRDefault="008908C6" w:rsidP="0085143C">
            <w:pPr>
              <w:pStyle w:val="Default"/>
              <w:rPr>
                <w:sz w:val="20"/>
                <w:szCs w:val="20"/>
              </w:rPr>
            </w:pPr>
            <w:r w:rsidRPr="0085143C">
              <w:rPr>
                <w:b/>
                <w:bCs/>
                <w:sz w:val="20"/>
                <w:szCs w:val="20"/>
              </w:rPr>
              <w:t xml:space="preserve">Budget </w:t>
            </w:r>
          </w:p>
        </w:tc>
        <w:tc>
          <w:tcPr>
            <w:tcW w:w="1134" w:type="dxa"/>
          </w:tcPr>
          <w:p w:rsidR="008908C6" w:rsidRPr="0085143C" w:rsidRDefault="008908C6" w:rsidP="0085143C">
            <w:pPr>
              <w:pStyle w:val="Default"/>
              <w:rPr>
                <w:sz w:val="20"/>
                <w:szCs w:val="20"/>
              </w:rPr>
            </w:pPr>
            <w:r w:rsidRPr="0085143C">
              <w:rPr>
                <w:b/>
                <w:bCs/>
                <w:sz w:val="20"/>
                <w:szCs w:val="20"/>
              </w:rPr>
              <w:t xml:space="preserve">Nominal Increase / Decrease in 2020/21 </w:t>
            </w:r>
          </w:p>
        </w:tc>
        <w:tc>
          <w:tcPr>
            <w:tcW w:w="1134" w:type="dxa"/>
          </w:tcPr>
          <w:p w:rsidR="008908C6" w:rsidRPr="0085143C" w:rsidRDefault="008908C6" w:rsidP="0085143C">
            <w:pPr>
              <w:pStyle w:val="Default"/>
              <w:rPr>
                <w:sz w:val="20"/>
                <w:szCs w:val="20"/>
              </w:rPr>
            </w:pPr>
            <w:r w:rsidRPr="0085143C">
              <w:rPr>
                <w:b/>
                <w:bCs/>
                <w:sz w:val="20"/>
                <w:szCs w:val="20"/>
              </w:rPr>
              <w:t xml:space="preserve">Real Increase / Decrease in 2020/21 </w:t>
            </w:r>
          </w:p>
        </w:tc>
        <w:tc>
          <w:tcPr>
            <w:tcW w:w="1276" w:type="dxa"/>
          </w:tcPr>
          <w:p w:rsidR="008908C6" w:rsidRPr="0085143C" w:rsidRDefault="008908C6" w:rsidP="0085143C">
            <w:pPr>
              <w:pStyle w:val="Default"/>
              <w:rPr>
                <w:sz w:val="20"/>
                <w:szCs w:val="20"/>
              </w:rPr>
            </w:pPr>
            <w:r w:rsidRPr="0085143C">
              <w:rPr>
                <w:b/>
                <w:bCs/>
                <w:sz w:val="20"/>
                <w:szCs w:val="20"/>
              </w:rPr>
              <w:t xml:space="preserve">Nominal Percent change in 2020/21 </w:t>
            </w:r>
          </w:p>
        </w:tc>
        <w:tc>
          <w:tcPr>
            <w:tcW w:w="1235" w:type="dxa"/>
            <w:gridSpan w:val="2"/>
          </w:tcPr>
          <w:p w:rsidR="008908C6" w:rsidRPr="0085143C" w:rsidRDefault="008908C6" w:rsidP="0085143C">
            <w:pPr>
              <w:pStyle w:val="Default"/>
              <w:rPr>
                <w:sz w:val="20"/>
                <w:szCs w:val="20"/>
              </w:rPr>
            </w:pPr>
            <w:r w:rsidRPr="0085143C">
              <w:rPr>
                <w:b/>
                <w:bCs/>
                <w:sz w:val="20"/>
                <w:szCs w:val="20"/>
              </w:rPr>
              <w:t xml:space="preserve">Real Percent change in 2020/21 </w:t>
            </w:r>
          </w:p>
        </w:tc>
      </w:tr>
      <w:tr w:rsidR="008908C6" w:rsidRPr="0085143C" w:rsidTr="0041080E">
        <w:trPr>
          <w:trHeight w:val="93"/>
          <w:jc w:val="center"/>
        </w:trPr>
        <w:tc>
          <w:tcPr>
            <w:tcW w:w="1804" w:type="dxa"/>
          </w:tcPr>
          <w:p w:rsidR="008908C6" w:rsidRPr="0085143C" w:rsidRDefault="008908C6" w:rsidP="0085143C">
            <w:pPr>
              <w:pStyle w:val="Default"/>
              <w:rPr>
                <w:sz w:val="20"/>
                <w:szCs w:val="20"/>
              </w:rPr>
            </w:pPr>
            <w:r w:rsidRPr="0085143C">
              <w:rPr>
                <w:b/>
                <w:bCs/>
                <w:sz w:val="20"/>
                <w:szCs w:val="20"/>
              </w:rPr>
              <w:t xml:space="preserve">R million </w:t>
            </w:r>
          </w:p>
        </w:tc>
        <w:tc>
          <w:tcPr>
            <w:tcW w:w="993" w:type="dxa"/>
          </w:tcPr>
          <w:p w:rsidR="008908C6" w:rsidRPr="0085143C" w:rsidRDefault="008908C6" w:rsidP="0085143C">
            <w:pPr>
              <w:pStyle w:val="Default"/>
              <w:rPr>
                <w:sz w:val="20"/>
                <w:szCs w:val="20"/>
              </w:rPr>
            </w:pPr>
            <w:r w:rsidRPr="0085143C">
              <w:rPr>
                <w:sz w:val="20"/>
                <w:szCs w:val="20"/>
              </w:rPr>
              <w:t>2019/20</w:t>
            </w:r>
          </w:p>
        </w:tc>
        <w:tc>
          <w:tcPr>
            <w:tcW w:w="992" w:type="dxa"/>
          </w:tcPr>
          <w:p w:rsidR="008908C6" w:rsidRPr="0085143C" w:rsidRDefault="008908C6" w:rsidP="0085143C">
            <w:pPr>
              <w:pStyle w:val="Default"/>
              <w:rPr>
                <w:sz w:val="20"/>
                <w:szCs w:val="20"/>
              </w:rPr>
            </w:pPr>
            <w:r w:rsidRPr="0085143C">
              <w:rPr>
                <w:sz w:val="20"/>
                <w:szCs w:val="20"/>
              </w:rPr>
              <w:t>2020/21</w:t>
            </w:r>
          </w:p>
        </w:tc>
        <w:tc>
          <w:tcPr>
            <w:tcW w:w="2268" w:type="dxa"/>
            <w:gridSpan w:val="2"/>
          </w:tcPr>
          <w:p w:rsidR="008908C6" w:rsidRPr="0085143C" w:rsidRDefault="008908C6" w:rsidP="0085143C">
            <w:pPr>
              <w:pStyle w:val="Default"/>
              <w:rPr>
                <w:sz w:val="20"/>
                <w:szCs w:val="20"/>
              </w:rPr>
            </w:pPr>
          </w:p>
        </w:tc>
        <w:tc>
          <w:tcPr>
            <w:tcW w:w="2511" w:type="dxa"/>
            <w:gridSpan w:val="3"/>
          </w:tcPr>
          <w:p w:rsidR="008908C6" w:rsidRPr="0085143C" w:rsidRDefault="008908C6" w:rsidP="0085143C">
            <w:pPr>
              <w:pStyle w:val="Default"/>
              <w:rPr>
                <w:sz w:val="20"/>
                <w:szCs w:val="20"/>
              </w:rPr>
            </w:pPr>
          </w:p>
        </w:tc>
      </w:tr>
      <w:tr w:rsidR="0041080E" w:rsidRPr="0085143C" w:rsidTr="0041080E">
        <w:trPr>
          <w:trHeight w:val="93"/>
          <w:jc w:val="center"/>
        </w:trPr>
        <w:tc>
          <w:tcPr>
            <w:tcW w:w="1804" w:type="dxa"/>
          </w:tcPr>
          <w:p w:rsidR="008908C6" w:rsidRPr="0085143C" w:rsidRDefault="008908C6" w:rsidP="0085143C">
            <w:pPr>
              <w:pStyle w:val="Default"/>
              <w:rPr>
                <w:sz w:val="20"/>
                <w:szCs w:val="20"/>
              </w:rPr>
            </w:pPr>
            <w:r w:rsidRPr="0085143C">
              <w:rPr>
                <w:b/>
                <w:bCs/>
                <w:sz w:val="20"/>
                <w:szCs w:val="20"/>
              </w:rPr>
              <w:t xml:space="preserve">Department Management </w:t>
            </w:r>
          </w:p>
        </w:tc>
        <w:tc>
          <w:tcPr>
            <w:tcW w:w="993" w:type="dxa"/>
          </w:tcPr>
          <w:p w:rsidR="008908C6" w:rsidRPr="0085143C" w:rsidRDefault="008908C6" w:rsidP="0085143C">
            <w:pPr>
              <w:pStyle w:val="Default"/>
              <w:jc w:val="center"/>
              <w:rPr>
                <w:sz w:val="20"/>
                <w:szCs w:val="20"/>
              </w:rPr>
            </w:pPr>
            <w:r w:rsidRPr="0085143C">
              <w:rPr>
                <w:sz w:val="20"/>
                <w:szCs w:val="20"/>
              </w:rPr>
              <w:t>11.9</w:t>
            </w:r>
          </w:p>
        </w:tc>
        <w:tc>
          <w:tcPr>
            <w:tcW w:w="992" w:type="dxa"/>
          </w:tcPr>
          <w:p w:rsidR="008908C6" w:rsidRPr="0085143C" w:rsidRDefault="008908C6" w:rsidP="0085143C">
            <w:pPr>
              <w:pStyle w:val="Default"/>
              <w:jc w:val="center"/>
              <w:rPr>
                <w:sz w:val="20"/>
                <w:szCs w:val="20"/>
              </w:rPr>
            </w:pPr>
            <w:r w:rsidRPr="0085143C">
              <w:rPr>
                <w:sz w:val="20"/>
                <w:szCs w:val="20"/>
              </w:rPr>
              <w:t>13.3</w:t>
            </w:r>
          </w:p>
        </w:tc>
        <w:tc>
          <w:tcPr>
            <w:tcW w:w="1134" w:type="dxa"/>
          </w:tcPr>
          <w:p w:rsidR="008908C6" w:rsidRPr="0085143C" w:rsidRDefault="008908C6" w:rsidP="0085143C">
            <w:pPr>
              <w:pStyle w:val="Default"/>
              <w:jc w:val="center"/>
              <w:rPr>
                <w:sz w:val="20"/>
                <w:szCs w:val="20"/>
              </w:rPr>
            </w:pPr>
            <w:r w:rsidRPr="0085143C">
              <w:rPr>
                <w:sz w:val="20"/>
                <w:szCs w:val="20"/>
              </w:rPr>
              <w:t>1.4</w:t>
            </w:r>
          </w:p>
        </w:tc>
        <w:tc>
          <w:tcPr>
            <w:tcW w:w="1134" w:type="dxa"/>
          </w:tcPr>
          <w:p w:rsidR="008908C6" w:rsidRPr="0085143C" w:rsidRDefault="008908C6" w:rsidP="0085143C">
            <w:pPr>
              <w:pStyle w:val="Default"/>
              <w:jc w:val="center"/>
              <w:rPr>
                <w:sz w:val="20"/>
                <w:szCs w:val="20"/>
              </w:rPr>
            </w:pPr>
            <w:r w:rsidRPr="0085143C">
              <w:rPr>
                <w:sz w:val="20"/>
                <w:szCs w:val="20"/>
              </w:rPr>
              <w:t>0.8</w:t>
            </w:r>
          </w:p>
        </w:tc>
        <w:tc>
          <w:tcPr>
            <w:tcW w:w="1287" w:type="dxa"/>
            <w:gridSpan w:val="2"/>
          </w:tcPr>
          <w:p w:rsidR="008908C6" w:rsidRPr="0085143C" w:rsidRDefault="008908C6" w:rsidP="0085143C">
            <w:pPr>
              <w:pStyle w:val="Default"/>
              <w:jc w:val="center"/>
              <w:rPr>
                <w:sz w:val="20"/>
                <w:szCs w:val="20"/>
              </w:rPr>
            </w:pPr>
            <w:r w:rsidRPr="0085143C">
              <w:rPr>
                <w:sz w:val="20"/>
                <w:szCs w:val="20"/>
              </w:rPr>
              <w:t>11.76 %</w:t>
            </w:r>
          </w:p>
        </w:tc>
        <w:tc>
          <w:tcPr>
            <w:tcW w:w="1224" w:type="dxa"/>
          </w:tcPr>
          <w:p w:rsidR="008908C6" w:rsidRPr="0085143C" w:rsidRDefault="008908C6" w:rsidP="0085143C">
            <w:pPr>
              <w:pStyle w:val="Default"/>
              <w:jc w:val="center"/>
              <w:rPr>
                <w:sz w:val="20"/>
                <w:szCs w:val="20"/>
              </w:rPr>
            </w:pPr>
            <w:r w:rsidRPr="0085143C">
              <w:rPr>
                <w:sz w:val="20"/>
                <w:szCs w:val="20"/>
              </w:rPr>
              <w:t>7.05%</w:t>
            </w:r>
          </w:p>
        </w:tc>
      </w:tr>
      <w:tr w:rsidR="0041080E" w:rsidRPr="0085143C" w:rsidTr="0041080E">
        <w:trPr>
          <w:trHeight w:val="93"/>
          <w:jc w:val="center"/>
        </w:trPr>
        <w:tc>
          <w:tcPr>
            <w:tcW w:w="1804" w:type="dxa"/>
          </w:tcPr>
          <w:p w:rsidR="008908C6" w:rsidRPr="0085143C" w:rsidRDefault="008908C6" w:rsidP="0085143C">
            <w:pPr>
              <w:pStyle w:val="Default"/>
              <w:rPr>
                <w:sz w:val="20"/>
                <w:szCs w:val="20"/>
              </w:rPr>
            </w:pPr>
            <w:r w:rsidRPr="0085143C">
              <w:rPr>
                <w:b/>
                <w:bCs/>
                <w:sz w:val="20"/>
                <w:szCs w:val="20"/>
              </w:rPr>
              <w:t xml:space="preserve">Corporate Services </w:t>
            </w:r>
          </w:p>
        </w:tc>
        <w:tc>
          <w:tcPr>
            <w:tcW w:w="993" w:type="dxa"/>
          </w:tcPr>
          <w:p w:rsidR="008908C6" w:rsidRPr="0085143C" w:rsidRDefault="008908C6" w:rsidP="0085143C">
            <w:pPr>
              <w:pStyle w:val="Default"/>
              <w:jc w:val="center"/>
              <w:rPr>
                <w:sz w:val="20"/>
                <w:szCs w:val="20"/>
              </w:rPr>
            </w:pPr>
            <w:r w:rsidRPr="0085143C">
              <w:rPr>
                <w:sz w:val="20"/>
                <w:szCs w:val="20"/>
              </w:rPr>
              <w:t>23.9</w:t>
            </w:r>
          </w:p>
        </w:tc>
        <w:tc>
          <w:tcPr>
            <w:tcW w:w="992" w:type="dxa"/>
          </w:tcPr>
          <w:p w:rsidR="008908C6" w:rsidRPr="0085143C" w:rsidRDefault="008908C6" w:rsidP="0085143C">
            <w:pPr>
              <w:pStyle w:val="Default"/>
              <w:jc w:val="center"/>
              <w:rPr>
                <w:sz w:val="20"/>
                <w:szCs w:val="20"/>
              </w:rPr>
            </w:pPr>
            <w:r w:rsidRPr="0085143C">
              <w:rPr>
                <w:sz w:val="20"/>
                <w:szCs w:val="20"/>
              </w:rPr>
              <w:t>25.2</w:t>
            </w:r>
          </w:p>
        </w:tc>
        <w:tc>
          <w:tcPr>
            <w:tcW w:w="1134" w:type="dxa"/>
          </w:tcPr>
          <w:p w:rsidR="008908C6" w:rsidRPr="0085143C" w:rsidRDefault="008908C6" w:rsidP="0085143C">
            <w:pPr>
              <w:pStyle w:val="Default"/>
              <w:jc w:val="center"/>
              <w:rPr>
                <w:sz w:val="20"/>
                <w:szCs w:val="20"/>
              </w:rPr>
            </w:pPr>
            <w:r w:rsidRPr="0085143C">
              <w:rPr>
                <w:sz w:val="20"/>
                <w:szCs w:val="20"/>
              </w:rPr>
              <w:t>1.3</w:t>
            </w:r>
          </w:p>
        </w:tc>
        <w:tc>
          <w:tcPr>
            <w:tcW w:w="1134" w:type="dxa"/>
          </w:tcPr>
          <w:p w:rsidR="008908C6" w:rsidRPr="0085143C" w:rsidRDefault="008908C6" w:rsidP="0085143C">
            <w:pPr>
              <w:pStyle w:val="Default"/>
              <w:jc w:val="center"/>
              <w:rPr>
                <w:sz w:val="20"/>
                <w:szCs w:val="20"/>
              </w:rPr>
            </w:pPr>
            <w:r w:rsidRPr="0085143C">
              <w:rPr>
                <w:sz w:val="20"/>
                <w:szCs w:val="20"/>
              </w:rPr>
              <w:t>0.2</w:t>
            </w:r>
          </w:p>
        </w:tc>
        <w:tc>
          <w:tcPr>
            <w:tcW w:w="1287" w:type="dxa"/>
            <w:gridSpan w:val="2"/>
          </w:tcPr>
          <w:p w:rsidR="008908C6" w:rsidRPr="0085143C" w:rsidRDefault="008908C6" w:rsidP="0085143C">
            <w:pPr>
              <w:pStyle w:val="Default"/>
              <w:jc w:val="center"/>
              <w:rPr>
                <w:sz w:val="20"/>
                <w:szCs w:val="20"/>
              </w:rPr>
            </w:pPr>
            <w:r w:rsidRPr="0085143C">
              <w:rPr>
                <w:sz w:val="20"/>
                <w:szCs w:val="20"/>
              </w:rPr>
              <w:t>5.44 %</w:t>
            </w:r>
          </w:p>
        </w:tc>
        <w:tc>
          <w:tcPr>
            <w:tcW w:w="1224" w:type="dxa"/>
          </w:tcPr>
          <w:p w:rsidR="008908C6" w:rsidRPr="0085143C" w:rsidRDefault="008908C6" w:rsidP="0085143C">
            <w:pPr>
              <w:pStyle w:val="Default"/>
              <w:jc w:val="center"/>
              <w:rPr>
                <w:sz w:val="20"/>
                <w:szCs w:val="20"/>
              </w:rPr>
            </w:pPr>
            <w:r w:rsidRPr="0085143C">
              <w:rPr>
                <w:sz w:val="20"/>
                <w:szCs w:val="20"/>
              </w:rPr>
              <w:t>1.00%</w:t>
            </w:r>
          </w:p>
        </w:tc>
      </w:tr>
      <w:tr w:rsidR="0041080E" w:rsidRPr="0085143C" w:rsidTr="0041080E">
        <w:trPr>
          <w:trHeight w:val="93"/>
          <w:jc w:val="center"/>
        </w:trPr>
        <w:tc>
          <w:tcPr>
            <w:tcW w:w="1804" w:type="dxa"/>
          </w:tcPr>
          <w:p w:rsidR="008908C6" w:rsidRPr="0085143C" w:rsidRDefault="008908C6" w:rsidP="0085143C">
            <w:pPr>
              <w:pStyle w:val="Default"/>
              <w:rPr>
                <w:sz w:val="20"/>
                <w:szCs w:val="20"/>
              </w:rPr>
            </w:pPr>
            <w:r w:rsidRPr="0085143C">
              <w:rPr>
                <w:b/>
                <w:bCs/>
                <w:sz w:val="20"/>
                <w:szCs w:val="20"/>
              </w:rPr>
              <w:t xml:space="preserve">Finance Administration </w:t>
            </w:r>
          </w:p>
        </w:tc>
        <w:tc>
          <w:tcPr>
            <w:tcW w:w="993" w:type="dxa"/>
          </w:tcPr>
          <w:p w:rsidR="008908C6" w:rsidRPr="0085143C" w:rsidRDefault="008908C6" w:rsidP="0085143C">
            <w:pPr>
              <w:pStyle w:val="Default"/>
              <w:jc w:val="center"/>
              <w:rPr>
                <w:sz w:val="20"/>
                <w:szCs w:val="20"/>
              </w:rPr>
            </w:pPr>
            <w:r w:rsidRPr="0085143C">
              <w:rPr>
                <w:sz w:val="20"/>
                <w:szCs w:val="20"/>
              </w:rPr>
              <w:t>18.4</w:t>
            </w:r>
          </w:p>
        </w:tc>
        <w:tc>
          <w:tcPr>
            <w:tcW w:w="992" w:type="dxa"/>
          </w:tcPr>
          <w:p w:rsidR="008908C6" w:rsidRPr="0085143C" w:rsidRDefault="008908C6" w:rsidP="0085143C">
            <w:pPr>
              <w:pStyle w:val="Default"/>
              <w:jc w:val="center"/>
              <w:rPr>
                <w:sz w:val="20"/>
                <w:szCs w:val="20"/>
              </w:rPr>
            </w:pPr>
            <w:r w:rsidRPr="0085143C">
              <w:rPr>
                <w:sz w:val="20"/>
                <w:szCs w:val="20"/>
              </w:rPr>
              <w:t>19.0</w:t>
            </w:r>
          </w:p>
        </w:tc>
        <w:tc>
          <w:tcPr>
            <w:tcW w:w="1134" w:type="dxa"/>
          </w:tcPr>
          <w:p w:rsidR="008908C6" w:rsidRPr="0085143C" w:rsidRDefault="008908C6" w:rsidP="0085143C">
            <w:pPr>
              <w:pStyle w:val="Default"/>
              <w:jc w:val="center"/>
              <w:rPr>
                <w:sz w:val="20"/>
                <w:szCs w:val="20"/>
              </w:rPr>
            </w:pPr>
            <w:r w:rsidRPr="0085143C">
              <w:rPr>
                <w:sz w:val="20"/>
                <w:szCs w:val="20"/>
              </w:rPr>
              <w:t>0.6</w:t>
            </w:r>
          </w:p>
        </w:tc>
        <w:tc>
          <w:tcPr>
            <w:tcW w:w="1134" w:type="dxa"/>
          </w:tcPr>
          <w:p w:rsidR="008908C6" w:rsidRPr="0085143C" w:rsidRDefault="008908C6" w:rsidP="0085143C">
            <w:pPr>
              <w:pStyle w:val="Default"/>
              <w:jc w:val="center"/>
              <w:rPr>
                <w:sz w:val="20"/>
                <w:szCs w:val="20"/>
              </w:rPr>
            </w:pPr>
            <w:r w:rsidRPr="0085143C">
              <w:rPr>
                <w:sz w:val="20"/>
                <w:szCs w:val="20"/>
              </w:rPr>
              <w:t>- 0.2</w:t>
            </w:r>
          </w:p>
        </w:tc>
        <w:tc>
          <w:tcPr>
            <w:tcW w:w="1287" w:type="dxa"/>
            <w:gridSpan w:val="2"/>
          </w:tcPr>
          <w:p w:rsidR="008908C6" w:rsidRPr="0085143C" w:rsidRDefault="008908C6" w:rsidP="0085143C">
            <w:pPr>
              <w:pStyle w:val="Default"/>
              <w:jc w:val="center"/>
              <w:rPr>
                <w:sz w:val="20"/>
                <w:szCs w:val="20"/>
              </w:rPr>
            </w:pPr>
            <w:r w:rsidRPr="0085143C">
              <w:rPr>
                <w:sz w:val="20"/>
                <w:szCs w:val="20"/>
              </w:rPr>
              <w:t>3.26%</w:t>
            </w:r>
          </w:p>
        </w:tc>
        <w:tc>
          <w:tcPr>
            <w:tcW w:w="1224" w:type="dxa"/>
          </w:tcPr>
          <w:p w:rsidR="008908C6" w:rsidRPr="0085143C" w:rsidRDefault="0041080E" w:rsidP="0085143C">
            <w:pPr>
              <w:pStyle w:val="Default"/>
              <w:jc w:val="center"/>
              <w:rPr>
                <w:sz w:val="20"/>
                <w:szCs w:val="20"/>
              </w:rPr>
            </w:pPr>
            <w:r w:rsidRPr="0085143C">
              <w:rPr>
                <w:sz w:val="20"/>
                <w:szCs w:val="20"/>
              </w:rPr>
              <w:t>-1.09%</w:t>
            </w:r>
          </w:p>
        </w:tc>
      </w:tr>
      <w:tr w:rsidR="0041080E" w:rsidRPr="0085143C" w:rsidTr="0041080E">
        <w:trPr>
          <w:trHeight w:val="93"/>
          <w:jc w:val="center"/>
        </w:trPr>
        <w:tc>
          <w:tcPr>
            <w:tcW w:w="1804" w:type="dxa"/>
          </w:tcPr>
          <w:p w:rsidR="008908C6" w:rsidRPr="0085143C" w:rsidRDefault="008908C6" w:rsidP="0085143C">
            <w:pPr>
              <w:pStyle w:val="Default"/>
              <w:rPr>
                <w:sz w:val="20"/>
                <w:szCs w:val="20"/>
              </w:rPr>
            </w:pPr>
            <w:r w:rsidRPr="0085143C">
              <w:rPr>
                <w:b/>
                <w:bCs/>
                <w:sz w:val="20"/>
                <w:szCs w:val="20"/>
              </w:rPr>
              <w:t xml:space="preserve">Office Accommodation </w:t>
            </w:r>
          </w:p>
        </w:tc>
        <w:tc>
          <w:tcPr>
            <w:tcW w:w="993" w:type="dxa"/>
          </w:tcPr>
          <w:p w:rsidR="008908C6" w:rsidRPr="0085143C" w:rsidRDefault="008908C6" w:rsidP="0085143C">
            <w:pPr>
              <w:pStyle w:val="Default"/>
              <w:jc w:val="center"/>
              <w:rPr>
                <w:sz w:val="20"/>
                <w:szCs w:val="20"/>
              </w:rPr>
            </w:pPr>
            <w:r w:rsidRPr="0085143C">
              <w:rPr>
                <w:sz w:val="20"/>
                <w:szCs w:val="20"/>
              </w:rPr>
              <w:t>4.6</w:t>
            </w:r>
          </w:p>
        </w:tc>
        <w:tc>
          <w:tcPr>
            <w:tcW w:w="992" w:type="dxa"/>
          </w:tcPr>
          <w:p w:rsidR="008908C6" w:rsidRPr="0085143C" w:rsidRDefault="008908C6" w:rsidP="0085143C">
            <w:pPr>
              <w:pStyle w:val="Default"/>
              <w:jc w:val="center"/>
              <w:rPr>
                <w:sz w:val="20"/>
                <w:szCs w:val="20"/>
              </w:rPr>
            </w:pPr>
            <w:r w:rsidRPr="0085143C">
              <w:rPr>
                <w:sz w:val="20"/>
                <w:szCs w:val="20"/>
              </w:rPr>
              <w:t>7.1</w:t>
            </w:r>
          </w:p>
        </w:tc>
        <w:tc>
          <w:tcPr>
            <w:tcW w:w="1134" w:type="dxa"/>
          </w:tcPr>
          <w:p w:rsidR="008908C6" w:rsidRPr="0085143C" w:rsidRDefault="008908C6" w:rsidP="0085143C">
            <w:pPr>
              <w:pStyle w:val="Default"/>
              <w:jc w:val="center"/>
              <w:rPr>
                <w:sz w:val="20"/>
                <w:szCs w:val="20"/>
              </w:rPr>
            </w:pPr>
            <w:r w:rsidRPr="0085143C">
              <w:rPr>
                <w:sz w:val="20"/>
                <w:szCs w:val="20"/>
              </w:rPr>
              <w:t>2.5</w:t>
            </w:r>
          </w:p>
        </w:tc>
        <w:tc>
          <w:tcPr>
            <w:tcW w:w="1134" w:type="dxa"/>
          </w:tcPr>
          <w:p w:rsidR="008908C6" w:rsidRPr="0085143C" w:rsidRDefault="008908C6" w:rsidP="0085143C">
            <w:pPr>
              <w:pStyle w:val="Default"/>
              <w:jc w:val="center"/>
              <w:rPr>
                <w:sz w:val="20"/>
                <w:szCs w:val="20"/>
              </w:rPr>
            </w:pPr>
            <w:r w:rsidRPr="0085143C">
              <w:rPr>
                <w:sz w:val="20"/>
                <w:szCs w:val="20"/>
              </w:rPr>
              <w:t>2.2</w:t>
            </w:r>
          </w:p>
        </w:tc>
        <w:tc>
          <w:tcPr>
            <w:tcW w:w="1287" w:type="dxa"/>
            <w:gridSpan w:val="2"/>
          </w:tcPr>
          <w:p w:rsidR="008908C6" w:rsidRPr="0085143C" w:rsidRDefault="008908C6" w:rsidP="0085143C">
            <w:pPr>
              <w:pStyle w:val="Default"/>
              <w:jc w:val="center"/>
              <w:rPr>
                <w:sz w:val="20"/>
                <w:szCs w:val="20"/>
              </w:rPr>
            </w:pPr>
            <w:r w:rsidRPr="0085143C">
              <w:rPr>
                <w:sz w:val="20"/>
                <w:szCs w:val="20"/>
              </w:rPr>
              <w:t>54.35</w:t>
            </w:r>
            <w:r w:rsidR="0041080E" w:rsidRPr="0085143C">
              <w:rPr>
                <w:sz w:val="20"/>
                <w:szCs w:val="20"/>
              </w:rPr>
              <w:t>%</w:t>
            </w:r>
          </w:p>
        </w:tc>
        <w:tc>
          <w:tcPr>
            <w:tcW w:w="1224" w:type="dxa"/>
          </w:tcPr>
          <w:p w:rsidR="008908C6" w:rsidRPr="0085143C" w:rsidRDefault="008908C6" w:rsidP="0085143C">
            <w:pPr>
              <w:pStyle w:val="Default"/>
              <w:jc w:val="center"/>
              <w:rPr>
                <w:sz w:val="20"/>
                <w:szCs w:val="20"/>
              </w:rPr>
            </w:pPr>
            <w:r w:rsidRPr="0085143C">
              <w:rPr>
                <w:sz w:val="20"/>
                <w:szCs w:val="20"/>
              </w:rPr>
              <w:t>47.84</w:t>
            </w:r>
            <w:r w:rsidR="0041080E" w:rsidRPr="0085143C">
              <w:rPr>
                <w:sz w:val="20"/>
                <w:szCs w:val="20"/>
              </w:rPr>
              <w:t>%</w:t>
            </w:r>
          </w:p>
        </w:tc>
      </w:tr>
      <w:tr w:rsidR="0041080E" w:rsidRPr="0085143C" w:rsidTr="0041080E">
        <w:trPr>
          <w:trHeight w:val="93"/>
          <w:jc w:val="center"/>
        </w:trPr>
        <w:tc>
          <w:tcPr>
            <w:tcW w:w="1804" w:type="dxa"/>
          </w:tcPr>
          <w:p w:rsidR="008908C6" w:rsidRPr="0085143C" w:rsidRDefault="008908C6" w:rsidP="0085143C">
            <w:pPr>
              <w:pStyle w:val="Default"/>
              <w:rPr>
                <w:sz w:val="20"/>
                <w:szCs w:val="20"/>
              </w:rPr>
            </w:pPr>
            <w:r w:rsidRPr="0085143C">
              <w:rPr>
                <w:b/>
                <w:bCs/>
                <w:sz w:val="20"/>
                <w:szCs w:val="20"/>
              </w:rPr>
              <w:t xml:space="preserve">Internal Audit </w:t>
            </w:r>
          </w:p>
        </w:tc>
        <w:tc>
          <w:tcPr>
            <w:tcW w:w="993" w:type="dxa"/>
          </w:tcPr>
          <w:p w:rsidR="008908C6" w:rsidRPr="0085143C" w:rsidRDefault="008908C6" w:rsidP="0085143C">
            <w:pPr>
              <w:pStyle w:val="Default"/>
              <w:jc w:val="center"/>
              <w:rPr>
                <w:sz w:val="20"/>
                <w:szCs w:val="20"/>
              </w:rPr>
            </w:pPr>
            <w:r w:rsidRPr="0085143C">
              <w:rPr>
                <w:sz w:val="20"/>
                <w:szCs w:val="20"/>
              </w:rPr>
              <w:t>5.2</w:t>
            </w:r>
          </w:p>
        </w:tc>
        <w:tc>
          <w:tcPr>
            <w:tcW w:w="992" w:type="dxa"/>
          </w:tcPr>
          <w:p w:rsidR="008908C6" w:rsidRPr="0085143C" w:rsidRDefault="008908C6" w:rsidP="0085143C">
            <w:pPr>
              <w:pStyle w:val="Default"/>
              <w:jc w:val="center"/>
              <w:rPr>
                <w:sz w:val="20"/>
                <w:szCs w:val="20"/>
              </w:rPr>
            </w:pPr>
            <w:r w:rsidRPr="0085143C">
              <w:rPr>
                <w:sz w:val="20"/>
                <w:szCs w:val="20"/>
              </w:rPr>
              <w:t>4.9</w:t>
            </w:r>
          </w:p>
        </w:tc>
        <w:tc>
          <w:tcPr>
            <w:tcW w:w="1134" w:type="dxa"/>
          </w:tcPr>
          <w:p w:rsidR="008908C6" w:rsidRPr="0085143C" w:rsidRDefault="008908C6" w:rsidP="0085143C">
            <w:pPr>
              <w:pStyle w:val="Default"/>
              <w:jc w:val="center"/>
              <w:rPr>
                <w:sz w:val="20"/>
                <w:szCs w:val="20"/>
              </w:rPr>
            </w:pPr>
            <w:r w:rsidRPr="0085143C">
              <w:rPr>
                <w:sz w:val="20"/>
                <w:szCs w:val="20"/>
              </w:rPr>
              <w:t>- 0.3</w:t>
            </w:r>
          </w:p>
        </w:tc>
        <w:tc>
          <w:tcPr>
            <w:tcW w:w="1134" w:type="dxa"/>
          </w:tcPr>
          <w:p w:rsidR="008908C6" w:rsidRPr="0085143C" w:rsidRDefault="008908C6" w:rsidP="0085143C">
            <w:pPr>
              <w:pStyle w:val="Default"/>
              <w:jc w:val="center"/>
              <w:rPr>
                <w:sz w:val="20"/>
                <w:szCs w:val="20"/>
              </w:rPr>
            </w:pPr>
            <w:r w:rsidRPr="0085143C">
              <w:rPr>
                <w:sz w:val="20"/>
                <w:szCs w:val="20"/>
              </w:rPr>
              <w:t>- 0.5</w:t>
            </w:r>
          </w:p>
        </w:tc>
        <w:tc>
          <w:tcPr>
            <w:tcW w:w="1287" w:type="dxa"/>
            <w:gridSpan w:val="2"/>
          </w:tcPr>
          <w:p w:rsidR="008908C6" w:rsidRPr="0085143C" w:rsidRDefault="0041080E" w:rsidP="0085143C">
            <w:pPr>
              <w:pStyle w:val="Default"/>
              <w:jc w:val="center"/>
              <w:rPr>
                <w:sz w:val="20"/>
                <w:szCs w:val="20"/>
              </w:rPr>
            </w:pPr>
            <w:r w:rsidRPr="0085143C">
              <w:rPr>
                <w:sz w:val="20"/>
                <w:szCs w:val="20"/>
              </w:rPr>
              <w:t>-5.77%</w:t>
            </w:r>
          </w:p>
        </w:tc>
        <w:tc>
          <w:tcPr>
            <w:tcW w:w="1224" w:type="dxa"/>
          </w:tcPr>
          <w:p w:rsidR="008908C6" w:rsidRPr="0085143C" w:rsidRDefault="008908C6" w:rsidP="0085143C">
            <w:pPr>
              <w:pStyle w:val="Default"/>
              <w:jc w:val="center"/>
              <w:rPr>
                <w:sz w:val="20"/>
                <w:szCs w:val="20"/>
              </w:rPr>
            </w:pPr>
            <w:r w:rsidRPr="0085143C">
              <w:rPr>
                <w:sz w:val="20"/>
                <w:szCs w:val="20"/>
              </w:rPr>
              <w:t>-9.74</w:t>
            </w:r>
            <w:r w:rsidR="0041080E" w:rsidRPr="0085143C">
              <w:rPr>
                <w:sz w:val="20"/>
                <w:szCs w:val="20"/>
              </w:rPr>
              <w:t>%</w:t>
            </w:r>
          </w:p>
        </w:tc>
      </w:tr>
      <w:tr w:rsidR="0041080E" w:rsidRPr="0085143C" w:rsidTr="0041080E">
        <w:trPr>
          <w:trHeight w:val="93"/>
          <w:jc w:val="center"/>
        </w:trPr>
        <w:tc>
          <w:tcPr>
            <w:tcW w:w="1804" w:type="dxa"/>
          </w:tcPr>
          <w:p w:rsidR="008908C6" w:rsidRPr="0085143C" w:rsidRDefault="008908C6" w:rsidP="0085143C">
            <w:pPr>
              <w:pStyle w:val="Default"/>
              <w:rPr>
                <w:sz w:val="20"/>
                <w:szCs w:val="20"/>
              </w:rPr>
            </w:pPr>
            <w:r w:rsidRPr="0085143C">
              <w:rPr>
                <w:b/>
                <w:bCs/>
                <w:sz w:val="20"/>
                <w:szCs w:val="20"/>
              </w:rPr>
              <w:t xml:space="preserve">TOTAL </w:t>
            </w:r>
          </w:p>
        </w:tc>
        <w:tc>
          <w:tcPr>
            <w:tcW w:w="993" w:type="dxa"/>
          </w:tcPr>
          <w:p w:rsidR="008908C6" w:rsidRPr="0085143C" w:rsidRDefault="008908C6" w:rsidP="0085143C">
            <w:pPr>
              <w:pStyle w:val="Default"/>
              <w:jc w:val="center"/>
              <w:rPr>
                <w:b/>
                <w:sz w:val="20"/>
                <w:szCs w:val="20"/>
              </w:rPr>
            </w:pPr>
            <w:r w:rsidRPr="0085143C">
              <w:rPr>
                <w:b/>
                <w:sz w:val="20"/>
                <w:szCs w:val="20"/>
              </w:rPr>
              <w:t>63.8</w:t>
            </w:r>
          </w:p>
        </w:tc>
        <w:tc>
          <w:tcPr>
            <w:tcW w:w="992" w:type="dxa"/>
          </w:tcPr>
          <w:p w:rsidR="008908C6" w:rsidRPr="0085143C" w:rsidRDefault="008908C6" w:rsidP="0085143C">
            <w:pPr>
              <w:pStyle w:val="Default"/>
              <w:jc w:val="center"/>
              <w:rPr>
                <w:b/>
                <w:sz w:val="20"/>
                <w:szCs w:val="20"/>
              </w:rPr>
            </w:pPr>
            <w:r w:rsidRPr="0085143C">
              <w:rPr>
                <w:b/>
                <w:sz w:val="20"/>
                <w:szCs w:val="20"/>
              </w:rPr>
              <w:t>69.4</w:t>
            </w:r>
          </w:p>
        </w:tc>
        <w:tc>
          <w:tcPr>
            <w:tcW w:w="1134" w:type="dxa"/>
          </w:tcPr>
          <w:p w:rsidR="008908C6" w:rsidRPr="0085143C" w:rsidRDefault="008908C6" w:rsidP="0085143C">
            <w:pPr>
              <w:pStyle w:val="Default"/>
              <w:jc w:val="center"/>
              <w:rPr>
                <w:b/>
                <w:sz w:val="20"/>
                <w:szCs w:val="20"/>
              </w:rPr>
            </w:pPr>
            <w:r w:rsidRPr="0085143C">
              <w:rPr>
                <w:b/>
                <w:sz w:val="20"/>
                <w:szCs w:val="20"/>
              </w:rPr>
              <w:t>5.6</w:t>
            </w:r>
          </w:p>
        </w:tc>
        <w:tc>
          <w:tcPr>
            <w:tcW w:w="1134" w:type="dxa"/>
          </w:tcPr>
          <w:p w:rsidR="008908C6" w:rsidRPr="0085143C" w:rsidRDefault="008908C6" w:rsidP="0085143C">
            <w:pPr>
              <w:pStyle w:val="Default"/>
              <w:jc w:val="center"/>
              <w:rPr>
                <w:b/>
                <w:sz w:val="20"/>
                <w:szCs w:val="20"/>
              </w:rPr>
            </w:pPr>
            <w:r w:rsidRPr="0085143C">
              <w:rPr>
                <w:b/>
                <w:sz w:val="20"/>
                <w:szCs w:val="20"/>
              </w:rPr>
              <w:t>2.7</w:t>
            </w:r>
          </w:p>
        </w:tc>
        <w:tc>
          <w:tcPr>
            <w:tcW w:w="1287" w:type="dxa"/>
            <w:gridSpan w:val="2"/>
          </w:tcPr>
          <w:p w:rsidR="008908C6" w:rsidRPr="0085143C" w:rsidRDefault="008908C6" w:rsidP="0085143C">
            <w:pPr>
              <w:pStyle w:val="Default"/>
              <w:jc w:val="center"/>
              <w:rPr>
                <w:sz w:val="20"/>
                <w:szCs w:val="20"/>
              </w:rPr>
            </w:pPr>
            <w:r w:rsidRPr="0085143C">
              <w:rPr>
                <w:b/>
                <w:bCs/>
                <w:sz w:val="20"/>
                <w:szCs w:val="20"/>
              </w:rPr>
              <w:t>8.8</w:t>
            </w:r>
            <w:r w:rsidR="0041080E" w:rsidRPr="0085143C">
              <w:rPr>
                <w:b/>
                <w:bCs/>
                <w:sz w:val="20"/>
                <w:szCs w:val="20"/>
              </w:rPr>
              <w:t>%</w:t>
            </w:r>
          </w:p>
        </w:tc>
        <w:tc>
          <w:tcPr>
            <w:tcW w:w="1224" w:type="dxa"/>
          </w:tcPr>
          <w:p w:rsidR="008908C6" w:rsidRPr="0085143C" w:rsidRDefault="0041080E" w:rsidP="0085143C">
            <w:pPr>
              <w:pStyle w:val="Default"/>
              <w:jc w:val="center"/>
              <w:rPr>
                <w:sz w:val="20"/>
                <w:szCs w:val="20"/>
              </w:rPr>
            </w:pPr>
            <w:r w:rsidRPr="0085143C">
              <w:rPr>
                <w:b/>
                <w:bCs/>
                <w:sz w:val="20"/>
                <w:szCs w:val="20"/>
              </w:rPr>
              <w:t>4.19%</w:t>
            </w:r>
          </w:p>
        </w:tc>
      </w:tr>
    </w:tbl>
    <w:p w:rsidR="008908C6" w:rsidRPr="0085143C" w:rsidRDefault="0041080E" w:rsidP="0085143C">
      <w:pPr>
        <w:spacing w:after="0" w:line="240" w:lineRule="auto"/>
        <w:jc w:val="center"/>
        <w:rPr>
          <w:rFonts w:ascii="Arial" w:hAnsi="Arial" w:cs="Arial"/>
          <w:b/>
          <w:sz w:val="20"/>
          <w:szCs w:val="20"/>
        </w:rPr>
      </w:pPr>
      <w:r w:rsidRPr="0085143C">
        <w:rPr>
          <w:rFonts w:ascii="Arial" w:hAnsi="Arial" w:cs="Arial"/>
          <w:b/>
          <w:sz w:val="20"/>
          <w:szCs w:val="20"/>
        </w:rPr>
        <w:t xml:space="preserve">                                                                                                  Source: National Treasury (2020)</w:t>
      </w:r>
    </w:p>
    <w:p w:rsidR="00162DCA" w:rsidRPr="0085143C" w:rsidRDefault="00162DCA" w:rsidP="0085143C">
      <w:pPr>
        <w:spacing w:after="0" w:line="240" w:lineRule="auto"/>
        <w:jc w:val="both"/>
        <w:rPr>
          <w:rFonts w:ascii="Arial" w:hAnsi="Arial" w:cs="Arial"/>
          <w:sz w:val="20"/>
          <w:szCs w:val="20"/>
        </w:rPr>
      </w:pPr>
    </w:p>
    <w:p w:rsidR="00B51104" w:rsidRPr="0085143C" w:rsidRDefault="00B51104" w:rsidP="0085143C">
      <w:pPr>
        <w:spacing w:after="0" w:line="240" w:lineRule="auto"/>
        <w:jc w:val="both"/>
        <w:rPr>
          <w:rFonts w:ascii="Arial" w:hAnsi="Arial" w:cs="Arial"/>
          <w:sz w:val="20"/>
          <w:szCs w:val="20"/>
        </w:rPr>
      </w:pPr>
      <w:r w:rsidRPr="0085143C">
        <w:rPr>
          <w:rFonts w:ascii="Arial" w:hAnsi="Arial" w:cs="Arial"/>
          <w:sz w:val="20"/>
          <w:szCs w:val="20"/>
        </w:rPr>
        <w:lastRenderedPageBreak/>
        <w:t>The Department Management sub-programme received an allocation of R13.3 million in 2020/21, which is a nominal increase of 11.76% when compared to the previous financial year. Proportionally, the sub-programme received 19.6% of the Programme’s total budget allocation in 2020/21.</w:t>
      </w:r>
    </w:p>
    <w:p w:rsidR="00B51104" w:rsidRPr="0085143C" w:rsidRDefault="00B51104" w:rsidP="0085143C">
      <w:pPr>
        <w:spacing w:after="0" w:line="240" w:lineRule="auto"/>
        <w:jc w:val="both"/>
        <w:rPr>
          <w:rFonts w:ascii="Arial" w:hAnsi="Arial" w:cs="Arial"/>
          <w:sz w:val="20"/>
          <w:szCs w:val="20"/>
        </w:rPr>
      </w:pPr>
    </w:p>
    <w:p w:rsidR="00B51104" w:rsidRPr="0085143C" w:rsidRDefault="00B51104" w:rsidP="0085143C">
      <w:pPr>
        <w:spacing w:after="0" w:line="240" w:lineRule="auto"/>
        <w:jc w:val="both"/>
        <w:rPr>
          <w:rFonts w:ascii="Arial" w:hAnsi="Arial" w:cs="Arial"/>
          <w:sz w:val="20"/>
          <w:szCs w:val="20"/>
        </w:rPr>
      </w:pPr>
      <w:r w:rsidRPr="0085143C">
        <w:rPr>
          <w:rFonts w:ascii="Arial" w:hAnsi="Arial" w:cs="Arial"/>
          <w:sz w:val="20"/>
          <w:szCs w:val="20"/>
        </w:rPr>
        <w:t>The Corporate Services sub-programme received a budget allocation of R25.2 million in 2020/21, which is a nominal increase of 5.44% when compared to the previous financial year. Proportionally, the sub-programme received the largest allocation at 36.31% in 2020/21.</w:t>
      </w:r>
    </w:p>
    <w:p w:rsidR="00B51104" w:rsidRPr="0085143C" w:rsidRDefault="00B51104" w:rsidP="0085143C">
      <w:pPr>
        <w:spacing w:after="0" w:line="240" w:lineRule="auto"/>
        <w:jc w:val="both"/>
        <w:rPr>
          <w:rFonts w:ascii="Arial" w:hAnsi="Arial" w:cs="Arial"/>
          <w:sz w:val="20"/>
          <w:szCs w:val="20"/>
        </w:rPr>
      </w:pPr>
    </w:p>
    <w:p w:rsidR="00B51104" w:rsidRPr="0085143C" w:rsidRDefault="00B51104" w:rsidP="0085143C">
      <w:pPr>
        <w:spacing w:after="0" w:line="240" w:lineRule="auto"/>
        <w:jc w:val="both"/>
        <w:rPr>
          <w:rFonts w:ascii="Arial" w:hAnsi="Arial" w:cs="Arial"/>
          <w:sz w:val="20"/>
          <w:szCs w:val="20"/>
        </w:rPr>
      </w:pPr>
      <w:r w:rsidRPr="0085143C">
        <w:rPr>
          <w:rFonts w:ascii="Arial" w:hAnsi="Arial" w:cs="Arial"/>
          <w:sz w:val="20"/>
          <w:szCs w:val="20"/>
        </w:rPr>
        <w:t>The Finance Administration sub-programme received a budget allocation of R19 million in 2020/21, which is a nominal increase of 3.26%. However, when taking inflation into account, the sub-programme’s allocation shows a real decrease of 1.09% in 2020/21 when compared to the previous financial year. Proportionally, the sub-programme received 27.38% of the total budget allocation of the Administration Programme.</w:t>
      </w:r>
    </w:p>
    <w:p w:rsidR="00B51104" w:rsidRPr="0085143C" w:rsidRDefault="00B51104" w:rsidP="0085143C">
      <w:pPr>
        <w:spacing w:after="0" w:line="240" w:lineRule="auto"/>
        <w:jc w:val="both"/>
        <w:rPr>
          <w:rFonts w:ascii="Arial" w:hAnsi="Arial" w:cs="Arial"/>
          <w:sz w:val="20"/>
          <w:szCs w:val="20"/>
        </w:rPr>
      </w:pPr>
    </w:p>
    <w:p w:rsidR="00B51104" w:rsidRPr="0085143C" w:rsidRDefault="00B51104" w:rsidP="0085143C">
      <w:pPr>
        <w:spacing w:after="0" w:line="240" w:lineRule="auto"/>
        <w:jc w:val="both"/>
        <w:rPr>
          <w:rFonts w:ascii="Arial" w:hAnsi="Arial" w:cs="Arial"/>
          <w:sz w:val="20"/>
          <w:szCs w:val="20"/>
        </w:rPr>
      </w:pPr>
      <w:r w:rsidRPr="0085143C">
        <w:rPr>
          <w:rFonts w:ascii="Arial" w:hAnsi="Arial" w:cs="Arial"/>
          <w:sz w:val="20"/>
          <w:szCs w:val="20"/>
        </w:rPr>
        <w:t>The Office Accommodation sub-programme receive an allocation of R7.1 million in 2020/21, which is a nominal increase of 54.35% when compared to the previous financial year. This is because the Department moved out of the office accommodation provided by the SAPS into separate accommodation for which Department pays market-related prices. Proportionally, the sub-programme received 10.23% of the total budget allocation of the Administration Programme.</w:t>
      </w:r>
    </w:p>
    <w:p w:rsidR="00B51104" w:rsidRPr="0085143C" w:rsidRDefault="00B51104" w:rsidP="0085143C">
      <w:pPr>
        <w:spacing w:after="0" w:line="240" w:lineRule="auto"/>
        <w:jc w:val="both"/>
        <w:rPr>
          <w:rFonts w:ascii="Arial" w:hAnsi="Arial" w:cs="Arial"/>
          <w:sz w:val="20"/>
          <w:szCs w:val="20"/>
        </w:rPr>
      </w:pPr>
    </w:p>
    <w:p w:rsidR="00B51104" w:rsidRPr="0085143C" w:rsidRDefault="00B51104" w:rsidP="0085143C">
      <w:pPr>
        <w:spacing w:after="0" w:line="240" w:lineRule="auto"/>
        <w:jc w:val="both"/>
        <w:rPr>
          <w:rFonts w:ascii="Arial" w:hAnsi="Arial" w:cs="Arial"/>
          <w:sz w:val="20"/>
          <w:szCs w:val="20"/>
        </w:rPr>
      </w:pPr>
      <w:r w:rsidRPr="0085143C">
        <w:rPr>
          <w:rFonts w:ascii="Arial" w:hAnsi="Arial" w:cs="Arial"/>
          <w:sz w:val="20"/>
          <w:szCs w:val="20"/>
        </w:rPr>
        <w:t>The Internal Audit sub-programme received an allocation of R4.9 million in 2020/21, which is a nominal decrease of 5.77% and a real decrease of 9.74% in real terms (inflation considered). Proportionally, the sub-programme received 7.06% of the total budget of the Administration Programme.</w:t>
      </w:r>
    </w:p>
    <w:p w:rsidR="008908C6" w:rsidRPr="0085143C" w:rsidRDefault="008908C6" w:rsidP="0085143C">
      <w:pPr>
        <w:spacing w:after="0" w:line="240" w:lineRule="auto"/>
        <w:jc w:val="both"/>
        <w:rPr>
          <w:rFonts w:ascii="Arial" w:hAnsi="Arial" w:cs="Arial"/>
          <w:sz w:val="20"/>
          <w:szCs w:val="20"/>
        </w:rPr>
      </w:pPr>
    </w:p>
    <w:p w:rsidR="00EE01BC" w:rsidRPr="0085143C" w:rsidRDefault="009A757D" w:rsidP="0085143C">
      <w:pPr>
        <w:spacing w:after="0" w:line="240" w:lineRule="auto"/>
        <w:jc w:val="both"/>
        <w:rPr>
          <w:rFonts w:ascii="Arial" w:hAnsi="Arial" w:cs="Arial"/>
          <w:b/>
          <w:sz w:val="20"/>
          <w:szCs w:val="20"/>
        </w:rPr>
      </w:pPr>
      <w:r w:rsidRPr="0085143C">
        <w:rPr>
          <w:rFonts w:ascii="Arial" w:hAnsi="Arial" w:cs="Arial"/>
          <w:b/>
          <w:sz w:val="20"/>
          <w:szCs w:val="20"/>
        </w:rPr>
        <w:t>4</w:t>
      </w:r>
      <w:r w:rsidR="00EE01BC" w:rsidRPr="0085143C">
        <w:rPr>
          <w:rFonts w:ascii="Arial" w:hAnsi="Arial" w:cs="Arial"/>
          <w:b/>
          <w:sz w:val="20"/>
          <w:szCs w:val="20"/>
        </w:rPr>
        <w:t>.2.2. Programme 2: Intersectoral Coordination and Strategic Partnerships</w:t>
      </w:r>
    </w:p>
    <w:p w:rsidR="00EE01BC" w:rsidRPr="0085143C" w:rsidRDefault="00EE01BC" w:rsidP="0085143C">
      <w:pPr>
        <w:spacing w:after="0" w:line="240" w:lineRule="auto"/>
        <w:jc w:val="both"/>
        <w:rPr>
          <w:rFonts w:ascii="Arial" w:hAnsi="Arial" w:cs="Arial"/>
          <w:sz w:val="20"/>
          <w:szCs w:val="20"/>
        </w:rPr>
      </w:pPr>
    </w:p>
    <w:p w:rsidR="00EE01BC" w:rsidRPr="0085143C" w:rsidRDefault="00EE01BC" w:rsidP="0085143C">
      <w:pPr>
        <w:spacing w:after="0" w:line="240" w:lineRule="auto"/>
        <w:jc w:val="both"/>
        <w:rPr>
          <w:rFonts w:ascii="Arial" w:hAnsi="Arial" w:cs="Arial"/>
          <w:sz w:val="20"/>
          <w:szCs w:val="20"/>
        </w:rPr>
      </w:pPr>
      <w:r w:rsidRPr="0085143C">
        <w:rPr>
          <w:rFonts w:ascii="Arial" w:hAnsi="Arial" w:cs="Arial"/>
          <w:sz w:val="20"/>
          <w:szCs w:val="20"/>
        </w:rPr>
        <w:t>The Intersectoral Coordination and Strategic Partnerships Programme received a Main Appropriation of R26.7 million in 2020/21, which is a nominal increase of 7.2%. Considering inflation, the Programme received a real increase of 2.71%. The Programme received 17.08% of the total Departmental budget allocation in 2020/21.</w:t>
      </w:r>
    </w:p>
    <w:p w:rsidR="00EE01BC" w:rsidRPr="0085143C" w:rsidRDefault="00EE01BC" w:rsidP="0085143C">
      <w:pPr>
        <w:spacing w:after="0" w:line="240" w:lineRule="auto"/>
        <w:jc w:val="both"/>
        <w:rPr>
          <w:rFonts w:ascii="Arial" w:hAnsi="Arial" w:cs="Arial"/>
          <w:sz w:val="20"/>
          <w:szCs w:val="20"/>
        </w:rPr>
      </w:pPr>
    </w:p>
    <w:p w:rsidR="008908C6" w:rsidRPr="0085143C" w:rsidRDefault="00EE01BC" w:rsidP="0085143C">
      <w:pPr>
        <w:spacing w:after="0" w:line="240" w:lineRule="auto"/>
        <w:jc w:val="both"/>
        <w:rPr>
          <w:rFonts w:ascii="Arial" w:hAnsi="Arial" w:cs="Arial"/>
          <w:b/>
          <w:sz w:val="20"/>
          <w:szCs w:val="20"/>
        </w:rPr>
      </w:pPr>
      <w:r w:rsidRPr="0085143C">
        <w:rPr>
          <w:rFonts w:ascii="Arial" w:hAnsi="Arial" w:cs="Arial"/>
          <w:b/>
          <w:sz w:val="20"/>
          <w:szCs w:val="20"/>
        </w:rPr>
        <w:t xml:space="preserve">Table </w:t>
      </w:r>
      <w:r w:rsidR="009A757D" w:rsidRPr="0085143C">
        <w:rPr>
          <w:rFonts w:ascii="Arial" w:hAnsi="Arial" w:cs="Arial"/>
          <w:b/>
          <w:sz w:val="20"/>
          <w:szCs w:val="20"/>
        </w:rPr>
        <w:t>4</w:t>
      </w:r>
      <w:r w:rsidRPr="0085143C">
        <w:rPr>
          <w:rFonts w:ascii="Arial" w:hAnsi="Arial" w:cs="Arial"/>
          <w:b/>
          <w:sz w:val="20"/>
          <w:szCs w:val="20"/>
        </w:rPr>
        <w:t>: Budget allocation: Intersectoral Coordination and Strategic Partnerships Programme per sub-programme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4"/>
        <w:gridCol w:w="1134"/>
        <w:gridCol w:w="1276"/>
        <w:gridCol w:w="1276"/>
        <w:gridCol w:w="1134"/>
        <w:gridCol w:w="1134"/>
        <w:gridCol w:w="1095"/>
      </w:tblGrid>
      <w:tr w:rsidR="00EE01BC" w:rsidRPr="0085143C" w:rsidTr="00EE01BC">
        <w:trPr>
          <w:trHeight w:val="513"/>
        </w:trPr>
        <w:tc>
          <w:tcPr>
            <w:tcW w:w="1804" w:type="dxa"/>
          </w:tcPr>
          <w:p w:rsidR="00EE01BC" w:rsidRPr="0085143C" w:rsidRDefault="00EE01BC" w:rsidP="0085143C">
            <w:pPr>
              <w:pStyle w:val="Default"/>
              <w:rPr>
                <w:b/>
                <w:sz w:val="20"/>
                <w:szCs w:val="20"/>
              </w:rPr>
            </w:pPr>
            <w:r w:rsidRPr="0085143C">
              <w:rPr>
                <w:b/>
                <w:bCs/>
                <w:sz w:val="20"/>
                <w:szCs w:val="20"/>
              </w:rPr>
              <w:t xml:space="preserve">Programme </w:t>
            </w:r>
          </w:p>
        </w:tc>
        <w:tc>
          <w:tcPr>
            <w:tcW w:w="2410" w:type="dxa"/>
            <w:gridSpan w:val="2"/>
          </w:tcPr>
          <w:p w:rsidR="00EE01BC" w:rsidRPr="0085143C" w:rsidRDefault="00EE01BC" w:rsidP="0085143C">
            <w:pPr>
              <w:pStyle w:val="Default"/>
              <w:jc w:val="center"/>
              <w:rPr>
                <w:b/>
                <w:sz w:val="20"/>
                <w:szCs w:val="20"/>
              </w:rPr>
            </w:pPr>
            <w:r w:rsidRPr="0085143C">
              <w:rPr>
                <w:b/>
                <w:bCs/>
                <w:sz w:val="20"/>
                <w:szCs w:val="20"/>
              </w:rPr>
              <w:t>Budget</w:t>
            </w:r>
          </w:p>
        </w:tc>
        <w:tc>
          <w:tcPr>
            <w:tcW w:w="1276" w:type="dxa"/>
          </w:tcPr>
          <w:p w:rsidR="00EE01BC" w:rsidRPr="0085143C" w:rsidRDefault="00EE01BC" w:rsidP="0085143C">
            <w:pPr>
              <w:pStyle w:val="Default"/>
              <w:rPr>
                <w:b/>
                <w:sz w:val="20"/>
                <w:szCs w:val="20"/>
              </w:rPr>
            </w:pPr>
            <w:r w:rsidRPr="0085143C">
              <w:rPr>
                <w:b/>
                <w:sz w:val="20"/>
                <w:szCs w:val="20"/>
              </w:rPr>
              <w:t>Nominal Increase / Decrease in 2020/21</w:t>
            </w:r>
          </w:p>
        </w:tc>
        <w:tc>
          <w:tcPr>
            <w:tcW w:w="1134" w:type="dxa"/>
          </w:tcPr>
          <w:p w:rsidR="00EE01BC" w:rsidRPr="0085143C" w:rsidRDefault="00EE01BC" w:rsidP="0085143C">
            <w:pPr>
              <w:pStyle w:val="Default"/>
              <w:rPr>
                <w:b/>
                <w:sz w:val="20"/>
                <w:szCs w:val="20"/>
              </w:rPr>
            </w:pPr>
            <w:r w:rsidRPr="0085143C">
              <w:rPr>
                <w:b/>
                <w:sz w:val="20"/>
                <w:szCs w:val="20"/>
              </w:rPr>
              <w:t>Real Increase / Decrease in 2020/21</w:t>
            </w:r>
          </w:p>
        </w:tc>
        <w:tc>
          <w:tcPr>
            <w:tcW w:w="1134" w:type="dxa"/>
          </w:tcPr>
          <w:p w:rsidR="00EE01BC" w:rsidRPr="0085143C" w:rsidRDefault="00EE01BC" w:rsidP="0085143C">
            <w:pPr>
              <w:pStyle w:val="Default"/>
              <w:rPr>
                <w:b/>
                <w:sz w:val="20"/>
                <w:szCs w:val="20"/>
              </w:rPr>
            </w:pPr>
            <w:r w:rsidRPr="0085143C">
              <w:rPr>
                <w:b/>
                <w:bCs/>
                <w:sz w:val="20"/>
                <w:szCs w:val="20"/>
              </w:rPr>
              <w:t xml:space="preserve">Nominal Percent change in 2020/21 </w:t>
            </w:r>
          </w:p>
        </w:tc>
        <w:tc>
          <w:tcPr>
            <w:tcW w:w="1095" w:type="dxa"/>
          </w:tcPr>
          <w:p w:rsidR="00EE01BC" w:rsidRPr="0085143C" w:rsidRDefault="00EE01BC" w:rsidP="0085143C">
            <w:pPr>
              <w:pStyle w:val="Default"/>
              <w:rPr>
                <w:b/>
                <w:sz w:val="20"/>
                <w:szCs w:val="20"/>
              </w:rPr>
            </w:pPr>
            <w:r w:rsidRPr="0085143C">
              <w:rPr>
                <w:b/>
                <w:bCs/>
                <w:sz w:val="20"/>
                <w:szCs w:val="20"/>
              </w:rPr>
              <w:t xml:space="preserve">Real Percent change in 2020/21 </w:t>
            </w:r>
          </w:p>
        </w:tc>
      </w:tr>
      <w:tr w:rsidR="00EE01BC" w:rsidRPr="0085143C" w:rsidTr="00EE01BC">
        <w:trPr>
          <w:trHeight w:val="93"/>
        </w:trPr>
        <w:tc>
          <w:tcPr>
            <w:tcW w:w="1804" w:type="dxa"/>
          </w:tcPr>
          <w:p w:rsidR="00EE01BC" w:rsidRPr="0085143C" w:rsidRDefault="00EE01BC" w:rsidP="0085143C">
            <w:pPr>
              <w:pStyle w:val="Default"/>
              <w:rPr>
                <w:sz w:val="20"/>
                <w:szCs w:val="20"/>
              </w:rPr>
            </w:pPr>
            <w:r w:rsidRPr="0085143C">
              <w:rPr>
                <w:b/>
                <w:bCs/>
                <w:sz w:val="20"/>
                <w:szCs w:val="20"/>
              </w:rPr>
              <w:t xml:space="preserve">R million </w:t>
            </w:r>
          </w:p>
        </w:tc>
        <w:tc>
          <w:tcPr>
            <w:tcW w:w="1134" w:type="dxa"/>
          </w:tcPr>
          <w:p w:rsidR="00EE01BC" w:rsidRPr="0085143C" w:rsidRDefault="00EE01BC" w:rsidP="0085143C">
            <w:pPr>
              <w:pStyle w:val="Default"/>
              <w:rPr>
                <w:sz w:val="20"/>
                <w:szCs w:val="20"/>
              </w:rPr>
            </w:pPr>
            <w:r w:rsidRPr="0085143C">
              <w:rPr>
                <w:sz w:val="20"/>
                <w:szCs w:val="20"/>
              </w:rPr>
              <w:t>2019/20</w:t>
            </w:r>
          </w:p>
        </w:tc>
        <w:tc>
          <w:tcPr>
            <w:tcW w:w="1276" w:type="dxa"/>
          </w:tcPr>
          <w:p w:rsidR="00EE01BC" w:rsidRPr="0085143C" w:rsidRDefault="007A5FC4" w:rsidP="0085143C">
            <w:pPr>
              <w:pStyle w:val="Default"/>
              <w:rPr>
                <w:sz w:val="20"/>
                <w:szCs w:val="20"/>
              </w:rPr>
            </w:pPr>
            <w:r w:rsidRPr="0085143C">
              <w:rPr>
                <w:sz w:val="20"/>
                <w:szCs w:val="20"/>
              </w:rPr>
              <w:t>2020/21</w:t>
            </w:r>
          </w:p>
        </w:tc>
        <w:tc>
          <w:tcPr>
            <w:tcW w:w="1276" w:type="dxa"/>
          </w:tcPr>
          <w:p w:rsidR="00EE01BC" w:rsidRPr="0085143C" w:rsidRDefault="00EE01BC" w:rsidP="0085143C">
            <w:pPr>
              <w:pStyle w:val="Default"/>
              <w:rPr>
                <w:sz w:val="20"/>
                <w:szCs w:val="20"/>
              </w:rPr>
            </w:pPr>
          </w:p>
        </w:tc>
        <w:tc>
          <w:tcPr>
            <w:tcW w:w="1134" w:type="dxa"/>
          </w:tcPr>
          <w:p w:rsidR="00EE01BC" w:rsidRPr="0085143C" w:rsidRDefault="00EE01BC" w:rsidP="0085143C">
            <w:pPr>
              <w:pStyle w:val="Default"/>
              <w:rPr>
                <w:sz w:val="20"/>
                <w:szCs w:val="20"/>
              </w:rPr>
            </w:pPr>
          </w:p>
        </w:tc>
        <w:tc>
          <w:tcPr>
            <w:tcW w:w="2229" w:type="dxa"/>
            <w:gridSpan w:val="2"/>
          </w:tcPr>
          <w:p w:rsidR="00EE01BC" w:rsidRPr="0085143C" w:rsidRDefault="00EE01BC" w:rsidP="0085143C">
            <w:pPr>
              <w:pStyle w:val="Default"/>
              <w:rPr>
                <w:sz w:val="20"/>
                <w:szCs w:val="20"/>
              </w:rPr>
            </w:pPr>
          </w:p>
        </w:tc>
      </w:tr>
      <w:tr w:rsidR="00EE01BC" w:rsidRPr="0085143C" w:rsidTr="00EE01BC">
        <w:trPr>
          <w:trHeight w:val="373"/>
        </w:trPr>
        <w:tc>
          <w:tcPr>
            <w:tcW w:w="1804" w:type="dxa"/>
          </w:tcPr>
          <w:p w:rsidR="00EE01BC" w:rsidRPr="0085143C" w:rsidRDefault="00EE01BC" w:rsidP="0085143C">
            <w:pPr>
              <w:pStyle w:val="Default"/>
              <w:rPr>
                <w:sz w:val="20"/>
                <w:szCs w:val="20"/>
              </w:rPr>
            </w:pPr>
            <w:r w:rsidRPr="0085143C">
              <w:rPr>
                <w:b/>
                <w:bCs/>
                <w:sz w:val="20"/>
                <w:szCs w:val="20"/>
              </w:rPr>
              <w:t xml:space="preserve">Intergovernmental, Civil Society and Public-Private Partnerships </w:t>
            </w:r>
          </w:p>
        </w:tc>
        <w:tc>
          <w:tcPr>
            <w:tcW w:w="1134" w:type="dxa"/>
          </w:tcPr>
          <w:p w:rsidR="00EE01BC" w:rsidRPr="0085143C" w:rsidRDefault="00EE01BC" w:rsidP="0085143C">
            <w:pPr>
              <w:pStyle w:val="Default"/>
              <w:rPr>
                <w:sz w:val="20"/>
                <w:szCs w:val="20"/>
              </w:rPr>
            </w:pPr>
            <w:r w:rsidRPr="0085143C">
              <w:rPr>
                <w:sz w:val="20"/>
                <w:szCs w:val="20"/>
              </w:rPr>
              <w:t xml:space="preserve">21.2 </w:t>
            </w:r>
          </w:p>
        </w:tc>
        <w:tc>
          <w:tcPr>
            <w:tcW w:w="1276" w:type="dxa"/>
          </w:tcPr>
          <w:p w:rsidR="00EE01BC" w:rsidRPr="0085143C" w:rsidRDefault="00EE01BC" w:rsidP="0085143C">
            <w:pPr>
              <w:pStyle w:val="Default"/>
              <w:rPr>
                <w:sz w:val="20"/>
                <w:szCs w:val="20"/>
              </w:rPr>
            </w:pPr>
            <w:r w:rsidRPr="0085143C">
              <w:rPr>
                <w:sz w:val="20"/>
                <w:szCs w:val="20"/>
              </w:rPr>
              <w:t xml:space="preserve">22.5 </w:t>
            </w:r>
          </w:p>
        </w:tc>
        <w:tc>
          <w:tcPr>
            <w:tcW w:w="1276" w:type="dxa"/>
          </w:tcPr>
          <w:p w:rsidR="00EE01BC" w:rsidRPr="0085143C" w:rsidRDefault="00EE01BC" w:rsidP="0085143C">
            <w:pPr>
              <w:pStyle w:val="Default"/>
              <w:rPr>
                <w:sz w:val="20"/>
                <w:szCs w:val="20"/>
              </w:rPr>
            </w:pPr>
            <w:r w:rsidRPr="0085143C">
              <w:rPr>
                <w:sz w:val="20"/>
                <w:szCs w:val="20"/>
              </w:rPr>
              <w:t xml:space="preserve">1.3 </w:t>
            </w:r>
          </w:p>
        </w:tc>
        <w:tc>
          <w:tcPr>
            <w:tcW w:w="1134" w:type="dxa"/>
          </w:tcPr>
          <w:p w:rsidR="00EE01BC" w:rsidRPr="0085143C" w:rsidRDefault="00EE01BC" w:rsidP="0085143C">
            <w:pPr>
              <w:pStyle w:val="Default"/>
              <w:rPr>
                <w:sz w:val="20"/>
                <w:szCs w:val="20"/>
              </w:rPr>
            </w:pPr>
            <w:r w:rsidRPr="0085143C">
              <w:rPr>
                <w:sz w:val="20"/>
                <w:szCs w:val="20"/>
              </w:rPr>
              <w:t xml:space="preserve">0.4 </w:t>
            </w:r>
          </w:p>
        </w:tc>
        <w:tc>
          <w:tcPr>
            <w:tcW w:w="1134" w:type="dxa"/>
          </w:tcPr>
          <w:p w:rsidR="00EE01BC" w:rsidRPr="0085143C" w:rsidRDefault="00EE01BC" w:rsidP="0085143C">
            <w:pPr>
              <w:pStyle w:val="Default"/>
              <w:rPr>
                <w:sz w:val="20"/>
                <w:szCs w:val="20"/>
              </w:rPr>
            </w:pPr>
            <w:r w:rsidRPr="0085143C">
              <w:rPr>
                <w:sz w:val="20"/>
                <w:szCs w:val="20"/>
              </w:rPr>
              <w:t>6.13</w:t>
            </w:r>
            <w:r w:rsidR="007A5FC4" w:rsidRPr="0085143C">
              <w:rPr>
                <w:sz w:val="20"/>
                <w:szCs w:val="20"/>
              </w:rPr>
              <w:t>%</w:t>
            </w:r>
          </w:p>
        </w:tc>
        <w:tc>
          <w:tcPr>
            <w:tcW w:w="1095" w:type="dxa"/>
          </w:tcPr>
          <w:p w:rsidR="00EE01BC" w:rsidRPr="0085143C" w:rsidRDefault="00EE01BC" w:rsidP="0085143C">
            <w:pPr>
              <w:pStyle w:val="Default"/>
              <w:rPr>
                <w:sz w:val="20"/>
                <w:szCs w:val="20"/>
              </w:rPr>
            </w:pPr>
            <w:r w:rsidRPr="0085143C">
              <w:rPr>
                <w:sz w:val="20"/>
                <w:szCs w:val="20"/>
              </w:rPr>
              <w:t>1.66</w:t>
            </w:r>
            <w:r w:rsidR="007A5FC4" w:rsidRPr="0085143C">
              <w:rPr>
                <w:sz w:val="20"/>
                <w:szCs w:val="20"/>
              </w:rPr>
              <w:t>%</w:t>
            </w:r>
          </w:p>
        </w:tc>
      </w:tr>
      <w:tr w:rsidR="00EE01BC" w:rsidRPr="0085143C" w:rsidTr="00EE01BC">
        <w:trPr>
          <w:trHeight w:val="93"/>
        </w:trPr>
        <w:tc>
          <w:tcPr>
            <w:tcW w:w="1804" w:type="dxa"/>
          </w:tcPr>
          <w:p w:rsidR="00EE01BC" w:rsidRPr="0085143C" w:rsidRDefault="00EE01BC" w:rsidP="0085143C">
            <w:pPr>
              <w:pStyle w:val="Default"/>
              <w:rPr>
                <w:sz w:val="20"/>
                <w:szCs w:val="20"/>
              </w:rPr>
            </w:pPr>
            <w:r w:rsidRPr="0085143C">
              <w:rPr>
                <w:b/>
                <w:bCs/>
                <w:sz w:val="20"/>
                <w:szCs w:val="20"/>
              </w:rPr>
              <w:t xml:space="preserve">Community Outreach </w:t>
            </w:r>
          </w:p>
        </w:tc>
        <w:tc>
          <w:tcPr>
            <w:tcW w:w="1134" w:type="dxa"/>
          </w:tcPr>
          <w:p w:rsidR="00EE01BC" w:rsidRPr="0085143C" w:rsidRDefault="00EE01BC" w:rsidP="0085143C">
            <w:pPr>
              <w:pStyle w:val="Default"/>
              <w:rPr>
                <w:sz w:val="20"/>
                <w:szCs w:val="20"/>
              </w:rPr>
            </w:pPr>
            <w:r w:rsidRPr="0085143C">
              <w:rPr>
                <w:sz w:val="20"/>
                <w:szCs w:val="20"/>
              </w:rPr>
              <w:t xml:space="preserve">3.7 </w:t>
            </w:r>
          </w:p>
        </w:tc>
        <w:tc>
          <w:tcPr>
            <w:tcW w:w="1276" w:type="dxa"/>
          </w:tcPr>
          <w:p w:rsidR="00EE01BC" w:rsidRPr="0085143C" w:rsidRDefault="00EE01BC" w:rsidP="0085143C">
            <w:pPr>
              <w:pStyle w:val="Default"/>
              <w:rPr>
                <w:sz w:val="20"/>
                <w:szCs w:val="20"/>
              </w:rPr>
            </w:pPr>
            <w:r w:rsidRPr="0085143C">
              <w:rPr>
                <w:sz w:val="20"/>
                <w:szCs w:val="20"/>
              </w:rPr>
              <w:t xml:space="preserve">4.2 </w:t>
            </w:r>
          </w:p>
        </w:tc>
        <w:tc>
          <w:tcPr>
            <w:tcW w:w="1276" w:type="dxa"/>
          </w:tcPr>
          <w:p w:rsidR="00EE01BC" w:rsidRPr="0085143C" w:rsidRDefault="00EE01BC" w:rsidP="0085143C">
            <w:pPr>
              <w:pStyle w:val="Default"/>
              <w:rPr>
                <w:sz w:val="20"/>
                <w:szCs w:val="20"/>
              </w:rPr>
            </w:pPr>
            <w:r w:rsidRPr="0085143C">
              <w:rPr>
                <w:sz w:val="20"/>
                <w:szCs w:val="20"/>
              </w:rPr>
              <w:t xml:space="preserve">0.5 </w:t>
            </w:r>
          </w:p>
        </w:tc>
        <w:tc>
          <w:tcPr>
            <w:tcW w:w="1134" w:type="dxa"/>
          </w:tcPr>
          <w:p w:rsidR="00EE01BC" w:rsidRPr="0085143C" w:rsidRDefault="00EE01BC" w:rsidP="0085143C">
            <w:pPr>
              <w:pStyle w:val="Default"/>
              <w:rPr>
                <w:sz w:val="20"/>
                <w:szCs w:val="20"/>
              </w:rPr>
            </w:pPr>
            <w:r w:rsidRPr="0085143C">
              <w:rPr>
                <w:sz w:val="20"/>
                <w:szCs w:val="20"/>
              </w:rPr>
              <w:t xml:space="preserve">0.3 </w:t>
            </w:r>
          </w:p>
        </w:tc>
        <w:tc>
          <w:tcPr>
            <w:tcW w:w="1134" w:type="dxa"/>
          </w:tcPr>
          <w:p w:rsidR="00EE01BC" w:rsidRPr="0085143C" w:rsidRDefault="00EE01BC" w:rsidP="0085143C">
            <w:pPr>
              <w:pStyle w:val="Default"/>
              <w:rPr>
                <w:sz w:val="20"/>
                <w:szCs w:val="20"/>
              </w:rPr>
            </w:pPr>
            <w:r w:rsidRPr="0085143C">
              <w:rPr>
                <w:sz w:val="20"/>
                <w:szCs w:val="20"/>
              </w:rPr>
              <w:t>13.51</w:t>
            </w:r>
            <w:r w:rsidR="007A5FC4" w:rsidRPr="0085143C">
              <w:rPr>
                <w:sz w:val="20"/>
                <w:szCs w:val="20"/>
              </w:rPr>
              <w:t>%</w:t>
            </w:r>
          </w:p>
        </w:tc>
        <w:tc>
          <w:tcPr>
            <w:tcW w:w="1095" w:type="dxa"/>
          </w:tcPr>
          <w:p w:rsidR="00EE01BC" w:rsidRPr="0085143C" w:rsidRDefault="00EE01BC" w:rsidP="0085143C">
            <w:pPr>
              <w:pStyle w:val="Default"/>
              <w:rPr>
                <w:sz w:val="20"/>
                <w:szCs w:val="20"/>
              </w:rPr>
            </w:pPr>
            <w:r w:rsidRPr="0085143C">
              <w:rPr>
                <w:sz w:val="20"/>
                <w:szCs w:val="20"/>
              </w:rPr>
              <w:t>8.73</w:t>
            </w:r>
            <w:r w:rsidR="007A5FC4" w:rsidRPr="0085143C">
              <w:rPr>
                <w:sz w:val="20"/>
                <w:szCs w:val="20"/>
              </w:rPr>
              <w:t>%</w:t>
            </w:r>
          </w:p>
        </w:tc>
      </w:tr>
      <w:tr w:rsidR="00EE01BC" w:rsidRPr="0085143C" w:rsidTr="00EE01BC">
        <w:trPr>
          <w:trHeight w:val="93"/>
        </w:trPr>
        <w:tc>
          <w:tcPr>
            <w:tcW w:w="1804" w:type="dxa"/>
          </w:tcPr>
          <w:p w:rsidR="00EE01BC" w:rsidRPr="0085143C" w:rsidRDefault="00EE01BC" w:rsidP="0085143C">
            <w:pPr>
              <w:pStyle w:val="Default"/>
              <w:rPr>
                <w:sz w:val="20"/>
                <w:szCs w:val="20"/>
              </w:rPr>
            </w:pPr>
            <w:r w:rsidRPr="0085143C">
              <w:rPr>
                <w:b/>
                <w:bCs/>
                <w:sz w:val="20"/>
                <w:szCs w:val="20"/>
              </w:rPr>
              <w:t xml:space="preserve">TOTAL </w:t>
            </w:r>
          </w:p>
        </w:tc>
        <w:tc>
          <w:tcPr>
            <w:tcW w:w="1134" w:type="dxa"/>
          </w:tcPr>
          <w:p w:rsidR="00EE01BC" w:rsidRPr="0085143C" w:rsidRDefault="00EE01BC" w:rsidP="0085143C">
            <w:pPr>
              <w:pStyle w:val="Default"/>
              <w:rPr>
                <w:b/>
                <w:sz w:val="20"/>
                <w:szCs w:val="20"/>
              </w:rPr>
            </w:pPr>
            <w:r w:rsidRPr="0085143C">
              <w:rPr>
                <w:b/>
                <w:sz w:val="20"/>
                <w:szCs w:val="20"/>
              </w:rPr>
              <w:t xml:space="preserve">24.9 </w:t>
            </w:r>
          </w:p>
        </w:tc>
        <w:tc>
          <w:tcPr>
            <w:tcW w:w="1276" w:type="dxa"/>
          </w:tcPr>
          <w:p w:rsidR="00EE01BC" w:rsidRPr="0085143C" w:rsidRDefault="00EE01BC" w:rsidP="0085143C">
            <w:pPr>
              <w:pStyle w:val="Default"/>
              <w:rPr>
                <w:b/>
                <w:sz w:val="20"/>
                <w:szCs w:val="20"/>
              </w:rPr>
            </w:pPr>
            <w:r w:rsidRPr="0085143C">
              <w:rPr>
                <w:b/>
                <w:sz w:val="20"/>
                <w:szCs w:val="20"/>
              </w:rPr>
              <w:t xml:space="preserve">26.7 </w:t>
            </w:r>
          </w:p>
        </w:tc>
        <w:tc>
          <w:tcPr>
            <w:tcW w:w="1276" w:type="dxa"/>
          </w:tcPr>
          <w:p w:rsidR="00EE01BC" w:rsidRPr="0085143C" w:rsidRDefault="00EE01BC" w:rsidP="0085143C">
            <w:pPr>
              <w:pStyle w:val="Default"/>
              <w:rPr>
                <w:b/>
                <w:sz w:val="20"/>
                <w:szCs w:val="20"/>
              </w:rPr>
            </w:pPr>
            <w:r w:rsidRPr="0085143C">
              <w:rPr>
                <w:b/>
                <w:sz w:val="20"/>
                <w:szCs w:val="20"/>
              </w:rPr>
              <w:t xml:space="preserve">1.8 </w:t>
            </w:r>
          </w:p>
        </w:tc>
        <w:tc>
          <w:tcPr>
            <w:tcW w:w="1134" w:type="dxa"/>
          </w:tcPr>
          <w:p w:rsidR="00EE01BC" w:rsidRPr="0085143C" w:rsidRDefault="00EE01BC" w:rsidP="0085143C">
            <w:pPr>
              <w:pStyle w:val="Default"/>
              <w:rPr>
                <w:b/>
                <w:sz w:val="20"/>
                <w:szCs w:val="20"/>
              </w:rPr>
            </w:pPr>
            <w:r w:rsidRPr="0085143C">
              <w:rPr>
                <w:b/>
                <w:sz w:val="20"/>
                <w:szCs w:val="20"/>
              </w:rPr>
              <w:t xml:space="preserve">0.7 </w:t>
            </w:r>
          </w:p>
        </w:tc>
        <w:tc>
          <w:tcPr>
            <w:tcW w:w="1134" w:type="dxa"/>
          </w:tcPr>
          <w:p w:rsidR="00EE01BC" w:rsidRPr="0085143C" w:rsidRDefault="00EE01BC" w:rsidP="0085143C">
            <w:pPr>
              <w:pStyle w:val="Default"/>
              <w:rPr>
                <w:b/>
                <w:sz w:val="20"/>
                <w:szCs w:val="20"/>
              </w:rPr>
            </w:pPr>
            <w:r w:rsidRPr="0085143C">
              <w:rPr>
                <w:b/>
                <w:bCs/>
                <w:sz w:val="20"/>
                <w:szCs w:val="20"/>
              </w:rPr>
              <w:t>7.2</w:t>
            </w:r>
            <w:r w:rsidR="007A5FC4" w:rsidRPr="0085143C">
              <w:rPr>
                <w:b/>
                <w:bCs/>
                <w:sz w:val="20"/>
                <w:szCs w:val="20"/>
              </w:rPr>
              <w:t>%</w:t>
            </w:r>
          </w:p>
        </w:tc>
        <w:tc>
          <w:tcPr>
            <w:tcW w:w="1095" w:type="dxa"/>
          </w:tcPr>
          <w:p w:rsidR="00EE01BC" w:rsidRPr="0085143C" w:rsidRDefault="00EE01BC" w:rsidP="0085143C">
            <w:pPr>
              <w:pStyle w:val="Default"/>
              <w:rPr>
                <w:b/>
                <w:sz w:val="20"/>
                <w:szCs w:val="20"/>
              </w:rPr>
            </w:pPr>
            <w:r w:rsidRPr="0085143C">
              <w:rPr>
                <w:b/>
                <w:bCs/>
                <w:sz w:val="20"/>
                <w:szCs w:val="20"/>
              </w:rPr>
              <w:t>2.71</w:t>
            </w:r>
            <w:r w:rsidR="007A5FC4" w:rsidRPr="0085143C">
              <w:rPr>
                <w:b/>
                <w:bCs/>
                <w:sz w:val="20"/>
                <w:szCs w:val="20"/>
              </w:rPr>
              <w:t>%</w:t>
            </w:r>
          </w:p>
        </w:tc>
      </w:tr>
    </w:tbl>
    <w:p w:rsidR="00EE01BC" w:rsidRPr="0085143C" w:rsidRDefault="00EE01BC" w:rsidP="0085143C">
      <w:pPr>
        <w:spacing w:after="0" w:line="240" w:lineRule="auto"/>
        <w:jc w:val="center"/>
        <w:rPr>
          <w:rFonts w:ascii="Arial" w:hAnsi="Arial" w:cs="Arial"/>
          <w:b/>
          <w:sz w:val="20"/>
          <w:szCs w:val="20"/>
        </w:rPr>
      </w:pPr>
      <w:r w:rsidRPr="0085143C">
        <w:rPr>
          <w:rFonts w:ascii="Arial" w:hAnsi="Arial" w:cs="Arial"/>
          <w:b/>
          <w:sz w:val="20"/>
          <w:szCs w:val="20"/>
        </w:rPr>
        <w:t>Source: National Treasury (2020)</w:t>
      </w:r>
    </w:p>
    <w:p w:rsidR="008908C6" w:rsidRPr="0085143C" w:rsidRDefault="008908C6" w:rsidP="0085143C">
      <w:pPr>
        <w:spacing w:after="0" w:line="240" w:lineRule="auto"/>
        <w:jc w:val="both"/>
        <w:rPr>
          <w:rFonts w:ascii="Arial" w:hAnsi="Arial" w:cs="Arial"/>
          <w:sz w:val="20"/>
          <w:szCs w:val="20"/>
        </w:rPr>
      </w:pPr>
    </w:p>
    <w:p w:rsidR="007A5FC4" w:rsidRPr="0085143C" w:rsidRDefault="007A5FC4" w:rsidP="0085143C">
      <w:pPr>
        <w:spacing w:after="0" w:line="240" w:lineRule="auto"/>
        <w:jc w:val="both"/>
        <w:rPr>
          <w:rFonts w:ascii="Arial" w:hAnsi="Arial" w:cs="Arial"/>
          <w:sz w:val="20"/>
          <w:szCs w:val="20"/>
        </w:rPr>
      </w:pPr>
      <w:r w:rsidRPr="0085143C">
        <w:rPr>
          <w:rFonts w:ascii="Arial" w:hAnsi="Arial" w:cs="Arial"/>
          <w:sz w:val="20"/>
          <w:szCs w:val="20"/>
        </w:rPr>
        <w:t>The Intergovernmental, Civil Society and Public-Private Partnerships sub-programme received a budget allocation of R22.5 million in 2020/21, which is a nominal increase of 6.13% when compared to the previous financial year. Proportionally, the sub-programme received 84.27% of the total budget allocation of the Programme.</w:t>
      </w:r>
    </w:p>
    <w:p w:rsidR="007A5FC4" w:rsidRPr="0085143C" w:rsidRDefault="007A5FC4" w:rsidP="0085143C">
      <w:pPr>
        <w:spacing w:after="0" w:line="240" w:lineRule="auto"/>
        <w:jc w:val="both"/>
        <w:rPr>
          <w:rFonts w:ascii="Arial" w:hAnsi="Arial" w:cs="Arial"/>
          <w:sz w:val="20"/>
          <w:szCs w:val="20"/>
        </w:rPr>
      </w:pPr>
    </w:p>
    <w:p w:rsidR="007A5FC4" w:rsidRPr="0085143C" w:rsidRDefault="007A5FC4" w:rsidP="0085143C">
      <w:pPr>
        <w:spacing w:after="0" w:line="240" w:lineRule="auto"/>
        <w:jc w:val="both"/>
        <w:rPr>
          <w:rFonts w:ascii="Arial" w:hAnsi="Arial" w:cs="Arial"/>
          <w:sz w:val="20"/>
          <w:szCs w:val="20"/>
        </w:rPr>
      </w:pPr>
      <w:r w:rsidRPr="0085143C">
        <w:rPr>
          <w:rFonts w:ascii="Arial" w:hAnsi="Arial" w:cs="Arial"/>
          <w:sz w:val="20"/>
          <w:szCs w:val="20"/>
        </w:rPr>
        <w:t>The Community Outreach sub-programme received R4.2 million in 2020/21, which is a nominal increase of 13.51% when compared to the previous financial year. Proportionally, the sub-programme received 15.73% of the total budget allocation of the Programme in 2020/21.</w:t>
      </w:r>
    </w:p>
    <w:p w:rsidR="008908C6" w:rsidRPr="0085143C" w:rsidRDefault="008908C6" w:rsidP="0085143C">
      <w:pPr>
        <w:spacing w:after="0" w:line="240" w:lineRule="auto"/>
        <w:jc w:val="both"/>
        <w:rPr>
          <w:rFonts w:ascii="Arial" w:hAnsi="Arial" w:cs="Arial"/>
          <w:sz w:val="20"/>
          <w:szCs w:val="20"/>
        </w:rPr>
      </w:pPr>
    </w:p>
    <w:p w:rsidR="007A5FC4" w:rsidRPr="0085143C" w:rsidRDefault="009A757D" w:rsidP="0085143C">
      <w:pPr>
        <w:spacing w:after="0" w:line="240" w:lineRule="auto"/>
        <w:jc w:val="both"/>
        <w:rPr>
          <w:rFonts w:ascii="Arial" w:hAnsi="Arial" w:cs="Arial"/>
          <w:b/>
          <w:sz w:val="20"/>
          <w:szCs w:val="20"/>
        </w:rPr>
      </w:pPr>
      <w:r w:rsidRPr="0085143C">
        <w:rPr>
          <w:rFonts w:ascii="Arial" w:hAnsi="Arial" w:cs="Arial"/>
          <w:b/>
          <w:sz w:val="20"/>
          <w:szCs w:val="20"/>
        </w:rPr>
        <w:lastRenderedPageBreak/>
        <w:t>4</w:t>
      </w:r>
      <w:r w:rsidR="007A5FC4" w:rsidRPr="0085143C">
        <w:rPr>
          <w:rFonts w:ascii="Arial" w:hAnsi="Arial" w:cs="Arial"/>
          <w:b/>
          <w:sz w:val="20"/>
          <w:szCs w:val="20"/>
        </w:rPr>
        <w:t>.2.3. Programme 3: Legislation and Policy Development</w:t>
      </w:r>
    </w:p>
    <w:p w:rsidR="007A5FC4" w:rsidRPr="0085143C" w:rsidRDefault="007A5FC4" w:rsidP="0085143C">
      <w:pPr>
        <w:spacing w:after="0" w:line="240" w:lineRule="auto"/>
        <w:jc w:val="both"/>
        <w:rPr>
          <w:rFonts w:ascii="Arial" w:hAnsi="Arial" w:cs="Arial"/>
          <w:sz w:val="20"/>
          <w:szCs w:val="20"/>
        </w:rPr>
      </w:pPr>
    </w:p>
    <w:p w:rsidR="007A5FC4" w:rsidRPr="0085143C" w:rsidRDefault="007A5FC4" w:rsidP="0085143C">
      <w:pPr>
        <w:spacing w:after="0" w:line="240" w:lineRule="auto"/>
        <w:jc w:val="both"/>
        <w:rPr>
          <w:rFonts w:ascii="Arial" w:hAnsi="Arial" w:cs="Arial"/>
          <w:sz w:val="20"/>
          <w:szCs w:val="20"/>
        </w:rPr>
      </w:pPr>
      <w:r w:rsidRPr="0085143C">
        <w:rPr>
          <w:rFonts w:ascii="Arial" w:hAnsi="Arial" w:cs="Arial"/>
          <w:sz w:val="20"/>
          <w:szCs w:val="20"/>
        </w:rPr>
        <w:t>The Legislation and Policy Development Programme received a Main Appropriation of R24.8 million in 2020/21, which is a nominal increase of 13.2% when compared to the previous financial year. Considering inflation, the Programme’s allocation shows a real increase of 8.47%. Proportionally, the Programme received 15.87% of the Department’s total budget allocation in 2020/21.</w:t>
      </w:r>
    </w:p>
    <w:p w:rsidR="007A5FC4" w:rsidRPr="0085143C" w:rsidRDefault="007A5FC4" w:rsidP="0085143C">
      <w:pPr>
        <w:spacing w:after="0" w:line="240" w:lineRule="auto"/>
        <w:jc w:val="both"/>
        <w:rPr>
          <w:rFonts w:ascii="Arial" w:hAnsi="Arial" w:cs="Arial"/>
          <w:sz w:val="20"/>
          <w:szCs w:val="20"/>
        </w:rPr>
      </w:pPr>
    </w:p>
    <w:p w:rsidR="007A5FC4" w:rsidRPr="0085143C" w:rsidRDefault="007A5FC4" w:rsidP="0085143C">
      <w:pPr>
        <w:spacing w:after="0" w:line="240" w:lineRule="auto"/>
        <w:jc w:val="both"/>
        <w:rPr>
          <w:rFonts w:ascii="Arial" w:hAnsi="Arial" w:cs="Arial"/>
          <w:sz w:val="20"/>
          <w:szCs w:val="20"/>
        </w:rPr>
      </w:pPr>
      <w:r w:rsidRPr="0085143C">
        <w:rPr>
          <w:rFonts w:ascii="Arial" w:hAnsi="Arial" w:cs="Arial"/>
          <w:sz w:val="20"/>
          <w:szCs w:val="20"/>
        </w:rPr>
        <w:t>Policy Development and Research sub-programme received a budget allocation of R16.7 million, which is a substantial nominal increase of 14.38% in 2020/21. The sub-programme received the largest portion of the total budget allocation of the Programme at 67.34%.</w:t>
      </w:r>
    </w:p>
    <w:p w:rsidR="007A5FC4" w:rsidRPr="0085143C" w:rsidRDefault="007A5FC4" w:rsidP="0085143C">
      <w:pPr>
        <w:spacing w:after="0" w:line="240" w:lineRule="auto"/>
        <w:jc w:val="both"/>
        <w:rPr>
          <w:rFonts w:ascii="Arial" w:hAnsi="Arial" w:cs="Arial"/>
          <w:sz w:val="20"/>
          <w:szCs w:val="20"/>
        </w:rPr>
      </w:pPr>
      <w:r w:rsidRPr="0085143C">
        <w:rPr>
          <w:rFonts w:ascii="Arial" w:hAnsi="Arial" w:cs="Arial"/>
          <w:sz w:val="20"/>
          <w:szCs w:val="20"/>
        </w:rPr>
        <w:t>The Legislation sub-programme received a budget allocation or R8.1 million in 2020/21, which is a nominal increase of 10.96% (real increase of 6.28%). The sub-programme received 32.66% of the total budget allocation of the Programme.</w:t>
      </w:r>
    </w:p>
    <w:p w:rsidR="007A5FC4" w:rsidRPr="0085143C" w:rsidRDefault="007A5FC4" w:rsidP="0085143C">
      <w:pPr>
        <w:spacing w:after="0" w:line="240" w:lineRule="auto"/>
        <w:jc w:val="both"/>
        <w:rPr>
          <w:rFonts w:ascii="Arial" w:hAnsi="Arial" w:cs="Arial"/>
          <w:b/>
          <w:sz w:val="20"/>
          <w:szCs w:val="20"/>
        </w:rPr>
      </w:pPr>
    </w:p>
    <w:p w:rsidR="008908C6" w:rsidRPr="0085143C" w:rsidRDefault="007A5FC4" w:rsidP="0085143C">
      <w:pPr>
        <w:spacing w:after="0" w:line="240" w:lineRule="auto"/>
        <w:jc w:val="both"/>
        <w:rPr>
          <w:rFonts w:ascii="Arial" w:hAnsi="Arial" w:cs="Arial"/>
          <w:b/>
          <w:sz w:val="20"/>
          <w:szCs w:val="20"/>
        </w:rPr>
      </w:pPr>
      <w:r w:rsidRPr="0085143C">
        <w:rPr>
          <w:rFonts w:ascii="Arial" w:hAnsi="Arial" w:cs="Arial"/>
          <w:b/>
          <w:sz w:val="20"/>
          <w:szCs w:val="20"/>
        </w:rPr>
        <w:t xml:space="preserve">Table </w:t>
      </w:r>
      <w:r w:rsidR="009A757D" w:rsidRPr="0085143C">
        <w:rPr>
          <w:rFonts w:ascii="Arial" w:hAnsi="Arial" w:cs="Arial"/>
          <w:b/>
          <w:sz w:val="20"/>
          <w:szCs w:val="20"/>
        </w:rPr>
        <w:t>5</w:t>
      </w:r>
      <w:r w:rsidRPr="0085143C">
        <w:rPr>
          <w:rFonts w:ascii="Arial" w:hAnsi="Arial" w:cs="Arial"/>
          <w:b/>
          <w:sz w:val="20"/>
          <w:szCs w:val="20"/>
        </w:rPr>
        <w:t>: Budget allocation: Legislation and Police Development Programme per sub-programme</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1559"/>
        <w:gridCol w:w="1701"/>
        <w:gridCol w:w="1134"/>
        <w:gridCol w:w="1134"/>
        <w:gridCol w:w="1134"/>
        <w:gridCol w:w="1237"/>
      </w:tblGrid>
      <w:tr w:rsidR="007A5FC4" w:rsidRPr="0085143C" w:rsidTr="007A5FC4">
        <w:trPr>
          <w:trHeight w:val="513"/>
        </w:trPr>
        <w:tc>
          <w:tcPr>
            <w:tcW w:w="1663" w:type="dxa"/>
          </w:tcPr>
          <w:p w:rsidR="007A5FC4" w:rsidRPr="0085143C" w:rsidRDefault="007A5FC4" w:rsidP="0085143C">
            <w:pPr>
              <w:pStyle w:val="Default"/>
              <w:rPr>
                <w:sz w:val="20"/>
                <w:szCs w:val="20"/>
              </w:rPr>
            </w:pPr>
            <w:r w:rsidRPr="0085143C">
              <w:rPr>
                <w:b/>
                <w:bCs/>
                <w:sz w:val="20"/>
                <w:szCs w:val="20"/>
              </w:rPr>
              <w:t xml:space="preserve">Programme </w:t>
            </w:r>
          </w:p>
        </w:tc>
        <w:tc>
          <w:tcPr>
            <w:tcW w:w="3260" w:type="dxa"/>
            <w:gridSpan w:val="2"/>
          </w:tcPr>
          <w:p w:rsidR="007A5FC4" w:rsidRPr="0085143C" w:rsidRDefault="007A5FC4" w:rsidP="0085143C">
            <w:pPr>
              <w:pStyle w:val="Default"/>
              <w:jc w:val="center"/>
              <w:rPr>
                <w:sz w:val="20"/>
                <w:szCs w:val="20"/>
              </w:rPr>
            </w:pPr>
            <w:r w:rsidRPr="0085143C">
              <w:rPr>
                <w:b/>
                <w:bCs/>
                <w:sz w:val="20"/>
                <w:szCs w:val="20"/>
              </w:rPr>
              <w:t>Budget</w:t>
            </w:r>
          </w:p>
        </w:tc>
        <w:tc>
          <w:tcPr>
            <w:tcW w:w="1134" w:type="dxa"/>
          </w:tcPr>
          <w:p w:rsidR="007A5FC4" w:rsidRPr="0085143C" w:rsidRDefault="007A5FC4" w:rsidP="0085143C">
            <w:pPr>
              <w:pStyle w:val="Default"/>
              <w:rPr>
                <w:sz w:val="20"/>
                <w:szCs w:val="20"/>
              </w:rPr>
            </w:pPr>
            <w:r w:rsidRPr="0085143C">
              <w:rPr>
                <w:b/>
                <w:bCs/>
                <w:sz w:val="20"/>
                <w:szCs w:val="20"/>
              </w:rPr>
              <w:t xml:space="preserve">Nominal Increase / Decrease in 2020/21 </w:t>
            </w:r>
          </w:p>
        </w:tc>
        <w:tc>
          <w:tcPr>
            <w:tcW w:w="1134" w:type="dxa"/>
          </w:tcPr>
          <w:p w:rsidR="007A5FC4" w:rsidRPr="0085143C" w:rsidRDefault="007A5FC4" w:rsidP="0085143C">
            <w:pPr>
              <w:pStyle w:val="Default"/>
              <w:rPr>
                <w:sz w:val="20"/>
                <w:szCs w:val="20"/>
              </w:rPr>
            </w:pPr>
            <w:r w:rsidRPr="0085143C">
              <w:rPr>
                <w:b/>
                <w:bCs/>
                <w:sz w:val="20"/>
                <w:szCs w:val="20"/>
              </w:rPr>
              <w:t xml:space="preserve">Real Increase / Decrease in 2020/21 </w:t>
            </w:r>
          </w:p>
        </w:tc>
        <w:tc>
          <w:tcPr>
            <w:tcW w:w="1134" w:type="dxa"/>
          </w:tcPr>
          <w:p w:rsidR="007A5FC4" w:rsidRPr="0085143C" w:rsidRDefault="007A5FC4" w:rsidP="0085143C">
            <w:pPr>
              <w:pStyle w:val="Default"/>
              <w:rPr>
                <w:sz w:val="20"/>
                <w:szCs w:val="20"/>
              </w:rPr>
            </w:pPr>
            <w:r w:rsidRPr="0085143C">
              <w:rPr>
                <w:b/>
                <w:bCs/>
                <w:sz w:val="20"/>
                <w:szCs w:val="20"/>
              </w:rPr>
              <w:t xml:space="preserve">Nominal Percent change in 2020/21 </w:t>
            </w:r>
          </w:p>
        </w:tc>
        <w:tc>
          <w:tcPr>
            <w:tcW w:w="1237" w:type="dxa"/>
          </w:tcPr>
          <w:p w:rsidR="007A5FC4" w:rsidRPr="0085143C" w:rsidRDefault="007A5FC4" w:rsidP="0085143C">
            <w:pPr>
              <w:pStyle w:val="Default"/>
              <w:rPr>
                <w:sz w:val="20"/>
                <w:szCs w:val="20"/>
              </w:rPr>
            </w:pPr>
            <w:r w:rsidRPr="0085143C">
              <w:rPr>
                <w:b/>
                <w:bCs/>
                <w:sz w:val="20"/>
                <w:szCs w:val="20"/>
              </w:rPr>
              <w:t xml:space="preserve">Real Percent change in 2020/21 </w:t>
            </w:r>
          </w:p>
        </w:tc>
      </w:tr>
      <w:tr w:rsidR="007A5FC4" w:rsidRPr="0085143C" w:rsidTr="007A5FC4">
        <w:trPr>
          <w:trHeight w:val="93"/>
        </w:trPr>
        <w:tc>
          <w:tcPr>
            <w:tcW w:w="1663" w:type="dxa"/>
          </w:tcPr>
          <w:p w:rsidR="007A5FC4" w:rsidRPr="0085143C" w:rsidRDefault="007A5FC4" w:rsidP="0085143C">
            <w:pPr>
              <w:pStyle w:val="Default"/>
              <w:rPr>
                <w:sz w:val="20"/>
                <w:szCs w:val="20"/>
              </w:rPr>
            </w:pPr>
            <w:r w:rsidRPr="0085143C">
              <w:rPr>
                <w:b/>
                <w:bCs/>
                <w:sz w:val="20"/>
                <w:szCs w:val="20"/>
              </w:rPr>
              <w:t xml:space="preserve">R million </w:t>
            </w:r>
          </w:p>
        </w:tc>
        <w:tc>
          <w:tcPr>
            <w:tcW w:w="1559" w:type="dxa"/>
          </w:tcPr>
          <w:p w:rsidR="007A5FC4" w:rsidRPr="0085143C" w:rsidRDefault="007A5FC4" w:rsidP="0085143C">
            <w:pPr>
              <w:pStyle w:val="Default"/>
              <w:jc w:val="center"/>
              <w:rPr>
                <w:sz w:val="20"/>
                <w:szCs w:val="20"/>
              </w:rPr>
            </w:pPr>
            <w:r w:rsidRPr="0085143C">
              <w:rPr>
                <w:sz w:val="20"/>
                <w:szCs w:val="20"/>
              </w:rPr>
              <w:t>2019/20</w:t>
            </w:r>
          </w:p>
        </w:tc>
        <w:tc>
          <w:tcPr>
            <w:tcW w:w="1701" w:type="dxa"/>
          </w:tcPr>
          <w:p w:rsidR="007A5FC4" w:rsidRPr="0085143C" w:rsidRDefault="007A5FC4" w:rsidP="0085143C">
            <w:pPr>
              <w:pStyle w:val="Default"/>
              <w:jc w:val="center"/>
              <w:rPr>
                <w:sz w:val="20"/>
                <w:szCs w:val="20"/>
              </w:rPr>
            </w:pPr>
            <w:r w:rsidRPr="0085143C">
              <w:rPr>
                <w:sz w:val="20"/>
                <w:szCs w:val="20"/>
              </w:rPr>
              <w:t>2020/21</w:t>
            </w:r>
          </w:p>
        </w:tc>
        <w:tc>
          <w:tcPr>
            <w:tcW w:w="2268" w:type="dxa"/>
            <w:gridSpan w:val="2"/>
          </w:tcPr>
          <w:p w:rsidR="007A5FC4" w:rsidRPr="0085143C" w:rsidRDefault="007A5FC4" w:rsidP="0085143C">
            <w:pPr>
              <w:pStyle w:val="Default"/>
              <w:rPr>
                <w:sz w:val="20"/>
                <w:szCs w:val="20"/>
              </w:rPr>
            </w:pPr>
          </w:p>
        </w:tc>
        <w:tc>
          <w:tcPr>
            <w:tcW w:w="2371" w:type="dxa"/>
            <w:gridSpan w:val="2"/>
          </w:tcPr>
          <w:p w:rsidR="007A5FC4" w:rsidRPr="0085143C" w:rsidRDefault="007A5FC4" w:rsidP="0085143C">
            <w:pPr>
              <w:pStyle w:val="Default"/>
              <w:rPr>
                <w:sz w:val="20"/>
                <w:szCs w:val="20"/>
              </w:rPr>
            </w:pPr>
          </w:p>
        </w:tc>
      </w:tr>
      <w:tr w:rsidR="007A5FC4" w:rsidRPr="0085143C" w:rsidTr="007A5FC4">
        <w:trPr>
          <w:trHeight w:val="93"/>
        </w:trPr>
        <w:tc>
          <w:tcPr>
            <w:tcW w:w="1663" w:type="dxa"/>
          </w:tcPr>
          <w:p w:rsidR="007A5FC4" w:rsidRPr="0085143C" w:rsidRDefault="007A5FC4" w:rsidP="0085143C">
            <w:pPr>
              <w:pStyle w:val="Default"/>
              <w:rPr>
                <w:sz w:val="20"/>
                <w:szCs w:val="20"/>
              </w:rPr>
            </w:pPr>
            <w:r w:rsidRPr="0085143C">
              <w:rPr>
                <w:b/>
                <w:bCs/>
                <w:sz w:val="20"/>
                <w:szCs w:val="20"/>
              </w:rPr>
              <w:t xml:space="preserve">Policy Development and Research </w:t>
            </w:r>
          </w:p>
        </w:tc>
        <w:tc>
          <w:tcPr>
            <w:tcW w:w="1559" w:type="dxa"/>
          </w:tcPr>
          <w:p w:rsidR="007A5FC4" w:rsidRPr="0085143C" w:rsidRDefault="007A5FC4" w:rsidP="0085143C">
            <w:pPr>
              <w:pStyle w:val="Default"/>
              <w:jc w:val="center"/>
              <w:rPr>
                <w:sz w:val="20"/>
                <w:szCs w:val="20"/>
              </w:rPr>
            </w:pPr>
            <w:r w:rsidRPr="0085143C">
              <w:rPr>
                <w:sz w:val="20"/>
                <w:szCs w:val="20"/>
              </w:rPr>
              <w:t>14.6</w:t>
            </w:r>
          </w:p>
        </w:tc>
        <w:tc>
          <w:tcPr>
            <w:tcW w:w="1701" w:type="dxa"/>
          </w:tcPr>
          <w:p w:rsidR="007A5FC4" w:rsidRPr="0085143C" w:rsidRDefault="007A5FC4" w:rsidP="0085143C">
            <w:pPr>
              <w:pStyle w:val="Default"/>
              <w:jc w:val="center"/>
              <w:rPr>
                <w:sz w:val="20"/>
                <w:szCs w:val="20"/>
              </w:rPr>
            </w:pPr>
            <w:r w:rsidRPr="0085143C">
              <w:rPr>
                <w:sz w:val="20"/>
                <w:szCs w:val="20"/>
              </w:rPr>
              <w:t>16.7</w:t>
            </w:r>
          </w:p>
        </w:tc>
        <w:tc>
          <w:tcPr>
            <w:tcW w:w="1134" w:type="dxa"/>
          </w:tcPr>
          <w:p w:rsidR="007A5FC4" w:rsidRPr="0085143C" w:rsidRDefault="007A5FC4" w:rsidP="0085143C">
            <w:pPr>
              <w:pStyle w:val="Default"/>
              <w:jc w:val="center"/>
              <w:rPr>
                <w:sz w:val="20"/>
                <w:szCs w:val="20"/>
              </w:rPr>
            </w:pPr>
            <w:r w:rsidRPr="0085143C">
              <w:rPr>
                <w:sz w:val="20"/>
                <w:szCs w:val="20"/>
              </w:rPr>
              <w:t>2.1</w:t>
            </w:r>
          </w:p>
        </w:tc>
        <w:tc>
          <w:tcPr>
            <w:tcW w:w="1134" w:type="dxa"/>
          </w:tcPr>
          <w:p w:rsidR="007A5FC4" w:rsidRPr="0085143C" w:rsidRDefault="007A5FC4" w:rsidP="0085143C">
            <w:pPr>
              <w:pStyle w:val="Default"/>
              <w:jc w:val="center"/>
              <w:rPr>
                <w:sz w:val="20"/>
                <w:szCs w:val="20"/>
              </w:rPr>
            </w:pPr>
            <w:r w:rsidRPr="0085143C">
              <w:rPr>
                <w:sz w:val="20"/>
                <w:szCs w:val="20"/>
              </w:rPr>
              <w:t>1.4</w:t>
            </w:r>
          </w:p>
        </w:tc>
        <w:tc>
          <w:tcPr>
            <w:tcW w:w="1134" w:type="dxa"/>
          </w:tcPr>
          <w:p w:rsidR="007A5FC4" w:rsidRPr="0085143C" w:rsidRDefault="007A5FC4" w:rsidP="0085143C">
            <w:pPr>
              <w:pStyle w:val="Default"/>
              <w:jc w:val="center"/>
              <w:rPr>
                <w:sz w:val="20"/>
                <w:szCs w:val="20"/>
              </w:rPr>
            </w:pPr>
            <w:r w:rsidRPr="0085143C">
              <w:rPr>
                <w:sz w:val="20"/>
                <w:szCs w:val="20"/>
              </w:rPr>
              <w:t>14.38%</w:t>
            </w:r>
          </w:p>
        </w:tc>
        <w:tc>
          <w:tcPr>
            <w:tcW w:w="1237" w:type="dxa"/>
          </w:tcPr>
          <w:p w:rsidR="007A5FC4" w:rsidRPr="0085143C" w:rsidRDefault="007A5FC4" w:rsidP="0085143C">
            <w:pPr>
              <w:pStyle w:val="Default"/>
              <w:jc w:val="center"/>
              <w:rPr>
                <w:sz w:val="20"/>
                <w:szCs w:val="20"/>
              </w:rPr>
            </w:pPr>
            <w:r w:rsidRPr="0085143C">
              <w:rPr>
                <w:sz w:val="20"/>
                <w:szCs w:val="20"/>
              </w:rPr>
              <w:t>9.56%</w:t>
            </w:r>
          </w:p>
        </w:tc>
      </w:tr>
      <w:tr w:rsidR="007A5FC4" w:rsidRPr="0085143C" w:rsidTr="007A5FC4">
        <w:trPr>
          <w:trHeight w:val="93"/>
        </w:trPr>
        <w:tc>
          <w:tcPr>
            <w:tcW w:w="1663" w:type="dxa"/>
          </w:tcPr>
          <w:p w:rsidR="007A5FC4" w:rsidRPr="0085143C" w:rsidRDefault="007A5FC4" w:rsidP="0085143C">
            <w:pPr>
              <w:pStyle w:val="Default"/>
              <w:rPr>
                <w:sz w:val="20"/>
                <w:szCs w:val="20"/>
              </w:rPr>
            </w:pPr>
            <w:r w:rsidRPr="0085143C">
              <w:rPr>
                <w:b/>
                <w:bCs/>
                <w:sz w:val="20"/>
                <w:szCs w:val="20"/>
              </w:rPr>
              <w:t xml:space="preserve">Legislation </w:t>
            </w:r>
          </w:p>
        </w:tc>
        <w:tc>
          <w:tcPr>
            <w:tcW w:w="1559" w:type="dxa"/>
          </w:tcPr>
          <w:p w:rsidR="007A5FC4" w:rsidRPr="0085143C" w:rsidRDefault="007A5FC4" w:rsidP="0085143C">
            <w:pPr>
              <w:pStyle w:val="Default"/>
              <w:jc w:val="center"/>
              <w:rPr>
                <w:sz w:val="20"/>
                <w:szCs w:val="20"/>
              </w:rPr>
            </w:pPr>
            <w:r w:rsidRPr="0085143C">
              <w:rPr>
                <w:sz w:val="20"/>
                <w:szCs w:val="20"/>
              </w:rPr>
              <w:t>7.3</w:t>
            </w:r>
          </w:p>
        </w:tc>
        <w:tc>
          <w:tcPr>
            <w:tcW w:w="1701" w:type="dxa"/>
          </w:tcPr>
          <w:p w:rsidR="007A5FC4" w:rsidRPr="0085143C" w:rsidRDefault="007A5FC4" w:rsidP="0085143C">
            <w:pPr>
              <w:pStyle w:val="Default"/>
              <w:jc w:val="center"/>
              <w:rPr>
                <w:sz w:val="20"/>
                <w:szCs w:val="20"/>
              </w:rPr>
            </w:pPr>
            <w:r w:rsidRPr="0085143C">
              <w:rPr>
                <w:sz w:val="20"/>
                <w:szCs w:val="20"/>
              </w:rPr>
              <w:t>8.1</w:t>
            </w:r>
          </w:p>
        </w:tc>
        <w:tc>
          <w:tcPr>
            <w:tcW w:w="1134" w:type="dxa"/>
          </w:tcPr>
          <w:p w:rsidR="007A5FC4" w:rsidRPr="0085143C" w:rsidRDefault="007A5FC4" w:rsidP="0085143C">
            <w:pPr>
              <w:pStyle w:val="Default"/>
              <w:jc w:val="center"/>
              <w:rPr>
                <w:sz w:val="20"/>
                <w:szCs w:val="20"/>
              </w:rPr>
            </w:pPr>
            <w:r w:rsidRPr="0085143C">
              <w:rPr>
                <w:sz w:val="20"/>
                <w:szCs w:val="20"/>
              </w:rPr>
              <w:t>0.8</w:t>
            </w:r>
          </w:p>
        </w:tc>
        <w:tc>
          <w:tcPr>
            <w:tcW w:w="1134" w:type="dxa"/>
          </w:tcPr>
          <w:p w:rsidR="007A5FC4" w:rsidRPr="0085143C" w:rsidRDefault="007A5FC4" w:rsidP="0085143C">
            <w:pPr>
              <w:pStyle w:val="Default"/>
              <w:jc w:val="center"/>
              <w:rPr>
                <w:sz w:val="20"/>
                <w:szCs w:val="20"/>
              </w:rPr>
            </w:pPr>
            <w:r w:rsidRPr="0085143C">
              <w:rPr>
                <w:sz w:val="20"/>
                <w:szCs w:val="20"/>
              </w:rPr>
              <w:t>0.5</w:t>
            </w:r>
          </w:p>
        </w:tc>
        <w:tc>
          <w:tcPr>
            <w:tcW w:w="1134" w:type="dxa"/>
          </w:tcPr>
          <w:p w:rsidR="007A5FC4" w:rsidRPr="0085143C" w:rsidRDefault="007A5FC4" w:rsidP="0085143C">
            <w:pPr>
              <w:pStyle w:val="Default"/>
              <w:jc w:val="center"/>
              <w:rPr>
                <w:sz w:val="20"/>
                <w:szCs w:val="20"/>
              </w:rPr>
            </w:pPr>
            <w:r w:rsidRPr="0085143C">
              <w:rPr>
                <w:sz w:val="20"/>
                <w:szCs w:val="20"/>
              </w:rPr>
              <w:t>10.96%</w:t>
            </w:r>
          </w:p>
        </w:tc>
        <w:tc>
          <w:tcPr>
            <w:tcW w:w="1237" w:type="dxa"/>
          </w:tcPr>
          <w:p w:rsidR="007A5FC4" w:rsidRPr="0085143C" w:rsidRDefault="007A5FC4" w:rsidP="0085143C">
            <w:pPr>
              <w:pStyle w:val="Default"/>
              <w:jc w:val="center"/>
              <w:rPr>
                <w:sz w:val="20"/>
                <w:szCs w:val="20"/>
              </w:rPr>
            </w:pPr>
            <w:r w:rsidRPr="0085143C">
              <w:rPr>
                <w:sz w:val="20"/>
                <w:szCs w:val="20"/>
              </w:rPr>
              <w:t>6.28%</w:t>
            </w:r>
          </w:p>
        </w:tc>
      </w:tr>
      <w:tr w:rsidR="007A5FC4" w:rsidRPr="0085143C" w:rsidTr="007A5FC4">
        <w:trPr>
          <w:trHeight w:val="93"/>
        </w:trPr>
        <w:tc>
          <w:tcPr>
            <w:tcW w:w="1663" w:type="dxa"/>
          </w:tcPr>
          <w:p w:rsidR="007A5FC4" w:rsidRPr="0085143C" w:rsidRDefault="007A5FC4" w:rsidP="0085143C">
            <w:pPr>
              <w:pStyle w:val="Default"/>
              <w:rPr>
                <w:sz w:val="20"/>
                <w:szCs w:val="20"/>
              </w:rPr>
            </w:pPr>
            <w:r w:rsidRPr="0085143C">
              <w:rPr>
                <w:b/>
                <w:bCs/>
                <w:sz w:val="20"/>
                <w:szCs w:val="20"/>
              </w:rPr>
              <w:t xml:space="preserve">TOTAL </w:t>
            </w:r>
          </w:p>
        </w:tc>
        <w:tc>
          <w:tcPr>
            <w:tcW w:w="1559" w:type="dxa"/>
          </w:tcPr>
          <w:p w:rsidR="007A5FC4" w:rsidRPr="0085143C" w:rsidRDefault="007A5FC4" w:rsidP="0085143C">
            <w:pPr>
              <w:pStyle w:val="Default"/>
              <w:jc w:val="center"/>
              <w:rPr>
                <w:b/>
                <w:sz w:val="20"/>
                <w:szCs w:val="20"/>
              </w:rPr>
            </w:pPr>
            <w:r w:rsidRPr="0085143C">
              <w:rPr>
                <w:b/>
                <w:sz w:val="20"/>
                <w:szCs w:val="20"/>
              </w:rPr>
              <w:t>21.9</w:t>
            </w:r>
          </w:p>
        </w:tc>
        <w:tc>
          <w:tcPr>
            <w:tcW w:w="1701" w:type="dxa"/>
          </w:tcPr>
          <w:p w:rsidR="007A5FC4" w:rsidRPr="0085143C" w:rsidRDefault="007A5FC4" w:rsidP="0085143C">
            <w:pPr>
              <w:pStyle w:val="Default"/>
              <w:jc w:val="center"/>
              <w:rPr>
                <w:b/>
                <w:sz w:val="20"/>
                <w:szCs w:val="20"/>
              </w:rPr>
            </w:pPr>
            <w:r w:rsidRPr="0085143C">
              <w:rPr>
                <w:b/>
                <w:sz w:val="20"/>
                <w:szCs w:val="20"/>
              </w:rPr>
              <w:t>24.8</w:t>
            </w:r>
          </w:p>
        </w:tc>
        <w:tc>
          <w:tcPr>
            <w:tcW w:w="1134" w:type="dxa"/>
          </w:tcPr>
          <w:p w:rsidR="007A5FC4" w:rsidRPr="0085143C" w:rsidRDefault="007A5FC4" w:rsidP="0085143C">
            <w:pPr>
              <w:pStyle w:val="Default"/>
              <w:jc w:val="center"/>
              <w:rPr>
                <w:b/>
                <w:sz w:val="20"/>
                <w:szCs w:val="20"/>
              </w:rPr>
            </w:pPr>
            <w:r w:rsidRPr="0085143C">
              <w:rPr>
                <w:b/>
                <w:sz w:val="20"/>
                <w:szCs w:val="20"/>
              </w:rPr>
              <w:t>2.9</w:t>
            </w:r>
          </w:p>
        </w:tc>
        <w:tc>
          <w:tcPr>
            <w:tcW w:w="1134" w:type="dxa"/>
          </w:tcPr>
          <w:p w:rsidR="007A5FC4" w:rsidRPr="0085143C" w:rsidRDefault="007A5FC4" w:rsidP="0085143C">
            <w:pPr>
              <w:pStyle w:val="Default"/>
              <w:jc w:val="center"/>
              <w:rPr>
                <w:b/>
                <w:sz w:val="20"/>
                <w:szCs w:val="20"/>
              </w:rPr>
            </w:pPr>
            <w:r w:rsidRPr="0085143C">
              <w:rPr>
                <w:b/>
                <w:sz w:val="20"/>
                <w:szCs w:val="20"/>
              </w:rPr>
              <w:t>1.9</w:t>
            </w:r>
          </w:p>
        </w:tc>
        <w:tc>
          <w:tcPr>
            <w:tcW w:w="1134" w:type="dxa"/>
          </w:tcPr>
          <w:p w:rsidR="007A5FC4" w:rsidRPr="0085143C" w:rsidRDefault="007A5FC4" w:rsidP="0085143C">
            <w:pPr>
              <w:pStyle w:val="Default"/>
              <w:jc w:val="center"/>
              <w:rPr>
                <w:b/>
                <w:sz w:val="20"/>
                <w:szCs w:val="20"/>
              </w:rPr>
            </w:pPr>
            <w:r w:rsidRPr="0085143C">
              <w:rPr>
                <w:b/>
                <w:bCs/>
                <w:sz w:val="20"/>
                <w:szCs w:val="20"/>
              </w:rPr>
              <w:t>13.2%</w:t>
            </w:r>
          </w:p>
        </w:tc>
        <w:tc>
          <w:tcPr>
            <w:tcW w:w="1237" w:type="dxa"/>
          </w:tcPr>
          <w:p w:rsidR="007A5FC4" w:rsidRPr="0085143C" w:rsidRDefault="007A5FC4" w:rsidP="0085143C">
            <w:pPr>
              <w:pStyle w:val="Default"/>
              <w:jc w:val="center"/>
              <w:rPr>
                <w:b/>
                <w:sz w:val="20"/>
                <w:szCs w:val="20"/>
              </w:rPr>
            </w:pPr>
            <w:r w:rsidRPr="0085143C">
              <w:rPr>
                <w:b/>
                <w:bCs/>
                <w:sz w:val="20"/>
                <w:szCs w:val="20"/>
              </w:rPr>
              <w:t>8.47%</w:t>
            </w:r>
          </w:p>
        </w:tc>
      </w:tr>
    </w:tbl>
    <w:p w:rsidR="008908C6" w:rsidRPr="0085143C" w:rsidRDefault="007A5FC4" w:rsidP="0085143C">
      <w:pPr>
        <w:spacing w:after="0" w:line="240" w:lineRule="auto"/>
        <w:jc w:val="both"/>
        <w:rPr>
          <w:rFonts w:ascii="Arial" w:hAnsi="Arial" w:cs="Arial"/>
          <w:b/>
          <w:sz w:val="20"/>
          <w:szCs w:val="20"/>
        </w:rPr>
      </w:pPr>
      <w:r w:rsidRPr="0085143C">
        <w:rPr>
          <w:rFonts w:ascii="Arial" w:hAnsi="Arial" w:cs="Arial"/>
          <w:b/>
          <w:sz w:val="20"/>
          <w:szCs w:val="20"/>
        </w:rPr>
        <w:t>Source: National Treasury (2020)</w:t>
      </w:r>
    </w:p>
    <w:p w:rsidR="008908C6" w:rsidRPr="0085143C" w:rsidRDefault="008908C6" w:rsidP="0085143C">
      <w:pPr>
        <w:spacing w:after="0" w:line="240" w:lineRule="auto"/>
        <w:jc w:val="both"/>
        <w:rPr>
          <w:rFonts w:ascii="Arial" w:hAnsi="Arial" w:cs="Arial"/>
          <w:sz w:val="20"/>
          <w:szCs w:val="20"/>
        </w:rPr>
      </w:pPr>
    </w:p>
    <w:p w:rsidR="007A5FC4" w:rsidRPr="0085143C" w:rsidRDefault="009A757D" w:rsidP="0085143C">
      <w:pPr>
        <w:spacing w:after="0" w:line="240" w:lineRule="auto"/>
        <w:jc w:val="both"/>
        <w:rPr>
          <w:rFonts w:ascii="Arial" w:hAnsi="Arial" w:cs="Arial"/>
          <w:b/>
          <w:sz w:val="20"/>
          <w:szCs w:val="20"/>
        </w:rPr>
      </w:pPr>
      <w:r w:rsidRPr="0085143C">
        <w:rPr>
          <w:rFonts w:ascii="Arial" w:hAnsi="Arial" w:cs="Arial"/>
          <w:b/>
          <w:sz w:val="20"/>
          <w:szCs w:val="20"/>
        </w:rPr>
        <w:t>4</w:t>
      </w:r>
      <w:r w:rsidR="007A5FC4" w:rsidRPr="0085143C">
        <w:rPr>
          <w:rFonts w:ascii="Arial" w:hAnsi="Arial" w:cs="Arial"/>
          <w:b/>
          <w:sz w:val="20"/>
          <w:szCs w:val="20"/>
        </w:rPr>
        <w:t>.2.4. Programme 4: Civilian Oversight, Monitoring and Evaluation</w:t>
      </w:r>
    </w:p>
    <w:p w:rsidR="007A5FC4" w:rsidRPr="0085143C" w:rsidRDefault="007A5FC4" w:rsidP="0085143C">
      <w:pPr>
        <w:spacing w:after="0" w:line="240" w:lineRule="auto"/>
        <w:jc w:val="both"/>
        <w:rPr>
          <w:rFonts w:ascii="Arial" w:hAnsi="Arial" w:cs="Arial"/>
          <w:sz w:val="20"/>
          <w:szCs w:val="20"/>
        </w:rPr>
      </w:pPr>
      <w:r w:rsidRPr="0085143C">
        <w:rPr>
          <w:rFonts w:ascii="Arial" w:hAnsi="Arial" w:cs="Arial"/>
          <w:sz w:val="20"/>
          <w:szCs w:val="20"/>
        </w:rPr>
        <w:t>The Civilian Oversight, Monitoring and Evaluation Programme received a Main Appropriation of R35.4 million in 2020/21, which is a nominal increase of 8.9%. Proportionally, the Programme received 22.65% of the total budget allocation of the Department in 2020/21.</w:t>
      </w:r>
    </w:p>
    <w:p w:rsidR="008908C6" w:rsidRPr="0085143C" w:rsidRDefault="008908C6" w:rsidP="0085143C">
      <w:pPr>
        <w:spacing w:after="0" w:line="240" w:lineRule="auto"/>
        <w:jc w:val="both"/>
        <w:rPr>
          <w:rFonts w:ascii="Arial" w:hAnsi="Arial" w:cs="Arial"/>
          <w:sz w:val="20"/>
          <w:szCs w:val="20"/>
        </w:rPr>
      </w:pPr>
    </w:p>
    <w:p w:rsidR="008908C6" w:rsidRPr="0085143C" w:rsidRDefault="007A5FC4" w:rsidP="0085143C">
      <w:pPr>
        <w:spacing w:after="0" w:line="240" w:lineRule="auto"/>
        <w:jc w:val="both"/>
        <w:rPr>
          <w:rFonts w:ascii="Arial" w:hAnsi="Arial" w:cs="Arial"/>
          <w:b/>
          <w:sz w:val="20"/>
          <w:szCs w:val="20"/>
        </w:rPr>
      </w:pPr>
      <w:r w:rsidRPr="0085143C">
        <w:rPr>
          <w:rFonts w:ascii="Arial" w:hAnsi="Arial" w:cs="Arial"/>
          <w:b/>
          <w:sz w:val="20"/>
          <w:szCs w:val="20"/>
        </w:rPr>
        <w:t xml:space="preserve">Table </w:t>
      </w:r>
      <w:r w:rsidR="009A757D" w:rsidRPr="0085143C">
        <w:rPr>
          <w:rFonts w:ascii="Arial" w:hAnsi="Arial" w:cs="Arial"/>
          <w:b/>
          <w:sz w:val="20"/>
          <w:szCs w:val="20"/>
        </w:rPr>
        <w:t>6</w:t>
      </w:r>
      <w:r w:rsidRPr="0085143C">
        <w:rPr>
          <w:rFonts w:ascii="Arial" w:hAnsi="Arial" w:cs="Arial"/>
          <w:b/>
          <w:sz w:val="20"/>
          <w:szCs w:val="20"/>
        </w:rPr>
        <w:t>: Budget allocation: Civilian Oversight, Monitoring and Evaluation Programme per sub-programme</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1134"/>
        <w:gridCol w:w="1559"/>
        <w:gridCol w:w="1276"/>
        <w:gridCol w:w="1417"/>
        <w:gridCol w:w="1276"/>
        <w:gridCol w:w="1236"/>
      </w:tblGrid>
      <w:tr w:rsidR="00562C59" w:rsidRPr="0085143C" w:rsidTr="00562C59">
        <w:trPr>
          <w:trHeight w:val="513"/>
        </w:trPr>
        <w:tc>
          <w:tcPr>
            <w:tcW w:w="1663" w:type="dxa"/>
          </w:tcPr>
          <w:p w:rsidR="00562C59" w:rsidRPr="0085143C" w:rsidRDefault="00562C59" w:rsidP="0085143C">
            <w:pPr>
              <w:pStyle w:val="Default"/>
              <w:rPr>
                <w:sz w:val="20"/>
                <w:szCs w:val="20"/>
              </w:rPr>
            </w:pPr>
            <w:r w:rsidRPr="0085143C">
              <w:rPr>
                <w:b/>
                <w:bCs/>
                <w:sz w:val="20"/>
                <w:szCs w:val="20"/>
              </w:rPr>
              <w:t xml:space="preserve">Programme </w:t>
            </w:r>
          </w:p>
        </w:tc>
        <w:tc>
          <w:tcPr>
            <w:tcW w:w="2693" w:type="dxa"/>
            <w:gridSpan w:val="2"/>
          </w:tcPr>
          <w:p w:rsidR="00562C59" w:rsidRPr="0085143C" w:rsidRDefault="00562C59" w:rsidP="0085143C">
            <w:pPr>
              <w:pStyle w:val="Default"/>
              <w:rPr>
                <w:sz w:val="20"/>
                <w:szCs w:val="20"/>
              </w:rPr>
            </w:pPr>
            <w:r w:rsidRPr="0085143C">
              <w:rPr>
                <w:b/>
                <w:bCs/>
                <w:sz w:val="20"/>
                <w:szCs w:val="20"/>
              </w:rPr>
              <w:t xml:space="preserve">Budget </w:t>
            </w:r>
          </w:p>
        </w:tc>
        <w:tc>
          <w:tcPr>
            <w:tcW w:w="1276" w:type="dxa"/>
          </w:tcPr>
          <w:p w:rsidR="00562C59" w:rsidRPr="0085143C" w:rsidRDefault="00562C59" w:rsidP="0085143C">
            <w:pPr>
              <w:pStyle w:val="Default"/>
              <w:rPr>
                <w:sz w:val="20"/>
                <w:szCs w:val="20"/>
              </w:rPr>
            </w:pPr>
            <w:r w:rsidRPr="0085143C">
              <w:rPr>
                <w:b/>
                <w:bCs/>
                <w:sz w:val="20"/>
                <w:szCs w:val="20"/>
              </w:rPr>
              <w:t xml:space="preserve">Nominal Increase / Decrease in 2020/21 </w:t>
            </w:r>
          </w:p>
        </w:tc>
        <w:tc>
          <w:tcPr>
            <w:tcW w:w="1417" w:type="dxa"/>
          </w:tcPr>
          <w:p w:rsidR="00562C59" w:rsidRPr="0085143C" w:rsidRDefault="00562C59" w:rsidP="0085143C">
            <w:pPr>
              <w:pStyle w:val="Default"/>
              <w:rPr>
                <w:sz w:val="20"/>
                <w:szCs w:val="20"/>
              </w:rPr>
            </w:pPr>
            <w:r w:rsidRPr="0085143C">
              <w:rPr>
                <w:b/>
                <w:bCs/>
                <w:sz w:val="20"/>
                <w:szCs w:val="20"/>
              </w:rPr>
              <w:t xml:space="preserve">Real Increase / Decrease in 2020/21 </w:t>
            </w:r>
          </w:p>
        </w:tc>
        <w:tc>
          <w:tcPr>
            <w:tcW w:w="1276" w:type="dxa"/>
          </w:tcPr>
          <w:p w:rsidR="00562C59" w:rsidRPr="0085143C" w:rsidRDefault="00562C59" w:rsidP="0085143C">
            <w:pPr>
              <w:pStyle w:val="Default"/>
              <w:rPr>
                <w:sz w:val="20"/>
                <w:szCs w:val="20"/>
              </w:rPr>
            </w:pPr>
            <w:r w:rsidRPr="0085143C">
              <w:rPr>
                <w:b/>
                <w:bCs/>
                <w:sz w:val="20"/>
                <w:szCs w:val="20"/>
              </w:rPr>
              <w:t xml:space="preserve">Nominal Percent change in 2020/21 </w:t>
            </w:r>
          </w:p>
        </w:tc>
        <w:tc>
          <w:tcPr>
            <w:tcW w:w="1236" w:type="dxa"/>
          </w:tcPr>
          <w:p w:rsidR="00562C59" w:rsidRPr="0085143C" w:rsidRDefault="00562C59" w:rsidP="0085143C">
            <w:pPr>
              <w:pStyle w:val="Default"/>
              <w:rPr>
                <w:sz w:val="20"/>
                <w:szCs w:val="20"/>
              </w:rPr>
            </w:pPr>
            <w:r w:rsidRPr="0085143C">
              <w:rPr>
                <w:b/>
                <w:bCs/>
                <w:sz w:val="20"/>
                <w:szCs w:val="20"/>
              </w:rPr>
              <w:t xml:space="preserve">Real Percent change in 2020/21 </w:t>
            </w:r>
          </w:p>
        </w:tc>
      </w:tr>
      <w:tr w:rsidR="00562C59" w:rsidRPr="0085143C" w:rsidTr="00562C59">
        <w:trPr>
          <w:trHeight w:val="93"/>
        </w:trPr>
        <w:tc>
          <w:tcPr>
            <w:tcW w:w="1663" w:type="dxa"/>
          </w:tcPr>
          <w:p w:rsidR="00562C59" w:rsidRPr="0085143C" w:rsidRDefault="00562C59" w:rsidP="0085143C">
            <w:pPr>
              <w:pStyle w:val="Default"/>
              <w:rPr>
                <w:sz w:val="20"/>
                <w:szCs w:val="20"/>
              </w:rPr>
            </w:pPr>
            <w:r w:rsidRPr="0085143C">
              <w:rPr>
                <w:b/>
                <w:bCs/>
                <w:sz w:val="20"/>
                <w:szCs w:val="20"/>
              </w:rPr>
              <w:t xml:space="preserve">R million </w:t>
            </w:r>
          </w:p>
        </w:tc>
        <w:tc>
          <w:tcPr>
            <w:tcW w:w="1134" w:type="dxa"/>
          </w:tcPr>
          <w:p w:rsidR="00562C59" w:rsidRPr="0085143C" w:rsidRDefault="00562C59" w:rsidP="0085143C">
            <w:pPr>
              <w:pStyle w:val="Default"/>
              <w:rPr>
                <w:b/>
                <w:sz w:val="20"/>
                <w:szCs w:val="20"/>
              </w:rPr>
            </w:pPr>
            <w:r w:rsidRPr="0085143C">
              <w:rPr>
                <w:b/>
                <w:sz w:val="20"/>
                <w:szCs w:val="20"/>
              </w:rPr>
              <w:t>2019/20</w:t>
            </w:r>
          </w:p>
        </w:tc>
        <w:tc>
          <w:tcPr>
            <w:tcW w:w="1559" w:type="dxa"/>
          </w:tcPr>
          <w:p w:rsidR="00562C59" w:rsidRPr="0085143C" w:rsidRDefault="00562C59" w:rsidP="0085143C">
            <w:pPr>
              <w:pStyle w:val="Default"/>
              <w:rPr>
                <w:b/>
                <w:sz w:val="20"/>
                <w:szCs w:val="20"/>
              </w:rPr>
            </w:pPr>
            <w:r w:rsidRPr="0085143C">
              <w:rPr>
                <w:b/>
                <w:sz w:val="20"/>
                <w:szCs w:val="20"/>
              </w:rPr>
              <w:t>2020/21</w:t>
            </w:r>
          </w:p>
        </w:tc>
        <w:tc>
          <w:tcPr>
            <w:tcW w:w="2693" w:type="dxa"/>
            <w:gridSpan w:val="2"/>
          </w:tcPr>
          <w:p w:rsidR="00562C59" w:rsidRPr="0085143C" w:rsidRDefault="00562C59" w:rsidP="0085143C">
            <w:pPr>
              <w:pStyle w:val="Default"/>
              <w:rPr>
                <w:sz w:val="20"/>
                <w:szCs w:val="20"/>
              </w:rPr>
            </w:pPr>
          </w:p>
        </w:tc>
        <w:tc>
          <w:tcPr>
            <w:tcW w:w="2512" w:type="dxa"/>
            <w:gridSpan w:val="2"/>
          </w:tcPr>
          <w:p w:rsidR="00562C59" w:rsidRPr="0085143C" w:rsidRDefault="00562C59" w:rsidP="0085143C">
            <w:pPr>
              <w:pStyle w:val="Default"/>
              <w:rPr>
                <w:sz w:val="20"/>
                <w:szCs w:val="20"/>
              </w:rPr>
            </w:pPr>
          </w:p>
        </w:tc>
      </w:tr>
      <w:tr w:rsidR="00562C59" w:rsidRPr="0085143C" w:rsidTr="00562C59">
        <w:trPr>
          <w:trHeight w:val="233"/>
        </w:trPr>
        <w:tc>
          <w:tcPr>
            <w:tcW w:w="1663" w:type="dxa"/>
          </w:tcPr>
          <w:p w:rsidR="00562C59" w:rsidRPr="0085143C" w:rsidRDefault="00562C59" w:rsidP="0085143C">
            <w:pPr>
              <w:pStyle w:val="Default"/>
              <w:rPr>
                <w:sz w:val="20"/>
                <w:szCs w:val="20"/>
              </w:rPr>
            </w:pPr>
            <w:r w:rsidRPr="0085143C">
              <w:rPr>
                <w:b/>
                <w:bCs/>
                <w:sz w:val="20"/>
                <w:szCs w:val="20"/>
              </w:rPr>
              <w:t xml:space="preserve">Police Performance, Conduct and Compliance </w:t>
            </w:r>
          </w:p>
        </w:tc>
        <w:tc>
          <w:tcPr>
            <w:tcW w:w="1134" w:type="dxa"/>
          </w:tcPr>
          <w:p w:rsidR="00562C59" w:rsidRPr="0085143C" w:rsidRDefault="00562C59" w:rsidP="0085143C">
            <w:pPr>
              <w:pStyle w:val="Default"/>
              <w:jc w:val="center"/>
              <w:rPr>
                <w:sz w:val="20"/>
                <w:szCs w:val="20"/>
              </w:rPr>
            </w:pPr>
            <w:r w:rsidRPr="0085143C">
              <w:rPr>
                <w:sz w:val="20"/>
                <w:szCs w:val="20"/>
              </w:rPr>
              <w:t>15.5</w:t>
            </w:r>
          </w:p>
        </w:tc>
        <w:tc>
          <w:tcPr>
            <w:tcW w:w="1559" w:type="dxa"/>
          </w:tcPr>
          <w:p w:rsidR="00562C59" w:rsidRPr="0085143C" w:rsidRDefault="00562C59" w:rsidP="0085143C">
            <w:pPr>
              <w:pStyle w:val="Default"/>
              <w:jc w:val="center"/>
              <w:rPr>
                <w:sz w:val="20"/>
                <w:szCs w:val="20"/>
              </w:rPr>
            </w:pPr>
            <w:r w:rsidRPr="0085143C">
              <w:rPr>
                <w:sz w:val="20"/>
                <w:szCs w:val="20"/>
              </w:rPr>
              <w:t>17.3</w:t>
            </w:r>
          </w:p>
        </w:tc>
        <w:tc>
          <w:tcPr>
            <w:tcW w:w="1276" w:type="dxa"/>
          </w:tcPr>
          <w:p w:rsidR="00562C59" w:rsidRPr="0085143C" w:rsidRDefault="00562C59" w:rsidP="0085143C">
            <w:pPr>
              <w:pStyle w:val="Default"/>
              <w:jc w:val="center"/>
              <w:rPr>
                <w:sz w:val="20"/>
                <w:szCs w:val="20"/>
              </w:rPr>
            </w:pPr>
            <w:r w:rsidRPr="0085143C">
              <w:rPr>
                <w:sz w:val="20"/>
                <w:szCs w:val="20"/>
              </w:rPr>
              <w:t>1.8</w:t>
            </w:r>
          </w:p>
        </w:tc>
        <w:tc>
          <w:tcPr>
            <w:tcW w:w="1417" w:type="dxa"/>
          </w:tcPr>
          <w:p w:rsidR="00562C59" w:rsidRPr="0085143C" w:rsidRDefault="00562C59" w:rsidP="0085143C">
            <w:pPr>
              <w:pStyle w:val="Default"/>
              <w:jc w:val="center"/>
              <w:rPr>
                <w:sz w:val="20"/>
                <w:szCs w:val="20"/>
              </w:rPr>
            </w:pPr>
            <w:r w:rsidRPr="0085143C">
              <w:rPr>
                <w:sz w:val="20"/>
                <w:szCs w:val="20"/>
              </w:rPr>
              <w:t>1.1</w:t>
            </w:r>
          </w:p>
        </w:tc>
        <w:tc>
          <w:tcPr>
            <w:tcW w:w="1276" w:type="dxa"/>
          </w:tcPr>
          <w:p w:rsidR="00562C59" w:rsidRPr="0085143C" w:rsidRDefault="00562C59" w:rsidP="0085143C">
            <w:pPr>
              <w:pStyle w:val="Default"/>
              <w:jc w:val="center"/>
              <w:rPr>
                <w:sz w:val="20"/>
                <w:szCs w:val="20"/>
              </w:rPr>
            </w:pPr>
            <w:r w:rsidRPr="0085143C">
              <w:rPr>
                <w:sz w:val="20"/>
                <w:szCs w:val="20"/>
              </w:rPr>
              <w:t>11.61%</w:t>
            </w:r>
          </w:p>
        </w:tc>
        <w:tc>
          <w:tcPr>
            <w:tcW w:w="1236" w:type="dxa"/>
          </w:tcPr>
          <w:p w:rsidR="00562C59" w:rsidRPr="0085143C" w:rsidRDefault="00562C59" w:rsidP="0085143C">
            <w:pPr>
              <w:pStyle w:val="Default"/>
              <w:jc w:val="center"/>
              <w:rPr>
                <w:sz w:val="20"/>
                <w:szCs w:val="20"/>
              </w:rPr>
            </w:pPr>
            <w:r w:rsidRPr="0085143C">
              <w:rPr>
                <w:sz w:val="20"/>
                <w:szCs w:val="20"/>
              </w:rPr>
              <w:t>6.91%</w:t>
            </w:r>
          </w:p>
        </w:tc>
      </w:tr>
      <w:tr w:rsidR="00562C59" w:rsidRPr="0085143C" w:rsidTr="00562C59">
        <w:trPr>
          <w:trHeight w:val="93"/>
        </w:trPr>
        <w:tc>
          <w:tcPr>
            <w:tcW w:w="1663" w:type="dxa"/>
          </w:tcPr>
          <w:p w:rsidR="00562C59" w:rsidRPr="0085143C" w:rsidRDefault="00562C59" w:rsidP="0085143C">
            <w:pPr>
              <w:pStyle w:val="Default"/>
              <w:rPr>
                <w:sz w:val="20"/>
                <w:szCs w:val="20"/>
              </w:rPr>
            </w:pPr>
            <w:r w:rsidRPr="0085143C">
              <w:rPr>
                <w:b/>
                <w:bCs/>
                <w:sz w:val="20"/>
                <w:szCs w:val="20"/>
              </w:rPr>
              <w:t xml:space="preserve">Policy and Programme Evaluations </w:t>
            </w:r>
          </w:p>
        </w:tc>
        <w:tc>
          <w:tcPr>
            <w:tcW w:w="1134" w:type="dxa"/>
          </w:tcPr>
          <w:p w:rsidR="00562C59" w:rsidRPr="0085143C" w:rsidRDefault="00562C59" w:rsidP="0085143C">
            <w:pPr>
              <w:pStyle w:val="Default"/>
              <w:jc w:val="center"/>
              <w:rPr>
                <w:sz w:val="20"/>
                <w:szCs w:val="20"/>
              </w:rPr>
            </w:pPr>
            <w:r w:rsidRPr="0085143C">
              <w:rPr>
                <w:sz w:val="20"/>
                <w:szCs w:val="20"/>
              </w:rPr>
              <w:t>5.5</w:t>
            </w:r>
          </w:p>
        </w:tc>
        <w:tc>
          <w:tcPr>
            <w:tcW w:w="1559" w:type="dxa"/>
          </w:tcPr>
          <w:p w:rsidR="00562C59" w:rsidRPr="0085143C" w:rsidRDefault="00562C59" w:rsidP="0085143C">
            <w:pPr>
              <w:pStyle w:val="Default"/>
              <w:jc w:val="center"/>
              <w:rPr>
                <w:sz w:val="20"/>
                <w:szCs w:val="20"/>
              </w:rPr>
            </w:pPr>
            <w:r w:rsidRPr="0085143C">
              <w:rPr>
                <w:sz w:val="20"/>
                <w:szCs w:val="20"/>
              </w:rPr>
              <w:t>5.8</w:t>
            </w:r>
          </w:p>
        </w:tc>
        <w:tc>
          <w:tcPr>
            <w:tcW w:w="1276" w:type="dxa"/>
          </w:tcPr>
          <w:p w:rsidR="00562C59" w:rsidRPr="0085143C" w:rsidRDefault="00562C59" w:rsidP="0085143C">
            <w:pPr>
              <w:pStyle w:val="Default"/>
              <w:jc w:val="center"/>
              <w:rPr>
                <w:sz w:val="20"/>
                <w:szCs w:val="20"/>
              </w:rPr>
            </w:pPr>
            <w:r w:rsidRPr="0085143C">
              <w:rPr>
                <w:sz w:val="20"/>
                <w:szCs w:val="20"/>
              </w:rPr>
              <w:t>0.3</w:t>
            </w:r>
          </w:p>
        </w:tc>
        <w:tc>
          <w:tcPr>
            <w:tcW w:w="1417" w:type="dxa"/>
          </w:tcPr>
          <w:p w:rsidR="00562C59" w:rsidRPr="0085143C" w:rsidRDefault="00562C59" w:rsidP="0085143C">
            <w:pPr>
              <w:pStyle w:val="Default"/>
              <w:jc w:val="center"/>
              <w:rPr>
                <w:sz w:val="20"/>
                <w:szCs w:val="20"/>
              </w:rPr>
            </w:pPr>
            <w:r w:rsidRPr="0085143C">
              <w:rPr>
                <w:sz w:val="20"/>
                <w:szCs w:val="20"/>
              </w:rPr>
              <w:t>0.1</w:t>
            </w:r>
          </w:p>
        </w:tc>
        <w:tc>
          <w:tcPr>
            <w:tcW w:w="1276" w:type="dxa"/>
          </w:tcPr>
          <w:p w:rsidR="00562C59" w:rsidRPr="0085143C" w:rsidRDefault="00562C59" w:rsidP="0085143C">
            <w:pPr>
              <w:pStyle w:val="Default"/>
              <w:jc w:val="center"/>
              <w:rPr>
                <w:sz w:val="20"/>
                <w:szCs w:val="20"/>
              </w:rPr>
            </w:pPr>
            <w:r w:rsidRPr="0085143C">
              <w:rPr>
                <w:sz w:val="20"/>
                <w:szCs w:val="20"/>
              </w:rPr>
              <w:t>5.45%</w:t>
            </w:r>
          </w:p>
        </w:tc>
        <w:tc>
          <w:tcPr>
            <w:tcW w:w="1236" w:type="dxa"/>
          </w:tcPr>
          <w:p w:rsidR="00562C59" w:rsidRPr="0085143C" w:rsidRDefault="00562C59" w:rsidP="0085143C">
            <w:pPr>
              <w:pStyle w:val="Default"/>
              <w:jc w:val="center"/>
              <w:rPr>
                <w:sz w:val="20"/>
                <w:szCs w:val="20"/>
              </w:rPr>
            </w:pPr>
            <w:r w:rsidRPr="0085143C">
              <w:rPr>
                <w:sz w:val="20"/>
                <w:szCs w:val="20"/>
              </w:rPr>
              <w:t>1.01%</w:t>
            </w:r>
          </w:p>
        </w:tc>
      </w:tr>
      <w:tr w:rsidR="00562C59" w:rsidRPr="0085143C" w:rsidTr="00562C59">
        <w:trPr>
          <w:trHeight w:val="93"/>
        </w:trPr>
        <w:tc>
          <w:tcPr>
            <w:tcW w:w="1663" w:type="dxa"/>
          </w:tcPr>
          <w:p w:rsidR="00562C59" w:rsidRPr="0085143C" w:rsidRDefault="00562C59" w:rsidP="0085143C">
            <w:pPr>
              <w:pStyle w:val="Default"/>
              <w:rPr>
                <w:sz w:val="20"/>
                <w:szCs w:val="20"/>
              </w:rPr>
            </w:pPr>
            <w:r w:rsidRPr="0085143C">
              <w:rPr>
                <w:b/>
                <w:bCs/>
                <w:sz w:val="20"/>
                <w:szCs w:val="20"/>
              </w:rPr>
              <w:t xml:space="preserve">Information Management </w:t>
            </w:r>
          </w:p>
        </w:tc>
        <w:tc>
          <w:tcPr>
            <w:tcW w:w="1134" w:type="dxa"/>
          </w:tcPr>
          <w:p w:rsidR="00562C59" w:rsidRPr="0085143C" w:rsidRDefault="00562C59" w:rsidP="0085143C">
            <w:pPr>
              <w:pStyle w:val="Default"/>
              <w:jc w:val="center"/>
              <w:rPr>
                <w:sz w:val="20"/>
                <w:szCs w:val="20"/>
              </w:rPr>
            </w:pPr>
            <w:r w:rsidRPr="0085143C">
              <w:rPr>
                <w:sz w:val="20"/>
                <w:szCs w:val="20"/>
              </w:rPr>
              <w:t>2.2</w:t>
            </w:r>
          </w:p>
        </w:tc>
        <w:tc>
          <w:tcPr>
            <w:tcW w:w="1559" w:type="dxa"/>
          </w:tcPr>
          <w:p w:rsidR="00562C59" w:rsidRPr="0085143C" w:rsidRDefault="00562C59" w:rsidP="0085143C">
            <w:pPr>
              <w:pStyle w:val="Default"/>
              <w:jc w:val="center"/>
              <w:rPr>
                <w:sz w:val="20"/>
                <w:szCs w:val="20"/>
              </w:rPr>
            </w:pPr>
            <w:r w:rsidRPr="0085143C">
              <w:rPr>
                <w:sz w:val="20"/>
                <w:szCs w:val="20"/>
              </w:rPr>
              <w:t>1.4</w:t>
            </w:r>
          </w:p>
        </w:tc>
        <w:tc>
          <w:tcPr>
            <w:tcW w:w="1276" w:type="dxa"/>
          </w:tcPr>
          <w:p w:rsidR="00562C59" w:rsidRPr="0085143C" w:rsidRDefault="00562C59" w:rsidP="0085143C">
            <w:pPr>
              <w:pStyle w:val="Default"/>
              <w:jc w:val="center"/>
              <w:rPr>
                <w:sz w:val="20"/>
                <w:szCs w:val="20"/>
              </w:rPr>
            </w:pPr>
            <w:r w:rsidRPr="0085143C">
              <w:rPr>
                <w:sz w:val="20"/>
                <w:szCs w:val="20"/>
              </w:rPr>
              <w:t>- 0.8</w:t>
            </w:r>
          </w:p>
        </w:tc>
        <w:tc>
          <w:tcPr>
            <w:tcW w:w="1417" w:type="dxa"/>
          </w:tcPr>
          <w:p w:rsidR="00562C59" w:rsidRPr="0085143C" w:rsidRDefault="00562C59" w:rsidP="0085143C">
            <w:pPr>
              <w:pStyle w:val="Default"/>
              <w:jc w:val="center"/>
              <w:rPr>
                <w:sz w:val="20"/>
                <w:szCs w:val="20"/>
              </w:rPr>
            </w:pPr>
            <w:r w:rsidRPr="0085143C">
              <w:rPr>
                <w:sz w:val="20"/>
                <w:szCs w:val="20"/>
              </w:rPr>
              <w:t>- 0.9</w:t>
            </w:r>
          </w:p>
        </w:tc>
        <w:tc>
          <w:tcPr>
            <w:tcW w:w="1276" w:type="dxa"/>
          </w:tcPr>
          <w:p w:rsidR="00562C59" w:rsidRPr="0085143C" w:rsidRDefault="00562C59" w:rsidP="0085143C">
            <w:pPr>
              <w:pStyle w:val="Default"/>
              <w:jc w:val="center"/>
              <w:rPr>
                <w:sz w:val="20"/>
                <w:szCs w:val="20"/>
              </w:rPr>
            </w:pPr>
            <w:r w:rsidRPr="0085143C">
              <w:rPr>
                <w:sz w:val="20"/>
                <w:szCs w:val="20"/>
              </w:rPr>
              <w:t>-36.36%</w:t>
            </w:r>
          </w:p>
        </w:tc>
        <w:tc>
          <w:tcPr>
            <w:tcW w:w="1236" w:type="dxa"/>
          </w:tcPr>
          <w:p w:rsidR="00562C59" w:rsidRPr="0085143C" w:rsidRDefault="00562C59" w:rsidP="0085143C">
            <w:pPr>
              <w:pStyle w:val="Default"/>
              <w:jc w:val="center"/>
              <w:rPr>
                <w:sz w:val="20"/>
                <w:szCs w:val="20"/>
              </w:rPr>
            </w:pPr>
            <w:r w:rsidRPr="0085143C">
              <w:rPr>
                <w:sz w:val="20"/>
                <w:szCs w:val="20"/>
              </w:rPr>
              <w:t>-39.05%</w:t>
            </w:r>
          </w:p>
        </w:tc>
      </w:tr>
      <w:tr w:rsidR="00562C59" w:rsidRPr="0085143C" w:rsidTr="00562C59">
        <w:trPr>
          <w:trHeight w:val="233"/>
        </w:trPr>
        <w:tc>
          <w:tcPr>
            <w:tcW w:w="1663" w:type="dxa"/>
          </w:tcPr>
          <w:p w:rsidR="00562C59" w:rsidRPr="0085143C" w:rsidRDefault="00562C59" w:rsidP="0085143C">
            <w:pPr>
              <w:pStyle w:val="Default"/>
              <w:rPr>
                <w:sz w:val="20"/>
                <w:szCs w:val="20"/>
              </w:rPr>
            </w:pPr>
            <w:r w:rsidRPr="0085143C">
              <w:rPr>
                <w:b/>
                <w:bCs/>
                <w:sz w:val="20"/>
                <w:szCs w:val="20"/>
              </w:rPr>
              <w:t xml:space="preserve">Office of the Directorate for Priority Crime Investigation Judge </w:t>
            </w:r>
          </w:p>
        </w:tc>
        <w:tc>
          <w:tcPr>
            <w:tcW w:w="1134" w:type="dxa"/>
          </w:tcPr>
          <w:p w:rsidR="00562C59" w:rsidRPr="0085143C" w:rsidRDefault="00562C59" w:rsidP="0085143C">
            <w:pPr>
              <w:pStyle w:val="Default"/>
              <w:jc w:val="center"/>
              <w:rPr>
                <w:sz w:val="20"/>
                <w:szCs w:val="20"/>
              </w:rPr>
            </w:pPr>
            <w:r w:rsidRPr="0085143C">
              <w:rPr>
                <w:sz w:val="20"/>
                <w:szCs w:val="20"/>
              </w:rPr>
              <w:t>5.8</w:t>
            </w:r>
          </w:p>
        </w:tc>
        <w:tc>
          <w:tcPr>
            <w:tcW w:w="1559" w:type="dxa"/>
          </w:tcPr>
          <w:p w:rsidR="00562C59" w:rsidRPr="0085143C" w:rsidRDefault="00562C59" w:rsidP="0085143C">
            <w:pPr>
              <w:pStyle w:val="Default"/>
              <w:jc w:val="center"/>
              <w:rPr>
                <w:sz w:val="20"/>
                <w:szCs w:val="20"/>
              </w:rPr>
            </w:pPr>
            <w:r w:rsidRPr="0085143C">
              <w:rPr>
                <w:sz w:val="20"/>
                <w:szCs w:val="20"/>
              </w:rPr>
              <w:t>7.1</w:t>
            </w:r>
          </w:p>
        </w:tc>
        <w:tc>
          <w:tcPr>
            <w:tcW w:w="1276" w:type="dxa"/>
          </w:tcPr>
          <w:p w:rsidR="00562C59" w:rsidRPr="0085143C" w:rsidRDefault="00562C59" w:rsidP="0085143C">
            <w:pPr>
              <w:pStyle w:val="Default"/>
              <w:jc w:val="center"/>
              <w:rPr>
                <w:sz w:val="20"/>
                <w:szCs w:val="20"/>
              </w:rPr>
            </w:pPr>
            <w:r w:rsidRPr="0085143C">
              <w:rPr>
                <w:sz w:val="20"/>
                <w:szCs w:val="20"/>
              </w:rPr>
              <w:t>1.3</w:t>
            </w:r>
          </w:p>
        </w:tc>
        <w:tc>
          <w:tcPr>
            <w:tcW w:w="1417" w:type="dxa"/>
          </w:tcPr>
          <w:p w:rsidR="00562C59" w:rsidRPr="0085143C" w:rsidRDefault="00562C59" w:rsidP="0085143C">
            <w:pPr>
              <w:pStyle w:val="Default"/>
              <w:jc w:val="center"/>
              <w:rPr>
                <w:sz w:val="20"/>
                <w:szCs w:val="20"/>
              </w:rPr>
            </w:pPr>
            <w:r w:rsidRPr="0085143C">
              <w:rPr>
                <w:sz w:val="20"/>
                <w:szCs w:val="20"/>
              </w:rPr>
              <w:t>1.0</w:t>
            </w:r>
          </w:p>
        </w:tc>
        <w:tc>
          <w:tcPr>
            <w:tcW w:w="1276" w:type="dxa"/>
          </w:tcPr>
          <w:p w:rsidR="00562C59" w:rsidRPr="0085143C" w:rsidRDefault="00562C59" w:rsidP="0085143C">
            <w:pPr>
              <w:pStyle w:val="Default"/>
              <w:jc w:val="center"/>
              <w:rPr>
                <w:sz w:val="20"/>
                <w:szCs w:val="20"/>
              </w:rPr>
            </w:pPr>
            <w:r w:rsidRPr="0085143C">
              <w:rPr>
                <w:sz w:val="20"/>
                <w:szCs w:val="20"/>
              </w:rPr>
              <w:t>22.41%</w:t>
            </w:r>
          </w:p>
        </w:tc>
        <w:tc>
          <w:tcPr>
            <w:tcW w:w="1236" w:type="dxa"/>
          </w:tcPr>
          <w:p w:rsidR="00562C59" w:rsidRPr="0085143C" w:rsidRDefault="00562C59" w:rsidP="0085143C">
            <w:pPr>
              <w:pStyle w:val="Default"/>
              <w:jc w:val="center"/>
              <w:rPr>
                <w:sz w:val="20"/>
                <w:szCs w:val="20"/>
              </w:rPr>
            </w:pPr>
            <w:r w:rsidRPr="0085143C">
              <w:rPr>
                <w:sz w:val="20"/>
                <w:szCs w:val="20"/>
              </w:rPr>
              <w:t>17.25%</w:t>
            </w:r>
          </w:p>
        </w:tc>
      </w:tr>
      <w:tr w:rsidR="00562C59" w:rsidRPr="0085143C" w:rsidTr="00562C59">
        <w:trPr>
          <w:trHeight w:val="232"/>
        </w:trPr>
        <w:tc>
          <w:tcPr>
            <w:tcW w:w="1663" w:type="dxa"/>
          </w:tcPr>
          <w:p w:rsidR="00562C59" w:rsidRPr="0085143C" w:rsidRDefault="00562C59" w:rsidP="0085143C">
            <w:pPr>
              <w:pStyle w:val="Default"/>
              <w:rPr>
                <w:sz w:val="20"/>
                <w:szCs w:val="20"/>
              </w:rPr>
            </w:pPr>
            <w:r w:rsidRPr="0085143C">
              <w:rPr>
                <w:b/>
                <w:bCs/>
                <w:sz w:val="20"/>
                <w:szCs w:val="20"/>
              </w:rPr>
              <w:t xml:space="preserve">National Forensic Oversight and Ethics Board </w:t>
            </w:r>
          </w:p>
        </w:tc>
        <w:tc>
          <w:tcPr>
            <w:tcW w:w="1134" w:type="dxa"/>
          </w:tcPr>
          <w:p w:rsidR="00562C59" w:rsidRPr="0085143C" w:rsidRDefault="00562C59" w:rsidP="0085143C">
            <w:pPr>
              <w:pStyle w:val="Default"/>
              <w:jc w:val="center"/>
              <w:rPr>
                <w:sz w:val="20"/>
                <w:szCs w:val="20"/>
              </w:rPr>
            </w:pPr>
            <w:r w:rsidRPr="0085143C">
              <w:rPr>
                <w:sz w:val="20"/>
                <w:szCs w:val="20"/>
              </w:rPr>
              <w:t>3.4</w:t>
            </w:r>
          </w:p>
        </w:tc>
        <w:tc>
          <w:tcPr>
            <w:tcW w:w="1559" w:type="dxa"/>
          </w:tcPr>
          <w:p w:rsidR="00562C59" w:rsidRPr="0085143C" w:rsidRDefault="00562C59" w:rsidP="0085143C">
            <w:pPr>
              <w:pStyle w:val="Default"/>
              <w:jc w:val="center"/>
              <w:rPr>
                <w:sz w:val="20"/>
                <w:szCs w:val="20"/>
              </w:rPr>
            </w:pPr>
            <w:r w:rsidRPr="0085143C">
              <w:rPr>
                <w:sz w:val="20"/>
                <w:szCs w:val="20"/>
              </w:rPr>
              <w:t>3.8</w:t>
            </w:r>
          </w:p>
        </w:tc>
        <w:tc>
          <w:tcPr>
            <w:tcW w:w="1276" w:type="dxa"/>
          </w:tcPr>
          <w:p w:rsidR="00562C59" w:rsidRPr="0085143C" w:rsidRDefault="00562C59" w:rsidP="0085143C">
            <w:pPr>
              <w:pStyle w:val="Default"/>
              <w:jc w:val="center"/>
              <w:rPr>
                <w:sz w:val="20"/>
                <w:szCs w:val="20"/>
              </w:rPr>
            </w:pPr>
            <w:r w:rsidRPr="0085143C">
              <w:rPr>
                <w:sz w:val="20"/>
                <w:szCs w:val="20"/>
              </w:rPr>
              <w:t>0.4</w:t>
            </w:r>
          </w:p>
        </w:tc>
        <w:tc>
          <w:tcPr>
            <w:tcW w:w="1417" w:type="dxa"/>
          </w:tcPr>
          <w:p w:rsidR="00562C59" w:rsidRPr="0085143C" w:rsidRDefault="00562C59" w:rsidP="0085143C">
            <w:pPr>
              <w:pStyle w:val="Default"/>
              <w:jc w:val="center"/>
              <w:rPr>
                <w:sz w:val="20"/>
                <w:szCs w:val="20"/>
              </w:rPr>
            </w:pPr>
            <w:r w:rsidRPr="0085143C">
              <w:rPr>
                <w:sz w:val="20"/>
                <w:szCs w:val="20"/>
              </w:rPr>
              <w:t>0.2</w:t>
            </w:r>
          </w:p>
        </w:tc>
        <w:tc>
          <w:tcPr>
            <w:tcW w:w="1276" w:type="dxa"/>
          </w:tcPr>
          <w:p w:rsidR="00562C59" w:rsidRPr="0085143C" w:rsidRDefault="00562C59" w:rsidP="0085143C">
            <w:pPr>
              <w:pStyle w:val="Default"/>
              <w:jc w:val="center"/>
              <w:rPr>
                <w:sz w:val="20"/>
                <w:szCs w:val="20"/>
              </w:rPr>
            </w:pPr>
            <w:r w:rsidRPr="0085143C">
              <w:rPr>
                <w:sz w:val="20"/>
                <w:szCs w:val="20"/>
              </w:rPr>
              <w:t>11.76 %</w:t>
            </w:r>
          </w:p>
        </w:tc>
        <w:tc>
          <w:tcPr>
            <w:tcW w:w="1236" w:type="dxa"/>
          </w:tcPr>
          <w:p w:rsidR="00562C59" w:rsidRPr="0085143C" w:rsidRDefault="00562C59" w:rsidP="0085143C">
            <w:pPr>
              <w:pStyle w:val="Default"/>
              <w:jc w:val="center"/>
              <w:rPr>
                <w:sz w:val="20"/>
                <w:szCs w:val="20"/>
              </w:rPr>
            </w:pPr>
            <w:r w:rsidRPr="0085143C">
              <w:rPr>
                <w:sz w:val="20"/>
                <w:szCs w:val="20"/>
              </w:rPr>
              <w:t>7.05%</w:t>
            </w:r>
          </w:p>
        </w:tc>
      </w:tr>
      <w:tr w:rsidR="00562C59" w:rsidRPr="0085143C" w:rsidTr="00562C59">
        <w:trPr>
          <w:trHeight w:val="93"/>
        </w:trPr>
        <w:tc>
          <w:tcPr>
            <w:tcW w:w="1663" w:type="dxa"/>
          </w:tcPr>
          <w:p w:rsidR="00562C59" w:rsidRPr="0085143C" w:rsidRDefault="00562C59" w:rsidP="0085143C">
            <w:pPr>
              <w:pStyle w:val="Default"/>
              <w:rPr>
                <w:sz w:val="20"/>
                <w:szCs w:val="20"/>
              </w:rPr>
            </w:pPr>
            <w:r w:rsidRPr="0085143C">
              <w:rPr>
                <w:b/>
                <w:bCs/>
                <w:sz w:val="20"/>
                <w:szCs w:val="20"/>
              </w:rPr>
              <w:lastRenderedPageBreak/>
              <w:t xml:space="preserve">TOTAL </w:t>
            </w:r>
          </w:p>
        </w:tc>
        <w:tc>
          <w:tcPr>
            <w:tcW w:w="1134" w:type="dxa"/>
          </w:tcPr>
          <w:p w:rsidR="00562C59" w:rsidRPr="0085143C" w:rsidRDefault="00562C59" w:rsidP="0085143C">
            <w:pPr>
              <w:pStyle w:val="Default"/>
              <w:jc w:val="center"/>
              <w:rPr>
                <w:b/>
                <w:sz w:val="20"/>
                <w:szCs w:val="20"/>
              </w:rPr>
            </w:pPr>
            <w:r w:rsidRPr="0085143C">
              <w:rPr>
                <w:b/>
                <w:sz w:val="20"/>
                <w:szCs w:val="20"/>
              </w:rPr>
              <w:t>32.5</w:t>
            </w:r>
          </w:p>
        </w:tc>
        <w:tc>
          <w:tcPr>
            <w:tcW w:w="1559" w:type="dxa"/>
          </w:tcPr>
          <w:p w:rsidR="00562C59" w:rsidRPr="0085143C" w:rsidRDefault="00562C59" w:rsidP="0085143C">
            <w:pPr>
              <w:pStyle w:val="Default"/>
              <w:jc w:val="center"/>
              <w:rPr>
                <w:b/>
                <w:sz w:val="20"/>
                <w:szCs w:val="20"/>
              </w:rPr>
            </w:pPr>
            <w:r w:rsidRPr="0085143C">
              <w:rPr>
                <w:b/>
                <w:sz w:val="20"/>
                <w:szCs w:val="20"/>
              </w:rPr>
              <w:t>35.4</w:t>
            </w:r>
          </w:p>
        </w:tc>
        <w:tc>
          <w:tcPr>
            <w:tcW w:w="1276" w:type="dxa"/>
          </w:tcPr>
          <w:p w:rsidR="00562C59" w:rsidRPr="0085143C" w:rsidRDefault="00562C59" w:rsidP="0085143C">
            <w:pPr>
              <w:pStyle w:val="Default"/>
              <w:jc w:val="center"/>
              <w:rPr>
                <w:b/>
                <w:sz w:val="20"/>
                <w:szCs w:val="20"/>
              </w:rPr>
            </w:pPr>
            <w:r w:rsidRPr="0085143C">
              <w:rPr>
                <w:b/>
                <w:sz w:val="20"/>
                <w:szCs w:val="20"/>
              </w:rPr>
              <w:t>2.9</w:t>
            </w:r>
          </w:p>
        </w:tc>
        <w:tc>
          <w:tcPr>
            <w:tcW w:w="1417" w:type="dxa"/>
          </w:tcPr>
          <w:p w:rsidR="00562C59" w:rsidRPr="0085143C" w:rsidRDefault="00562C59" w:rsidP="0085143C">
            <w:pPr>
              <w:pStyle w:val="Default"/>
              <w:jc w:val="center"/>
              <w:rPr>
                <w:b/>
                <w:sz w:val="20"/>
                <w:szCs w:val="20"/>
              </w:rPr>
            </w:pPr>
            <w:r w:rsidRPr="0085143C">
              <w:rPr>
                <w:b/>
                <w:sz w:val="20"/>
                <w:szCs w:val="20"/>
              </w:rPr>
              <w:t>1.4</w:t>
            </w:r>
          </w:p>
        </w:tc>
        <w:tc>
          <w:tcPr>
            <w:tcW w:w="1276" w:type="dxa"/>
          </w:tcPr>
          <w:p w:rsidR="00562C59" w:rsidRPr="0085143C" w:rsidRDefault="00562C59" w:rsidP="0085143C">
            <w:pPr>
              <w:pStyle w:val="Default"/>
              <w:jc w:val="center"/>
              <w:rPr>
                <w:sz w:val="20"/>
                <w:szCs w:val="20"/>
              </w:rPr>
            </w:pPr>
            <w:r w:rsidRPr="0085143C">
              <w:rPr>
                <w:b/>
                <w:bCs/>
                <w:sz w:val="20"/>
                <w:szCs w:val="20"/>
              </w:rPr>
              <w:t>8.9 %</w:t>
            </w:r>
          </w:p>
        </w:tc>
        <w:tc>
          <w:tcPr>
            <w:tcW w:w="1236" w:type="dxa"/>
          </w:tcPr>
          <w:p w:rsidR="00562C59" w:rsidRPr="0085143C" w:rsidRDefault="00562C59" w:rsidP="0085143C">
            <w:pPr>
              <w:pStyle w:val="Default"/>
              <w:jc w:val="center"/>
              <w:rPr>
                <w:sz w:val="20"/>
                <w:szCs w:val="20"/>
              </w:rPr>
            </w:pPr>
            <w:r w:rsidRPr="0085143C">
              <w:rPr>
                <w:b/>
                <w:bCs/>
                <w:sz w:val="20"/>
                <w:szCs w:val="20"/>
              </w:rPr>
              <w:t>4.33 per cent</w:t>
            </w:r>
          </w:p>
        </w:tc>
      </w:tr>
    </w:tbl>
    <w:p w:rsidR="007A5FC4" w:rsidRPr="0085143C" w:rsidRDefault="00562C59" w:rsidP="0085143C">
      <w:pPr>
        <w:spacing w:after="0" w:line="240" w:lineRule="auto"/>
        <w:ind w:left="5760"/>
        <w:jc w:val="both"/>
        <w:rPr>
          <w:rFonts w:ascii="Arial" w:hAnsi="Arial" w:cs="Arial"/>
          <w:b/>
          <w:sz w:val="20"/>
          <w:szCs w:val="20"/>
        </w:rPr>
      </w:pPr>
      <w:r w:rsidRPr="0085143C">
        <w:rPr>
          <w:rFonts w:ascii="Arial" w:hAnsi="Arial" w:cs="Arial"/>
          <w:b/>
          <w:sz w:val="20"/>
          <w:szCs w:val="20"/>
        </w:rPr>
        <w:t>Source: National Treasury (2020)</w:t>
      </w:r>
    </w:p>
    <w:p w:rsidR="008908C6" w:rsidRPr="0085143C" w:rsidRDefault="008908C6" w:rsidP="0085143C">
      <w:pPr>
        <w:spacing w:after="0" w:line="240" w:lineRule="auto"/>
        <w:jc w:val="both"/>
        <w:rPr>
          <w:rFonts w:ascii="Arial" w:hAnsi="Arial" w:cs="Arial"/>
          <w:b/>
          <w:sz w:val="20"/>
          <w:szCs w:val="20"/>
        </w:rPr>
      </w:pPr>
    </w:p>
    <w:p w:rsidR="00562C59" w:rsidRPr="0085143C" w:rsidRDefault="00562C59" w:rsidP="0085143C">
      <w:pPr>
        <w:spacing w:after="0" w:line="240" w:lineRule="auto"/>
        <w:jc w:val="both"/>
        <w:rPr>
          <w:rFonts w:ascii="Arial" w:hAnsi="Arial" w:cs="Arial"/>
          <w:sz w:val="20"/>
          <w:szCs w:val="20"/>
        </w:rPr>
      </w:pPr>
      <w:r w:rsidRPr="0085143C">
        <w:rPr>
          <w:rFonts w:ascii="Arial" w:hAnsi="Arial" w:cs="Arial"/>
          <w:sz w:val="20"/>
          <w:szCs w:val="20"/>
        </w:rPr>
        <w:t>The changes in the budget allocations for sub-programmes are interesting, especially that of the Office of the Directorate for Priority Crime Investigation Judge sub-programme. The sub-programme received a budget allocation of R7.1 million in 2020/21, which is a nominal increase of 22.41% (real increase of 17.25%). The sub-programme received 20.06% of the total budget allocation of the Programme which is the second highest allocation. This is stark contrast to the significant nominal decrease of -36.36% in the allocation to the Information Management sub-programme. Effectively, the sub-programme received R800 thousand less than the previous financial year.</w:t>
      </w:r>
    </w:p>
    <w:p w:rsidR="00562C59" w:rsidRPr="0085143C" w:rsidRDefault="00562C59" w:rsidP="0085143C">
      <w:pPr>
        <w:spacing w:after="0" w:line="240" w:lineRule="auto"/>
        <w:jc w:val="both"/>
        <w:rPr>
          <w:rFonts w:ascii="Arial" w:hAnsi="Arial" w:cs="Arial"/>
          <w:sz w:val="20"/>
          <w:szCs w:val="20"/>
        </w:rPr>
      </w:pPr>
    </w:p>
    <w:p w:rsidR="008908C6" w:rsidRPr="0085143C" w:rsidRDefault="00562C59" w:rsidP="0085143C">
      <w:pPr>
        <w:spacing w:after="0" w:line="240" w:lineRule="auto"/>
        <w:jc w:val="both"/>
        <w:rPr>
          <w:rFonts w:ascii="Arial" w:hAnsi="Arial" w:cs="Arial"/>
          <w:sz w:val="20"/>
          <w:szCs w:val="20"/>
        </w:rPr>
      </w:pPr>
      <w:r w:rsidRPr="0085143C">
        <w:rPr>
          <w:rFonts w:ascii="Arial" w:hAnsi="Arial" w:cs="Arial"/>
          <w:sz w:val="20"/>
          <w:szCs w:val="20"/>
        </w:rPr>
        <w:t>The Police Performance, Conduct and Compliance sub-programme received a budget allocation of R17.3 million in 2020/21, which is a nominal increase of 11.61% when compared to the previous financial year. Proportionally, the sub-programme received the largest portion of the total budget allocation of the Programme (48.87%).</w:t>
      </w:r>
    </w:p>
    <w:p w:rsidR="009D45BD" w:rsidRPr="0085143C" w:rsidRDefault="009D45BD" w:rsidP="0085143C">
      <w:pPr>
        <w:spacing w:after="0" w:line="240" w:lineRule="auto"/>
        <w:jc w:val="both"/>
        <w:rPr>
          <w:rFonts w:ascii="Arial" w:hAnsi="Arial" w:cs="Arial"/>
          <w:sz w:val="20"/>
          <w:szCs w:val="20"/>
        </w:rPr>
      </w:pPr>
    </w:p>
    <w:p w:rsidR="009D45BD" w:rsidRPr="0085143C" w:rsidRDefault="009D45BD" w:rsidP="0085143C">
      <w:pPr>
        <w:spacing w:after="0" w:line="240" w:lineRule="auto"/>
        <w:jc w:val="both"/>
        <w:rPr>
          <w:rFonts w:ascii="Arial" w:hAnsi="Arial" w:cs="Arial"/>
          <w:sz w:val="20"/>
          <w:szCs w:val="20"/>
        </w:rPr>
      </w:pPr>
      <w:r w:rsidRPr="0085143C">
        <w:rPr>
          <w:rFonts w:ascii="Arial" w:hAnsi="Arial" w:cs="Arial"/>
          <w:sz w:val="20"/>
          <w:szCs w:val="20"/>
        </w:rPr>
        <w:t>The National Forensic Oversight and Ethics Board sub-programme received a budget allocation of R3.8 million in 2020/21, which is a nominal increase of 11.76% when compared to the previous financial year. Proportionally, the sub-programme received 10.73% of the total budget allocation of the Programme.</w:t>
      </w:r>
    </w:p>
    <w:p w:rsidR="009D45BD" w:rsidRPr="0085143C" w:rsidRDefault="009D45BD" w:rsidP="0085143C">
      <w:pPr>
        <w:spacing w:after="0" w:line="240" w:lineRule="auto"/>
        <w:jc w:val="both"/>
        <w:rPr>
          <w:rFonts w:ascii="Arial" w:hAnsi="Arial" w:cs="Arial"/>
          <w:sz w:val="20"/>
          <w:szCs w:val="20"/>
        </w:rPr>
      </w:pPr>
    </w:p>
    <w:p w:rsidR="008908C6" w:rsidRPr="0085143C" w:rsidRDefault="008908C6" w:rsidP="0085143C">
      <w:pPr>
        <w:spacing w:after="0" w:line="240" w:lineRule="auto"/>
        <w:jc w:val="both"/>
        <w:rPr>
          <w:rFonts w:ascii="Arial" w:hAnsi="Arial" w:cs="Arial"/>
          <w:sz w:val="20"/>
          <w:szCs w:val="20"/>
        </w:rPr>
      </w:pPr>
    </w:p>
    <w:p w:rsidR="00162DCA"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4.3</w:t>
      </w:r>
      <w:r w:rsidR="009D45BD" w:rsidRPr="0085143C">
        <w:rPr>
          <w:rFonts w:ascii="Arial" w:hAnsi="Arial" w:cs="Arial"/>
          <w:b/>
          <w:sz w:val="20"/>
          <w:szCs w:val="20"/>
        </w:rPr>
        <w:tab/>
      </w:r>
      <w:r w:rsidR="00162DCA" w:rsidRPr="0085143C">
        <w:rPr>
          <w:rFonts w:ascii="Arial" w:hAnsi="Arial" w:cs="Arial"/>
          <w:b/>
          <w:sz w:val="20"/>
          <w:szCs w:val="20"/>
        </w:rPr>
        <w:t>PERFORMANCE ANALYSIS</w:t>
      </w:r>
    </w:p>
    <w:p w:rsidR="009D45BD" w:rsidRPr="0085143C" w:rsidRDefault="009D45BD" w:rsidP="0085143C">
      <w:pPr>
        <w:spacing w:after="0" w:line="240" w:lineRule="auto"/>
        <w:jc w:val="both"/>
        <w:rPr>
          <w:rFonts w:ascii="Arial" w:hAnsi="Arial" w:cs="Arial"/>
          <w:b/>
          <w:sz w:val="20"/>
          <w:szCs w:val="20"/>
        </w:rPr>
      </w:pPr>
    </w:p>
    <w:p w:rsidR="009D45BD" w:rsidRPr="0085143C" w:rsidRDefault="009D45BD" w:rsidP="0085143C">
      <w:pPr>
        <w:spacing w:after="0" w:line="240" w:lineRule="auto"/>
        <w:jc w:val="both"/>
        <w:rPr>
          <w:rFonts w:ascii="Arial" w:hAnsi="Arial" w:cs="Arial"/>
          <w:sz w:val="20"/>
          <w:szCs w:val="20"/>
        </w:rPr>
      </w:pPr>
      <w:r w:rsidRPr="0085143C">
        <w:rPr>
          <w:rFonts w:ascii="Arial" w:hAnsi="Arial" w:cs="Arial"/>
          <w:sz w:val="20"/>
          <w:szCs w:val="20"/>
        </w:rPr>
        <w:t>This section provides a summary of the performance indicators and targets of the four budget programmes of the Department. The section further highlights key concerns for consideration of Parliament during the 2020/21 budget hearings of the Department.</w:t>
      </w:r>
    </w:p>
    <w:p w:rsidR="009D45BD" w:rsidRPr="0085143C" w:rsidRDefault="009D45BD" w:rsidP="0085143C">
      <w:pPr>
        <w:spacing w:after="0" w:line="240" w:lineRule="auto"/>
        <w:jc w:val="both"/>
        <w:rPr>
          <w:rFonts w:ascii="Arial" w:hAnsi="Arial" w:cs="Arial"/>
          <w:sz w:val="20"/>
          <w:szCs w:val="20"/>
        </w:rPr>
      </w:pPr>
    </w:p>
    <w:p w:rsidR="009D45BD" w:rsidRPr="0085143C" w:rsidRDefault="009D45BD" w:rsidP="0085143C">
      <w:pPr>
        <w:spacing w:after="0" w:line="240" w:lineRule="auto"/>
        <w:jc w:val="both"/>
        <w:rPr>
          <w:rFonts w:ascii="Arial" w:hAnsi="Arial" w:cs="Arial"/>
          <w:sz w:val="20"/>
          <w:szCs w:val="20"/>
        </w:rPr>
      </w:pPr>
      <w:r w:rsidRPr="0085143C">
        <w:rPr>
          <w:rFonts w:ascii="Arial" w:hAnsi="Arial" w:cs="Arial"/>
          <w:sz w:val="20"/>
          <w:szCs w:val="20"/>
        </w:rPr>
        <w:t>In 2020/21, the Department has 29 performance indicators, of which four are new indicators. As such, most performance indicators were contained in the previous year’s APP and the targets attached to the performance indicators did not change and remained static. The Department should endeavour to increase performance targets to improve service delivery performance.</w:t>
      </w:r>
    </w:p>
    <w:p w:rsidR="003B4910" w:rsidRPr="0085143C" w:rsidRDefault="003B4910" w:rsidP="0085143C">
      <w:pPr>
        <w:spacing w:after="0" w:line="240" w:lineRule="auto"/>
        <w:jc w:val="both"/>
        <w:rPr>
          <w:rFonts w:ascii="Arial" w:hAnsi="Arial" w:cs="Arial"/>
          <w:sz w:val="20"/>
          <w:szCs w:val="20"/>
        </w:rPr>
      </w:pPr>
    </w:p>
    <w:p w:rsidR="003B4910"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4.3.1</w:t>
      </w:r>
      <w:r w:rsidR="009A757D" w:rsidRPr="0085143C">
        <w:rPr>
          <w:rFonts w:ascii="Arial" w:hAnsi="Arial" w:cs="Arial"/>
          <w:b/>
          <w:sz w:val="20"/>
          <w:szCs w:val="20"/>
        </w:rPr>
        <w:tab/>
      </w:r>
      <w:r w:rsidR="003B4910" w:rsidRPr="0085143C">
        <w:rPr>
          <w:rFonts w:ascii="Arial" w:hAnsi="Arial" w:cs="Arial"/>
          <w:b/>
          <w:sz w:val="20"/>
          <w:szCs w:val="20"/>
        </w:rPr>
        <w:t>Five-year outcome based indicators</w:t>
      </w:r>
    </w:p>
    <w:p w:rsidR="009D45BD"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The 2020-2025 Strategic Plan of the Department highlights the intended outcomes that are in line with the MTSF priorities. These include -</w:t>
      </w: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1"/>
        <w:gridCol w:w="3828"/>
        <w:gridCol w:w="1275"/>
        <w:gridCol w:w="1806"/>
      </w:tblGrid>
      <w:tr w:rsidR="009D45BD" w:rsidRPr="0085143C" w:rsidTr="00591161">
        <w:trPr>
          <w:trHeight w:val="93"/>
        </w:trPr>
        <w:tc>
          <w:tcPr>
            <w:tcW w:w="2371" w:type="dxa"/>
          </w:tcPr>
          <w:p w:rsidR="009D45BD" w:rsidRPr="0085143C" w:rsidRDefault="009D45BD"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b/>
                <w:bCs/>
                <w:color w:val="000000"/>
                <w:sz w:val="20"/>
                <w:szCs w:val="20"/>
              </w:rPr>
              <w:t xml:space="preserve">Outcome </w:t>
            </w:r>
          </w:p>
        </w:tc>
        <w:tc>
          <w:tcPr>
            <w:tcW w:w="3828" w:type="dxa"/>
          </w:tcPr>
          <w:p w:rsidR="009D45BD" w:rsidRPr="0085143C" w:rsidRDefault="009D45BD"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b/>
                <w:bCs/>
                <w:color w:val="000000"/>
                <w:sz w:val="20"/>
                <w:szCs w:val="20"/>
              </w:rPr>
              <w:t xml:space="preserve">Outcome indicator </w:t>
            </w:r>
          </w:p>
        </w:tc>
        <w:tc>
          <w:tcPr>
            <w:tcW w:w="1275" w:type="dxa"/>
          </w:tcPr>
          <w:p w:rsidR="009D45BD" w:rsidRPr="0085143C" w:rsidRDefault="009D45BD"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b/>
                <w:bCs/>
                <w:color w:val="000000"/>
                <w:sz w:val="20"/>
                <w:szCs w:val="20"/>
              </w:rPr>
              <w:t xml:space="preserve">Baseline </w:t>
            </w:r>
          </w:p>
        </w:tc>
        <w:tc>
          <w:tcPr>
            <w:tcW w:w="1806" w:type="dxa"/>
          </w:tcPr>
          <w:p w:rsidR="009D45BD" w:rsidRPr="0085143C" w:rsidRDefault="009D45BD"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b/>
                <w:bCs/>
                <w:color w:val="000000"/>
                <w:sz w:val="20"/>
                <w:szCs w:val="20"/>
              </w:rPr>
              <w:t xml:space="preserve">Five-year target </w:t>
            </w:r>
          </w:p>
        </w:tc>
      </w:tr>
      <w:tr w:rsidR="009D45BD" w:rsidRPr="0085143C" w:rsidTr="00591161">
        <w:trPr>
          <w:trHeight w:val="233"/>
        </w:trPr>
        <w:tc>
          <w:tcPr>
            <w:tcW w:w="2371" w:type="dxa"/>
          </w:tcPr>
          <w:p w:rsidR="009D45BD" w:rsidRPr="0085143C" w:rsidRDefault="009D45BD"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 xml:space="preserve">Improved community participation in the fight against crime </w:t>
            </w:r>
          </w:p>
        </w:tc>
        <w:tc>
          <w:tcPr>
            <w:tcW w:w="3828" w:type="dxa"/>
          </w:tcPr>
          <w:p w:rsidR="009D45BD" w:rsidRPr="0085143C" w:rsidRDefault="009D45BD"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 xml:space="preserve">Number of Community Safety Forums (CSFs) </w:t>
            </w:r>
          </w:p>
        </w:tc>
        <w:tc>
          <w:tcPr>
            <w:tcW w:w="1275" w:type="dxa"/>
          </w:tcPr>
          <w:p w:rsidR="009D45BD" w:rsidRPr="0085143C" w:rsidRDefault="009D45BD"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42</w:t>
            </w:r>
          </w:p>
        </w:tc>
        <w:tc>
          <w:tcPr>
            <w:tcW w:w="1806" w:type="dxa"/>
          </w:tcPr>
          <w:p w:rsidR="009D45BD" w:rsidRPr="0085143C" w:rsidRDefault="009D45BD"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45</w:t>
            </w:r>
          </w:p>
        </w:tc>
      </w:tr>
      <w:tr w:rsidR="009D45BD" w:rsidRPr="0085143C" w:rsidTr="00591161">
        <w:trPr>
          <w:trHeight w:val="373"/>
        </w:trPr>
        <w:tc>
          <w:tcPr>
            <w:tcW w:w="2371" w:type="dxa"/>
          </w:tcPr>
          <w:p w:rsidR="009D45BD" w:rsidRPr="0085143C" w:rsidRDefault="009D45BD"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 xml:space="preserve">Improved community police relations </w:t>
            </w:r>
          </w:p>
        </w:tc>
        <w:tc>
          <w:tcPr>
            <w:tcW w:w="3828" w:type="dxa"/>
          </w:tcPr>
          <w:p w:rsidR="009D45BD" w:rsidRPr="0085143C" w:rsidRDefault="009D45BD"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 xml:space="preserve">Number of functional Community Policing Forums (CPFs) </w:t>
            </w:r>
          </w:p>
        </w:tc>
        <w:tc>
          <w:tcPr>
            <w:tcW w:w="1275" w:type="dxa"/>
          </w:tcPr>
          <w:p w:rsidR="009D45BD" w:rsidRPr="0085143C" w:rsidRDefault="009D45BD"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543</w:t>
            </w:r>
          </w:p>
        </w:tc>
        <w:tc>
          <w:tcPr>
            <w:tcW w:w="1806" w:type="dxa"/>
          </w:tcPr>
          <w:p w:rsidR="009D45BD" w:rsidRPr="0085143C" w:rsidRDefault="009D45BD"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695</w:t>
            </w:r>
          </w:p>
        </w:tc>
      </w:tr>
      <w:tr w:rsidR="009D45BD" w:rsidRPr="0085143C" w:rsidTr="00591161">
        <w:trPr>
          <w:trHeight w:val="513"/>
        </w:trPr>
        <w:tc>
          <w:tcPr>
            <w:tcW w:w="2371" w:type="dxa"/>
          </w:tcPr>
          <w:p w:rsidR="009D45BD" w:rsidRPr="0085143C" w:rsidRDefault="009D45BD"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 xml:space="preserve">Improved collaboration, coordination and integration on safety, crime and violence prevention within the three spheres of Government </w:t>
            </w:r>
          </w:p>
        </w:tc>
        <w:tc>
          <w:tcPr>
            <w:tcW w:w="3828" w:type="dxa"/>
          </w:tcPr>
          <w:p w:rsidR="009D45BD" w:rsidRPr="0085143C" w:rsidRDefault="009D45BD"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 xml:space="preserve">Percentage community satisfaction with government in relation to safety </w:t>
            </w:r>
          </w:p>
        </w:tc>
        <w:tc>
          <w:tcPr>
            <w:tcW w:w="1275" w:type="dxa"/>
          </w:tcPr>
          <w:p w:rsidR="009D45BD" w:rsidRPr="0085143C" w:rsidRDefault="009D45BD"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New</w:t>
            </w:r>
          </w:p>
        </w:tc>
        <w:tc>
          <w:tcPr>
            <w:tcW w:w="1806" w:type="dxa"/>
          </w:tcPr>
          <w:p w:rsidR="009D45BD" w:rsidRPr="0085143C" w:rsidRDefault="009D45BD"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50%</w:t>
            </w:r>
          </w:p>
        </w:tc>
      </w:tr>
      <w:tr w:rsidR="003B4910" w:rsidRPr="0085143C" w:rsidTr="00591161">
        <w:trPr>
          <w:trHeight w:val="373"/>
        </w:trPr>
        <w:tc>
          <w:tcPr>
            <w:tcW w:w="2371" w:type="dxa"/>
            <w:vMerge w:val="restart"/>
          </w:tcPr>
          <w:p w:rsidR="003B4910" w:rsidRPr="0085143C" w:rsidRDefault="003B4910"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 xml:space="preserve">Transformed and accountable police service </w:t>
            </w:r>
          </w:p>
        </w:tc>
        <w:tc>
          <w:tcPr>
            <w:tcW w:w="3828" w:type="dxa"/>
          </w:tcPr>
          <w:p w:rsidR="003B4910" w:rsidRPr="0085143C" w:rsidRDefault="003B4910"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 xml:space="preserve">Increased levels of households satisfied with the service provided by the police. </w:t>
            </w:r>
          </w:p>
        </w:tc>
        <w:tc>
          <w:tcPr>
            <w:tcW w:w="1275" w:type="dxa"/>
          </w:tcPr>
          <w:p w:rsidR="003B4910" w:rsidRPr="0085143C" w:rsidRDefault="003B4910"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54.9%</w:t>
            </w:r>
          </w:p>
        </w:tc>
        <w:tc>
          <w:tcPr>
            <w:tcW w:w="1806" w:type="dxa"/>
          </w:tcPr>
          <w:p w:rsidR="003B4910" w:rsidRPr="0085143C" w:rsidRDefault="003B4910"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60%</w:t>
            </w:r>
          </w:p>
        </w:tc>
      </w:tr>
      <w:tr w:rsidR="003B4910" w:rsidRPr="0085143C" w:rsidTr="00591161">
        <w:trPr>
          <w:trHeight w:val="232"/>
        </w:trPr>
        <w:tc>
          <w:tcPr>
            <w:tcW w:w="2371" w:type="dxa"/>
            <w:vMerge/>
          </w:tcPr>
          <w:p w:rsidR="003B4910" w:rsidRPr="0085143C" w:rsidRDefault="003B4910" w:rsidP="0085143C">
            <w:pPr>
              <w:autoSpaceDE w:val="0"/>
              <w:autoSpaceDN w:val="0"/>
              <w:adjustRightInd w:val="0"/>
              <w:spacing w:after="0" w:line="240" w:lineRule="auto"/>
              <w:rPr>
                <w:rFonts w:ascii="Arial" w:hAnsi="Arial" w:cs="Arial"/>
                <w:color w:val="000000"/>
                <w:sz w:val="20"/>
                <w:szCs w:val="20"/>
              </w:rPr>
            </w:pPr>
          </w:p>
        </w:tc>
        <w:tc>
          <w:tcPr>
            <w:tcW w:w="3828" w:type="dxa"/>
          </w:tcPr>
          <w:p w:rsidR="003B4910" w:rsidRPr="0085143C" w:rsidRDefault="003B4910"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Reduced number of civil claims against the police</w:t>
            </w:r>
          </w:p>
        </w:tc>
        <w:tc>
          <w:tcPr>
            <w:tcW w:w="1275" w:type="dxa"/>
          </w:tcPr>
          <w:p w:rsidR="003B4910" w:rsidRPr="0085143C" w:rsidRDefault="003B4910"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New</w:t>
            </w:r>
          </w:p>
        </w:tc>
        <w:tc>
          <w:tcPr>
            <w:tcW w:w="1806" w:type="dxa"/>
          </w:tcPr>
          <w:p w:rsidR="003B4910" w:rsidRPr="0085143C" w:rsidRDefault="003B4910"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50%</w:t>
            </w:r>
          </w:p>
        </w:tc>
      </w:tr>
      <w:tr w:rsidR="003B4910" w:rsidRPr="0085143C" w:rsidTr="00591161">
        <w:trPr>
          <w:trHeight w:val="374"/>
        </w:trPr>
        <w:tc>
          <w:tcPr>
            <w:tcW w:w="2371" w:type="dxa"/>
            <w:vMerge/>
          </w:tcPr>
          <w:p w:rsidR="003B4910" w:rsidRPr="0085143C" w:rsidRDefault="003B4910" w:rsidP="0085143C">
            <w:pPr>
              <w:autoSpaceDE w:val="0"/>
              <w:autoSpaceDN w:val="0"/>
              <w:adjustRightInd w:val="0"/>
              <w:spacing w:after="0" w:line="240" w:lineRule="auto"/>
              <w:rPr>
                <w:rFonts w:ascii="Arial" w:hAnsi="Arial" w:cs="Arial"/>
                <w:color w:val="000000"/>
                <w:sz w:val="20"/>
                <w:szCs w:val="20"/>
              </w:rPr>
            </w:pPr>
          </w:p>
        </w:tc>
        <w:tc>
          <w:tcPr>
            <w:tcW w:w="3828" w:type="dxa"/>
          </w:tcPr>
          <w:p w:rsidR="003B4910" w:rsidRPr="0085143C" w:rsidRDefault="003B4910"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Increased levels of community trust in the police</w:t>
            </w:r>
          </w:p>
        </w:tc>
        <w:tc>
          <w:tcPr>
            <w:tcW w:w="1275" w:type="dxa"/>
          </w:tcPr>
          <w:p w:rsidR="003B4910" w:rsidRPr="0085143C" w:rsidRDefault="003B4910"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New</w:t>
            </w:r>
          </w:p>
        </w:tc>
        <w:tc>
          <w:tcPr>
            <w:tcW w:w="1806" w:type="dxa"/>
          </w:tcPr>
          <w:p w:rsidR="003B4910" w:rsidRPr="0085143C" w:rsidRDefault="003B4910"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50%</w:t>
            </w:r>
          </w:p>
        </w:tc>
      </w:tr>
      <w:tr w:rsidR="003B4910" w:rsidRPr="0085143C" w:rsidTr="00591161">
        <w:trPr>
          <w:trHeight w:val="233"/>
        </w:trPr>
        <w:tc>
          <w:tcPr>
            <w:tcW w:w="2371" w:type="dxa"/>
            <w:vMerge/>
          </w:tcPr>
          <w:p w:rsidR="003B4910" w:rsidRPr="0085143C" w:rsidRDefault="003B4910" w:rsidP="0085143C">
            <w:pPr>
              <w:autoSpaceDE w:val="0"/>
              <w:autoSpaceDN w:val="0"/>
              <w:adjustRightInd w:val="0"/>
              <w:spacing w:after="0" w:line="240" w:lineRule="auto"/>
              <w:rPr>
                <w:rFonts w:ascii="Arial" w:hAnsi="Arial" w:cs="Arial"/>
                <w:color w:val="000000"/>
                <w:sz w:val="20"/>
                <w:szCs w:val="20"/>
              </w:rPr>
            </w:pPr>
          </w:p>
        </w:tc>
        <w:tc>
          <w:tcPr>
            <w:tcW w:w="3828" w:type="dxa"/>
          </w:tcPr>
          <w:p w:rsidR="003B4910" w:rsidRPr="0085143C" w:rsidRDefault="003B4910" w:rsidP="0085143C">
            <w:pPr>
              <w:autoSpaceDE w:val="0"/>
              <w:autoSpaceDN w:val="0"/>
              <w:adjustRightInd w:val="0"/>
              <w:spacing w:after="0" w:line="240" w:lineRule="auto"/>
              <w:rPr>
                <w:rFonts w:ascii="Arial" w:hAnsi="Arial" w:cs="Arial"/>
                <w:color w:val="000000"/>
                <w:sz w:val="20"/>
                <w:szCs w:val="20"/>
              </w:rPr>
            </w:pPr>
            <w:r w:rsidRPr="0085143C">
              <w:rPr>
                <w:rFonts w:ascii="Arial" w:hAnsi="Arial" w:cs="Arial"/>
                <w:color w:val="000000"/>
                <w:sz w:val="20"/>
                <w:szCs w:val="20"/>
              </w:rPr>
              <w:t>Reduced number of SAPS misconduct cases recommended for disciplinary action by the IPID</w:t>
            </w:r>
          </w:p>
        </w:tc>
        <w:tc>
          <w:tcPr>
            <w:tcW w:w="1275" w:type="dxa"/>
          </w:tcPr>
          <w:p w:rsidR="003B4910" w:rsidRPr="0085143C" w:rsidRDefault="003B4910" w:rsidP="0085143C">
            <w:pPr>
              <w:autoSpaceDE w:val="0"/>
              <w:autoSpaceDN w:val="0"/>
              <w:adjustRightInd w:val="0"/>
              <w:spacing w:after="0" w:line="240" w:lineRule="auto"/>
              <w:jc w:val="center"/>
              <w:rPr>
                <w:rFonts w:ascii="Arial" w:hAnsi="Arial" w:cs="Arial"/>
                <w:color w:val="000000"/>
                <w:sz w:val="20"/>
                <w:szCs w:val="20"/>
              </w:rPr>
            </w:pPr>
            <w:r w:rsidRPr="0085143C">
              <w:rPr>
                <w:rFonts w:ascii="Arial" w:hAnsi="Arial" w:cs="Arial"/>
                <w:color w:val="000000"/>
                <w:sz w:val="20"/>
                <w:szCs w:val="20"/>
              </w:rPr>
              <w:t>New</w:t>
            </w:r>
          </w:p>
        </w:tc>
        <w:tc>
          <w:tcPr>
            <w:tcW w:w="1806" w:type="dxa"/>
          </w:tcPr>
          <w:p w:rsidR="003B4910" w:rsidRPr="0085143C" w:rsidRDefault="003B4910" w:rsidP="0085143C">
            <w:pPr>
              <w:tabs>
                <w:tab w:val="left" w:pos="921"/>
              </w:tabs>
              <w:spacing w:after="0" w:line="240" w:lineRule="auto"/>
              <w:jc w:val="center"/>
              <w:rPr>
                <w:rFonts w:ascii="Arial" w:hAnsi="Arial" w:cs="Arial"/>
                <w:sz w:val="20"/>
                <w:szCs w:val="20"/>
              </w:rPr>
            </w:pPr>
            <w:r w:rsidRPr="0085143C">
              <w:rPr>
                <w:rFonts w:ascii="Arial" w:hAnsi="Arial" w:cs="Arial"/>
                <w:sz w:val="20"/>
                <w:szCs w:val="20"/>
              </w:rPr>
              <w:t>50%</w:t>
            </w:r>
          </w:p>
        </w:tc>
      </w:tr>
    </w:tbl>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Source: CSPS Strategic Plan 2020-2025</w:t>
      </w:r>
    </w:p>
    <w:p w:rsidR="003B4910" w:rsidRPr="0085143C" w:rsidRDefault="003B4910" w:rsidP="0085143C">
      <w:pPr>
        <w:spacing w:after="0" w:line="240" w:lineRule="auto"/>
        <w:jc w:val="both"/>
        <w:rPr>
          <w:rFonts w:ascii="Arial" w:hAnsi="Arial" w:cs="Arial"/>
          <w:sz w:val="20"/>
          <w:szCs w:val="20"/>
        </w:rPr>
      </w:pP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The work of the CSPS contributes towards the achievement of Priority 5 of the MTSF and the mandate of the Department as follows:</w:t>
      </w:r>
    </w:p>
    <w:p w:rsidR="003B4910" w:rsidRPr="0085143C" w:rsidRDefault="003B4910" w:rsidP="0085143C">
      <w:pPr>
        <w:spacing w:after="0" w:line="240" w:lineRule="auto"/>
        <w:jc w:val="both"/>
        <w:rPr>
          <w:rFonts w:ascii="Arial" w:hAnsi="Arial" w:cs="Arial"/>
          <w:sz w:val="20"/>
          <w:szCs w:val="20"/>
        </w:rPr>
      </w:pPr>
    </w:p>
    <w:p w:rsidR="003B4910" w:rsidRPr="0085143C" w:rsidRDefault="003B4910" w:rsidP="0085143C">
      <w:pPr>
        <w:pStyle w:val="ListParagraph"/>
        <w:numPr>
          <w:ilvl w:val="0"/>
          <w:numId w:val="24"/>
        </w:numPr>
        <w:spacing w:after="0" w:line="240" w:lineRule="auto"/>
        <w:jc w:val="both"/>
        <w:rPr>
          <w:rFonts w:ascii="Arial" w:hAnsi="Arial" w:cs="Arial"/>
          <w:sz w:val="20"/>
          <w:szCs w:val="20"/>
        </w:rPr>
      </w:pPr>
      <w:r w:rsidRPr="0085143C">
        <w:rPr>
          <w:rFonts w:ascii="Arial" w:hAnsi="Arial" w:cs="Arial"/>
          <w:sz w:val="20"/>
          <w:szCs w:val="20"/>
        </w:rPr>
        <w:t>By drafting Bills, improving the integrity of the police and by addressing additional policing powers, international obligations relating to combating crime and issues such as community policing forums and the protection of the communities including priorities in relation to women, children, youth and people with disabilities.</w:t>
      </w:r>
    </w:p>
    <w:p w:rsidR="003B4910" w:rsidRPr="0085143C" w:rsidRDefault="003B4910" w:rsidP="0085143C">
      <w:pPr>
        <w:pStyle w:val="ListParagraph"/>
        <w:numPr>
          <w:ilvl w:val="0"/>
          <w:numId w:val="24"/>
        </w:numPr>
        <w:spacing w:after="0" w:line="240" w:lineRule="auto"/>
        <w:jc w:val="both"/>
        <w:rPr>
          <w:rFonts w:ascii="Arial" w:hAnsi="Arial" w:cs="Arial"/>
          <w:sz w:val="20"/>
          <w:szCs w:val="20"/>
        </w:rPr>
      </w:pPr>
      <w:r w:rsidRPr="0085143C">
        <w:rPr>
          <w:rFonts w:ascii="Arial" w:hAnsi="Arial" w:cs="Arial"/>
          <w:sz w:val="20"/>
          <w:szCs w:val="20"/>
        </w:rPr>
        <w:t>By ensuring an improved and transformed SAPS and concomitant policing services to communities, as well as through improved collaboration and integration of Government and civil society services.</w:t>
      </w:r>
    </w:p>
    <w:p w:rsidR="003B4910" w:rsidRPr="0085143C" w:rsidRDefault="003B4910" w:rsidP="0085143C">
      <w:pPr>
        <w:pStyle w:val="ListParagraph"/>
        <w:numPr>
          <w:ilvl w:val="0"/>
          <w:numId w:val="24"/>
        </w:numPr>
        <w:spacing w:after="0" w:line="240" w:lineRule="auto"/>
        <w:jc w:val="both"/>
        <w:rPr>
          <w:rFonts w:ascii="Arial" w:hAnsi="Arial" w:cs="Arial"/>
          <w:sz w:val="20"/>
          <w:szCs w:val="20"/>
        </w:rPr>
      </w:pPr>
      <w:r w:rsidRPr="0085143C">
        <w:rPr>
          <w:rFonts w:ascii="Arial" w:hAnsi="Arial" w:cs="Arial"/>
          <w:sz w:val="20"/>
          <w:szCs w:val="20"/>
        </w:rPr>
        <w:t>Through the provision of evidence-based policy and research in order to advise the Minister of Police on enhancing efficient and improved policing that will work toward the promotion of safer communities.</w:t>
      </w:r>
    </w:p>
    <w:p w:rsidR="003B4910" w:rsidRPr="0085143C" w:rsidRDefault="003B4910" w:rsidP="0085143C">
      <w:pPr>
        <w:spacing w:after="0" w:line="240" w:lineRule="auto"/>
        <w:jc w:val="both"/>
        <w:rPr>
          <w:rFonts w:ascii="Arial" w:hAnsi="Arial" w:cs="Arial"/>
          <w:sz w:val="20"/>
          <w:szCs w:val="20"/>
        </w:rPr>
      </w:pPr>
    </w:p>
    <w:p w:rsidR="003B4910"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4.4</w:t>
      </w:r>
      <w:r w:rsidRPr="0085143C">
        <w:rPr>
          <w:rFonts w:ascii="Arial" w:hAnsi="Arial" w:cs="Arial"/>
          <w:b/>
          <w:sz w:val="20"/>
          <w:szCs w:val="20"/>
        </w:rPr>
        <w:tab/>
      </w:r>
      <w:r w:rsidR="003B4910" w:rsidRPr="0085143C">
        <w:rPr>
          <w:rFonts w:ascii="Arial" w:hAnsi="Arial" w:cs="Arial"/>
          <w:b/>
          <w:sz w:val="20"/>
          <w:szCs w:val="20"/>
        </w:rPr>
        <w:t xml:space="preserve"> Programme 1: Administration</w:t>
      </w: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The purpose of the Administration Programme is to provide strategic leadership, management and support services to the Department. For the 2020/21 financial year, six performance indicators were identified. The Programme has two new performance indicators and removed two indicators that were included in the 2019/20 financial year.</w:t>
      </w:r>
    </w:p>
    <w:p w:rsidR="003B4910" w:rsidRPr="0085143C" w:rsidRDefault="003B4910" w:rsidP="0085143C">
      <w:pPr>
        <w:spacing w:after="0" w:line="240" w:lineRule="auto"/>
        <w:jc w:val="both"/>
        <w:rPr>
          <w:rFonts w:ascii="Arial" w:hAnsi="Arial" w:cs="Arial"/>
          <w:sz w:val="20"/>
          <w:szCs w:val="20"/>
        </w:rPr>
      </w:pPr>
    </w:p>
    <w:p w:rsidR="003B4910"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4.4</w:t>
      </w:r>
      <w:r w:rsidR="009A757D" w:rsidRPr="0085143C">
        <w:rPr>
          <w:rFonts w:ascii="Arial" w:hAnsi="Arial" w:cs="Arial"/>
          <w:b/>
          <w:sz w:val="20"/>
          <w:szCs w:val="20"/>
        </w:rPr>
        <w:t>.1</w:t>
      </w:r>
      <w:r w:rsidR="009A757D" w:rsidRPr="0085143C">
        <w:rPr>
          <w:rFonts w:ascii="Arial" w:hAnsi="Arial" w:cs="Arial"/>
          <w:b/>
          <w:sz w:val="20"/>
          <w:szCs w:val="20"/>
        </w:rPr>
        <w:tab/>
      </w:r>
      <w:r w:rsidR="003B4910" w:rsidRPr="0085143C">
        <w:rPr>
          <w:rFonts w:ascii="Arial" w:hAnsi="Arial" w:cs="Arial"/>
          <w:b/>
          <w:sz w:val="20"/>
          <w:szCs w:val="20"/>
        </w:rPr>
        <w:t>Sub-programme: Department Management</w:t>
      </w: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1) Four joint consultative IPID/ Secretariat forum meetings held per year in compliance with the Civilian Secretariat for Police Service Act, 2011.</w:t>
      </w:r>
    </w:p>
    <w:p w:rsidR="003B4910" w:rsidRPr="0085143C" w:rsidRDefault="003B4910" w:rsidP="0085143C">
      <w:pPr>
        <w:spacing w:after="0" w:line="240" w:lineRule="auto"/>
        <w:jc w:val="both"/>
        <w:rPr>
          <w:rFonts w:ascii="Arial" w:hAnsi="Arial" w:cs="Arial"/>
          <w:sz w:val="20"/>
          <w:szCs w:val="20"/>
        </w:rPr>
      </w:pPr>
    </w:p>
    <w:p w:rsidR="003B4910"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4.4.</w:t>
      </w:r>
      <w:r w:rsidR="009A757D" w:rsidRPr="0085143C">
        <w:rPr>
          <w:rFonts w:ascii="Arial" w:hAnsi="Arial" w:cs="Arial"/>
          <w:b/>
          <w:sz w:val="20"/>
          <w:szCs w:val="20"/>
        </w:rPr>
        <w:t>2</w:t>
      </w:r>
      <w:r w:rsidR="009A757D" w:rsidRPr="0085143C">
        <w:rPr>
          <w:rFonts w:ascii="Arial" w:hAnsi="Arial" w:cs="Arial"/>
          <w:b/>
          <w:sz w:val="20"/>
          <w:szCs w:val="20"/>
        </w:rPr>
        <w:tab/>
      </w:r>
      <w:r w:rsidR="003B4910" w:rsidRPr="0085143C">
        <w:rPr>
          <w:rFonts w:ascii="Arial" w:hAnsi="Arial" w:cs="Arial"/>
          <w:b/>
          <w:sz w:val="20"/>
          <w:szCs w:val="20"/>
        </w:rPr>
        <w:t>Sub-programme: Corporate Services</w:t>
      </w: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2) Maintain vacancy rate of not more than 7% of the total post establishment. This target has improved from a vacancy rate of 10% in 2018/19 to 7% in 2019/20.</w:t>
      </w: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3) New: Percentage of implementation of the Human Capital Strategy (Target 100%)</w:t>
      </w: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4) New: Implementation of the Information and Communication Technology (ICT) Strategy (Target of 100% implementation).</w:t>
      </w:r>
    </w:p>
    <w:p w:rsidR="003B4910" w:rsidRPr="0085143C" w:rsidRDefault="003B4910" w:rsidP="0085143C">
      <w:pPr>
        <w:spacing w:after="0" w:line="240" w:lineRule="auto"/>
        <w:jc w:val="both"/>
        <w:rPr>
          <w:rFonts w:ascii="Arial" w:hAnsi="Arial" w:cs="Arial"/>
          <w:sz w:val="20"/>
          <w:szCs w:val="20"/>
        </w:rPr>
      </w:pPr>
    </w:p>
    <w:p w:rsidR="003B4910"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4.4</w:t>
      </w:r>
      <w:r w:rsidR="009A757D" w:rsidRPr="0085143C">
        <w:rPr>
          <w:rFonts w:ascii="Arial" w:hAnsi="Arial" w:cs="Arial"/>
          <w:b/>
          <w:sz w:val="20"/>
          <w:szCs w:val="20"/>
        </w:rPr>
        <w:t>.3</w:t>
      </w:r>
      <w:r w:rsidR="009A757D" w:rsidRPr="0085143C">
        <w:rPr>
          <w:rFonts w:ascii="Arial" w:hAnsi="Arial" w:cs="Arial"/>
          <w:b/>
          <w:sz w:val="20"/>
          <w:szCs w:val="20"/>
        </w:rPr>
        <w:tab/>
      </w:r>
      <w:r w:rsidR="003B4910" w:rsidRPr="0085143C">
        <w:rPr>
          <w:rFonts w:ascii="Arial" w:hAnsi="Arial" w:cs="Arial"/>
          <w:b/>
          <w:sz w:val="20"/>
          <w:szCs w:val="20"/>
        </w:rPr>
        <w:t>Sub-programme: Finance Administration</w:t>
      </w: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5) 100% of payments made to creditors within 30 days;</w:t>
      </w: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6) 98% of expenditure in relation to the allocated budget. This target was increased from 95% in 2018/19 to 98% in 2019/20. Expenditure against the allocated budget has been a challenge for the Departments as continuous underspending has occurred in past years.</w:t>
      </w: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In 2020/21, two performance indicators were removed from the APP, including:</w:t>
      </w:r>
    </w:p>
    <w:p w:rsidR="003B4910" w:rsidRPr="0085143C" w:rsidRDefault="003B4910" w:rsidP="0085143C">
      <w:pPr>
        <w:pStyle w:val="ListParagraph"/>
        <w:numPr>
          <w:ilvl w:val="0"/>
          <w:numId w:val="25"/>
        </w:numPr>
        <w:spacing w:after="0" w:line="240" w:lineRule="auto"/>
        <w:jc w:val="both"/>
        <w:rPr>
          <w:rFonts w:ascii="Arial" w:hAnsi="Arial" w:cs="Arial"/>
          <w:sz w:val="20"/>
          <w:szCs w:val="20"/>
        </w:rPr>
      </w:pPr>
      <w:r w:rsidRPr="0085143C">
        <w:rPr>
          <w:rFonts w:ascii="Arial" w:hAnsi="Arial" w:cs="Arial"/>
          <w:sz w:val="20"/>
          <w:szCs w:val="20"/>
        </w:rPr>
        <w:t>100% of Internal Audit recommendations implemented</w:t>
      </w:r>
    </w:p>
    <w:p w:rsidR="003B4910" w:rsidRPr="0085143C" w:rsidRDefault="003B4910" w:rsidP="0085143C">
      <w:pPr>
        <w:pStyle w:val="ListParagraph"/>
        <w:numPr>
          <w:ilvl w:val="0"/>
          <w:numId w:val="25"/>
        </w:numPr>
        <w:spacing w:after="0" w:line="240" w:lineRule="auto"/>
        <w:jc w:val="both"/>
        <w:rPr>
          <w:rFonts w:ascii="Arial" w:hAnsi="Arial" w:cs="Arial"/>
          <w:sz w:val="20"/>
          <w:szCs w:val="20"/>
        </w:rPr>
      </w:pPr>
      <w:r w:rsidRPr="0085143C">
        <w:rPr>
          <w:rFonts w:ascii="Arial" w:hAnsi="Arial" w:cs="Arial"/>
          <w:sz w:val="20"/>
          <w:szCs w:val="20"/>
        </w:rPr>
        <w:t>100% of External Audit recommendations implemented</w:t>
      </w:r>
    </w:p>
    <w:p w:rsidR="003B4910" w:rsidRPr="0085143C" w:rsidRDefault="003B4910"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p>
    <w:p w:rsidR="00162DCA"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4.4.5</w:t>
      </w:r>
      <w:r w:rsidRPr="0085143C">
        <w:rPr>
          <w:rFonts w:ascii="Arial" w:hAnsi="Arial" w:cs="Arial"/>
          <w:b/>
          <w:sz w:val="20"/>
          <w:szCs w:val="20"/>
        </w:rPr>
        <w:tab/>
        <w:t>Programme 2: Intersectoral Coordination and StrategicPartnerships</w:t>
      </w:r>
    </w:p>
    <w:p w:rsidR="00162DCA" w:rsidRPr="0085143C" w:rsidRDefault="00162DCA" w:rsidP="0085143C">
      <w:pPr>
        <w:spacing w:after="0" w:line="240" w:lineRule="auto"/>
        <w:jc w:val="both"/>
        <w:rPr>
          <w:rFonts w:ascii="Arial" w:hAnsi="Arial" w:cs="Arial"/>
          <w:sz w:val="20"/>
          <w:szCs w:val="20"/>
        </w:rPr>
      </w:pP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t>The purpose of the Intersectoral Coordination and Strategic Partnerships Programme is to manage and encourage national dialogue on community safety and crime prevention. For the 2020/21 financial year, the Programme has six performance indicators.</w:t>
      </w:r>
    </w:p>
    <w:p w:rsidR="00B27CCF" w:rsidRPr="0085143C" w:rsidRDefault="00B27CCF" w:rsidP="0085143C">
      <w:pPr>
        <w:spacing w:after="0" w:line="240" w:lineRule="auto"/>
        <w:jc w:val="both"/>
        <w:rPr>
          <w:rFonts w:ascii="Arial" w:hAnsi="Arial" w:cs="Arial"/>
          <w:sz w:val="20"/>
          <w:szCs w:val="20"/>
        </w:rPr>
      </w:pPr>
    </w:p>
    <w:p w:rsidR="003B4910"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4.4.6</w:t>
      </w:r>
      <w:r w:rsidRPr="0085143C">
        <w:rPr>
          <w:rFonts w:ascii="Arial" w:hAnsi="Arial" w:cs="Arial"/>
          <w:b/>
          <w:sz w:val="20"/>
          <w:szCs w:val="20"/>
        </w:rPr>
        <w:tab/>
      </w:r>
      <w:r w:rsidR="003B4910" w:rsidRPr="0085143C">
        <w:rPr>
          <w:rFonts w:ascii="Arial" w:hAnsi="Arial" w:cs="Arial"/>
          <w:b/>
          <w:sz w:val="20"/>
          <w:szCs w:val="20"/>
        </w:rPr>
        <w:t>Sub</w:t>
      </w:r>
      <w:r w:rsidRPr="0085143C">
        <w:rPr>
          <w:rFonts w:ascii="Arial" w:hAnsi="Arial" w:cs="Arial"/>
          <w:b/>
          <w:sz w:val="20"/>
          <w:szCs w:val="20"/>
        </w:rPr>
        <w:t>-</w:t>
      </w:r>
      <w:r w:rsidR="003B4910" w:rsidRPr="0085143C">
        <w:rPr>
          <w:rFonts w:ascii="Arial" w:hAnsi="Arial" w:cs="Arial"/>
          <w:b/>
          <w:sz w:val="20"/>
          <w:szCs w:val="20"/>
        </w:rPr>
        <w:t xml:space="preserve">programme: Intergovernmental, Civil Society and Public-Private </w:t>
      </w:r>
      <w:r w:rsidRPr="0085143C">
        <w:rPr>
          <w:rFonts w:ascii="Arial" w:hAnsi="Arial" w:cs="Arial"/>
          <w:b/>
          <w:sz w:val="20"/>
          <w:szCs w:val="20"/>
        </w:rPr>
        <w:tab/>
      </w:r>
      <w:r w:rsidR="003B4910" w:rsidRPr="0085143C">
        <w:rPr>
          <w:rFonts w:ascii="Arial" w:hAnsi="Arial" w:cs="Arial"/>
          <w:b/>
          <w:sz w:val="20"/>
          <w:szCs w:val="20"/>
        </w:rPr>
        <w:t>Partnerships</w:t>
      </w:r>
    </w:p>
    <w:p w:rsidR="003B4910" w:rsidRPr="0085143C" w:rsidRDefault="003B4910" w:rsidP="0085143C">
      <w:pPr>
        <w:pStyle w:val="ListParagraph"/>
        <w:numPr>
          <w:ilvl w:val="0"/>
          <w:numId w:val="26"/>
        </w:numPr>
        <w:spacing w:after="0" w:line="240" w:lineRule="auto"/>
        <w:jc w:val="both"/>
        <w:rPr>
          <w:rFonts w:ascii="Arial" w:hAnsi="Arial" w:cs="Arial"/>
          <w:sz w:val="20"/>
          <w:szCs w:val="20"/>
        </w:rPr>
      </w:pPr>
      <w:r w:rsidRPr="0085143C">
        <w:rPr>
          <w:rFonts w:ascii="Arial" w:hAnsi="Arial" w:cs="Arial"/>
          <w:sz w:val="20"/>
          <w:szCs w:val="20"/>
        </w:rPr>
        <w:t>Two memoranda of understanding (MoUs) signed with stakeholders in order to build safer communities.</w:t>
      </w:r>
    </w:p>
    <w:p w:rsidR="003B4910" w:rsidRPr="0085143C" w:rsidRDefault="003B4910" w:rsidP="0085143C">
      <w:pPr>
        <w:pStyle w:val="ListParagraph"/>
        <w:numPr>
          <w:ilvl w:val="0"/>
          <w:numId w:val="26"/>
        </w:numPr>
        <w:spacing w:after="0" w:line="240" w:lineRule="auto"/>
        <w:jc w:val="both"/>
        <w:rPr>
          <w:rFonts w:ascii="Arial" w:hAnsi="Arial" w:cs="Arial"/>
          <w:sz w:val="20"/>
          <w:szCs w:val="20"/>
        </w:rPr>
      </w:pPr>
      <w:r w:rsidRPr="0085143C">
        <w:rPr>
          <w:rFonts w:ascii="Arial" w:hAnsi="Arial" w:cs="Arial"/>
          <w:sz w:val="20"/>
          <w:szCs w:val="20"/>
        </w:rPr>
        <w:t>Nine workshops facilitated with Provincial Secretariats and municipalities on the establishment of Community Safety Forums (CSFs).</w:t>
      </w:r>
    </w:p>
    <w:p w:rsidR="003B4910" w:rsidRPr="0085143C" w:rsidRDefault="003B4910" w:rsidP="0085143C">
      <w:pPr>
        <w:pStyle w:val="ListParagraph"/>
        <w:numPr>
          <w:ilvl w:val="0"/>
          <w:numId w:val="26"/>
        </w:numPr>
        <w:spacing w:after="0" w:line="240" w:lineRule="auto"/>
        <w:jc w:val="both"/>
        <w:rPr>
          <w:rFonts w:ascii="Arial" w:hAnsi="Arial" w:cs="Arial"/>
          <w:sz w:val="20"/>
          <w:szCs w:val="20"/>
        </w:rPr>
      </w:pPr>
      <w:r w:rsidRPr="0085143C">
        <w:rPr>
          <w:rFonts w:ascii="Arial" w:hAnsi="Arial" w:cs="Arial"/>
          <w:sz w:val="20"/>
          <w:szCs w:val="20"/>
        </w:rPr>
        <w:t>Nine provincial capacity-building sessions held on crime prevention policies per year.</w:t>
      </w:r>
    </w:p>
    <w:p w:rsidR="003B4910" w:rsidRPr="0085143C" w:rsidRDefault="003B4910" w:rsidP="0085143C">
      <w:pPr>
        <w:pStyle w:val="ListParagraph"/>
        <w:numPr>
          <w:ilvl w:val="0"/>
          <w:numId w:val="26"/>
        </w:numPr>
        <w:spacing w:after="0" w:line="240" w:lineRule="auto"/>
        <w:jc w:val="both"/>
        <w:rPr>
          <w:rFonts w:ascii="Arial" w:hAnsi="Arial" w:cs="Arial"/>
          <w:sz w:val="20"/>
          <w:szCs w:val="20"/>
        </w:rPr>
      </w:pPr>
      <w:r w:rsidRPr="0085143C">
        <w:rPr>
          <w:rFonts w:ascii="Arial" w:hAnsi="Arial" w:cs="Arial"/>
          <w:sz w:val="20"/>
          <w:szCs w:val="20"/>
        </w:rPr>
        <w:t>Three anti-crime campaigns conducted per year.</w:t>
      </w:r>
    </w:p>
    <w:p w:rsidR="003B4910" w:rsidRPr="0085143C" w:rsidRDefault="003B4910" w:rsidP="0085143C">
      <w:pPr>
        <w:pStyle w:val="ListParagraph"/>
        <w:numPr>
          <w:ilvl w:val="0"/>
          <w:numId w:val="26"/>
        </w:numPr>
        <w:spacing w:after="0" w:line="240" w:lineRule="auto"/>
        <w:jc w:val="both"/>
        <w:rPr>
          <w:rFonts w:ascii="Arial" w:hAnsi="Arial" w:cs="Arial"/>
          <w:sz w:val="20"/>
          <w:szCs w:val="20"/>
        </w:rPr>
      </w:pPr>
      <w:r w:rsidRPr="0085143C">
        <w:rPr>
          <w:rFonts w:ascii="Arial" w:hAnsi="Arial" w:cs="Arial"/>
          <w:sz w:val="20"/>
          <w:szCs w:val="20"/>
        </w:rPr>
        <w:t>Two monitoring reports on implementing Community Policing Forum (CPF) regulations/standards approved by the Secretary.</w:t>
      </w:r>
    </w:p>
    <w:p w:rsidR="00B27CCF" w:rsidRPr="0085143C" w:rsidRDefault="00B27CCF" w:rsidP="0085143C">
      <w:pPr>
        <w:spacing w:after="0" w:line="240" w:lineRule="auto"/>
        <w:jc w:val="both"/>
        <w:rPr>
          <w:rFonts w:ascii="Arial" w:hAnsi="Arial" w:cs="Arial"/>
          <w:sz w:val="20"/>
          <w:szCs w:val="20"/>
        </w:rPr>
      </w:pPr>
    </w:p>
    <w:p w:rsidR="003B4910" w:rsidRPr="0085143C" w:rsidRDefault="003B4910" w:rsidP="0085143C">
      <w:pPr>
        <w:spacing w:after="0" w:line="240" w:lineRule="auto"/>
        <w:jc w:val="both"/>
        <w:rPr>
          <w:rFonts w:ascii="Arial" w:hAnsi="Arial" w:cs="Arial"/>
          <w:sz w:val="20"/>
          <w:szCs w:val="20"/>
        </w:rPr>
      </w:pPr>
      <w:r w:rsidRPr="0085143C">
        <w:rPr>
          <w:rFonts w:ascii="Arial" w:hAnsi="Arial" w:cs="Arial"/>
          <w:sz w:val="20"/>
          <w:szCs w:val="20"/>
        </w:rPr>
        <w:lastRenderedPageBreak/>
        <w:t>Removed: The performance indicator on the number of partnership strategies approved by the Secretary was removed in the 2020/21 financial year.</w:t>
      </w:r>
    </w:p>
    <w:p w:rsidR="00B27CCF" w:rsidRPr="0085143C" w:rsidRDefault="00B27CCF" w:rsidP="0085143C">
      <w:pPr>
        <w:spacing w:after="0" w:line="240" w:lineRule="auto"/>
        <w:jc w:val="both"/>
        <w:rPr>
          <w:rFonts w:ascii="Arial" w:hAnsi="Arial" w:cs="Arial"/>
          <w:b/>
          <w:sz w:val="20"/>
          <w:szCs w:val="20"/>
        </w:rPr>
      </w:pPr>
    </w:p>
    <w:p w:rsidR="00B27CCF"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4.4.7</w:t>
      </w:r>
      <w:r w:rsidRPr="0085143C">
        <w:rPr>
          <w:rFonts w:ascii="Arial" w:hAnsi="Arial" w:cs="Arial"/>
          <w:b/>
          <w:sz w:val="20"/>
          <w:szCs w:val="20"/>
        </w:rPr>
        <w:tab/>
      </w:r>
      <w:r w:rsidR="00B27CCF" w:rsidRPr="0085143C">
        <w:rPr>
          <w:rFonts w:ascii="Arial" w:hAnsi="Arial" w:cs="Arial"/>
          <w:b/>
          <w:sz w:val="20"/>
          <w:szCs w:val="20"/>
        </w:rPr>
        <w:t>Sub</w:t>
      </w:r>
      <w:r w:rsidRPr="0085143C">
        <w:rPr>
          <w:rFonts w:ascii="Arial" w:hAnsi="Arial" w:cs="Arial"/>
          <w:b/>
          <w:sz w:val="20"/>
          <w:szCs w:val="20"/>
        </w:rPr>
        <w:t>-</w:t>
      </w:r>
      <w:r w:rsidR="00B27CCF" w:rsidRPr="0085143C">
        <w:rPr>
          <w:rFonts w:ascii="Arial" w:hAnsi="Arial" w:cs="Arial"/>
          <w:b/>
          <w:sz w:val="20"/>
          <w:szCs w:val="20"/>
        </w:rPr>
        <w:t>programme: Community Outreach</w:t>
      </w:r>
    </w:p>
    <w:p w:rsidR="00162DCA" w:rsidRPr="0085143C" w:rsidRDefault="00B27CCF" w:rsidP="0085143C">
      <w:pPr>
        <w:pStyle w:val="ListParagraph"/>
        <w:numPr>
          <w:ilvl w:val="0"/>
          <w:numId w:val="26"/>
        </w:numPr>
        <w:spacing w:after="0" w:line="240" w:lineRule="auto"/>
        <w:jc w:val="both"/>
        <w:rPr>
          <w:rFonts w:ascii="Arial" w:hAnsi="Arial" w:cs="Arial"/>
          <w:sz w:val="20"/>
          <w:szCs w:val="20"/>
        </w:rPr>
      </w:pPr>
      <w:r w:rsidRPr="0085143C">
        <w:rPr>
          <w:rFonts w:ascii="Arial" w:hAnsi="Arial" w:cs="Arial"/>
          <w:sz w:val="20"/>
          <w:szCs w:val="20"/>
        </w:rPr>
        <w:t>Eight izimbizo/public participation programmes held with communities to promote community safety.</w:t>
      </w:r>
    </w:p>
    <w:p w:rsidR="00B27CCF" w:rsidRPr="0085143C" w:rsidRDefault="00B27CCF" w:rsidP="0085143C">
      <w:pPr>
        <w:spacing w:after="0" w:line="240" w:lineRule="auto"/>
        <w:jc w:val="both"/>
        <w:rPr>
          <w:rFonts w:ascii="Arial" w:hAnsi="Arial" w:cs="Arial"/>
          <w:sz w:val="20"/>
          <w:szCs w:val="20"/>
        </w:rPr>
      </w:pPr>
    </w:p>
    <w:p w:rsidR="00B27CCF"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w:t>
      </w:r>
      <w:r w:rsidR="004C560E" w:rsidRPr="0085143C">
        <w:rPr>
          <w:rFonts w:ascii="Arial" w:hAnsi="Arial" w:cs="Arial"/>
          <w:b/>
          <w:sz w:val="20"/>
          <w:szCs w:val="20"/>
        </w:rPr>
        <w:t>5</w:t>
      </w:r>
      <w:r w:rsidRPr="0085143C">
        <w:rPr>
          <w:rFonts w:ascii="Arial" w:hAnsi="Arial" w:cs="Arial"/>
          <w:b/>
          <w:sz w:val="20"/>
          <w:szCs w:val="20"/>
        </w:rPr>
        <w:tab/>
      </w:r>
      <w:r w:rsidR="00B27CCF" w:rsidRPr="0085143C">
        <w:rPr>
          <w:rFonts w:ascii="Arial" w:hAnsi="Arial" w:cs="Arial"/>
          <w:b/>
          <w:sz w:val="20"/>
          <w:szCs w:val="20"/>
        </w:rPr>
        <w:t>Programme 3: Legislation and Policy Development</w:t>
      </w:r>
    </w:p>
    <w:p w:rsidR="00B27CCF" w:rsidRPr="0085143C" w:rsidRDefault="00B27CCF" w:rsidP="0085143C">
      <w:pPr>
        <w:spacing w:after="0" w:line="240" w:lineRule="auto"/>
        <w:jc w:val="both"/>
        <w:rPr>
          <w:rFonts w:ascii="Arial" w:hAnsi="Arial" w:cs="Arial"/>
          <w:sz w:val="20"/>
          <w:szCs w:val="20"/>
        </w:rPr>
      </w:pPr>
      <w:r w:rsidRPr="0085143C">
        <w:rPr>
          <w:rFonts w:ascii="Arial" w:hAnsi="Arial" w:cs="Arial"/>
          <w:sz w:val="20"/>
          <w:szCs w:val="20"/>
        </w:rPr>
        <w:t>The purpose of the Legislation and Policy Development Programme is to develop policy and legislation for the police sector and to conduct research on policing and crime. For the 2020/21 financial year, the following performance targets were identified:</w:t>
      </w:r>
    </w:p>
    <w:p w:rsidR="00B27CCF" w:rsidRPr="0085143C" w:rsidRDefault="00B27CCF" w:rsidP="0085143C">
      <w:pPr>
        <w:spacing w:after="0" w:line="240" w:lineRule="auto"/>
        <w:jc w:val="both"/>
        <w:rPr>
          <w:rFonts w:ascii="Arial" w:hAnsi="Arial" w:cs="Arial"/>
          <w:sz w:val="20"/>
          <w:szCs w:val="20"/>
        </w:rPr>
      </w:pPr>
    </w:p>
    <w:p w:rsidR="00B27CCF"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w:t>
      </w:r>
      <w:r w:rsidR="004C560E" w:rsidRPr="0085143C">
        <w:rPr>
          <w:rFonts w:ascii="Arial" w:hAnsi="Arial" w:cs="Arial"/>
          <w:b/>
          <w:sz w:val="20"/>
          <w:szCs w:val="20"/>
        </w:rPr>
        <w:t>5</w:t>
      </w:r>
      <w:r w:rsidRPr="0085143C">
        <w:rPr>
          <w:rFonts w:ascii="Arial" w:hAnsi="Arial" w:cs="Arial"/>
          <w:b/>
          <w:sz w:val="20"/>
          <w:szCs w:val="20"/>
        </w:rPr>
        <w:t>.</w:t>
      </w:r>
      <w:r w:rsidR="004C560E" w:rsidRPr="0085143C">
        <w:rPr>
          <w:rFonts w:ascii="Arial" w:hAnsi="Arial" w:cs="Arial"/>
          <w:b/>
          <w:sz w:val="20"/>
          <w:szCs w:val="20"/>
        </w:rPr>
        <w:t>1</w:t>
      </w:r>
      <w:r w:rsidRPr="0085143C">
        <w:rPr>
          <w:rFonts w:ascii="Arial" w:hAnsi="Arial" w:cs="Arial"/>
          <w:b/>
          <w:sz w:val="20"/>
          <w:szCs w:val="20"/>
        </w:rPr>
        <w:tab/>
      </w:r>
      <w:r w:rsidR="00B27CCF" w:rsidRPr="0085143C">
        <w:rPr>
          <w:rFonts w:ascii="Arial" w:hAnsi="Arial" w:cs="Arial"/>
          <w:b/>
          <w:sz w:val="20"/>
          <w:szCs w:val="20"/>
        </w:rPr>
        <w:t>Sub</w:t>
      </w:r>
      <w:r w:rsidRPr="0085143C">
        <w:rPr>
          <w:rFonts w:ascii="Arial" w:hAnsi="Arial" w:cs="Arial"/>
          <w:b/>
          <w:sz w:val="20"/>
          <w:szCs w:val="20"/>
        </w:rPr>
        <w:t>-</w:t>
      </w:r>
      <w:r w:rsidR="00B27CCF" w:rsidRPr="0085143C">
        <w:rPr>
          <w:rFonts w:ascii="Arial" w:hAnsi="Arial" w:cs="Arial"/>
          <w:b/>
          <w:sz w:val="20"/>
          <w:szCs w:val="20"/>
        </w:rPr>
        <w:t>programme: Policy Development and Research</w:t>
      </w:r>
    </w:p>
    <w:p w:rsidR="00B27CCF" w:rsidRPr="0085143C" w:rsidRDefault="00B27CCF" w:rsidP="0085143C">
      <w:pPr>
        <w:pStyle w:val="ListParagraph"/>
        <w:numPr>
          <w:ilvl w:val="0"/>
          <w:numId w:val="28"/>
        </w:numPr>
        <w:spacing w:after="0" w:line="240" w:lineRule="auto"/>
        <w:jc w:val="both"/>
        <w:rPr>
          <w:rFonts w:ascii="Arial" w:hAnsi="Arial" w:cs="Arial"/>
          <w:sz w:val="20"/>
          <w:szCs w:val="20"/>
        </w:rPr>
      </w:pPr>
      <w:r w:rsidRPr="0085143C">
        <w:rPr>
          <w:rFonts w:ascii="Arial" w:hAnsi="Arial" w:cs="Arial"/>
          <w:sz w:val="20"/>
          <w:szCs w:val="20"/>
        </w:rPr>
        <w:t>One policy on policing submitted to the Minister of Police for approval per year (target reduced from three policies in the 2019/20 financial year).</w:t>
      </w:r>
    </w:p>
    <w:p w:rsidR="00B27CCF" w:rsidRPr="0085143C" w:rsidRDefault="00B27CCF" w:rsidP="0085143C">
      <w:pPr>
        <w:pStyle w:val="ListParagraph"/>
        <w:numPr>
          <w:ilvl w:val="0"/>
          <w:numId w:val="28"/>
        </w:numPr>
        <w:spacing w:after="0" w:line="240" w:lineRule="auto"/>
        <w:jc w:val="both"/>
        <w:rPr>
          <w:rFonts w:ascii="Arial" w:hAnsi="Arial" w:cs="Arial"/>
          <w:sz w:val="20"/>
          <w:szCs w:val="20"/>
        </w:rPr>
      </w:pPr>
      <w:r w:rsidRPr="0085143C">
        <w:rPr>
          <w:rFonts w:ascii="Arial" w:hAnsi="Arial" w:cs="Arial"/>
          <w:sz w:val="20"/>
          <w:szCs w:val="20"/>
        </w:rPr>
        <w:t>One research report on policing approved by the Secretary for Police Service per year; and</w:t>
      </w:r>
    </w:p>
    <w:p w:rsidR="00B27CCF" w:rsidRPr="0085143C" w:rsidRDefault="00B27CCF" w:rsidP="0085143C">
      <w:pPr>
        <w:pStyle w:val="ListParagraph"/>
        <w:numPr>
          <w:ilvl w:val="0"/>
          <w:numId w:val="28"/>
        </w:numPr>
        <w:spacing w:after="0" w:line="240" w:lineRule="auto"/>
        <w:jc w:val="both"/>
        <w:rPr>
          <w:rFonts w:ascii="Arial" w:hAnsi="Arial" w:cs="Arial"/>
          <w:sz w:val="20"/>
          <w:szCs w:val="20"/>
        </w:rPr>
      </w:pPr>
      <w:r w:rsidRPr="0085143C">
        <w:rPr>
          <w:rFonts w:ascii="Arial" w:hAnsi="Arial" w:cs="Arial"/>
          <w:sz w:val="20"/>
          <w:szCs w:val="20"/>
        </w:rPr>
        <w:t>One newsletter (gazettes) published on SaferSpaces per year.</w:t>
      </w:r>
    </w:p>
    <w:p w:rsidR="00B27CCF" w:rsidRPr="0085143C" w:rsidRDefault="00B27CCF" w:rsidP="0085143C">
      <w:pPr>
        <w:pStyle w:val="ListParagraph"/>
        <w:numPr>
          <w:ilvl w:val="0"/>
          <w:numId w:val="28"/>
        </w:numPr>
        <w:spacing w:after="0" w:line="240" w:lineRule="auto"/>
        <w:jc w:val="both"/>
        <w:rPr>
          <w:rFonts w:ascii="Arial" w:hAnsi="Arial" w:cs="Arial"/>
          <w:sz w:val="20"/>
          <w:szCs w:val="20"/>
        </w:rPr>
      </w:pPr>
      <w:r w:rsidRPr="0085143C">
        <w:rPr>
          <w:rFonts w:ascii="Arial" w:hAnsi="Arial" w:cs="Arial"/>
          <w:sz w:val="20"/>
          <w:szCs w:val="20"/>
        </w:rPr>
        <w:t>New: One Integrated Violence and Crime Prevention strategy submitted to the Minister for approval.</w:t>
      </w:r>
    </w:p>
    <w:p w:rsidR="00B27CCF" w:rsidRPr="0085143C" w:rsidRDefault="00B27CCF" w:rsidP="0085143C">
      <w:pPr>
        <w:pStyle w:val="ListParagraph"/>
        <w:numPr>
          <w:ilvl w:val="0"/>
          <w:numId w:val="28"/>
        </w:numPr>
        <w:spacing w:after="0" w:line="240" w:lineRule="auto"/>
        <w:jc w:val="both"/>
        <w:rPr>
          <w:rFonts w:ascii="Arial" w:hAnsi="Arial" w:cs="Arial"/>
          <w:sz w:val="20"/>
          <w:szCs w:val="20"/>
        </w:rPr>
      </w:pPr>
      <w:r w:rsidRPr="0085143C">
        <w:rPr>
          <w:rFonts w:ascii="Arial" w:hAnsi="Arial" w:cs="Arial"/>
          <w:sz w:val="20"/>
          <w:szCs w:val="20"/>
        </w:rPr>
        <w:t>New: One report on facilitating implementation of the White Paper on Safety and Security submitted to the Secretary for approve.</w:t>
      </w:r>
    </w:p>
    <w:p w:rsidR="00B27CCF" w:rsidRPr="0085143C" w:rsidRDefault="00B27CCF" w:rsidP="0085143C">
      <w:pPr>
        <w:spacing w:after="0" w:line="240" w:lineRule="auto"/>
        <w:jc w:val="both"/>
        <w:rPr>
          <w:rFonts w:ascii="Arial" w:hAnsi="Arial" w:cs="Arial"/>
          <w:sz w:val="20"/>
          <w:szCs w:val="20"/>
        </w:rPr>
      </w:pPr>
    </w:p>
    <w:p w:rsidR="00B27CCF"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w:t>
      </w:r>
      <w:r w:rsidR="004C560E" w:rsidRPr="0085143C">
        <w:rPr>
          <w:rFonts w:ascii="Arial" w:hAnsi="Arial" w:cs="Arial"/>
          <w:b/>
          <w:sz w:val="20"/>
          <w:szCs w:val="20"/>
        </w:rPr>
        <w:t>5</w:t>
      </w:r>
      <w:r w:rsidRPr="0085143C">
        <w:rPr>
          <w:rFonts w:ascii="Arial" w:hAnsi="Arial" w:cs="Arial"/>
          <w:b/>
          <w:sz w:val="20"/>
          <w:szCs w:val="20"/>
        </w:rPr>
        <w:t>.2</w:t>
      </w:r>
      <w:r w:rsidRPr="0085143C">
        <w:rPr>
          <w:rFonts w:ascii="Arial" w:hAnsi="Arial" w:cs="Arial"/>
          <w:b/>
          <w:sz w:val="20"/>
          <w:szCs w:val="20"/>
        </w:rPr>
        <w:tab/>
      </w:r>
      <w:r w:rsidR="00B27CCF" w:rsidRPr="0085143C">
        <w:rPr>
          <w:rFonts w:ascii="Arial" w:hAnsi="Arial" w:cs="Arial"/>
          <w:b/>
          <w:sz w:val="20"/>
          <w:szCs w:val="20"/>
        </w:rPr>
        <w:t>Sub</w:t>
      </w:r>
      <w:r w:rsidRPr="0085143C">
        <w:rPr>
          <w:rFonts w:ascii="Arial" w:hAnsi="Arial" w:cs="Arial"/>
          <w:b/>
          <w:sz w:val="20"/>
          <w:szCs w:val="20"/>
        </w:rPr>
        <w:t>-</w:t>
      </w:r>
      <w:r w:rsidR="00B27CCF" w:rsidRPr="0085143C">
        <w:rPr>
          <w:rFonts w:ascii="Arial" w:hAnsi="Arial" w:cs="Arial"/>
          <w:b/>
          <w:sz w:val="20"/>
          <w:szCs w:val="20"/>
        </w:rPr>
        <w:t>programme: Legislation</w:t>
      </w:r>
    </w:p>
    <w:p w:rsidR="00B27CCF" w:rsidRPr="0085143C" w:rsidRDefault="00B27CCF" w:rsidP="0085143C">
      <w:pPr>
        <w:spacing w:after="0" w:line="240" w:lineRule="auto"/>
        <w:jc w:val="both"/>
        <w:rPr>
          <w:rFonts w:ascii="Arial" w:hAnsi="Arial" w:cs="Arial"/>
          <w:sz w:val="20"/>
          <w:szCs w:val="20"/>
        </w:rPr>
      </w:pPr>
      <w:r w:rsidRPr="0085143C">
        <w:rPr>
          <w:rFonts w:ascii="Arial" w:hAnsi="Arial" w:cs="Arial"/>
          <w:sz w:val="20"/>
          <w:szCs w:val="20"/>
        </w:rPr>
        <w:t>6) Two Bills submitted to the Minister for Cabinet approval per year.</w:t>
      </w:r>
    </w:p>
    <w:p w:rsidR="00B27CCF" w:rsidRPr="0085143C" w:rsidRDefault="00B27CCF" w:rsidP="0085143C">
      <w:pPr>
        <w:spacing w:after="0" w:line="240" w:lineRule="auto"/>
        <w:jc w:val="both"/>
        <w:rPr>
          <w:rFonts w:ascii="Arial" w:hAnsi="Arial" w:cs="Arial"/>
          <w:sz w:val="20"/>
          <w:szCs w:val="20"/>
        </w:rPr>
      </w:pPr>
    </w:p>
    <w:p w:rsidR="00B27CCF" w:rsidRPr="0085143C" w:rsidRDefault="00FB7A77" w:rsidP="0085143C">
      <w:pPr>
        <w:spacing w:after="0" w:line="240" w:lineRule="auto"/>
        <w:jc w:val="both"/>
        <w:rPr>
          <w:rFonts w:ascii="Arial" w:hAnsi="Arial" w:cs="Arial"/>
          <w:b/>
          <w:sz w:val="20"/>
          <w:szCs w:val="20"/>
        </w:rPr>
      </w:pPr>
      <w:r w:rsidRPr="0085143C">
        <w:rPr>
          <w:rFonts w:ascii="Arial" w:hAnsi="Arial" w:cs="Arial"/>
          <w:b/>
          <w:sz w:val="20"/>
          <w:szCs w:val="20"/>
        </w:rPr>
        <w:t>4.</w:t>
      </w:r>
      <w:r w:rsidR="004C560E" w:rsidRPr="0085143C">
        <w:rPr>
          <w:rFonts w:ascii="Arial" w:hAnsi="Arial" w:cs="Arial"/>
          <w:b/>
          <w:sz w:val="20"/>
          <w:szCs w:val="20"/>
        </w:rPr>
        <w:t>6</w:t>
      </w:r>
      <w:r w:rsidR="004C560E" w:rsidRPr="0085143C">
        <w:rPr>
          <w:rFonts w:ascii="Arial" w:hAnsi="Arial" w:cs="Arial"/>
          <w:b/>
          <w:sz w:val="20"/>
          <w:szCs w:val="20"/>
        </w:rPr>
        <w:tab/>
      </w:r>
      <w:r w:rsidR="00B27CCF" w:rsidRPr="0085143C">
        <w:rPr>
          <w:rFonts w:ascii="Arial" w:hAnsi="Arial" w:cs="Arial"/>
          <w:b/>
          <w:sz w:val="20"/>
          <w:szCs w:val="20"/>
        </w:rPr>
        <w:t>Programme 4: Civilian Oversight, Monitoring and Evaluation</w:t>
      </w:r>
    </w:p>
    <w:p w:rsidR="00B27CCF" w:rsidRPr="0085143C" w:rsidRDefault="00B27CCF" w:rsidP="0085143C">
      <w:pPr>
        <w:spacing w:after="0" w:line="240" w:lineRule="auto"/>
        <w:jc w:val="both"/>
        <w:rPr>
          <w:rFonts w:ascii="Arial" w:hAnsi="Arial" w:cs="Arial"/>
          <w:sz w:val="20"/>
          <w:szCs w:val="20"/>
        </w:rPr>
      </w:pPr>
      <w:r w:rsidRPr="0085143C">
        <w:rPr>
          <w:rFonts w:ascii="Arial" w:hAnsi="Arial" w:cs="Arial"/>
          <w:sz w:val="20"/>
          <w:szCs w:val="20"/>
        </w:rPr>
        <w:t>The purpose of the Civilian Oversight, Monitoring and Evaluation Programme is to oversee, monitor and report on the performance of the SAPS.</w:t>
      </w:r>
    </w:p>
    <w:p w:rsidR="00B27CCF" w:rsidRPr="0085143C" w:rsidRDefault="00B27CCF" w:rsidP="0085143C">
      <w:pPr>
        <w:spacing w:after="0" w:line="240" w:lineRule="auto"/>
        <w:jc w:val="both"/>
        <w:rPr>
          <w:rFonts w:ascii="Arial" w:hAnsi="Arial" w:cs="Arial"/>
          <w:sz w:val="20"/>
          <w:szCs w:val="20"/>
        </w:rPr>
      </w:pPr>
    </w:p>
    <w:p w:rsidR="00B27CCF" w:rsidRPr="0085143C" w:rsidRDefault="00B27CCF" w:rsidP="0085143C">
      <w:pPr>
        <w:spacing w:after="0" w:line="240" w:lineRule="auto"/>
        <w:jc w:val="both"/>
        <w:rPr>
          <w:rFonts w:ascii="Arial" w:hAnsi="Arial" w:cs="Arial"/>
          <w:sz w:val="20"/>
          <w:szCs w:val="20"/>
        </w:rPr>
      </w:pPr>
      <w:r w:rsidRPr="0085143C">
        <w:rPr>
          <w:rFonts w:ascii="Arial" w:hAnsi="Arial" w:cs="Arial"/>
          <w:sz w:val="20"/>
          <w:szCs w:val="20"/>
        </w:rPr>
        <w:t>For the 2020/21 financial year, the following performance targets were identified:</w:t>
      </w:r>
    </w:p>
    <w:p w:rsidR="00B27CCF" w:rsidRPr="0085143C" w:rsidRDefault="00B27CCF" w:rsidP="0085143C">
      <w:pPr>
        <w:spacing w:after="0" w:line="240" w:lineRule="auto"/>
        <w:jc w:val="both"/>
        <w:rPr>
          <w:rFonts w:ascii="Arial" w:hAnsi="Arial" w:cs="Arial"/>
          <w:sz w:val="20"/>
          <w:szCs w:val="20"/>
        </w:rPr>
      </w:pPr>
    </w:p>
    <w:p w:rsidR="00FB7A77" w:rsidRPr="0085143C" w:rsidRDefault="00FB7A77" w:rsidP="0085143C">
      <w:pPr>
        <w:spacing w:after="0" w:line="240" w:lineRule="auto"/>
        <w:jc w:val="both"/>
        <w:rPr>
          <w:rFonts w:ascii="Arial" w:hAnsi="Arial" w:cs="Arial"/>
          <w:sz w:val="20"/>
          <w:szCs w:val="20"/>
        </w:rPr>
      </w:pPr>
    </w:p>
    <w:p w:rsidR="00B27CCF" w:rsidRPr="0085143C" w:rsidRDefault="004C560E" w:rsidP="0085143C">
      <w:pPr>
        <w:spacing w:after="0" w:line="240" w:lineRule="auto"/>
        <w:jc w:val="both"/>
        <w:rPr>
          <w:rFonts w:ascii="Arial" w:hAnsi="Arial" w:cs="Arial"/>
          <w:b/>
          <w:sz w:val="20"/>
          <w:szCs w:val="20"/>
        </w:rPr>
      </w:pPr>
      <w:r w:rsidRPr="0085143C">
        <w:rPr>
          <w:rFonts w:ascii="Arial" w:hAnsi="Arial" w:cs="Arial"/>
          <w:b/>
          <w:sz w:val="20"/>
          <w:szCs w:val="20"/>
        </w:rPr>
        <w:t>4</w:t>
      </w:r>
      <w:r w:rsidR="00FB7A77" w:rsidRPr="0085143C">
        <w:rPr>
          <w:rFonts w:ascii="Arial" w:hAnsi="Arial" w:cs="Arial"/>
          <w:b/>
          <w:sz w:val="20"/>
          <w:szCs w:val="20"/>
        </w:rPr>
        <w:t>.</w:t>
      </w:r>
      <w:r w:rsidRPr="0085143C">
        <w:rPr>
          <w:rFonts w:ascii="Arial" w:hAnsi="Arial" w:cs="Arial"/>
          <w:b/>
          <w:sz w:val="20"/>
          <w:szCs w:val="20"/>
        </w:rPr>
        <w:t>6</w:t>
      </w:r>
      <w:r w:rsidR="00FB7A77" w:rsidRPr="0085143C">
        <w:rPr>
          <w:rFonts w:ascii="Arial" w:hAnsi="Arial" w:cs="Arial"/>
          <w:b/>
          <w:sz w:val="20"/>
          <w:szCs w:val="20"/>
        </w:rPr>
        <w:t>.1</w:t>
      </w:r>
      <w:r w:rsidR="00FB7A77" w:rsidRPr="0085143C">
        <w:rPr>
          <w:rFonts w:ascii="Arial" w:hAnsi="Arial" w:cs="Arial"/>
          <w:b/>
          <w:sz w:val="20"/>
          <w:szCs w:val="20"/>
        </w:rPr>
        <w:tab/>
      </w:r>
      <w:r w:rsidR="00B27CCF" w:rsidRPr="0085143C">
        <w:rPr>
          <w:rFonts w:ascii="Arial" w:hAnsi="Arial" w:cs="Arial"/>
          <w:b/>
          <w:sz w:val="20"/>
          <w:szCs w:val="20"/>
        </w:rPr>
        <w:t>Sub</w:t>
      </w:r>
      <w:r w:rsidR="00FB7A77" w:rsidRPr="0085143C">
        <w:rPr>
          <w:rFonts w:ascii="Arial" w:hAnsi="Arial" w:cs="Arial"/>
          <w:b/>
          <w:sz w:val="20"/>
          <w:szCs w:val="20"/>
        </w:rPr>
        <w:t>-</w:t>
      </w:r>
      <w:r w:rsidR="00B27CCF" w:rsidRPr="0085143C">
        <w:rPr>
          <w:rFonts w:ascii="Arial" w:hAnsi="Arial" w:cs="Arial"/>
          <w:b/>
          <w:sz w:val="20"/>
          <w:szCs w:val="20"/>
        </w:rPr>
        <w:t>programme: Police Performance, Conduct and Compliance Monitoring</w:t>
      </w:r>
    </w:p>
    <w:p w:rsidR="00B27CCF" w:rsidRPr="0085143C" w:rsidRDefault="00B27CCF" w:rsidP="0085143C">
      <w:pPr>
        <w:spacing w:after="0" w:line="240" w:lineRule="auto"/>
        <w:jc w:val="both"/>
        <w:rPr>
          <w:rFonts w:ascii="Arial" w:hAnsi="Arial" w:cs="Arial"/>
          <w:sz w:val="20"/>
          <w:szCs w:val="20"/>
        </w:rPr>
      </w:pP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Four Police Station Oversight Report approved by the Secretary. The target increased from two such reports in 2019/20.</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One Police Station Service Delivery Trends Analysis Report approved by the Secretary for Police Service per year.</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One SAPS Budget and Programme Performance Assessment Report approved by the Secretary for Police Service per year.</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Two Assessments Reports on Complaints Management approved by the Secretary for Police Service per year.</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Two reports on SAPS Implementation of IPID Recommendations approved by the Secretary for Police Service per year</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Two Compliance Monitoring Reports on the implementation of the Domestic Violence Act, 1998 by SAPS approved by the Secretary for Police Service per year.</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One report on the implementation and compliance to legislation and policies approved by the Secretary.</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One assessment report on Litigation Management approved by the Secretary.</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Four reports on the functioning of the National Forensic DNA Database assessed per year.</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A key concern is that the Office of the Directorate for Priority Crime Investigation (DPCI) Judge was also incorporated as a sub-programme, but has no measurable performance indicators despite a budget allocation.</w:t>
      </w:r>
    </w:p>
    <w:p w:rsidR="00B27CCF" w:rsidRPr="0085143C" w:rsidRDefault="00B27CCF" w:rsidP="0085143C">
      <w:pPr>
        <w:pStyle w:val="ListParagraph"/>
        <w:spacing w:after="0" w:line="240" w:lineRule="auto"/>
        <w:ind w:left="360"/>
        <w:jc w:val="both"/>
        <w:rPr>
          <w:rFonts w:ascii="Arial" w:hAnsi="Arial" w:cs="Arial"/>
          <w:sz w:val="20"/>
          <w:szCs w:val="20"/>
        </w:rPr>
      </w:pPr>
    </w:p>
    <w:p w:rsidR="00B27CCF" w:rsidRPr="0085143C" w:rsidRDefault="004C560E" w:rsidP="0085143C">
      <w:pPr>
        <w:spacing w:after="0" w:line="240" w:lineRule="auto"/>
        <w:jc w:val="both"/>
        <w:rPr>
          <w:rFonts w:ascii="Arial" w:hAnsi="Arial" w:cs="Arial"/>
          <w:b/>
          <w:sz w:val="20"/>
          <w:szCs w:val="20"/>
        </w:rPr>
      </w:pPr>
      <w:r w:rsidRPr="0085143C">
        <w:rPr>
          <w:rFonts w:ascii="Arial" w:hAnsi="Arial" w:cs="Arial"/>
          <w:b/>
          <w:sz w:val="20"/>
          <w:szCs w:val="20"/>
        </w:rPr>
        <w:t>4</w:t>
      </w:r>
      <w:r w:rsidR="00FB7A77" w:rsidRPr="0085143C">
        <w:rPr>
          <w:rFonts w:ascii="Arial" w:hAnsi="Arial" w:cs="Arial"/>
          <w:b/>
          <w:sz w:val="20"/>
          <w:szCs w:val="20"/>
        </w:rPr>
        <w:t>.</w:t>
      </w:r>
      <w:r w:rsidRPr="0085143C">
        <w:rPr>
          <w:rFonts w:ascii="Arial" w:hAnsi="Arial" w:cs="Arial"/>
          <w:b/>
          <w:sz w:val="20"/>
          <w:szCs w:val="20"/>
        </w:rPr>
        <w:t>6</w:t>
      </w:r>
      <w:r w:rsidR="00FB7A77" w:rsidRPr="0085143C">
        <w:rPr>
          <w:rFonts w:ascii="Arial" w:hAnsi="Arial" w:cs="Arial"/>
          <w:b/>
          <w:sz w:val="20"/>
          <w:szCs w:val="20"/>
        </w:rPr>
        <w:t>.2</w:t>
      </w:r>
      <w:r w:rsidR="00FB7A77" w:rsidRPr="0085143C">
        <w:rPr>
          <w:rFonts w:ascii="Arial" w:hAnsi="Arial" w:cs="Arial"/>
          <w:b/>
          <w:sz w:val="20"/>
          <w:szCs w:val="20"/>
        </w:rPr>
        <w:tab/>
      </w:r>
      <w:r w:rsidR="00B27CCF" w:rsidRPr="0085143C">
        <w:rPr>
          <w:rFonts w:ascii="Arial" w:hAnsi="Arial" w:cs="Arial"/>
          <w:b/>
          <w:sz w:val="20"/>
          <w:szCs w:val="20"/>
        </w:rPr>
        <w:t>Sub</w:t>
      </w:r>
      <w:r w:rsidR="00FB7A77" w:rsidRPr="0085143C">
        <w:rPr>
          <w:rFonts w:ascii="Arial" w:hAnsi="Arial" w:cs="Arial"/>
          <w:b/>
          <w:sz w:val="20"/>
          <w:szCs w:val="20"/>
        </w:rPr>
        <w:t>-</w:t>
      </w:r>
      <w:r w:rsidR="00B27CCF" w:rsidRPr="0085143C">
        <w:rPr>
          <w:rFonts w:ascii="Arial" w:hAnsi="Arial" w:cs="Arial"/>
          <w:b/>
          <w:sz w:val="20"/>
          <w:szCs w:val="20"/>
        </w:rPr>
        <w:t>programme: Policy and Programme Evaluations</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One assessment report on establishment and functionality of CSFs approved by the Secretary for Police Service per year.</w:t>
      </w:r>
    </w:p>
    <w:p w:rsidR="00B27CCF" w:rsidRPr="0085143C" w:rsidRDefault="00B27CCF" w:rsidP="0085143C">
      <w:pPr>
        <w:pStyle w:val="ListParagraph"/>
        <w:numPr>
          <w:ilvl w:val="0"/>
          <w:numId w:val="29"/>
        </w:numPr>
        <w:spacing w:after="0" w:line="240" w:lineRule="auto"/>
        <w:jc w:val="both"/>
        <w:rPr>
          <w:rFonts w:ascii="Arial" w:hAnsi="Arial" w:cs="Arial"/>
          <w:sz w:val="20"/>
          <w:szCs w:val="20"/>
        </w:rPr>
      </w:pPr>
      <w:r w:rsidRPr="0085143C">
        <w:rPr>
          <w:rFonts w:ascii="Arial" w:hAnsi="Arial" w:cs="Arial"/>
          <w:sz w:val="20"/>
          <w:szCs w:val="20"/>
        </w:rPr>
        <w:t>One Customer Satisfaction Survey Reports approved by the Secretary for Police Service per year</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5. COMMITTEE OBSERVATIONS</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Committee made the following observations on the strategic priorities of the Civilian Secretariat during the 20</w:t>
      </w:r>
      <w:r w:rsidR="0059683E" w:rsidRPr="0085143C">
        <w:rPr>
          <w:rFonts w:ascii="Arial" w:hAnsi="Arial" w:cs="Arial"/>
          <w:sz w:val="20"/>
          <w:szCs w:val="20"/>
        </w:rPr>
        <w:t>20</w:t>
      </w:r>
      <w:r w:rsidRPr="0085143C">
        <w:rPr>
          <w:rFonts w:ascii="Arial" w:hAnsi="Arial" w:cs="Arial"/>
          <w:sz w:val="20"/>
          <w:szCs w:val="20"/>
        </w:rPr>
        <w:t>/2</w:t>
      </w:r>
      <w:r w:rsidR="0059683E" w:rsidRPr="0085143C">
        <w:rPr>
          <w:rFonts w:ascii="Arial" w:hAnsi="Arial" w:cs="Arial"/>
          <w:sz w:val="20"/>
          <w:szCs w:val="20"/>
        </w:rPr>
        <w:t>1</w:t>
      </w:r>
      <w:r w:rsidRPr="0085143C">
        <w:rPr>
          <w:rFonts w:ascii="Arial" w:hAnsi="Arial" w:cs="Arial"/>
          <w:sz w:val="20"/>
          <w:szCs w:val="20"/>
        </w:rPr>
        <w:t xml:space="preserve"> budget hearings:</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5.1 General</w:t>
      </w:r>
    </w:p>
    <w:p w:rsidR="0059683E" w:rsidRPr="0085143C" w:rsidRDefault="0059683E" w:rsidP="0085143C">
      <w:pPr>
        <w:spacing w:after="0" w:line="240" w:lineRule="auto"/>
        <w:jc w:val="both"/>
        <w:rPr>
          <w:rFonts w:ascii="Arial" w:hAnsi="Arial" w:cs="Arial"/>
          <w:b/>
          <w:sz w:val="20"/>
          <w:szCs w:val="20"/>
        </w:rPr>
      </w:pPr>
    </w:p>
    <w:p w:rsidR="00AD50AF" w:rsidRPr="0085143C" w:rsidRDefault="0059683E" w:rsidP="0085143C">
      <w:pPr>
        <w:spacing w:after="0" w:line="240" w:lineRule="auto"/>
        <w:jc w:val="both"/>
        <w:rPr>
          <w:rFonts w:ascii="Arial" w:hAnsi="Arial" w:cs="Arial"/>
          <w:b/>
          <w:sz w:val="20"/>
          <w:szCs w:val="20"/>
        </w:rPr>
      </w:pPr>
      <w:r w:rsidRPr="0085143C">
        <w:rPr>
          <w:rFonts w:ascii="Arial" w:hAnsi="Arial" w:cs="Arial"/>
          <w:b/>
          <w:sz w:val="20"/>
          <w:szCs w:val="20"/>
        </w:rPr>
        <w:t>Provincial budgets</w:t>
      </w:r>
    </w:p>
    <w:p w:rsidR="0059683E" w:rsidRPr="0085143C" w:rsidRDefault="0059683E" w:rsidP="0085143C">
      <w:pPr>
        <w:spacing w:after="0" w:line="240" w:lineRule="auto"/>
        <w:jc w:val="both"/>
        <w:rPr>
          <w:rFonts w:ascii="Arial" w:hAnsi="Arial" w:cs="Arial"/>
          <w:sz w:val="20"/>
          <w:szCs w:val="20"/>
        </w:rPr>
      </w:pPr>
      <w:r w:rsidRPr="0085143C">
        <w:rPr>
          <w:rFonts w:ascii="Arial" w:hAnsi="Arial" w:cs="Arial"/>
          <w:sz w:val="20"/>
          <w:szCs w:val="20"/>
        </w:rPr>
        <w:t xml:space="preserve">Members questioned the Department on the levels of cooperation with Provincial Secretariats and the budgets of the Provincial Secretariats. Of concern was the efficacy of the Civilian Secretariat in implementing its programme and mandate in the provinces. </w:t>
      </w:r>
      <w:r w:rsidR="00157B4E" w:rsidRPr="0085143C">
        <w:rPr>
          <w:rFonts w:ascii="Arial" w:hAnsi="Arial" w:cs="Arial"/>
          <w:sz w:val="20"/>
          <w:szCs w:val="20"/>
        </w:rPr>
        <w:t>Members also questioned what training was provided in Provincial Secretariats on Community Safety Forums</w:t>
      </w:r>
      <w:r w:rsidR="00DB5EFD" w:rsidRPr="0085143C">
        <w:rPr>
          <w:rFonts w:ascii="Arial" w:hAnsi="Arial" w:cs="Arial"/>
          <w:sz w:val="20"/>
          <w:szCs w:val="20"/>
        </w:rPr>
        <w:t xml:space="preserve"> (CSFs)</w:t>
      </w:r>
      <w:r w:rsidR="00157B4E" w:rsidRPr="0085143C">
        <w:rPr>
          <w:rFonts w:ascii="Arial" w:hAnsi="Arial" w:cs="Arial"/>
          <w:sz w:val="20"/>
          <w:szCs w:val="20"/>
        </w:rPr>
        <w:t>.</w:t>
      </w:r>
    </w:p>
    <w:p w:rsidR="0059683E" w:rsidRPr="0085143C" w:rsidRDefault="0059683E" w:rsidP="0085143C">
      <w:pPr>
        <w:spacing w:after="0" w:line="240" w:lineRule="auto"/>
        <w:jc w:val="both"/>
        <w:rPr>
          <w:rFonts w:ascii="Arial" w:hAnsi="Arial" w:cs="Arial"/>
          <w:sz w:val="20"/>
          <w:szCs w:val="20"/>
        </w:rPr>
      </w:pPr>
    </w:p>
    <w:p w:rsidR="00AD50AF" w:rsidRPr="0085143C" w:rsidRDefault="0059683E" w:rsidP="0085143C">
      <w:pPr>
        <w:spacing w:after="0" w:line="240" w:lineRule="auto"/>
        <w:jc w:val="both"/>
        <w:rPr>
          <w:rFonts w:ascii="Arial" w:hAnsi="Arial" w:cs="Arial"/>
          <w:b/>
          <w:sz w:val="20"/>
          <w:szCs w:val="20"/>
        </w:rPr>
      </w:pPr>
      <w:r w:rsidRPr="0085143C">
        <w:rPr>
          <w:rFonts w:ascii="Arial" w:hAnsi="Arial" w:cs="Arial"/>
          <w:b/>
          <w:sz w:val="20"/>
          <w:szCs w:val="20"/>
        </w:rPr>
        <w:t>Police Inspectorate</w:t>
      </w:r>
    </w:p>
    <w:p w:rsidR="008A4DC5" w:rsidRPr="0085143C" w:rsidRDefault="0059683E" w:rsidP="0085143C">
      <w:pPr>
        <w:spacing w:after="0" w:line="240" w:lineRule="auto"/>
        <w:jc w:val="both"/>
        <w:rPr>
          <w:rFonts w:ascii="Arial" w:hAnsi="Arial" w:cs="Arial"/>
          <w:sz w:val="20"/>
          <w:szCs w:val="20"/>
        </w:rPr>
      </w:pPr>
      <w:r w:rsidRPr="0085143C">
        <w:rPr>
          <w:rFonts w:ascii="Arial" w:hAnsi="Arial" w:cs="Arial"/>
          <w:sz w:val="20"/>
          <w:szCs w:val="20"/>
        </w:rPr>
        <w:t xml:space="preserve">Members of the Committee wanted to know if the Civilian Secretariat has drafted any policy document that deals with the independence of the Police Inspectorate, given its oversight role over the police. </w:t>
      </w:r>
    </w:p>
    <w:p w:rsidR="008A4DC5" w:rsidRPr="0085143C" w:rsidRDefault="008A4DC5" w:rsidP="0085143C">
      <w:pPr>
        <w:spacing w:after="0" w:line="240" w:lineRule="auto"/>
        <w:jc w:val="both"/>
        <w:rPr>
          <w:rFonts w:ascii="Arial" w:hAnsi="Arial" w:cs="Arial"/>
          <w:sz w:val="20"/>
          <w:szCs w:val="20"/>
        </w:rPr>
      </w:pPr>
    </w:p>
    <w:p w:rsidR="00AD50AF" w:rsidRPr="0085143C" w:rsidRDefault="008A4DC5" w:rsidP="0085143C">
      <w:pPr>
        <w:spacing w:after="0" w:line="240" w:lineRule="auto"/>
        <w:jc w:val="both"/>
        <w:rPr>
          <w:rFonts w:ascii="Arial" w:hAnsi="Arial" w:cs="Arial"/>
          <w:b/>
          <w:sz w:val="20"/>
          <w:szCs w:val="20"/>
        </w:rPr>
      </w:pPr>
      <w:r w:rsidRPr="0085143C">
        <w:rPr>
          <w:rFonts w:ascii="Arial" w:hAnsi="Arial" w:cs="Arial"/>
          <w:b/>
          <w:sz w:val="20"/>
          <w:szCs w:val="20"/>
        </w:rPr>
        <w:t>DNA Board</w:t>
      </w:r>
    </w:p>
    <w:p w:rsidR="008A4DC5" w:rsidRPr="0085143C" w:rsidRDefault="008A4DC5" w:rsidP="0085143C">
      <w:pPr>
        <w:spacing w:after="0" w:line="240" w:lineRule="auto"/>
        <w:jc w:val="both"/>
        <w:rPr>
          <w:rFonts w:ascii="Arial" w:hAnsi="Arial" w:cs="Arial"/>
          <w:sz w:val="20"/>
          <w:szCs w:val="20"/>
        </w:rPr>
      </w:pPr>
      <w:r w:rsidRPr="0085143C">
        <w:rPr>
          <w:rFonts w:ascii="Arial" w:hAnsi="Arial" w:cs="Arial"/>
          <w:sz w:val="20"/>
          <w:szCs w:val="20"/>
        </w:rPr>
        <w:t>Members questioned the fact that the DNA Board has come to the end of its term and wanted assurances from the Civilian Secretariat that a new board would be instituted, or that the Secretariat would assume the function of the Board. It was pointed out that there was no mention of the DNA Board in the presentation and Members wanted the Secretariat to provide reasons why this was the case.</w:t>
      </w:r>
    </w:p>
    <w:p w:rsidR="008A4DC5" w:rsidRPr="0085143C" w:rsidRDefault="008A4DC5" w:rsidP="0085143C">
      <w:pPr>
        <w:spacing w:after="0" w:line="240" w:lineRule="auto"/>
        <w:jc w:val="both"/>
        <w:rPr>
          <w:rFonts w:ascii="Arial" w:hAnsi="Arial" w:cs="Arial"/>
          <w:b/>
          <w:sz w:val="20"/>
          <w:szCs w:val="20"/>
        </w:rPr>
      </w:pPr>
    </w:p>
    <w:p w:rsidR="00AD50AF" w:rsidRPr="0085143C" w:rsidRDefault="008A4DC5" w:rsidP="0085143C">
      <w:pPr>
        <w:spacing w:after="0" w:line="240" w:lineRule="auto"/>
        <w:jc w:val="both"/>
        <w:rPr>
          <w:rFonts w:ascii="Arial" w:hAnsi="Arial" w:cs="Arial"/>
          <w:b/>
          <w:sz w:val="20"/>
          <w:szCs w:val="20"/>
        </w:rPr>
      </w:pPr>
      <w:r w:rsidRPr="0085143C">
        <w:rPr>
          <w:rFonts w:ascii="Arial" w:hAnsi="Arial" w:cs="Arial"/>
          <w:b/>
          <w:sz w:val="20"/>
          <w:szCs w:val="20"/>
        </w:rPr>
        <w:t>Use of CPFs during Lockdown</w:t>
      </w:r>
    </w:p>
    <w:p w:rsidR="008A4DC5" w:rsidRPr="0085143C" w:rsidRDefault="008A4DC5" w:rsidP="0085143C">
      <w:pPr>
        <w:spacing w:after="0" w:line="240" w:lineRule="auto"/>
        <w:jc w:val="both"/>
        <w:rPr>
          <w:rFonts w:ascii="Arial" w:hAnsi="Arial" w:cs="Arial"/>
          <w:sz w:val="20"/>
          <w:szCs w:val="20"/>
        </w:rPr>
      </w:pPr>
      <w:r w:rsidRPr="0085143C">
        <w:rPr>
          <w:rFonts w:ascii="Arial" w:hAnsi="Arial" w:cs="Arial"/>
          <w:sz w:val="20"/>
          <w:szCs w:val="20"/>
        </w:rPr>
        <w:t xml:space="preserve">The Committee questioned why the </w:t>
      </w:r>
      <w:r w:rsidR="00DB5EFD" w:rsidRPr="0085143C">
        <w:rPr>
          <w:rFonts w:ascii="Arial" w:hAnsi="Arial" w:cs="Arial"/>
          <w:sz w:val="20"/>
          <w:szCs w:val="20"/>
        </w:rPr>
        <w:t>CPFs</w:t>
      </w:r>
      <w:r w:rsidRPr="0085143C">
        <w:rPr>
          <w:rFonts w:ascii="Arial" w:hAnsi="Arial" w:cs="Arial"/>
          <w:sz w:val="20"/>
          <w:szCs w:val="20"/>
        </w:rPr>
        <w:t xml:space="preserve"> were not classified as emergency personnel by the Regulations. This was cause for concern because there was confusion with some provinces using CPFs and SAPS indicating that they were not emergency personnel. Given the fact that the mission of the Civilian Secretariat was effective civilian oversight, the Department </w:t>
      </w:r>
      <w:r w:rsidR="00DB5EFD" w:rsidRPr="0085143C">
        <w:rPr>
          <w:rFonts w:ascii="Arial" w:hAnsi="Arial" w:cs="Arial"/>
          <w:sz w:val="20"/>
          <w:szCs w:val="20"/>
        </w:rPr>
        <w:t xml:space="preserve">was </w:t>
      </w:r>
      <w:r w:rsidRPr="0085143C">
        <w:rPr>
          <w:rFonts w:ascii="Arial" w:hAnsi="Arial" w:cs="Arial"/>
          <w:sz w:val="20"/>
          <w:szCs w:val="20"/>
        </w:rPr>
        <w:t>asked to explain how they were going to change the situation</w:t>
      </w:r>
      <w:r w:rsidR="008C2ABA" w:rsidRPr="0085143C">
        <w:rPr>
          <w:rFonts w:ascii="Arial" w:hAnsi="Arial" w:cs="Arial"/>
          <w:sz w:val="20"/>
          <w:szCs w:val="20"/>
        </w:rPr>
        <w:t xml:space="preserve"> to allow CPFs to assist during the lockdown</w:t>
      </w:r>
      <w:r w:rsidRPr="0085143C">
        <w:rPr>
          <w:rFonts w:ascii="Arial" w:hAnsi="Arial" w:cs="Arial"/>
          <w:sz w:val="20"/>
          <w:szCs w:val="20"/>
        </w:rPr>
        <w:t>.</w:t>
      </w:r>
    </w:p>
    <w:p w:rsidR="00157B4E" w:rsidRPr="0085143C" w:rsidRDefault="00157B4E" w:rsidP="0085143C">
      <w:pPr>
        <w:spacing w:after="0" w:line="240" w:lineRule="auto"/>
        <w:jc w:val="both"/>
        <w:rPr>
          <w:rFonts w:ascii="Arial" w:hAnsi="Arial" w:cs="Arial"/>
          <w:sz w:val="20"/>
          <w:szCs w:val="20"/>
        </w:rPr>
      </w:pPr>
    </w:p>
    <w:p w:rsidR="00157B4E" w:rsidRPr="0085143C" w:rsidRDefault="00157B4E" w:rsidP="0085143C">
      <w:pPr>
        <w:spacing w:after="0" w:line="240" w:lineRule="auto"/>
        <w:jc w:val="both"/>
        <w:rPr>
          <w:rFonts w:ascii="Arial" w:hAnsi="Arial" w:cs="Arial"/>
          <w:b/>
          <w:sz w:val="20"/>
          <w:szCs w:val="20"/>
        </w:rPr>
      </w:pPr>
      <w:r w:rsidRPr="0085143C">
        <w:rPr>
          <w:rFonts w:ascii="Arial" w:hAnsi="Arial" w:cs="Arial"/>
          <w:b/>
          <w:sz w:val="20"/>
          <w:szCs w:val="20"/>
        </w:rPr>
        <w:t>Community partnerships</w:t>
      </w:r>
    </w:p>
    <w:p w:rsidR="00157B4E" w:rsidRPr="0085143C" w:rsidRDefault="00157B4E" w:rsidP="0085143C">
      <w:pPr>
        <w:spacing w:after="0" w:line="240" w:lineRule="auto"/>
        <w:jc w:val="both"/>
        <w:rPr>
          <w:rFonts w:ascii="Arial" w:hAnsi="Arial" w:cs="Arial"/>
          <w:sz w:val="20"/>
          <w:szCs w:val="20"/>
        </w:rPr>
      </w:pPr>
      <w:r w:rsidRPr="0085143C">
        <w:rPr>
          <w:rFonts w:ascii="Arial" w:hAnsi="Arial" w:cs="Arial"/>
          <w:sz w:val="20"/>
          <w:szCs w:val="20"/>
        </w:rPr>
        <w:t xml:space="preserve">The Committee noted that it appeared that there are some challenges that are experienced by the Secretariat in relation to sustainable community partnerships. Members wanted to know what the outcome, risks and mitigations were in relation to community partnerships were and what challenges the Department was experiencing with </w:t>
      </w:r>
      <w:r w:rsidR="005D76DA" w:rsidRPr="0085143C">
        <w:rPr>
          <w:rFonts w:ascii="Arial" w:hAnsi="Arial" w:cs="Arial"/>
          <w:sz w:val="20"/>
          <w:szCs w:val="20"/>
        </w:rPr>
        <w:t>community partnerships.</w:t>
      </w:r>
    </w:p>
    <w:p w:rsidR="008A4DC5" w:rsidRPr="0085143C" w:rsidRDefault="008A4DC5" w:rsidP="0085143C">
      <w:pPr>
        <w:spacing w:after="0" w:line="240" w:lineRule="auto"/>
        <w:jc w:val="both"/>
        <w:rPr>
          <w:rFonts w:ascii="Arial" w:hAnsi="Arial" w:cs="Arial"/>
          <w:sz w:val="20"/>
          <w:szCs w:val="20"/>
        </w:rPr>
      </w:pPr>
    </w:p>
    <w:p w:rsidR="00AD50AF" w:rsidRPr="0085143C" w:rsidRDefault="008C2ABA" w:rsidP="0085143C">
      <w:pPr>
        <w:spacing w:after="0" w:line="240" w:lineRule="auto"/>
        <w:jc w:val="both"/>
        <w:rPr>
          <w:rFonts w:ascii="Arial" w:hAnsi="Arial" w:cs="Arial"/>
          <w:b/>
          <w:sz w:val="20"/>
          <w:szCs w:val="20"/>
        </w:rPr>
      </w:pPr>
      <w:r w:rsidRPr="0085143C">
        <w:rPr>
          <w:rFonts w:ascii="Arial" w:hAnsi="Arial" w:cs="Arial"/>
          <w:b/>
          <w:sz w:val="20"/>
          <w:szCs w:val="20"/>
        </w:rPr>
        <w:t>Re-prioritisation of the budget</w:t>
      </w:r>
    </w:p>
    <w:p w:rsidR="008C2ABA" w:rsidRPr="0085143C" w:rsidRDefault="008C2ABA" w:rsidP="0085143C">
      <w:pPr>
        <w:spacing w:after="0" w:line="240" w:lineRule="auto"/>
        <w:jc w:val="both"/>
        <w:rPr>
          <w:rFonts w:ascii="Arial" w:hAnsi="Arial" w:cs="Arial"/>
          <w:sz w:val="20"/>
          <w:szCs w:val="20"/>
        </w:rPr>
      </w:pPr>
      <w:r w:rsidRPr="0085143C">
        <w:rPr>
          <w:rFonts w:ascii="Arial" w:hAnsi="Arial" w:cs="Arial"/>
          <w:sz w:val="20"/>
          <w:szCs w:val="20"/>
        </w:rPr>
        <w:t>Committee Members raised concerns about the intended R1</w:t>
      </w:r>
      <w:r w:rsidR="000F4EC5" w:rsidRPr="0085143C">
        <w:rPr>
          <w:rFonts w:ascii="Arial" w:hAnsi="Arial" w:cs="Arial"/>
          <w:sz w:val="20"/>
          <w:szCs w:val="20"/>
        </w:rPr>
        <w:t>3.5</w:t>
      </w:r>
      <w:r w:rsidRPr="0085143C">
        <w:rPr>
          <w:rFonts w:ascii="Arial" w:hAnsi="Arial" w:cs="Arial"/>
          <w:sz w:val="20"/>
          <w:szCs w:val="20"/>
        </w:rPr>
        <w:t xml:space="preserve"> million cut in the budget of the Secretariat and wanted to know how the Department was going to re-prioritise the budget under the circumstances. An example of this would be fact of the loss of public trust in the SAPS as a result of the flood of public complaints. Members wanted to know how the Secretariat would advise about changing this perception.  </w:t>
      </w:r>
    </w:p>
    <w:p w:rsidR="008C2ABA" w:rsidRPr="0085143C" w:rsidRDefault="008C2ABA" w:rsidP="0085143C">
      <w:pPr>
        <w:spacing w:after="0" w:line="240" w:lineRule="auto"/>
        <w:jc w:val="both"/>
        <w:rPr>
          <w:rFonts w:ascii="Arial" w:hAnsi="Arial" w:cs="Arial"/>
          <w:sz w:val="20"/>
          <w:szCs w:val="20"/>
        </w:rPr>
      </w:pPr>
    </w:p>
    <w:p w:rsidR="00AD50AF" w:rsidRPr="0085143C" w:rsidRDefault="00CD2470" w:rsidP="0085143C">
      <w:pPr>
        <w:spacing w:after="0" w:line="240" w:lineRule="auto"/>
        <w:jc w:val="both"/>
        <w:rPr>
          <w:rFonts w:ascii="Arial" w:hAnsi="Arial" w:cs="Arial"/>
          <w:sz w:val="20"/>
          <w:szCs w:val="20"/>
        </w:rPr>
      </w:pPr>
      <w:r w:rsidRPr="0085143C">
        <w:rPr>
          <w:rFonts w:ascii="Arial" w:hAnsi="Arial" w:cs="Arial"/>
          <w:b/>
          <w:sz w:val="20"/>
          <w:szCs w:val="20"/>
        </w:rPr>
        <w:t xml:space="preserve">Attainment of </w:t>
      </w:r>
      <w:r w:rsidR="008C2ABA" w:rsidRPr="0085143C">
        <w:rPr>
          <w:rFonts w:ascii="Arial" w:hAnsi="Arial" w:cs="Arial"/>
          <w:b/>
          <w:sz w:val="20"/>
          <w:szCs w:val="20"/>
        </w:rPr>
        <w:t>Strategic Focus and Vision</w:t>
      </w:r>
    </w:p>
    <w:p w:rsidR="008C2ABA" w:rsidRPr="0085143C" w:rsidRDefault="008C2ABA" w:rsidP="0085143C">
      <w:pPr>
        <w:spacing w:after="0" w:line="240" w:lineRule="auto"/>
        <w:jc w:val="both"/>
        <w:rPr>
          <w:rFonts w:ascii="Arial" w:hAnsi="Arial" w:cs="Arial"/>
          <w:sz w:val="20"/>
          <w:szCs w:val="20"/>
        </w:rPr>
      </w:pPr>
      <w:r w:rsidRPr="0085143C">
        <w:rPr>
          <w:rFonts w:ascii="Arial" w:hAnsi="Arial" w:cs="Arial"/>
          <w:sz w:val="20"/>
          <w:szCs w:val="20"/>
        </w:rPr>
        <w:t xml:space="preserve"> The Committee noted that the strategic focus and vision of the Civilian Secretariat </w:t>
      </w:r>
      <w:r w:rsidR="00DB5EFD" w:rsidRPr="0085143C">
        <w:rPr>
          <w:rFonts w:ascii="Arial" w:hAnsi="Arial" w:cs="Arial"/>
          <w:sz w:val="20"/>
          <w:szCs w:val="20"/>
        </w:rPr>
        <w:t xml:space="preserve">are </w:t>
      </w:r>
      <w:r w:rsidRPr="0085143C">
        <w:rPr>
          <w:rFonts w:ascii="Arial" w:hAnsi="Arial" w:cs="Arial"/>
          <w:sz w:val="20"/>
          <w:szCs w:val="20"/>
        </w:rPr>
        <w:t xml:space="preserve">a transformed and accountable police service. Members questioned </w:t>
      </w:r>
      <w:r w:rsidR="00DB5EFD" w:rsidRPr="0085143C">
        <w:rPr>
          <w:rFonts w:ascii="Arial" w:hAnsi="Arial" w:cs="Arial"/>
          <w:sz w:val="20"/>
          <w:szCs w:val="20"/>
        </w:rPr>
        <w:t xml:space="preserve">how the Department would </w:t>
      </w:r>
      <w:r w:rsidRPr="0085143C">
        <w:rPr>
          <w:rFonts w:ascii="Arial" w:hAnsi="Arial" w:cs="Arial"/>
          <w:sz w:val="20"/>
          <w:szCs w:val="20"/>
        </w:rPr>
        <w:t xml:space="preserve">achieve that in view of the fact that the </w:t>
      </w:r>
      <w:r w:rsidR="00CD2470" w:rsidRPr="0085143C">
        <w:rPr>
          <w:rFonts w:ascii="Arial" w:hAnsi="Arial" w:cs="Arial"/>
          <w:sz w:val="20"/>
          <w:szCs w:val="20"/>
        </w:rPr>
        <w:t>D</w:t>
      </w:r>
      <w:r w:rsidRPr="0085143C">
        <w:rPr>
          <w:rFonts w:ascii="Arial" w:hAnsi="Arial" w:cs="Arial"/>
          <w:sz w:val="20"/>
          <w:szCs w:val="20"/>
        </w:rPr>
        <w:t>epartment only had three or four meetings with the SAPS per year</w:t>
      </w:r>
      <w:r w:rsidR="00CD2470" w:rsidRPr="0085143C">
        <w:rPr>
          <w:rFonts w:ascii="Arial" w:hAnsi="Arial" w:cs="Arial"/>
          <w:sz w:val="20"/>
          <w:szCs w:val="20"/>
        </w:rPr>
        <w:t xml:space="preserve"> since the 2016/17 financial year</w:t>
      </w:r>
      <w:r w:rsidRPr="0085143C">
        <w:rPr>
          <w:rFonts w:ascii="Arial" w:hAnsi="Arial" w:cs="Arial"/>
          <w:sz w:val="20"/>
          <w:szCs w:val="20"/>
        </w:rPr>
        <w:t>. Members wanted to know whether the Department was going to develop a report and if there was going to be survey or census at police stations.</w:t>
      </w:r>
      <w:r w:rsidR="00CD2470" w:rsidRPr="0085143C">
        <w:rPr>
          <w:rFonts w:ascii="Arial" w:hAnsi="Arial" w:cs="Arial"/>
          <w:sz w:val="20"/>
          <w:szCs w:val="20"/>
        </w:rPr>
        <w:t xml:space="preserve"> In addition, the Crime Prevention Strategy was not implemented.  Members wanted answers why the Secretariat was not achieving its focus areas and strategies</w:t>
      </w:r>
      <w:r w:rsidR="00AD50AF" w:rsidRPr="0085143C">
        <w:rPr>
          <w:rFonts w:ascii="Arial" w:hAnsi="Arial" w:cs="Arial"/>
          <w:sz w:val="20"/>
          <w:szCs w:val="20"/>
        </w:rPr>
        <w:t xml:space="preserve"> and the department was asked to indicate which government departments were not co-operating</w:t>
      </w:r>
      <w:r w:rsidR="00CD2470" w:rsidRPr="0085143C">
        <w:rPr>
          <w:rFonts w:ascii="Arial" w:hAnsi="Arial" w:cs="Arial"/>
          <w:sz w:val="20"/>
          <w:szCs w:val="20"/>
        </w:rPr>
        <w:t xml:space="preserve">. </w:t>
      </w:r>
    </w:p>
    <w:p w:rsidR="008A4DC5" w:rsidRPr="0085143C" w:rsidRDefault="008A4DC5" w:rsidP="0085143C">
      <w:pPr>
        <w:spacing w:after="0" w:line="240" w:lineRule="auto"/>
        <w:jc w:val="both"/>
        <w:rPr>
          <w:rFonts w:ascii="Arial" w:hAnsi="Arial" w:cs="Arial"/>
          <w:sz w:val="20"/>
          <w:szCs w:val="20"/>
        </w:rPr>
      </w:pPr>
    </w:p>
    <w:p w:rsidR="000F4EC5" w:rsidRPr="0085143C" w:rsidRDefault="000F4EC5" w:rsidP="0085143C">
      <w:pPr>
        <w:spacing w:after="0" w:line="240" w:lineRule="auto"/>
        <w:jc w:val="both"/>
        <w:rPr>
          <w:rFonts w:ascii="Arial" w:hAnsi="Arial" w:cs="Arial"/>
          <w:b/>
          <w:sz w:val="20"/>
          <w:szCs w:val="20"/>
        </w:rPr>
      </w:pPr>
      <w:r w:rsidRPr="0085143C">
        <w:rPr>
          <w:rFonts w:ascii="Arial" w:hAnsi="Arial" w:cs="Arial"/>
          <w:b/>
          <w:sz w:val="20"/>
          <w:szCs w:val="20"/>
        </w:rPr>
        <w:t>Domestic Violence indicators</w:t>
      </w:r>
    </w:p>
    <w:p w:rsidR="0096549E" w:rsidRPr="0085143C" w:rsidRDefault="000F4EC5" w:rsidP="0085143C">
      <w:pPr>
        <w:spacing w:after="0" w:line="240" w:lineRule="auto"/>
        <w:jc w:val="both"/>
        <w:rPr>
          <w:rFonts w:ascii="Arial" w:hAnsi="Arial" w:cs="Arial"/>
          <w:sz w:val="20"/>
          <w:szCs w:val="20"/>
        </w:rPr>
      </w:pPr>
      <w:r w:rsidRPr="0085143C">
        <w:rPr>
          <w:rFonts w:ascii="Arial" w:hAnsi="Arial" w:cs="Arial"/>
          <w:sz w:val="20"/>
          <w:szCs w:val="20"/>
        </w:rPr>
        <w:t>The Committee questioned why there was no sign language interpreters at police stations when people wanted to report Domestic Violence. There was no indicator in the APP of the capacity of the Department for people with disabilities. The</w:t>
      </w:r>
      <w:r w:rsidR="00157B4E" w:rsidRPr="0085143C">
        <w:rPr>
          <w:rFonts w:ascii="Arial" w:hAnsi="Arial" w:cs="Arial"/>
          <w:sz w:val="20"/>
          <w:szCs w:val="20"/>
        </w:rPr>
        <w:t xml:space="preserve"> Civilian S</w:t>
      </w:r>
      <w:r w:rsidRPr="0085143C">
        <w:rPr>
          <w:rFonts w:ascii="Arial" w:hAnsi="Arial" w:cs="Arial"/>
          <w:sz w:val="20"/>
          <w:szCs w:val="20"/>
        </w:rPr>
        <w:t xml:space="preserve">ecretariat should take the monitoring of the </w:t>
      </w:r>
      <w:r w:rsidR="00DB5EFD" w:rsidRPr="0085143C">
        <w:rPr>
          <w:rFonts w:ascii="Arial" w:hAnsi="Arial" w:cs="Arial"/>
          <w:sz w:val="20"/>
          <w:szCs w:val="20"/>
        </w:rPr>
        <w:t xml:space="preserve">Domestic Violence Act, </w:t>
      </w:r>
      <w:r w:rsidR="00393AD7" w:rsidRPr="0085143C">
        <w:rPr>
          <w:rFonts w:ascii="Arial" w:hAnsi="Arial" w:cs="Arial"/>
          <w:sz w:val="20"/>
          <w:szCs w:val="20"/>
        </w:rPr>
        <w:t>1998 (Act No 116 of 1998)</w:t>
      </w:r>
      <w:r w:rsidR="00DB5EFD" w:rsidRPr="0085143C">
        <w:rPr>
          <w:rFonts w:ascii="Arial" w:hAnsi="Arial" w:cs="Arial"/>
          <w:sz w:val="20"/>
          <w:szCs w:val="20"/>
        </w:rPr>
        <w:t>(</w:t>
      </w:r>
      <w:r w:rsidRPr="0085143C">
        <w:rPr>
          <w:rFonts w:ascii="Arial" w:hAnsi="Arial" w:cs="Arial"/>
          <w:sz w:val="20"/>
          <w:szCs w:val="20"/>
        </w:rPr>
        <w:t>DVA</w:t>
      </w:r>
      <w:r w:rsidR="00DB5EFD" w:rsidRPr="0085143C">
        <w:rPr>
          <w:rFonts w:ascii="Arial" w:hAnsi="Arial" w:cs="Arial"/>
          <w:sz w:val="20"/>
          <w:szCs w:val="20"/>
        </w:rPr>
        <w:t>)</w:t>
      </w:r>
      <w:r w:rsidRPr="0085143C">
        <w:rPr>
          <w:rFonts w:ascii="Arial" w:hAnsi="Arial" w:cs="Arial"/>
          <w:sz w:val="20"/>
          <w:szCs w:val="20"/>
        </w:rPr>
        <w:t xml:space="preserve"> seriously as it is managed at police stations.</w:t>
      </w:r>
      <w:r w:rsidR="00157B4E" w:rsidRPr="0085143C">
        <w:rPr>
          <w:rFonts w:ascii="Arial" w:hAnsi="Arial" w:cs="Arial"/>
          <w:sz w:val="20"/>
          <w:szCs w:val="20"/>
        </w:rPr>
        <w:t xml:space="preserve"> Members questioned what indicators on monitoring reports of DVA are being put in place given that domestic violence is a critical area, and there have been increased reporting of domestic violence.</w:t>
      </w:r>
    </w:p>
    <w:p w:rsidR="000F4EC5" w:rsidRPr="0085143C" w:rsidRDefault="000F4EC5" w:rsidP="0085143C">
      <w:pPr>
        <w:spacing w:after="0" w:line="240" w:lineRule="auto"/>
        <w:jc w:val="both"/>
        <w:rPr>
          <w:rFonts w:ascii="Arial" w:hAnsi="Arial" w:cs="Arial"/>
          <w:sz w:val="20"/>
          <w:szCs w:val="20"/>
        </w:rPr>
      </w:pPr>
    </w:p>
    <w:p w:rsidR="000F4EC5" w:rsidRPr="0085143C" w:rsidRDefault="000F4EC5" w:rsidP="0085143C">
      <w:pPr>
        <w:spacing w:after="0" w:line="240" w:lineRule="auto"/>
        <w:jc w:val="both"/>
        <w:rPr>
          <w:rFonts w:ascii="Arial" w:hAnsi="Arial" w:cs="Arial"/>
          <w:b/>
          <w:sz w:val="20"/>
          <w:szCs w:val="20"/>
        </w:rPr>
      </w:pPr>
      <w:r w:rsidRPr="0085143C">
        <w:rPr>
          <w:rFonts w:ascii="Arial" w:hAnsi="Arial" w:cs="Arial"/>
          <w:b/>
          <w:sz w:val="20"/>
          <w:szCs w:val="20"/>
        </w:rPr>
        <w:t>Implementation of Audit Findings</w:t>
      </w:r>
    </w:p>
    <w:p w:rsidR="000F4EC5" w:rsidRPr="0085143C" w:rsidRDefault="000F4EC5" w:rsidP="0085143C">
      <w:pPr>
        <w:spacing w:after="0" w:line="240" w:lineRule="auto"/>
        <w:jc w:val="both"/>
        <w:rPr>
          <w:rFonts w:ascii="Arial" w:hAnsi="Arial" w:cs="Arial"/>
          <w:sz w:val="20"/>
          <w:szCs w:val="20"/>
        </w:rPr>
      </w:pPr>
      <w:r w:rsidRPr="0085143C">
        <w:rPr>
          <w:rFonts w:ascii="Arial" w:hAnsi="Arial" w:cs="Arial"/>
          <w:sz w:val="20"/>
          <w:szCs w:val="20"/>
        </w:rPr>
        <w:t>The Committee noted that there was a decline in the audit implementation since the 2018/19 financial year and that the A</w:t>
      </w:r>
      <w:r w:rsidR="00B37315" w:rsidRPr="0085143C">
        <w:rPr>
          <w:rFonts w:ascii="Arial" w:hAnsi="Arial" w:cs="Arial"/>
          <w:sz w:val="20"/>
          <w:szCs w:val="20"/>
        </w:rPr>
        <w:t>uditor General (A</w:t>
      </w:r>
      <w:r w:rsidRPr="0085143C">
        <w:rPr>
          <w:rFonts w:ascii="Arial" w:hAnsi="Arial" w:cs="Arial"/>
          <w:sz w:val="20"/>
          <w:szCs w:val="20"/>
        </w:rPr>
        <w:t>G</w:t>
      </w:r>
      <w:r w:rsidR="00B37315" w:rsidRPr="0085143C">
        <w:rPr>
          <w:rFonts w:ascii="Arial" w:hAnsi="Arial" w:cs="Arial"/>
          <w:sz w:val="20"/>
          <w:szCs w:val="20"/>
        </w:rPr>
        <w:t>)</w:t>
      </w:r>
      <w:r w:rsidRPr="0085143C">
        <w:rPr>
          <w:rFonts w:ascii="Arial" w:hAnsi="Arial" w:cs="Arial"/>
          <w:sz w:val="20"/>
          <w:szCs w:val="20"/>
        </w:rPr>
        <w:t xml:space="preserve"> audit findings were not implemented. Members wanted the Secretariat to provide reasons for the non-implementation of audit findings.</w:t>
      </w:r>
      <w:r w:rsidR="002410B1" w:rsidRPr="0085143C">
        <w:rPr>
          <w:rFonts w:ascii="Arial" w:hAnsi="Arial" w:cs="Arial"/>
          <w:sz w:val="20"/>
          <w:szCs w:val="20"/>
        </w:rPr>
        <w:t xml:space="preserve"> The Committee also expressed its dissatisfaction with the removal of the of 100% implementation audit findings</w:t>
      </w:r>
      <w:r w:rsidR="00B37315" w:rsidRPr="0085143C">
        <w:rPr>
          <w:rFonts w:ascii="Arial" w:hAnsi="Arial" w:cs="Arial"/>
          <w:sz w:val="20"/>
          <w:szCs w:val="20"/>
        </w:rPr>
        <w:t xml:space="preserve">performance </w:t>
      </w:r>
      <w:r w:rsidR="002410B1" w:rsidRPr="0085143C">
        <w:rPr>
          <w:rFonts w:ascii="Arial" w:hAnsi="Arial" w:cs="Arial"/>
          <w:sz w:val="20"/>
          <w:szCs w:val="20"/>
        </w:rPr>
        <w:t>target and the Department was asked to provide an explanation.</w:t>
      </w:r>
    </w:p>
    <w:p w:rsidR="002410B1" w:rsidRPr="0085143C" w:rsidRDefault="002410B1" w:rsidP="0085143C">
      <w:pPr>
        <w:spacing w:after="0" w:line="240" w:lineRule="auto"/>
        <w:jc w:val="both"/>
        <w:rPr>
          <w:rFonts w:ascii="Arial" w:hAnsi="Arial" w:cs="Arial"/>
          <w:sz w:val="20"/>
          <w:szCs w:val="20"/>
        </w:rPr>
      </w:pPr>
    </w:p>
    <w:p w:rsidR="000F4EC5" w:rsidRPr="0085143C" w:rsidRDefault="00AD50AF" w:rsidP="0085143C">
      <w:pPr>
        <w:spacing w:after="0" w:line="240" w:lineRule="auto"/>
        <w:jc w:val="both"/>
        <w:rPr>
          <w:rFonts w:ascii="Arial" w:hAnsi="Arial" w:cs="Arial"/>
          <w:b/>
          <w:sz w:val="20"/>
          <w:szCs w:val="20"/>
        </w:rPr>
      </w:pPr>
      <w:r w:rsidRPr="0085143C">
        <w:rPr>
          <w:rFonts w:ascii="Arial" w:hAnsi="Arial" w:cs="Arial"/>
          <w:b/>
          <w:sz w:val="20"/>
          <w:szCs w:val="20"/>
        </w:rPr>
        <w:t>COVID-19 pandemic</w:t>
      </w:r>
    </w:p>
    <w:p w:rsidR="00AD50AF" w:rsidRPr="0085143C" w:rsidRDefault="00AD50AF" w:rsidP="0085143C">
      <w:pPr>
        <w:spacing w:after="0" w:line="240" w:lineRule="auto"/>
        <w:jc w:val="both"/>
        <w:rPr>
          <w:rFonts w:ascii="Arial" w:hAnsi="Arial" w:cs="Arial"/>
          <w:sz w:val="20"/>
          <w:szCs w:val="20"/>
        </w:rPr>
      </w:pPr>
      <w:r w:rsidRPr="0085143C">
        <w:rPr>
          <w:rFonts w:ascii="Arial" w:hAnsi="Arial" w:cs="Arial"/>
          <w:sz w:val="20"/>
          <w:szCs w:val="20"/>
        </w:rPr>
        <w:t>The Committee questioned what measures the Secretariat have put in place to mitigate the effects of the COVID-19 pandemic on the Department. This was important as there were intended budget cuts on Goods and Services by National Treasury, and there would be implications and consequences for the Department. The Department was asked to provide a report on such measures.</w:t>
      </w:r>
    </w:p>
    <w:p w:rsidR="00AD50AF" w:rsidRPr="0085143C" w:rsidRDefault="00AD50AF" w:rsidP="0085143C">
      <w:pPr>
        <w:spacing w:after="0" w:line="240" w:lineRule="auto"/>
        <w:jc w:val="both"/>
        <w:rPr>
          <w:rFonts w:ascii="Arial" w:hAnsi="Arial" w:cs="Arial"/>
          <w:sz w:val="20"/>
          <w:szCs w:val="20"/>
        </w:rPr>
      </w:pPr>
    </w:p>
    <w:p w:rsidR="00AD50AF" w:rsidRPr="0085143C" w:rsidRDefault="00AD50AF" w:rsidP="0085143C">
      <w:pPr>
        <w:spacing w:after="0" w:line="240" w:lineRule="auto"/>
        <w:jc w:val="both"/>
        <w:rPr>
          <w:rFonts w:ascii="Arial" w:hAnsi="Arial" w:cs="Arial"/>
          <w:b/>
          <w:sz w:val="20"/>
          <w:szCs w:val="20"/>
        </w:rPr>
      </w:pPr>
      <w:r w:rsidRPr="0085143C">
        <w:rPr>
          <w:rFonts w:ascii="Arial" w:hAnsi="Arial" w:cs="Arial"/>
          <w:b/>
          <w:sz w:val="20"/>
          <w:szCs w:val="20"/>
        </w:rPr>
        <w:t>DPCI Judge</w:t>
      </w:r>
    </w:p>
    <w:p w:rsidR="00AD50AF" w:rsidRPr="0085143C" w:rsidRDefault="00AD50AF" w:rsidP="0085143C">
      <w:pPr>
        <w:spacing w:after="0" w:line="240" w:lineRule="auto"/>
        <w:jc w:val="both"/>
        <w:rPr>
          <w:rFonts w:ascii="Arial" w:hAnsi="Arial" w:cs="Arial"/>
          <w:sz w:val="20"/>
          <w:szCs w:val="20"/>
        </w:rPr>
      </w:pPr>
      <w:r w:rsidRPr="0085143C">
        <w:rPr>
          <w:rFonts w:ascii="Arial" w:hAnsi="Arial" w:cs="Arial"/>
          <w:sz w:val="20"/>
          <w:szCs w:val="20"/>
        </w:rPr>
        <w:t xml:space="preserve">The Committee questioned what the relationship between the DPCI Judge and the </w:t>
      </w:r>
      <w:r w:rsidR="00157B4E" w:rsidRPr="0085143C">
        <w:rPr>
          <w:rFonts w:ascii="Arial" w:hAnsi="Arial" w:cs="Arial"/>
          <w:sz w:val="20"/>
          <w:szCs w:val="20"/>
        </w:rPr>
        <w:t xml:space="preserve">SAPS was and why the DPCI Judge decided to cancel four community engagements. This was concerning in view of the fact that the public was required to have access to the DPCI Judge and needed to know about his role and function in order to have effective oversight over the DPCI. The Department was asked to explain the reason for this. </w:t>
      </w:r>
    </w:p>
    <w:p w:rsidR="002410B1" w:rsidRPr="0085143C" w:rsidRDefault="002410B1" w:rsidP="0085143C">
      <w:pPr>
        <w:spacing w:after="0" w:line="240" w:lineRule="auto"/>
        <w:jc w:val="both"/>
        <w:rPr>
          <w:rFonts w:ascii="Arial" w:hAnsi="Arial" w:cs="Arial"/>
          <w:sz w:val="20"/>
          <w:szCs w:val="20"/>
        </w:rPr>
      </w:pPr>
    </w:p>
    <w:p w:rsidR="00157B4E" w:rsidRPr="0085143C" w:rsidRDefault="00157B4E" w:rsidP="0085143C">
      <w:pPr>
        <w:spacing w:after="0" w:line="240" w:lineRule="auto"/>
        <w:jc w:val="both"/>
        <w:rPr>
          <w:rFonts w:ascii="Arial" w:hAnsi="Arial" w:cs="Arial"/>
          <w:b/>
          <w:sz w:val="20"/>
          <w:szCs w:val="20"/>
        </w:rPr>
      </w:pPr>
      <w:r w:rsidRPr="0085143C">
        <w:rPr>
          <w:rFonts w:ascii="Arial" w:hAnsi="Arial" w:cs="Arial"/>
          <w:b/>
          <w:sz w:val="20"/>
          <w:szCs w:val="20"/>
        </w:rPr>
        <w:t>SAPS Misconduct</w:t>
      </w:r>
    </w:p>
    <w:p w:rsidR="002410B1" w:rsidRPr="0085143C" w:rsidRDefault="00157B4E" w:rsidP="0085143C">
      <w:pPr>
        <w:spacing w:after="0" w:line="240" w:lineRule="auto"/>
        <w:jc w:val="both"/>
        <w:rPr>
          <w:rFonts w:ascii="Arial" w:hAnsi="Arial" w:cs="Arial"/>
          <w:sz w:val="20"/>
          <w:szCs w:val="20"/>
        </w:rPr>
      </w:pPr>
      <w:r w:rsidRPr="0085143C">
        <w:rPr>
          <w:rFonts w:ascii="Arial" w:hAnsi="Arial" w:cs="Arial"/>
          <w:sz w:val="20"/>
          <w:szCs w:val="20"/>
        </w:rPr>
        <w:t xml:space="preserve">The Committee wanted the Department to play its role with respect to SAPS officials that become involved in disciplinary cases. The members appealed to the Department to make sure that the number of officials who become involved in misconduct is reduced. </w:t>
      </w:r>
    </w:p>
    <w:p w:rsidR="00AD50AF" w:rsidRPr="0085143C" w:rsidRDefault="00AD50AF" w:rsidP="0085143C">
      <w:pPr>
        <w:spacing w:after="0" w:line="240" w:lineRule="auto"/>
        <w:jc w:val="both"/>
        <w:rPr>
          <w:rFonts w:ascii="Arial" w:hAnsi="Arial" w:cs="Arial"/>
          <w:sz w:val="20"/>
          <w:szCs w:val="20"/>
        </w:rPr>
      </w:pPr>
    </w:p>
    <w:p w:rsidR="000F4EC5" w:rsidRPr="0085143C" w:rsidRDefault="000066BF" w:rsidP="0085143C">
      <w:pPr>
        <w:spacing w:after="0" w:line="240" w:lineRule="auto"/>
        <w:jc w:val="both"/>
        <w:rPr>
          <w:rFonts w:ascii="Arial" w:hAnsi="Arial" w:cs="Arial"/>
          <w:b/>
          <w:sz w:val="20"/>
          <w:szCs w:val="20"/>
        </w:rPr>
      </w:pPr>
      <w:r w:rsidRPr="0085143C">
        <w:rPr>
          <w:rFonts w:ascii="Arial" w:hAnsi="Arial" w:cs="Arial"/>
          <w:b/>
          <w:sz w:val="20"/>
          <w:szCs w:val="20"/>
        </w:rPr>
        <w:t>Litigation Management database</w:t>
      </w:r>
    </w:p>
    <w:p w:rsidR="002410B1" w:rsidRPr="0085143C" w:rsidRDefault="000066BF" w:rsidP="0085143C">
      <w:pPr>
        <w:spacing w:after="0" w:line="240" w:lineRule="auto"/>
        <w:jc w:val="both"/>
        <w:rPr>
          <w:rFonts w:ascii="Arial" w:hAnsi="Arial" w:cs="Arial"/>
          <w:sz w:val="20"/>
          <w:szCs w:val="20"/>
        </w:rPr>
      </w:pPr>
      <w:r w:rsidRPr="0085143C">
        <w:rPr>
          <w:rFonts w:ascii="Arial" w:hAnsi="Arial" w:cs="Arial"/>
          <w:sz w:val="20"/>
          <w:szCs w:val="20"/>
        </w:rPr>
        <w:t xml:space="preserve">Members questioned whether the Department had access to the SAPS’ litigation management database so that it could be used to do proper oversight, monitoring and evaluation with respect to civil claims against the police. The Department was asked </w:t>
      </w:r>
      <w:r w:rsidR="002410B1" w:rsidRPr="0085143C">
        <w:rPr>
          <w:rFonts w:ascii="Arial" w:hAnsi="Arial" w:cs="Arial"/>
          <w:sz w:val="20"/>
          <w:szCs w:val="20"/>
        </w:rPr>
        <w:t xml:space="preserve">if they did not have access to the database, </w:t>
      </w:r>
      <w:r w:rsidRPr="0085143C">
        <w:rPr>
          <w:rFonts w:ascii="Arial" w:hAnsi="Arial" w:cs="Arial"/>
          <w:sz w:val="20"/>
          <w:szCs w:val="20"/>
        </w:rPr>
        <w:t>why they did not have access to</w:t>
      </w:r>
      <w:r w:rsidR="002410B1" w:rsidRPr="0085143C">
        <w:rPr>
          <w:rFonts w:ascii="Arial" w:hAnsi="Arial" w:cs="Arial"/>
          <w:sz w:val="20"/>
          <w:szCs w:val="20"/>
        </w:rPr>
        <w:t xml:space="preserve"> it.</w:t>
      </w:r>
    </w:p>
    <w:p w:rsidR="002410B1" w:rsidRPr="0085143C" w:rsidRDefault="002410B1" w:rsidP="0085143C">
      <w:pPr>
        <w:spacing w:after="0" w:line="240" w:lineRule="auto"/>
        <w:jc w:val="both"/>
        <w:rPr>
          <w:rFonts w:ascii="Arial" w:hAnsi="Arial" w:cs="Arial"/>
          <w:sz w:val="20"/>
          <w:szCs w:val="20"/>
        </w:rPr>
      </w:pPr>
    </w:p>
    <w:p w:rsidR="002410B1" w:rsidRPr="0085143C" w:rsidRDefault="002410B1" w:rsidP="0085143C">
      <w:pPr>
        <w:spacing w:after="0" w:line="240" w:lineRule="auto"/>
        <w:jc w:val="both"/>
        <w:rPr>
          <w:rFonts w:ascii="Arial" w:hAnsi="Arial" w:cs="Arial"/>
          <w:b/>
          <w:sz w:val="20"/>
          <w:szCs w:val="20"/>
        </w:rPr>
      </w:pPr>
      <w:r w:rsidRPr="0085143C">
        <w:rPr>
          <w:rFonts w:ascii="Arial" w:hAnsi="Arial" w:cs="Arial"/>
          <w:b/>
          <w:sz w:val="20"/>
          <w:szCs w:val="20"/>
        </w:rPr>
        <w:t>Firearms Control Amendment Bill</w:t>
      </w:r>
    </w:p>
    <w:p w:rsidR="002410B1" w:rsidRPr="0085143C" w:rsidRDefault="002410B1" w:rsidP="0085143C">
      <w:pPr>
        <w:spacing w:after="0" w:line="240" w:lineRule="auto"/>
        <w:jc w:val="both"/>
        <w:rPr>
          <w:rFonts w:ascii="Arial" w:hAnsi="Arial" w:cs="Arial"/>
          <w:sz w:val="20"/>
          <w:szCs w:val="20"/>
        </w:rPr>
      </w:pPr>
      <w:r w:rsidRPr="0085143C">
        <w:rPr>
          <w:rFonts w:ascii="Arial" w:hAnsi="Arial" w:cs="Arial"/>
          <w:sz w:val="20"/>
          <w:szCs w:val="20"/>
        </w:rPr>
        <w:t xml:space="preserve">Members wanted to know what progress was made with respect to amendments of the Firearms Control Act and when such an Amendment Bill will be tabled. </w:t>
      </w:r>
    </w:p>
    <w:p w:rsidR="002410B1" w:rsidRPr="0085143C" w:rsidRDefault="002410B1" w:rsidP="0085143C">
      <w:pPr>
        <w:spacing w:after="0" w:line="240" w:lineRule="auto"/>
        <w:jc w:val="both"/>
        <w:rPr>
          <w:rFonts w:ascii="Arial" w:hAnsi="Arial" w:cs="Arial"/>
          <w:sz w:val="20"/>
          <w:szCs w:val="20"/>
        </w:rPr>
      </w:pPr>
    </w:p>
    <w:p w:rsidR="004C560E" w:rsidRPr="0085143C" w:rsidRDefault="004C560E" w:rsidP="0085143C">
      <w:pPr>
        <w:spacing w:after="0" w:line="240" w:lineRule="auto"/>
        <w:jc w:val="both"/>
        <w:rPr>
          <w:rFonts w:ascii="Arial" w:hAnsi="Arial" w:cs="Arial"/>
          <w:sz w:val="20"/>
          <w:szCs w:val="20"/>
        </w:rPr>
      </w:pPr>
    </w:p>
    <w:p w:rsidR="002410B1" w:rsidRPr="0085143C" w:rsidRDefault="002410B1" w:rsidP="0085143C">
      <w:pPr>
        <w:spacing w:after="0" w:line="240" w:lineRule="auto"/>
        <w:jc w:val="both"/>
        <w:rPr>
          <w:rFonts w:ascii="Arial" w:hAnsi="Arial" w:cs="Arial"/>
          <w:b/>
          <w:sz w:val="20"/>
          <w:szCs w:val="20"/>
        </w:rPr>
      </w:pPr>
      <w:r w:rsidRPr="0085143C">
        <w:rPr>
          <w:rFonts w:ascii="Arial" w:hAnsi="Arial" w:cs="Arial"/>
          <w:b/>
          <w:sz w:val="20"/>
          <w:szCs w:val="20"/>
        </w:rPr>
        <w:t>Station Oversight Visits</w:t>
      </w:r>
    </w:p>
    <w:p w:rsidR="002410B1" w:rsidRPr="0085143C" w:rsidRDefault="002410B1" w:rsidP="0085143C">
      <w:pPr>
        <w:spacing w:after="0" w:line="240" w:lineRule="auto"/>
        <w:jc w:val="both"/>
        <w:rPr>
          <w:rFonts w:ascii="Arial" w:hAnsi="Arial" w:cs="Arial"/>
          <w:sz w:val="20"/>
          <w:szCs w:val="20"/>
        </w:rPr>
      </w:pPr>
      <w:r w:rsidRPr="0085143C">
        <w:rPr>
          <w:rFonts w:ascii="Arial" w:hAnsi="Arial" w:cs="Arial"/>
          <w:sz w:val="20"/>
          <w:szCs w:val="20"/>
        </w:rPr>
        <w:t>The Committee questioned what oversight plans the Department had in relation to</w:t>
      </w:r>
      <w:r w:rsidR="00A02D10" w:rsidRPr="0085143C">
        <w:rPr>
          <w:rFonts w:ascii="Arial" w:hAnsi="Arial" w:cs="Arial"/>
          <w:sz w:val="20"/>
          <w:szCs w:val="20"/>
        </w:rPr>
        <w:t xml:space="preserve">police </w:t>
      </w:r>
      <w:r w:rsidRPr="0085143C">
        <w:rPr>
          <w:rFonts w:ascii="Arial" w:hAnsi="Arial" w:cs="Arial"/>
          <w:sz w:val="20"/>
          <w:szCs w:val="20"/>
        </w:rPr>
        <w:t xml:space="preserve">stations like Woodstock </w:t>
      </w:r>
      <w:r w:rsidR="00A02D10" w:rsidRPr="0085143C">
        <w:rPr>
          <w:rFonts w:ascii="Arial" w:hAnsi="Arial" w:cs="Arial"/>
          <w:sz w:val="20"/>
          <w:szCs w:val="20"/>
        </w:rPr>
        <w:t>p</w:t>
      </w:r>
      <w:r w:rsidRPr="0085143C">
        <w:rPr>
          <w:rFonts w:ascii="Arial" w:hAnsi="Arial" w:cs="Arial"/>
          <w:sz w:val="20"/>
          <w:szCs w:val="20"/>
        </w:rPr>
        <w:t>olice station where there are several allegations of corruption and the Botriver police stations that as one vehicle.</w:t>
      </w:r>
    </w:p>
    <w:p w:rsidR="002410B1" w:rsidRPr="0085143C" w:rsidRDefault="002410B1" w:rsidP="0085143C">
      <w:pPr>
        <w:spacing w:after="0" w:line="240" w:lineRule="auto"/>
        <w:jc w:val="both"/>
        <w:rPr>
          <w:rFonts w:ascii="Arial" w:hAnsi="Arial" w:cs="Arial"/>
          <w:sz w:val="20"/>
          <w:szCs w:val="20"/>
        </w:rPr>
      </w:pPr>
    </w:p>
    <w:p w:rsidR="002410B1" w:rsidRPr="0085143C" w:rsidRDefault="002410B1" w:rsidP="0085143C">
      <w:pPr>
        <w:spacing w:after="0" w:line="240" w:lineRule="auto"/>
        <w:jc w:val="both"/>
        <w:rPr>
          <w:rFonts w:ascii="Arial" w:hAnsi="Arial" w:cs="Arial"/>
          <w:b/>
          <w:sz w:val="20"/>
          <w:szCs w:val="20"/>
        </w:rPr>
      </w:pPr>
      <w:r w:rsidRPr="0085143C">
        <w:rPr>
          <w:rFonts w:ascii="Arial" w:hAnsi="Arial" w:cs="Arial"/>
          <w:b/>
          <w:sz w:val="20"/>
          <w:szCs w:val="20"/>
        </w:rPr>
        <w:t>Department responses</w:t>
      </w:r>
    </w:p>
    <w:p w:rsidR="00451C93" w:rsidRPr="0085143C" w:rsidRDefault="00B44773" w:rsidP="0085143C">
      <w:pPr>
        <w:spacing w:after="0" w:line="240" w:lineRule="auto"/>
        <w:jc w:val="both"/>
        <w:rPr>
          <w:rFonts w:ascii="Arial" w:hAnsi="Arial" w:cs="Arial"/>
          <w:sz w:val="20"/>
          <w:szCs w:val="20"/>
        </w:rPr>
      </w:pPr>
      <w:r w:rsidRPr="0085143C">
        <w:rPr>
          <w:rFonts w:ascii="Arial" w:hAnsi="Arial" w:cs="Arial"/>
          <w:sz w:val="20"/>
          <w:szCs w:val="20"/>
        </w:rPr>
        <w:t>The Department responded by stating that in terms of the government’s monitoring and reporting framework, all departments should have its own</w:t>
      </w:r>
      <w:r w:rsidR="00451C93" w:rsidRPr="0085143C">
        <w:rPr>
          <w:rFonts w:ascii="Arial" w:hAnsi="Arial" w:cs="Arial"/>
          <w:sz w:val="20"/>
          <w:szCs w:val="20"/>
        </w:rPr>
        <w:t xml:space="preserve"> monitoring function. The Police Inspectorate fulfill that role in the SAPS. The Civilian Secretariat provides independent oversight. In this respect, the National Commissioner has a responsibility to monitor his own </w:t>
      </w:r>
      <w:r w:rsidR="00A02D10" w:rsidRPr="0085143C">
        <w:rPr>
          <w:rFonts w:ascii="Arial" w:hAnsi="Arial" w:cs="Arial"/>
          <w:sz w:val="20"/>
          <w:szCs w:val="20"/>
        </w:rPr>
        <w:t>D</w:t>
      </w:r>
      <w:r w:rsidR="00451C93" w:rsidRPr="0085143C">
        <w:rPr>
          <w:rFonts w:ascii="Arial" w:hAnsi="Arial" w:cs="Arial"/>
          <w:sz w:val="20"/>
          <w:szCs w:val="20"/>
        </w:rPr>
        <w:t>epartment. The Civilian Secretariat works with the Inspectorate.</w:t>
      </w:r>
    </w:p>
    <w:p w:rsidR="00451C93" w:rsidRPr="0085143C" w:rsidRDefault="00451C93" w:rsidP="0085143C">
      <w:pPr>
        <w:spacing w:after="0" w:line="240" w:lineRule="auto"/>
        <w:jc w:val="both"/>
        <w:rPr>
          <w:rFonts w:ascii="Arial" w:hAnsi="Arial" w:cs="Arial"/>
          <w:sz w:val="20"/>
          <w:szCs w:val="20"/>
        </w:rPr>
      </w:pPr>
    </w:p>
    <w:p w:rsidR="00451C93" w:rsidRPr="0085143C" w:rsidRDefault="00451C93" w:rsidP="0085143C">
      <w:pPr>
        <w:spacing w:after="0" w:line="240" w:lineRule="auto"/>
        <w:jc w:val="both"/>
        <w:rPr>
          <w:rFonts w:ascii="Arial" w:hAnsi="Arial" w:cs="Arial"/>
          <w:sz w:val="20"/>
          <w:szCs w:val="20"/>
        </w:rPr>
      </w:pPr>
      <w:r w:rsidRPr="0085143C">
        <w:rPr>
          <w:rFonts w:ascii="Arial" w:hAnsi="Arial" w:cs="Arial"/>
          <w:sz w:val="20"/>
          <w:szCs w:val="20"/>
        </w:rPr>
        <w:t xml:space="preserve">The Minister of Police is finalising the new DNA Board and the Department is waiting for the Ministers of Health and Justice and Correctional Services to appoint their representatives on the DNA Board and to assist with appointing a Chairperson of the Board. The </w:t>
      </w:r>
      <w:r w:rsidR="00A02D10" w:rsidRPr="0085143C">
        <w:rPr>
          <w:rFonts w:ascii="Arial" w:hAnsi="Arial" w:cs="Arial"/>
          <w:sz w:val="20"/>
          <w:szCs w:val="20"/>
        </w:rPr>
        <w:t>D</w:t>
      </w:r>
      <w:r w:rsidRPr="0085143C">
        <w:rPr>
          <w:rFonts w:ascii="Arial" w:hAnsi="Arial" w:cs="Arial"/>
          <w:sz w:val="20"/>
          <w:szCs w:val="20"/>
        </w:rPr>
        <w:t xml:space="preserve">epartment has a </w:t>
      </w:r>
      <w:r w:rsidR="00A02D10" w:rsidRPr="0085143C">
        <w:rPr>
          <w:rFonts w:ascii="Arial" w:hAnsi="Arial" w:cs="Arial"/>
          <w:sz w:val="20"/>
          <w:szCs w:val="20"/>
        </w:rPr>
        <w:t>Memorandum of Understanding (</w:t>
      </w:r>
      <w:r w:rsidRPr="0085143C">
        <w:rPr>
          <w:rFonts w:ascii="Arial" w:hAnsi="Arial" w:cs="Arial"/>
          <w:sz w:val="20"/>
          <w:szCs w:val="20"/>
        </w:rPr>
        <w:t>MOU</w:t>
      </w:r>
      <w:r w:rsidR="00A02D10" w:rsidRPr="0085143C">
        <w:rPr>
          <w:rFonts w:ascii="Arial" w:hAnsi="Arial" w:cs="Arial"/>
          <w:sz w:val="20"/>
          <w:szCs w:val="20"/>
        </w:rPr>
        <w:t>)</w:t>
      </w:r>
      <w:r w:rsidRPr="0085143C">
        <w:rPr>
          <w:rFonts w:ascii="Arial" w:hAnsi="Arial" w:cs="Arial"/>
          <w:sz w:val="20"/>
          <w:szCs w:val="20"/>
        </w:rPr>
        <w:t xml:space="preserve"> on how they intend to work with the Board. The outgoing Board has prepared a comprehensive handover report and the Chairperson of the Board has indicated that they would make it available to the Committees.</w:t>
      </w:r>
    </w:p>
    <w:p w:rsidR="00451C93" w:rsidRPr="0085143C" w:rsidRDefault="00451C93" w:rsidP="0085143C">
      <w:pPr>
        <w:spacing w:after="0" w:line="240" w:lineRule="auto"/>
        <w:jc w:val="both"/>
        <w:rPr>
          <w:rFonts w:ascii="Arial" w:hAnsi="Arial" w:cs="Arial"/>
          <w:sz w:val="20"/>
          <w:szCs w:val="20"/>
        </w:rPr>
      </w:pPr>
    </w:p>
    <w:p w:rsidR="00E40696" w:rsidRPr="0085143C" w:rsidRDefault="00451C93" w:rsidP="0085143C">
      <w:pPr>
        <w:spacing w:after="0" w:line="240" w:lineRule="auto"/>
        <w:jc w:val="both"/>
        <w:rPr>
          <w:rFonts w:ascii="Arial" w:hAnsi="Arial" w:cs="Arial"/>
          <w:color w:val="FF0000"/>
          <w:sz w:val="20"/>
          <w:szCs w:val="20"/>
        </w:rPr>
      </w:pPr>
      <w:r w:rsidRPr="0085143C">
        <w:rPr>
          <w:rFonts w:ascii="Arial" w:hAnsi="Arial" w:cs="Arial"/>
          <w:sz w:val="20"/>
          <w:szCs w:val="20"/>
        </w:rPr>
        <w:t>As far as the COVID-19 pandemic was concerned, the Department</w:t>
      </w:r>
      <w:r w:rsidR="00E40696" w:rsidRPr="0085143C">
        <w:rPr>
          <w:rFonts w:ascii="Arial" w:hAnsi="Arial" w:cs="Arial"/>
          <w:sz w:val="20"/>
          <w:szCs w:val="20"/>
        </w:rPr>
        <w:t xml:space="preserve">has been declared an essential service by the Minister of Public Service and Administration. The Civilian Secretariat has quarterly meetings with the IPID on the domestic violence statistics and they analyse the reports, before </w:t>
      </w:r>
      <w:r w:rsidR="00E40696" w:rsidRPr="0085143C">
        <w:rPr>
          <w:rFonts w:ascii="Arial" w:hAnsi="Arial" w:cs="Arial"/>
          <w:sz w:val="20"/>
          <w:szCs w:val="20"/>
        </w:rPr>
        <w:lastRenderedPageBreak/>
        <w:t>making it available and advising the Minister.</w:t>
      </w:r>
      <w:r w:rsidR="002E1208" w:rsidRPr="0085143C">
        <w:rPr>
          <w:rFonts w:ascii="Arial" w:hAnsi="Arial" w:cs="Arial"/>
          <w:sz w:val="20"/>
          <w:szCs w:val="20"/>
        </w:rPr>
        <w:t>The Committee indicated that it required the quarterly reports on the meetings with IPID.</w:t>
      </w:r>
    </w:p>
    <w:p w:rsidR="00E40696" w:rsidRPr="0085143C" w:rsidRDefault="00E40696" w:rsidP="0085143C">
      <w:pPr>
        <w:spacing w:after="0" w:line="240" w:lineRule="auto"/>
        <w:jc w:val="both"/>
        <w:rPr>
          <w:rFonts w:ascii="Arial" w:hAnsi="Arial" w:cs="Arial"/>
          <w:sz w:val="20"/>
          <w:szCs w:val="20"/>
        </w:rPr>
      </w:pPr>
    </w:p>
    <w:p w:rsidR="00E40696" w:rsidRPr="0085143C" w:rsidRDefault="00E40696" w:rsidP="0085143C">
      <w:pPr>
        <w:spacing w:after="0" w:line="240" w:lineRule="auto"/>
        <w:jc w:val="both"/>
        <w:rPr>
          <w:rFonts w:ascii="Arial" w:hAnsi="Arial" w:cs="Arial"/>
          <w:sz w:val="20"/>
          <w:szCs w:val="20"/>
        </w:rPr>
      </w:pPr>
      <w:r w:rsidRPr="0085143C">
        <w:rPr>
          <w:rFonts w:ascii="Arial" w:hAnsi="Arial" w:cs="Arial"/>
          <w:sz w:val="20"/>
          <w:szCs w:val="20"/>
        </w:rPr>
        <w:t>The Secretariat reported that they sometimes have targets represented as one as sometimes research reports takes a lot of time. Comprehensive work and consultation must be undertaken before such research report is finalised and published.</w:t>
      </w:r>
    </w:p>
    <w:p w:rsidR="00E40696" w:rsidRPr="0085143C" w:rsidRDefault="00E40696" w:rsidP="0085143C">
      <w:pPr>
        <w:spacing w:after="0" w:line="240" w:lineRule="auto"/>
        <w:jc w:val="both"/>
        <w:rPr>
          <w:rFonts w:ascii="Arial" w:hAnsi="Arial" w:cs="Arial"/>
          <w:sz w:val="20"/>
          <w:szCs w:val="20"/>
        </w:rPr>
      </w:pPr>
    </w:p>
    <w:p w:rsidR="00FC6DA2" w:rsidRPr="0085143C" w:rsidRDefault="00E40696" w:rsidP="0085143C">
      <w:pPr>
        <w:spacing w:after="0" w:line="240" w:lineRule="auto"/>
        <w:jc w:val="both"/>
        <w:rPr>
          <w:rFonts w:ascii="Arial" w:hAnsi="Arial" w:cs="Arial"/>
          <w:sz w:val="20"/>
          <w:szCs w:val="20"/>
        </w:rPr>
      </w:pPr>
      <w:r w:rsidRPr="0085143C">
        <w:rPr>
          <w:rFonts w:ascii="Arial" w:hAnsi="Arial" w:cs="Arial"/>
          <w:sz w:val="20"/>
          <w:szCs w:val="20"/>
        </w:rPr>
        <w:t xml:space="preserve">The Department has undertaken a survey at police stations and there is a report that has been shared with the Minister and </w:t>
      </w:r>
      <w:r w:rsidR="00FC6DA2" w:rsidRPr="0085143C">
        <w:rPr>
          <w:rFonts w:ascii="Arial" w:hAnsi="Arial" w:cs="Arial"/>
          <w:sz w:val="20"/>
          <w:szCs w:val="20"/>
        </w:rPr>
        <w:t>N</w:t>
      </w:r>
      <w:r w:rsidRPr="0085143C">
        <w:rPr>
          <w:rFonts w:ascii="Arial" w:hAnsi="Arial" w:cs="Arial"/>
          <w:sz w:val="20"/>
          <w:szCs w:val="20"/>
        </w:rPr>
        <w:t>ational Commissioner.</w:t>
      </w:r>
      <w:r w:rsidR="00FC6DA2" w:rsidRPr="0085143C">
        <w:rPr>
          <w:rFonts w:ascii="Arial" w:hAnsi="Arial" w:cs="Arial"/>
          <w:sz w:val="20"/>
          <w:szCs w:val="20"/>
        </w:rPr>
        <w:t xml:space="preserve"> The Department has monitored 288 police stations and each station must develop its own station improvement plan.One of the areas that has as a result been identified, is the detective services, which the Department will be focussing on.</w:t>
      </w:r>
    </w:p>
    <w:p w:rsidR="00FC6DA2" w:rsidRPr="0085143C" w:rsidRDefault="00FC6DA2" w:rsidP="0085143C">
      <w:pPr>
        <w:spacing w:after="0" w:line="240" w:lineRule="auto"/>
        <w:jc w:val="both"/>
        <w:rPr>
          <w:rFonts w:ascii="Arial" w:hAnsi="Arial" w:cs="Arial"/>
          <w:sz w:val="20"/>
          <w:szCs w:val="20"/>
        </w:rPr>
      </w:pPr>
    </w:p>
    <w:p w:rsidR="00AF6427" w:rsidRPr="0085143C" w:rsidRDefault="00FC6DA2" w:rsidP="0085143C">
      <w:pPr>
        <w:spacing w:after="0" w:line="240" w:lineRule="auto"/>
        <w:jc w:val="both"/>
        <w:rPr>
          <w:rFonts w:ascii="Arial" w:hAnsi="Arial" w:cs="Arial"/>
          <w:sz w:val="20"/>
          <w:szCs w:val="20"/>
        </w:rPr>
      </w:pPr>
      <w:r w:rsidRPr="0085143C">
        <w:rPr>
          <w:rFonts w:ascii="Arial" w:hAnsi="Arial" w:cs="Arial"/>
          <w:sz w:val="20"/>
          <w:szCs w:val="20"/>
        </w:rPr>
        <w:t>As far as the</w:t>
      </w:r>
      <w:r w:rsidR="0073093D" w:rsidRPr="0085143C">
        <w:rPr>
          <w:rFonts w:ascii="Arial" w:hAnsi="Arial" w:cs="Arial"/>
          <w:sz w:val="20"/>
          <w:szCs w:val="20"/>
        </w:rPr>
        <w:t xml:space="preserve"> DVA, the Department has identified a need for pro-activeness to assist the SAPS and they have established a compliance forum at national and provincial levels. The Department indicated that it works closely with the SAPS to resolve issues and they educate and sensitize SAPS members.The staff of the Department did not have the capacity for sign language</w:t>
      </w:r>
      <w:r w:rsidR="00AF6427" w:rsidRPr="0085143C">
        <w:rPr>
          <w:rFonts w:ascii="Arial" w:hAnsi="Arial" w:cs="Arial"/>
          <w:sz w:val="20"/>
          <w:szCs w:val="20"/>
        </w:rPr>
        <w:t xml:space="preserve"> and the SAPS have indicated that they usually invite people to assist them with sign language. </w:t>
      </w:r>
    </w:p>
    <w:p w:rsidR="00AF6427" w:rsidRPr="0085143C" w:rsidRDefault="00AF6427" w:rsidP="0085143C">
      <w:pPr>
        <w:spacing w:after="0" w:line="240" w:lineRule="auto"/>
        <w:jc w:val="both"/>
        <w:rPr>
          <w:rFonts w:ascii="Arial" w:hAnsi="Arial" w:cs="Arial"/>
          <w:sz w:val="20"/>
          <w:szCs w:val="20"/>
        </w:rPr>
      </w:pPr>
    </w:p>
    <w:p w:rsidR="00AF6427" w:rsidRPr="0085143C" w:rsidRDefault="00AF6427" w:rsidP="0085143C">
      <w:pPr>
        <w:spacing w:after="0" w:line="240" w:lineRule="auto"/>
        <w:jc w:val="both"/>
        <w:rPr>
          <w:rFonts w:ascii="Arial" w:hAnsi="Arial" w:cs="Arial"/>
          <w:sz w:val="20"/>
          <w:szCs w:val="20"/>
        </w:rPr>
      </w:pPr>
      <w:r w:rsidRPr="0085143C">
        <w:rPr>
          <w:rFonts w:ascii="Arial" w:hAnsi="Arial" w:cs="Arial"/>
          <w:sz w:val="20"/>
          <w:szCs w:val="20"/>
        </w:rPr>
        <w:t>Apart from the four meetings held annually with the IPID, there are also monthly meetings where issues of concern are addressed.</w:t>
      </w:r>
    </w:p>
    <w:p w:rsidR="00AF6427" w:rsidRPr="0085143C" w:rsidRDefault="00AF6427" w:rsidP="0085143C">
      <w:pPr>
        <w:spacing w:after="0" w:line="240" w:lineRule="auto"/>
        <w:jc w:val="both"/>
        <w:rPr>
          <w:rFonts w:ascii="Arial" w:hAnsi="Arial" w:cs="Arial"/>
          <w:sz w:val="20"/>
          <w:szCs w:val="20"/>
        </w:rPr>
      </w:pPr>
    </w:p>
    <w:p w:rsidR="00F81FA7" w:rsidRPr="0085143C" w:rsidRDefault="00AF6427" w:rsidP="0085143C">
      <w:pPr>
        <w:spacing w:after="0" w:line="240" w:lineRule="auto"/>
        <w:jc w:val="both"/>
        <w:rPr>
          <w:rFonts w:ascii="Arial" w:hAnsi="Arial" w:cs="Arial"/>
          <w:sz w:val="20"/>
          <w:szCs w:val="20"/>
        </w:rPr>
      </w:pPr>
      <w:r w:rsidRPr="0085143C">
        <w:rPr>
          <w:rFonts w:ascii="Arial" w:hAnsi="Arial" w:cs="Arial"/>
          <w:sz w:val="20"/>
          <w:szCs w:val="20"/>
        </w:rPr>
        <w:t xml:space="preserve">The Integrated Crime and Violence Prevention Strategy gives effect to the White Paper of Safety and Security. An implementation framework has been concluded and the Department is busy consulting all three spheres of government. These consultations are being undertaken through virtual platforms and the intention is to complete it by December </w:t>
      </w:r>
      <w:r w:rsidR="00F81FA7" w:rsidRPr="0085143C">
        <w:rPr>
          <w:rFonts w:ascii="Arial" w:hAnsi="Arial" w:cs="Arial"/>
          <w:sz w:val="20"/>
          <w:szCs w:val="20"/>
        </w:rPr>
        <w:t>2020. There were no problems being experienced with any sphere of government as far as the consultations are concerned. The South African Local Government Association (SALGA) are facilitating the consultations sessions.</w:t>
      </w:r>
    </w:p>
    <w:p w:rsidR="00F81FA7" w:rsidRPr="0085143C" w:rsidRDefault="00F81FA7" w:rsidP="0085143C">
      <w:pPr>
        <w:spacing w:after="0" w:line="240" w:lineRule="auto"/>
        <w:jc w:val="both"/>
        <w:rPr>
          <w:rFonts w:ascii="Arial" w:hAnsi="Arial" w:cs="Arial"/>
          <w:sz w:val="20"/>
          <w:szCs w:val="20"/>
        </w:rPr>
      </w:pPr>
    </w:p>
    <w:p w:rsidR="00F81FA7" w:rsidRPr="0085143C" w:rsidRDefault="00F81FA7" w:rsidP="0085143C">
      <w:pPr>
        <w:spacing w:after="0" w:line="240" w:lineRule="auto"/>
        <w:jc w:val="both"/>
        <w:rPr>
          <w:rFonts w:ascii="Arial" w:hAnsi="Arial" w:cs="Arial"/>
          <w:sz w:val="20"/>
          <w:szCs w:val="20"/>
        </w:rPr>
      </w:pPr>
      <w:r w:rsidRPr="0085143C">
        <w:rPr>
          <w:rFonts w:ascii="Arial" w:hAnsi="Arial" w:cs="Arial"/>
          <w:sz w:val="20"/>
          <w:szCs w:val="20"/>
        </w:rPr>
        <w:t xml:space="preserve">The </w:t>
      </w:r>
      <w:r w:rsidR="00A02D10" w:rsidRPr="0085143C">
        <w:rPr>
          <w:rFonts w:ascii="Arial" w:hAnsi="Arial" w:cs="Arial"/>
          <w:sz w:val="20"/>
          <w:szCs w:val="20"/>
        </w:rPr>
        <w:t xml:space="preserve">Minister of Police has approved the </w:t>
      </w:r>
      <w:r w:rsidRPr="0085143C">
        <w:rPr>
          <w:rFonts w:ascii="Arial" w:hAnsi="Arial" w:cs="Arial"/>
          <w:sz w:val="20"/>
          <w:szCs w:val="20"/>
        </w:rPr>
        <w:t>Firearms Control Amendment Bill for consultation</w:t>
      </w:r>
      <w:r w:rsidR="00A02D10" w:rsidRPr="0085143C">
        <w:rPr>
          <w:rFonts w:ascii="Arial" w:hAnsi="Arial" w:cs="Arial"/>
          <w:sz w:val="20"/>
          <w:szCs w:val="20"/>
        </w:rPr>
        <w:t>.</w:t>
      </w:r>
      <w:r w:rsidRPr="0085143C">
        <w:rPr>
          <w:rFonts w:ascii="Arial" w:hAnsi="Arial" w:cs="Arial"/>
          <w:sz w:val="20"/>
          <w:szCs w:val="20"/>
        </w:rPr>
        <w:t xml:space="preserve"> The lockdown has prevented the Directors-General meeting. The Department will report progress for Cabinet approval and for public consultation.</w:t>
      </w:r>
    </w:p>
    <w:p w:rsidR="00F81FA7" w:rsidRPr="0085143C" w:rsidRDefault="00F81FA7" w:rsidP="0085143C">
      <w:pPr>
        <w:spacing w:after="0" w:line="240" w:lineRule="auto"/>
        <w:jc w:val="both"/>
        <w:rPr>
          <w:rFonts w:ascii="Arial" w:hAnsi="Arial" w:cs="Arial"/>
          <w:sz w:val="20"/>
          <w:szCs w:val="20"/>
        </w:rPr>
      </w:pPr>
    </w:p>
    <w:p w:rsidR="00E40696" w:rsidRPr="0085143C" w:rsidRDefault="00F81FA7" w:rsidP="0085143C">
      <w:pPr>
        <w:spacing w:after="0" w:line="240" w:lineRule="auto"/>
        <w:jc w:val="both"/>
        <w:rPr>
          <w:rFonts w:ascii="Arial" w:hAnsi="Arial" w:cs="Arial"/>
          <w:sz w:val="20"/>
          <w:szCs w:val="20"/>
        </w:rPr>
      </w:pPr>
      <w:r w:rsidRPr="0085143C">
        <w:rPr>
          <w:rFonts w:ascii="Arial" w:hAnsi="Arial" w:cs="Arial"/>
          <w:sz w:val="20"/>
          <w:szCs w:val="20"/>
        </w:rPr>
        <w:t>The re-prioritisation of budgets has be</w:t>
      </w:r>
      <w:r w:rsidR="00B24917" w:rsidRPr="0085143C">
        <w:rPr>
          <w:rFonts w:ascii="Arial" w:hAnsi="Arial" w:cs="Arial"/>
          <w:sz w:val="20"/>
          <w:szCs w:val="20"/>
        </w:rPr>
        <w:t>e</w:t>
      </w:r>
      <w:r w:rsidRPr="0085143C">
        <w:rPr>
          <w:rFonts w:ascii="Arial" w:hAnsi="Arial" w:cs="Arial"/>
          <w:sz w:val="20"/>
          <w:szCs w:val="20"/>
        </w:rPr>
        <w:t xml:space="preserve">n a challenge and the </w:t>
      </w:r>
      <w:r w:rsidR="00B24917" w:rsidRPr="0085143C">
        <w:rPr>
          <w:rFonts w:ascii="Arial" w:hAnsi="Arial" w:cs="Arial"/>
          <w:sz w:val="20"/>
          <w:szCs w:val="20"/>
        </w:rPr>
        <w:t>D</w:t>
      </w:r>
      <w:r w:rsidRPr="0085143C">
        <w:rPr>
          <w:rFonts w:ascii="Arial" w:hAnsi="Arial" w:cs="Arial"/>
          <w:sz w:val="20"/>
          <w:szCs w:val="20"/>
        </w:rPr>
        <w:t xml:space="preserve">epartment suggested to the </w:t>
      </w:r>
      <w:r w:rsidR="00B24917" w:rsidRPr="0085143C">
        <w:rPr>
          <w:rFonts w:ascii="Arial" w:hAnsi="Arial" w:cs="Arial"/>
          <w:sz w:val="20"/>
          <w:szCs w:val="20"/>
        </w:rPr>
        <w:t xml:space="preserve">National </w:t>
      </w:r>
      <w:r w:rsidRPr="0085143C">
        <w:rPr>
          <w:rFonts w:ascii="Arial" w:hAnsi="Arial" w:cs="Arial"/>
          <w:sz w:val="20"/>
          <w:szCs w:val="20"/>
        </w:rPr>
        <w:t xml:space="preserve">Treasury that instead of making the budget cuts in one go, it considers staggering it.  </w:t>
      </w:r>
      <w:r w:rsidR="00B44773" w:rsidRPr="0085143C">
        <w:rPr>
          <w:rFonts w:ascii="Arial" w:hAnsi="Arial" w:cs="Arial"/>
          <w:sz w:val="20"/>
          <w:szCs w:val="20"/>
        </w:rPr>
        <w:tab/>
      </w:r>
    </w:p>
    <w:p w:rsidR="00F81FA7" w:rsidRPr="0085143C" w:rsidRDefault="00F81FA7" w:rsidP="0085143C">
      <w:pPr>
        <w:spacing w:after="0" w:line="240" w:lineRule="auto"/>
        <w:jc w:val="both"/>
        <w:rPr>
          <w:rFonts w:ascii="Arial" w:hAnsi="Arial" w:cs="Arial"/>
          <w:sz w:val="20"/>
          <w:szCs w:val="20"/>
        </w:rPr>
      </w:pPr>
    </w:p>
    <w:p w:rsidR="00F81FA7" w:rsidRPr="0085143C" w:rsidRDefault="00F81FA7" w:rsidP="0085143C">
      <w:pPr>
        <w:spacing w:after="0" w:line="240" w:lineRule="auto"/>
        <w:jc w:val="both"/>
        <w:rPr>
          <w:rFonts w:ascii="Arial" w:hAnsi="Arial" w:cs="Arial"/>
          <w:sz w:val="20"/>
          <w:szCs w:val="20"/>
        </w:rPr>
      </w:pPr>
      <w:r w:rsidRPr="0085143C">
        <w:rPr>
          <w:rFonts w:ascii="Arial" w:hAnsi="Arial" w:cs="Arial"/>
          <w:sz w:val="20"/>
          <w:szCs w:val="20"/>
        </w:rPr>
        <w:t>The Department reported that they suggested that the CPFs be utilised during the COVID-19 pandemic lockdown period. The SAPS declined and indicated that it will use the reservists instead and that the CPFs were not essential services. The SAPS demobilised the CPFs.</w:t>
      </w:r>
      <w:r w:rsidR="009D3FC1" w:rsidRPr="0085143C">
        <w:rPr>
          <w:rFonts w:ascii="Arial" w:hAnsi="Arial" w:cs="Arial"/>
          <w:sz w:val="20"/>
          <w:szCs w:val="20"/>
        </w:rPr>
        <w:t xml:space="preserve">The </w:t>
      </w:r>
      <w:r w:rsidR="006D0D0F" w:rsidRPr="0085143C">
        <w:rPr>
          <w:rFonts w:ascii="Arial" w:hAnsi="Arial" w:cs="Arial"/>
          <w:sz w:val="20"/>
          <w:szCs w:val="20"/>
        </w:rPr>
        <w:t>Deputy M</w:t>
      </w:r>
      <w:r w:rsidR="009D3FC1" w:rsidRPr="0085143C">
        <w:rPr>
          <w:rFonts w:ascii="Arial" w:hAnsi="Arial" w:cs="Arial"/>
          <w:sz w:val="20"/>
          <w:szCs w:val="20"/>
        </w:rPr>
        <w:t xml:space="preserve">inister said </w:t>
      </w:r>
      <w:r w:rsidR="006D0D0F" w:rsidRPr="0085143C">
        <w:rPr>
          <w:rFonts w:ascii="Arial" w:hAnsi="Arial" w:cs="Arial"/>
          <w:sz w:val="20"/>
          <w:szCs w:val="20"/>
        </w:rPr>
        <w:t xml:space="preserve">that the issue would be taken to the </w:t>
      </w:r>
      <w:r w:rsidR="009D3FC1" w:rsidRPr="0085143C">
        <w:rPr>
          <w:rFonts w:ascii="Arial" w:hAnsi="Arial" w:cs="Arial"/>
          <w:sz w:val="20"/>
          <w:szCs w:val="20"/>
        </w:rPr>
        <w:t>NAJOINT</w:t>
      </w:r>
      <w:r w:rsidR="006D0D0F" w:rsidRPr="0085143C">
        <w:rPr>
          <w:rFonts w:ascii="Arial" w:hAnsi="Arial" w:cs="Arial"/>
          <w:sz w:val="20"/>
          <w:szCs w:val="20"/>
        </w:rPr>
        <w:t>S structure to review.</w:t>
      </w:r>
    </w:p>
    <w:p w:rsidR="00F81FA7" w:rsidRPr="0085143C" w:rsidRDefault="00F81FA7" w:rsidP="0085143C">
      <w:pPr>
        <w:spacing w:after="0" w:line="240" w:lineRule="auto"/>
        <w:jc w:val="both"/>
        <w:rPr>
          <w:rFonts w:ascii="Arial" w:hAnsi="Arial" w:cs="Arial"/>
          <w:color w:val="FF0000"/>
          <w:sz w:val="20"/>
          <w:szCs w:val="20"/>
        </w:rPr>
      </w:pPr>
    </w:p>
    <w:p w:rsidR="00F81FA7" w:rsidRPr="0085143C" w:rsidRDefault="00F81FA7" w:rsidP="0085143C">
      <w:pPr>
        <w:spacing w:after="0" w:line="240" w:lineRule="auto"/>
        <w:jc w:val="both"/>
        <w:rPr>
          <w:rFonts w:ascii="Arial" w:hAnsi="Arial" w:cs="Arial"/>
          <w:sz w:val="20"/>
          <w:szCs w:val="20"/>
        </w:rPr>
      </w:pPr>
      <w:r w:rsidRPr="0085143C">
        <w:rPr>
          <w:rFonts w:ascii="Arial" w:hAnsi="Arial" w:cs="Arial"/>
          <w:sz w:val="20"/>
          <w:szCs w:val="20"/>
        </w:rPr>
        <w:t>The DPCI Judge cancelled the programmes that should be implemented.</w:t>
      </w:r>
    </w:p>
    <w:p w:rsidR="00AA73F8" w:rsidRPr="0085143C" w:rsidRDefault="00AA73F8" w:rsidP="0085143C">
      <w:pPr>
        <w:spacing w:after="0" w:line="240" w:lineRule="auto"/>
        <w:jc w:val="both"/>
        <w:rPr>
          <w:rFonts w:ascii="Arial" w:hAnsi="Arial" w:cs="Arial"/>
          <w:sz w:val="20"/>
          <w:szCs w:val="20"/>
        </w:rPr>
      </w:pPr>
    </w:p>
    <w:p w:rsidR="00B44773" w:rsidRPr="0085143C" w:rsidRDefault="00AA73F8" w:rsidP="0085143C">
      <w:pPr>
        <w:spacing w:after="0" w:line="240" w:lineRule="auto"/>
        <w:jc w:val="both"/>
        <w:rPr>
          <w:rFonts w:ascii="Arial" w:hAnsi="Arial" w:cs="Arial"/>
          <w:sz w:val="20"/>
          <w:szCs w:val="20"/>
        </w:rPr>
      </w:pPr>
      <w:r w:rsidRPr="0085143C">
        <w:rPr>
          <w:rFonts w:ascii="Arial" w:hAnsi="Arial" w:cs="Arial"/>
          <w:sz w:val="20"/>
          <w:szCs w:val="20"/>
        </w:rPr>
        <w:t xml:space="preserve">The Department indicated that the </w:t>
      </w:r>
      <w:r w:rsidR="00486F13" w:rsidRPr="0085143C">
        <w:rPr>
          <w:rFonts w:ascii="Arial" w:hAnsi="Arial" w:cs="Arial"/>
          <w:sz w:val="20"/>
          <w:szCs w:val="20"/>
        </w:rPr>
        <w:t xml:space="preserve">training content for CSF training in the </w:t>
      </w:r>
      <w:r w:rsidRPr="0085143C">
        <w:rPr>
          <w:rFonts w:ascii="Arial" w:hAnsi="Arial" w:cs="Arial"/>
          <w:sz w:val="20"/>
          <w:szCs w:val="20"/>
        </w:rPr>
        <w:t xml:space="preserve">provinces </w:t>
      </w:r>
      <w:r w:rsidR="00B44773" w:rsidRPr="0085143C">
        <w:rPr>
          <w:rFonts w:ascii="Arial" w:hAnsi="Arial" w:cs="Arial"/>
          <w:sz w:val="20"/>
          <w:szCs w:val="20"/>
        </w:rPr>
        <w:t xml:space="preserve">is guided by White Paper on Safety and Security, </w:t>
      </w:r>
      <w:r w:rsidR="00486F13" w:rsidRPr="0085143C">
        <w:rPr>
          <w:rFonts w:ascii="Arial" w:hAnsi="Arial" w:cs="Arial"/>
          <w:sz w:val="20"/>
          <w:szCs w:val="20"/>
        </w:rPr>
        <w:t xml:space="preserve">and there is collaboration with provincial community safety departments, mayors and </w:t>
      </w:r>
      <w:r w:rsidR="00B44773" w:rsidRPr="0085143C">
        <w:rPr>
          <w:rFonts w:ascii="Arial" w:hAnsi="Arial" w:cs="Arial"/>
          <w:sz w:val="20"/>
          <w:szCs w:val="20"/>
        </w:rPr>
        <w:t>councillors</w:t>
      </w:r>
      <w:r w:rsidR="00486F13" w:rsidRPr="0085143C">
        <w:rPr>
          <w:rFonts w:ascii="Arial" w:hAnsi="Arial" w:cs="Arial"/>
          <w:sz w:val="20"/>
          <w:szCs w:val="20"/>
        </w:rPr>
        <w:t xml:space="preserve">. They should </w:t>
      </w:r>
      <w:r w:rsidR="00B44773" w:rsidRPr="0085143C">
        <w:rPr>
          <w:rFonts w:ascii="Arial" w:hAnsi="Arial" w:cs="Arial"/>
          <w:sz w:val="20"/>
          <w:szCs w:val="20"/>
        </w:rPr>
        <w:t>establish the</w:t>
      </w:r>
      <w:r w:rsidR="00486F13" w:rsidRPr="0085143C">
        <w:rPr>
          <w:rFonts w:ascii="Arial" w:hAnsi="Arial" w:cs="Arial"/>
          <w:sz w:val="20"/>
          <w:szCs w:val="20"/>
        </w:rPr>
        <w:t xml:space="preserve"> CSF </w:t>
      </w:r>
      <w:r w:rsidR="00B44773" w:rsidRPr="0085143C">
        <w:rPr>
          <w:rFonts w:ascii="Arial" w:hAnsi="Arial" w:cs="Arial"/>
          <w:sz w:val="20"/>
          <w:szCs w:val="20"/>
        </w:rPr>
        <w:t>structures</w:t>
      </w:r>
      <w:r w:rsidR="00486F13" w:rsidRPr="0085143C">
        <w:rPr>
          <w:rFonts w:ascii="Arial" w:hAnsi="Arial" w:cs="Arial"/>
          <w:sz w:val="20"/>
          <w:szCs w:val="20"/>
        </w:rPr>
        <w:t xml:space="preserve"> as the Civilian Secretariat works </w:t>
      </w:r>
      <w:r w:rsidR="00B44773" w:rsidRPr="0085143C">
        <w:rPr>
          <w:rFonts w:ascii="Arial" w:hAnsi="Arial" w:cs="Arial"/>
          <w:sz w:val="20"/>
          <w:szCs w:val="20"/>
        </w:rPr>
        <w:t>a MOU and</w:t>
      </w:r>
      <w:r w:rsidR="00486F13" w:rsidRPr="0085143C">
        <w:rPr>
          <w:rFonts w:ascii="Arial" w:hAnsi="Arial" w:cs="Arial"/>
          <w:sz w:val="20"/>
          <w:szCs w:val="20"/>
        </w:rPr>
        <w:t xml:space="preserve"> the </w:t>
      </w:r>
      <w:r w:rsidR="00B44773" w:rsidRPr="0085143C">
        <w:rPr>
          <w:rFonts w:ascii="Arial" w:hAnsi="Arial" w:cs="Arial"/>
          <w:sz w:val="20"/>
          <w:szCs w:val="20"/>
        </w:rPr>
        <w:t>C</w:t>
      </w:r>
      <w:r w:rsidR="00486F13" w:rsidRPr="0085143C">
        <w:rPr>
          <w:rFonts w:ascii="Arial" w:hAnsi="Arial" w:cs="Arial"/>
          <w:sz w:val="20"/>
          <w:szCs w:val="20"/>
        </w:rPr>
        <w:t xml:space="preserve">ooperative Government and Traditional Affairs Department. The Department reported that </w:t>
      </w:r>
      <w:r w:rsidR="00B44773" w:rsidRPr="0085143C">
        <w:rPr>
          <w:rFonts w:ascii="Arial" w:hAnsi="Arial" w:cs="Arial"/>
          <w:sz w:val="20"/>
          <w:szCs w:val="20"/>
        </w:rPr>
        <w:t>if community structures</w:t>
      </w:r>
      <w:r w:rsidR="00486F13" w:rsidRPr="0085143C">
        <w:rPr>
          <w:rFonts w:ascii="Arial" w:hAnsi="Arial" w:cs="Arial"/>
          <w:sz w:val="20"/>
          <w:szCs w:val="20"/>
        </w:rPr>
        <w:t xml:space="preserve"> such as CPFs </w:t>
      </w:r>
      <w:r w:rsidR="00B44773" w:rsidRPr="0085143C">
        <w:rPr>
          <w:rFonts w:ascii="Arial" w:hAnsi="Arial" w:cs="Arial"/>
          <w:sz w:val="20"/>
          <w:szCs w:val="20"/>
        </w:rPr>
        <w:t>are not active, it means that the police station cannot be monitored</w:t>
      </w:r>
      <w:r w:rsidR="00486F13" w:rsidRPr="0085143C">
        <w:rPr>
          <w:rFonts w:ascii="Arial" w:hAnsi="Arial" w:cs="Arial"/>
          <w:sz w:val="20"/>
          <w:szCs w:val="20"/>
        </w:rPr>
        <w:t xml:space="preserve"> effectively.</w:t>
      </w:r>
    </w:p>
    <w:p w:rsidR="002410B1" w:rsidRPr="0085143C" w:rsidRDefault="002410B1" w:rsidP="0085143C">
      <w:pPr>
        <w:spacing w:after="0" w:line="240" w:lineRule="auto"/>
        <w:jc w:val="both"/>
        <w:rPr>
          <w:rFonts w:ascii="Arial" w:hAnsi="Arial" w:cs="Arial"/>
          <w:sz w:val="20"/>
          <w:szCs w:val="20"/>
        </w:rPr>
      </w:pPr>
    </w:p>
    <w:p w:rsidR="00486F13" w:rsidRPr="0085143C" w:rsidRDefault="00486F13" w:rsidP="0085143C">
      <w:pPr>
        <w:spacing w:after="0" w:line="240" w:lineRule="auto"/>
        <w:jc w:val="both"/>
        <w:rPr>
          <w:rFonts w:ascii="Arial" w:hAnsi="Arial" w:cs="Arial"/>
          <w:b/>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 xml:space="preserve">6. </w:t>
      </w:r>
      <w:r w:rsidR="004C560E" w:rsidRPr="0085143C">
        <w:rPr>
          <w:rFonts w:ascii="Arial" w:hAnsi="Arial" w:cs="Arial"/>
          <w:b/>
          <w:sz w:val="20"/>
          <w:szCs w:val="20"/>
        </w:rPr>
        <w:tab/>
      </w:r>
      <w:r w:rsidRPr="0085143C">
        <w:rPr>
          <w:rFonts w:ascii="Arial" w:hAnsi="Arial" w:cs="Arial"/>
          <w:b/>
          <w:sz w:val="20"/>
          <w:szCs w:val="20"/>
        </w:rPr>
        <w:t>RECOMMENDATIONS AND ADDITIONAL INFORMATION</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This section provides a summary of the recommendations made by the Committee and also a summary of the additional information requested during the 20</w:t>
      </w:r>
      <w:r w:rsidR="00906E1D" w:rsidRPr="0085143C">
        <w:rPr>
          <w:rFonts w:ascii="Arial" w:hAnsi="Arial" w:cs="Arial"/>
          <w:sz w:val="20"/>
          <w:szCs w:val="20"/>
        </w:rPr>
        <w:t>20</w:t>
      </w:r>
      <w:r w:rsidRPr="0085143C">
        <w:rPr>
          <w:rFonts w:ascii="Arial" w:hAnsi="Arial" w:cs="Arial"/>
          <w:sz w:val="20"/>
          <w:szCs w:val="20"/>
        </w:rPr>
        <w:t>/</w:t>
      </w:r>
      <w:r w:rsidR="00906E1D" w:rsidRPr="0085143C">
        <w:rPr>
          <w:rFonts w:ascii="Arial" w:hAnsi="Arial" w:cs="Arial"/>
          <w:sz w:val="20"/>
          <w:szCs w:val="20"/>
        </w:rPr>
        <w:t>21</w:t>
      </w:r>
      <w:r w:rsidRPr="0085143C">
        <w:rPr>
          <w:rFonts w:ascii="Arial" w:hAnsi="Arial" w:cs="Arial"/>
          <w:sz w:val="20"/>
          <w:szCs w:val="20"/>
        </w:rPr>
        <w:t xml:space="preserve"> budget hearings. </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 xml:space="preserve">6.1 </w:t>
      </w:r>
      <w:r w:rsidR="004C560E" w:rsidRPr="0085143C">
        <w:rPr>
          <w:rFonts w:ascii="Arial" w:hAnsi="Arial" w:cs="Arial"/>
          <w:b/>
          <w:sz w:val="20"/>
          <w:szCs w:val="20"/>
        </w:rPr>
        <w:tab/>
      </w:r>
      <w:r w:rsidRPr="0085143C">
        <w:rPr>
          <w:rFonts w:ascii="Arial" w:hAnsi="Arial" w:cs="Arial"/>
          <w:b/>
          <w:sz w:val="20"/>
          <w:szCs w:val="20"/>
        </w:rPr>
        <w:t>Additional information</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Committee requested additional information (to be submitted within six months) through written responses to supplement the information gathered during hearings on the 20</w:t>
      </w:r>
      <w:r w:rsidR="00906E1D" w:rsidRPr="0085143C">
        <w:rPr>
          <w:rFonts w:ascii="Arial" w:hAnsi="Arial" w:cs="Arial"/>
          <w:sz w:val="20"/>
          <w:szCs w:val="20"/>
        </w:rPr>
        <w:t>20</w:t>
      </w:r>
      <w:r w:rsidRPr="0085143C">
        <w:rPr>
          <w:rFonts w:ascii="Arial" w:hAnsi="Arial" w:cs="Arial"/>
          <w:sz w:val="20"/>
          <w:szCs w:val="20"/>
        </w:rPr>
        <w:t>/</w:t>
      </w:r>
      <w:r w:rsidR="00906E1D" w:rsidRPr="0085143C">
        <w:rPr>
          <w:rFonts w:ascii="Arial" w:hAnsi="Arial" w:cs="Arial"/>
          <w:sz w:val="20"/>
          <w:szCs w:val="20"/>
        </w:rPr>
        <w:t>21</w:t>
      </w:r>
      <w:r w:rsidRPr="0085143C">
        <w:rPr>
          <w:rFonts w:ascii="Arial" w:hAnsi="Arial" w:cs="Arial"/>
          <w:sz w:val="20"/>
          <w:szCs w:val="20"/>
        </w:rPr>
        <w:t xml:space="preserve"> budget hearings of the CSPS:</w:t>
      </w:r>
    </w:p>
    <w:p w:rsidR="00162DCA" w:rsidRPr="0085143C" w:rsidRDefault="00162DCA" w:rsidP="0085143C">
      <w:pPr>
        <w:numPr>
          <w:ilvl w:val="0"/>
          <w:numId w:val="2"/>
        </w:numPr>
        <w:spacing w:after="0" w:line="240" w:lineRule="auto"/>
        <w:contextualSpacing/>
        <w:jc w:val="both"/>
        <w:rPr>
          <w:rFonts w:ascii="Arial" w:hAnsi="Arial" w:cs="Arial"/>
          <w:sz w:val="20"/>
          <w:szCs w:val="20"/>
        </w:rPr>
      </w:pPr>
      <w:r w:rsidRPr="0085143C">
        <w:rPr>
          <w:rFonts w:ascii="Arial" w:hAnsi="Arial" w:cs="Arial"/>
          <w:sz w:val="20"/>
          <w:szCs w:val="20"/>
        </w:rPr>
        <w:lastRenderedPageBreak/>
        <w:t>The CSPS must submit a written copy of i</w:t>
      </w:r>
      <w:r w:rsidR="00906E1D" w:rsidRPr="0085143C">
        <w:rPr>
          <w:rFonts w:ascii="Arial" w:hAnsi="Arial" w:cs="Arial"/>
          <w:sz w:val="20"/>
          <w:szCs w:val="20"/>
        </w:rPr>
        <w:t xml:space="preserve">ts revised legislative schedule with respect to the SAPS Amendment Bill and the Firearms Control Amendment Bill. </w:t>
      </w:r>
    </w:p>
    <w:p w:rsidR="00906E1D" w:rsidRPr="0085143C" w:rsidRDefault="00162DCA" w:rsidP="0085143C">
      <w:pPr>
        <w:numPr>
          <w:ilvl w:val="0"/>
          <w:numId w:val="2"/>
        </w:numPr>
        <w:spacing w:after="0" w:line="240" w:lineRule="auto"/>
        <w:contextualSpacing/>
        <w:jc w:val="both"/>
        <w:rPr>
          <w:rFonts w:ascii="Arial" w:hAnsi="Arial" w:cs="Arial"/>
          <w:sz w:val="20"/>
          <w:szCs w:val="20"/>
        </w:rPr>
      </w:pPr>
      <w:r w:rsidRPr="0085143C">
        <w:rPr>
          <w:rFonts w:ascii="Arial" w:hAnsi="Arial" w:cs="Arial"/>
          <w:sz w:val="20"/>
          <w:szCs w:val="20"/>
        </w:rPr>
        <w:t xml:space="preserve">The CSPS must provide the Committee with a </w:t>
      </w:r>
      <w:r w:rsidR="00906E1D" w:rsidRPr="0085143C">
        <w:rPr>
          <w:rFonts w:ascii="Arial" w:hAnsi="Arial" w:cs="Arial"/>
          <w:sz w:val="20"/>
          <w:szCs w:val="20"/>
        </w:rPr>
        <w:t xml:space="preserve">report on the reasons for the DPCI Judge cancelling his engagement meetings with the community. </w:t>
      </w:r>
    </w:p>
    <w:p w:rsidR="00162DCA" w:rsidRPr="0085143C" w:rsidRDefault="00162DCA" w:rsidP="0085143C">
      <w:pPr>
        <w:numPr>
          <w:ilvl w:val="0"/>
          <w:numId w:val="2"/>
        </w:numPr>
        <w:spacing w:after="0" w:line="240" w:lineRule="auto"/>
        <w:contextualSpacing/>
        <w:jc w:val="both"/>
        <w:rPr>
          <w:rFonts w:ascii="Arial" w:hAnsi="Arial" w:cs="Arial"/>
          <w:sz w:val="20"/>
          <w:szCs w:val="20"/>
        </w:rPr>
      </w:pPr>
      <w:r w:rsidRPr="0085143C">
        <w:rPr>
          <w:rFonts w:ascii="Arial" w:hAnsi="Arial" w:cs="Arial"/>
          <w:sz w:val="20"/>
          <w:szCs w:val="20"/>
        </w:rPr>
        <w:t xml:space="preserve">The CSPS must provide the Committee with </w:t>
      </w:r>
      <w:r w:rsidR="008978DC" w:rsidRPr="0085143C">
        <w:rPr>
          <w:rFonts w:ascii="Arial" w:hAnsi="Arial" w:cs="Arial"/>
          <w:sz w:val="20"/>
          <w:szCs w:val="20"/>
        </w:rPr>
        <w:t xml:space="preserve">a copy of the station survey report. </w:t>
      </w:r>
    </w:p>
    <w:p w:rsidR="008978DC" w:rsidRPr="0085143C" w:rsidRDefault="008978DC" w:rsidP="0085143C">
      <w:pPr>
        <w:spacing w:after="0" w:line="240" w:lineRule="auto"/>
        <w:ind w:left="360"/>
        <w:contextualSpacing/>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 xml:space="preserve">6.2 </w:t>
      </w:r>
      <w:r w:rsidR="004C560E" w:rsidRPr="0085143C">
        <w:rPr>
          <w:rFonts w:ascii="Arial" w:hAnsi="Arial" w:cs="Arial"/>
          <w:b/>
          <w:sz w:val="20"/>
          <w:szCs w:val="20"/>
        </w:rPr>
        <w:tab/>
      </w:r>
      <w:r w:rsidRPr="0085143C">
        <w:rPr>
          <w:rFonts w:ascii="Arial" w:hAnsi="Arial" w:cs="Arial"/>
          <w:b/>
          <w:sz w:val="20"/>
          <w:szCs w:val="20"/>
        </w:rPr>
        <w:t>RECOMMENDATIONS</w:t>
      </w:r>
    </w:p>
    <w:p w:rsidR="00162DCA" w:rsidRPr="0085143C" w:rsidRDefault="00162DCA" w:rsidP="0085143C">
      <w:pPr>
        <w:spacing w:after="0" w:line="240" w:lineRule="auto"/>
        <w:jc w:val="both"/>
        <w:rPr>
          <w:rFonts w:ascii="Arial" w:hAnsi="Arial" w:cs="Arial"/>
          <w:sz w:val="20"/>
          <w:szCs w:val="20"/>
        </w:rPr>
      </w:pPr>
      <w:r w:rsidRPr="0085143C">
        <w:rPr>
          <w:rFonts w:ascii="Arial" w:hAnsi="Arial" w:cs="Arial"/>
          <w:sz w:val="20"/>
          <w:szCs w:val="20"/>
        </w:rPr>
        <w:t>The Committee made several recommendations to the CSPS during the 20</w:t>
      </w:r>
      <w:r w:rsidR="00906E1D" w:rsidRPr="0085143C">
        <w:rPr>
          <w:rFonts w:ascii="Arial" w:hAnsi="Arial" w:cs="Arial"/>
          <w:sz w:val="20"/>
          <w:szCs w:val="20"/>
        </w:rPr>
        <w:t>20</w:t>
      </w:r>
      <w:r w:rsidRPr="0085143C">
        <w:rPr>
          <w:rFonts w:ascii="Arial" w:hAnsi="Arial" w:cs="Arial"/>
          <w:sz w:val="20"/>
          <w:szCs w:val="20"/>
        </w:rPr>
        <w:t>/2</w:t>
      </w:r>
      <w:r w:rsidR="00906E1D" w:rsidRPr="0085143C">
        <w:rPr>
          <w:rFonts w:ascii="Arial" w:hAnsi="Arial" w:cs="Arial"/>
          <w:sz w:val="20"/>
          <w:szCs w:val="20"/>
        </w:rPr>
        <w:t>1</w:t>
      </w:r>
      <w:r w:rsidRPr="0085143C">
        <w:rPr>
          <w:rFonts w:ascii="Arial" w:hAnsi="Arial" w:cs="Arial"/>
          <w:sz w:val="20"/>
          <w:szCs w:val="20"/>
        </w:rPr>
        <w:t xml:space="preserve"> budget hearings. These included the following:</w:t>
      </w:r>
    </w:p>
    <w:p w:rsidR="00162DCA" w:rsidRPr="0085143C" w:rsidRDefault="00162DCA" w:rsidP="0085143C">
      <w:pPr>
        <w:spacing w:after="0" w:line="240" w:lineRule="auto"/>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 xml:space="preserve">6.2.1 </w:t>
      </w:r>
      <w:r w:rsidR="004C560E" w:rsidRPr="0085143C">
        <w:rPr>
          <w:rFonts w:ascii="Arial" w:hAnsi="Arial" w:cs="Arial"/>
          <w:b/>
          <w:sz w:val="20"/>
          <w:szCs w:val="20"/>
        </w:rPr>
        <w:tab/>
      </w:r>
      <w:r w:rsidRPr="0085143C">
        <w:rPr>
          <w:rFonts w:ascii="Arial" w:hAnsi="Arial" w:cs="Arial"/>
          <w:b/>
          <w:sz w:val="20"/>
          <w:szCs w:val="20"/>
        </w:rPr>
        <w:t>Budget recommendations:</w:t>
      </w:r>
    </w:p>
    <w:p w:rsidR="00162DCA" w:rsidRPr="0085143C" w:rsidRDefault="008978DC" w:rsidP="0085143C">
      <w:pPr>
        <w:pStyle w:val="ListParagraph"/>
        <w:numPr>
          <w:ilvl w:val="0"/>
          <w:numId w:val="3"/>
        </w:numPr>
        <w:spacing w:after="0" w:line="240" w:lineRule="auto"/>
        <w:rPr>
          <w:rFonts w:ascii="Arial" w:hAnsi="Arial" w:cs="Arial"/>
          <w:sz w:val="20"/>
          <w:szCs w:val="20"/>
        </w:rPr>
      </w:pPr>
      <w:r w:rsidRPr="0085143C">
        <w:rPr>
          <w:rFonts w:ascii="Arial" w:hAnsi="Arial" w:cs="Arial"/>
          <w:sz w:val="20"/>
          <w:szCs w:val="20"/>
        </w:rPr>
        <w:t xml:space="preserve">The Committee commends </w:t>
      </w:r>
      <w:r w:rsidR="00162DCA" w:rsidRPr="0085143C">
        <w:rPr>
          <w:rFonts w:ascii="Arial" w:hAnsi="Arial" w:cs="Arial"/>
          <w:sz w:val="20"/>
          <w:szCs w:val="20"/>
        </w:rPr>
        <w:t>the CSPS f</w:t>
      </w:r>
      <w:r w:rsidRPr="0085143C">
        <w:rPr>
          <w:rFonts w:ascii="Arial" w:hAnsi="Arial" w:cs="Arial"/>
          <w:sz w:val="20"/>
          <w:szCs w:val="20"/>
        </w:rPr>
        <w:t xml:space="preserve">or finally having its own Budget Vote (Vote 21) and suggests that the financial architecture for the CSPS to govern its own finances be strengthened </w:t>
      </w:r>
      <w:r w:rsidR="00162DCA" w:rsidRPr="0085143C">
        <w:rPr>
          <w:rFonts w:ascii="Arial" w:hAnsi="Arial" w:cs="Arial"/>
          <w:sz w:val="20"/>
          <w:szCs w:val="20"/>
        </w:rPr>
        <w:t>to lessen its dependence on the SAPS financial infrastructure.</w:t>
      </w:r>
    </w:p>
    <w:p w:rsidR="00162DCA" w:rsidRPr="0085143C" w:rsidRDefault="00162DCA"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 xml:space="preserve"> The Committee recommends that the Secretariat should </w:t>
      </w:r>
      <w:r w:rsidR="008978DC" w:rsidRPr="0085143C">
        <w:rPr>
          <w:rFonts w:ascii="Arial" w:hAnsi="Arial" w:cs="Arial"/>
          <w:sz w:val="20"/>
          <w:szCs w:val="20"/>
        </w:rPr>
        <w:t>in future include the budget</w:t>
      </w:r>
      <w:r w:rsidR="00325B2E" w:rsidRPr="0085143C">
        <w:rPr>
          <w:rFonts w:ascii="Arial" w:hAnsi="Arial" w:cs="Arial"/>
          <w:sz w:val="20"/>
          <w:szCs w:val="20"/>
        </w:rPr>
        <w:t xml:space="preserve">breakdown </w:t>
      </w:r>
      <w:r w:rsidR="008978DC" w:rsidRPr="0085143C">
        <w:rPr>
          <w:rFonts w:ascii="Arial" w:hAnsi="Arial" w:cs="Arial"/>
          <w:sz w:val="20"/>
          <w:szCs w:val="20"/>
        </w:rPr>
        <w:t xml:space="preserve">of the Provincial Secretariats in its </w:t>
      </w:r>
      <w:r w:rsidR="00325B2E" w:rsidRPr="0085143C">
        <w:rPr>
          <w:rFonts w:ascii="Arial" w:hAnsi="Arial" w:cs="Arial"/>
          <w:sz w:val="20"/>
          <w:szCs w:val="20"/>
        </w:rPr>
        <w:t xml:space="preserve">Annual Performance Plan and </w:t>
      </w:r>
      <w:r w:rsidR="008978DC" w:rsidRPr="0085143C">
        <w:rPr>
          <w:rFonts w:ascii="Arial" w:hAnsi="Arial" w:cs="Arial"/>
          <w:sz w:val="20"/>
          <w:szCs w:val="20"/>
        </w:rPr>
        <w:t>Budget Report.</w:t>
      </w:r>
    </w:p>
    <w:p w:rsidR="00162DCA" w:rsidRPr="0085143C" w:rsidRDefault="00162DCA" w:rsidP="0085143C">
      <w:pPr>
        <w:spacing w:after="0" w:line="240" w:lineRule="auto"/>
        <w:ind w:left="360"/>
        <w:contextualSpacing/>
        <w:jc w:val="both"/>
        <w:rPr>
          <w:rFonts w:ascii="Arial" w:hAnsi="Arial" w:cs="Arial"/>
          <w:sz w:val="20"/>
          <w:szCs w:val="20"/>
        </w:rPr>
      </w:pPr>
    </w:p>
    <w:p w:rsidR="00162DCA" w:rsidRPr="0085143C" w:rsidRDefault="00162DCA"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 xml:space="preserve">The Committee recommends that the Civilian Secretariat </w:t>
      </w:r>
      <w:r w:rsidR="00C86E2F" w:rsidRPr="0085143C">
        <w:rPr>
          <w:rFonts w:ascii="Arial" w:hAnsi="Arial" w:cs="Arial"/>
          <w:sz w:val="20"/>
          <w:szCs w:val="20"/>
        </w:rPr>
        <w:t>re-inserts the targets removed from the APP with respect to the implementation of Audit Findings.</w:t>
      </w:r>
    </w:p>
    <w:p w:rsidR="00C86E2F" w:rsidRPr="0085143C" w:rsidRDefault="00C86E2F" w:rsidP="0085143C">
      <w:pPr>
        <w:spacing w:after="0" w:line="240" w:lineRule="auto"/>
        <w:ind w:left="360"/>
        <w:contextualSpacing/>
        <w:jc w:val="both"/>
        <w:rPr>
          <w:rFonts w:ascii="Arial" w:hAnsi="Arial" w:cs="Arial"/>
          <w:sz w:val="20"/>
          <w:szCs w:val="20"/>
        </w:rPr>
      </w:pPr>
    </w:p>
    <w:p w:rsidR="00162DCA" w:rsidRPr="0085143C" w:rsidRDefault="00162DCA"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 xml:space="preserve">The Committee recommends that the </w:t>
      </w:r>
      <w:r w:rsidR="00C86E2F" w:rsidRPr="0085143C">
        <w:rPr>
          <w:rFonts w:ascii="Arial" w:hAnsi="Arial" w:cs="Arial"/>
          <w:sz w:val="20"/>
          <w:szCs w:val="20"/>
        </w:rPr>
        <w:t xml:space="preserve">Civilian Secretariat develops a report on the impact of the COVOD-19 pandemic on its budget and operations.  </w:t>
      </w:r>
    </w:p>
    <w:p w:rsidR="00C86E2F" w:rsidRPr="0085143C" w:rsidRDefault="00C86E2F" w:rsidP="0085143C">
      <w:pPr>
        <w:spacing w:after="0" w:line="240" w:lineRule="auto"/>
        <w:ind w:left="360"/>
        <w:contextualSpacing/>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6.2.2   Performance recommendations:</w:t>
      </w:r>
    </w:p>
    <w:p w:rsidR="00162DCA" w:rsidRPr="0085143C" w:rsidRDefault="00162DCA" w:rsidP="0085143C">
      <w:pPr>
        <w:spacing w:after="0" w:line="240" w:lineRule="auto"/>
        <w:ind w:left="360"/>
        <w:contextualSpacing/>
        <w:jc w:val="both"/>
        <w:rPr>
          <w:rFonts w:ascii="Arial" w:hAnsi="Arial" w:cs="Arial"/>
          <w:sz w:val="20"/>
          <w:szCs w:val="20"/>
        </w:rPr>
      </w:pPr>
    </w:p>
    <w:p w:rsidR="00162DCA" w:rsidRPr="0085143C" w:rsidRDefault="00162DCA" w:rsidP="0085143C">
      <w:pPr>
        <w:numPr>
          <w:ilvl w:val="0"/>
          <w:numId w:val="3"/>
        </w:numPr>
        <w:spacing w:after="0" w:line="240" w:lineRule="auto"/>
        <w:contextualSpacing/>
        <w:rPr>
          <w:rFonts w:ascii="Arial" w:hAnsi="Arial" w:cs="Arial"/>
          <w:sz w:val="20"/>
          <w:szCs w:val="20"/>
        </w:rPr>
      </w:pPr>
      <w:r w:rsidRPr="0085143C">
        <w:rPr>
          <w:rFonts w:ascii="Arial" w:hAnsi="Arial" w:cs="Arial"/>
          <w:sz w:val="20"/>
          <w:szCs w:val="20"/>
        </w:rPr>
        <w:t xml:space="preserve">The Committee </w:t>
      </w:r>
      <w:r w:rsidR="00B24917" w:rsidRPr="0085143C">
        <w:rPr>
          <w:rFonts w:ascii="Arial" w:hAnsi="Arial" w:cs="Arial"/>
          <w:sz w:val="20"/>
          <w:szCs w:val="20"/>
        </w:rPr>
        <w:t xml:space="preserve">recommends </w:t>
      </w:r>
      <w:r w:rsidRPr="0085143C">
        <w:rPr>
          <w:rFonts w:ascii="Arial" w:hAnsi="Arial" w:cs="Arial"/>
          <w:sz w:val="20"/>
          <w:szCs w:val="20"/>
        </w:rPr>
        <w:t>that the Civilian Secretariat reviews the performance indicators and re-inserts those targets and indicators</w:t>
      </w:r>
      <w:r w:rsidR="004471E8" w:rsidRPr="0085143C">
        <w:rPr>
          <w:rFonts w:ascii="Arial" w:hAnsi="Arial" w:cs="Arial"/>
          <w:sz w:val="20"/>
          <w:szCs w:val="20"/>
        </w:rPr>
        <w:t>,</w:t>
      </w:r>
      <w:r w:rsidRPr="0085143C">
        <w:rPr>
          <w:rFonts w:ascii="Arial" w:hAnsi="Arial" w:cs="Arial"/>
          <w:sz w:val="20"/>
          <w:szCs w:val="20"/>
        </w:rPr>
        <w:t xml:space="preserve"> which it took out of the APP, especially those targets which has a serious impact on reducing violent crime.  </w:t>
      </w:r>
    </w:p>
    <w:p w:rsidR="00162DCA" w:rsidRPr="0085143C" w:rsidRDefault="00162DCA" w:rsidP="0085143C">
      <w:pPr>
        <w:spacing w:after="0" w:line="240" w:lineRule="auto"/>
        <w:ind w:left="360"/>
        <w:contextualSpacing/>
        <w:jc w:val="both"/>
        <w:rPr>
          <w:rFonts w:ascii="Arial" w:hAnsi="Arial" w:cs="Arial"/>
          <w:sz w:val="20"/>
          <w:szCs w:val="20"/>
        </w:rPr>
      </w:pPr>
    </w:p>
    <w:p w:rsidR="00162DCA" w:rsidRPr="0085143C" w:rsidRDefault="00162DCA"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The Committee recommends that the CSPS should provide the Committee with an updated legislative schedule submitted to the office of the Leader of Government Business in the National Assembly. The Committee expects the Department to prioritise the SAPS Amendment Bill.</w:t>
      </w:r>
    </w:p>
    <w:p w:rsidR="00162DCA" w:rsidRPr="0085143C" w:rsidRDefault="00162DCA" w:rsidP="0085143C">
      <w:pPr>
        <w:spacing w:after="0" w:line="240" w:lineRule="auto"/>
        <w:ind w:left="360"/>
        <w:contextualSpacing/>
        <w:jc w:val="both"/>
        <w:rPr>
          <w:rFonts w:ascii="Arial" w:hAnsi="Arial" w:cs="Arial"/>
          <w:sz w:val="20"/>
          <w:szCs w:val="20"/>
        </w:rPr>
      </w:pPr>
    </w:p>
    <w:p w:rsidR="00162DCA" w:rsidRPr="0085143C" w:rsidRDefault="00162DCA"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 xml:space="preserve">The Committee recommends that the Secretariat </w:t>
      </w:r>
      <w:r w:rsidR="00C86E2F" w:rsidRPr="0085143C">
        <w:rPr>
          <w:rFonts w:ascii="Arial" w:hAnsi="Arial" w:cs="Arial"/>
          <w:sz w:val="20"/>
          <w:szCs w:val="20"/>
        </w:rPr>
        <w:t>explores ways and means to work more closely with the SAPS Inspectorate to strengthen the monitoring and evaluation of the police.</w:t>
      </w:r>
    </w:p>
    <w:p w:rsidR="00162DCA" w:rsidRPr="0085143C" w:rsidRDefault="00162DCA" w:rsidP="0085143C">
      <w:pPr>
        <w:spacing w:after="0" w:line="240" w:lineRule="auto"/>
        <w:ind w:left="360"/>
        <w:contextualSpacing/>
        <w:jc w:val="both"/>
        <w:rPr>
          <w:rFonts w:ascii="Arial" w:hAnsi="Arial" w:cs="Arial"/>
          <w:sz w:val="20"/>
          <w:szCs w:val="20"/>
        </w:rPr>
      </w:pPr>
    </w:p>
    <w:p w:rsidR="00162DCA" w:rsidRPr="0085143C" w:rsidRDefault="00162DCA"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The Committee recommends that the Secretariat improves co-operation with the Provincial Secretariats.</w:t>
      </w:r>
    </w:p>
    <w:p w:rsidR="00162DCA" w:rsidRPr="0085143C" w:rsidRDefault="00162DCA" w:rsidP="0085143C">
      <w:pPr>
        <w:spacing w:after="0" w:line="240" w:lineRule="auto"/>
        <w:ind w:left="360"/>
        <w:contextualSpacing/>
        <w:jc w:val="both"/>
        <w:rPr>
          <w:rFonts w:ascii="Arial" w:hAnsi="Arial" w:cs="Arial"/>
          <w:sz w:val="20"/>
          <w:szCs w:val="20"/>
        </w:rPr>
      </w:pPr>
    </w:p>
    <w:p w:rsidR="00162DCA" w:rsidRPr="0085143C" w:rsidRDefault="00162DCA"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The Committee recommends that the Secretariat</w:t>
      </w:r>
      <w:r w:rsidR="006D0D0F" w:rsidRPr="0085143C">
        <w:rPr>
          <w:rFonts w:ascii="Arial" w:hAnsi="Arial" w:cs="Arial"/>
          <w:sz w:val="20"/>
          <w:szCs w:val="20"/>
        </w:rPr>
        <w:t>, through the NATJOINTS,</w:t>
      </w:r>
      <w:r w:rsidR="00C86E2F" w:rsidRPr="0085143C">
        <w:rPr>
          <w:rFonts w:ascii="Arial" w:hAnsi="Arial" w:cs="Arial"/>
          <w:sz w:val="20"/>
          <w:szCs w:val="20"/>
        </w:rPr>
        <w:t xml:space="preserve">facilitates the involvement of the CPFs as emergency workers to support the police in their interaction with the communities. </w:t>
      </w:r>
    </w:p>
    <w:p w:rsidR="00C86E2F" w:rsidRPr="0085143C" w:rsidRDefault="00C86E2F" w:rsidP="0085143C">
      <w:pPr>
        <w:spacing w:after="0" w:line="240" w:lineRule="auto"/>
        <w:ind w:left="360"/>
        <w:contextualSpacing/>
        <w:jc w:val="both"/>
        <w:rPr>
          <w:rFonts w:ascii="Arial" w:hAnsi="Arial" w:cs="Arial"/>
          <w:sz w:val="20"/>
          <w:szCs w:val="20"/>
        </w:rPr>
      </w:pPr>
    </w:p>
    <w:p w:rsidR="00162DCA" w:rsidRPr="0085143C" w:rsidRDefault="00162DCA"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 xml:space="preserve">The Committee recommends that the </w:t>
      </w:r>
      <w:r w:rsidR="00C86E2F" w:rsidRPr="0085143C">
        <w:rPr>
          <w:rFonts w:ascii="Arial" w:hAnsi="Arial" w:cs="Arial"/>
          <w:sz w:val="20"/>
          <w:szCs w:val="20"/>
        </w:rPr>
        <w:t xml:space="preserve">Executive Authority finalises the appointment of the new DNA Board. </w:t>
      </w:r>
    </w:p>
    <w:p w:rsidR="00C86E2F" w:rsidRPr="0085143C" w:rsidRDefault="00C86E2F" w:rsidP="0085143C">
      <w:pPr>
        <w:spacing w:after="0" w:line="240" w:lineRule="auto"/>
        <w:ind w:left="360"/>
        <w:contextualSpacing/>
        <w:jc w:val="both"/>
        <w:rPr>
          <w:rFonts w:ascii="Arial" w:hAnsi="Arial" w:cs="Arial"/>
          <w:sz w:val="20"/>
          <w:szCs w:val="20"/>
        </w:rPr>
      </w:pPr>
    </w:p>
    <w:p w:rsidR="00162DCA" w:rsidRPr="0085143C" w:rsidRDefault="00162DCA"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 xml:space="preserve">The Committee recommends that the Secretariat </w:t>
      </w:r>
      <w:r w:rsidR="00C86E2F" w:rsidRPr="0085143C">
        <w:rPr>
          <w:rFonts w:ascii="Arial" w:hAnsi="Arial" w:cs="Arial"/>
          <w:sz w:val="20"/>
          <w:szCs w:val="20"/>
        </w:rPr>
        <w:t>reviews the risks, outputs and impact in its community partnership programme and develop better indicators in its APP.</w:t>
      </w:r>
    </w:p>
    <w:p w:rsidR="005706CE" w:rsidRPr="0085143C" w:rsidRDefault="005706CE" w:rsidP="0085143C">
      <w:pPr>
        <w:spacing w:after="0" w:line="240" w:lineRule="auto"/>
        <w:ind w:left="360"/>
        <w:contextualSpacing/>
        <w:jc w:val="both"/>
        <w:rPr>
          <w:rFonts w:ascii="Arial" w:hAnsi="Arial" w:cs="Arial"/>
          <w:sz w:val="20"/>
          <w:szCs w:val="20"/>
        </w:rPr>
      </w:pPr>
    </w:p>
    <w:p w:rsidR="005706CE" w:rsidRPr="0085143C" w:rsidRDefault="00C86E2F"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 xml:space="preserve">The Committee recommends that the Civilian Secretariat reviews its strategic </w:t>
      </w:r>
      <w:r w:rsidR="004471E8" w:rsidRPr="0085143C">
        <w:rPr>
          <w:rFonts w:ascii="Arial" w:hAnsi="Arial" w:cs="Arial"/>
          <w:sz w:val="20"/>
          <w:szCs w:val="20"/>
        </w:rPr>
        <w:t>priorities</w:t>
      </w:r>
      <w:r w:rsidRPr="0085143C">
        <w:rPr>
          <w:rFonts w:ascii="Arial" w:hAnsi="Arial" w:cs="Arial"/>
          <w:sz w:val="20"/>
          <w:szCs w:val="20"/>
        </w:rPr>
        <w:t xml:space="preserve"> such as the failure to implement the </w:t>
      </w:r>
      <w:r w:rsidR="005706CE" w:rsidRPr="0085143C">
        <w:rPr>
          <w:rFonts w:ascii="Arial" w:hAnsi="Arial" w:cs="Arial"/>
          <w:sz w:val="20"/>
          <w:szCs w:val="20"/>
        </w:rPr>
        <w:t xml:space="preserve">Integrated Crime and Violence Prevention Strategy and thoroughly evaluate its strategic targets and the capacity to attain it. </w:t>
      </w:r>
    </w:p>
    <w:p w:rsidR="005706CE" w:rsidRPr="0085143C" w:rsidRDefault="005706CE" w:rsidP="0085143C">
      <w:pPr>
        <w:spacing w:after="0" w:line="240" w:lineRule="auto"/>
        <w:ind w:left="360"/>
        <w:contextualSpacing/>
        <w:jc w:val="both"/>
        <w:rPr>
          <w:rFonts w:ascii="Arial" w:hAnsi="Arial" w:cs="Arial"/>
          <w:sz w:val="20"/>
          <w:szCs w:val="20"/>
        </w:rPr>
      </w:pPr>
    </w:p>
    <w:p w:rsidR="005706CE" w:rsidRPr="0085143C" w:rsidRDefault="005706CE"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 xml:space="preserve">The Committee recommends that the Civilian Secretariat endeavours to access the SAPS litigation management database to assist with a reduction in civil claims against the police. </w:t>
      </w:r>
    </w:p>
    <w:p w:rsidR="00C86E2F" w:rsidRPr="0085143C" w:rsidRDefault="00C86E2F" w:rsidP="0085143C">
      <w:pPr>
        <w:spacing w:after="0" w:line="240" w:lineRule="auto"/>
        <w:ind w:left="360"/>
        <w:contextualSpacing/>
        <w:jc w:val="both"/>
        <w:rPr>
          <w:rFonts w:ascii="Arial" w:hAnsi="Arial" w:cs="Arial"/>
          <w:sz w:val="20"/>
          <w:szCs w:val="20"/>
        </w:rPr>
      </w:pPr>
    </w:p>
    <w:p w:rsidR="005706CE" w:rsidRPr="0085143C" w:rsidRDefault="005706CE"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 xml:space="preserve">The Committee recommends that the Civilian Secretariat conducts station oversight visits on the Woodstock and Botriver police stations as soon as it is possible. </w:t>
      </w:r>
    </w:p>
    <w:p w:rsidR="004471E8" w:rsidRPr="0085143C" w:rsidRDefault="004471E8" w:rsidP="0085143C">
      <w:pPr>
        <w:pStyle w:val="ListParagraph"/>
        <w:spacing w:after="0" w:line="240" w:lineRule="auto"/>
        <w:rPr>
          <w:rFonts w:ascii="Arial" w:hAnsi="Arial" w:cs="Arial"/>
          <w:sz w:val="20"/>
          <w:szCs w:val="20"/>
        </w:rPr>
      </w:pPr>
    </w:p>
    <w:p w:rsidR="004471E8" w:rsidRPr="0085143C" w:rsidRDefault="004471E8"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lastRenderedPageBreak/>
        <w:t xml:space="preserve">The Committee recommends that the Secretariat prioritise its focus on developing ways to pro-actively assist the SAPS with strengthening compliance to the DVA. </w:t>
      </w:r>
    </w:p>
    <w:p w:rsidR="006D0D0F" w:rsidRPr="0085143C" w:rsidRDefault="006D0D0F" w:rsidP="0085143C">
      <w:pPr>
        <w:spacing w:after="0" w:line="240" w:lineRule="auto"/>
        <w:ind w:left="360"/>
        <w:contextualSpacing/>
        <w:jc w:val="both"/>
        <w:rPr>
          <w:rFonts w:ascii="Arial" w:hAnsi="Arial" w:cs="Arial"/>
          <w:sz w:val="20"/>
          <w:szCs w:val="20"/>
        </w:rPr>
      </w:pPr>
    </w:p>
    <w:p w:rsidR="006D0D0F" w:rsidRPr="0085143C" w:rsidRDefault="006D0D0F" w:rsidP="0085143C">
      <w:pPr>
        <w:numPr>
          <w:ilvl w:val="0"/>
          <w:numId w:val="3"/>
        </w:numPr>
        <w:spacing w:after="0" w:line="240" w:lineRule="auto"/>
        <w:contextualSpacing/>
        <w:jc w:val="both"/>
        <w:rPr>
          <w:rFonts w:ascii="Arial" w:hAnsi="Arial" w:cs="Arial"/>
          <w:sz w:val="20"/>
          <w:szCs w:val="20"/>
        </w:rPr>
      </w:pPr>
      <w:r w:rsidRPr="0085143C">
        <w:rPr>
          <w:rFonts w:ascii="Arial" w:hAnsi="Arial" w:cs="Arial"/>
          <w:sz w:val="20"/>
          <w:szCs w:val="20"/>
        </w:rPr>
        <w:t>The Committee recommends that the Civilian Secretariat improves its relationship with the DPCI Judge.</w:t>
      </w:r>
    </w:p>
    <w:p w:rsidR="00162DCA" w:rsidRPr="0085143C" w:rsidRDefault="00162DCA" w:rsidP="0085143C">
      <w:pPr>
        <w:spacing w:after="0" w:line="240" w:lineRule="auto"/>
        <w:ind w:left="360"/>
        <w:contextualSpacing/>
        <w:jc w:val="both"/>
        <w:rPr>
          <w:rFonts w:ascii="Arial" w:hAnsi="Arial" w:cs="Arial"/>
          <w:sz w:val="20"/>
          <w:szCs w:val="20"/>
        </w:rPr>
      </w:pPr>
    </w:p>
    <w:p w:rsidR="00162DCA" w:rsidRPr="0085143C" w:rsidRDefault="00162DCA" w:rsidP="0085143C">
      <w:pPr>
        <w:spacing w:after="0" w:line="240" w:lineRule="auto"/>
        <w:jc w:val="both"/>
        <w:rPr>
          <w:rFonts w:ascii="Arial" w:hAnsi="Arial" w:cs="Arial"/>
          <w:b/>
          <w:sz w:val="20"/>
          <w:szCs w:val="20"/>
        </w:rPr>
      </w:pPr>
      <w:r w:rsidRPr="0085143C">
        <w:rPr>
          <w:rFonts w:ascii="Arial" w:hAnsi="Arial" w:cs="Arial"/>
          <w:b/>
          <w:sz w:val="20"/>
          <w:szCs w:val="20"/>
        </w:rPr>
        <w:t xml:space="preserve">7. </w:t>
      </w:r>
      <w:r w:rsidR="004C560E" w:rsidRPr="0085143C">
        <w:rPr>
          <w:rFonts w:ascii="Arial" w:hAnsi="Arial" w:cs="Arial"/>
          <w:b/>
          <w:sz w:val="20"/>
          <w:szCs w:val="20"/>
        </w:rPr>
        <w:tab/>
      </w:r>
      <w:r w:rsidRPr="0085143C">
        <w:rPr>
          <w:rFonts w:ascii="Arial" w:hAnsi="Arial" w:cs="Arial"/>
          <w:b/>
          <w:sz w:val="20"/>
          <w:szCs w:val="20"/>
        </w:rPr>
        <w:t>CONCLUSION</w:t>
      </w:r>
    </w:p>
    <w:p w:rsidR="00E50B80" w:rsidRPr="0085143C" w:rsidRDefault="00E50B80" w:rsidP="0085143C">
      <w:pPr>
        <w:spacing w:after="0" w:line="240" w:lineRule="auto"/>
        <w:jc w:val="both"/>
        <w:rPr>
          <w:rFonts w:ascii="Arial" w:hAnsi="Arial" w:cs="Arial"/>
          <w:b/>
          <w:sz w:val="20"/>
          <w:szCs w:val="20"/>
        </w:rPr>
      </w:pPr>
    </w:p>
    <w:p w:rsidR="00E50B80" w:rsidRPr="0085143C" w:rsidRDefault="00E50B80" w:rsidP="0085143C">
      <w:pPr>
        <w:spacing w:after="0" w:line="240" w:lineRule="auto"/>
        <w:jc w:val="both"/>
        <w:rPr>
          <w:rFonts w:ascii="Arial" w:hAnsi="Arial" w:cs="Arial"/>
          <w:sz w:val="20"/>
          <w:szCs w:val="20"/>
        </w:rPr>
      </w:pPr>
      <w:r w:rsidRPr="0085143C">
        <w:rPr>
          <w:rFonts w:ascii="Arial" w:hAnsi="Arial" w:cs="Arial"/>
          <w:sz w:val="20"/>
          <w:szCs w:val="20"/>
        </w:rPr>
        <w:t xml:space="preserve">The Portfolio </w:t>
      </w:r>
      <w:r w:rsidR="005706CE" w:rsidRPr="0085143C">
        <w:rPr>
          <w:rFonts w:ascii="Arial" w:hAnsi="Arial" w:cs="Arial"/>
          <w:sz w:val="20"/>
          <w:szCs w:val="20"/>
        </w:rPr>
        <w:t>Committee</w:t>
      </w:r>
      <w:r w:rsidRPr="0085143C">
        <w:rPr>
          <w:rFonts w:ascii="Arial" w:hAnsi="Arial" w:cs="Arial"/>
          <w:sz w:val="20"/>
          <w:szCs w:val="20"/>
        </w:rPr>
        <w:t xml:space="preserve"> on Police has for the first time considered the Budget, APP and Strategic Plan (2020-2025) of the Civilian Secretariat for Police under very different circumstances. The effects and impact of the COVID-19 pandemic has forced the Committee to conduct virtual meetings with the departments it oversees. </w:t>
      </w:r>
    </w:p>
    <w:p w:rsidR="00E50B80" w:rsidRPr="0085143C" w:rsidRDefault="00E50B80" w:rsidP="0085143C">
      <w:pPr>
        <w:spacing w:after="0" w:line="240" w:lineRule="auto"/>
        <w:jc w:val="both"/>
        <w:rPr>
          <w:rFonts w:ascii="Arial" w:hAnsi="Arial" w:cs="Arial"/>
          <w:sz w:val="20"/>
          <w:szCs w:val="20"/>
        </w:rPr>
      </w:pPr>
    </w:p>
    <w:p w:rsidR="004C560E" w:rsidRPr="0085143C" w:rsidRDefault="00E50B80" w:rsidP="0085143C">
      <w:pPr>
        <w:spacing w:after="0" w:line="240" w:lineRule="auto"/>
        <w:jc w:val="both"/>
        <w:rPr>
          <w:rFonts w:ascii="Arial" w:hAnsi="Arial" w:cs="Arial"/>
          <w:sz w:val="20"/>
          <w:szCs w:val="20"/>
        </w:rPr>
      </w:pPr>
      <w:r w:rsidRPr="0085143C">
        <w:rPr>
          <w:rFonts w:ascii="Arial" w:hAnsi="Arial" w:cs="Arial"/>
          <w:sz w:val="20"/>
          <w:szCs w:val="20"/>
        </w:rPr>
        <w:t xml:space="preserve">The engagement with the Department has been welcomed by the Committee and the Civilian Secretariat </w:t>
      </w:r>
      <w:r w:rsidR="004471E8" w:rsidRPr="0085143C">
        <w:rPr>
          <w:rFonts w:ascii="Arial" w:hAnsi="Arial" w:cs="Arial"/>
          <w:sz w:val="20"/>
          <w:szCs w:val="20"/>
        </w:rPr>
        <w:t xml:space="preserve">was </w:t>
      </w:r>
      <w:r w:rsidRPr="0085143C">
        <w:rPr>
          <w:rFonts w:ascii="Arial" w:hAnsi="Arial" w:cs="Arial"/>
          <w:sz w:val="20"/>
          <w:szCs w:val="20"/>
        </w:rPr>
        <w:t xml:space="preserve">encouraged to strengthen the community partnerships with the police and particularly </w:t>
      </w:r>
      <w:r w:rsidR="004471E8" w:rsidRPr="0085143C">
        <w:rPr>
          <w:rFonts w:ascii="Arial" w:hAnsi="Arial" w:cs="Arial"/>
          <w:sz w:val="20"/>
          <w:szCs w:val="20"/>
        </w:rPr>
        <w:t>CPFs.</w:t>
      </w:r>
    </w:p>
    <w:p w:rsidR="004471E8" w:rsidRPr="0085143C" w:rsidRDefault="004471E8" w:rsidP="0085143C">
      <w:pPr>
        <w:spacing w:after="0" w:line="240" w:lineRule="auto"/>
        <w:jc w:val="both"/>
        <w:rPr>
          <w:rFonts w:ascii="Arial" w:hAnsi="Arial" w:cs="Arial"/>
          <w:sz w:val="20"/>
          <w:szCs w:val="20"/>
        </w:rPr>
      </w:pPr>
    </w:p>
    <w:p w:rsidR="00E50B80" w:rsidRPr="0085143C" w:rsidRDefault="00E50B80" w:rsidP="0085143C">
      <w:pPr>
        <w:spacing w:after="0" w:line="240" w:lineRule="auto"/>
        <w:jc w:val="both"/>
        <w:rPr>
          <w:rFonts w:ascii="Arial" w:hAnsi="Arial" w:cs="Arial"/>
          <w:sz w:val="20"/>
          <w:szCs w:val="20"/>
        </w:rPr>
      </w:pPr>
      <w:r w:rsidRPr="0085143C">
        <w:rPr>
          <w:rFonts w:ascii="Arial" w:hAnsi="Arial" w:cs="Arial"/>
          <w:sz w:val="20"/>
          <w:szCs w:val="20"/>
        </w:rPr>
        <w:t xml:space="preserve">The Committee was further encouraged by the Deputy Minister who promised to have the issue of CPF involvement and support for police officers during the lockdown period through classification </w:t>
      </w:r>
      <w:r w:rsidR="001651D1" w:rsidRPr="0085143C">
        <w:rPr>
          <w:rFonts w:ascii="Arial" w:hAnsi="Arial" w:cs="Arial"/>
          <w:sz w:val="20"/>
          <w:szCs w:val="20"/>
        </w:rPr>
        <w:t>of CPFs as emergency workers,</w:t>
      </w:r>
      <w:r w:rsidRPr="0085143C">
        <w:rPr>
          <w:rFonts w:ascii="Arial" w:hAnsi="Arial" w:cs="Arial"/>
          <w:sz w:val="20"/>
          <w:szCs w:val="20"/>
        </w:rPr>
        <w:t xml:space="preserve"> facilitated by the Civilian Secretariat. The Portfolio Committee on Police supports Budget Vote 21 of the Civilian Secretariat for Police Services and recommends the budget be adopted. </w:t>
      </w:r>
    </w:p>
    <w:p w:rsidR="004D4F97" w:rsidRPr="0085143C" w:rsidRDefault="004D4F97" w:rsidP="0085143C">
      <w:pPr>
        <w:spacing w:after="0" w:line="240" w:lineRule="auto"/>
        <w:jc w:val="both"/>
        <w:rPr>
          <w:rFonts w:ascii="Arial" w:hAnsi="Arial" w:cs="Arial"/>
          <w:sz w:val="20"/>
          <w:szCs w:val="20"/>
        </w:rPr>
      </w:pPr>
    </w:p>
    <w:p w:rsidR="004D4F97" w:rsidRPr="0085143C" w:rsidRDefault="004D4F97" w:rsidP="0085143C">
      <w:pPr>
        <w:spacing w:after="0" w:line="240" w:lineRule="auto"/>
        <w:jc w:val="both"/>
        <w:rPr>
          <w:rFonts w:ascii="Arial" w:hAnsi="Arial" w:cs="Arial"/>
          <w:sz w:val="20"/>
          <w:szCs w:val="20"/>
        </w:rPr>
      </w:pPr>
      <w:r w:rsidRPr="0085143C">
        <w:rPr>
          <w:rFonts w:ascii="Arial" w:hAnsi="Arial" w:cs="Arial"/>
          <w:sz w:val="20"/>
          <w:szCs w:val="20"/>
        </w:rPr>
        <w:t>The Democratic Alliance and the Economic Freedom Fighters reserved its rights with respect to the adoption of the report.</w:t>
      </w:r>
    </w:p>
    <w:p w:rsidR="004C560E" w:rsidRPr="0085143C" w:rsidRDefault="004C560E" w:rsidP="0085143C">
      <w:pPr>
        <w:spacing w:after="0" w:line="240" w:lineRule="auto"/>
        <w:jc w:val="both"/>
        <w:rPr>
          <w:rFonts w:ascii="Arial" w:hAnsi="Arial" w:cs="Arial"/>
          <w:b/>
          <w:sz w:val="20"/>
          <w:szCs w:val="20"/>
        </w:rPr>
      </w:pPr>
    </w:p>
    <w:p w:rsidR="00486F13" w:rsidRPr="0085143C" w:rsidRDefault="00E50B80" w:rsidP="0085143C">
      <w:pPr>
        <w:spacing w:after="0" w:line="240" w:lineRule="auto"/>
        <w:jc w:val="both"/>
        <w:rPr>
          <w:rFonts w:ascii="Arial" w:hAnsi="Arial" w:cs="Arial"/>
          <w:b/>
          <w:sz w:val="20"/>
          <w:szCs w:val="20"/>
        </w:rPr>
      </w:pPr>
      <w:r w:rsidRPr="0085143C">
        <w:rPr>
          <w:rFonts w:ascii="Arial" w:hAnsi="Arial" w:cs="Arial"/>
          <w:b/>
          <w:sz w:val="20"/>
          <w:szCs w:val="20"/>
        </w:rPr>
        <w:t xml:space="preserve">Report to be considered.  </w:t>
      </w:r>
    </w:p>
    <w:p w:rsidR="005706CE" w:rsidRPr="0085143C" w:rsidRDefault="005706CE" w:rsidP="0085143C">
      <w:pPr>
        <w:spacing w:after="0" w:line="240" w:lineRule="auto"/>
        <w:jc w:val="both"/>
        <w:rPr>
          <w:rFonts w:ascii="Arial" w:hAnsi="Arial" w:cs="Arial"/>
          <w:b/>
          <w:sz w:val="20"/>
          <w:szCs w:val="20"/>
        </w:rPr>
      </w:pPr>
    </w:p>
    <w:p w:rsidR="00162DCA" w:rsidRPr="0085143C" w:rsidRDefault="00162DCA" w:rsidP="0085143C">
      <w:pPr>
        <w:spacing w:after="0" w:line="240" w:lineRule="auto"/>
        <w:jc w:val="both"/>
        <w:rPr>
          <w:rFonts w:ascii="Arial" w:hAnsi="Arial" w:cs="Arial"/>
          <w:sz w:val="20"/>
          <w:szCs w:val="20"/>
        </w:rPr>
      </w:pPr>
    </w:p>
    <w:sectPr w:rsidR="00162DCA" w:rsidRPr="0085143C" w:rsidSect="00A92A9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D5E" w:rsidRDefault="008B5D5E">
      <w:pPr>
        <w:spacing w:after="0" w:line="240" w:lineRule="auto"/>
      </w:pPr>
      <w:r>
        <w:separator/>
      </w:r>
    </w:p>
  </w:endnote>
  <w:endnote w:type="continuationSeparator" w:id="1">
    <w:p w:rsidR="008B5D5E" w:rsidRDefault="008B5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74943"/>
      <w:docPartObj>
        <w:docPartGallery w:val="Page Numbers (Bottom of Page)"/>
        <w:docPartUnique/>
      </w:docPartObj>
    </w:sdtPr>
    <w:sdtEndPr>
      <w:rPr>
        <w:noProof/>
      </w:rPr>
    </w:sdtEndPr>
    <w:sdtContent>
      <w:p w:rsidR="0085143C" w:rsidRDefault="0085143C">
        <w:pPr>
          <w:pStyle w:val="Footer"/>
          <w:jc w:val="center"/>
        </w:pPr>
        <w:fldSimple w:instr=" PAGE   \* MERGEFORMAT ">
          <w:r w:rsidR="000A126B">
            <w:rPr>
              <w:noProof/>
            </w:rPr>
            <w:t>1</w:t>
          </w:r>
        </w:fldSimple>
      </w:p>
    </w:sdtContent>
  </w:sdt>
  <w:p w:rsidR="0085143C" w:rsidRDefault="008514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D5E" w:rsidRDefault="008B5D5E">
      <w:pPr>
        <w:spacing w:after="0" w:line="240" w:lineRule="auto"/>
      </w:pPr>
      <w:r>
        <w:separator/>
      </w:r>
    </w:p>
  </w:footnote>
  <w:footnote w:type="continuationSeparator" w:id="1">
    <w:p w:rsidR="008B5D5E" w:rsidRDefault="008B5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582"/>
    <w:multiLevelType w:val="hybridMultilevel"/>
    <w:tmpl w:val="51547E04"/>
    <w:lvl w:ilvl="0" w:tplc="5EA65A2A">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0B3793"/>
    <w:multiLevelType w:val="hybridMultilevel"/>
    <w:tmpl w:val="5B4629F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0638AA"/>
    <w:multiLevelType w:val="hybridMultilevel"/>
    <w:tmpl w:val="0AF83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69251D"/>
    <w:multiLevelType w:val="hybridMultilevel"/>
    <w:tmpl w:val="0C66F1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F7599B"/>
    <w:multiLevelType w:val="hybridMultilevel"/>
    <w:tmpl w:val="9BB63B4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69341A6"/>
    <w:multiLevelType w:val="hybridMultilevel"/>
    <w:tmpl w:val="E5A8E7EC"/>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6">
    <w:nsid w:val="195A37DE"/>
    <w:multiLevelType w:val="hybridMultilevel"/>
    <w:tmpl w:val="14DEF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9FA4AC1"/>
    <w:multiLevelType w:val="hybridMultilevel"/>
    <w:tmpl w:val="A7EEFCC2"/>
    <w:lvl w:ilvl="0" w:tplc="1C090011">
      <w:start w:val="1"/>
      <w:numFmt w:val="decimal"/>
      <w:lvlText w:val="%1)"/>
      <w:lvlJc w:val="left"/>
      <w:pPr>
        <w:ind w:left="6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6C7AC0"/>
    <w:multiLevelType w:val="hybridMultilevel"/>
    <w:tmpl w:val="FE22E6B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ED2457"/>
    <w:multiLevelType w:val="hybridMultilevel"/>
    <w:tmpl w:val="971A4FC2"/>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10">
    <w:nsid w:val="2B0176E6"/>
    <w:multiLevelType w:val="hybridMultilevel"/>
    <w:tmpl w:val="8D5A5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13C7A38"/>
    <w:multiLevelType w:val="hybridMultilevel"/>
    <w:tmpl w:val="21E46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7809B7"/>
    <w:multiLevelType w:val="hybridMultilevel"/>
    <w:tmpl w:val="B266921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C040FD"/>
    <w:multiLevelType w:val="hybridMultilevel"/>
    <w:tmpl w:val="E2C08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4CE5604"/>
    <w:multiLevelType w:val="hybridMultilevel"/>
    <w:tmpl w:val="57782400"/>
    <w:lvl w:ilvl="0" w:tplc="5EA65A2A">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7182773"/>
    <w:multiLevelType w:val="hybridMultilevel"/>
    <w:tmpl w:val="4AB8E46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A376CCE"/>
    <w:multiLevelType w:val="hybridMultilevel"/>
    <w:tmpl w:val="D264F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29C03CA"/>
    <w:multiLevelType w:val="hybridMultilevel"/>
    <w:tmpl w:val="FB404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34431E9"/>
    <w:multiLevelType w:val="hybridMultilevel"/>
    <w:tmpl w:val="DFA0C1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8AD2573"/>
    <w:multiLevelType w:val="hybridMultilevel"/>
    <w:tmpl w:val="CB6A4CA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9EF6619"/>
    <w:multiLevelType w:val="hybridMultilevel"/>
    <w:tmpl w:val="89DC3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B257280"/>
    <w:multiLevelType w:val="hybridMultilevel"/>
    <w:tmpl w:val="EECA3B90"/>
    <w:lvl w:ilvl="0" w:tplc="5EA65A2A">
      <w:start w:val="1"/>
      <w:numFmt w:val="bullet"/>
      <w:lvlText w:val=""/>
      <w:lvlJc w:val="left"/>
      <w:pPr>
        <w:tabs>
          <w:tab w:val="num" w:pos="720"/>
        </w:tabs>
        <w:ind w:left="720" w:hanging="360"/>
      </w:pPr>
      <w:rPr>
        <w:rFonts w:ascii="Wingdings" w:hAnsi="Wingdings" w:hint="default"/>
      </w:rPr>
    </w:lvl>
    <w:lvl w:ilvl="1" w:tplc="748A77E2" w:tentative="1">
      <w:start w:val="1"/>
      <w:numFmt w:val="bullet"/>
      <w:lvlText w:val=""/>
      <w:lvlJc w:val="left"/>
      <w:pPr>
        <w:tabs>
          <w:tab w:val="num" w:pos="1440"/>
        </w:tabs>
        <w:ind w:left="1440" w:hanging="360"/>
      </w:pPr>
      <w:rPr>
        <w:rFonts w:ascii="Wingdings" w:hAnsi="Wingdings" w:hint="default"/>
      </w:rPr>
    </w:lvl>
    <w:lvl w:ilvl="2" w:tplc="921E2176" w:tentative="1">
      <w:start w:val="1"/>
      <w:numFmt w:val="bullet"/>
      <w:lvlText w:val=""/>
      <w:lvlJc w:val="left"/>
      <w:pPr>
        <w:tabs>
          <w:tab w:val="num" w:pos="2160"/>
        </w:tabs>
        <w:ind w:left="2160" w:hanging="360"/>
      </w:pPr>
      <w:rPr>
        <w:rFonts w:ascii="Wingdings" w:hAnsi="Wingdings" w:hint="default"/>
      </w:rPr>
    </w:lvl>
    <w:lvl w:ilvl="3" w:tplc="1B5AB9A4" w:tentative="1">
      <w:start w:val="1"/>
      <w:numFmt w:val="bullet"/>
      <w:lvlText w:val=""/>
      <w:lvlJc w:val="left"/>
      <w:pPr>
        <w:tabs>
          <w:tab w:val="num" w:pos="2880"/>
        </w:tabs>
        <w:ind w:left="2880" w:hanging="360"/>
      </w:pPr>
      <w:rPr>
        <w:rFonts w:ascii="Wingdings" w:hAnsi="Wingdings" w:hint="default"/>
      </w:rPr>
    </w:lvl>
    <w:lvl w:ilvl="4" w:tplc="5882FA12" w:tentative="1">
      <w:start w:val="1"/>
      <w:numFmt w:val="bullet"/>
      <w:lvlText w:val=""/>
      <w:lvlJc w:val="left"/>
      <w:pPr>
        <w:tabs>
          <w:tab w:val="num" w:pos="3600"/>
        </w:tabs>
        <w:ind w:left="3600" w:hanging="360"/>
      </w:pPr>
      <w:rPr>
        <w:rFonts w:ascii="Wingdings" w:hAnsi="Wingdings" w:hint="default"/>
      </w:rPr>
    </w:lvl>
    <w:lvl w:ilvl="5" w:tplc="1E8C568A" w:tentative="1">
      <w:start w:val="1"/>
      <w:numFmt w:val="bullet"/>
      <w:lvlText w:val=""/>
      <w:lvlJc w:val="left"/>
      <w:pPr>
        <w:tabs>
          <w:tab w:val="num" w:pos="4320"/>
        </w:tabs>
        <w:ind w:left="4320" w:hanging="360"/>
      </w:pPr>
      <w:rPr>
        <w:rFonts w:ascii="Wingdings" w:hAnsi="Wingdings" w:hint="default"/>
      </w:rPr>
    </w:lvl>
    <w:lvl w:ilvl="6" w:tplc="67A48D06" w:tentative="1">
      <w:start w:val="1"/>
      <w:numFmt w:val="bullet"/>
      <w:lvlText w:val=""/>
      <w:lvlJc w:val="left"/>
      <w:pPr>
        <w:tabs>
          <w:tab w:val="num" w:pos="5040"/>
        </w:tabs>
        <w:ind w:left="5040" w:hanging="360"/>
      </w:pPr>
      <w:rPr>
        <w:rFonts w:ascii="Wingdings" w:hAnsi="Wingdings" w:hint="default"/>
      </w:rPr>
    </w:lvl>
    <w:lvl w:ilvl="7" w:tplc="8F702B4A" w:tentative="1">
      <w:start w:val="1"/>
      <w:numFmt w:val="bullet"/>
      <w:lvlText w:val=""/>
      <w:lvlJc w:val="left"/>
      <w:pPr>
        <w:tabs>
          <w:tab w:val="num" w:pos="5760"/>
        </w:tabs>
        <w:ind w:left="5760" w:hanging="360"/>
      </w:pPr>
      <w:rPr>
        <w:rFonts w:ascii="Wingdings" w:hAnsi="Wingdings" w:hint="default"/>
      </w:rPr>
    </w:lvl>
    <w:lvl w:ilvl="8" w:tplc="1CB6F06A" w:tentative="1">
      <w:start w:val="1"/>
      <w:numFmt w:val="bullet"/>
      <w:lvlText w:val=""/>
      <w:lvlJc w:val="left"/>
      <w:pPr>
        <w:tabs>
          <w:tab w:val="num" w:pos="6480"/>
        </w:tabs>
        <w:ind w:left="6480" w:hanging="360"/>
      </w:pPr>
      <w:rPr>
        <w:rFonts w:ascii="Wingdings" w:hAnsi="Wingdings" w:hint="default"/>
      </w:rPr>
    </w:lvl>
  </w:abstractNum>
  <w:abstractNum w:abstractNumId="22">
    <w:nsid w:val="5BC67C02"/>
    <w:multiLevelType w:val="hybridMultilevel"/>
    <w:tmpl w:val="4112AE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1025CA1"/>
    <w:multiLevelType w:val="hybridMultilevel"/>
    <w:tmpl w:val="9E0013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52A36C0"/>
    <w:multiLevelType w:val="hybridMultilevel"/>
    <w:tmpl w:val="5D286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F0C788F"/>
    <w:multiLevelType w:val="hybridMultilevel"/>
    <w:tmpl w:val="C6146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F6705B5"/>
    <w:multiLevelType w:val="hybridMultilevel"/>
    <w:tmpl w:val="BD16A0F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9D76F10"/>
    <w:multiLevelType w:val="hybridMultilevel"/>
    <w:tmpl w:val="7AFED1C4"/>
    <w:lvl w:ilvl="0" w:tplc="1C090011">
      <w:start w:val="1"/>
      <w:numFmt w:val="decimal"/>
      <w:lvlText w:val="%1)"/>
      <w:lvlJc w:val="left"/>
      <w:pPr>
        <w:ind w:left="6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DCB34E3"/>
    <w:multiLevelType w:val="hybridMultilevel"/>
    <w:tmpl w:val="5C023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2"/>
  </w:num>
  <w:num w:numId="5">
    <w:abstractNumId w:val="10"/>
  </w:num>
  <w:num w:numId="6">
    <w:abstractNumId w:val="12"/>
  </w:num>
  <w:num w:numId="7">
    <w:abstractNumId w:val="21"/>
  </w:num>
  <w:num w:numId="8">
    <w:abstractNumId w:val="13"/>
  </w:num>
  <w:num w:numId="9">
    <w:abstractNumId w:val="20"/>
  </w:num>
  <w:num w:numId="10">
    <w:abstractNumId w:val="1"/>
  </w:num>
  <w:num w:numId="11">
    <w:abstractNumId w:val="25"/>
  </w:num>
  <w:num w:numId="12">
    <w:abstractNumId w:val="27"/>
  </w:num>
  <w:num w:numId="13">
    <w:abstractNumId w:val="7"/>
  </w:num>
  <w:num w:numId="14">
    <w:abstractNumId w:val="3"/>
  </w:num>
  <w:num w:numId="15">
    <w:abstractNumId w:val="24"/>
  </w:num>
  <w:num w:numId="16">
    <w:abstractNumId w:val="8"/>
  </w:num>
  <w:num w:numId="17">
    <w:abstractNumId w:val="22"/>
  </w:num>
  <w:num w:numId="18">
    <w:abstractNumId w:val="17"/>
  </w:num>
  <w:num w:numId="19">
    <w:abstractNumId w:val="11"/>
  </w:num>
  <w:num w:numId="20">
    <w:abstractNumId w:val="23"/>
  </w:num>
  <w:num w:numId="21">
    <w:abstractNumId w:val="0"/>
  </w:num>
  <w:num w:numId="22">
    <w:abstractNumId w:val="9"/>
  </w:num>
  <w:num w:numId="23">
    <w:abstractNumId w:val="14"/>
  </w:num>
  <w:num w:numId="24">
    <w:abstractNumId w:val="16"/>
  </w:num>
  <w:num w:numId="25">
    <w:abstractNumId w:val="28"/>
  </w:num>
  <w:num w:numId="26">
    <w:abstractNumId w:val="26"/>
  </w:num>
  <w:num w:numId="27">
    <w:abstractNumId w:val="19"/>
  </w:num>
  <w:num w:numId="28">
    <w:abstractNumId w:val="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62DCA"/>
    <w:rsid w:val="000066BF"/>
    <w:rsid w:val="0006268A"/>
    <w:rsid w:val="00072165"/>
    <w:rsid w:val="000A126B"/>
    <w:rsid w:val="000F4EC5"/>
    <w:rsid w:val="00122FD9"/>
    <w:rsid w:val="00157B4E"/>
    <w:rsid w:val="00162DCA"/>
    <w:rsid w:val="001651D1"/>
    <w:rsid w:val="00220CCF"/>
    <w:rsid w:val="002410B1"/>
    <w:rsid w:val="00260457"/>
    <w:rsid w:val="0029032D"/>
    <w:rsid w:val="002D6C39"/>
    <w:rsid w:val="002E1208"/>
    <w:rsid w:val="00325B2E"/>
    <w:rsid w:val="00341FC9"/>
    <w:rsid w:val="0035784C"/>
    <w:rsid w:val="00391E7D"/>
    <w:rsid w:val="00393AD7"/>
    <w:rsid w:val="003B4910"/>
    <w:rsid w:val="00401A9D"/>
    <w:rsid w:val="0041080E"/>
    <w:rsid w:val="00411694"/>
    <w:rsid w:val="00443642"/>
    <w:rsid w:val="004442C5"/>
    <w:rsid w:val="004471E8"/>
    <w:rsid w:val="00451C93"/>
    <w:rsid w:val="00486F13"/>
    <w:rsid w:val="004C560E"/>
    <w:rsid w:val="004D4F97"/>
    <w:rsid w:val="005154DC"/>
    <w:rsid w:val="00545CA1"/>
    <w:rsid w:val="00562C59"/>
    <w:rsid w:val="005706CE"/>
    <w:rsid w:val="00591161"/>
    <w:rsid w:val="00593AF0"/>
    <w:rsid w:val="0059683E"/>
    <w:rsid w:val="005C511D"/>
    <w:rsid w:val="005D76DA"/>
    <w:rsid w:val="00611F80"/>
    <w:rsid w:val="00624F4D"/>
    <w:rsid w:val="006917E6"/>
    <w:rsid w:val="006D0D0F"/>
    <w:rsid w:val="006E044E"/>
    <w:rsid w:val="006F6BCE"/>
    <w:rsid w:val="00725CB6"/>
    <w:rsid w:val="0073093D"/>
    <w:rsid w:val="007878D4"/>
    <w:rsid w:val="007A4542"/>
    <w:rsid w:val="007A5FC4"/>
    <w:rsid w:val="007F24E4"/>
    <w:rsid w:val="007F624F"/>
    <w:rsid w:val="0085143C"/>
    <w:rsid w:val="00855087"/>
    <w:rsid w:val="008908C6"/>
    <w:rsid w:val="008978DC"/>
    <w:rsid w:val="008A4DC5"/>
    <w:rsid w:val="008B5D5E"/>
    <w:rsid w:val="008B7C23"/>
    <w:rsid w:val="008C2ABA"/>
    <w:rsid w:val="008C2D9A"/>
    <w:rsid w:val="00906E1D"/>
    <w:rsid w:val="0096549E"/>
    <w:rsid w:val="009A757D"/>
    <w:rsid w:val="009C1236"/>
    <w:rsid w:val="009D3FC1"/>
    <w:rsid w:val="009D45BD"/>
    <w:rsid w:val="00A02D10"/>
    <w:rsid w:val="00A257F6"/>
    <w:rsid w:val="00A441F1"/>
    <w:rsid w:val="00A92A99"/>
    <w:rsid w:val="00AA73F8"/>
    <w:rsid w:val="00AD50AF"/>
    <w:rsid w:val="00AF6427"/>
    <w:rsid w:val="00B06A54"/>
    <w:rsid w:val="00B24917"/>
    <w:rsid w:val="00B27CCF"/>
    <w:rsid w:val="00B36FB4"/>
    <w:rsid w:val="00B37315"/>
    <w:rsid w:val="00B44773"/>
    <w:rsid w:val="00B51104"/>
    <w:rsid w:val="00B556BB"/>
    <w:rsid w:val="00B92600"/>
    <w:rsid w:val="00BA74E2"/>
    <w:rsid w:val="00C15A3F"/>
    <w:rsid w:val="00C46E1F"/>
    <w:rsid w:val="00C7609D"/>
    <w:rsid w:val="00C86E2F"/>
    <w:rsid w:val="00CB1C0A"/>
    <w:rsid w:val="00CD2470"/>
    <w:rsid w:val="00CE0A99"/>
    <w:rsid w:val="00D66982"/>
    <w:rsid w:val="00DB5EFD"/>
    <w:rsid w:val="00E40696"/>
    <w:rsid w:val="00E50B80"/>
    <w:rsid w:val="00EC4482"/>
    <w:rsid w:val="00EE01BC"/>
    <w:rsid w:val="00EE6BCB"/>
    <w:rsid w:val="00F03129"/>
    <w:rsid w:val="00F06F2A"/>
    <w:rsid w:val="00F41723"/>
    <w:rsid w:val="00F531C1"/>
    <w:rsid w:val="00F81FA7"/>
    <w:rsid w:val="00F97247"/>
    <w:rsid w:val="00FA2618"/>
    <w:rsid w:val="00FB4379"/>
    <w:rsid w:val="00FB7A77"/>
    <w:rsid w:val="00FC6DA2"/>
    <w:rsid w:val="00FE10B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2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DCA"/>
  </w:style>
  <w:style w:type="paragraph" w:styleId="ListParagraph">
    <w:name w:val="List Paragraph"/>
    <w:basedOn w:val="Normal"/>
    <w:uiPriority w:val="34"/>
    <w:qFormat/>
    <w:rsid w:val="00162DCA"/>
    <w:pPr>
      <w:ind w:left="720"/>
      <w:contextualSpacing/>
    </w:pPr>
  </w:style>
  <w:style w:type="paragraph" w:styleId="Header">
    <w:name w:val="header"/>
    <w:basedOn w:val="Normal"/>
    <w:link w:val="HeaderChar"/>
    <w:uiPriority w:val="99"/>
    <w:unhideWhenUsed/>
    <w:rsid w:val="00162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DCA"/>
  </w:style>
  <w:style w:type="paragraph" w:customStyle="1" w:styleId="Default">
    <w:name w:val="Default"/>
    <w:rsid w:val="0035784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24917"/>
    <w:rPr>
      <w:sz w:val="16"/>
      <w:szCs w:val="16"/>
    </w:rPr>
  </w:style>
  <w:style w:type="paragraph" w:styleId="CommentText">
    <w:name w:val="annotation text"/>
    <w:basedOn w:val="Normal"/>
    <w:link w:val="CommentTextChar"/>
    <w:uiPriority w:val="99"/>
    <w:semiHidden/>
    <w:unhideWhenUsed/>
    <w:rsid w:val="00B24917"/>
    <w:pPr>
      <w:spacing w:line="240" w:lineRule="auto"/>
    </w:pPr>
    <w:rPr>
      <w:sz w:val="20"/>
      <w:szCs w:val="20"/>
    </w:rPr>
  </w:style>
  <w:style w:type="character" w:customStyle="1" w:styleId="CommentTextChar">
    <w:name w:val="Comment Text Char"/>
    <w:basedOn w:val="DefaultParagraphFont"/>
    <w:link w:val="CommentText"/>
    <w:uiPriority w:val="99"/>
    <w:semiHidden/>
    <w:rsid w:val="00B24917"/>
    <w:rPr>
      <w:sz w:val="20"/>
      <w:szCs w:val="20"/>
    </w:rPr>
  </w:style>
  <w:style w:type="paragraph" w:styleId="CommentSubject">
    <w:name w:val="annotation subject"/>
    <w:basedOn w:val="CommentText"/>
    <w:next w:val="CommentText"/>
    <w:link w:val="CommentSubjectChar"/>
    <w:uiPriority w:val="99"/>
    <w:semiHidden/>
    <w:unhideWhenUsed/>
    <w:rsid w:val="00B24917"/>
    <w:rPr>
      <w:b/>
      <w:bCs/>
    </w:rPr>
  </w:style>
  <w:style w:type="character" w:customStyle="1" w:styleId="CommentSubjectChar">
    <w:name w:val="Comment Subject Char"/>
    <w:basedOn w:val="CommentTextChar"/>
    <w:link w:val="CommentSubject"/>
    <w:uiPriority w:val="99"/>
    <w:semiHidden/>
    <w:rsid w:val="00B24917"/>
    <w:rPr>
      <w:b/>
      <w:bCs/>
      <w:sz w:val="20"/>
      <w:szCs w:val="20"/>
    </w:rPr>
  </w:style>
  <w:style w:type="paragraph" w:styleId="BalloonText">
    <w:name w:val="Balloon Text"/>
    <w:basedOn w:val="Normal"/>
    <w:link w:val="BalloonTextChar"/>
    <w:uiPriority w:val="99"/>
    <w:semiHidden/>
    <w:unhideWhenUsed/>
    <w:rsid w:val="00B2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8918</Words>
  <Characters>50837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PMG User</cp:lastModifiedBy>
  <cp:revision>2</cp:revision>
  <dcterms:created xsi:type="dcterms:W3CDTF">2020-06-05T11:16:00Z</dcterms:created>
  <dcterms:modified xsi:type="dcterms:W3CDTF">2020-06-05T11:16:00Z</dcterms:modified>
</cp:coreProperties>
</file>