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72" w:rsidRPr="00EB6B72" w:rsidRDefault="00EB6B72" w:rsidP="00EB6B72">
      <w:pPr>
        <w:spacing w:line="276" w:lineRule="auto"/>
        <w:jc w:val="both"/>
        <w:rPr>
          <w:rFonts w:ascii="Times New Roman" w:hAnsi="Times New Roman" w:cs="Times New Roman"/>
          <w:b/>
          <w:sz w:val="24"/>
          <w:szCs w:val="24"/>
        </w:rPr>
      </w:pPr>
      <w:bookmarkStart w:id="0" w:name="_GoBack"/>
      <w:bookmarkEnd w:id="0"/>
      <w:r w:rsidRPr="00EB6B72">
        <w:rPr>
          <w:rFonts w:ascii="Times New Roman" w:hAnsi="Times New Roman" w:cs="Times New Roman"/>
          <w:b/>
          <w:sz w:val="24"/>
          <w:szCs w:val="24"/>
        </w:rPr>
        <w:t>REPORT OF THE PORTFOLIO COMMITTEE ON POLICE ON THE 20</w:t>
      </w:r>
      <w:r w:rsidR="00E041AF">
        <w:rPr>
          <w:rFonts w:ascii="Times New Roman" w:hAnsi="Times New Roman" w:cs="Times New Roman"/>
          <w:b/>
          <w:sz w:val="24"/>
          <w:szCs w:val="24"/>
        </w:rPr>
        <w:t>20</w:t>
      </w:r>
      <w:r w:rsidRPr="00EB6B72">
        <w:rPr>
          <w:rFonts w:ascii="Times New Roman" w:hAnsi="Times New Roman" w:cs="Times New Roman"/>
          <w:b/>
          <w:sz w:val="24"/>
          <w:szCs w:val="24"/>
        </w:rPr>
        <w:t>/2</w:t>
      </w:r>
      <w:r w:rsidR="00E041AF">
        <w:rPr>
          <w:rFonts w:ascii="Times New Roman" w:hAnsi="Times New Roman" w:cs="Times New Roman"/>
          <w:b/>
          <w:sz w:val="24"/>
          <w:szCs w:val="24"/>
        </w:rPr>
        <w:t>1</w:t>
      </w:r>
      <w:r w:rsidRPr="00EB6B72">
        <w:rPr>
          <w:rFonts w:ascii="Times New Roman" w:hAnsi="Times New Roman" w:cs="Times New Roman"/>
          <w:b/>
          <w:sz w:val="24"/>
          <w:szCs w:val="24"/>
        </w:rPr>
        <w:t xml:space="preserve"> BUDGET VOTE 2</w:t>
      </w:r>
      <w:r w:rsidR="000E786F">
        <w:rPr>
          <w:rFonts w:ascii="Times New Roman" w:hAnsi="Times New Roman" w:cs="Times New Roman"/>
          <w:b/>
          <w:sz w:val="24"/>
          <w:szCs w:val="24"/>
        </w:rPr>
        <w:t>4</w:t>
      </w:r>
      <w:r w:rsidRPr="00EB6B72">
        <w:rPr>
          <w:rFonts w:ascii="Times New Roman" w:hAnsi="Times New Roman" w:cs="Times New Roman"/>
          <w:b/>
          <w:sz w:val="24"/>
          <w:szCs w:val="24"/>
        </w:rPr>
        <w:t>, PERFORMANCE PLAN AND 20</w:t>
      </w:r>
      <w:r w:rsidR="00E041AF">
        <w:rPr>
          <w:rFonts w:ascii="Times New Roman" w:hAnsi="Times New Roman" w:cs="Times New Roman"/>
          <w:b/>
          <w:sz w:val="24"/>
          <w:szCs w:val="24"/>
        </w:rPr>
        <w:t xml:space="preserve">20 </w:t>
      </w:r>
      <w:r w:rsidRPr="00EB6B72">
        <w:rPr>
          <w:rFonts w:ascii="Times New Roman" w:hAnsi="Times New Roman" w:cs="Times New Roman"/>
          <w:b/>
          <w:sz w:val="24"/>
          <w:szCs w:val="24"/>
        </w:rPr>
        <w:t>-20</w:t>
      </w:r>
      <w:r w:rsidR="00E041AF">
        <w:rPr>
          <w:rFonts w:ascii="Times New Roman" w:hAnsi="Times New Roman" w:cs="Times New Roman"/>
          <w:b/>
          <w:sz w:val="24"/>
          <w:szCs w:val="24"/>
        </w:rPr>
        <w:t>25</w:t>
      </w:r>
      <w:r w:rsidRPr="00EB6B72">
        <w:rPr>
          <w:rFonts w:ascii="Times New Roman" w:hAnsi="Times New Roman" w:cs="Times New Roman"/>
          <w:b/>
          <w:sz w:val="24"/>
          <w:szCs w:val="24"/>
        </w:rPr>
        <w:t xml:space="preserve"> STRATEGIC PLAN OF THE INDEPENDENT POLICE INVESTIGATIVE DIRECTORATE (IPID), DATED </w:t>
      </w:r>
      <w:r w:rsidR="00E87595">
        <w:rPr>
          <w:rFonts w:ascii="Times New Roman" w:hAnsi="Times New Roman" w:cs="Times New Roman"/>
          <w:b/>
          <w:sz w:val="24"/>
          <w:szCs w:val="24"/>
        </w:rPr>
        <w:t>27</w:t>
      </w:r>
      <w:r w:rsidR="00E041AF">
        <w:rPr>
          <w:rFonts w:ascii="Times New Roman" w:hAnsi="Times New Roman" w:cs="Times New Roman"/>
          <w:b/>
          <w:sz w:val="24"/>
          <w:szCs w:val="24"/>
        </w:rPr>
        <w:t xml:space="preserve"> MAY </w:t>
      </w:r>
      <w:r w:rsidRPr="00EB6B72">
        <w:rPr>
          <w:rFonts w:ascii="Times New Roman" w:hAnsi="Times New Roman" w:cs="Times New Roman"/>
          <w:b/>
          <w:sz w:val="24"/>
          <w:szCs w:val="24"/>
        </w:rPr>
        <w:t>20</w:t>
      </w:r>
      <w:r w:rsidR="00E041AF">
        <w:rPr>
          <w:rFonts w:ascii="Times New Roman" w:hAnsi="Times New Roman" w:cs="Times New Roman"/>
          <w:b/>
          <w:sz w:val="24"/>
          <w:szCs w:val="24"/>
        </w:rPr>
        <w:t>20</w:t>
      </w:r>
    </w:p>
    <w:p w:rsidR="00EB6B72" w:rsidRPr="00EB6B72" w:rsidRDefault="00EB6B72" w:rsidP="00EB6B72">
      <w:pPr>
        <w:spacing w:line="276" w:lineRule="auto"/>
        <w:jc w:val="both"/>
        <w:rPr>
          <w:rFonts w:ascii="Times New Roman" w:hAnsi="Times New Roman" w:cs="Times New Roman"/>
          <w:sz w:val="24"/>
          <w:szCs w:val="24"/>
        </w:rPr>
      </w:pPr>
      <w:r w:rsidRPr="00EB6B72">
        <w:rPr>
          <w:rFonts w:ascii="Times New Roman" w:hAnsi="Times New Roman" w:cs="Times New Roman"/>
          <w:sz w:val="24"/>
          <w:szCs w:val="24"/>
        </w:rPr>
        <w:t>The Committee examined the Budget and Annual Performance Plan (APP) for the 20</w:t>
      </w:r>
      <w:r w:rsidR="00E041AF">
        <w:rPr>
          <w:rFonts w:ascii="Times New Roman" w:hAnsi="Times New Roman" w:cs="Times New Roman"/>
          <w:sz w:val="24"/>
          <w:szCs w:val="24"/>
        </w:rPr>
        <w:t>20</w:t>
      </w:r>
      <w:r w:rsidRPr="00EB6B72">
        <w:rPr>
          <w:rFonts w:ascii="Times New Roman" w:hAnsi="Times New Roman" w:cs="Times New Roman"/>
          <w:sz w:val="24"/>
          <w:szCs w:val="24"/>
        </w:rPr>
        <w:t>/2</w:t>
      </w:r>
      <w:r w:rsidR="00E041AF">
        <w:rPr>
          <w:rFonts w:ascii="Times New Roman" w:hAnsi="Times New Roman" w:cs="Times New Roman"/>
          <w:sz w:val="24"/>
          <w:szCs w:val="24"/>
        </w:rPr>
        <w:t>1</w:t>
      </w:r>
      <w:r w:rsidRPr="00EB6B72">
        <w:rPr>
          <w:rFonts w:ascii="Times New Roman" w:hAnsi="Times New Roman" w:cs="Times New Roman"/>
          <w:sz w:val="24"/>
          <w:szCs w:val="24"/>
        </w:rPr>
        <w:t xml:space="preserve"> financial year of the Independent Police Investigative Directorate (IPID). The Committee reports as follows:</w:t>
      </w:r>
    </w:p>
    <w:p w:rsidR="00EB6B72" w:rsidRPr="00EB6B72" w:rsidRDefault="00EB6B72" w:rsidP="00EB6B72">
      <w:pPr>
        <w:spacing w:line="276" w:lineRule="auto"/>
        <w:jc w:val="both"/>
        <w:rPr>
          <w:rFonts w:ascii="Times New Roman" w:hAnsi="Times New Roman" w:cs="Times New Roman"/>
          <w:sz w:val="24"/>
          <w:szCs w:val="24"/>
        </w:rPr>
      </w:pPr>
      <w:r w:rsidRPr="00EB6B72">
        <w:rPr>
          <w:rFonts w:ascii="Times New Roman" w:hAnsi="Times New Roman" w:cs="Times New Roman"/>
          <w:b/>
          <w:sz w:val="24"/>
          <w:szCs w:val="24"/>
        </w:rPr>
        <w:t>1</w:t>
      </w:r>
      <w:r w:rsidRPr="00EB6B72">
        <w:rPr>
          <w:rFonts w:ascii="Times New Roman" w:hAnsi="Times New Roman" w:cs="Times New Roman"/>
          <w:sz w:val="24"/>
          <w:szCs w:val="24"/>
        </w:rPr>
        <w:t>.</w:t>
      </w:r>
      <w:r w:rsidRPr="00EB6B72">
        <w:rPr>
          <w:rFonts w:ascii="Times New Roman" w:hAnsi="Times New Roman" w:cs="Times New Roman"/>
          <w:sz w:val="24"/>
          <w:szCs w:val="24"/>
        </w:rPr>
        <w:tab/>
      </w:r>
      <w:r w:rsidRPr="00EB6B72">
        <w:rPr>
          <w:rFonts w:ascii="Times New Roman" w:hAnsi="Times New Roman" w:cs="Times New Roman"/>
          <w:b/>
          <w:sz w:val="24"/>
          <w:szCs w:val="24"/>
        </w:rPr>
        <w:t>INTRODUCTION</w:t>
      </w:r>
    </w:p>
    <w:p w:rsidR="00EB6B72" w:rsidRPr="00EB6B72" w:rsidRDefault="00EB6B72" w:rsidP="00EB6B72">
      <w:pPr>
        <w:spacing w:line="276" w:lineRule="auto"/>
        <w:jc w:val="both"/>
        <w:rPr>
          <w:rFonts w:ascii="Times New Roman" w:hAnsi="Times New Roman" w:cs="Times New Roman"/>
          <w:sz w:val="24"/>
          <w:szCs w:val="24"/>
        </w:rPr>
      </w:pPr>
      <w:r w:rsidRPr="00EB6B72">
        <w:rPr>
          <w:rFonts w:ascii="Times New Roman" w:hAnsi="Times New Roman" w:cs="Times New Roman"/>
          <w:sz w:val="24"/>
          <w:szCs w:val="24"/>
        </w:rPr>
        <w:t>The IPID Act, 2011 (Act No 1 of 2011) gives effect to section 206(6) of the Constitution, which makes provision for the establishment of an independent police complaints body. The objectives of the IPID Act are to:</w:t>
      </w:r>
    </w:p>
    <w:p w:rsidR="00EB6B72" w:rsidRPr="00EB6B72" w:rsidRDefault="00EB6B72" w:rsidP="00EB6B72">
      <w:pPr>
        <w:numPr>
          <w:ilvl w:val="0"/>
          <w:numId w:val="1"/>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Align provincial and national strategic objectives to enhance the functioning of the Directorate;</w:t>
      </w:r>
    </w:p>
    <w:p w:rsidR="00EB6B72" w:rsidRPr="00EB6B72" w:rsidRDefault="00EB6B72" w:rsidP="00EB6B72">
      <w:pPr>
        <w:numPr>
          <w:ilvl w:val="0"/>
          <w:numId w:val="1"/>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Provide for independent and impartial investigation of identified criminal offences allegedly committed by members of the SAPS and the Municipal Police Services (MPS);</w:t>
      </w:r>
    </w:p>
    <w:p w:rsidR="00EB6B72" w:rsidRPr="00EB6B72" w:rsidRDefault="00EB6B72" w:rsidP="00EB6B72">
      <w:pPr>
        <w:numPr>
          <w:ilvl w:val="0"/>
          <w:numId w:val="1"/>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Make disciplinary recommendations to the SAPS resulting from investigations conducted by the Directorate;</w:t>
      </w:r>
    </w:p>
    <w:p w:rsidR="00EB6B72" w:rsidRPr="00EB6B72" w:rsidRDefault="00EB6B72" w:rsidP="00EB6B72">
      <w:pPr>
        <w:numPr>
          <w:ilvl w:val="0"/>
          <w:numId w:val="1"/>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Provide for closer cooperation between the Directorate and the Secretariat; and</w:t>
      </w:r>
    </w:p>
    <w:p w:rsidR="00EB6B72" w:rsidRPr="00EB6B72" w:rsidRDefault="00EB6B72" w:rsidP="00EB6B72">
      <w:pPr>
        <w:numPr>
          <w:ilvl w:val="0"/>
          <w:numId w:val="1"/>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Enhance accountability and transparency of the SAPS and the Municipal Police Services in accordance with the principles of the Constitution.</w:t>
      </w:r>
    </w:p>
    <w:p w:rsidR="00E041AF" w:rsidRDefault="00E041AF" w:rsidP="00EB6B72">
      <w:pPr>
        <w:spacing w:line="276" w:lineRule="auto"/>
        <w:jc w:val="both"/>
        <w:rPr>
          <w:rFonts w:ascii="Times New Roman" w:hAnsi="Times New Roman" w:cs="Times New Roman"/>
          <w:sz w:val="24"/>
          <w:szCs w:val="24"/>
        </w:rPr>
      </w:pPr>
    </w:p>
    <w:p w:rsidR="00EB6B72" w:rsidRPr="00EB6B72" w:rsidRDefault="00EB6B72" w:rsidP="00EB6B72">
      <w:pPr>
        <w:spacing w:line="276" w:lineRule="auto"/>
        <w:jc w:val="both"/>
        <w:rPr>
          <w:rFonts w:ascii="Times New Roman" w:hAnsi="Times New Roman" w:cs="Times New Roman"/>
          <w:sz w:val="24"/>
          <w:szCs w:val="24"/>
        </w:rPr>
      </w:pPr>
      <w:r w:rsidRPr="00EB6B72">
        <w:rPr>
          <w:rFonts w:ascii="Times New Roman" w:hAnsi="Times New Roman" w:cs="Times New Roman"/>
          <w:sz w:val="24"/>
          <w:szCs w:val="24"/>
        </w:rPr>
        <w:t>The IPID Act provided the Directorate with an extended mandate which focuses on more serious crimes committed by members of the SAPS and the MPS. It further obliges the SAPS and the MPS to report on matters that must be investigated by the IPID and regarding the implementation of disciplinary recommendations made by the IPID upon the completion of investigations.</w:t>
      </w:r>
    </w:p>
    <w:p w:rsidR="00EB6B72" w:rsidRPr="00EB6B72" w:rsidRDefault="00EB6B72" w:rsidP="00EB6B72">
      <w:pPr>
        <w:spacing w:line="276" w:lineRule="auto"/>
        <w:jc w:val="both"/>
        <w:rPr>
          <w:rFonts w:ascii="Times New Roman" w:hAnsi="Times New Roman" w:cs="Times New Roman"/>
          <w:sz w:val="24"/>
          <w:szCs w:val="24"/>
        </w:rPr>
      </w:pPr>
      <w:r w:rsidRPr="00EB6B72">
        <w:rPr>
          <w:rFonts w:ascii="Times New Roman" w:hAnsi="Times New Roman" w:cs="Times New Roman"/>
          <w:sz w:val="24"/>
          <w:szCs w:val="24"/>
        </w:rPr>
        <w:t>In terms of section 28 (1) of the Act, the Directorate is obliged to investigate:</w:t>
      </w:r>
    </w:p>
    <w:p w:rsidR="00EB6B72" w:rsidRPr="00EB6B72" w:rsidRDefault="00EB6B72" w:rsidP="00EB6B72">
      <w:pPr>
        <w:numPr>
          <w:ilvl w:val="0"/>
          <w:numId w:val="10"/>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Any deaths in police custody;</w:t>
      </w:r>
    </w:p>
    <w:p w:rsidR="00EB6B72" w:rsidRPr="00EB6B72" w:rsidRDefault="00EB6B72" w:rsidP="00EB6B72">
      <w:pPr>
        <w:numPr>
          <w:ilvl w:val="0"/>
          <w:numId w:val="10"/>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Deaths as a result of police actions;</w:t>
      </w:r>
    </w:p>
    <w:p w:rsidR="00EB6B72" w:rsidRPr="00EB6B72" w:rsidRDefault="00EB6B72" w:rsidP="00EB6B72">
      <w:pPr>
        <w:numPr>
          <w:ilvl w:val="0"/>
          <w:numId w:val="10"/>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Complaints relating to the discharge of an official firearm by any police officer;</w:t>
      </w:r>
    </w:p>
    <w:p w:rsidR="00EB6B72" w:rsidRPr="00EB6B72" w:rsidRDefault="00EB6B72" w:rsidP="00EB6B72">
      <w:pPr>
        <w:numPr>
          <w:ilvl w:val="0"/>
          <w:numId w:val="10"/>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Rape by a police officer, whether the police officer is on or off duty;</w:t>
      </w:r>
    </w:p>
    <w:p w:rsidR="00EB6B72" w:rsidRPr="00EB6B72" w:rsidRDefault="00EB6B72" w:rsidP="00EB6B72">
      <w:pPr>
        <w:numPr>
          <w:ilvl w:val="0"/>
          <w:numId w:val="10"/>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Rape of any person in police custody;</w:t>
      </w:r>
    </w:p>
    <w:p w:rsidR="00EB6B72" w:rsidRPr="00EB6B72" w:rsidRDefault="00EB6B72" w:rsidP="00EB6B72">
      <w:pPr>
        <w:numPr>
          <w:ilvl w:val="0"/>
          <w:numId w:val="10"/>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Any complaint of torture or assault against a police officer in the execution of his or her duties;</w:t>
      </w:r>
    </w:p>
    <w:p w:rsidR="00EB6B72" w:rsidRPr="00EB6B72" w:rsidRDefault="00EB6B72" w:rsidP="00EB6B72">
      <w:pPr>
        <w:numPr>
          <w:ilvl w:val="0"/>
          <w:numId w:val="10"/>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Corruption matters within the police initiated by the Executive Director, or after a complaint from a member of the public or referred to the Directorate by the Minister, a Member of the Executive Committee (MEC) or the Secretary for the Police Service; and</w:t>
      </w:r>
    </w:p>
    <w:p w:rsidR="00EB6B72" w:rsidRPr="00EB6B72" w:rsidRDefault="00EB6B72" w:rsidP="00EB6B72">
      <w:pPr>
        <w:numPr>
          <w:ilvl w:val="0"/>
          <w:numId w:val="10"/>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lastRenderedPageBreak/>
        <w:t>Any other matter referred to the IPID as a result of a decision by the Executive Director or if so requested by the Minister, an MEC or the Secretary for the Police Service as the case may be.</w:t>
      </w:r>
    </w:p>
    <w:p w:rsidR="00B110E4" w:rsidRDefault="00B110E4" w:rsidP="00EB6B72">
      <w:pPr>
        <w:spacing w:line="276" w:lineRule="auto"/>
        <w:jc w:val="both"/>
        <w:rPr>
          <w:rFonts w:ascii="Times New Roman" w:hAnsi="Times New Roman" w:cs="Times New Roman"/>
          <w:sz w:val="24"/>
          <w:szCs w:val="24"/>
        </w:rPr>
      </w:pPr>
    </w:p>
    <w:p w:rsidR="00EB6B72" w:rsidRPr="00EB6B72" w:rsidRDefault="00EB6B72" w:rsidP="00EB6B72">
      <w:pPr>
        <w:spacing w:line="276" w:lineRule="auto"/>
        <w:jc w:val="both"/>
        <w:rPr>
          <w:rFonts w:ascii="Times New Roman" w:hAnsi="Times New Roman" w:cs="Times New Roman"/>
          <w:sz w:val="24"/>
          <w:szCs w:val="24"/>
        </w:rPr>
      </w:pPr>
      <w:r w:rsidRPr="00EB6B72">
        <w:rPr>
          <w:rFonts w:ascii="Times New Roman" w:hAnsi="Times New Roman" w:cs="Times New Roman"/>
          <w:sz w:val="24"/>
          <w:szCs w:val="24"/>
        </w:rPr>
        <w:t>Section 28 (2) further provides that the Directorate may investigate matters relating to systemic corruption involving the police. In terms of Section 30 of the IPID Act, the National Commissioner or the appropriate Provincial Commissioner must:</w:t>
      </w:r>
    </w:p>
    <w:p w:rsidR="00EB6B72" w:rsidRPr="00EB6B72" w:rsidRDefault="00EB6B72" w:rsidP="00EB6B72">
      <w:pPr>
        <w:numPr>
          <w:ilvl w:val="0"/>
          <w:numId w:val="11"/>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Within 30 days of receipt thereof, initiate disciplinary proceedings in terms of the recommendations made by the Department of Police and inform the Minister in writing, and provide a copy thereof to the Executive Director and the Secretary;</w:t>
      </w:r>
    </w:p>
    <w:p w:rsidR="00EB6B72" w:rsidRPr="00EB6B72" w:rsidRDefault="00EB6B72" w:rsidP="00EB6B72">
      <w:pPr>
        <w:spacing w:line="276" w:lineRule="auto"/>
        <w:ind w:left="720"/>
        <w:contextualSpacing/>
        <w:jc w:val="both"/>
        <w:rPr>
          <w:rFonts w:ascii="Times New Roman" w:hAnsi="Times New Roman" w:cs="Times New Roman"/>
          <w:sz w:val="24"/>
          <w:szCs w:val="24"/>
        </w:rPr>
      </w:pPr>
    </w:p>
    <w:p w:rsidR="00EB6B72" w:rsidRPr="00EB6B72" w:rsidRDefault="00EB6B72" w:rsidP="00EB6B72">
      <w:pPr>
        <w:numPr>
          <w:ilvl w:val="0"/>
          <w:numId w:val="11"/>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Quarterly submit a written report to the Minister on the progress regarding disciplinary matters made in terms of paragraph (a) and provide a copy thereof to the Executive;</w:t>
      </w:r>
    </w:p>
    <w:p w:rsidR="00EB6B72" w:rsidRPr="00EB6B72" w:rsidRDefault="00EB6B72" w:rsidP="00EB6B72">
      <w:pPr>
        <w:ind w:left="720"/>
        <w:contextualSpacing/>
        <w:rPr>
          <w:rFonts w:ascii="Times New Roman" w:hAnsi="Times New Roman" w:cs="Times New Roman"/>
          <w:sz w:val="24"/>
          <w:szCs w:val="24"/>
        </w:rPr>
      </w:pPr>
    </w:p>
    <w:p w:rsidR="00EB6B72" w:rsidRPr="00EB6B72" w:rsidRDefault="00EB6B72" w:rsidP="00EB6B72">
      <w:pPr>
        <w:numPr>
          <w:ilvl w:val="0"/>
          <w:numId w:val="11"/>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Immediately on finalisation of any disciplinary matter referred to it by the Department of Police, to inform the Minister in writing of the outcome thereof and provide a copy thereof to the Executive Director and the Secretary.</w:t>
      </w:r>
    </w:p>
    <w:p w:rsidR="00EB6B72" w:rsidRPr="00EB6B72" w:rsidRDefault="00EB6B72" w:rsidP="00EB6B72">
      <w:pPr>
        <w:spacing w:line="276" w:lineRule="auto"/>
        <w:jc w:val="both"/>
        <w:rPr>
          <w:rFonts w:ascii="Times New Roman" w:hAnsi="Times New Roman" w:cs="Times New Roman"/>
          <w:sz w:val="24"/>
          <w:szCs w:val="24"/>
        </w:rPr>
      </w:pPr>
    </w:p>
    <w:p w:rsidR="00EB6B72" w:rsidRPr="00EB6B72" w:rsidRDefault="00EB6B72" w:rsidP="00EB6B72">
      <w:pPr>
        <w:spacing w:line="276" w:lineRule="auto"/>
        <w:jc w:val="both"/>
        <w:rPr>
          <w:rFonts w:ascii="Times New Roman" w:hAnsi="Times New Roman" w:cs="Times New Roman"/>
          <w:b/>
          <w:sz w:val="24"/>
          <w:szCs w:val="24"/>
        </w:rPr>
      </w:pPr>
      <w:r w:rsidRPr="00EB6B72">
        <w:rPr>
          <w:rFonts w:ascii="Times New Roman" w:hAnsi="Times New Roman" w:cs="Times New Roman"/>
          <w:b/>
          <w:sz w:val="24"/>
          <w:szCs w:val="24"/>
        </w:rPr>
        <w:t>1.1.</w:t>
      </w:r>
      <w:r w:rsidRPr="00EB6B72">
        <w:rPr>
          <w:rFonts w:ascii="Times New Roman" w:hAnsi="Times New Roman" w:cs="Times New Roman"/>
          <w:b/>
          <w:sz w:val="24"/>
          <w:szCs w:val="24"/>
        </w:rPr>
        <w:tab/>
        <w:t xml:space="preserve">Structure of the report </w:t>
      </w:r>
    </w:p>
    <w:p w:rsidR="00EB6B72" w:rsidRPr="00EB6B72" w:rsidRDefault="00EB6B72" w:rsidP="00EB6B72">
      <w:pPr>
        <w:spacing w:line="276" w:lineRule="auto"/>
        <w:jc w:val="both"/>
        <w:rPr>
          <w:rFonts w:ascii="Times New Roman" w:hAnsi="Times New Roman" w:cs="Times New Roman"/>
          <w:b/>
          <w:sz w:val="24"/>
          <w:szCs w:val="24"/>
        </w:rPr>
      </w:pPr>
      <w:r w:rsidRPr="00EB6B72">
        <w:rPr>
          <w:rFonts w:ascii="Times New Roman" w:hAnsi="Times New Roman" w:cs="Times New Roman"/>
          <w:sz w:val="24"/>
          <w:szCs w:val="24"/>
        </w:rPr>
        <w:t>The Report provides an overview of the 20</w:t>
      </w:r>
      <w:r w:rsidR="000E786F">
        <w:rPr>
          <w:rFonts w:ascii="Times New Roman" w:hAnsi="Times New Roman" w:cs="Times New Roman"/>
          <w:sz w:val="24"/>
          <w:szCs w:val="24"/>
        </w:rPr>
        <w:t>20</w:t>
      </w:r>
      <w:r w:rsidRPr="00EB6B72">
        <w:rPr>
          <w:rFonts w:ascii="Times New Roman" w:hAnsi="Times New Roman" w:cs="Times New Roman"/>
          <w:sz w:val="24"/>
          <w:szCs w:val="24"/>
        </w:rPr>
        <w:t>/2</w:t>
      </w:r>
      <w:r w:rsidR="000E786F">
        <w:rPr>
          <w:rFonts w:ascii="Times New Roman" w:hAnsi="Times New Roman" w:cs="Times New Roman"/>
          <w:sz w:val="24"/>
          <w:szCs w:val="24"/>
        </w:rPr>
        <w:t>1</w:t>
      </w:r>
      <w:r w:rsidRPr="00EB6B72">
        <w:rPr>
          <w:rFonts w:ascii="Times New Roman" w:hAnsi="Times New Roman" w:cs="Times New Roman"/>
          <w:sz w:val="24"/>
          <w:szCs w:val="24"/>
        </w:rPr>
        <w:t xml:space="preserve"> Budget Hearings of the IPID and is divided into the following sections: </w:t>
      </w:r>
    </w:p>
    <w:p w:rsidR="00EB6B72" w:rsidRPr="00EB6B72" w:rsidRDefault="00EB6B72" w:rsidP="00EB6B72">
      <w:pPr>
        <w:numPr>
          <w:ilvl w:val="0"/>
          <w:numId w:val="2"/>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 xml:space="preserve">Section 1: Introduction. This section provides an introduction to this Report as well as a summary of meetings held during the hearings. </w:t>
      </w:r>
    </w:p>
    <w:p w:rsidR="00EB6B72" w:rsidRPr="00EB6B72" w:rsidRDefault="00EB6B72" w:rsidP="00EB6B72">
      <w:pPr>
        <w:numPr>
          <w:ilvl w:val="0"/>
          <w:numId w:val="2"/>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 xml:space="preserve">Section 2: Strategic Priorities of the IPID for the 2019/20 financial year. This section provides a summary of the strategic focus areas for the IPID for the year under review. </w:t>
      </w:r>
    </w:p>
    <w:p w:rsidR="00EB6B72" w:rsidRPr="00EB6B72" w:rsidRDefault="00EB6B72" w:rsidP="00EB6B72">
      <w:pPr>
        <w:numPr>
          <w:ilvl w:val="0"/>
          <w:numId w:val="2"/>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 xml:space="preserve">Section 3: IPID Budget and Performance targets for 2019/20. This section provides an overall analysis of the estimates of national expenditure of the IPID for the 2019/20 financial year. This section also provides a programme analysis of the IPID. </w:t>
      </w:r>
    </w:p>
    <w:p w:rsidR="00EB6B72" w:rsidRPr="00EB6B72" w:rsidRDefault="00EB6B72" w:rsidP="00EB6B72">
      <w:pPr>
        <w:numPr>
          <w:ilvl w:val="0"/>
          <w:numId w:val="2"/>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Section 4: Committee observations. This section highlights selected observations made by the Portfolio Committee on Police on the annual performance targets and programme specific issues during the 2019/20 budget hearings and subsequent responses by the IPID.</w:t>
      </w:r>
    </w:p>
    <w:p w:rsidR="00EB6B72" w:rsidRPr="00EB6B72" w:rsidRDefault="00EB6B72" w:rsidP="00EB6B72">
      <w:pPr>
        <w:numPr>
          <w:ilvl w:val="0"/>
          <w:numId w:val="2"/>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 xml:space="preserve">Section 5: Recommendations and additional information. This section summarises the recommendations made by the Portfolio Committee on Police, as well as the additional information requested from the IPID. </w:t>
      </w:r>
    </w:p>
    <w:p w:rsidR="00EB6B72" w:rsidRPr="00EB6B72" w:rsidRDefault="00EB6B72" w:rsidP="00EB6B72">
      <w:pPr>
        <w:numPr>
          <w:ilvl w:val="0"/>
          <w:numId w:val="2"/>
        </w:numPr>
        <w:spacing w:line="276" w:lineRule="auto"/>
        <w:contextualSpacing/>
        <w:jc w:val="both"/>
        <w:rPr>
          <w:rFonts w:ascii="Times New Roman" w:hAnsi="Times New Roman" w:cs="Times New Roman"/>
          <w:sz w:val="24"/>
          <w:szCs w:val="24"/>
        </w:rPr>
      </w:pPr>
      <w:r w:rsidRPr="00EB6B72">
        <w:rPr>
          <w:rFonts w:ascii="Times New Roman" w:hAnsi="Times New Roman" w:cs="Times New Roman"/>
          <w:sz w:val="24"/>
          <w:szCs w:val="24"/>
        </w:rPr>
        <w:t>Section 6: Conclusion. This section provides a conclusion to this Report.</w:t>
      </w:r>
    </w:p>
    <w:p w:rsidR="00EB6B72" w:rsidRPr="00EB6B72" w:rsidRDefault="00EB6B72" w:rsidP="00EB6B72">
      <w:pPr>
        <w:spacing w:line="276" w:lineRule="auto"/>
        <w:jc w:val="both"/>
        <w:rPr>
          <w:rFonts w:ascii="Times New Roman" w:hAnsi="Times New Roman" w:cs="Times New Roman"/>
          <w:sz w:val="24"/>
          <w:szCs w:val="24"/>
        </w:rPr>
      </w:pPr>
    </w:p>
    <w:p w:rsidR="00EB6B72" w:rsidRPr="00EB6B72" w:rsidRDefault="00EB6B72" w:rsidP="00EB6B72">
      <w:pPr>
        <w:spacing w:line="276" w:lineRule="auto"/>
        <w:jc w:val="both"/>
        <w:rPr>
          <w:rFonts w:ascii="Times New Roman" w:hAnsi="Times New Roman" w:cs="Times New Roman"/>
          <w:b/>
          <w:sz w:val="24"/>
          <w:szCs w:val="24"/>
        </w:rPr>
      </w:pPr>
      <w:r w:rsidRPr="00EB6B72">
        <w:rPr>
          <w:rFonts w:ascii="Times New Roman" w:hAnsi="Times New Roman" w:cs="Times New Roman"/>
          <w:b/>
          <w:sz w:val="24"/>
          <w:szCs w:val="24"/>
        </w:rPr>
        <w:t>1.2</w:t>
      </w:r>
      <w:r w:rsidRPr="00EB6B72">
        <w:rPr>
          <w:rFonts w:ascii="Times New Roman" w:hAnsi="Times New Roman" w:cs="Times New Roman"/>
          <w:sz w:val="24"/>
          <w:szCs w:val="24"/>
        </w:rPr>
        <w:t>.</w:t>
      </w:r>
      <w:r w:rsidRPr="00EB6B72">
        <w:rPr>
          <w:rFonts w:ascii="Times New Roman" w:hAnsi="Times New Roman" w:cs="Times New Roman"/>
          <w:sz w:val="24"/>
          <w:szCs w:val="24"/>
        </w:rPr>
        <w:tab/>
      </w:r>
      <w:r w:rsidRPr="00EB6B72">
        <w:rPr>
          <w:rFonts w:ascii="Times New Roman" w:hAnsi="Times New Roman" w:cs="Times New Roman"/>
          <w:b/>
          <w:sz w:val="24"/>
          <w:szCs w:val="24"/>
        </w:rPr>
        <w:t>Meetings held</w:t>
      </w:r>
    </w:p>
    <w:p w:rsidR="00EB6B72" w:rsidRDefault="00E87595" w:rsidP="00EB6B7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Committee received </w:t>
      </w:r>
      <w:r w:rsidR="000E786F">
        <w:rPr>
          <w:rFonts w:ascii="Times New Roman" w:hAnsi="Times New Roman" w:cs="Times New Roman"/>
          <w:sz w:val="24"/>
          <w:szCs w:val="24"/>
        </w:rPr>
        <w:t xml:space="preserve">virtual </w:t>
      </w:r>
      <w:r w:rsidR="00EB6B72" w:rsidRPr="00EB6B72">
        <w:rPr>
          <w:rFonts w:ascii="Times New Roman" w:hAnsi="Times New Roman" w:cs="Times New Roman"/>
          <w:sz w:val="24"/>
          <w:szCs w:val="24"/>
        </w:rPr>
        <w:t>briefing</w:t>
      </w:r>
      <w:r>
        <w:rPr>
          <w:rFonts w:ascii="Times New Roman" w:hAnsi="Times New Roman" w:cs="Times New Roman"/>
          <w:sz w:val="24"/>
          <w:szCs w:val="24"/>
        </w:rPr>
        <w:t>s</w:t>
      </w:r>
      <w:r w:rsidR="00EB6B72" w:rsidRPr="00EB6B72">
        <w:rPr>
          <w:rFonts w:ascii="Times New Roman" w:hAnsi="Times New Roman" w:cs="Times New Roman"/>
          <w:sz w:val="24"/>
          <w:szCs w:val="24"/>
        </w:rPr>
        <w:t xml:space="preserve"> from the IPID on the Annual Performance Plan</w:t>
      </w:r>
      <w:r w:rsidR="000E786F">
        <w:rPr>
          <w:rFonts w:ascii="Times New Roman" w:hAnsi="Times New Roman" w:cs="Times New Roman"/>
          <w:sz w:val="24"/>
          <w:szCs w:val="24"/>
        </w:rPr>
        <w:t>, Strategic Plan (2020-2025)</w:t>
      </w:r>
      <w:r w:rsidR="00EB6B72" w:rsidRPr="00EB6B72">
        <w:rPr>
          <w:rFonts w:ascii="Times New Roman" w:hAnsi="Times New Roman" w:cs="Times New Roman"/>
          <w:sz w:val="24"/>
          <w:szCs w:val="24"/>
        </w:rPr>
        <w:t xml:space="preserve"> and 20</w:t>
      </w:r>
      <w:r w:rsidR="000E786F">
        <w:rPr>
          <w:rFonts w:ascii="Times New Roman" w:hAnsi="Times New Roman" w:cs="Times New Roman"/>
          <w:sz w:val="24"/>
          <w:szCs w:val="24"/>
        </w:rPr>
        <w:t>20</w:t>
      </w:r>
      <w:r w:rsidR="00EB6B72" w:rsidRPr="00EB6B72">
        <w:rPr>
          <w:rFonts w:ascii="Times New Roman" w:hAnsi="Times New Roman" w:cs="Times New Roman"/>
          <w:sz w:val="24"/>
          <w:szCs w:val="24"/>
        </w:rPr>
        <w:t>/2</w:t>
      </w:r>
      <w:r w:rsidR="000E786F">
        <w:rPr>
          <w:rFonts w:ascii="Times New Roman" w:hAnsi="Times New Roman" w:cs="Times New Roman"/>
          <w:sz w:val="24"/>
          <w:szCs w:val="24"/>
        </w:rPr>
        <w:t>1</w:t>
      </w:r>
      <w:r w:rsidR="00EB6B72" w:rsidRPr="00EB6B72">
        <w:rPr>
          <w:rFonts w:ascii="Times New Roman" w:hAnsi="Times New Roman" w:cs="Times New Roman"/>
          <w:sz w:val="24"/>
          <w:szCs w:val="24"/>
        </w:rPr>
        <w:t xml:space="preserve"> Budget on </w:t>
      </w:r>
      <w:r w:rsidR="000E786F">
        <w:rPr>
          <w:rFonts w:ascii="Times New Roman" w:hAnsi="Times New Roman" w:cs="Times New Roman"/>
          <w:sz w:val="24"/>
          <w:szCs w:val="24"/>
        </w:rPr>
        <w:t>13</w:t>
      </w:r>
      <w:r w:rsidR="00EB6B72" w:rsidRPr="00EB6B72">
        <w:rPr>
          <w:rFonts w:ascii="Times New Roman" w:hAnsi="Times New Roman" w:cs="Times New Roman"/>
          <w:sz w:val="24"/>
          <w:szCs w:val="24"/>
        </w:rPr>
        <w:t xml:space="preserve"> </w:t>
      </w:r>
      <w:r>
        <w:rPr>
          <w:rFonts w:ascii="Times New Roman" w:hAnsi="Times New Roman" w:cs="Times New Roman"/>
          <w:sz w:val="24"/>
          <w:szCs w:val="24"/>
        </w:rPr>
        <w:t xml:space="preserve">and 22 </w:t>
      </w:r>
      <w:r w:rsidR="000E786F">
        <w:rPr>
          <w:rFonts w:ascii="Times New Roman" w:hAnsi="Times New Roman" w:cs="Times New Roman"/>
          <w:sz w:val="24"/>
          <w:szCs w:val="24"/>
        </w:rPr>
        <w:t>May 2020</w:t>
      </w:r>
      <w:r w:rsidR="00EB6B72" w:rsidRPr="00EB6B72">
        <w:rPr>
          <w:rFonts w:ascii="Times New Roman" w:hAnsi="Times New Roman" w:cs="Times New Roman"/>
          <w:sz w:val="24"/>
          <w:szCs w:val="24"/>
        </w:rPr>
        <w:t>.</w:t>
      </w:r>
    </w:p>
    <w:p w:rsidR="000E786F" w:rsidRDefault="000E786F" w:rsidP="00EB6B72">
      <w:pPr>
        <w:spacing w:line="276" w:lineRule="auto"/>
        <w:jc w:val="both"/>
        <w:rPr>
          <w:rFonts w:ascii="Times New Roman" w:hAnsi="Times New Roman" w:cs="Times New Roman"/>
          <w:sz w:val="24"/>
          <w:szCs w:val="24"/>
        </w:rPr>
      </w:pPr>
    </w:p>
    <w:p w:rsidR="000E786F" w:rsidRPr="00A7455B" w:rsidRDefault="000E786F" w:rsidP="00EB6B72">
      <w:pPr>
        <w:spacing w:line="276" w:lineRule="auto"/>
        <w:jc w:val="both"/>
        <w:rPr>
          <w:rFonts w:ascii="Times New Roman" w:hAnsi="Times New Roman" w:cs="Times New Roman"/>
          <w:b/>
          <w:sz w:val="24"/>
          <w:szCs w:val="24"/>
        </w:rPr>
      </w:pPr>
      <w:r w:rsidRPr="00A7455B">
        <w:rPr>
          <w:rFonts w:ascii="Times New Roman" w:hAnsi="Times New Roman" w:cs="Times New Roman"/>
          <w:b/>
          <w:sz w:val="24"/>
          <w:szCs w:val="24"/>
        </w:rPr>
        <w:t>1.3</w:t>
      </w:r>
      <w:r w:rsidRPr="00A7455B">
        <w:rPr>
          <w:rFonts w:ascii="Times New Roman" w:hAnsi="Times New Roman" w:cs="Times New Roman"/>
          <w:b/>
          <w:sz w:val="24"/>
          <w:szCs w:val="24"/>
        </w:rPr>
        <w:tab/>
        <w:t>COVID-19 Pandemic</w:t>
      </w:r>
    </w:p>
    <w:p w:rsidR="000E786F" w:rsidRDefault="00A7455B" w:rsidP="00A7455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A7455B">
        <w:rPr>
          <w:rFonts w:ascii="Times New Roman" w:hAnsi="Times New Roman" w:cs="Times New Roman"/>
          <w:sz w:val="24"/>
          <w:szCs w:val="24"/>
        </w:rPr>
        <w:t xml:space="preserve">President announced a lockdown of the nation on 23 March 2020 in order to prevent further infections of and spread of the Covid-19 Corona virus. The lockdown took effect on 26 March 2020. The terms of the lockdown period were declared in terms of the Disaster Management Act (57 of 2002), and the Regulations provides that the South African Police Service (SAPS) is supported by the South African National Defence Force (SANDF) and the Metro Police during the period of the lockdown. The period of the national lockdown was declared from 26 March 2020 </w:t>
      </w:r>
      <w:r w:rsidR="0078391F">
        <w:rPr>
          <w:rFonts w:ascii="Times New Roman" w:hAnsi="Times New Roman" w:cs="Times New Roman"/>
          <w:sz w:val="24"/>
          <w:szCs w:val="24"/>
        </w:rPr>
        <w:t xml:space="preserve">- 16 April 2020 in terms of </w:t>
      </w:r>
      <w:r w:rsidR="0078391F" w:rsidRPr="009A3D60">
        <w:rPr>
          <w:rFonts w:ascii="Times New Roman" w:hAnsi="Times New Roman" w:cs="Times New Roman"/>
          <w:sz w:val="24"/>
          <w:szCs w:val="24"/>
        </w:rPr>
        <w:t>section 27 of the Disaster Management Act</w:t>
      </w:r>
      <w:r w:rsidRPr="00A7455B">
        <w:rPr>
          <w:rFonts w:ascii="Times New Roman" w:hAnsi="Times New Roman" w:cs="Times New Roman"/>
          <w:sz w:val="24"/>
          <w:szCs w:val="24"/>
        </w:rPr>
        <w:t xml:space="preserve"> announced by the Minister of Co-operative Governance and Traditional Affairs in the Government Notice No. 398, published in the Government Gazette, No. 43148 on 25 March 2020. The lockdown period was subsequently extended by the </w:t>
      </w:r>
      <w:r w:rsidR="0078391F" w:rsidRPr="009A3D60">
        <w:rPr>
          <w:rFonts w:ascii="Times New Roman" w:hAnsi="Times New Roman" w:cs="Times New Roman"/>
          <w:sz w:val="24"/>
          <w:szCs w:val="24"/>
        </w:rPr>
        <w:t>Minister</w:t>
      </w:r>
      <w:r w:rsidRPr="009A3D60">
        <w:rPr>
          <w:rFonts w:ascii="Times New Roman" w:hAnsi="Times New Roman" w:cs="Times New Roman"/>
          <w:sz w:val="24"/>
          <w:szCs w:val="24"/>
        </w:rPr>
        <w:t xml:space="preserve"> t</w:t>
      </w:r>
      <w:r w:rsidRPr="00A7455B">
        <w:rPr>
          <w:rFonts w:ascii="Times New Roman" w:hAnsi="Times New Roman" w:cs="Times New Roman"/>
          <w:sz w:val="24"/>
          <w:szCs w:val="24"/>
        </w:rPr>
        <w:t>o the end of April 2020</w:t>
      </w:r>
      <w:r>
        <w:rPr>
          <w:rFonts w:ascii="Times New Roman" w:hAnsi="Times New Roman" w:cs="Times New Roman"/>
          <w:sz w:val="24"/>
          <w:szCs w:val="24"/>
        </w:rPr>
        <w:t xml:space="preserve"> and again until the end of May 2020</w:t>
      </w:r>
      <w:r w:rsidRPr="00A7455B">
        <w:rPr>
          <w:rFonts w:ascii="Times New Roman" w:hAnsi="Times New Roman" w:cs="Times New Roman"/>
          <w:sz w:val="24"/>
          <w:szCs w:val="24"/>
        </w:rPr>
        <w:t>.</w:t>
      </w:r>
    </w:p>
    <w:p w:rsidR="00A7455B" w:rsidRPr="00A7455B" w:rsidRDefault="00A7455B" w:rsidP="00A7455B">
      <w:pPr>
        <w:spacing w:line="276" w:lineRule="auto"/>
        <w:jc w:val="both"/>
        <w:rPr>
          <w:rFonts w:ascii="Times New Roman" w:hAnsi="Times New Roman" w:cs="Times New Roman"/>
          <w:sz w:val="24"/>
          <w:szCs w:val="24"/>
        </w:rPr>
      </w:pPr>
      <w:r w:rsidRPr="00A7455B">
        <w:rPr>
          <w:rFonts w:ascii="Times New Roman" w:hAnsi="Times New Roman" w:cs="Times New Roman"/>
          <w:sz w:val="24"/>
          <w:szCs w:val="24"/>
        </w:rPr>
        <w:t xml:space="preserve">The National Regulations provides for the police to enforce the provisions of the lockdown. This includes for the SAPS, SANDF and Metro Police to amongst others, makes sure that the movement of people and goods are restricted and people are confined to their homes; public transport on the public streets are prohibited with the exception of emergency and health workers; businesses that are not essential services are closed and public places such as taxi ranks remain closed. </w:t>
      </w:r>
    </w:p>
    <w:p w:rsidR="00A7455B" w:rsidRDefault="00A7455B" w:rsidP="00A7455B">
      <w:pPr>
        <w:spacing w:line="276" w:lineRule="auto"/>
        <w:jc w:val="both"/>
        <w:rPr>
          <w:rFonts w:ascii="Times New Roman" w:hAnsi="Times New Roman" w:cs="Times New Roman"/>
          <w:sz w:val="24"/>
          <w:szCs w:val="24"/>
        </w:rPr>
      </w:pPr>
      <w:r w:rsidRPr="00A7455B">
        <w:rPr>
          <w:rFonts w:ascii="Times New Roman" w:hAnsi="Times New Roman" w:cs="Times New Roman"/>
          <w:sz w:val="24"/>
          <w:szCs w:val="24"/>
        </w:rPr>
        <w:t xml:space="preserve">The provisions of the Disaster Management Act (2002) together with the Lockdown Regulations places certain obligations on the police to enforce the regulations for the duration of the period of the Lockdown. </w:t>
      </w:r>
    </w:p>
    <w:p w:rsidR="00A7455B" w:rsidRDefault="00A7455B" w:rsidP="00A7455B">
      <w:pPr>
        <w:spacing w:line="276" w:lineRule="auto"/>
        <w:jc w:val="both"/>
        <w:rPr>
          <w:rFonts w:ascii="Times New Roman" w:hAnsi="Times New Roman" w:cs="Times New Roman"/>
          <w:sz w:val="24"/>
          <w:szCs w:val="24"/>
        </w:rPr>
      </w:pPr>
      <w:r w:rsidRPr="00A7455B">
        <w:rPr>
          <w:rFonts w:ascii="Times New Roman" w:hAnsi="Times New Roman" w:cs="Times New Roman"/>
          <w:sz w:val="24"/>
          <w:szCs w:val="24"/>
        </w:rPr>
        <w:t>The IPID has the mandate to investigate any police misconduct and that mandate applies even during the State of National Disaster and the lockdown period. The IPID mandate pertains as the lockdown does not presuppose a suspension of the Constitution and all the members of the SAPS and Metro Police are subject to the Constitutional provisions. This means that the rights of the public to human dignity as enshrined in the Constitution, remains intact and the right of people to be treated fairly must be respected. It also means that police officers should be held accountable for their actions during the period of the lockdown.</w:t>
      </w:r>
    </w:p>
    <w:p w:rsidR="00A7455B" w:rsidRDefault="00A7455B" w:rsidP="00A7455B">
      <w:pPr>
        <w:spacing w:line="276" w:lineRule="auto"/>
        <w:jc w:val="both"/>
        <w:rPr>
          <w:rFonts w:ascii="Times New Roman" w:hAnsi="Times New Roman" w:cs="Times New Roman"/>
          <w:sz w:val="24"/>
          <w:szCs w:val="24"/>
        </w:rPr>
      </w:pPr>
      <w:r>
        <w:rPr>
          <w:rFonts w:ascii="Times New Roman" w:hAnsi="Times New Roman" w:cs="Times New Roman"/>
          <w:sz w:val="24"/>
          <w:szCs w:val="24"/>
        </w:rPr>
        <w:t>The Committee has held hearings with IPID on the impact and management of the lockdown and reports and allegations of police brutality and heavy-handedness during the lockdown and the impact on IPID investigations on 29 April 2020 and 8 May 2020.</w:t>
      </w:r>
    </w:p>
    <w:p w:rsidR="00A7455B" w:rsidRDefault="00A7455B" w:rsidP="00A7455B">
      <w:pPr>
        <w:spacing w:line="276" w:lineRule="auto"/>
        <w:jc w:val="both"/>
        <w:rPr>
          <w:rFonts w:ascii="Times New Roman" w:hAnsi="Times New Roman" w:cs="Times New Roman"/>
          <w:sz w:val="24"/>
          <w:szCs w:val="24"/>
        </w:rPr>
      </w:pPr>
      <w:r>
        <w:rPr>
          <w:rFonts w:ascii="Times New Roman" w:hAnsi="Times New Roman" w:cs="Times New Roman"/>
          <w:sz w:val="24"/>
          <w:szCs w:val="24"/>
        </w:rPr>
        <w:t>It is clear that the C</w:t>
      </w:r>
      <w:r w:rsidR="00B87B57">
        <w:rPr>
          <w:rFonts w:ascii="Times New Roman" w:hAnsi="Times New Roman" w:cs="Times New Roman"/>
          <w:sz w:val="24"/>
          <w:szCs w:val="24"/>
        </w:rPr>
        <w:t>OVID-19 pandemic has already impacted on the IPID operations and investigations.</w:t>
      </w:r>
    </w:p>
    <w:p w:rsidR="0087648D" w:rsidRDefault="0087648D" w:rsidP="00A7455B">
      <w:pPr>
        <w:spacing w:line="276" w:lineRule="auto"/>
        <w:jc w:val="both"/>
        <w:rPr>
          <w:rFonts w:ascii="Times New Roman" w:hAnsi="Times New Roman" w:cs="Times New Roman"/>
          <w:sz w:val="24"/>
          <w:szCs w:val="24"/>
        </w:rPr>
      </w:pPr>
    </w:p>
    <w:p w:rsidR="0087648D" w:rsidRPr="0087648D" w:rsidRDefault="0087648D" w:rsidP="00A7455B">
      <w:pPr>
        <w:spacing w:line="276" w:lineRule="auto"/>
        <w:jc w:val="both"/>
        <w:rPr>
          <w:rFonts w:ascii="Times New Roman" w:hAnsi="Times New Roman" w:cs="Times New Roman"/>
          <w:b/>
          <w:sz w:val="24"/>
          <w:szCs w:val="24"/>
        </w:rPr>
      </w:pPr>
      <w:r w:rsidRPr="0087648D">
        <w:rPr>
          <w:rFonts w:ascii="Times New Roman" w:hAnsi="Times New Roman" w:cs="Times New Roman"/>
          <w:b/>
          <w:sz w:val="24"/>
          <w:szCs w:val="24"/>
        </w:rPr>
        <w:t>1.4</w:t>
      </w:r>
      <w:r w:rsidRPr="0087648D">
        <w:rPr>
          <w:rFonts w:ascii="Times New Roman" w:hAnsi="Times New Roman" w:cs="Times New Roman"/>
          <w:b/>
          <w:sz w:val="24"/>
          <w:szCs w:val="24"/>
        </w:rPr>
        <w:tab/>
        <w:t>IPID Executive Director</w:t>
      </w:r>
    </w:p>
    <w:p w:rsidR="0087648D" w:rsidRPr="0087648D" w:rsidRDefault="0087648D" w:rsidP="0087648D">
      <w:pPr>
        <w:spacing w:line="276" w:lineRule="auto"/>
        <w:jc w:val="both"/>
        <w:rPr>
          <w:rFonts w:ascii="Times New Roman" w:hAnsi="Times New Roman" w:cs="Times New Roman"/>
          <w:sz w:val="24"/>
          <w:szCs w:val="24"/>
        </w:rPr>
      </w:pPr>
      <w:r w:rsidRPr="0087648D">
        <w:rPr>
          <w:rFonts w:ascii="Times New Roman" w:hAnsi="Times New Roman" w:cs="Times New Roman"/>
          <w:sz w:val="24"/>
          <w:szCs w:val="24"/>
        </w:rPr>
        <w:t xml:space="preserve">The 5th Parliament was marked by conflict over the tenure of the Executive Director of IPID which was the basis of three court cases. The former Executive Director’s contract of employment ended in February 2019 and was not renewed for another term. The former </w:t>
      </w:r>
      <w:r w:rsidRPr="0087648D">
        <w:rPr>
          <w:rFonts w:ascii="Times New Roman" w:hAnsi="Times New Roman" w:cs="Times New Roman"/>
          <w:sz w:val="24"/>
          <w:szCs w:val="24"/>
        </w:rPr>
        <w:lastRenderedPageBreak/>
        <w:t>Executive Director challenged the non-renewal in the High Court, which facilitated an agreement that the Portfolio Committee on Police deliberate on the merits of renewal/non-renewal. On 28 February 2019, the Committee recommended that Mr McBride’s contract should not be renewed. The decision is currently being challenge and will presumably be referred back to the Committee depending on the outcome thereof.</w:t>
      </w:r>
    </w:p>
    <w:p w:rsidR="0087648D" w:rsidRPr="0087648D" w:rsidRDefault="0087648D" w:rsidP="0087648D">
      <w:pPr>
        <w:spacing w:line="276" w:lineRule="auto"/>
        <w:jc w:val="both"/>
        <w:rPr>
          <w:rFonts w:ascii="Times New Roman" w:hAnsi="Times New Roman" w:cs="Times New Roman"/>
          <w:sz w:val="24"/>
          <w:szCs w:val="24"/>
        </w:rPr>
      </w:pPr>
      <w:r w:rsidRPr="0087648D">
        <w:rPr>
          <w:rFonts w:ascii="Times New Roman" w:hAnsi="Times New Roman" w:cs="Times New Roman"/>
          <w:sz w:val="24"/>
          <w:szCs w:val="24"/>
        </w:rPr>
        <w:t>As stated above, the position of the Executive Director of IPID became vacant from 01 March 2019. On this date, Mr Victor Senna (Chief Financial Officer: IPID) was appointed as Acting Executive Director of the IPID. Since then, the position has not been filled permanently. However, as per the Public Service Act, 1994 (Act No. 103 of 1994), a vacant position may not be filled by an acting person for longer than one year. As such, the Minister of Police appointed Mr Patrick Setshedi (Director for Finance: IPID) as Acting Executive Director for a two-month period starting from 01 March 2020 to 30 April 2020.</w:t>
      </w:r>
    </w:p>
    <w:p w:rsidR="0087648D" w:rsidRDefault="0087648D" w:rsidP="0087648D">
      <w:pPr>
        <w:spacing w:line="276" w:lineRule="auto"/>
        <w:jc w:val="both"/>
        <w:rPr>
          <w:rFonts w:ascii="Times New Roman" w:hAnsi="Times New Roman" w:cs="Times New Roman"/>
          <w:sz w:val="24"/>
          <w:szCs w:val="24"/>
        </w:rPr>
      </w:pPr>
      <w:r w:rsidRPr="0087648D">
        <w:rPr>
          <w:rFonts w:ascii="Times New Roman" w:hAnsi="Times New Roman" w:cs="Times New Roman"/>
          <w:sz w:val="24"/>
          <w:szCs w:val="24"/>
        </w:rPr>
        <w:t xml:space="preserve">The Portfolio Committee on Police discussed the topic of the Executive Director of IPID on 04 March 2020. The Deputy Minister of Police indicated that the Ministry would embark on a headhunting process to appoint the new Head of IPID, as previous rounds of recruitment did not deliver a suitable candidate. The Committee had a robust discussion on the topic during which the concerns around the headhunting process were raised, including that headhunting is not guided by legislation or regulations. It was decided that three candidates (with CVs) would be presented to the Committee for </w:t>
      </w:r>
      <w:r w:rsidR="00C558E9">
        <w:rPr>
          <w:rFonts w:ascii="Times New Roman" w:hAnsi="Times New Roman" w:cs="Times New Roman"/>
          <w:sz w:val="24"/>
          <w:szCs w:val="24"/>
        </w:rPr>
        <w:t>consideration and approval of one candidate.</w:t>
      </w:r>
    </w:p>
    <w:p w:rsidR="0087648D" w:rsidRDefault="0087648D" w:rsidP="0087648D">
      <w:pPr>
        <w:spacing w:line="276" w:lineRule="auto"/>
        <w:jc w:val="both"/>
        <w:rPr>
          <w:rFonts w:ascii="Times New Roman" w:hAnsi="Times New Roman" w:cs="Times New Roman"/>
          <w:sz w:val="24"/>
          <w:szCs w:val="24"/>
        </w:rPr>
      </w:pPr>
      <w:r>
        <w:rPr>
          <w:rFonts w:ascii="Times New Roman" w:hAnsi="Times New Roman" w:cs="Times New Roman"/>
          <w:sz w:val="24"/>
          <w:szCs w:val="24"/>
        </w:rPr>
        <w:t>The Committee has not yet received any nominations from the Minister at the time the Budget hearings were held.</w:t>
      </w:r>
      <w:r w:rsidRPr="0087648D">
        <w:t xml:space="preserve"> </w:t>
      </w:r>
      <w:r w:rsidRPr="0087648D">
        <w:rPr>
          <w:rFonts w:ascii="Times New Roman" w:hAnsi="Times New Roman" w:cs="Times New Roman"/>
          <w:sz w:val="24"/>
          <w:szCs w:val="24"/>
        </w:rPr>
        <w:t>Based on the provisions of the Act, the Minster of Police is in contravention of section 6</w:t>
      </w:r>
      <w:r>
        <w:rPr>
          <w:rFonts w:ascii="Times New Roman" w:hAnsi="Times New Roman" w:cs="Times New Roman"/>
          <w:sz w:val="24"/>
          <w:szCs w:val="24"/>
        </w:rPr>
        <w:t xml:space="preserve"> </w:t>
      </w:r>
      <w:r w:rsidRPr="0087648D">
        <w:rPr>
          <w:rFonts w:ascii="Times New Roman" w:hAnsi="Times New Roman" w:cs="Times New Roman"/>
          <w:sz w:val="24"/>
          <w:szCs w:val="24"/>
        </w:rPr>
        <w:t>(5) in that the period provided for the appointment of a permanent Executive Director has lapsed.</w:t>
      </w:r>
    </w:p>
    <w:p w:rsidR="000E786F" w:rsidRPr="00EB6B72" w:rsidRDefault="00A7455B" w:rsidP="00A7455B">
      <w:pPr>
        <w:tabs>
          <w:tab w:val="left" w:pos="7050"/>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p w:rsidR="00EB6B72" w:rsidRPr="00EB6B72" w:rsidRDefault="00EB6B72" w:rsidP="00EB6B72">
      <w:pPr>
        <w:spacing w:line="276" w:lineRule="auto"/>
        <w:jc w:val="both"/>
        <w:rPr>
          <w:rFonts w:ascii="Times New Roman" w:hAnsi="Times New Roman" w:cs="Times New Roman"/>
          <w:b/>
          <w:sz w:val="24"/>
          <w:szCs w:val="24"/>
        </w:rPr>
      </w:pPr>
      <w:r w:rsidRPr="00EB6B72">
        <w:rPr>
          <w:rFonts w:ascii="Times New Roman" w:hAnsi="Times New Roman" w:cs="Times New Roman"/>
          <w:b/>
          <w:sz w:val="24"/>
          <w:szCs w:val="24"/>
        </w:rPr>
        <w:t>2.</w:t>
      </w:r>
      <w:r w:rsidRPr="00EB6B72">
        <w:rPr>
          <w:rFonts w:ascii="Times New Roman" w:hAnsi="Times New Roman" w:cs="Times New Roman"/>
          <w:b/>
          <w:sz w:val="24"/>
          <w:szCs w:val="24"/>
        </w:rPr>
        <w:tab/>
        <w:t>KEY STRATEGIC PRIORITIES</w:t>
      </w:r>
    </w:p>
    <w:p w:rsidR="00EB6B72" w:rsidRPr="00EB6B72" w:rsidRDefault="00EB6B72" w:rsidP="00EB6B72">
      <w:pPr>
        <w:spacing w:line="276" w:lineRule="auto"/>
        <w:jc w:val="both"/>
        <w:rPr>
          <w:rFonts w:ascii="Times New Roman" w:hAnsi="Times New Roman" w:cs="Times New Roman"/>
          <w:sz w:val="24"/>
          <w:szCs w:val="24"/>
        </w:rPr>
      </w:pPr>
      <w:r w:rsidRPr="00EB6B72">
        <w:rPr>
          <w:rFonts w:ascii="Times New Roman" w:hAnsi="Times New Roman" w:cs="Times New Roman"/>
          <w:sz w:val="24"/>
          <w:szCs w:val="24"/>
        </w:rPr>
        <w:t>IPID has tabled the following key priorities in the 20</w:t>
      </w:r>
      <w:r w:rsidR="00B87B57">
        <w:rPr>
          <w:rFonts w:ascii="Times New Roman" w:hAnsi="Times New Roman" w:cs="Times New Roman"/>
          <w:sz w:val="24"/>
          <w:szCs w:val="24"/>
        </w:rPr>
        <w:t>20</w:t>
      </w:r>
      <w:r w:rsidRPr="00EB6B72">
        <w:rPr>
          <w:rFonts w:ascii="Times New Roman" w:hAnsi="Times New Roman" w:cs="Times New Roman"/>
          <w:sz w:val="24"/>
          <w:szCs w:val="24"/>
        </w:rPr>
        <w:t>/2</w:t>
      </w:r>
      <w:r w:rsidR="00B87B57">
        <w:rPr>
          <w:rFonts w:ascii="Times New Roman" w:hAnsi="Times New Roman" w:cs="Times New Roman"/>
          <w:sz w:val="24"/>
          <w:szCs w:val="24"/>
        </w:rPr>
        <w:t>1</w:t>
      </w:r>
      <w:r w:rsidRPr="00EB6B72">
        <w:rPr>
          <w:rFonts w:ascii="Times New Roman" w:hAnsi="Times New Roman" w:cs="Times New Roman"/>
          <w:sz w:val="24"/>
          <w:szCs w:val="24"/>
        </w:rPr>
        <w:t xml:space="preserve"> Annual Performance Plan:</w:t>
      </w:r>
    </w:p>
    <w:p w:rsidR="00EB6B72" w:rsidRPr="00EB6B72" w:rsidRDefault="00EB6B72" w:rsidP="00EB6B72">
      <w:pPr>
        <w:spacing w:line="276" w:lineRule="auto"/>
        <w:jc w:val="both"/>
        <w:rPr>
          <w:rFonts w:ascii="Times New Roman" w:hAnsi="Times New Roman" w:cs="Times New Roman"/>
          <w:sz w:val="24"/>
          <w:szCs w:val="24"/>
        </w:rPr>
      </w:pPr>
      <w:r w:rsidRPr="00EB6B72">
        <w:rPr>
          <w:rFonts w:ascii="Times New Roman" w:hAnsi="Times New Roman" w:cs="Times New Roman"/>
          <w:sz w:val="24"/>
          <w:szCs w:val="24"/>
        </w:rPr>
        <w:t>Key Priorities for 20</w:t>
      </w:r>
      <w:r w:rsidR="00B87B57">
        <w:rPr>
          <w:rFonts w:ascii="Times New Roman" w:hAnsi="Times New Roman" w:cs="Times New Roman"/>
          <w:sz w:val="24"/>
          <w:szCs w:val="24"/>
        </w:rPr>
        <w:t>20</w:t>
      </w:r>
      <w:r w:rsidRPr="00EB6B72">
        <w:rPr>
          <w:rFonts w:ascii="Times New Roman" w:hAnsi="Times New Roman" w:cs="Times New Roman"/>
          <w:sz w:val="24"/>
          <w:szCs w:val="24"/>
        </w:rPr>
        <w:t>/202</w:t>
      </w:r>
      <w:r w:rsidR="00B87B57">
        <w:rPr>
          <w:rFonts w:ascii="Times New Roman" w:hAnsi="Times New Roman" w:cs="Times New Roman"/>
          <w:sz w:val="24"/>
          <w:szCs w:val="24"/>
        </w:rPr>
        <w:t>1</w:t>
      </w:r>
      <w:r w:rsidRPr="00EB6B72">
        <w:rPr>
          <w:rFonts w:ascii="Times New Roman" w:hAnsi="Times New Roman" w:cs="Times New Roman"/>
          <w:sz w:val="24"/>
          <w:szCs w:val="24"/>
        </w:rPr>
        <w:t xml:space="preserve"> financial year:</w:t>
      </w:r>
    </w:p>
    <w:p w:rsidR="00252C96" w:rsidRPr="00252C96" w:rsidRDefault="00252C96" w:rsidP="00252C96">
      <w:pPr>
        <w:numPr>
          <w:ilvl w:val="0"/>
          <w:numId w:val="12"/>
        </w:numPr>
        <w:spacing w:line="276" w:lineRule="auto"/>
        <w:contextualSpacing/>
        <w:jc w:val="both"/>
        <w:rPr>
          <w:rFonts w:ascii="Times New Roman" w:hAnsi="Times New Roman" w:cs="Times New Roman"/>
          <w:sz w:val="24"/>
          <w:szCs w:val="24"/>
        </w:rPr>
      </w:pPr>
      <w:r w:rsidRPr="00252C96">
        <w:rPr>
          <w:rFonts w:ascii="Times New Roman" w:hAnsi="Times New Roman" w:cs="Times New Roman"/>
          <w:sz w:val="24"/>
          <w:szCs w:val="24"/>
        </w:rPr>
        <w:t>Finalisation of IPID Amendment Bill;</w:t>
      </w:r>
    </w:p>
    <w:p w:rsidR="00252C96" w:rsidRPr="00252C96" w:rsidRDefault="00252C96" w:rsidP="00252C96">
      <w:pPr>
        <w:numPr>
          <w:ilvl w:val="0"/>
          <w:numId w:val="12"/>
        </w:numPr>
        <w:spacing w:line="276" w:lineRule="auto"/>
        <w:contextualSpacing/>
        <w:jc w:val="both"/>
        <w:rPr>
          <w:rFonts w:ascii="Times New Roman" w:hAnsi="Times New Roman" w:cs="Times New Roman"/>
          <w:sz w:val="24"/>
          <w:szCs w:val="24"/>
        </w:rPr>
      </w:pPr>
      <w:r w:rsidRPr="00252C96">
        <w:rPr>
          <w:rFonts w:ascii="Times New Roman" w:hAnsi="Times New Roman" w:cs="Times New Roman"/>
          <w:sz w:val="24"/>
          <w:szCs w:val="24"/>
        </w:rPr>
        <w:t>Targets for backlog and current active cases were merged to ensure that all cases receive same attention to contribute towards attainment of APP targets for each classification;</w:t>
      </w:r>
    </w:p>
    <w:p w:rsidR="00252C96" w:rsidRPr="00252C96" w:rsidRDefault="00252C96" w:rsidP="00252C96">
      <w:pPr>
        <w:numPr>
          <w:ilvl w:val="0"/>
          <w:numId w:val="12"/>
        </w:numPr>
        <w:spacing w:line="276" w:lineRule="auto"/>
        <w:contextualSpacing/>
        <w:jc w:val="both"/>
        <w:rPr>
          <w:rFonts w:ascii="Times New Roman" w:hAnsi="Times New Roman" w:cs="Times New Roman"/>
          <w:sz w:val="24"/>
          <w:szCs w:val="24"/>
        </w:rPr>
      </w:pPr>
      <w:r w:rsidRPr="00252C96">
        <w:rPr>
          <w:rFonts w:ascii="Times New Roman" w:hAnsi="Times New Roman" w:cs="Times New Roman"/>
          <w:sz w:val="24"/>
          <w:szCs w:val="24"/>
        </w:rPr>
        <w:t>Prioritisation of cases including GBV in terms of high impact;</w:t>
      </w:r>
    </w:p>
    <w:p w:rsidR="00252C96" w:rsidRPr="00252C96" w:rsidRDefault="00252C96" w:rsidP="00252C96">
      <w:pPr>
        <w:numPr>
          <w:ilvl w:val="0"/>
          <w:numId w:val="12"/>
        </w:numPr>
        <w:spacing w:line="276" w:lineRule="auto"/>
        <w:contextualSpacing/>
        <w:jc w:val="both"/>
        <w:rPr>
          <w:rFonts w:ascii="Times New Roman" w:hAnsi="Times New Roman" w:cs="Times New Roman"/>
          <w:sz w:val="24"/>
          <w:szCs w:val="24"/>
        </w:rPr>
      </w:pPr>
      <w:r w:rsidRPr="00252C96">
        <w:rPr>
          <w:rFonts w:ascii="Times New Roman" w:hAnsi="Times New Roman" w:cs="Times New Roman"/>
          <w:sz w:val="24"/>
          <w:szCs w:val="24"/>
        </w:rPr>
        <w:t>Funds were identified to finalise implementation of Section 23;</w:t>
      </w:r>
    </w:p>
    <w:p w:rsidR="00252C96" w:rsidRPr="00252C96" w:rsidRDefault="00252C96" w:rsidP="00252C96">
      <w:pPr>
        <w:numPr>
          <w:ilvl w:val="0"/>
          <w:numId w:val="12"/>
        </w:numPr>
        <w:spacing w:line="276" w:lineRule="auto"/>
        <w:contextualSpacing/>
        <w:jc w:val="both"/>
        <w:rPr>
          <w:rFonts w:ascii="Times New Roman" w:hAnsi="Times New Roman" w:cs="Times New Roman"/>
          <w:sz w:val="24"/>
          <w:szCs w:val="24"/>
        </w:rPr>
      </w:pPr>
      <w:r w:rsidRPr="00252C96">
        <w:rPr>
          <w:rFonts w:ascii="Times New Roman" w:hAnsi="Times New Roman" w:cs="Times New Roman"/>
          <w:sz w:val="24"/>
          <w:szCs w:val="24"/>
        </w:rPr>
        <w:t>Continue to upgrade ICT infrastructure and Case Management System in support of business operations;</w:t>
      </w:r>
    </w:p>
    <w:p w:rsidR="00252C96" w:rsidRPr="00252C96" w:rsidRDefault="00252C96" w:rsidP="00252C96">
      <w:pPr>
        <w:numPr>
          <w:ilvl w:val="0"/>
          <w:numId w:val="12"/>
        </w:numPr>
        <w:spacing w:line="276" w:lineRule="auto"/>
        <w:contextualSpacing/>
        <w:jc w:val="both"/>
        <w:rPr>
          <w:rFonts w:ascii="Times New Roman" w:hAnsi="Times New Roman" w:cs="Times New Roman"/>
          <w:sz w:val="24"/>
          <w:szCs w:val="24"/>
        </w:rPr>
      </w:pPr>
      <w:r w:rsidRPr="00252C96">
        <w:rPr>
          <w:rFonts w:ascii="Times New Roman" w:hAnsi="Times New Roman" w:cs="Times New Roman"/>
          <w:sz w:val="24"/>
          <w:szCs w:val="24"/>
        </w:rPr>
        <w:t xml:space="preserve">Procurement of basic investigative equipment such as, disposable coveralls to ensure effective and efficient investigation of cases; </w:t>
      </w:r>
    </w:p>
    <w:p w:rsidR="00252C96" w:rsidRDefault="00435BB0" w:rsidP="00252C96">
      <w:pPr>
        <w:numPr>
          <w:ilvl w:val="0"/>
          <w:numId w:val="12"/>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Finalisation of MO</w:t>
      </w:r>
      <w:r w:rsidR="00252C96" w:rsidRPr="00252C96">
        <w:rPr>
          <w:rFonts w:ascii="Times New Roman" w:hAnsi="Times New Roman" w:cs="Times New Roman"/>
          <w:sz w:val="24"/>
          <w:szCs w:val="24"/>
        </w:rPr>
        <w:t>U with SAPS on sharing of services;</w:t>
      </w:r>
    </w:p>
    <w:p w:rsidR="00252C96" w:rsidRPr="00252C96" w:rsidRDefault="00252C96" w:rsidP="00252C96">
      <w:pPr>
        <w:numPr>
          <w:ilvl w:val="0"/>
          <w:numId w:val="12"/>
        </w:numPr>
        <w:spacing w:line="276" w:lineRule="auto"/>
        <w:contextualSpacing/>
        <w:jc w:val="both"/>
        <w:rPr>
          <w:rFonts w:ascii="Times New Roman" w:hAnsi="Times New Roman" w:cs="Times New Roman"/>
          <w:sz w:val="24"/>
          <w:szCs w:val="24"/>
        </w:rPr>
      </w:pPr>
      <w:r w:rsidRPr="00252C96">
        <w:rPr>
          <w:rFonts w:ascii="Times New Roman" w:hAnsi="Times New Roman" w:cs="Times New Roman"/>
          <w:sz w:val="24"/>
          <w:szCs w:val="24"/>
        </w:rPr>
        <w:t xml:space="preserve">Re-opening of some Satellite Offices that were previously closed due to budget constraints </w:t>
      </w:r>
    </w:p>
    <w:p w:rsidR="00252C96" w:rsidRPr="00252C96" w:rsidRDefault="00252C96" w:rsidP="00252C96">
      <w:pPr>
        <w:numPr>
          <w:ilvl w:val="1"/>
          <w:numId w:val="13"/>
        </w:numPr>
        <w:spacing w:line="276" w:lineRule="auto"/>
        <w:contextualSpacing/>
        <w:jc w:val="both"/>
        <w:rPr>
          <w:rFonts w:ascii="Times New Roman" w:hAnsi="Times New Roman" w:cs="Times New Roman"/>
          <w:sz w:val="24"/>
          <w:szCs w:val="24"/>
        </w:rPr>
      </w:pPr>
      <w:proofErr w:type="spellStart"/>
      <w:r w:rsidRPr="00252C96">
        <w:rPr>
          <w:rFonts w:ascii="Times New Roman" w:hAnsi="Times New Roman" w:cs="Times New Roman"/>
          <w:sz w:val="24"/>
          <w:szCs w:val="24"/>
        </w:rPr>
        <w:t>Upington</w:t>
      </w:r>
      <w:proofErr w:type="spellEnd"/>
      <w:r w:rsidRPr="00252C96">
        <w:rPr>
          <w:rFonts w:ascii="Times New Roman" w:hAnsi="Times New Roman" w:cs="Times New Roman"/>
          <w:sz w:val="24"/>
          <w:szCs w:val="24"/>
        </w:rPr>
        <w:t xml:space="preserve"> (NC)</w:t>
      </w:r>
    </w:p>
    <w:p w:rsidR="00252C96" w:rsidRPr="00252C96" w:rsidRDefault="00252C96" w:rsidP="00252C96">
      <w:pPr>
        <w:numPr>
          <w:ilvl w:val="1"/>
          <w:numId w:val="13"/>
        </w:numPr>
        <w:spacing w:line="276" w:lineRule="auto"/>
        <w:contextualSpacing/>
        <w:jc w:val="both"/>
        <w:rPr>
          <w:rFonts w:ascii="Times New Roman" w:hAnsi="Times New Roman" w:cs="Times New Roman"/>
          <w:sz w:val="24"/>
          <w:szCs w:val="24"/>
        </w:rPr>
      </w:pPr>
      <w:r w:rsidRPr="00252C96">
        <w:rPr>
          <w:rFonts w:ascii="Times New Roman" w:hAnsi="Times New Roman" w:cs="Times New Roman"/>
          <w:sz w:val="24"/>
          <w:szCs w:val="24"/>
        </w:rPr>
        <w:lastRenderedPageBreak/>
        <w:t>Rustenburg (NW)</w:t>
      </w:r>
    </w:p>
    <w:p w:rsidR="00252C96" w:rsidRPr="00252C96" w:rsidRDefault="00252C96" w:rsidP="00252C96">
      <w:pPr>
        <w:numPr>
          <w:ilvl w:val="1"/>
          <w:numId w:val="13"/>
        </w:numPr>
        <w:spacing w:line="276" w:lineRule="auto"/>
        <w:contextualSpacing/>
        <w:jc w:val="both"/>
        <w:rPr>
          <w:rFonts w:ascii="Times New Roman" w:hAnsi="Times New Roman" w:cs="Times New Roman"/>
          <w:sz w:val="24"/>
          <w:szCs w:val="24"/>
        </w:rPr>
      </w:pPr>
      <w:proofErr w:type="spellStart"/>
      <w:r w:rsidRPr="00252C96">
        <w:rPr>
          <w:rFonts w:ascii="Times New Roman" w:hAnsi="Times New Roman" w:cs="Times New Roman"/>
          <w:sz w:val="24"/>
          <w:szCs w:val="24"/>
        </w:rPr>
        <w:t>Qwaqwa</w:t>
      </w:r>
      <w:proofErr w:type="spellEnd"/>
      <w:r w:rsidRPr="00252C96">
        <w:rPr>
          <w:rFonts w:ascii="Times New Roman" w:hAnsi="Times New Roman" w:cs="Times New Roman"/>
          <w:sz w:val="24"/>
          <w:szCs w:val="24"/>
        </w:rPr>
        <w:t xml:space="preserve"> (FS)</w:t>
      </w:r>
    </w:p>
    <w:p w:rsidR="00252C96" w:rsidRPr="00252C96" w:rsidRDefault="00252C96" w:rsidP="00252C96">
      <w:pPr>
        <w:numPr>
          <w:ilvl w:val="1"/>
          <w:numId w:val="13"/>
        </w:numPr>
        <w:spacing w:line="276" w:lineRule="auto"/>
        <w:contextualSpacing/>
        <w:jc w:val="both"/>
        <w:rPr>
          <w:rFonts w:ascii="Times New Roman" w:hAnsi="Times New Roman" w:cs="Times New Roman"/>
          <w:sz w:val="24"/>
          <w:szCs w:val="24"/>
        </w:rPr>
      </w:pPr>
      <w:proofErr w:type="spellStart"/>
      <w:r w:rsidRPr="00252C96">
        <w:rPr>
          <w:rFonts w:ascii="Times New Roman" w:hAnsi="Times New Roman" w:cs="Times New Roman"/>
          <w:sz w:val="24"/>
          <w:szCs w:val="24"/>
        </w:rPr>
        <w:t>Umthata</w:t>
      </w:r>
      <w:proofErr w:type="spellEnd"/>
      <w:r w:rsidRPr="00252C96">
        <w:rPr>
          <w:rFonts w:ascii="Times New Roman" w:hAnsi="Times New Roman" w:cs="Times New Roman"/>
          <w:sz w:val="24"/>
          <w:szCs w:val="24"/>
        </w:rPr>
        <w:t xml:space="preserve"> (EC)</w:t>
      </w:r>
    </w:p>
    <w:p w:rsidR="00252C96" w:rsidRDefault="00252C96" w:rsidP="00252C96">
      <w:pPr>
        <w:numPr>
          <w:ilvl w:val="0"/>
          <w:numId w:val="12"/>
        </w:numPr>
        <w:spacing w:line="276" w:lineRule="auto"/>
        <w:contextualSpacing/>
        <w:jc w:val="both"/>
        <w:rPr>
          <w:rFonts w:ascii="Times New Roman" w:hAnsi="Times New Roman" w:cs="Times New Roman"/>
          <w:sz w:val="24"/>
          <w:szCs w:val="24"/>
        </w:rPr>
      </w:pPr>
      <w:r w:rsidRPr="00252C96">
        <w:rPr>
          <w:rFonts w:ascii="Times New Roman" w:hAnsi="Times New Roman" w:cs="Times New Roman"/>
          <w:sz w:val="24"/>
          <w:szCs w:val="24"/>
        </w:rPr>
        <w:t>Conduct community outreach events and station lectures.</w:t>
      </w:r>
    </w:p>
    <w:p w:rsidR="00252C96" w:rsidRDefault="00252C96" w:rsidP="00252C96">
      <w:pPr>
        <w:spacing w:line="276" w:lineRule="auto"/>
        <w:ind w:left="720"/>
        <w:contextualSpacing/>
        <w:jc w:val="both"/>
        <w:rPr>
          <w:rFonts w:ascii="Times New Roman" w:hAnsi="Times New Roman" w:cs="Times New Roman"/>
          <w:sz w:val="24"/>
          <w:szCs w:val="24"/>
        </w:rPr>
      </w:pPr>
    </w:p>
    <w:p w:rsidR="00EB6B72" w:rsidRPr="00EB6B72" w:rsidRDefault="00EB6B72" w:rsidP="00EB6B72">
      <w:pPr>
        <w:spacing w:line="276" w:lineRule="auto"/>
        <w:jc w:val="both"/>
        <w:rPr>
          <w:rFonts w:ascii="Times New Roman" w:hAnsi="Times New Roman" w:cs="Times New Roman"/>
          <w:sz w:val="24"/>
          <w:szCs w:val="24"/>
        </w:rPr>
      </w:pPr>
    </w:p>
    <w:p w:rsidR="00EB6B72" w:rsidRPr="00EB6B72" w:rsidRDefault="00EB6B72" w:rsidP="00EB6B72">
      <w:pPr>
        <w:spacing w:line="276" w:lineRule="auto"/>
        <w:jc w:val="both"/>
        <w:rPr>
          <w:rFonts w:ascii="Times New Roman" w:hAnsi="Times New Roman" w:cs="Times New Roman"/>
          <w:sz w:val="24"/>
          <w:szCs w:val="24"/>
        </w:rPr>
      </w:pPr>
      <w:r w:rsidRPr="00EB6B72">
        <w:rPr>
          <w:rFonts w:ascii="Times New Roman" w:hAnsi="Times New Roman" w:cs="Times New Roman"/>
          <w:b/>
          <w:sz w:val="24"/>
          <w:szCs w:val="24"/>
        </w:rPr>
        <w:t>3.</w:t>
      </w:r>
      <w:r w:rsidRPr="00EB6B72">
        <w:rPr>
          <w:rFonts w:ascii="Times New Roman" w:hAnsi="Times New Roman" w:cs="Times New Roman"/>
          <w:b/>
          <w:sz w:val="24"/>
          <w:szCs w:val="24"/>
        </w:rPr>
        <w:tab/>
        <w:t>IPID BUDGET AND PERFORMANCE TARGETS FOR 2019/20</w:t>
      </w:r>
    </w:p>
    <w:p w:rsidR="00EB6B72" w:rsidRPr="00EB6B72" w:rsidRDefault="00EB6B72" w:rsidP="00EB6B72">
      <w:pPr>
        <w:spacing w:line="276" w:lineRule="auto"/>
        <w:jc w:val="both"/>
        <w:rPr>
          <w:rFonts w:ascii="Times New Roman" w:hAnsi="Times New Roman" w:cs="Times New Roman"/>
          <w:b/>
          <w:sz w:val="24"/>
          <w:szCs w:val="24"/>
        </w:rPr>
      </w:pPr>
      <w:r w:rsidRPr="00EB6B72">
        <w:rPr>
          <w:rFonts w:ascii="Times New Roman" w:hAnsi="Times New Roman" w:cs="Times New Roman"/>
          <w:b/>
          <w:sz w:val="24"/>
          <w:szCs w:val="24"/>
        </w:rPr>
        <w:tab/>
        <w:t>OVERALL BUDGET ALLOCATION</w:t>
      </w:r>
    </w:p>
    <w:p w:rsidR="00EB6B72" w:rsidRPr="0042316F" w:rsidRDefault="009000B2" w:rsidP="00EB6B72">
      <w:pPr>
        <w:spacing w:after="0" w:line="276" w:lineRule="auto"/>
        <w:jc w:val="both"/>
        <w:rPr>
          <w:rFonts w:ascii="Times New Roman" w:eastAsia="Calibri" w:hAnsi="Times New Roman" w:cs="Times New Roman"/>
          <w:sz w:val="24"/>
          <w:szCs w:val="24"/>
        </w:rPr>
      </w:pPr>
      <w:r w:rsidRPr="0042316F">
        <w:rPr>
          <w:rFonts w:ascii="Times New Roman" w:eastAsia="Calibri" w:hAnsi="Times New Roman" w:cs="Times New Roman"/>
          <w:sz w:val="24"/>
          <w:szCs w:val="24"/>
        </w:rPr>
        <w:t>The IPID received a Main Appropriation of R355.7 million in 2020/21, which is a nominal increase of 5.6%. Taking into account inflation, the Directorate’s allocation increased by 1.19%. Of the total allocation, the largest portion of funds is allocated to Current Payments (R349.4 million/98.2%), of which 69.4% is allocated to Compensation of employees and the remaining funds to Goods and services. In 2020/21, R820 thousand is allocated to Transfers and subsidies, of which R728 thousand was allocated to the Safety and Security Sector Education and Training Authority (SASSETA) and R92 thousand for Communication. The allocation of R5.5 million for Payments for capital assets are for Machinery and equipment in the Administration Programme and the Investigation and Information Management Programme.</w:t>
      </w:r>
    </w:p>
    <w:p w:rsidR="009000B2" w:rsidRPr="00EB6B72" w:rsidRDefault="009000B2" w:rsidP="00EB6B72">
      <w:pPr>
        <w:spacing w:after="0" w:line="276" w:lineRule="auto"/>
        <w:jc w:val="both"/>
        <w:rPr>
          <w:rFonts w:ascii="Times New Roman" w:eastAsia="Calibri" w:hAnsi="Times New Roman" w:cs="Times New Roman"/>
        </w:rPr>
      </w:pPr>
    </w:p>
    <w:p w:rsidR="00EB6B72" w:rsidRDefault="009000B2" w:rsidP="00EB6B72">
      <w:pPr>
        <w:spacing w:after="0" w:line="276" w:lineRule="auto"/>
        <w:jc w:val="both"/>
        <w:rPr>
          <w:rFonts w:ascii="Times New Roman" w:eastAsia="Calibri" w:hAnsi="Times New Roman" w:cs="Times New Roman"/>
          <w:b/>
        </w:rPr>
      </w:pPr>
      <w:r w:rsidRPr="009000B2">
        <w:rPr>
          <w:rFonts w:ascii="Times New Roman" w:eastAsia="Calibri" w:hAnsi="Times New Roman" w:cs="Times New Roman"/>
          <w:b/>
        </w:rPr>
        <w:t>Table 1: IPID 2020/21 Budget Summary</w:t>
      </w:r>
    </w:p>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275"/>
        <w:gridCol w:w="1134"/>
        <w:gridCol w:w="1418"/>
        <w:gridCol w:w="1276"/>
        <w:gridCol w:w="1134"/>
        <w:gridCol w:w="1238"/>
      </w:tblGrid>
      <w:tr w:rsidR="009000B2" w:rsidRPr="009000B2" w:rsidTr="009715CD">
        <w:trPr>
          <w:trHeight w:val="380"/>
        </w:trPr>
        <w:tc>
          <w:tcPr>
            <w:tcW w:w="1663" w:type="dxa"/>
          </w:tcPr>
          <w:p w:rsidR="009000B2" w:rsidRPr="009000B2" w:rsidRDefault="009000B2">
            <w:pPr>
              <w:pStyle w:val="Default"/>
              <w:rPr>
                <w:rFonts w:ascii="Times New Roman" w:hAnsi="Times New Roman" w:cs="Times New Roman"/>
                <w:sz w:val="20"/>
                <w:szCs w:val="20"/>
              </w:rPr>
            </w:pPr>
            <w:r w:rsidRPr="009000B2">
              <w:rPr>
                <w:rFonts w:ascii="Times New Roman" w:hAnsi="Times New Roman" w:cs="Times New Roman"/>
                <w:sz w:val="20"/>
                <w:szCs w:val="20"/>
              </w:rPr>
              <w:t xml:space="preserve">R million </w:t>
            </w:r>
          </w:p>
        </w:tc>
        <w:tc>
          <w:tcPr>
            <w:tcW w:w="3827" w:type="dxa"/>
            <w:gridSpan w:val="3"/>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b/>
                <w:bCs/>
                <w:sz w:val="20"/>
                <w:szCs w:val="20"/>
              </w:rPr>
              <w:t>2020/21</w:t>
            </w:r>
          </w:p>
        </w:tc>
        <w:tc>
          <w:tcPr>
            <w:tcW w:w="1276" w:type="dxa"/>
          </w:tcPr>
          <w:p w:rsidR="009000B2" w:rsidRPr="009000B2" w:rsidRDefault="009000B2">
            <w:pPr>
              <w:pStyle w:val="Default"/>
              <w:rPr>
                <w:rFonts w:ascii="Times New Roman" w:hAnsi="Times New Roman" w:cs="Times New Roman"/>
                <w:b/>
                <w:sz w:val="20"/>
                <w:szCs w:val="20"/>
              </w:rPr>
            </w:pPr>
          </w:p>
        </w:tc>
        <w:tc>
          <w:tcPr>
            <w:tcW w:w="1134" w:type="dxa"/>
          </w:tcPr>
          <w:p w:rsidR="009000B2" w:rsidRPr="009000B2" w:rsidRDefault="009000B2">
            <w:pPr>
              <w:pStyle w:val="Default"/>
              <w:rPr>
                <w:rFonts w:ascii="Times New Roman" w:hAnsi="Times New Roman" w:cs="Times New Roman"/>
                <w:b/>
                <w:sz w:val="20"/>
                <w:szCs w:val="20"/>
              </w:rPr>
            </w:pPr>
            <w:r w:rsidRPr="009000B2">
              <w:rPr>
                <w:rFonts w:ascii="Times New Roman" w:hAnsi="Times New Roman" w:cs="Times New Roman"/>
                <w:b/>
                <w:sz w:val="20"/>
                <w:szCs w:val="20"/>
              </w:rPr>
              <w:t>2021/22</w:t>
            </w:r>
          </w:p>
        </w:tc>
        <w:tc>
          <w:tcPr>
            <w:tcW w:w="1238" w:type="dxa"/>
          </w:tcPr>
          <w:p w:rsidR="009000B2" w:rsidRPr="009000B2" w:rsidRDefault="009000B2">
            <w:pPr>
              <w:pStyle w:val="Default"/>
              <w:rPr>
                <w:rFonts w:ascii="Times New Roman" w:hAnsi="Times New Roman" w:cs="Times New Roman"/>
                <w:b/>
                <w:sz w:val="20"/>
                <w:szCs w:val="20"/>
              </w:rPr>
            </w:pPr>
            <w:r w:rsidRPr="009000B2">
              <w:rPr>
                <w:rFonts w:ascii="Times New Roman" w:hAnsi="Times New Roman" w:cs="Times New Roman"/>
                <w:b/>
                <w:sz w:val="20"/>
                <w:szCs w:val="20"/>
              </w:rPr>
              <w:t>2022/23</w:t>
            </w:r>
          </w:p>
        </w:tc>
      </w:tr>
      <w:tr w:rsidR="009000B2" w:rsidRPr="009000B2" w:rsidTr="009715CD">
        <w:trPr>
          <w:trHeight w:val="233"/>
        </w:trPr>
        <w:tc>
          <w:tcPr>
            <w:tcW w:w="1663" w:type="dxa"/>
          </w:tcPr>
          <w:p w:rsidR="009000B2" w:rsidRPr="009000B2" w:rsidRDefault="009000B2">
            <w:pPr>
              <w:pStyle w:val="Default"/>
              <w:rPr>
                <w:rFonts w:ascii="Times New Roman" w:hAnsi="Times New Roman" w:cs="Times New Roman"/>
              </w:rPr>
            </w:pPr>
          </w:p>
        </w:tc>
        <w:tc>
          <w:tcPr>
            <w:tcW w:w="1275" w:type="dxa"/>
          </w:tcPr>
          <w:p w:rsidR="009000B2" w:rsidRPr="009000B2" w:rsidRDefault="009000B2">
            <w:pPr>
              <w:pStyle w:val="Default"/>
              <w:rPr>
                <w:rFonts w:ascii="Times New Roman" w:hAnsi="Times New Roman" w:cs="Times New Roman"/>
                <w:b/>
              </w:rPr>
            </w:pPr>
            <w:r w:rsidRPr="009000B2">
              <w:rPr>
                <w:rFonts w:ascii="Times New Roman" w:hAnsi="Times New Roman" w:cs="Times New Roman"/>
                <w:b/>
              </w:rPr>
              <w:t>Total</w:t>
            </w:r>
          </w:p>
        </w:tc>
        <w:tc>
          <w:tcPr>
            <w:tcW w:w="1134" w:type="dxa"/>
          </w:tcPr>
          <w:p w:rsidR="009000B2" w:rsidRPr="009000B2" w:rsidRDefault="009000B2">
            <w:pPr>
              <w:pStyle w:val="Default"/>
              <w:rPr>
                <w:rFonts w:ascii="Times New Roman" w:hAnsi="Times New Roman" w:cs="Times New Roman"/>
                <w:sz w:val="20"/>
                <w:szCs w:val="20"/>
              </w:rPr>
            </w:pPr>
            <w:r w:rsidRPr="009000B2">
              <w:rPr>
                <w:rFonts w:ascii="Times New Roman" w:hAnsi="Times New Roman" w:cs="Times New Roman"/>
                <w:b/>
                <w:bCs/>
                <w:sz w:val="20"/>
                <w:szCs w:val="20"/>
              </w:rPr>
              <w:t xml:space="preserve">Current payments </w:t>
            </w:r>
          </w:p>
        </w:tc>
        <w:tc>
          <w:tcPr>
            <w:tcW w:w="1418" w:type="dxa"/>
          </w:tcPr>
          <w:p w:rsidR="009000B2" w:rsidRPr="009000B2" w:rsidRDefault="009000B2">
            <w:pPr>
              <w:pStyle w:val="Default"/>
              <w:rPr>
                <w:rFonts w:ascii="Times New Roman" w:hAnsi="Times New Roman" w:cs="Times New Roman"/>
                <w:sz w:val="20"/>
                <w:szCs w:val="20"/>
              </w:rPr>
            </w:pPr>
            <w:r w:rsidRPr="009000B2">
              <w:rPr>
                <w:rFonts w:ascii="Times New Roman" w:hAnsi="Times New Roman" w:cs="Times New Roman"/>
                <w:b/>
                <w:bCs/>
                <w:sz w:val="20"/>
                <w:szCs w:val="20"/>
              </w:rPr>
              <w:t xml:space="preserve">Transfers and subsidies </w:t>
            </w:r>
          </w:p>
        </w:tc>
        <w:tc>
          <w:tcPr>
            <w:tcW w:w="1276" w:type="dxa"/>
          </w:tcPr>
          <w:p w:rsidR="009000B2" w:rsidRPr="009000B2" w:rsidRDefault="009000B2">
            <w:pPr>
              <w:pStyle w:val="Default"/>
              <w:rPr>
                <w:rFonts w:ascii="Times New Roman" w:hAnsi="Times New Roman" w:cs="Times New Roman"/>
                <w:sz w:val="20"/>
                <w:szCs w:val="20"/>
              </w:rPr>
            </w:pPr>
            <w:r w:rsidRPr="009000B2">
              <w:rPr>
                <w:rFonts w:ascii="Times New Roman" w:hAnsi="Times New Roman" w:cs="Times New Roman"/>
                <w:b/>
                <w:bCs/>
                <w:sz w:val="20"/>
                <w:szCs w:val="20"/>
              </w:rPr>
              <w:t xml:space="preserve">Payments for capital assets </w:t>
            </w:r>
          </w:p>
        </w:tc>
        <w:tc>
          <w:tcPr>
            <w:tcW w:w="1134" w:type="dxa"/>
          </w:tcPr>
          <w:p w:rsidR="009000B2" w:rsidRPr="009000B2" w:rsidRDefault="009000B2">
            <w:pPr>
              <w:pStyle w:val="Default"/>
              <w:rPr>
                <w:rFonts w:ascii="Times New Roman" w:hAnsi="Times New Roman" w:cs="Times New Roman"/>
              </w:rPr>
            </w:pPr>
            <w:r w:rsidRPr="009000B2">
              <w:rPr>
                <w:rFonts w:ascii="Times New Roman" w:hAnsi="Times New Roman" w:cs="Times New Roman"/>
              </w:rPr>
              <w:t xml:space="preserve">Total </w:t>
            </w:r>
          </w:p>
        </w:tc>
        <w:tc>
          <w:tcPr>
            <w:tcW w:w="1238" w:type="dxa"/>
          </w:tcPr>
          <w:p w:rsidR="009000B2" w:rsidRPr="009000B2" w:rsidRDefault="009000B2">
            <w:pPr>
              <w:pStyle w:val="Default"/>
              <w:rPr>
                <w:rFonts w:ascii="Times New Roman" w:hAnsi="Times New Roman" w:cs="Times New Roman"/>
              </w:rPr>
            </w:pPr>
            <w:r w:rsidRPr="009000B2">
              <w:rPr>
                <w:rFonts w:ascii="Times New Roman" w:hAnsi="Times New Roman" w:cs="Times New Roman"/>
              </w:rPr>
              <w:t xml:space="preserve">Total </w:t>
            </w:r>
          </w:p>
        </w:tc>
      </w:tr>
      <w:tr w:rsidR="009000B2" w:rsidRPr="009000B2" w:rsidTr="009000B2">
        <w:trPr>
          <w:trHeight w:val="93"/>
        </w:trPr>
        <w:tc>
          <w:tcPr>
            <w:tcW w:w="9138" w:type="dxa"/>
            <w:gridSpan w:val="7"/>
          </w:tcPr>
          <w:p w:rsidR="009000B2" w:rsidRPr="009000B2" w:rsidRDefault="009000B2">
            <w:pPr>
              <w:pStyle w:val="Default"/>
              <w:rPr>
                <w:rFonts w:ascii="Times New Roman" w:hAnsi="Times New Roman" w:cs="Times New Roman"/>
                <w:sz w:val="20"/>
                <w:szCs w:val="20"/>
              </w:rPr>
            </w:pPr>
            <w:r w:rsidRPr="009000B2">
              <w:rPr>
                <w:rFonts w:ascii="Times New Roman" w:hAnsi="Times New Roman" w:cs="Times New Roman"/>
                <w:b/>
                <w:bCs/>
                <w:sz w:val="20"/>
                <w:szCs w:val="20"/>
              </w:rPr>
              <w:t xml:space="preserve">MTEF allocation </w:t>
            </w:r>
          </w:p>
        </w:tc>
      </w:tr>
      <w:tr w:rsidR="009000B2" w:rsidRPr="009000B2" w:rsidTr="009715CD">
        <w:trPr>
          <w:trHeight w:val="93"/>
        </w:trPr>
        <w:tc>
          <w:tcPr>
            <w:tcW w:w="1663" w:type="dxa"/>
          </w:tcPr>
          <w:p w:rsidR="009000B2" w:rsidRPr="009000B2" w:rsidRDefault="009000B2">
            <w:pPr>
              <w:pStyle w:val="Default"/>
              <w:rPr>
                <w:rFonts w:ascii="Times New Roman" w:hAnsi="Times New Roman" w:cs="Times New Roman"/>
                <w:sz w:val="20"/>
                <w:szCs w:val="20"/>
              </w:rPr>
            </w:pPr>
            <w:r w:rsidRPr="009000B2">
              <w:rPr>
                <w:rFonts w:ascii="Times New Roman" w:hAnsi="Times New Roman" w:cs="Times New Roman"/>
                <w:sz w:val="20"/>
                <w:szCs w:val="20"/>
              </w:rPr>
              <w:t xml:space="preserve">Administration </w:t>
            </w:r>
          </w:p>
        </w:tc>
        <w:tc>
          <w:tcPr>
            <w:tcW w:w="1275"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105.0</w:t>
            </w:r>
          </w:p>
        </w:tc>
        <w:tc>
          <w:tcPr>
            <w:tcW w:w="1134"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101.1</w:t>
            </w:r>
          </w:p>
        </w:tc>
        <w:tc>
          <w:tcPr>
            <w:tcW w:w="1418"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0.728</w:t>
            </w:r>
          </w:p>
        </w:tc>
        <w:tc>
          <w:tcPr>
            <w:tcW w:w="1276"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3.2</w:t>
            </w:r>
          </w:p>
        </w:tc>
        <w:tc>
          <w:tcPr>
            <w:tcW w:w="1134"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111.6</w:t>
            </w:r>
          </w:p>
        </w:tc>
        <w:tc>
          <w:tcPr>
            <w:tcW w:w="1238"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121.5</w:t>
            </w:r>
          </w:p>
        </w:tc>
      </w:tr>
      <w:tr w:rsidR="009000B2" w:rsidRPr="009000B2" w:rsidTr="009715CD">
        <w:trPr>
          <w:trHeight w:val="234"/>
        </w:trPr>
        <w:tc>
          <w:tcPr>
            <w:tcW w:w="1663" w:type="dxa"/>
          </w:tcPr>
          <w:p w:rsidR="009000B2" w:rsidRPr="009000B2" w:rsidRDefault="009000B2">
            <w:pPr>
              <w:pStyle w:val="Default"/>
              <w:rPr>
                <w:rFonts w:ascii="Times New Roman" w:hAnsi="Times New Roman" w:cs="Times New Roman"/>
                <w:sz w:val="20"/>
                <w:szCs w:val="20"/>
              </w:rPr>
            </w:pPr>
            <w:r w:rsidRPr="009000B2">
              <w:rPr>
                <w:rFonts w:ascii="Times New Roman" w:hAnsi="Times New Roman" w:cs="Times New Roman"/>
                <w:sz w:val="20"/>
                <w:szCs w:val="20"/>
              </w:rPr>
              <w:t xml:space="preserve">Investigation and Information Management </w:t>
            </w:r>
          </w:p>
        </w:tc>
        <w:tc>
          <w:tcPr>
            <w:tcW w:w="1275"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231.0</w:t>
            </w:r>
          </w:p>
        </w:tc>
        <w:tc>
          <w:tcPr>
            <w:tcW w:w="1134"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228.6</w:t>
            </w:r>
          </w:p>
        </w:tc>
        <w:tc>
          <w:tcPr>
            <w:tcW w:w="1418"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0.28</w:t>
            </w:r>
          </w:p>
        </w:tc>
        <w:tc>
          <w:tcPr>
            <w:tcW w:w="1276"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2.3</w:t>
            </w:r>
          </w:p>
        </w:tc>
        <w:tc>
          <w:tcPr>
            <w:tcW w:w="1134"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245.0</w:t>
            </w:r>
          </w:p>
        </w:tc>
        <w:tc>
          <w:tcPr>
            <w:tcW w:w="1238"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248.9</w:t>
            </w:r>
          </w:p>
        </w:tc>
      </w:tr>
      <w:tr w:rsidR="009000B2" w:rsidRPr="009000B2" w:rsidTr="009715CD">
        <w:trPr>
          <w:trHeight w:val="233"/>
        </w:trPr>
        <w:tc>
          <w:tcPr>
            <w:tcW w:w="1663" w:type="dxa"/>
          </w:tcPr>
          <w:p w:rsidR="009000B2" w:rsidRPr="009000B2" w:rsidRDefault="009000B2">
            <w:pPr>
              <w:pStyle w:val="Default"/>
              <w:rPr>
                <w:rFonts w:ascii="Times New Roman" w:hAnsi="Times New Roman" w:cs="Times New Roman"/>
                <w:sz w:val="20"/>
                <w:szCs w:val="20"/>
              </w:rPr>
            </w:pPr>
            <w:r w:rsidRPr="009000B2">
              <w:rPr>
                <w:rFonts w:ascii="Times New Roman" w:hAnsi="Times New Roman" w:cs="Times New Roman"/>
                <w:sz w:val="20"/>
                <w:szCs w:val="20"/>
              </w:rPr>
              <w:t xml:space="preserve">Legal and Investigation Advisory Services </w:t>
            </w:r>
          </w:p>
        </w:tc>
        <w:tc>
          <w:tcPr>
            <w:tcW w:w="1275"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6.9</w:t>
            </w:r>
          </w:p>
        </w:tc>
        <w:tc>
          <w:tcPr>
            <w:tcW w:w="1134"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6.9</w:t>
            </w:r>
          </w:p>
        </w:tc>
        <w:tc>
          <w:tcPr>
            <w:tcW w:w="1418" w:type="dxa"/>
          </w:tcPr>
          <w:p w:rsidR="009000B2" w:rsidRPr="009000B2" w:rsidRDefault="009000B2" w:rsidP="009000B2">
            <w:pPr>
              <w:pStyle w:val="Default"/>
              <w:jc w:val="center"/>
              <w:rPr>
                <w:rFonts w:ascii="Times New Roman" w:hAnsi="Times New Roman" w:cs="Times New Roman"/>
              </w:rPr>
            </w:pPr>
            <w:r w:rsidRPr="009000B2">
              <w:rPr>
                <w:rFonts w:ascii="Times New Roman" w:hAnsi="Times New Roman" w:cs="Times New Roman"/>
              </w:rPr>
              <w:t>–</w:t>
            </w:r>
          </w:p>
        </w:tc>
        <w:tc>
          <w:tcPr>
            <w:tcW w:w="1276" w:type="dxa"/>
          </w:tcPr>
          <w:p w:rsidR="009000B2" w:rsidRPr="009000B2" w:rsidRDefault="009000B2" w:rsidP="009000B2">
            <w:pPr>
              <w:pStyle w:val="Default"/>
              <w:jc w:val="center"/>
              <w:rPr>
                <w:rFonts w:ascii="Times New Roman" w:hAnsi="Times New Roman" w:cs="Times New Roman"/>
              </w:rPr>
            </w:pPr>
            <w:r w:rsidRPr="009000B2">
              <w:rPr>
                <w:rFonts w:ascii="Times New Roman" w:hAnsi="Times New Roman" w:cs="Times New Roman"/>
              </w:rPr>
              <w:t>–</w:t>
            </w:r>
          </w:p>
        </w:tc>
        <w:tc>
          <w:tcPr>
            <w:tcW w:w="1134"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7.5</w:t>
            </w:r>
          </w:p>
        </w:tc>
        <w:tc>
          <w:tcPr>
            <w:tcW w:w="1238"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8.6</w:t>
            </w:r>
          </w:p>
        </w:tc>
      </w:tr>
      <w:tr w:rsidR="009000B2" w:rsidRPr="009000B2" w:rsidTr="009715CD">
        <w:trPr>
          <w:trHeight w:val="233"/>
        </w:trPr>
        <w:tc>
          <w:tcPr>
            <w:tcW w:w="1663" w:type="dxa"/>
          </w:tcPr>
          <w:p w:rsidR="009000B2" w:rsidRPr="009000B2" w:rsidRDefault="009000B2">
            <w:pPr>
              <w:pStyle w:val="Default"/>
              <w:rPr>
                <w:rFonts w:ascii="Times New Roman" w:hAnsi="Times New Roman" w:cs="Times New Roman"/>
                <w:sz w:val="20"/>
                <w:szCs w:val="20"/>
              </w:rPr>
            </w:pPr>
            <w:r w:rsidRPr="009000B2">
              <w:rPr>
                <w:rFonts w:ascii="Times New Roman" w:hAnsi="Times New Roman" w:cs="Times New Roman"/>
                <w:sz w:val="20"/>
                <w:szCs w:val="20"/>
              </w:rPr>
              <w:t xml:space="preserve">Compliance Monitoring and Stakeholder Management </w:t>
            </w:r>
          </w:p>
        </w:tc>
        <w:tc>
          <w:tcPr>
            <w:tcW w:w="1275"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12.7</w:t>
            </w:r>
          </w:p>
        </w:tc>
        <w:tc>
          <w:tcPr>
            <w:tcW w:w="1134"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12.7</w:t>
            </w:r>
          </w:p>
        </w:tc>
        <w:tc>
          <w:tcPr>
            <w:tcW w:w="1418" w:type="dxa"/>
          </w:tcPr>
          <w:p w:rsidR="009000B2" w:rsidRPr="009000B2" w:rsidRDefault="009000B2" w:rsidP="009000B2">
            <w:pPr>
              <w:pStyle w:val="Default"/>
              <w:jc w:val="center"/>
              <w:rPr>
                <w:rFonts w:ascii="Times New Roman" w:hAnsi="Times New Roman" w:cs="Times New Roman"/>
              </w:rPr>
            </w:pPr>
            <w:r w:rsidRPr="009000B2">
              <w:rPr>
                <w:rFonts w:ascii="Times New Roman" w:hAnsi="Times New Roman" w:cs="Times New Roman"/>
              </w:rPr>
              <w:t>–</w:t>
            </w:r>
          </w:p>
        </w:tc>
        <w:tc>
          <w:tcPr>
            <w:tcW w:w="1276" w:type="dxa"/>
          </w:tcPr>
          <w:p w:rsidR="009000B2" w:rsidRPr="009000B2" w:rsidRDefault="009000B2" w:rsidP="009000B2">
            <w:pPr>
              <w:pStyle w:val="Default"/>
              <w:jc w:val="center"/>
              <w:rPr>
                <w:rFonts w:ascii="Times New Roman" w:hAnsi="Times New Roman" w:cs="Times New Roman"/>
              </w:rPr>
            </w:pPr>
            <w:r w:rsidRPr="009000B2">
              <w:rPr>
                <w:rFonts w:ascii="Times New Roman" w:hAnsi="Times New Roman" w:cs="Times New Roman"/>
              </w:rPr>
              <w:t>–</w:t>
            </w:r>
          </w:p>
        </w:tc>
        <w:tc>
          <w:tcPr>
            <w:tcW w:w="1134"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13.6</w:t>
            </w:r>
          </w:p>
        </w:tc>
        <w:tc>
          <w:tcPr>
            <w:tcW w:w="1238"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sz w:val="20"/>
                <w:szCs w:val="20"/>
              </w:rPr>
              <w:t>14.5</w:t>
            </w:r>
          </w:p>
        </w:tc>
      </w:tr>
      <w:tr w:rsidR="009000B2" w:rsidRPr="009000B2" w:rsidTr="009715CD">
        <w:trPr>
          <w:trHeight w:val="93"/>
        </w:trPr>
        <w:tc>
          <w:tcPr>
            <w:tcW w:w="1663" w:type="dxa"/>
          </w:tcPr>
          <w:p w:rsidR="009000B2" w:rsidRPr="009000B2" w:rsidRDefault="009000B2">
            <w:pPr>
              <w:pStyle w:val="Default"/>
              <w:rPr>
                <w:rFonts w:ascii="Times New Roman" w:hAnsi="Times New Roman" w:cs="Times New Roman"/>
                <w:sz w:val="20"/>
                <w:szCs w:val="20"/>
              </w:rPr>
            </w:pPr>
            <w:r w:rsidRPr="009000B2">
              <w:rPr>
                <w:rFonts w:ascii="Times New Roman" w:hAnsi="Times New Roman" w:cs="Times New Roman"/>
                <w:b/>
                <w:bCs/>
                <w:sz w:val="20"/>
                <w:szCs w:val="20"/>
              </w:rPr>
              <w:t xml:space="preserve">Total expenditure estimates </w:t>
            </w:r>
          </w:p>
        </w:tc>
        <w:tc>
          <w:tcPr>
            <w:tcW w:w="1275"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b/>
                <w:bCs/>
                <w:sz w:val="20"/>
                <w:szCs w:val="20"/>
              </w:rPr>
              <w:t>355.7</w:t>
            </w:r>
          </w:p>
        </w:tc>
        <w:tc>
          <w:tcPr>
            <w:tcW w:w="1134"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b/>
                <w:bCs/>
                <w:sz w:val="20"/>
                <w:szCs w:val="20"/>
              </w:rPr>
              <w:t>349.4</w:t>
            </w:r>
          </w:p>
        </w:tc>
        <w:tc>
          <w:tcPr>
            <w:tcW w:w="1418"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b/>
                <w:bCs/>
                <w:sz w:val="20"/>
                <w:szCs w:val="20"/>
              </w:rPr>
              <w:t>0.82</w:t>
            </w:r>
          </w:p>
        </w:tc>
        <w:tc>
          <w:tcPr>
            <w:tcW w:w="1276"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b/>
                <w:bCs/>
                <w:sz w:val="20"/>
                <w:szCs w:val="20"/>
              </w:rPr>
              <w:t>5.5</w:t>
            </w:r>
          </w:p>
        </w:tc>
        <w:tc>
          <w:tcPr>
            <w:tcW w:w="1134"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b/>
                <w:bCs/>
                <w:sz w:val="20"/>
                <w:szCs w:val="20"/>
              </w:rPr>
              <w:t>377.7</w:t>
            </w:r>
          </w:p>
        </w:tc>
        <w:tc>
          <w:tcPr>
            <w:tcW w:w="1238" w:type="dxa"/>
          </w:tcPr>
          <w:p w:rsidR="009000B2" w:rsidRPr="009000B2" w:rsidRDefault="009000B2" w:rsidP="009000B2">
            <w:pPr>
              <w:pStyle w:val="Default"/>
              <w:jc w:val="center"/>
              <w:rPr>
                <w:rFonts w:ascii="Times New Roman" w:hAnsi="Times New Roman" w:cs="Times New Roman"/>
                <w:sz w:val="20"/>
                <w:szCs w:val="20"/>
              </w:rPr>
            </w:pPr>
            <w:r w:rsidRPr="009000B2">
              <w:rPr>
                <w:rFonts w:ascii="Times New Roman" w:hAnsi="Times New Roman" w:cs="Times New Roman"/>
                <w:b/>
                <w:bCs/>
                <w:sz w:val="20"/>
                <w:szCs w:val="20"/>
              </w:rPr>
              <w:t>393.4</w:t>
            </w:r>
          </w:p>
        </w:tc>
      </w:tr>
    </w:tbl>
    <w:p w:rsidR="00EB6B72" w:rsidRDefault="00EB6B72" w:rsidP="00EB6B72">
      <w:pPr>
        <w:autoSpaceDE w:val="0"/>
        <w:autoSpaceDN w:val="0"/>
        <w:adjustRightInd w:val="0"/>
        <w:spacing w:after="0" w:line="280" w:lineRule="exact"/>
        <w:jc w:val="right"/>
        <w:rPr>
          <w:rFonts w:ascii="Times New Roman" w:eastAsia="Calibri" w:hAnsi="Times New Roman" w:cs="Times New Roman"/>
          <w:b/>
        </w:rPr>
      </w:pPr>
      <w:r w:rsidRPr="00EB6B72">
        <w:rPr>
          <w:rFonts w:ascii="Times New Roman" w:eastAsia="Calibri" w:hAnsi="Times New Roman" w:cs="Times New Roman"/>
          <w:b/>
        </w:rPr>
        <w:t>Source: National Treasury (20</w:t>
      </w:r>
      <w:r w:rsidR="009000B2">
        <w:rPr>
          <w:rFonts w:ascii="Times New Roman" w:eastAsia="Calibri" w:hAnsi="Times New Roman" w:cs="Times New Roman"/>
          <w:b/>
        </w:rPr>
        <w:t>20</w:t>
      </w:r>
      <w:r w:rsidRPr="00EB6B72">
        <w:rPr>
          <w:rFonts w:ascii="Times New Roman" w:eastAsia="Calibri" w:hAnsi="Times New Roman" w:cs="Times New Roman"/>
          <w:b/>
        </w:rPr>
        <w:t>)</w:t>
      </w:r>
    </w:p>
    <w:p w:rsidR="00B110E4" w:rsidRDefault="00B110E4" w:rsidP="00B110E4">
      <w:pPr>
        <w:autoSpaceDE w:val="0"/>
        <w:autoSpaceDN w:val="0"/>
        <w:adjustRightInd w:val="0"/>
        <w:spacing w:after="0" w:line="280" w:lineRule="exact"/>
        <w:rPr>
          <w:rFonts w:ascii="Times New Roman" w:eastAsia="Calibri" w:hAnsi="Times New Roman" w:cs="Times New Roman"/>
          <w:sz w:val="24"/>
          <w:szCs w:val="24"/>
        </w:rPr>
      </w:pPr>
    </w:p>
    <w:p w:rsidR="004818B3" w:rsidRPr="004818B3" w:rsidRDefault="00B110E4" w:rsidP="004818B3">
      <w:pPr>
        <w:keepNext/>
        <w:keepLines/>
        <w:spacing w:after="0" w:line="280" w:lineRule="exact"/>
        <w:jc w:val="both"/>
        <w:outlineLvl w:val="0"/>
        <w:rPr>
          <w:rFonts w:ascii="Times New Roman" w:eastAsia="Calibri" w:hAnsi="Times New Roman" w:cs="Times New Roman"/>
          <w:sz w:val="24"/>
          <w:szCs w:val="24"/>
        </w:rPr>
      </w:pPr>
      <w:bookmarkStart w:id="1" w:name="_Toc12872908"/>
      <w:r>
        <w:rPr>
          <w:rFonts w:ascii="Times New Roman" w:eastAsia="Calibri" w:hAnsi="Times New Roman" w:cs="Times New Roman"/>
          <w:sz w:val="24"/>
          <w:szCs w:val="24"/>
        </w:rPr>
        <w:lastRenderedPageBreak/>
        <w:t>T</w:t>
      </w:r>
      <w:r w:rsidR="004818B3" w:rsidRPr="004818B3">
        <w:rPr>
          <w:rFonts w:ascii="Times New Roman" w:eastAsia="Calibri" w:hAnsi="Times New Roman" w:cs="Times New Roman"/>
          <w:sz w:val="24"/>
          <w:szCs w:val="24"/>
        </w:rPr>
        <w:t>he Administration Programme received an allocation of R105 million in 2020/21, which is a nominal increase of 13.39% when compared to the previous financial year. Proportionally, the Administration Programme received 29.52% of the total budget allocation of the Directorate.</w:t>
      </w:r>
    </w:p>
    <w:p w:rsidR="004818B3" w:rsidRDefault="004818B3" w:rsidP="004818B3">
      <w:pPr>
        <w:keepNext/>
        <w:keepLines/>
        <w:spacing w:after="0" w:line="280" w:lineRule="exact"/>
        <w:jc w:val="both"/>
        <w:outlineLvl w:val="0"/>
        <w:rPr>
          <w:rFonts w:ascii="Times New Roman" w:eastAsia="Calibri" w:hAnsi="Times New Roman" w:cs="Times New Roman"/>
          <w:sz w:val="24"/>
          <w:szCs w:val="24"/>
        </w:rPr>
      </w:pPr>
    </w:p>
    <w:p w:rsidR="00EB6B72" w:rsidRDefault="004818B3" w:rsidP="004818B3">
      <w:pPr>
        <w:keepNext/>
        <w:keepLines/>
        <w:spacing w:after="0" w:line="280" w:lineRule="exact"/>
        <w:jc w:val="both"/>
        <w:outlineLvl w:val="0"/>
        <w:rPr>
          <w:rFonts w:ascii="Times New Roman" w:eastAsia="Calibri" w:hAnsi="Times New Roman" w:cs="Times New Roman"/>
          <w:sz w:val="24"/>
          <w:szCs w:val="24"/>
        </w:rPr>
      </w:pPr>
      <w:r w:rsidRPr="004818B3">
        <w:rPr>
          <w:rFonts w:ascii="Times New Roman" w:eastAsia="Calibri" w:hAnsi="Times New Roman" w:cs="Times New Roman"/>
          <w:sz w:val="24"/>
          <w:szCs w:val="24"/>
        </w:rPr>
        <w:t>The Investigation and Information Management Programme performs the core mandate of the Directorate and as such, the Programme received 64.94% of the Directorate’s total budget allocation. In 2020/21, the Programme received a budget allocation of R231 million, which is a nominal increase of 1.99%. However</w:t>
      </w:r>
      <w:r>
        <w:rPr>
          <w:rFonts w:ascii="Times New Roman" w:eastAsia="Calibri" w:hAnsi="Times New Roman" w:cs="Times New Roman"/>
          <w:sz w:val="24"/>
          <w:szCs w:val="24"/>
        </w:rPr>
        <w:t>,</w:t>
      </w:r>
      <w:r w:rsidRPr="004818B3">
        <w:rPr>
          <w:rFonts w:ascii="Times New Roman" w:eastAsia="Calibri" w:hAnsi="Times New Roman" w:cs="Times New Roman"/>
          <w:sz w:val="24"/>
          <w:szCs w:val="24"/>
        </w:rPr>
        <w:t xml:space="preserve"> when considering inflation, the Programme received a real decrease of 2.31%.</w:t>
      </w:r>
    </w:p>
    <w:p w:rsidR="00712CC2" w:rsidRDefault="00712CC2" w:rsidP="004818B3">
      <w:pPr>
        <w:keepNext/>
        <w:keepLines/>
        <w:spacing w:after="0" w:line="280" w:lineRule="exact"/>
        <w:jc w:val="both"/>
        <w:outlineLvl w:val="0"/>
        <w:rPr>
          <w:rFonts w:ascii="Times New Roman" w:eastAsia="Calibri" w:hAnsi="Times New Roman" w:cs="Times New Roman"/>
          <w:sz w:val="24"/>
          <w:szCs w:val="24"/>
        </w:rPr>
      </w:pPr>
    </w:p>
    <w:p w:rsidR="00712CC2" w:rsidRPr="00712CC2" w:rsidRDefault="00712CC2" w:rsidP="00712CC2">
      <w:pPr>
        <w:keepNext/>
        <w:keepLines/>
        <w:spacing w:after="0" w:line="280" w:lineRule="exact"/>
        <w:jc w:val="both"/>
        <w:outlineLvl w:val="0"/>
        <w:rPr>
          <w:rFonts w:ascii="Times New Roman" w:eastAsia="Calibri" w:hAnsi="Times New Roman" w:cs="Times New Roman"/>
          <w:b/>
          <w:sz w:val="24"/>
          <w:szCs w:val="24"/>
        </w:rPr>
      </w:pPr>
      <w:r w:rsidRPr="00712CC2">
        <w:rPr>
          <w:rFonts w:ascii="Times New Roman" w:eastAsia="Calibri" w:hAnsi="Times New Roman" w:cs="Times New Roman"/>
          <w:b/>
          <w:sz w:val="24"/>
          <w:szCs w:val="24"/>
        </w:rPr>
        <w:t>Table 2: IPID Expenditure over the medium-term</w:t>
      </w: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134"/>
        <w:gridCol w:w="1275"/>
        <w:gridCol w:w="1418"/>
        <w:gridCol w:w="1276"/>
        <w:gridCol w:w="1275"/>
        <w:gridCol w:w="29"/>
        <w:gridCol w:w="1347"/>
      </w:tblGrid>
      <w:tr w:rsidR="00712CC2" w:rsidRPr="00712CC2" w:rsidTr="008D0420">
        <w:trPr>
          <w:trHeight w:val="513"/>
        </w:trPr>
        <w:tc>
          <w:tcPr>
            <w:tcW w:w="1663" w:type="dxa"/>
          </w:tcPr>
          <w:p w:rsidR="00712CC2" w:rsidRPr="002F7AD4" w:rsidRDefault="00712CC2" w:rsidP="00712CC2">
            <w:pPr>
              <w:keepNext/>
              <w:keepLines/>
              <w:spacing w:after="0" w:line="280" w:lineRule="exact"/>
              <w:jc w:val="both"/>
              <w:outlineLvl w:val="0"/>
              <w:rPr>
                <w:rFonts w:ascii="Times New Roman" w:eastAsia="Calibri" w:hAnsi="Times New Roman" w:cs="Times New Roman"/>
              </w:rPr>
            </w:pPr>
            <w:r w:rsidRPr="002F7AD4">
              <w:rPr>
                <w:rFonts w:ascii="Times New Roman" w:eastAsia="Calibri" w:hAnsi="Times New Roman" w:cs="Times New Roman"/>
                <w:b/>
                <w:bCs/>
              </w:rPr>
              <w:t xml:space="preserve">Programme </w:t>
            </w:r>
          </w:p>
        </w:tc>
        <w:tc>
          <w:tcPr>
            <w:tcW w:w="2409" w:type="dxa"/>
            <w:gridSpan w:val="2"/>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b/>
                <w:bCs/>
              </w:rPr>
              <w:t>Budget</w:t>
            </w:r>
          </w:p>
        </w:tc>
        <w:tc>
          <w:tcPr>
            <w:tcW w:w="1418" w:type="dxa"/>
          </w:tcPr>
          <w:p w:rsidR="00712CC2" w:rsidRPr="002F7AD4" w:rsidRDefault="00712CC2" w:rsidP="00712CC2">
            <w:pPr>
              <w:keepNext/>
              <w:keepLines/>
              <w:spacing w:after="0" w:line="280" w:lineRule="exact"/>
              <w:jc w:val="both"/>
              <w:outlineLvl w:val="0"/>
              <w:rPr>
                <w:rFonts w:ascii="Times New Roman" w:eastAsia="Calibri" w:hAnsi="Times New Roman" w:cs="Times New Roman"/>
              </w:rPr>
            </w:pPr>
            <w:r w:rsidRPr="002F7AD4">
              <w:rPr>
                <w:rFonts w:ascii="Times New Roman" w:eastAsia="Calibri" w:hAnsi="Times New Roman" w:cs="Times New Roman"/>
                <w:b/>
                <w:bCs/>
              </w:rPr>
              <w:t xml:space="preserve">Nominal Increase / Decrease in 2020/21 </w:t>
            </w:r>
          </w:p>
        </w:tc>
        <w:tc>
          <w:tcPr>
            <w:tcW w:w="1276" w:type="dxa"/>
          </w:tcPr>
          <w:p w:rsidR="00712CC2" w:rsidRPr="002F7AD4" w:rsidRDefault="00712CC2" w:rsidP="00712CC2">
            <w:pPr>
              <w:keepNext/>
              <w:keepLines/>
              <w:spacing w:after="0" w:line="280" w:lineRule="exact"/>
              <w:jc w:val="both"/>
              <w:outlineLvl w:val="0"/>
              <w:rPr>
                <w:rFonts w:ascii="Times New Roman" w:eastAsia="Calibri" w:hAnsi="Times New Roman" w:cs="Times New Roman"/>
              </w:rPr>
            </w:pPr>
            <w:r w:rsidRPr="002F7AD4">
              <w:rPr>
                <w:rFonts w:ascii="Times New Roman" w:eastAsia="Calibri" w:hAnsi="Times New Roman" w:cs="Times New Roman"/>
                <w:b/>
                <w:bCs/>
              </w:rPr>
              <w:t xml:space="preserve">Real Increase / Decrease in 2020/21 </w:t>
            </w:r>
          </w:p>
        </w:tc>
        <w:tc>
          <w:tcPr>
            <w:tcW w:w="1275" w:type="dxa"/>
          </w:tcPr>
          <w:p w:rsidR="00712CC2" w:rsidRPr="002F7AD4" w:rsidRDefault="00712CC2" w:rsidP="00712CC2">
            <w:pPr>
              <w:keepNext/>
              <w:keepLines/>
              <w:spacing w:after="0" w:line="280" w:lineRule="exact"/>
              <w:jc w:val="both"/>
              <w:outlineLvl w:val="0"/>
              <w:rPr>
                <w:rFonts w:ascii="Times New Roman" w:eastAsia="Calibri" w:hAnsi="Times New Roman" w:cs="Times New Roman"/>
              </w:rPr>
            </w:pPr>
            <w:r w:rsidRPr="002F7AD4">
              <w:rPr>
                <w:rFonts w:ascii="Times New Roman" w:eastAsia="Calibri" w:hAnsi="Times New Roman" w:cs="Times New Roman"/>
                <w:b/>
                <w:bCs/>
              </w:rPr>
              <w:t xml:space="preserve">Nominal Percent change in 2020/21 </w:t>
            </w:r>
          </w:p>
        </w:tc>
        <w:tc>
          <w:tcPr>
            <w:tcW w:w="1376" w:type="dxa"/>
            <w:gridSpan w:val="2"/>
          </w:tcPr>
          <w:p w:rsidR="00712CC2" w:rsidRPr="002F7AD4" w:rsidRDefault="00712CC2" w:rsidP="00712CC2">
            <w:pPr>
              <w:keepNext/>
              <w:keepLines/>
              <w:spacing w:after="0" w:line="280" w:lineRule="exact"/>
              <w:jc w:val="both"/>
              <w:outlineLvl w:val="0"/>
              <w:rPr>
                <w:rFonts w:ascii="Times New Roman" w:eastAsia="Calibri" w:hAnsi="Times New Roman" w:cs="Times New Roman"/>
              </w:rPr>
            </w:pPr>
            <w:r w:rsidRPr="002F7AD4">
              <w:rPr>
                <w:rFonts w:ascii="Times New Roman" w:eastAsia="Calibri" w:hAnsi="Times New Roman" w:cs="Times New Roman"/>
                <w:b/>
                <w:bCs/>
              </w:rPr>
              <w:t xml:space="preserve">Real Percent change in 2020/21 </w:t>
            </w:r>
          </w:p>
        </w:tc>
      </w:tr>
      <w:tr w:rsidR="00712CC2" w:rsidRPr="00712CC2" w:rsidTr="008D0420">
        <w:trPr>
          <w:trHeight w:val="93"/>
        </w:trPr>
        <w:tc>
          <w:tcPr>
            <w:tcW w:w="1663" w:type="dxa"/>
          </w:tcPr>
          <w:p w:rsidR="00712CC2" w:rsidRPr="002F7AD4" w:rsidRDefault="00712CC2" w:rsidP="00712CC2">
            <w:pPr>
              <w:keepNext/>
              <w:keepLines/>
              <w:spacing w:after="0" w:line="280" w:lineRule="exact"/>
              <w:jc w:val="both"/>
              <w:outlineLvl w:val="0"/>
              <w:rPr>
                <w:rFonts w:ascii="Times New Roman" w:eastAsia="Calibri" w:hAnsi="Times New Roman" w:cs="Times New Roman"/>
              </w:rPr>
            </w:pPr>
            <w:r w:rsidRPr="002F7AD4">
              <w:rPr>
                <w:rFonts w:ascii="Times New Roman" w:eastAsia="Calibri" w:hAnsi="Times New Roman" w:cs="Times New Roman"/>
                <w:b/>
                <w:bCs/>
              </w:rPr>
              <w:t xml:space="preserve">R million </w:t>
            </w:r>
          </w:p>
        </w:tc>
        <w:tc>
          <w:tcPr>
            <w:tcW w:w="1134"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b/>
              </w:rPr>
            </w:pPr>
            <w:r w:rsidRPr="002F7AD4">
              <w:rPr>
                <w:rFonts w:ascii="Times New Roman" w:eastAsia="Calibri" w:hAnsi="Times New Roman" w:cs="Times New Roman"/>
                <w:b/>
              </w:rPr>
              <w:t>2019/20</w:t>
            </w:r>
          </w:p>
        </w:tc>
        <w:tc>
          <w:tcPr>
            <w:tcW w:w="1275"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b/>
              </w:rPr>
            </w:pPr>
            <w:r w:rsidRPr="002F7AD4">
              <w:rPr>
                <w:rFonts w:ascii="Times New Roman" w:eastAsia="Calibri" w:hAnsi="Times New Roman" w:cs="Times New Roman"/>
                <w:b/>
              </w:rPr>
              <w:t>2020/21</w:t>
            </w:r>
          </w:p>
        </w:tc>
        <w:tc>
          <w:tcPr>
            <w:tcW w:w="2694" w:type="dxa"/>
            <w:gridSpan w:val="2"/>
          </w:tcPr>
          <w:p w:rsidR="00712CC2" w:rsidRPr="002F7AD4" w:rsidRDefault="00712CC2" w:rsidP="00712CC2">
            <w:pPr>
              <w:keepNext/>
              <w:keepLines/>
              <w:spacing w:after="0" w:line="280" w:lineRule="exact"/>
              <w:jc w:val="both"/>
              <w:outlineLvl w:val="0"/>
              <w:rPr>
                <w:rFonts w:ascii="Times New Roman" w:eastAsia="Calibri" w:hAnsi="Times New Roman" w:cs="Times New Roman"/>
              </w:rPr>
            </w:pPr>
          </w:p>
        </w:tc>
        <w:tc>
          <w:tcPr>
            <w:tcW w:w="2651" w:type="dxa"/>
            <w:gridSpan w:val="3"/>
          </w:tcPr>
          <w:p w:rsidR="00712CC2" w:rsidRPr="002F7AD4" w:rsidRDefault="00712CC2" w:rsidP="00712CC2">
            <w:pPr>
              <w:keepNext/>
              <w:keepLines/>
              <w:spacing w:after="0" w:line="280" w:lineRule="exact"/>
              <w:jc w:val="both"/>
              <w:outlineLvl w:val="0"/>
              <w:rPr>
                <w:rFonts w:ascii="Times New Roman" w:eastAsia="Calibri" w:hAnsi="Times New Roman" w:cs="Times New Roman"/>
              </w:rPr>
            </w:pPr>
          </w:p>
        </w:tc>
      </w:tr>
      <w:tr w:rsidR="00712CC2" w:rsidRPr="00712CC2" w:rsidTr="008D0420">
        <w:trPr>
          <w:trHeight w:val="93"/>
        </w:trPr>
        <w:tc>
          <w:tcPr>
            <w:tcW w:w="1663" w:type="dxa"/>
          </w:tcPr>
          <w:p w:rsidR="00712CC2" w:rsidRPr="002F7AD4" w:rsidRDefault="00712CC2" w:rsidP="00712CC2">
            <w:pPr>
              <w:keepNext/>
              <w:keepLines/>
              <w:spacing w:after="0" w:line="280" w:lineRule="exact"/>
              <w:jc w:val="both"/>
              <w:outlineLvl w:val="0"/>
              <w:rPr>
                <w:rFonts w:ascii="Times New Roman" w:eastAsia="Calibri" w:hAnsi="Times New Roman" w:cs="Times New Roman"/>
              </w:rPr>
            </w:pPr>
            <w:r w:rsidRPr="002F7AD4">
              <w:rPr>
                <w:rFonts w:ascii="Times New Roman" w:eastAsia="Calibri" w:hAnsi="Times New Roman" w:cs="Times New Roman"/>
                <w:b/>
                <w:bCs/>
              </w:rPr>
              <w:t xml:space="preserve">Administration </w:t>
            </w:r>
          </w:p>
        </w:tc>
        <w:tc>
          <w:tcPr>
            <w:tcW w:w="1134"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92.6</w:t>
            </w:r>
          </w:p>
        </w:tc>
        <w:tc>
          <w:tcPr>
            <w:tcW w:w="1275"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105.0</w:t>
            </w:r>
          </w:p>
        </w:tc>
        <w:tc>
          <w:tcPr>
            <w:tcW w:w="1418"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12.4</w:t>
            </w:r>
          </w:p>
        </w:tc>
        <w:tc>
          <w:tcPr>
            <w:tcW w:w="1276"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8.0</w:t>
            </w:r>
          </w:p>
        </w:tc>
        <w:tc>
          <w:tcPr>
            <w:tcW w:w="1304" w:type="dxa"/>
            <w:gridSpan w:val="2"/>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13.39 %</w:t>
            </w:r>
          </w:p>
        </w:tc>
        <w:tc>
          <w:tcPr>
            <w:tcW w:w="1347"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8.61 %</w:t>
            </w:r>
          </w:p>
        </w:tc>
      </w:tr>
      <w:tr w:rsidR="00712CC2" w:rsidRPr="00712CC2" w:rsidTr="008D0420">
        <w:trPr>
          <w:trHeight w:val="233"/>
        </w:trPr>
        <w:tc>
          <w:tcPr>
            <w:tcW w:w="1663" w:type="dxa"/>
          </w:tcPr>
          <w:p w:rsidR="00712CC2" w:rsidRPr="002F7AD4" w:rsidRDefault="00712CC2" w:rsidP="00712CC2">
            <w:pPr>
              <w:keepNext/>
              <w:keepLines/>
              <w:spacing w:after="0" w:line="280" w:lineRule="exact"/>
              <w:jc w:val="both"/>
              <w:outlineLvl w:val="0"/>
              <w:rPr>
                <w:rFonts w:ascii="Times New Roman" w:eastAsia="Calibri" w:hAnsi="Times New Roman" w:cs="Times New Roman"/>
              </w:rPr>
            </w:pPr>
            <w:r w:rsidRPr="002F7AD4">
              <w:rPr>
                <w:rFonts w:ascii="Times New Roman" w:eastAsia="Calibri" w:hAnsi="Times New Roman" w:cs="Times New Roman"/>
                <w:b/>
                <w:bCs/>
              </w:rPr>
              <w:t xml:space="preserve">Investigation and Information Management </w:t>
            </w:r>
          </w:p>
        </w:tc>
        <w:tc>
          <w:tcPr>
            <w:tcW w:w="1134"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226.5</w:t>
            </w:r>
          </w:p>
        </w:tc>
        <w:tc>
          <w:tcPr>
            <w:tcW w:w="1275"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231.0</w:t>
            </w:r>
          </w:p>
        </w:tc>
        <w:tc>
          <w:tcPr>
            <w:tcW w:w="1418"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4.5</w:t>
            </w:r>
          </w:p>
        </w:tc>
        <w:tc>
          <w:tcPr>
            <w:tcW w:w="1276"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- 5.2</w:t>
            </w:r>
          </w:p>
        </w:tc>
        <w:tc>
          <w:tcPr>
            <w:tcW w:w="1304" w:type="dxa"/>
            <w:gridSpan w:val="2"/>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1.99 %</w:t>
            </w:r>
          </w:p>
        </w:tc>
        <w:tc>
          <w:tcPr>
            <w:tcW w:w="1347"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-2.31 %</w:t>
            </w:r>
          </w:p>
        </w:tc>
      </w:tr>
      <w:tr w:rsidR="00712CC2" w:rsidRPr="00712CC2" w:rsidTr="008D0420">
        <w:trPr>
          <w:trHeight w:val="233"/>
        </w:trPr>
        <w:tc>
          <w:tcPr>
            <w:tcW w:w="1663" w:type="dxa"/>
          </w:tcPr>
          <w:p w:rsidR="00712CC2" w:rsidRPr="002F7AD4" w:rsidRDefault="00712CC2" w:rsidP="00712CC2">
            <w:pPr>
              <w:keepNext/>
              <w:keepLines/>
              <w:spacing w:after="0" w:line="280" w:lineRule="exact"/>
              <w:jc w:val="both"/>
              <w:outlineLvl w:val="0"/>
              <w:rPr>
                <w:rFonts w:ascii="Times New Roman" w:eastAsia="Calibri" w:hAnsi="Times New Roman" w:cs="Times New Roman"/>
              </w:rPr>
            </w:pPr>
            <w:r w:rsidRPr="002F7AD4">
              <w:rPr>
                <w:rFonts w:ascii="Times New Roman" w:eastAsia="Calibri" w:hAnsi="Times New Roman" w:cs="Times New Roman"/>
                <w:b/>
                <w:bCs/>
              </w:rPr>
              <w:t xml:space="preserve">Legal and Investigation Advisory Services </w:t>
            </w:r>
          </w:p>
        </w:tc>
        <w:tc>
          <w:tcPr>
            <w:tcW w:w="1134"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5.8</w:t>
            </w:r>
          </w:p>
        </w:tc>
        <w:tc>
          <w:tcPr>
            <w:tcW w:w="1275"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6.9</w:t>
            </w:r>
          </w:p>
        </w:tc>
        <w:tc>
          <w:tcPr>
            <w:tcW w:w="1418"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1.1</w:t>
            </w:r>
          </w:p>
        </w:tc>
        <w:tc>
          <w:tcPr>
            <w:tcW w:w="1276"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0.8</w:t>
            </w:r>
          </w:p>
        </w:tc>
        <w:tc>
          <w:tcPr>
            <w:tcW w:w="1304" w:type="dxa"/>
            <w:gridSpan w:val="2"/>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18.97 %</w:t>
            </w:r>
          </w:p>
        </w:tc>
        <w:tc>
          <w:tcPr>
            <w:tcW w:w="1347"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13.95 %</w:t>
            </w:r>
          </w:p>
        </w:tc>
      </w:tr>
      <w:tr w:rsidR="00712CC2" w:rsidRPr="00712CC2" w:rsidTr="008D0420">
        <w:trPr>
          <w:trHeight w:val="234"/>
        </w:trPr>
        <w:tc>
          <w:tcPr>
            <w:tcW w:w="1663" w:type="dxa"/>
          </w:tcPr>
          <w:p w:rsidR="00712CC2" w:rsidRPr="002F7AD4" w:rsidRDefault="00712CC2" w:rsidP="00712CC2">
            <w:pPr>
              <w:keepNext/>
              <w:keepLines/>
              <w:spacing w:after="0" w:line="280" w:lineRule="exact"/>
              <w:jc w:val="both"/>
              <w:outlineLvl w:val="0"/>
              <w:rPr>
                <w:rFonts w:ascii="Times New Roman" w:eastAsia="Calibri" w:hAnsi="Times New Roman" w:cs="Times New Roman"/>
              </w:rPr>
            </w:pPr>
            <w:r w:rsidRPr="002F7AD4">
              <w:rPr>
                <w:rFonts w:ascii="Times New Roman" w:eastAsia="Calibri" w:hAnsi="Times New Roman" w:cs="Times New Roman"/>
                <w:b/>
                <w:bCs/>
              </w:rPr>
              <w:t xml:space="preserve">Compliance Monitoring and Stakeholder Management </w:t>
            </w:r>
          </w:p>
        </w:tc>
        <w:tc>
          <w:tcPr>
            <w:tcW w:w="1134"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11.8</w:t>
            </w:r>
          </w:p>
        </w:tc>
        <w:tc>
          <w:tcPr>
            <w:tcW w:w="1275"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12.7</w:t>
            </w:r>
          </w:p>
        </w:tc>
        <w:tc>
          <w:tcPr>
            <w:tcW w:w="1418"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0.9</w:t>
            </w:r>
          </w:p>
        </w:tc>
        <w:tc>
          <w:tcPr>
            <w:tcW w:w="1276"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0.4</w:t>
            </w:r>
          </w:p>
        </w:tc>
        <w:tc>
          <w:tcPr>
            <w:tcW w:w="1304" w:type="dxa"/>
            <w:gridSpan w:val="2"/>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7.63 %</w:t>
            </w:r>
          </w:p>
        </w:tc>
        <w:tc>
          <w:tcPr>
            <w:tcW w:w="1347"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3.09 %</w:t>
            </w:r>
          </w:p>
        </w:tc>
      </w:tr>
      <w:tr w:rsidR="00712CC2" w:rsidRPr="00712CC2" w:rsidTr="008D0420">
        <w:trPr>
          <w:trHeight w:val="93"/>
        </w:trPr>
        <w:tc>
          <w:tcPr>
            <w:tcW w:w="1663" w:type="dxa"/>
          </w:tcPr>
          <w:p w:rsidR="00712CC2" w:rsidRPr="002F7AD4" w:rsidRDefault="00712CC2" w:rsidP="00712CC2">
            <w:pPr>
              <w:keepNext/>
              <w:keepLines/>
              <w:spacing w:after="0" w:line="280" w:lineRule="exact"/>
              <w:jc w:val="both"/>
              <w:outlineLvl w:val="0"/>
              <w:rPr>
                <w:rFonts w:ascii="Times New Roman" w:eastAsia="Calibri" w:hAnsi="Times New Roman" w:cs="Times New Roman"/>
              </w:rPr>
            </w:pPr>
            <w:r w:rsidRPr="002F7AD4">
              <w:rPr>
                <w:rFonts w:ascii="Times New Roman" w:eastAsia="Calibri" w:hAnsi="Times New Roman" w:cs="Times New Roman"/>
                <w:b/>
                <w:bCs/>
              </w:rPr>
              <w:t xml:space="preserve">TOTAL </w:t>
            </w:r>
          </w:p>
        </w:tc>
        <w:tc>
          <w:tcPr>
            <w:tcW w:w="1134"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336.7</w:t>
            </w:r>
          </w:p>
        </w:tc>
        <w:tc>
          <w:tcPr>
            <w:tcW w:w="1275"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355.7</w:t>
            </w:r>
          </w:p>
        </w:tc>
        <w:tc>
          <w:tcPr>
            <w:tcW w:w="1418"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19.0</w:t>
            </w:r>
          </w:p>
        </w:tc>
        <w:tc>
          <w:tcPr>
            <w:tcW w:w="1276"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rPr>
              <w:t>4.0</w:t>
            </w:r>
          </w:p>
        </w:tc>
        <w:tc>
          <w:tcPr>
            <w:tcW w:w="1304" w:type="dxa"/>
            <w:gridSpan w:val="2"/>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b/>
                <w:bCs/>
              </w:rPr>
              <w:t>5.6 %</w:t>
            </w:r>
          </w:p>
        </w:tc>
        <w:tc>
          <w:tcPr>
            <w:tcW w:w="1347" w:type="dxa"/>
          </w:tcPr>
          <w:p w:rsidR="00712CC2" w:rsidRPr="002F7AD4" w:rsidRDefault="00712CC2" w:rsidP="002F7AD4">
            <w:pPr>
              <w:keepNext/>
              <w:keepLines/>
              <w:spacing w:after="0" w:line="280" w:lineRule="exact"/>
              <w:jc w:val="center"/>
              <w:outlineLvl w:val="0"/>
              <w:rPr>
                <w:rFonts w:ascii="Times New Roman" w:eastAsia="Calibri" w:hAnsi="Times New Roman" w:cs="Times New Roman"/>
              </w:rPr>
            </w:pPr>
            <w:r w:rsidRPr="002F7AD4">
              <w:rPr>
                <w:rFonts w:ascii="Times New Roman" w:eastAsia="Calibri" w:hAnsi="Times New Roman" w:cs="Times New Roman"/>
                <w:b/>
                <w:bCs/>
              </w:rPr>
              <w:t>1.19 %</w:t>
            </w:r>
          </w:p>
        </w:tc>
      </w:tr>
    </w:tbl>
    <w:p w:rsidR="004818B3" w:rsidRPr="00712CC2" w:rsidRDefault="00712CC2" w:rsidP="00712CC2">
      <w:pPr>
        <w:keepNext/>
        <w:keepLines/>
        <w:spacing w:after="0" w:line="280" w:lineRule="exact"/>
        <w:jc w:val="right"/>
        <w:outlineLvl w:val="0"/>
        <w:rPr>
          <w:rFonts w:ascii="Times New Roman" w:eastAsia="Calibri" w:hAnsi="Times New Roman" w:cs="Times New Roman"/>
          <w:b/>
          <w:sz w:val="24"/>
          <w:szCs w:val="24"/>
        </w:rPr>
      </w:pPr>
      <w:r w:rsidRPr="00712CC2">
        <w:rPr>
          <w:rFonts w:ascii="Times New Roman" w:eastAsia="Calibri" w:hAnsi="Times New Roman" w:cs="Times New Roman"/>
          <w:b/>
          <w:sz w:val="24"/>
          <w:szCs w:val="24"/>
        </w:rPr>
        <w:t>Source: National Treasury (2020)</w:t>
      </w:r>
    </w:p>
    <w:p w:rsidR="00712CC2" w:rsidRDefault="00712CC2" w:rsidP="00712CC2">
      <w:pPr>
        <w:keepNext/>
        <w:keepLines/>
        <w:spacing w:after="0" w:line="280" w:lineRule="exact"/>
        <w:jc w:val="right"/>
        <w:outlineLvl w:val="0"/>
        <w:rPr>
          <w:rFonts w:ascii="Times New Roman" w:eastAsia="Calibri" w:hAnsi="Times New Roman" w:cs="Times New Roman"/>
          <w:sz w:val="24"/>
          <w:szCs w:val="24"/>
        </w:rPr>
      </w:pPr>
    </w:p>
    <w:p w:rsidR="004818B3" w:rsidRPr="004818B3" w:rsidRDefault="004818B3" w:rsidP="004818B3">
      <w:pPr>
        <w:keepNext/>
        <w:keepLines/>
        <w:spacing w:after="0" w:line="280" w:lineRule="exact"/>
        <w:jc w:val="both"/>
        <w:outlineLvl w:val="0"/>
        <w:rPr>
          <w:rFonts w:ascii="Times New Roman" w:eastAsia="Calibri" w:hAnsi="Times New Roman" w:cs="Times New Roman"/>
          <w:sz w:val="24"/>
          <w:szCs w:val="24"/>
        </w:rPr>
      </w:pPr>
      <w:r w:rsidRPr="004818B3">
        <w:rPr>
          <w:rFonts w:ascii="Times New Roman" w:eastAsia="Calibri" w:hAnsi="Times New Roman" w:cs="Times New Roman"/>
          <w:sz w:val="24"/>
          <w:szCs w:val="24"/>
        </w:rPr>
        <w:t>The Legal and Investigation Advisory Services Programme received a budget allocation of R6.9 million in 2020/21, which is a nominal increase of 18.97% when compared to the previous financial year. Proportionally, the Programme received 1.94% of the Directorate’s total budget allocation.</w:t>
      </w:r>
    </w:p>
    <w:p w:rsidR="00712CC2" w:rsidRDefault="00712CC2" w:rsidP="004818B3">
      <w:pPr>
        <w:keepNext/>
        <w:keepLines/>
        <w:spacing w:after="0" w:line="280" w:lineRule="exact"/>
        <w:jc w:val="both"/>
        <w:outlineLvl w:val="0"/>
        <w:rPr>
          <w:rFonts w:ascii="Times New Roman" w:eastAsia="Calibri" w:hAnsi="Times New Roman" w:cs="Times New Roman"/>
          <w:sz w:val="24"/>
          <w:szCs w:val="24"/>
        </w:rPr>
      </w:pPr>
    </w:p>
    <w:p w:rsidR="00712CC2" w:rsidRDefault="004818B3" w:rsidP="004818B3">
      <w:pPr>
        <w:keepNext/>
        <w:keepLines/>
        <w:spacing w:after="0" w:line="280" w:lineRule="exact"/>
        <w:jc w:val="both"/>
        <w:outlineLvl w:val="0"/>
        <w:rPr>
          <w:rFonts w:ascii="Times New Roman" w:eastAsia="Calibri" w:hAnsi="Times New Roman" w:cs="Times New Roman"/>
          <w:sz w:val="24"/>
          <w:szCs w:val="24"/>
        </w:rPr>
      </w:pPr>
      <w:r w:rsidRPr="004818B3">
        <w:rPr>
          <w:rFonts w:ascii="Times New Roman" w:eastAsia="Calibri" w:hAnsi="Times New Roman" w:cs="Times New Roman"/>
          <w:sz w:val="24"/>
          <w:szCs w:val="24"/>
        </w:rPr>
        <w:t>The Compliance Monitoring and Stakeholder Management Programme received a budget allocation of R12.7 million in 2020/21, which is a nominal increase of 7.63%. Proportionally, the Programme received 3.57 % of the Directorate’s total budget allocation in 2020/21.</w:t>
      </w:r>
      <w:r w:rsidR="00712CC2">
        <w:rPr>
          <w:rFonts w:ascii="Times New Roman" w:eastAsia="Calibri" w:hAnsi="Times New Roman" w:cs="Times New Roman"/>
          <w:sz w:val="24"/>
          <w:szCs w:val="24"/>
        </w:rPr>
        <w:t xml:space="preserve"> </w:t>
      </w:r>
    </w:p>
    <w:p w:rsidR="00712CC2" w:rsidRDefault="00712CC2" w:rsidP="004818B3">
      <w:pPr>
        <w:keepNext/>
        <w:keepLines/>
        <w:spacing w:after="0" w:line="280" w:lineRule="exact"/>
        <w:jc w:val="both"/>
        <w:outlineLvl w:val="0"/>
        <w:rPr>
          <w:rFonts w:ascii="Times New Roman" w:eastAsia="Calibri" w:hAnsi="Times New Roman" w:cs="Times New Roman"/>
          <w:sz w:val="24"/>
          <w:szCs w:val="24"/>
        </w:rPr>
      </w:pPr>
    </w:p>
    <w:p w:rsidR="00712CC2" w:rsidRDefault="00712CC2" w:rsidP="004818B3">
      <w:pPr>
        <w:keepNext/>
        <w:keepLines/>
        <w:spacing w:after="0" w:line="280" w:lineRule="exact"/>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T</w:t>
      </w:r>
      <w:r w:rsidR="004818B3" w:rsidRPr="004818B3">
        <w:rPr>
          <w:rFonts w:ascii="Times New Roman" w:eastAsia="Calibri" w:hAnsi="Times New Roman" w:cs="Times New Roman"/>
          <w:sz w:val="24"/>
          <w:szCs w:val="24"/>
        </w:rPr>
        <w:t xml:space="preserve">he Directorate plans to withhold the filling of 24 new posts that were added to the establishment in 2019/20 to strengthen internal controls and compliance. This was done to reprioritise funds for the implementation of section 23 of the Independent Police Investigative Directorate Act (2011), which provides that the salaries of the Directorate’s investigators must be aligned with those of members appointed as detectives in terms of the South African Police Service Act (1995). </w:t>
      </w:r>
    </w:p>
    <w:p w:rsidR="004818B3" w:rsidRDefault="004818B3" w:rsidP="004818B3">
      <w:pPr>
        <w:keepNext/>
        <w:keepLines/>
        <w:spacing w:after="0" w:line="280" w:lineRule="exact"/>
        <w:jc w:val="both"/>
        <w:outlineLvl w:val="0"/>
        <w:rPr>
          <w:rFonts w:ascii="Times New Roman" w:eastAsia="Calibri" w:hAnsi="Times New Roman" w:cs="Times New Roman"/>
          <w:sz w:val="24"/>
          <w:szCs w:val="24"/>
        </w:rPr>
      </w:pPr>
      <w:r w:rsidRPr="004818B3">
        <w:rPr>
          <w:rFonts w:ascii="Times New Roman" w:eastAsia="Calibri" w:hAnsi="Times New Roman" w:cs="Times New Roman"/>
          <w:sz w:val="24"/>
          <w:szCs w:val="24"/>
        </w:rPr>
        <w:lastRenderedPageBreak/>
        <w:t>Although the process to align the salaries of investigators with those of detectives commenced in 2018/19, the pension component of the salaries and other benefits could not be adjusted due to funds not being available. However, in the 2019 adjustments budget, the Directorate reprioritised R24.5 million within compensation of employees (and an estimated R45 million over the medium term) to provide for the full implementation of provisions of section 23 of the Act. This will result in a reduction of the funded establishment from 428 in 2019/20, as published in the 2019 ENE, to 399 over the MTEF period.</w:t>
      </w:r>
    </w:p>
    <w:p w:rsidR="004818B3" w:rsidRDefault="004818B3" w:rsidP="004818B3">
      <w:pPr>
        <w:keepNext/>
        <w:keepLines/>
        <w:spacing w:after="0" w:line="280" w:lineRule="exact"/>
        <w:jc w:val="both"/>
        <w:outlineLvl w:val="0"/>
        <w:rPr>
          <w:rFonts w:ascii="Times New Roman" w:eastAsia="Calibri" w:hAnsi="Times New Roman" w:cs="Times New Roman"/>
          <w:sz w:val="24"/>
          <w:szCs w:val="24"/>
        </w:rPr>
      </w:pPr>
    </w:p>
    <w:p w:rsidR="004818B3" w:rsidRPr="004818B3" w:rsidRDefault="004818B3" w:rsidP="004818B3">
      <w:pPr>
        <w:keepNext/>
        <w:keepLines/>
        <w:spacing w:after="0" w:line="280" w:lineRule="exact"/>
        <w:jc w:val="both"/>
        <w:outlineLvl w:val="0"/>
        <w:rPr>
          <w:rFonts w:ascii="Times New Roman" w:eastAsia="Calibri" w:hAnsi="Times New Roman" w:cs="Times New Roman"/>
          <w:sz w:val="24"/>
          <w:szCs w:val="24"/>
        </w:rPr>
      </w:pPr>
    </w:p>
    <w:p w:rsidR="00EB6B72" w:rsidRDefault="00EB6B72" w:rsidP="00EB6B72">
      <w:pPr>
        <w:keepNext/>
        <w:keepLines/>
        <w:spacing w:after="0" w:line="280" w:lineRule="exact"/>
        <w:jc w:val="both"/>
        <w:outlineLvl w:val="0"/>
        <w:rPr>
          <w:rFonts w:ascii="Times New Roman" w:eastAsia="Times New Roman" w:hAnsi="Times New Roman" w:cs="Times New Roman"/>
          <w:b/>
          <w:caps/>
          <w:color w:val="000000" w:themeColor="text1"/>
          <w:sz w:val="24"/>
          <w:szCs w:val="24"/>
        </w:rPr>
      </w:pPr>
      <w:r w:rsidRPr="00EB6B72">
        <w:rPr>
          <w:rFonts w:ascii="Times New Roman" w:eastAsia="Calibri" w:hAnsi="Times New Roman" w:cs="Times New Roman"/>
          <w:b/>
          <w:sz w:val="24"/>
          <w:szCs w:val="24"/>
        </w:rPr>
        <w:t>3</w:t>
      </w:r>
      <w:r w:rsidRPr="00EB6B72">
        <w:rPr>
          <w:rFonts w:ascii="Times New Roman" w:eastAsia="Calibri" w:hAnsi="Times New Roman" w:cs="Times New Roman"/>
          <w:sz w:val="24"/>
          <w:szCs w:val="24"/>
        </w:rPr>
        <w:t>.</w:t>
      </w:r>
      <w:r w:rsidR="00B110E4">
        <w:rPr>
          <w:rFonts w:ascii="Times New Roman" w:eastAsia="Calibri" w:hAnsi="Times New Roman" w:cs="Times New Roman"/>
          <w:b/>
          <w:sz w:val="24"/>
          <w:szCs w:val="24"/>
        </w:rPr>
        <w:t>1</w:t>
      </w:r>
      <w:r w:rsidRPr="00EB6B72">
        <w:rPr>
          <w:rFonts w:ascii="Times New Roman" w:eastAsia="Calibri" w:hAnsi="Times New Roman" w:cs="Times New Roman"/>
          <w:sz w:val="24"/>
          <w:szCs w:val="24"/>
        </w:rPr>
        <w:tab/>
      </w:r>
      <w:r w:rsidRPr="00EB6B72">
        <w:rPr>
          <w:rFonts w:ascii="Times New Roman" w:eastAsia="Times New Roman" w:hAnsi="Times New Roman" w:cs="Times New Roman"/>
          <w:b/>
          <w:caps/>
          <w:color w:val="000000" w:themeColor="text1"/>
          <w:sz w:val="24"/>
          <w:szCs w:val="24"/>
        </w:rPr>
        <w:t>programme Performance</w:t>
      </w:r>
      <w:bookmarkEnd w:id="1"/>
      <w:r w:rsidRPr="00EB6B72">
        <w:rPr>
          <w:rFonts w:ascii="Times New Roman" w:eastAsia="Times New Roman" w:hAnsi="Times New Roman" w:cs="Times New Roman"/>
          <w:b/>
          <w:caps/>
          <w:color w:val="000000" w:themeColor="text1"/>
          <w:sz w:val="24"/>
          <w:szCs w:val="24"/>
        </w:rPr>
        <w:t xml:space="preserve"> </w:t>
      </w:r>
    </w:p>
    <w:p w:rsidR="00712CC2" w:rsidRDefault="00712CC2" w:rsidP="00EB6B72">
      <w:pPr>
        <w:keepNext/>
        <w:keepLines/>
        <w:spacing w:after="0" w:line="280" w:lineRule="exact"/>
        <w:jc w:val="both"/>
        <w:outlineLvl w:val="0"/>
        <w:rPr>
          <w:rFonts w:ascii="Times New Roman" w:eastAsia="Calibri" w:hAnsi="Times New Roman" w:cs="Times New Roman"/>
          <w:sz w:val="24"/>
          <w:szCs w:val="24"/>
        </w:rPr>
      </w:pPr>
    </w:p>
    <w:p w:rsidR="00712CC2" w:rsidRPr="00712CC2" w:rsidRDefault="00712CC2" w:rsidP="00EB6B72">
      <w:pPr>
        <w:keepNext/>
        <w:keepLines/>
        <w:spacing w:after="0" w:line="280" w:lineRule="exact"/>
        <w:jc w:val="both"/>
        <w:outlineLvl w:val="0"/>
        <w:rPr>
          <w:rFonts w:ascii="Times New Roman" w:eastAsia="Calibri" w:hAnsi="Times New Roman" w:cs="Times New Roman"/>
          <w:b/>
          <w:sz w:val="24"/>
          <w:szCs w:val="24"/>
        </w:rPr>
      </w:pPr>
      <w:r>
        <w:rPr>
          <w:rFonts w:ascii="Times New Roman" w:eastAsia="Calibri" w:hAnsi="Times New Roman" w:cs="Times New Roman"/>
          <w:sz w:val="24"/>
          <w:szCs w:val="24"/>
        </w:rPr>
        <w:tab/>
      </w:r>
      <w:r w:rsidRPr="00712CC2">
        <w:rPr>
          <w:rFonts w:ascii="Times New Roman" w:eastAsia="Calibri" w:hAnsi="Times New Roman" w:cs="Times New Roman"/>
          <w:b/>
          <w:sz w:val="24"/>
          <w:szCs w:val="24"/>
        </w:rPr>
        <w:t>Budget allocation per budget programme</w:t>
      </w:r>
    </w:p>
    <w:p w:rsidR="00EB6B72" w:rsidRPr="00EB6B72" w:rsidRDefault="00EB6B72" w:rsidP="00EB6B72">
      <w:pPr>
        <w:keepNext/>
        <w:keepLines/>
        <w:spacing w:after="0" w:line="280" w:lineRule="exact"/>
        <w:jc w:val="both"/>
        <w:outlineLvl w:val="1"/>
        <w:rPr>
          <w:rFonts w:ascii="Times New Roman" w:eastAsia="Calibri" w:hAnsi="Times New Roman" w:cs="Times New Roman"/>
          <w:color w:val="000000" w:themeColor="text1"/>
          <w:sz w:val="24"/>
          <w:szCs w:val="24"/>
        </w:rPr>
      </w:pPr>
      <w:bookmarkStart w:id="2" w:name="_Toc12872909"/>
    </w:p>
    <w:p w:rsidR="00EB6B72" w:rsidRPr="00EB6B72" w:rsidRDefault="00B110E4" w:rsidP="00B110E4">
      <w:pPr>
        <w:keepNext/>
        <w:keepLines/>
        <w:spacing w:after="0" w:line="280" w:lineRule="exact"/>
        <w:contextualSpacing/>
        <w:jc w:val="both"/>
        <w:outlineLvl w:val="1"/>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3.1.1</w:t>
      </w:r>
      <w:r w:rsidR="00EB6B72" w:rsidRPr="00EB6B72">
        <w:rPr>
          <w:rFonts w:ascii="Times New Roman" w:eastAsia="Times New Roman" w:hAnsi="Times New Roman" w:cs="Times New Roman"/>
          <w:b/>
          <w:color w:val="000000" w:themeColor="text1"/>
          <w:sz w:val="24"/>
          <w:szCs w:val="24"/>
        </w:rPr>
        <w:t xml:space="preserve">     Programme 1: Administration</w:t>
      </w:r>
      <w:bookmarkEnd w:id="2"/>
      <w:r w:rsidR="00EB6B72" w:rsidRPr="00EB6B72">
        <w:rPr>
          <w:rFonts w:ascii="Times New Roman" w:eastAsia="Times New Roman" w:hAnsi="Times New Roman" w:cs="Times New Roman"/>
          <w:b/>
          <w:color w:val="000000" w:themeColor="text1"/>
          <w:sz w:val="24"/>
          <w:szCs w:val="24"/>
        </w:rPr>
        <w:t xml:space="preserve"> </w:t>
      </w:r>
    </w:p>
    <w:p w:rsidR="00EB6B72" w:rsidRPr="00EB6B72" w:rsidRDefault="00EB6B72" w:rsidP="00EB6B72">
      <w:pPr>
        <w:spacing w:after="0" w:line="280" w:lineRule="exact"/>
        <w:jc w:val="both"/>
        <w:rPr>
          <w:rFonts w:ascii="Times New Roman" w:eastAsia="Calibri" w:hAnsi="Times New Roman" w:cs="Times New Roman"/>
          <w:color w:val="000000" w:themeColor="text1"/>
          <w:sz w:val="24"/>
          <w:szCs w:val="24"/>
        </w:rPr>
      </w:pPr>
    </w:p>
    <w:p w:rsidR="00EB6B72" w:rsidRPr="00EB6B72" w:rsidRDefault="00EB6B72" w:rsidP="00EB6B72">
      <w:pPr>
        <w:autoSpaceDE w:val="0"/>
        <w:autoSpaceDN w:val="0"/>
        <w:adjustRightInd w:val="0"/>
        <w:spacing w:after="0" w:line="280" w:lineRule="exact"/>
        <w:jc w:val="both"/>
        <w:rPr>
          <w:rFonts w:ascii="Times New Roman" w:eastAsia="Calibri" w:hAnsi="Times New Roman" w:cs="Times New Roman"/>
          <w:sz w:val="24"/>
          <w:szCs w:val="24"/>
        </w:rPr>
      </w:pPr>
      <w:r w:rsidRPr="00EB6B72">
        <w:rPr>
          <w:rFonts w:ascii="Times New Roman" w:eastAsia="Calibri" w:hAnsi="Times New Roman" w:cs="Times New Roman"/>
          <w:sz w:val="24"/>
          <w:szCs w:val="24"/>
        </w:rPr>
        <w:t xml:space="preserve">The purpose of the Administration Programme is to provide for the overall management of the Independent Police Investigative Directorate and support services, including strategic support to the Department. </w:t>
      </w:r>
    </w:p>
    <w:p w:rsidR="00EB6B72" w:rsidRPr="00EB6B72" w:rsidRDefault="00EB6B72" w:rsidP="00EB6B72">
      <w:pPr>
        <w:autoSpaceDE w:val="0"/>
        <w:autoSpaceDN w:val="0"/>
        <w:adjustRightInd w:val="0"/>
        <w:spacing w:after="0" w:line="280" w:lineRule="exact"/>
        <w:jc w:val="both"/>
        <w:rPr>
          <w:rFonts w:ascii="Times New Roman" w:eastAsia="Calibri" w:hAnsi="Times New Roman" w:cs="Times New Roman"/>
          <w:sz w:val="24"/>
          <w:szCs w:val="24"/>
        </w:rPr>
      </w:pPr>
    </w:p>
    <w:p w:rsidR="002F7AD4" w:rsidRDefault="00712CC2" w:rsidP="002F7AD4">
      <w:pPr>
        <w:autoSpaceDE w:val="0"/>
        <w:autoSpaceDN w:val="0"/>
        <w:adjustRightInd w:val="0"/>
        <w:spacing w:after="0" w:line="276" w:lineRule="auto"/>
        <w:jc w:val="both"/>
      </w:pPr>
      <w:r w:rsidRPr="00712CC2">
        <w:rPr>
          <w:rFonts w:ascii="Times New Roman" w:eastAsia="Calibri" w:hAnsi="Times New Roman" w:cs="Times New Roman"/>
        </w:rPr>
        <w:t>The Administration Programme received a budget allocation of R105 million in 2020/21, which is a nominal increase of 13.39%. The Department Management sub</w:t>
      </w:r>
      <w:r>
        <w:rPr>
          <w:rFonts w:ascii="Times New Roman" w:eastAsia="Calibri" w:hAnsi="Times New Roman" w:cs="Times New Roman"/>
        </w:rPr>
        <w:t>-</w:t>
      </w:r>
      <w:r w:rsidRPr="00712CC2">
        <w:rPr>
          <w:rFonts w:ascii="Times New Roman" w:eastAsia="Calibri" w:hAnsi="Times New Roman" w:cs="Times New Roman"/>
        </w:rPr>
        <w:t>programme received a budget allocation of R21.4 million in 2020/21, which is a nominal increase of 34.59%. Considering inflation, the allocation increased by 28.92%. Proportionally, the sub</w:t>
      </w:r>
      <w:r>
        <w:rPr>
          <w:rFonts w:ascii="Times New Roman" w:eastAsia="Calibri" w:hAnsi="Times New Roman" w:cs="Times New Roman"/>
        </w:rPr>
        <w:t>-</w:t>
      </w:r>
      <w:r w:rsidRPr="00712CC2">
        <w:rPr>
          <w:rFonts w:ascii="Times New Roman" w:eastAsia="Calibri" w:hAnsi="Times New Roman" w:cs="Times New Roman"/>
        </w:rPr>
        <w:t>programme received 20.38% of the total Programme allocation.</w:t>
      </w:r>
      <w:r w:rsidR="002F7AD4" w:rsidRPr="002F7AD4">
        <w:t xml:space="preserve"> </w:t>
      </w:r>
    </w:p>
    <w:p w:rsidR="002F7AD4" w:rsidRDefault="002F7AD4" w:rsidP="002F7AD4">
      <w:pPr>
        <w:autoSpaceDE w:val="0"/>
        <w:autoSpaceDN w:val="0"/>
        <w:adjustRightInd w:val="0"/>
        <w:spacing w:after="0" w:line="276" w:lineRule="auto"/>
        <w:jc w:val="both"/>
      </w:pPr>
    </w:p>
    <w:p w:rsidR="00EB6B72" w:rsidRPr="002F7AD4" w:rsidRDefault="002F7AD4" w:rsidP="002F7AD4">
      <w:pPr>
        <w:autoSpaceDE w:val="0"/>
        <w:autoSpaceDN w:val="0"/>
        <w:adjustRightInd w:val="0"/>
        <w:spacing w:after="0" w:line="276" w:lineRule="auto"/>
        <w:jc w:val="both"/>
        <w:rPr>
          <w:rFonts w:ascii="Times New Roman" w:eastAsia="Calibri" w:hAnsi="Times New Roman" w:cs="Times New Roman"/>
          <w:b/>
        </w:rPr>
      </w:pPr>
      <w:r w:rsidRPr="002F7AD4">
        <w:rPr>
          <w:rFonts w:ascii="Times New Roman" w:eastAsia="Calibri" w:hAnsi="Times New Roman" w:cs="Times New Roman"/>
          <w:b/>
        </w:rPr>
        <w:t>Table 3: Budget allocation per sub-programme of the Administration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1004"/>
        <w:gridCol w:w="1147"/>
        <w:gridCol w:w="1137"/>
        <w:gridCol w:w="10"/>
        <w:gridCol w:w="1289"/>
        <w:gridCol w:w="1258"/>
        <w:gridCol w:w="32"/>
        <w:gridCol w:w="1251"/>
      </w:tblGrid>
      <w:tr w:rsidR="00B15543" w:rsidTr="00B15543">
        <w:trPr>
          <w:trHeight w:val="517"/>
        </w:trPr>
        <w:tc>
          <w:tcPr>
            <w:tcW w:w="1824"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b/>
                <w:bCs/>
                <w:sz w:val="22"/>
                <w:szCs w:val="22"/>
              </w:rPr>
              <w:t xml:space="preserve">Programme </w:t>
            </w:r>
          </w:p>
        </w:tc>
        <w:tc>
          <w:tcPr>
            <w:tcW w:w="2151" w:type="dxa"/>
            <w:gridSpan w:val="2"/>
          </w:tcPr>
          <w:p w:rsidR="002F7AD4" w:rsidRPr="002F7AD4" w:rsidRDefault="002F7AD4" w:rsidP="002F7AD4">
            <w:pPr>
              <w:pStyle w:val="Default"/>
              <w:jc w:val="center"/>
              <w:rPr>
                <w:rFonts w:ascii="Times New Roman" w:hAnsi="Times New Roman" w:cs="Times New Roman"/>
                <w:sz w:val="22"/>
                <w:szCs w:val="22"/>
              </w:rPr>
            </w:pPr>
            <w:r w:rsidRPr="002F7AD4">
              <w:rPr>
                <w:rFonts w:ascii="Times New Roman" w:hAnsi="Times New Roman" w:cs="Times New Roman"/>
                <w:b/>
                <w:bCs/>
                <w:sz w:val="22"/>
                <w:szCs w:val="22"/>
              </w:rPr>
              <w:t>Budget</w:t>
            </w:r>
          </w:p>
        </w:tc>
        <w:tc>
          <w:tcPr>
            <w:tcW w:w="1147" w:type="dxa"/>
            <w:gridSpan w:val="2"/>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b/>
                <w:bCs/>
                <w:sz w:val="22"/>
                <w:szCs w:val="22"/>
              </w:rPr>
              <w:t xml:space="preserve">Nominal Increase / Decrease in 2020/21 </w:t>
            </w:r>
          </w:p>
        </w:tc>
        <w:tc>
          <w:tcPr>
            <w:tcW w:w="1289"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b/>
                <w:bCs/>
                <w:sz w:val="22"/>
                <w:szCs w:val="22"/>
              </w:rPr>
              <w:t xml:space="preserve">Real Increase / Decrease in 2020/21 </w:t>
            </w:r>
          </w:p>
        </w:tc>
        <w:tc>
          <w:tcPr>
            <w:tcW w:w="1290" w:type="dxa"/>
            <w:gridSpan w:val="2"/>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b/>
                <w:bCs/>
                <w:sz w:val="22"/>
                <w:szCs w:val="22"/>
              </w:rPr>
              <w:t xml:space="preserve">Nominal Percent change in 2020/21 </w:t>
            </w:r>
          </w:p>
        </w:tc>
        <w:tc>
          <w:tcPr>
            <w:tcW w:w="1251"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b/>
                <w:bCs/>
                <w:sz w:val="22"/>
                <w:szCs w:val="22"/>
              </w:rPr>
              <w:t xml:space="preserve">Real Percent change in 2020/21 </w:t>
            </w:r>
          </w:p>
        </w:tc>
      </w:tr>
      <w:tr w:rsidR="002F7AD4" w:rsidTr="00B15543">
        <w:trPr>
          <w:trHeight w:val="93"/>
        </w:trPr>
        <w:tc>
          <w:tcPr>
            <w:tcW w:w="1824"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b/>
                <w:bCs/>
                <w:sz w:val="22"/>
                <w:szCs w:val="22"/>
              </w:rPr>
              <w:t xml:space="preserve">R million </w:t>
            </w:r>
          </w:p>
        </w:tc>
        <w:tc>
          <w:tcPr>
            <w:tcW w:w="1004" w:type="dxa"/>
          </w:tcPr>
          <w:p w:rsidR="002F7AD4" w:rsidRPr="002F7AD4" w:rsidRDefault="002F7AD4">
            <w:pPr>
              <w:pStyle w:val="Default"/>
              <w:rPr>
                <w:rFonts w:ascii="Times New Roman" w:hAnsi="Times New Roman" w:cs="Times New Roman"/>
                <w:sz w:val="22"/>
                <w:szCs w:val="22"/>
              </w:rPr>
            </w:pPr>
          </w:p>
        </w:tc>
        <w:tc>
          <w:tcPr>
            <w:tcW w:w="1147" w:type="dxa"/>
          </w:tcPr>
          <w:p w:rsidR="002F7AD4" w:rsidRPr="002F7AD4" w:rsidRDefault="002F7AD4">
            <w:pPr>
              <w:pStyle w:val="Default"/>
              <w:rPr>
                <w:rFonts w:ascii="Times New Roman" w:hAnsi="Times New Roman" w:cs="Times New Roman"/>
                <w:sz w:val="22"/>
                <w:szCs w:val="22"/>
              </w:rPr>
            </w:pPr>
          </w:p>
        </w:tc>
        <w:tc>
          <w:tcPr>
            <w:tcW w:w="2436" w:type="dxa"/>
            <w:gridSpan w:val="3"/>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b/>
                <w:bCs/>
                <w:sz w:val="22"/>
                <w:szCs w:val="22"/>
              </w:rPr>
              <w:t xml:space="preserve">2019/20 </w:t>
            </w:r>
          </w:p>
        </w:tc>
        <w:tc>
          <w:tcPr>
            <w:tcW w:w="2541" w:type="dxa"/>
            <w:gridSpan w:val="3"/>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b/>
                <w:bCs/>
                <w:sz w:val="22"/>
                <w:szCs w:val="22"/>
              </w:rPr>
              <w:t xml:space="preserve">2020/21 </w:t>
            </w:r>
          </w:p>
        </w:tc>
      </w:tr>
      <w:tr w:rsidR="00B15543" w:rsidTr="00B15543">
        <w:trPr>
          <w:trHeight w:val="93"/>
        </w:trPr>
        <w:tc>
          <w:tcPr>
            <w:tcW w:w="1824"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b/>
                <w:bCs/>
                <w:sz w:val="22"/>
                <w:szCs w:val="22"/>
              </w:rPr>
              <w:t xml:space="preserve">Department Management </w:t>
            </w:r>
          </w:p>
        </w:tc>
        <w:tc>
          <w:tcPr>
            <w:tcW w:w="1004"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15.9 </w:t>
            </w:r>
          </w:p>
        </w:tc>
        <w:tc>
          <w:tcPr>
            <w:tcW w:w="1147"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21.4 </w:t>
            </w:r>
          </w:p>
        </w:tc>
        <w:tc>
          <w:tcPr>
            <w:tcW w:w="1137"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5.5 </w:t>
            </w:r>
          </w:p>
        </w:tc>
        <w:tc>
          <w:tcPr>
            <w:tcW w:w="1299" w:type="dxa"/>
            <w:gridSpan w:val="2"/>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4.6 </w:t>
            </w:r>
          </w:p>
        </w:tc>
        <w:tc>
          <w:tcPr>
            <w:tcW w:w="1258" w:type="dxa"/>
          </w:tcPr>
          <w:p w:rsidR="002F7AD4" w:rsidRPr="002F7AD4" w:rsidRDefault="002F7AD4" w:rsidP="002F7AD4">
            <w:pPr>
              <w:pStyle w:val="Default"/>
              <w:rPr>
                <w:rFonts w:ascii="Times New Roman" w:hAnsi="Times New Roman" w:cs="Times New Roman"/>
                <w:sz w:val="22"/>
                <w:szCs w:val="22"/>
              </w:rPr>
            </w:pPr>
            <w:r w:rsidRPr="002F7AD4">
              <w:rPr>
                <w:rFonts w:ascii="Times New Roman" w:hAnsi="Times New Roman" w:cs="Times New Roman"/>
                <w:sz w:val="22"/>
                <w:szCs w:val="22"/>
              </w:rPr>
              <w:t>34.59</w:t>
            </w:r>
            <w:r>
              <w:rPr>
                <w:rFonts w:ascii="Times New Roman" w:hAnsi="Times New Roman" w:cs="Times New Roman"/>
                <w:sz w:val="22"/>
                <w:szCs w:val="22"/>
              </w:rPr>
              <w:t>%</w:t>
            </w:r>
          </w:p>
        </w:tc>
        <w:tc>
          <w:tcPr>
            <w:tcW w:w="1283" w:type="dxa"/>
            <w:gridSpan w:val="2"/>
          </w:tcPr>
          <w:p w:rsidR="002F7AD4" w:rsidRPr="002F7AD4" w:rsidRDefault="002F7AD4" w:rsidP="002F7AD4">
            <w:pPr>
              <w:pStyle w:val="Default"/>
              <w:rPr>
                <w:rFonts w:ascii="Times New Roman" w:hAnsi="Times New Roman" w:cs="Times New Roman"/>
                <w:sz w:val="22"/>
                <w:szCs w:val="22"/>
              </w:rPr>
            </w:pPr>
            <w:r w:rsidRPr="002F7AD4">
              <w:rPr>
                <w:rFonts w:ascii="Times New Roman" w:hAnsi="Times New Roman" w:cs="Times New Roman"/>
                <w:sz w:val="22"/>
                <w:szCs w:val="22"/>
              </w:rPr>
              <w:t>28.92</w:t>
            </w:r>
            <w:r>
              <w:rPr>
                <w:rFonts w:ascii="Times New Roman" w:hAnsi="Times New Roman" w:cs="Times New Roman"/>
                <w:sz w:val="22"/>
                <w:szCs w:val="22"/>
              </w:rPr>
              <w:t>%</w:t>
            </w:r>
            <w:r w:rsidRPr="002F7AD4">
              <w:rPr>
                <w:rFonts w:ascii="Times New Roman" w:hAnsi="Times New Roman" w:cs="Times New Roman"/>
                <w:sz w:val="22"/>
                <w:szCs w:val="22"/>
              </w:rPr>
              <w:t xml:space="preserve">  </w:t>
            </w:r>
          </w:p>
        </w:tc>
      </w:tr>
      <w:tr w:rsidR="00B15543" w:rsidTr="00B15543">
        <w:trPr>
          <w:trHeight w:val="93"/>
        </w:trPr>
        <w:tc>
          <w:tcPr>
            <w:tcW w:w="1824"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b/>
                <w:bCs/>
                <w:sz w:val="22"/>
                <w:szCs w:val="22"/>
              </w:rPr>
              <w:t xml:space="preserve">Corporate Services </w:t>
            </w:r>
          </w:p>
        </w:tc>
        <w:tc>
          <w:tcPr>
            <w:tcW w:w="1004"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36.4 </w:t>
            </w:r>
          </w:p>
        </w:tc>
        <w:tc>
          <w:tcPr>
            <w:tcW w:w="1147"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41.7 </w:t>
            </w:r>
          </w:p>
        </w:tc>
        <w:tc>
          <w:tcPr>
            <w:tcW w:w="1137"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5.3 </w:t>
            </w:r>
          </w:p>
        </w:tc>
        <w:tc>
          <w:tcPr>
            <w:tcW w:w="1299" w:type="dxa"/>
            <w:gridSpan w:val="2"/>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3.5 </w:t>
            </w:r>
          </w:p>
        </w:tc>
        <w:tc>
          <w:tcPr>
            <w:tcW w:w="1258" w:type="dxa"/>
          </w:tcPr>
          <w:p w:rsidR="002F7AD4" w:rsidRPr="002F7AD4" w:rsidRDefault="002F7AD4" w:rsidP="002F7AD4">
            <w:pPr>
              <w:pStyle w:val="Default"/>
              <w:rPr>
                <w:rFonts w:ascii="Times New Roman" w:hAnsi="Times New Roman" w:cs="Times New Roman"/>
                <w:sz w:val="22"/>
                <w:szCs w:val="22"/>
              </w:rPr>
            </w:pPr>
            <w:r w:rsidRPr="002F7AD4">
              <w:rPr>
                <w:rFonts w:ascii="Times New Roman" w:hAnsi="Times New Roman" w:cs="Times New Roman"/>
                <w:sz w:val="22"/>
                <w:szCs w:val="22"/>
              </w:rPr>
              <w:t>14.56</w:t>
            </w:r>
            <w:r>
              <w:rPr>
                <w:rFonts w:ascii="Times New Roman" w:hAnsi="Times New Roman" w:cs="Times New Roman"/>
                <w:sz w:val="22"/>
                <w:szCs w:val="22"/>
              </w:rPr>
              <w:t>%</w:t>
            </w:r>
            <w:r w:rsidRPr="002F7AD4">
              <w:rPr>
                <w:rFonts w:ascii="Times New Roman" w:hAnsi="Times New Roman" w:cs="Times New Roman"/>
                <w:sz w:val="22"/>
                <w:szCs w:val="22"/>
              </w:rPr>
              <w:t xml:space="preserve"> </w:t>
            </w:r>
          </w:p>
        </w:tc>
        <w:tc>
          <w:tcPr>
            <w:tcW w:w="1283" w:type="dxa"/>
            <w:gridSpan w:val="2"/>
          </w:tcPr>
          <w:p w:rsidR="002F7AD4" w:rsidRPr="002F7AD4" w:rsidRDefault="002F7AD4" w:rsidP="002F7AD4">
            <w:pPr>
              <w:pStyle w:val="Default"/>
              <w:rPr>
                <w:rFonts w:ascii="Times New Roman" w:hAnsi="Times New Roman" w:cs="Times New Roman"/>
                <w:sz w:val="22"/>
                <w:szCs w:val="22"/>
              </w:rPr>
            </w:pPr>
            <w:r w:rsidRPr="002F7AD4">
              <w:rPr>
                <w:rFonts w:ascii="Times New Roman" w:hAnsi="Times New Roman" w:cs="Times New Roman"/>
                <w:sz w:val="22"/>
                <w:szCs w:val="22"/>
              </w:rPr>
              <w:t>9.73</w:t>
            </w:r>
            <w:r>
              <w:rPr>
                <w:rFonts w:ascii="Times New Roman" w:hAnsi="Times New Roman" w:cs="Times New Roman"/>
                <w:sz w:val="22"/>
                <w:szCs w:val="22"/>
              </w:rPr>
              <w:t>%</w:t>
            </w:r>
            <w:r w:rsidRPr="002F7AD4">
              <w:rPr>
                <w:rFonts w:ascii="Times New Roman" w:hAnsi="Times New Roman" w:cs="Times New Roman"/>
                <w:sz w:val="22"/>
                <w:szCs w:val="22"/>
              </w:rPr>
              <w:t xml:space="preserve"> </w:t>
            </w:r>
          </w:p>
        </w:tc>
      </w:tr>
      <w:tr w:rsidR="00B15543" w:rsidTr="00B15543">
        <w:trPr>
          <w:trHeight w:val="93"/>
        </w:trPr>
        <w:tc>
          <w:tcPr>
            <w:tcW w:w="1824"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b/>
                <w:bCs/>
                <w:sz w:val="22"/>
                <w:szCs w:val="22"/>
              </w:rPr>
              <w:t xml:space="preserve">Office Accommodation </w:t>
            </w:r>
          </w:p>
        </w:tc>
        <w:tc>
          <w:tcPr>
            <w:tcW w:w="1004"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13.1 </w:t>
            </w:r>
          </w:p>
        </w:tc>
        <w:tc>
          <w:tcPr>
            <w:tcW w:w="1147"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13.9 </w:t>
            </w:r>
          </w:p>
        </w:tc>
        <w:tc>
          <w:tcPr>
            <w:tcW w:w="1137"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0.8 </w:t>
            </w:r>
          </w:p>
        </w:tc>
        <w:tc>
          <w:tcPr>
            <w:tcW w:w="1299" w:type="dxa"/>
            <w:gridSpan w:val="2"/>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0.2 </w:t>
            </w:r>
          </w:p>
        </w:tc>
        <w:tc>
          <w:tcPr>
            <w:tcW w:w="1258" w:type="dxa"/>
          </w:tcPr>
          <w:p w:rsidR="002F7AD4" w:rsidRPr="002F7AD4" w:rsidRDefault="002F7AD4" w:rsidP="002F7AD4">
            <w:pPr>
              <w:pStyle w:val="Default"/>
              <w:rPr>
                <w:rFonts w:ascii="Times New Roman" w:hAnsi="Times New Roman" w:cs="Times New Roman"/>
                <w:sz w:val="22"/>
                <w:szCs w:val="22"/>
              </w:rPr>
            </w:pPr>
            <w:r w:rsidRPr="002F7AD4">
              <w:rPr>
                <w:rFonts w:ascii="Times New Roman" w:hAnsi="Times New Roman" w:cs="Times New Roman"/>
                <w:sz w:val="22"/>
                <w:szCs w:val="22"/>
              </w:rPr>
              <w:t>6.11</w:t>
            </w:r>
            <w:r>
              <w:rPr>
                <w:rFonts w:ascii="Times New Roman" w:hAnsi="Times New Roman" w:cs="Times New Roman"/>
                <w:sz w:val="22"/>
                <w:szCs w:val="22"/>
              </w:rPr>
              <w:t>%</w:t>
            </w:r>
          </w:p>
        </w:tc>
        <w:tc>
          <w:tcPr>
            <w:tcW w:w="1283" w:type="dxa"/>
            <w:gridSpan w:val="2"/>
          </w:tcPr>
          <w:p w:rsidR="002F7AD4" w:rsidRPr="002F7AD4" w:rsidRDefault="002F7AD4" w:rsidP="002F7AD4">
            <w:pPr>
              <w:pStyle w:val="Default"/>
              <w:rPr>
                <w:rFonts w:ascii="Times New Roman" w:hAnsi="Times New Roman" w:cs="Times New Roman"/>
                <w:sz w:val="22"/>
                <w:szCs w:val="22"/>
              </w:rPr>
            </w:pPr>
            <w:r w:rsidRPr="002F7AD4">
              <w:rPr>
                <w:rFonts w:ascii="Times New Roman" w:hAnsi="Times New Roman" w:cs="Times New Roman"/>
                <w:sz w:val="22"/>
                <w:szCs w:val="22"/>
              </w:rPr>
              <w:t>1.63</w:t>
            </w:r>
            <w:r>
              <w:rPr>
                <w:rFonts w:ascii="Times New Roman" w:hAnsi="Times New Roman" w:cs="Times New Roman"/>
                <w:sz w:val="22"/>
                <w:szCs w:val="22"/>
              </w:rPr>
              <w:t>%</w:t>
            </w:r>
            <w:r w:rsidRPr="002F7AD4">
              <w:rPr>
                <w:rFonts w:ascii="Times New Roman" w:hAnsi="Times New Roman" w:cs="Times New Roman"/>
                <w:sz w:val="22"/>
                <w:szCs w:val="22"/>
              </w:rPr>
              <w:t xml:space="preserve">  </w:t>
            </w:r>
          </w:p>
        </w:tc>
      </w:tr>
      <w:tr w:rsidR="00B15543" w:rsidTr="00B15543">
        <w:trPr>
          <w:trHeight w:val="93"/>
        </w:trPr>
        <w:tc>
          <w:tcPr>
            <w:tcW w:w="1824"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b/>
                <w:bCs/>
                <w:sz w:val="22"/>
                <w:szCs w:val="22"/>
              </w:rPr>
              <w:t xml:space="preserve">Internal Audit </w:t>
            </w:r>
          </w:p>
        </w:tc>
        <w:tc>
          <w:tcPr>
            <w:tcW w:w="1004"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5.5 </w:t>
            </w:r>
          </w:p>
        </w:tc>
        <w:tc>
          <w:tcPr>
            <w:tcW w:w="1147"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5.4 </w:t>
            </w:r>
          </w:p>
        </w:tc>
        <w:tc>
          <w:tcPr>
            <w:tcW w:w="1137"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- 0.1 </w:t>
            </w:r>
          </w:p>
        </w:tc>
        <w:tc>
          <w:tcPr>
            <w:tcW w:w="1299" w:type="dxa"/>
            <w:gridSpan w:val="2"/>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- 0.3 </w:t>
            </w:r>
          </w:p>
        </w:tc>
        <w:tc>
          <w:tcPr>
            <w:tcW w:w="1258" w:type="dxa"/>
          </w:tcPr>
          <w:p w:rsidR="002F7AD4" w:rsidRPr="002F7AD4" w:rsidRDefault="002F7AD4" w:rsidP="002F7AD4">
            <w:pPr>
              <w:pStyle w:val="Default"/>
              <w:rPr>
                <w:rFonts w:ascii="Times New Roman" w:hAnsi="Times New Roman" w:cs="Times New Roman"/>
                <w:sz w:val="22"/>
                <w:szCs w:val="22"/>
              </w:rPr>
            </w:pPr>
            <w:r w:rsidRPr="002F7AD4">
              <w:rPr>
                <w:rFonts w:ascii="Times New Roman" w:hAnsi="Times New Roman" w:cs="Times New Roman"/>
                <w:sz w:val="22"/>
                <w:szCs w:val="22"/>
              </w:rPr>
              <w:t>-1.82</w:t>
            </w:r>
            <w:r>
              <w:rPr>
                <w:rFonts w:ascii="Times New Roman" w:hAnsi="Times New Roman" w:cs="Times New Roman"/>
                <w:sz w:val="22"/>
                <w:szCs w:val="22"/>
              </w:rPr>
              <w:t>%</w:t>
            </w:r>
          </w:p>
        </w:tc>
        <w:tc>
          <w:tcPr>
            <w:tcW w:w="1283" w:type="dxa"/>
            <w:gridSpan w:val="2"/>
          </w:tcPr>
          <w:p w:rsidR="002F7AD4" w:rsidRPr="002F7AD4" w:rsidRDefault="002F7AD4" w:rsidP="002F7AD4">
            <w:pPr>
              <w:pStyle w:val="Default"/>
              <w:rPr>
                <w:rFonts w:ascii="Times New Roman" w:hAnsi="Times New Roman" w:cs="Times New Roman"/>
                <w:sz w:val="22"/>
                <w:szCs w:val="22"/>
              </w:rPr>
            </w:pPr>
            <w:r w:rsidRPr="002F7AD4">
              <w:rPr>
                <w:rFonts w:ascii="Times New Roman" w:hAnsi="Times New Roman" w:cs="Times New Roman"/>
                <w:sz w:val="22"/>
                <w:szCs w:val="22"/>
              </w:rPr>
              <w:t>-5.96</w:t>
            </w:r>
            <w:r>
              <w:rPr>
                <w:rFonts w:ascii="Times New Roman" w:hAnsi="Times New Roman" w:cs="Times New Roman"/>
                <w:sz w:val="22"/>
                <w:szCs w:val="22"/>
              </w:rPr>
              <w:t>%</w:t>
            </w:r>
            <w:r w:rsidRPr="002F7AD4">
              <w:rPr>
                <w:rFonts w:ascii="Times New Roman" w:hAnsi="Times New Roman" w:cs="Times New Roman"/>
                <w:sz w:val="22"/>
                <w:szCs w:val="22"/>
              </w:rPr>
              <w:t xml:space="preserve">  </w:t>
            </w:r>
          </w:p>
        </w:tc>
      </w:tr>
      <w:tr w:rsidR="00B15543" w:rsidTr="00B15543">
        <w:trPr>
          <w:trHeight w:val="93"/>
        </w:trPr>
        <w:tc>
          <w:tcPr>
            <w:tcW w:w="1824"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b/>
                <w:bCs/>
                <w:sz w:val="22"/>
                <w:szCs w:val="22"/>
              </w:rPr>
              <w:t xml:space="preserve">Finance Services </w:t>
            </w:r>
          </w:p>
        </w:tc>
        <w:tc>
          <w:tcPr>
            <w:tcW w:w="1004"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21.6 </w:t>
            </w:r>
          </w:p>
        </w:tc>
        <w:tc>
          <w:tcPr>
            <w:tcW w:w="1147"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22.7 </w:t>
            </w:r>
          </w:p>
        </w:tc>
        <w:tc>
          <w:tcPr>
            <w:tcW w:w="1137"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1.1 </w:t>
            </w:r>
          </w:p>
        </w:tc>
        <w:tc>
          <w:tcPr>
            <w:tcW w:w="1299" w:type="dxa"/>
            <w:gridSpan w:val="2"/>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0.1 </w:t>
            </w:r>
          </w:p>
        </w:tc>
        <w:tc>
          <w:tcPr>
            <w:tcW w:w="1258" w:type="dxa"/>
          </w:tcPr>
          <w:p w:rsidR="002F7AD4" w:rsidRPr="002F7AD4" w:rsidRDefault="002F7AD4" w:rsidP="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5.09 </w:t>
            </w:r>
            <w:r>
              <w:rPr>
                <w:rFonts w:ascii="Times New Roman" w:hAnsi="Times New Roman" w:cs="Times New Roman"/>
                <w:sz w:val="22"/>
                <w:szCs w:val="22"/>
              </w:rPr>
              <w:t>%</w:t>
            </w:r>
          </w:p>
        </w:tc>
        <w:tc>
          <w:tcPr>
            <w:tcW w:w="1283" w:type="dxa"/>
            <w:gridSpan w:val="2"/>
          </w:tcPr>
          <w:p w:rsidR="002F7AD4" w:rsidRPr="002F7AD4" w:rsidRDefault="002F7AD4" w:rsidP="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0.66 </w:t>
            </w:r>
            <w:r>
              <w:rPr>
                <w:rFonts w:ascii="Times New Roman" w:hAnsi="Times New Roman" w:cs="Times New Roman"/>
                <w:sz w:val="22"/>
                <w:szCs w:val="22"/>
              </w:rPr>
              <w:t>%</w:t>
            </w:r>
            <w:r w:rsidRPr="002F7AD4">
              <w:rPr>
                <w:rFonts w:ascii="Times New Roman" w:hAnsi="Times New Roman" w:cs="Times New Roman"/>
                <w:sz w:val="22"/>
                <w:szCs w:val="22"/>
              </w:rPr>
              <w:t xml:space="preserve"> </w:t>
            </w:r>
          </w:p>
        </w:tc>
      </w:tr>
      <w:tr w:rsidR="00B15543" w:rsidTr="00B15543">
        <w:trPr>
          <w:trHeight w:val="555"/>
        </w:trPr>
        <w:tc>
          <w:tcPr>
            <w:tcW w:w="1824"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b/>
                <w:bCs/>
                <w:sz w:val="22"/>
                <w:szCs w:val="22"/>
              </w:rPr>
              <w:t xml:space="preserve">TOTAL </w:t>
            </w:r>
          </w:p>
        </w:tc>
        <w:tc>
          <w:tcPr>
            <w:tcW w:w="1004"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92.6 </w:t>
            </w:r>
          </w:p>
        </w:tc>
        <w:tc>
          <w:tcPr>
            <w:tcW w:w="1147"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105.0 </w:t>
            </w:r>
          </w:p>
        </w:tc>
        <w:tc>
          <w:tcPr>
            <w:tcW w:w="1137" w:type="dxa"/>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12.4 </w:t>
            </w:r>
          </w:p>
        </w:tc>
        <w:tc>
          <w:tcPr>
            <w:tcW w:w="1299" w:type="dxa"/>
            <w:gridSpan w:val="2"/>
          </w:tcPr>
          <w:p w:rsidR="002F7AD4" w:rsidRPr="002F7AD4" w:rsidRDefault="002F7AD4">
            <w:pPr>
              <w:pStyle w:val="Default"/>
              <w:rPr>
                <w:rFonts w:ascii="Times New Roman" w:hAnsi="Times New Roman" w:cs="Times New Roman"/>
                <w:sz w:val="22"/>
                <w:szCs w:val="22"/>
              </w:rPr>
            </w:pPr>
            <w:r w:rsidRPr="002F7AD4">
              <w:rPr>
                <w:rFonts w:ascii="Times New Roman" w:hAnsi="Times New Roman" w:cs="Times New Roman"/>
                <w:sz w:val="22"/>
                <w:szCs w:val="22"/>
              </w:rPr>
              <w:t xml:space="preserve">8.0 </w:t>
            </w:r>
          </w:p>
        </w:tc>
        <w:tc>
          <w:tcPr>
            <w:tcW w:w="1258" w:type="dxa"/>
          </w:tcPr>
          <w:p w:rsidR="002F7AD4" w:rsidRPr="002F7AD4" w:rsidRDefault="002F7AD4" w:rsidP="002F7AD4">
            <w:pPr>
              <w:pStyle w:val="Default"/>
              <w:rPr>
                <w:rFonts w:ascii="Times New Roman" w:hAnsi="Times New Roman" w:cs="Times New Roman"/>
                <w:sz w:val="22"/>
                <w:szCs w:val="22"/>
              </w:rPr>
            </w:pPr>
            <w:r w:rsidRPr="002F7AD4">
              <w:rPr>
                <w:rFonts w:ascii="Times New Roman" w:hAnsi="Times New Roman" w:cs="Times New Roman"/>
                <w:b/>
                <w:bCs/>
                <w:sz w:val="22"/>
                <w:szCs w:val="22"/>
              </w:rPr>
              <w:t xml:space="preserve">13.4 </w:t>
            </w:r>
            <w:r>
              <w:rPr>
                <w:rFonts w:ascii="Times New Roman" w:hAnsi="Times New Roman" w:cs="Times New Roman"/>
                <w:b/>
                <w:bCs/>
                <w:sz w:val="22"/>
                <w:szCs w:val="22"/>
              </w:rPr>
              <w:t>%</w:t>
            </w:r>
          </w:p>
        </w:tc>
        <w:tc>
          <w:tcPr>
            <w:tcW w:w="1283" w:type="dxa"/>
            <w:gridSpan w:val="2"/>
          </w:tcPr>
          <w:p w:rsidR="002F7AD4" w:rsidRPr="002F7AD4" w:rsidRDefault="002F7AD4" w:rsidP="002F7AD4">
            <w:pPr>
              <w:pStyle w:val="Default"/>
              <w:rPr>
                <w:rFonts w:ascii="Times New Roman" w:hAnsi="Times New Roman" w:cs="Times New Roman"/>
                <w:sz w:val="22"/>
                <w:szCs w:val="22"/>
              </w:rPr>
            </w:pPr>
            <w:r w:rsidRPr="002F7AD4">
              <w:rPr>
                <w:rFonts w:ascii="Times New Roman" w:hAnsi="Times New Roman" w:cs="Times New Roman"/>
                <w:b/>
                <w:bCs/>
                <w:sz w:val="22"/>
                <w:szCs w:val="22"/>
              </w:rPr>
              <w:t xml:space="preserve">8.61 </w:t>
            </w:r>
            <w:r>
              <w:rPr>
                <w:rFonts w:ascii="Times New Roman" w:hAnsi="Times New Roman" w:cs="Times New Roman"/>
                <w:b/>
                <w:bCs/>
                <w:sz w:val="22"/>
                <w:szCs w:val="22"/>
              </w:rPr>
              <w:t>%</w:t>
            </w:r>
            <w:r w:rsidRPr="002F7AD4">
              <w:rPr>
                <w:rFonts w:ascii="Times New Roman" w:hAnsi="Times New Roman" w:cs="Times New Roman"/>
                <w:b/>
                <w:bCs/>
                <w:sz w:val="22"/>
                <w:szCs w:val="22"/>
              </w:rPr>
              <w:t xml:space="preserve"> </w:t>
            </w:r>
          </w:p>
        </w:tc>
      </w:tr>
    </w:tbl>
    <w:p w:rsidR="00B15543" w:rsidRDefault="009F60CA" w:rsidP="009F60CA">
      <w:pPr>
        <w:spacing w:after="0" w:line="280" w:lineRule="exact"/>
        <w:jc w:val="center"/>
        <w:rPr>
          <w:rFonts w:ascii="Times New Roman" w:eastAsia="Calibri" w:hAnsi="Times New Roman" w:cs="Times New Roman"/>
          <w:b/>
        </w:rPr>
      </w:pPr>
      <w:r>
        <w:rPr>
          <w:rFonts w:ascii="Times New Roman" w:eastAsia="Calibri" w:hAnsi="Times New Roman" w:cs="Times New Roman"/>
          <w:b/>
        </w:rPr>
        <w:t xml:space="preserve">                                                                                                 </w:t>
      </w:r>
      <w:r w:rsidR="00EB6B72" w:rsidRPr="00EB6B72">
        <w:rPr>
          <w:rFonts w:ascii="Times New Roman" w:eastAsia="Calibri" w:hAnsi="Times New Roman" w:cs="Times New Roman"/>
          <w:b/>
        </w:rPr>
        <w:t xml:space="preserve">Source: </w:t>
      </w:r>
      <w:r>
        <w:rPr>
          <w:rFonts w:ascii="Times New Roman" w:eastAsia="Calibri" w:hAnsi="Times New Roman" w:cs="Times New Roman"/>
          <w:b/>
        </w:rPr>
        <w:t>National Treasury (</w:t>
      </w:r>
      <w:r w:rsidR="00EB6B72" w:rsidRPr="00EB6B72">
        <w:rPr>
          <w:rFonts w:ascii="Times New Roman" w:eastAsia="Calibri" w:hAnsi="Times New Roman" w:cs="Times New Roman"/>
          <w:b/>
        </w:rPr>
        <w:t>20</w:t>
      </w:r>
      <w:r w:rsidR="002F7AD4">
        <w:rPr>
          <w:rFonts w:ascii="Times New Roman" w:eastAsia="Calibri" w:hAnsi="Times New Roman" w:cs="Times New Roman"/>
          <w:b/>
        </w:rPr>
        <w:t>20</w:t>
      </w:r>
      <w:r>
        <w:rPr>
          <w:rFonts w:ascii="Times New Roman" w:eastAsia="Calibri" w:hAnsi="Times New Roman" w:cs="Times New Roman"/>
          <w:b/>
        </w:rPr>
        <w:t>)</w:t>
      </w:r>
    </w:p>
    <w:p w:rsidR="009F60CA" w:rsidRDefault="009F60CA" w:rsidP="009F60CA">
      <w:pPr>
        <w:spacing w:after="0" w:line="280" w:lineRule="exact"/>
        <w:jc w:val="center"/>
        <w:rPr>
          <w:rFonts w:ascii="Times New Roman" w:eastAsia="Calibri" w:hAnsi="Times New Roman" w:cs="Times New Roman"/>
          <w:b/>
        </w:rPr>
      </w:pPr>
    </w:p>
    <w:p w:rsidR="00B15543" w:rsidRPr="00B15543" w:rsidRDefault="00B15543" w:rsidP="00B15543">
      <w:pPr>
        <w:spacing w:after="0" w:line="280" w:lineRule="exact"/>
        <w:jc w:val="both"/>
        <w:rPr>
          <w:rFonts w:ascii="Times New Roman" w:eastAsia="Calibri" w:hAnsi="Times New Roman" w:cs="Times New Roman"/>
          <w:b/>
        </w:rPr>
      </w:pPr>
      <w:bookmarkStart w:id="3" w:name="_Toc12872910"/>
      <w:r>
        <w:rPr>
          <w:rFonts w:ascii="Times New Roman" w:eastAsia="Calibri" w:hAnsi="Times New Roman" w:cs="Times New Roman"/>
        </w:rPr>
        <w:t>The Corpor</w:t>
      </w:r>
      <w:r w:rsidRPr="00B15543">
        <w:rPr>
          <w:rFonts w:ascii="Times New Roman" w:eastAsia="Calibri" w:hAnsi="Times New Roman" w:cs="Times New Roman"/>
          <w:sz w:val="24"/>
          <w:szCs w:val="24"/>
        </w:rPr>
        <w:t>ate Services sub</w:t>
      </w:r>
      <w:r>
        <w:rPr>
          <w:rFonts w:ascii="Times New Roman" w:eastAsia="Calibri" w:hAnsi="Times New Roman" w:cs="Times New Roman"/>
          <w:sz w:val="24"/>
          <w:szCs w:val="24"/>
        </w:rPr>
        <w:t>-</w:t>
      </w:r>
      <w:r w:rsidRPr="00B15543">
        <w:rPr>
          <w:rFonts w:ascii="Times New Roman" w:eastAsia="Calibri" w:hAnsi="Times New Roman" w:cs="Times New Roman"/>
          <w:sz w:val="24"/>
          <w:szCs w:val="24"/>
        </w:rPr>
        <w:t>programme received a budget allocation of R41.7 million in 2020/21, which is a nominal increase of 14.56%. Proportionally, the sub</w:t>
      </w:r>
      <w:r>
        <w:rPr>
          <w:rFonts w:ascii="Times New Roman" w:eastAsia="Calibri" w:hAnsi="Times New Roman" w:cs="Times New Roman"/>
          <w:sz w:val="24"/>
          <w:szCs w:val="24"/>
        </w:rPr>
        <w:t>-</w:t>
      </w:r>
      <w:r w:rsidRPr="00B15543">
        <w:rPr>
          <w:rFonts w:ascii="Times New Roman" w:eastAsia="Calibri" w:hAnsi="Times New Roman" w:cs="Times New Roman"/>
          <w:sz w:val="24"/>
          <w:szCs w:val="24"/>
        </w:rPr>
        <w:t>programme received 39.71% of the total budget allocation of the Programme, which is the largest portion of the Programme.</w:t>
      </w:r>
    </w:p>
    <w:p w:rsidR="00B15543" w:rsidRDefault="00B15543" w:rsidP="00B15543">
      <w:pPr>
        <w:keepNext/>
        <w:keepLines/>
        <w:spacing w:after="0" w:line="276" w:lineRule="auto"/>
        <w:jc w:val="both"/>
        <w:outlineLvl w:val="1"/>
        <w:rPr>
          <w:rFonts w:ascii="Times New Roman" w:eastAsia="Calibri" w:hAnsi="Times New Roman" w:cs="Times New Roman"/>
          <w:sz w:val="24"/>
          <w:szCs w:val="24"/>
        </w:rPr>
      </w:pPr>
      <w:r w:rsidRPr="00B15543">
        <w:rPr>
          <w:rFonts w:ascii="Times New Roman" w:eastAsia="Calibri" w:hAnsi="Times New Roman" w:cs="Times New Roman"/>
          <w:sz w:val="24"/>
          <w:szCs w:val="24"/>
        </w:rPr>
        <w:lastRenderedPageBreak/>
        <w:t>The Office Accommodation sub</w:t>
      </w:r>
      <w:r>
        <w:rPr>
          <w:rFonts w:ascii="Times New Roman" w:eastAsia="Calibri" w:hAnsi="Times New Roman" w:cs="Times New Roman"/>
          <w:sz w:val="24"/>
          <w:szCs w:val="24"/>
        </w:rPr>
        <w:t>-</w:t>
      </w:r>
      <w:r w:rsidRPr="00B15543">
        <w:rPr>
          <w:rFonts w:ascii="Times New Roman" w:eastAsia="Calibri" w:hAnsi="Times New Roman" w:cs="Times New Roman"/>
          <w:sz w:val="24"/>
          <w:szCs w:val="24"/>
        </w:rPr>
        <w:t>programme received a budget allocation of R13.9 million in 2020/21, which is a nominal increase of 6.11%. Proportionally, the sub</w:t>
      </w:r>
      <w:r>
        <w:rPr>
          <w:rFonts w:ascii="Times New Roman" w:eastAsia="Calibri" w:hAnsi="Times New Roman" w:cs="Times New Roman"/>
          <w:sz w:val="24"/>
          <w:szCs w:val="24"/>
        </w:rPr>
        <w:t>-</w:t>
      </w:r>
      <w:r w:rsidRPr="00B15543">
        <w:rPr>
          <w:rFonts w:ascii="Times New Roman" w:eastAsia="Calibri" w:hAnsi="Times New Roman" w:cs="Times New Roman"/>
          <w:sz w:val="24"/>
          <w:szCs w:val="24"/>
        </w:rPr>
        <w:t>programme received 5.14% of the total budget allocation of the Programme.</w:t>
      </w:r>
    </w:p>
    <w:p w:rsidR="00B15543" w:rsidRPr="00B15543" w:rsidRDefault="00B15543" w:rsidP="00B15543">
      <w:pPr>
        <w:keepNext/>
        <w:keepLines/>
        <w:spacing w:after="0" w:line="276" w:lineRule="auto"/>
        <w:jc w:val="both"/>
        <w:outlineLvl w:val="1"/>
        <w:rPr>
          <w:rFonts w:ascii="Times New Roman" w:eastAsia="Calibri" w:hAnsi="Times New Roman" w:cs="Times New Roman"/>
          <w:sz w:val="24"/>
          <w:szCs w:val="24"/>
        </w:rPr>
      </w:pPr>
    </w:p>
    <w:p w:rsidR="00B15543" w:rsidRDefault="00B15543" w:rsidP="00B15543">
      <w:pPr>
        <w:keepNext/>
        <w:keepLines/>
        <w:spacing w:after="0" w:line="276" w:lineRule="auto"/>
        <w:jc w:val="both"/>
        <w:outlineLvl w:val="1"/>
        <w:rPr>
          <w:rFonts w:ascii="Times New Roman" w:eastAsia="Calibri" w:hAnsi="Times New Roman" w:cs="Times New Roman"/>
          <w:sz w:val="24"/>
          <w:szCs w:val="24"/>
        </w:rPr>
      </w:pPr>
      <w:r w:rsidRPr="00B15543">
        <w:rPr>
          <w:rFonts w:ascii="Times New Roman" w:eastAsia="Calibri" w:hAnsi="Times New Roman" w:cs="Times New Roman"/>
          <w:sz w:val="24"/>
          <w:szCs w:val="24"/>
        </w:rPr>
        <w:t>The Internal Audit sub</w:t>
      </w:r>
      <w:r>
        <w:rPr>
          <w:rFonts w:ascii="Times New Roman" w:eastAsia="Calibri" w:hAnsi="Times New Roman" w:cs="Times New Roman"/>
          <w:sz w:val="24"/>
          <w:szCs w:val="24"/>
        </w:rPr>
        <w:t>-</w:t>
      </w:r>
      <w:r w:rsidRPr="00B15543">
        <w:rPr>
          <w:rFonts w:ascii="Times New Roman" w:eastAsia="Calibri" w:hAnsi="Times New Roman" w:cs="Times New Roman"/>
          <w:sz w:val="24"/>
          <w:szCs w:val="24"/>
        </w:rPr>
        <w:t>programme received a budget allocation of R5.4 million in 2020/21, which is a nominal decrease of 1.82%. Considering inflation, the sub</w:t>
      </w:r>
      <w:r>
        <w:rPr>
          <w:rFonts w:ascii="Times New Roman" w:eastAsia="Calibri" w:hAnsi="Times New Roman" w:cs="Times New Roman"/>
          <w:sz w:val="24"/>
          <w:szCs w:val="24"/>
        </w:rPr>
        <w:t>-</w:t>
      </w:r>
      <w:r w:rsidRPr="00B15543">
        <w:rPr>
          <w:rFonts w:ascii="Times New Roman" w:eastAsia="Calibri" w:hAnsi="Times New Roman" w:cs="Times New Roman"/>
          <w:sz w:val="24"/>
          <w:szCs w:val="24"/>
        </w:rPr>
        <w:t>programme’s budget allocation decreased by 5.96%.</w:t>
      </w:r>
    </w:p>
    <w:p w:rsidR="00B15543" w:rsidRPr="00B15543" w:rsidRDefault="00B15543" w:rsidP="00B15543">
      <w:pPr>
        <w:keepNext/>
        <w:keepLines/>
        <w:spacing w:after="0" w:line="276" w:lineRule="auto"/>
        <w:jc w:val="both"/>
        <w:outlineLvl w:val="1"/>
        <w:rPr>
          <w:rFonts w:ascii="Times New Roman" w:eastAsia="Calibri" w:hAnsi="Times New Roman" w:cs="Times New Roman"/>
          <w:sz w:val="24"/>
          <w:szCs w:val="24"/>
        </w:rPr>
      </w:pPr>
    </w:p>
    <w:p w:rsidR="00B15543" w:rsidRDefault="00B15543" w:rsidP="00B15543">
      <w:pPr>
        <w:keepNext/>
        <w:keepLines/>
        <w:spacing w:after="0" w:line="276" w:lineRule="auto"/>
        <w:jc w:val="both"/>
        <w:outlineLvl w:val="1"/>
        <w:rPr>
          <w:rFonts w:ascii="Times New Roman" w:eastAsia="Calibri" w:hAnsi="Times New Roman" w:cs="Times New Roman"/>
          <w:sz w:val="24"/>
          <w:szCs w:val="24"/>
        </w:rPr>
      </w:pPr>
      <w:r w:rsidRPr="00B15543">
        <w:rPr>
          <w:rFonts w:ascii="Times New Roman" w:eastAsia="Calibri" w:hAnsi="Times New Roman" w:cs="Times New Roman"/>
          <w:sz w:val="24"/>
          <w:szCs w:val="24"/>
        </w:rPr>
        <w:t>The Finance Services sub</w:t>
      </w:r>
      <w:r>
        <w:rPr>
          <w:rFonts w:ascii="Times New Roman" w:eastAsia="Calibri" w:hAnsi="Times New Roman" w:cs="Times New Roman"/>
          <w:sz w:val="24"/>
          <w:szCs w:val="24"/>
        </w:rPr>
        <w:t>-</w:t>
      </w:r>
      <w:r w:rsidRPr="00B15543">
        <w:rPr>
          <w:rFonts w:ascii="Times New Roman" w:eastAsia="Calibri" w:hAnsi="Times New Roman" w:cs="Times New Roman"/>
          <w:sz w:val="24"/>
          <w:szCs w:val="24"/>
        </w:rPr>
        <w:t>programme received a budget allocation of R22.7 million in 2020/21, which is a nominal increase of 5.09%. Proportionally, the sub</w:t>
      </w:r>
      <w:r>
        <w:rPr>
          <w:rFonts w:ascii="Times New Roman" w:eastAsia="Calibri" w:hAnsi="Times New Roman" w:cs="Times New Roman"/>
          <w:sz w:val="24"/>
          <w:szCs w:val="24"/>
        </w:rPr>
        <w:t>-</w:t>
      </w:r>
      <w:r w:rsidRPr="00B15543">
        <w:rPr>
          <w:rFonts w:ascii="Times New Roman" w:eastAsia="Calibri" w:hAnsi="Times New Roman" w:cs="Times New Roman"/>
          <w:sz w:val="24"/>
          <w:szCs w:val="24"/>
        </w:rPr>
        <w:t>programme received 21.62% of the total budget allocation of the Programme.</w:t>
      </w:r>
    </w:p>
    <w:p w:rsidR="00B15543" w:rsidRDefault="00B15543" w:rsidP="00EB6B72">
      <w:pPr>
        <w:keepNext/>
        <w:keepLines/>
        <w:spacing w:after="0" w:line="276" w:lineRule="auto"/>
        <w:jc w:val="both"/>
        <w:outlineLvl w:val="1"/>
        <w:rPr>
          <w:rFonts w:ascii="Times New Roman" w:eastAsia="Calibri" w:hAnsi="Times New Roman" w:cs="Times New Roman"/>
          <w:sz w:val="24"/>
          <w:szCs w:val="24"/>
        </w:rPr>
      </w:pPr>
    </w:p>
    <w:p w:rsidR="00B15543" w:rsidRPr="00EB6B72" w:rsidRDefault="00B15543" w:rsidP="00EB6B72">
      <w:pPr>
        <w:keepNext/>
        <w:keepLines/>
        <w:spacing w:after="0" w:line="276" w:lineRule="auto"/>
        <w:jc w:val="both"/>
        <w:outlineLvl w:val="1"/>
        <w:rPr>
          <w:rFonts w:ascii="Times New Roman" w:eastAsia="Calibri" w:hAnsi="Times New Roman" w:cs="Times New Roman"/>
          <w:sz w:val="24"/>
          <w:szCs w:val="24"/>
        </w:rPr>
      </w:pPr>
    </w:p>
    <w:p w:rsidR="00EB6B72" w:rsidRPr="00EB6B72" w:rsidRDefault="00EB6B72" w:rsidP="00EB6B72">
      <w:pPr>
        <w:keepNext/>
        <w:keepLines/>
        <w:spacing w:after="0" w:line="276" w:lineRule="auto"/>
        <w:jc w:val="both"/>
        <w:outlineLvl w:val="1"/>
        <w:rPr>
          <w:rFonts w:ascii="Times New Roman" w:eastAsia="Times New Roman" w:hAnsi="Times New Roman" w:cs="Times New Roman"/>
          <w:b/>
          <w:color w:val="538135"/>
          <w:sz w:val="24"/>
          <w:szCs w:val="24"/>
        </w:rPr>
      </w:pPr>
      <w:r w:rsidRPr="00EB6B72">
        <w:rPr>
          <w:rFonts w:ascii="Times New Roman" w:eastAsia="Calibri" w:hAnsi="Times New Roman" w:cs="Times New Roman"/>
          <w:b/>
          <w:sz w:val="24"/>
          <w:szCs w:val="24"/>
        </w:rPr>
        <w:t>3.</w:t>
      </w:r>
      <w:r w:rsidR="00B110E4">
        <w:rPr>
          <w:rFonts w:ascii="Times New Roman" w:eastAsia="Calibri" w:hAnsi="Times New Roman" w:cs="Times New Roman"/>
          <w:b/>
          <w:sz w:val="24"/>
          <w:szCs w:val="24"/>
        </w:rPr>
        <w:t>1.</w:t>
      </w:r>
      <w:r w:rsidRPr="00EB6B72">
        <w:rPr>
          <w:rFonts w:ascii="Times New Roman" w:eastAsia="Calibri" w:hAnsi="Times New Roman" w:cs="Times New Roman"/>
          <w:b/>
          <w:sz w:val="24"/>
          <w:szCs w:val="24"/>
        </w:rPr>
        <w:t>2</w:t>
      </w:r>
      <w:r w:rsidRPr="00EB6B72">
        <w:rPr>
          <w:rFonts w:ascii="Times New Roman" w:eastAsia="Calibri" w:hAnsi="Times New Roman" w:cs="Times New Roman"/>
          <w:sz w:val="24"/>
          <w:szCs w:val="24"/>
        </w:rPr>
        <w:tab/>
      </w:r>
      <w:r w:rsidRPr="00EB6B72">
        <w:rPr>
          <w:rFonts w:ascii="Times New Roman" w:eastAsia="Times New Roman" w:hAnsi="Times New Roman" w:cs="Times New Roman"/>
          <w:b/>
          <w:color w:val="000000" w:themeColor="text1"/>
          <w:sz w:val="24"/>
          <w:szCs w:val="24"/>
        </w:rPr>
        <w:t>Programme 2: Investigation and Information Management</w:t>
      </w:r>
      <w:bookmarkEnd w:id="3"/>
      <w:r w:rsidRPr="00EB6B72">
        <w:rPr>
          <w:rFonts w:ascii="Times New Roman" w:eastAsia="Times New Roman" w:hAnsi="Times New Roman" w:cs="Times New Roman"/>
          <w:b/>
          <w:color w:val="538135"/>
          <w:sz w:val="24"/>
          <w:szCs w:val="24"/>
        </w:rPr>
        <w:t xml:space="preserve"> </w:t>
      </w:r>
    </w:p>
    <w:p w:rsidR="00EB6B72" w:rsidRPr="00EB6B72" w:rsidRDefault="00EB6B72" w:rsidP="00EB6B72">
      <w:pPr>
        <w:spacing w:after="0" w:line="276" w:lineRule="auto"/>
        <w:jc w:val="both"/>
        <w:rPr>
          <w:rFonts w:ascii="Times New Roman" w:eastAsia="Calibri" w:hAnsi="Times New Roman" w:cs="Times New Roman"/>
          <w:sz w:val="24"/>
          <w:szCs w:val="24"/>
        </w:rPr>
      </w:pPr>
    </w:p>
    <w:p w:rsidR="00B15543" w:rsidRDefault="00EB6B72" w:rsidP="00EB6B72">
      <w:pPr>
        <w:autoSpaceDE w:val="0"/>
        <w:autoSpaceDN w:val="0"/>
        <w:adjustRightInd w:val="0"/>
        <w:spacing w:after="0" w:line="276" w:lineRule="auto"/>
        <w:jc w:val="both"/>
        <w:rPr>
          <w:rFonts w:ascii="Times New Roman" w:eastAsia="Calibri" w:hAnsi="Times New Roman" w:cs="Times New Roman"/>
          <w:sz w:val="24"/>
          <w:szCs w:val="24"/>
        </w:rPr>
      </w:pPr>
      <w:r w:rsidRPr="00EB6B72">
        <w:rPr>
          <w:rFonts w:ascii="Times New Roman" w:eastAsia="Calibri" w:hAnsi="Times New Roman" w:cs="Times New Roman"/>
          <w:sz w:val="24"/>
          <w:szCs w:val="24"/>
        </w:rPr>
        <w:t xml:space="preserve">The purpose of the Investigation and Information Management Programme is to strengthen the Department’s oversight role over the police service by conducting investigations, in line with the powers granted by the Independent Police Investigative Directorate Act No. 1 of 2011. </w:t>
      </w:r>
    </w:p>
    <w:p w:rsidR="00B15543" w:rsidRDefault="00B15543" w:rsidP="00EB6B72">
      <w:pPr>
        <w:autoSpaceDE w:val="0"/>
        <w:autoSpaceDN w:val="0"/>
        <w:adjustRightInd w:val="0"/>
        <w:spacing w:after="0" w:line="276" w:lineRule="auto"/>
        <w:jc w:val="both"/>
        <w:rPr>
          <w:rFonts w:ascii="Times New Roman" w:eastAsia="Calibri" w:hAnsi="Times New Roman" w:cs="Times New Roman"/>
          <w:sz w:val="24"/>
          <w:szCs w:val="24"/>
        </w:rPr>
      </w:pPr>
    </w:p>
    <w:p w:rsidR="00B15543" w:rsidRPr="00B15543" w:rsidRDefault="00B15543" w:rsidP="00B15543">
      <w:pPr>
        <w:autoSpaceDE w:val="0"/>
        <w:autoSpaceDN w:val="0"/>
        <w:adjustRightInd w:val="0"/>
        <w:spacing w:after="0" w:line="276" w:lineRule="auto"/>
        <w:jc w:val="both"/>
        <w:rPr>
          <w:rFonts w:ascii="Times New Roman" w:eastAsia="Calibri" w:hAnsi="Times New Roman" w:cs="Times New Roman"/>
          <w:sz w:val="24"/>
          <w:szCs w:val="24"/>
        </w:rPr>
      </w:pPr>
      <w:r w:rsidRPr="00B15543">
        <w:rPr>
          <w:rFonts w:ascii="Times New Roman" w:eastAsia="Calibri" w:hAnsi="Times New Roman" w:cs="Times New Roman"/>
          <w:sz w:val="24"/>
          <w:szCs w:val="24"/>
        </w:rPr>
        <w:t xml:space="preserve">The Investigation Management </w:t>
      </w:r>
      <w:r>
        <w:rPr>
          <w:rFonts w:ascii="Times New Roman" w:eastAsia="Calibri" w:hAnsi="Times New Roman" w:cs="Times New Roman"/>
          <w:sz w:val="24"/>
          <w:szCs w:val="24"/>
        </w:rPr>
        <w:t>sub-programme</w:t>
      </w:r>
      <w:r w:rsidRPr="00B15543">
        <w:rPr>
          <w:rFonts w:ascii="Times New Roman" w:eastAsia="Calibri" w:hAnsi="Times New Roman" w:cs="Times New Roman"/>
          <w:sz w:val="24"/>
          <w:szCs w:val="24"/>
        </w:rPr>
        <w:t xml:space="preserve"> received a budget allocation of R20.7 million in 2020/32, which is a nominal increase of 5.08%. Proportionally, the </w:t>
      </w:r>
      <w:r>
        <w:rPr>
          <w:rFonts w:ascii="Times New Roman" w:eastAsia="Calibri" w:hAnsi="Times New Roman" w:cs="Times New Roman"/>
          <w:sz w:val="24"/>
          <w:szCs w:val="24"/>
        </w:rPr>
        <w:t>sub-programme</w:t>
      </w:r>
      <w:r w:rsidRPr="00B15543">
        <w:rPr>
          <w:rFonts w:ascii="Times New Roman" w:eastAsia="Calibri" w:hAnsi="Times New Roman" w:cs="Times New Roman"/>
          <w:sz w:val="24"/>
          <w:szCs w:val="24"/>
        </w:rPr>
        <w:t xml:space="preserve"> received 8.96% of the total budget allocation of the Programme.</w:t>
      </w:r>
    </w:p>
    <w:p w:rsidR="00B15543" w:rsidRDefault="00B15543" w:rsidP="00B15543">
      <w:pPr>
        <w:autoSpaceDE w:val="0"/>
        <w:autoSpaceDN w:val="0"/>
        <w:adjustRightInd w:val="0"/>
        <w:spacing w:after="0" w:line="276" w:lineRule="auto"/>
        <w:jc w:val="both"/>
        <w:rPr>
          <w:rFonts w:ascii="Times New Roman" w:eastAsia="Calibri" w:hAnsi="Times New Roman" w:cs="Times New Roman"/>
          <w:sz w:val="24"/>
          <w:szCs w:val="24"/>
        </w:rPr>
      </w:pPr>
    </w:p>
    <w:p w:rsidR="00B15543" w:rsidRPr="00B15543" w:rsidRDefault="00B15543" w:rsidP="00B15543">
      <w:pPr>
        <w:autoSpaceDE w:val="0"/>
        <w:autoSpaceDN w:val="0"/>
        <w:adjustRightInd w:val="0"/>
        <w:spacing w:after="0" w:line="276" w:lineRule="auto"/>
        <w:jc w:val="both"/>
        <w:rPr>
          <w:rFonts w:ascii="Times New Roman" w:eastAsia="Calibri" w:hAnsi="Times New Roman" w:cs="Times New Roman"/>
          <w:sz w:val="24"/>
          <w:szCs w:val="24"/>
        </w:rPr>
      </w:pPr>
      <w:r w:rsidRPr="00B15543">
        <w:rPr>
          <w:rFonts w:ascii="Times New Roman" w:eastAsia="Calibri" w:hAnsi="Times New Roman" w:cs="Times New Roman"/>
          <w:sz w:val="24"/>
          <w:szCs w:val="24"/>
        </w:rPr>
        <w:t xml:space="preserve">The Investigation </w:t>
      </w:r>
      <w:r>
        <w:rPr>
          <w:rFonts w:ascii="Times New Roman" w:eastAsia="Calibri" w:hAnsi="Times New Roman" w:cs="Times New Roman"/>
          <w:sz w:val="24"/>
          <w:szCs w:val="24"/>
        </w:rPr>
        <w:t>sub-programme</w:t>
      </w:r>
      <w:r w:rsidRPr="00B15543">
        <w:rPr>
          <w:rFonts w:ascii="Times New Roman" w:eastAsia="Calibri" w:hAnsi="Times New Roman" w:cs="Times New Roman"/>
          <w:sz w:val="24"/>
          <w:szCs w:val="24"/>
        </w:rPr>
        <w:t xml:space="preserve"> received a budget allocation of R202.6 million in 2020/21, which is a nominal decrease of -0.99%, which is a real decrease of -5.16% (considering inflation). As this is the core mandate of the Directorate, the </w:t>
      </w:r>
      <w:r>
        <w:rPr>
          <w:rFonts w:ascii="Times New Roman" w:eastAsia="Calibri" w:hAnsi="Times New Roman" w:cs="Times New Roman"/>
          <w:sz w:val="24"/>
          <w:szCs w:val="24"/>
        </w:rPr>
        <w:t>sub-programme</w:t>
      </w:r>
      <w:r w:rsidRPr="00B15543">
        <w:rPr>
          <w:rFonts w:ascii="Times New Roman" w:eastAsia="Calibri" w:hAnsi="Times New Roman" w:cs="Times New Roman"/>
          <w:sz w:val="24"/>
          <w:szCs w:val="24"/>
        </w:rPr>
        <w:t xml:space="preserve"> received 56.39% of the Directorate’s total budget allocation for 2020/21.</w:t>
      </w:r>
    </w:p>
    <w:p w:rsidR="00B15543" w:rsidRDefault="00B15543" w:rsidP="00B15543">
      <w:pPr>
        <w:autoSpaceDE w:val="0"/>
        <w:autoSpaceDN w:val="0"/>
        <w:adjustRightInd w:val="0"/>
        <w:spacing w:after="0" w:line="276" w:lineRule="auto"/>
        <w:jc w:val="both"/>
        <w:rPr>
          <w:rFonts w:ascii="Times New Roman" w:eastAsia="Calibri" w:hAnsi="Times New Roman" w:cs="Times New Roman"/>
          <w:sz w:val="24"/>
          <w:szCs w:val="24"/>
        </w:rPr>
      </w:pPr>
    </w:p>
    <w:p w:rsidR="00EB6B72" w:rsidRPr="00EB6B72" w:rsidRDefault="00B15543" w:rsidP="00B15543">
      <w:pPr>
        <w:autoSpaceDE w:val="0"/>
        <w:autoSpaceDN w:val="0"/>
        <w:adjustRightInd w:val="0"/>
        <w:spacing w:after="0" w:line="276" w:lineRule="auto"/>
        <w:jc w:val="both"/>
        <w:rPr>
          <w:rFonts w:ascii="Times New Roman" w:eastAsia="Calibri" w:hAnsi="Times New Roman" w:cs="Times New Roman"/>
          <w:sz w:val="24"/>
          <w:szCs w:val="24"/>
        </w:rPr>
      </w:pPr>
      <w:r w:rsidRPr="00B15543">
        <w:rPr>
          <w:rFonts w:ascii="Times New Roman" w:eastAsia="Calibri" w:hAnsi="Times New Roman" w:cs="Times New Roman"/>
          <w:sz w:val="24"/>
          <w:szCs w:val="24"/>
        </w:rPr>
        <w:t xml:space="preserve">The Information Management </w:t>
      </w:r>
      <w:r>
        <w:rPr>
          <w:rFonts w:ascii="Times New Roman" w:eastAsia="Calibri" w:hAnsi="Times New Roman" w:cs="Times New Roman"/>
          <w:sz w:val="24"/>
          <w:szCs w:val="24"/>
        </w:rPr>
        <w:t>sub-programme</w:t>
      </w:r>
      <w:r w:rsidRPr="00B15543">
        <w:rPr>
          <w:rFonts w:ascii="Times New Roman" w:eastAsia="Calibri" w:hAnsi="Times New Roman" w:cs="Times New Roman"/>
          <w:sz w:val="24"/>
          <w:szCs w:val="24"/>
        </w:rPr>
        <w:t xml:space="preserve"> received a budget allocation of R9.6 in 2020/21, which is a nominal increase of 128.57% (R5.4 million) and a real increase of 118.94%. Proportionally, the </w:t>
      </w:r>
      <w:r>
        <w:rPr>
          <w:rFonts w:ascii="Times New Roman" w:eastAsia="Calibri" w:hAnsi="Times New Roman" w:cs="Times New Roman"/>
          <w:sz w:val="24"/>
          <w:szCs w:val="24"/>
        </w:rPr>
        <w:t>sub-programme</w:t>
      </w:r>
      <w:r w:rsidRPr="00B15543">
        <w:rPr>
          <w:rFonts w:ascii="Times New Roman" w:eastAsia="Calibri" w:hAnsi="Times New Roman" w:cs="Times New Roman"/>
          <w:sz w:val="24"/>
          <w:szCs w:val="24"/>
        </w:rPr>
        <w:t xml:space="preserve"> received 4.16% of the total budget allocation of the Programme. </w:t>
      </w:r>
      <w:r w:rsidR="00EB6B72" w:rsidRPr="00EB6B72">
        <w:rPr>
          <w:rFonts w:ascii="Times New Roman" w:eastAsia="Calibri" w:hAnsi="Times New Roman" w:cs="Times New Roman"/>
          <w:sz w:val="24"/>
          <w:szCs w:val="24"/>
        </w:rPr>
        <w:t xml:space="preserve">The table below summarises the programme performance indicators and targets of the </w:t>
      </w:r>
      <w:r w:rsidR="00EB6B72" w:rsidRPr="00EB6B72">
        <w:rPr>
          <w:rFonts w:ascii="Times New Roman" w:eastAsia="Calibri" w:hAnsi="Times New Roman" w:cs="Times New Roman"/>
          <w:i/>
          <w:sz w:val="24"/>
          <w:szCs w:val="24"/>
        </w:rPr>
        <w:t>Investigation and Information Management</w:t>
      </w:r>
      <w:r w:rsidR="00EB6B72" w:rsidRPr="00EB6B72">
        <w:rPr>
          <w:rFonts w:ascii="Times New Roman" w:eastAsia="Calibri" w:hAnsi="Times New Roman" w:cs="Times New Roman"/>
          <w:sz w:val="24"/>
          <w:szCs w:val="24"/>
        </w:rPr>
        <w:t xml:space="preserve"> Programme: </w:t>
      </w:r>
    </w:p>
    <w:p w:rsidR="00EB6B72" w:rsidRPr="00EB6B72" w:rsidRDefault="00EB6B72" w:rsidP="00EB6B72">
      <w:pPr>
        <w:autoSpaceDE w:val="0"/>
        <w:autoSpaceDN w:val="0"/>
        <w:adjustRightInd w:val="0"/>
        <w:spacing w:after="0" w:line="276" w:lineRule="auto"/>
        <w:jc w:val="both"/>
        <w:rPr>
          <w:rFonts w:ascii="Times New Roman" w:eastAsia="Calibri" w:hAnsi="Times New Roman" w:cs="Times New Roman"/>
          <w:sz w:val="24"/>
          <w:szCs w:val="24"/>
          <w:lang w:eastAsia="en-ZA"/>
        </w:rPr>
      </w:pPr>
    </w:p>
    <w:p w:rsidR="00EB6B72" w:rsidRDefault="00EB6B72" w:rsidP="00EB6B72">
      <w:pPr>
        <w:spacing w:after="0" w:line="276" w:lineRule="auto"/>
        <w:jc w:val="both"/>
        <w:rPr>
          <w:rFonts w:ascii="Times New Roman" w:eastAsia="Calibri" w:hAnsi="Times New Roman" w:cs="Times New Roman"/>
          <w:b/>
          <w:sz w:val="24"/>
          <w:szCs w:val="24"/>
        </w:rPr>
      </w:pPr>
      <w:r w:rsidRPr="00EB6B72">
        <w:rPr>
          <w:rFonts w:ascii="Times New Roman" w:eastAsia="Calibri" w:hAnsi="Times New Roman" w:cs="Times New Roman"/>
          <w:b/>
          <w:sz w:val="24"/>
          <w:szCs w:val="24"/>
        </w:rPr>
        <w:t xml:space="preserve">Table 3: </w:t>
      </w:r>
      <w:r w:rsidR="00B15543" w:rsidRPr="00B15543">
        <w:rPr>
          <w:rFonts w:ascii="Times New Roman" w:eastAsia="Calibri" w:hAnsi="Times New Roman" w:cs="Times New Roman"/>
          <w:b/>
          <w:sz w:val="24"/>
          <w:szCs w:val="24"/>
        </w:rPr>
        <w:t>Budget allocation per sub</w:t>
      </w:r>
      <w:r w:rsidR="00B15543">
        <w:rPr>
          <w:rFonts w:ascii="Times New Roman" w:eastAsia="Calibri" w:hAnsi="Times New Roman" w:cs="Times New Roman"/>
          <w:b/>
          <w:sz w:val="24"/>
          <w:szCs w:val="24"/>
        </w:rPr>
        <w:t>-</w:t>
      </w:r>
      <w:r w:rsidR="00B15543" w:rsidRPr="00B15543">
        <w:rPr>
          <w:rFonts w:ascii="Times New Roman" w:eastAsia="Calibri" w:hAnsi="Times New Roman" w:cs="Times New Roman"/>
          <w:b/>
          <w:sz w:val="24"/>
          <w:szCs w:val="24"/>
        </w:rPr>
        <w:t>programme of the Investigation and Information Management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992"/>
        <w:gridCol w:w="1134"/>
        <w:gridCol w:w="1276"/>
        <w:gridCol w:w="1276"/>
        <w:gridCol w:w="1275"/>
        <w:gridCol w:w="1523"/>
      </w:tblGrid>
      <w:tr w:rsidR="001C3901" w:rsidRPr="001C3901" w:rsidTr="001C3901">
        <w:trPr>
          <w:trHeight w:val="513"/>
        </w:trPr>
        <w:tc>
          <w:tcPr>
            <w:tcW w:w="1521"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b/>
                <w:bCs/>
                <w:sz w:val="22"/>
                <w:szCs w:val="22"/>
              </w:rPr>
              <w:t xml:space="preserve">Programme </w:t>
            </w:r>
          </w:p>
        </w:tc>
        <w:tc>
          <w:tcPr>
            <w:tcW w:w="2126" w:type="dxa"/>
            <w:gridSpan w:val="2"/>
          </w:tcPr>
          <w:p w:rsidR="001C3901" w:rsidRPr="001C3901" w:rsidRDefault="001C3901" w:rsidP="001C3901">
            <w:pPr>
              <w:pStyle w:val="Default"/>
              <w:jc w:val="center"/>
              <w:rPr>
                <w:rFonts w:ascii="Times New Roman" w:hAnsi="Times New Roman" w:cs="Times New Roman"/>
                <w:sz w:val="22"/>
                <w:szCs w:val="22"/>
              </w:rPr>
            </w:pPr>
            <w:r w:rsidRPr="001C3901">
              <w:rPr>
                <w:rFonts w:ascii="Times New Roman" w:hAnsi="Times New Roman" w:cs="Times New Roman"/>
                <w:b/>
                <w:bCs/>
                <w:sz w:val="22"/>
                <w:szCs w:val="22"/>
              </w:rPr>
              <w:t>Budget</w:t>
            </w:r>
          </w:p>
        </w:tc>
        <w:tc>
          <w:tcPr>
            <w:tcW w:w="1276"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b/>
                <w:bCs/>
                <w:sz w:val="22"/>
                <w:szCs w:val="22"/>
              </w:rPr>
              <w:t xml:space="preserve">Nominal Increase / Decrease in 2020/21 </w:t>
            </w:r>
          </w:p>
        </w:tc>
        <w:tc>
          <w:tcPr>
            <w:tcW w:w="1276"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b/>
                <w:bCs/>
                <w:sz w:val="22"/>
                <w:szCs w:val="22"/>
              </w:rPr>
              <w:t xml:space="preserve">Real Increase / Decrease in 2020/21 </w:t>
            </w:r>
          </w:p>
        </w:tc>
        <w:tc>
          <w:tcPr>
            <w:tcW w:w="1275"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b/>
                <w:bCs/>
                <w:sz w:val="22"/>
                <w:szCs w:val="22"/>
              </w:rPr>
              <w:t xml:space="preserve">Nominal Percent change in 2020/21 </w:t>
            </w:r>
          </w:p>
        </w:tc>
        <w:tc>
          <w:tcPr>
            <w:tcW w:w="1523"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b/>
                <w:bCs/>
                <w:sz w:val="22"/>
                <w:szCs w:val="22"/>
              </w:rPr>
              <w:t xml:space="preserve">Real Percent change in 2020/21 </w:t>
            </w:r>
          </w:p>
        </w:tc>
      </w:tr>
      <w:tr w:rsidR="001C3901" w:rsidRPr="001C3901" w:rsidTr="001C3901">
        <w:trPr>
          <w:trHeight w:val="93"/>
        </w:trPr>
        <w:tc>
          <w:tcPr>
            <w:tcW w:w="1521"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b/>
                <w:bCs/>
                <w:sz w:val="22"/>
                <w:szCs w:val="22"/>
              </w:rPr>
              <w:t xml:space="preserve">R million </w:t>
            </w:r>
          </w:p>
        </w:tc>
        <w:tc>
          <w:tcPr>
            <w:tcW w:w="992"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b/>
                <w:bCs/>
                <w:sz w:val="22"/>
                <w:szCs w:val="22"/>
              </w:rPr>
              <w:t>2019/20</w:t>
            </w:r>
          </w:p>
        </w:tc>
        <w:tc>
          <w:tcPr>
            <w:tcW w:w="1134"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b/>
                <w:bCs/>
                <w:sz w:val="22"/>
                <w:szCs w:val="22"/>
              </w:rPr>
              <w:t>2020/21</w:t>
            </w:r>
          </w:p>
        </w:tc>
        <w:tc>
          <w:tcPr>
            <w:tcW w:w="2552" w:type="dxa"/>
            <w:gridSpan w:val="2"/>
          </w:tcPr>
          <w:p w:rsidR="001C3901" w:rsidRPr="001C3901" w:rsidRDefault="001C3901">
            <w:pPr>
              <w:pStyle w:val="Default"/>
              <w:rPr>
                <w:rFonts w:ascii="Times New Roman" w:hAnsi="Times New Roman" w:cs="Times New Roman"/>
                <w:sz w:val="22"/>
                <w:szCs w:val="22"/>
              </w:rPr>
            </w:pPr>
          </w:p>
        </w:tc>
        <w:tc>
          <w:tcPr>
            <w:tcW w:w="2798" w:type="dxa"/>
            <w:gridSpan w:val="2"/>
          </w:tcPr>
          <w:p w:rsidR="001C3901" w:rsidRPr="001C3901" w:rsidRDefault="001C3901">
            <w:pPr>
              <w:pStyle w:val="Default"/>
              <w:rPr>
                <w:rFonts w:ascii="Times New Roman" w:hAnsi="Times New Roman" w:cs="Times New Roman"/>
                <w:sz w:val="22"/>
                <w:szCs w:val="22"/>
              </w:rPr>
            </w:pPr>
          </w:p>
        </w:tc>
      </w:tr>
      <w:tr w:rsidR="001C3901" w:rsidRPr="001C3901" w:rsidTr="001C3901">
        <w:trPr>
          <w:trHeight w:val="93"/>
        </w:trPr>
        <w:tc>
          <w:tcPr>
            <w:tcW w:w="1521"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b/>
                <w:bCs/>
                <w:sz w:val="22"/>
                <w:szCs w:val="22"/>
              </w:rPr>
              <w:t xml:space="preserve">Investigation Management </w:t>
            </w:r>
          </w:p>
        </w:tc>
        <w:tc>
          <w:tcPr>
            <w:tcW w:w="992"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19.7 </w:t>
            </w:r>
          </w:p>
        </w:tc>
        <w:tc>
          <w:tcPr>
            <w:tcW w:w="1134"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20.7 </w:t>
            </w:r>
          </w:p>
        </w:tc>
        <w:tc>
          <w:tcPr>
            <w:tcW w:w="1276"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1.0 </w:t>
            </w:r>
          </w:p>
        </w:tc>
        <w:tc>
          <w:tcPr>
            <w:tcW w:w="1276"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0.1 </w:t>
            </w:r>
          </w:p>
        </w:tc>
        <w:tc>
          <w:tcPr>
            <w:tcW w:w="1275" w:type="dxa"/>
          </w:tcPr>
          <w:p w:rsidR="001C3901" w:rsidRPr="001C3901" w:rsidRDefault="001C3901" w:rsidP="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5.08 </w:t>
            </w:r>
            <w:r>
              <w:rPr>
                <w:rFonts w:ascii="Times New Roman" w:hAnsi="Times New Roman" w:cs="Times New Roman"/>
                <w:sz w:val="22"/>
                <w:szCs w:val="22"/>
              </w:rPr>
              <w:t>%</w:t>
            </w:r>
            <w:r w:rsidRPr="001C3901">
              <w:rPr>
                <w:rFonts w:ascii="Times New Roman" w:hAnsi="Times New Roman" w:cs="Times New Roman"/>
                <w:sz w:val="22"/>
                <w:szCs w:val="22"/>
              </w:rPr>
              <w:t xml:space="preserve"> </w:t>
            </w:r>
          </w:p>
        </w:tc>
        <w:tc>
          <w:tcPr>
            <w:tcW w:w="1523" w:type="dxa"/>
          </w:tcPr>
          <w:p w:rsidR="001C3901" w:rsidRPr="001C3901" w:rsidRDefault="001C3901" w:rsidP="001C3901">
            <w:pPr>
              <w:pStyle w:val="Default"/>
              <w:rPr>
                <w:rFonts w:ascii="Times New Roman" w:hAnsi="Times New Roman" w:cs="Times New Roman"/>
                <w:sz w:val="22"/>
                <w:szCs w:val="22"/>
              </w:rPr>
            </w:pPr>
            <w:r w:rsidRPr="001C3901">
              <w:rPr>
                <w:rFonts w:ascii="Times New Roman" w:hAnsi="Times New Roman" w:cs="Times New Roman"/>
                <w:sz w:val="22"/>
                <w:szCs w:val="22"/>
              </w:rPr>
              <w:t>0.65</w:t>
            </w:r>
            <w:r>
              <w:rPr>
                <w:rFonts w:ascii="Times New Roman" w:hAnsi="Times New Roman" w:cs="Times New Roman"/>
                <w:sz w:val="22"/>
                <w:szCs w:val="22"/>
              </w:rPr>
              <w:t xml:space="preserve"> %</w:t>
            </w:r>
            <w:r w:rsidRPr="001C3901">
              <w:rPr>
                <w:rFonts w:ascii="Times New Roman" w:hAnsi="Times New Roman" w:cs="Times New Roman"/>
                <w:sz w:val="22"/>
                <w:szCs w:val="22"/>
              </w:rPr>
              <w:t xml:space="preserve"> </w:t>
            </w:r>
          </w:p>
        </w:tc>
      </w:tr>
      <w:tr w:rsidR="001C3901" w:rsidRPr="001C3901" w:rsidTr="001C3901">
        <w:trPr>
          <w:trHeight w:val="93"/>
        </w:trPr>
        <w:tc>
          <w:tcPr>
            <w:tcW w:w="1521"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b/>
                <w:bCs/>
                <w:sz w:val="22"/>
                <w:szCs w:val="22"/>
              </w:rPr>
              <w:t xml:space="preserve">Investigation Services </w:t>
            </w:r>
          </w:p>
        </w:tc>
        <w:tc>
          <w:tcPr>
            <w:tcW w:w="992"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202.6 </w:t>
            </w:r>
          </w:p>
        </w:tc>
        <w:tc>
          <w:tcPr>
            <w:tcW w:w="1134"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200.6 </w:t>
            </w:r>
          </w:p>
        </w:tc>
        <w:tc>
          <w:tcPr>
            <w:tcW w:w="1276"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- 2.0 </w:t>
            </w:r>
          </w:p>
        </w:tc>
        <w:tc>
          <w:tcPr>
            <w:tcW w:w="1276"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- 10.5 </w:t>
            </w:r>
          </w:p>
        </w:tc>
        <w:tc>
          <w:tcPr>
            <w:tcW w:w="1275" w:type="dxa"/>
          </w:tcPr>
          <w:p w:rsidR="001C3901" w:rsidRPr="001C3901" w:rsidRDefault="001C3901" w:rsidP="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-0.99 </w:t>
            </w:r>
            <w:r>
              <w:rPr>
                <w:rFonts w:ascii="Times New Roman" w:hAnsi="Times New Roman" w:cs="Times New Roman"/>
                <w:sz w:val="22"/>
                <w:szCs w:val="22"/>
              </w:rPr>
              <w:t>%</w:t>
            </w:r>
            <w:r w:rsidRPr="001C3901">
              <w:rPr>
                <w:rFonts w:ascii="Times New Roman" w:hAnsi="Times New Roman" w:cs="Times New Roman"/>
                <w:sz w:val="22"/>
                <w:szCs w:val="22"/>
              </w:rPr>
              <w:t xml:space="preserve"> </w:t>
            </w:r>
          </w:p>
        </w:tc>
        <w:tc>
          <w:tcPr>
            <w:tcW w:w="1523" w:type="dxa"/>
          </w:tcPr>
          <w:p w:rsidR="001C3901" w:rsidRPr="001C3901" w:rsidRDefault="001C3901" w:rsidP="001C3901">
            <w:pPr>
              <w:pStyle w:val="Default"/>
              <w:rPr>
                <w:rFonts w:ascii="Times New Roman" w:hAnsi="Times New Roman" w:cs="Times New Roman"/>
                <w:sz w:val="22"/>
                <w:szCs w:val="22"/>
              </w:rPr>
            </w:pPr>
            <w:r w:rsidRPr="001C3901">
              <w:rPr>
                <w:rFonts w:ascii="Times New Roman" w:hAnsi="Times New Roman" w:cs="Times New Roman"/>
                <w:sz w:val="22"/>
                <w:szCs w:val="22"/>
              </w:rPr>
              <w:t>-5.16</w:t>
            </w:r>
            <w:r>
              <w:rPr>
                <w:rFonts w:ascii="Times New Roman" w:hAnsi="Times New Roman" w:cs="Times New Roman"/>
                <w:sz w:val="22"/>
                <w:szCs w:val="22"/>
              </w:rPr>
              <w:t>%</w:t>
            </w:r>
            <w:r w:rsidRPr="001C3901">
              <w:rPr>
                <w:rFonts w:ascii="Times New Roman" w:hAnsi="Times New Roman" w:cs="Times New Roman"/>
                <w:sz w:val="22"/>
                <w:szCs w:val="22"/>
              </w:rPr>
              <w:t xml:space="preserve"> </w:t>
            </w:r>
          </w:p>
        </w:tc>
      </w:tr>
      <w:tr w:rsidR="001C3901" w:rsidRPr="001C3901" w:rsidTr="001C3901">
        <w:trPr>
          <w:trHeight w:val="93"/>
        </w:trPr>
        <w:tc>
          <w:tcPr>
            <w:tcW w:w="1521"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b/>
                <w:bCs/>
                <w:sz w:val="22"/>
                <w:szCs w:val="22"/>
              </w:rPr>
              <w:lastRenderedPageBreak/>
              <w:t xml:space="preserve">Information Management </w:t>
            </w:r>
          </w:p>
        </w:tc>
        <w:tc>
          <w:tcPr>
            <w:tcW w:w="992"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4.2 </w:t>
            </w:r>
          </w:p>
        </w:tc>
        <w:tc>
          <w:tcPr>
            <w:tcW w:w="1134"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9.6 </w:t>
            </w:r>
          </w:p>
        </w:tc>
        <w:tc>
          <w:tcPr>
            <w:tcW w:w="1276"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5.4 </w:t>
            </w:r>
          </w:p>
        </w:tc>
        <w:tc>
          <w:tcPr>
            <w:tcW w:w="1276"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5.0 </w:t>
            </w:r>
          </w:p>
        </w:tc>
        <w:tc>
          <w:tcPr>
            <w:tcW w:w="1275" w:type="dxa"/>
          </w:tcPr>
          <w:p w:rsidR="001C3901" w:rsidRPr="001C3901" w:rsidRDefault="001C3901" w:rsidP="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128.57 </w:t>
            </w:r>
            <w:r>
              <w:rPr>
                <w:rFonts w:ascii="Times New Roman" w:hAnsi="Times New Roman" w:cs="Times New Roman"/>
                <w:sz w:val="22"/>
                <w:szCs w:val="22"/>
              </w:rPr>
              <w:t>%</w:t>
            </w:r>
            <w:r w:rsidRPr="001C3901">
              <w:rPr>
                <w:rFonts w:ascii="Times New Roman" w:hAnsi="Times New Roman" w:cs="Times New Roman"/>
                <w:sz w:val="22"/>
                <w:szCs w:val="22"/>
              </w:rPr>
              <w:t xml:space="preserve"> </w:t>
            </w:r>
          </w:p>
        </w:tc>
        <w:tc>
          <w:tcPr>
            <w:tcW w:w="1523" w:type="dxa"/>
          </w:tcPr>
          <w:p w:rsidR="001C3901" w:rsidRPr="001C3901" w:rsidRDefault="001C3901" w:rsidP="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118.94 </w:t>
            </w:r>
            <w:r>
              <w:rPr>
                <w:rFonts w:ascii="Times New Roman" w:hAnsi="Times New Roman" w:cs="Times New Roman"/>
                <w:sz w:val="22"/>
                <w:szCs w:val="22"/>
              </w:rPr>
              <w:t>%</w:t>
            </w:r>
            <w:r w:rsidRPr="001C3901">
              <w:rPr>
                <w:rFonts w:ascii="Times New Roman" w:hAnsi="Times New Roman" w:cs="Times New Roman"/>
                <w:sz w:val="22"/>
                <w:szCs w:val="22"/>
              </w:rPr>
              <w:t xml:space="preserve"> </w:t>
            </w:r>
          </w:p>
        </w:tc>
      </w:tr>
      <w:tr w:rsidR="001C3901" w:rsidRPr="001C3901" w:rsidTr="001C3901">
        <w:trPr>
          <w:trHeight w:val="93"/>
        </w:trPr>
        <w:tc>
          <w:tcPr>
            <w:tcW w:w="1521"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b/>
                <w:bCs/>
                <w:sz w:val="22"/>
                <w:szCs w:val="22"/>
              </w:rPr>
              <w:t xml:space="preserve">TOTAL </w:t>
            </w:r>
          </w:p>
        </w:tc>
        <w:tc>
          <w:tcPr>
            <w:tcW w:w="992"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226.5 </w:t>
            </w:r>
          </w:p>
        </w:tc>
        <w:tc>
          <w:tcPr>
            <w:tcW w:w="1134"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231.0 </w:t>
            </w:r>
          </w:p>
        </w:tc>
        <w:tc>
          <w:tcPr>
            <w:tcW w:w="1276"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sz w:val="22"/>
                <w:szCs w:val="22"/>
              </w:rPr>
              <w:t xml:space="preserve">4.5 </w:t>
            </w:r>
          </w:p>
        </w:tc>
        <w:tc>
          <w:tcPr>
            <w:tcW w:w="1276" w:type="dxa"/>
          </w:tcPr>
          <w:p w:rsidR="001C3901" w:rsidRPr="001C3901" w:rsidRDefault="001C3901">
            <w:pPr>
              <w:pStyle w:val="Default"/>
              <w:rPr>
                <w:rFonts w:ascii="Times New Roman" w:hAnsi="Times New Roman" w:cs="Times New Roman"/>
                <w:sz w:val="22"/>
                <w:szCs w:val="22"/>
              </w:rPr>
            </w:pPr>
            <w:r w:rsidRPr="001C3901">
              <w:rPr>
                <w:rFonts w:ascii="Times New Roman" w:hAnsi="Times New Roman" w:cs="Times New Roman"/>
                <w:b/>
                <w:bCs/>
                <w:sz w:val="22"/>
                <w:szCs w:val="22"/>
              </w:rPr>
              <w:t xml:space="preserve">- 5.2 </w:t>
            </w:r>
          </w:p>
        </w:tc>
        <w:tc>
          <w:tcPr>
            <w:tcW w:w="1275" w:type="dxa"/>
          </w:tcPr>
          <w:p w:rsidR="001C3901" w:rsidRPr="001C3901" w:rsidRDefault="001C3901" w:rsidP="001C3901">
            <w:pPr>
              <w:pStyle w:val="Default"/>
              <w:rPr>
                <w:rFonts w:ascii="Times New Roman" w:hAnsi="Times New Roman" w:cs="Times New Roman"/>
                <w:sz w:val="22"/>
                <w:szCs w:val="22"/>
              </w:rPr>
            </w:pPr>
            <w:r w:rsidRPr="001C3901">
              <w:rPr>
                <w:rFonts w:ascii="Times New Roman" w:hAnsi="Times New Roman" w:cs="Times New Roman"/>
                <w:b/>
                <w:bCs/>
                <w:sz w:val="22"/>
                <w:szCs w:val="22"/>
              </w:rPr>
              <w:t xml:space="preserve">2.0 </w:t>
            </w:r>
            <w:r>
              <w:rPr>
                <w:rFonts w:ascii="Times New Roman" w:hAnsi="Times New Roman" w:cs="Times New Roman"/>
                <w:b/>
                <w:bCs/>
                <w:sz w:val="22"/>
                <w:szCs w:val="22"/>
              </w:rPr>
              <w:t>%</w:t>
            </w:r>
            <w:r w:rsidRPr="001C3901">
              <w:rPr>
                <w:rFonts w:ascii="Times New Roman" w:hAnsi="Times New Roman" w:cs="Times New Roman"/>
                <w:b/>
                <w:bCs/>
                <w:sz w:val="22"/>
                <w:szCs w:val="22"/>
              </w:rPr>
              <w:t xml:space="preserve"> </w:t>
            </w:r>
          </w:p>
        </w:tc>
        <w:tc>
          <w:tcPr>
            <w:tcW w:w="1523" w:type="dxa"/>
          </w:tcPr>
          <w:p w:rsidR="001C3901" w:rsidRPr="001C3901" w:rsidRDefault="001C3901" w:rsidP="001C3901">
            <w:pPr>
              <w:pStyle w:val="Default"/>
              <w:rPr>
                <w:rFonts w:ascii="Times New Roman" w:hAnsi="Times New Roman" w:cs="Times New Roman"/>
                <w:sz w:val="22"/>
                <w:szCs w:val="22"/>
              </w:rPr>
            </w:pPr>
            <w:r w:rsidRPr="001C3901">
              <w:rPr>
                <w:rFonts w:ascii="Times New Roman" w:hAnsi="Times New Roman" w:cs="Times New Roman"/>
                <w:b/>
                <w:bCs/>
                <w:sz w:val="22"/>
                <w:szCs w:val="22"/>
              </w:rPr>
              <w:t xml:space="preserve">-2.31 </w:t>
            </w:r>
            <w:r>
              <w:rPr>
                <w:rFonts w:ascii="Times New Roman" w:hAnsi="Times New Roman" w:cs="Times New Roman"/>
                <w:b/>
                <w:bCs/>
                <w:sz w:val="22"/>
                <w:szCs w:val="22"/>
              </w:rPr>
              <w:t>%</w:t>
            </w:r>
            <w:r w:rsidRPr="001C3901">
              <w:rPr>
                <w:rFonts w:ascii="Times New Roman" w:hAnsi="Times New Roman" w:cs="Times New Roman"/>
                <w:b/>
                <w:bCs/>
                <w:sz w:val="22"/>
                <w:szCs w:val="22"/>
              </w:rPr>
              <w:t xml:space="preserve"> </w:t>
            </w:r>
          </w:p>
        </w:tc>
      </w:tr>
    </w:tbl>
    <w:p w:rsidR="00EB6B72" w:rsidRPr="00EB6B72" w:rsidRDefault="009F60CA" w:rsidP="009F60CA">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15543">
        <w:rPr>
          <w:rFonts w:ascii="Times New Roman" w:eastAsia="Calibri" w:hAnsi="Times New Roman" w:cs="Times New Roman"/>
          <w:b/>
          <w:sz w:val="24"/>
          <w:szCs w:val="24"/>
        </w:rPr>
        <w:t xml:space="preserve">Source: </w:t>
      </w:r>
      <w:r>
        <w:rPr>
          <w:rFonts w:ascii="Times New Roman" w:eastAsia="Calibri" w:hAnsi="Times New Roman" w:cs="Times New Roman"/>
          <w:b/>
          <w:sz w:val="24"/>
          <w:szCs w:val="24"/>
        </w:rPr>
        <w:t>National Treasury (</w:t>
      </w:r>
      <w:r w:rsidR="00B15543">
        <w:rPr>
          <w:rFonts w:ascii="Times New Roman" w:eastAsia="Calibri" w:hAnsi="Times New Roman" w:cs="Times New Roman"/>
          <w:b/>
          <w:sz w:val="24"/>
          <w:szCs w:val="24"/>
        </w:rPr>
        <w:t>2020</w:t>
      </w:r>
      <w:r>
        <w:rPr>
          <w:rFonts w:ascii="Times New Roman" w:eastAsia="Calibri" w:hAnsi="Times New Roman" w:cs="Times New Roman"/>
          <w:b/>
          <w:sz w:val="24"/>
          <w:szCs w:val="24"/>
        </w:rPr>
        <w:t>)</w:t>
      </w:r>
    </w:p>
    <w:p w:rsidR="00EB6B72" w:rsidRPr="00EB6B72" w:rsidRDefault="00EB6B72" w:rsidP="00EB6B72">
      <w:pPr>
        <w:spacing w:after="0" w:line="276" w:lineRule="auto"/>
        <w:jc w:val="both"/>
        <w:rPr>
          <w:rFonts w:ascii="Times New Roman" w:eastAsia="Calibri" w:hAnsi="Times New Roman" w:cs="Times New Roman"/>
          <w:sz w:val="24"/>
          <w:szCs w:val="24"/>
        </w:rPr>
      </w:pPr>
    </w:p>
    <w:p w:rsidR="001C3901" w:rsidRDefault="001C3901" w:rsidP="001C3901">
      <w:pPr>
        <w:spacing w:after="0" w:line="276" w:lineRule="auto"/>
        <w:jc w:val="both"/>
        <w:rPr>
          <w:rFonts w:ascii="Times New Roman" w:eastAsia="Calibri" w:hAnsi="Times New Roman" w:cs="Times New Roman"/>
          <w:sz w:val="24"/>
          <w:szCs w:val="24"/>
        </w:rPr>
      </w:pPr>
      <w:r w:rsidRPr="001C3901">
        <w:rPr>
          <w:rFonts w:ascii="Times New Roman" w:eastAsia="Calibri" w:hAnsi="Times New Roman" w:cs="Times New Roman"/>
          <w:sz w:val="24"/>
          <w:szCs w:val="24"/>
        </w:rPr>
        <w:t>Despite the reduction in its funded establishment, the Directorate intends to focus on investment in human capital, specifically concerning investigations. This is in recognition of the Directorate’s responsibility to gather requisite and necessary evidence to enable the National Prosecuting Authority, the South African Police Service and the Municipal Police Services to make informed decisions on whether to prosecute and/or take disciplinary action against officers.</w:t>
      </w:r>
    </w:p>
    <w:p w:rsidR="001C3901" w:rsidRPr="001C3901" w:rsidRDefault="001C3901" w:rsidP="001C3901">
      <w:pPr>
        <w:spacing w:after="0" w:line="276" w:lineRule="auto"/>
        <w:jc w:val="both"/>
        <w:rPr>
          <w:rFonts w:ascii="Times New Roman" w:eastAsia="Calibri" w:hAnsi="Times New Roman" w:cs="Times New Roman"/>
          <w:sz w:val="24"/>
          <w:szCs w:val="24"/>
        </w:rPr>
      </w:pPr>
    </w:p>
    <w:p w:rsidR="00EB6B72" w:rsidRPr="00EB6B72" w:rsidRDefault="001C3901" w:rsidP="001C3901">
      <w:pPr>
        <w:spacing w:after="0" w:line="276" w:lineRule="auto"/>
        <w:jc w:val="both"/>
        <w:rPr>
          <w:rFonts w:ascii="Times New Roman" w:eastAsia="Calibri" w:hAnsi="Times New Roman" w:cs="Times New Roman"/>
          <w:sz w:val="24"/>
          <w:szCs w:val="24"/>
        </w:rPr>
      </w:pPr>
      <w:r w:rsidRPr="001C3901">
        <w:rPr>
          <w:rFonts w:ascii="Times New Roman" w:eastAsia="Calibri" w:hAnsi="Times New Roman" w:cs="Times New Roman"/>
          <w:sz w:val="24"/>
          <w:szCs w:val="24"/>
        </w:rPr>
        <w:t>Accordingly, over the medium term, the Directorate plans to strengthen its investigative capacity by training and upskilling all 179 investigators to respond to advanced criminal activities undertaken by police officers. Training will be provided on conducting investigations of sexual offences, using advanced investigative techniques and methods, and provisions of the Prevention of Organised Crime Act (1998), among other things. For this purpose, R4.5 million is allocated over the MTEF period in the Investigation and Information Management p</w:t>
      </w:r>
      <w:r>
        <w:rPr>
          <w:rFonts w:ascii="Times New Roman" w:eastAsia="Calibri" w:hAnsi="Times New Roman" w:cs="Times New Roman"/>
          <w:sz w:val="24"/>
          <w:szCs w:val="24"/>
        </w:rPr>
        <w:t>rogramme.</w:t>
      </w:r>
      <w:r w:rsidR="00EB6B72" w:rsidRPr="00EB6B72">
        <w:rPr>
          <w:rFonts w:ascii="Times New Roman" w:eastAsia="Calibri" w:hAnsi="Times New Roman" w:cs="Times New Roman"/>
          <w:sz w:val="24"/>
          <w:szCs w:val="24"/>
        </w:rPr>
        <w:t xml:space="preserve"> </w:t>
      </w:r>
    </w:p>
    <w:p w:rsidR="00EB6B72" w:rsidRPr="00EB6B72" w:rsidRDefault="00EB6B72" w:rsidP="00EB6B72">
      <w:pPr>
        <w:spacing w:after="0" w:line="276" w:lineRule="auto"/>
        <w:jc w:val="both"/>
        <w:rPr>
          <w:rFonts w:ascii="Times New Roman" w:eastAsia="Calibri" w:hAnsi="Times New Roman" w:cs="Times New Roman"/>
          <w:sz w:val="24"/>
          <w:szCs w:val="24"/>
        </w:rPr>
      </w:pPr>
    </w:p>
    <w:p w:rsidR="00EB6B72" w:rsidRPr="00EB6B72" w:rsidRDefault="00EB6B72" w:rsidP="00EB6B72">
      <w:pPr>
        <w:spacing w:line="276" w:lineRule="auto"/>
        <w:jc w:val="both"/>
        <w:rPr>
          <w:rFonts w:ascii="Times New Roman" w:hAnsi="Times New Roman" w:cs="Times New Roman"/>
          <w:sz w:val="24"/>
          <w:szCs w:val="24"/>
        </w:rPr>
      </w:pPr>
      <w:r w:rsidRPr="00EB6B72">
        <w:rPr>
          <w:rFonts w:ascii="Times New Roman" w:hAnsi="Times New Roman" w:cs="Times New Roman"/>
          <w:b/>
          <w:sz w:val="24"/>
          <w:szCs w:val="24"/>
        </w:rPr>
        <w:t>3.</w:t>
      </w:r>
      <w:r w:rsidR="00B110E4">
        <w:rPr>
          <w:rFonts w:ascii="Times New Roman" w:hAnsi="Times New Roman" w:cs="Times New Roman"/>
          <w:b/>
          <w:sz w:val="24"/>
          <w:szCs w:val="24"/>
        </w:rPr>
        <w:t>1.</w:t>
      </w:r>
      <w:r w:rsidRPr="00EB6B72">
        <w:rPr>
          <w:rFonts w:ascii="Times New Roman" w:hAnsi="Times New Roman" w:cs="Times New Roman"/>
          <w:b/>
          <w:sz w:val="24"/>
          <w:szCs w:val="24"/>
        </w:rPr>
        <w:t>3</w:t>
      </w:r>
      <w:r w:rsidRPr="00EB6B72">
        <w:rPr>
          <w:rFonts w:ascii="Times New Roman" w:hAnsi="Times New Roman" w:cs="Times New Roman"/>
          <w:sz w:val="24"/>
          <w:szCs w:val="24"/>
        </w:rPr>
        <w:tab/>
      </w:r>
      <w:r w:rsidRPr="00EB6B72">
        <w:rPr>
          <w:rFonts w:ascii="Times New Roman" w:hAnsi="Times New Roman" w:cs="Times New Roman"/>
          <w:b/>
          <w:sz w:val="24"/>
          <w:szCs w:val="24"/>
        </w:rPr>
        <w:t>Programme 3: Legal and Advisory Services</w:t>
      </w:r>
      <w:r w:rsidRPr="00EB6B72">
        <w:rPr>
          <w:rFonts w:ascii="Times New Roman" w:hAnsi="Times New Roman" w:cs="Times New Roman"/>
          <w:sz w:val="24"/>
          <w:szCs w:val="24"/>
        </w:rPr>
        <w:t xml:space="preserve"> </w:t>
      </w:r>
    </w:p>
    <w:p w:rsidR="00EB6B72" w:rsidRDefault="00EB6B72" w:rsidP="001C3901">
      <w:pPr>
        <w:spacing w:line="276" w:lineRule="auto"/>
        <w:jc w:val="both"/>
        <w:rPr>
          <w:rFonts w:ascii="Times New Roman" w:hAnsi="Times New Roman" w:cs="Times New Roman"/>
          <w:sz w:val="24"/>
          <w:szCs w:val="24"/>
        </w:rPr>
      </w:pPr>
      <w:r w:rsidRPr="00EB6B72">
        <w:rPr>
          <w:rFonts w:ascii="Times New Roman" w:hAnsi="Times New Roman" w:cs="Times New Roman"/>
          <w:sz w:val="24"/>
          <w:szCs w:val="24"/>
        </w:rPr>
        <w:t xml:space="preserve">The purpose of the Programme is to manage and facilitate the provision of investigation advisory services and provide legal, civil and labour litigation services. </w:t>
      </w:r>
    </w:p>
    <w:p w:rsidR="001C3901" w:rsidRPr="00EB6B72" w:rsidRDefault="001C3901" w:rsidP="001C3901">
      <w:pPr>
        <w:spacing w:line="276" w:lineRule="auto"/>
        <w:jc w:val="both"/>
        <w:rPr>
          <w:rFonts w:ascii="Times New Roman" w:hAnsi="Times New Roman" w:cs="Times New Roman"/>
          <w:sz w:val="24"/>
          <w:szCs w:val="24"/>
        </w:rPr>
      </w:pPr>
      <w:r w:rsidRPr="001C3901">
        <w:rPr>
          <w:rFonts w:ascii="Times New Roman" w:hAnsi="Times New Roman" w:cs="Times New Roman"/>
          <w:sz w:val="24"/>
          <w:szCs w:val="24"/>
        </w:rPr>
        <w:t>The Legal Support and Administration sub</w:t>
      </w:r>
      <w:r>
        <w:rPr>
          <w:rFonts w:ascii="Times New Roman" w:hAnsi="Times New Roman" w:cs="Times New Roman"/>
          <w:sz w:val="24"/>
          <w:szCs w:val="24"/>
        </w:rPr>
        <w:t>-</w:t>
      </w:r>
      <w:r w:rsidRPr="001C3901">
        <w:rPr>
          <w:rFonts w:ascii="Times New Roman" w:hAnsi="Times New Roman" w:cs="Times New Roman"/>
          <w:sz w:val="24"/>
          <w:szCs w:val="24"/>
        </w:rPr>
        <w:t>programme received a budget allocation of R2.5 million, which is a nominal increase of 19.05%. Proportionally, the sub</w:t>
      </w:r>
      <w:r>
        <w:rPr>
          <w:rFonts w:ascii="Times New Roman" w:hAnsi="Times New Roman" w:cs="Times New Roman"/>
          <w:sz w:val="24"/>
          <w:szCs w:val="24"/>
        </w:rPr>
        <w:t>-</w:t>
      </w:r>
      <w:r w:rsidRPr="001C3901">
        <w:rPr>
          <w:rFonts w:ascii="Times New Roman" w:hAnsi="Times New Roman" w:cs="Times New Roman"/>
          <w:sz w:val="24"/>
          <w:szCs w:val="24"/>
        </w:rPr>
        <w:t>programme received 36.23% of the total budget allocation of the Programme.</w:t>
      </w:r>
    </w:p>
    <w:p w:rsidR="001C3901" w:rsidRDefault="00EB6B72" w:rsidP="00EB6B72">
      <w:pPr>
        <w:spacing w:after="0" w:line="276" w:lineRule="auto"/>
        <w:jc w:val="both"/>
        <w:rPr>
          <w:rFonts w:ascii="Times New Roman" w:eastAsia="Calibri" w:hAnsi="Times New Roman" w:cs="Times New Roman"/>
          <w:b/>
          <w:sz w:val="24"/>
          <w:szCs w:val="24"/>
          <w:lang w:eastAsia="en-ZA"/>
        </w:rPr>
      </w:pPr>
      <w:r w:rsidRPr="00EB6B72">
        <w:rPr>
          <w:rFonts w:ascii="Times New Roman" w:eastAsia="Calibri" w:hAnsi="Times New Roman" w:cs="Times New Roman"/>
          <w:b/>
          <w:sz w:val="24"/>
          <w:szCs w:val="24"/>
        </w:rPr>
        <w:t xml:space="preserve">Table 4: </w:t>
      </w:r>
      <w:r w:rsidR="001C3901" w:rsidRPr="001C3901">
        <w:rPr>
          <w:rFonts w:ascii="Times New Roman" w:eastAsia="Calibri" w:hAnsi="Times New Roman" w:cs="Times New Roman"/>
          <w:b/>
          <w:sz w:val="24"/>
          <w:szCs w:val="24"/>
        </w:rPr>
        <w:t>Budget allocation per sub</w:t>
      </w:r>
      <w:r w:rsidR="001C3901">
        <w:rPr>
          <w:rFonts w:ascii="Times New Roman" w:eastAsia="Calibri" w:hAnsi="Times New Roman" w:cs="Times New Roman"/>
          <w:b/>
          <w:sz w:val="24"/>
          <w:szCs w:val="24"/>
        </w:rPr>
        <w:t>-</w:t>
      </w:r>
      <w:r w:rsidR="001C3901" w:rsidRPr="001C3901">
        <w:rPr>
          <w:rFonts w:ascii="Times New Roman" w:eastAsia="Calibri" w:hAnsi="Times New Roman" w:cs="Times New Roman"/>
          <w:b/>
          <w:sz w:val="24"/>
          <w:szCs w:val="24"/>
        </w:rPr>
        <w:t>programme of the Legal and Investigation Advisory Services Programme</w:t>
      </w: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276"/>
        <w:gridCol w:w="1275"/>
        <w:gridCol w:w="1276"/>
        <w:gridCol w:w="32"/>
        <w:gridCol w:w="1244"/>
        <w:gridCol w:w="1417"/>
        <w:gridCol w:w="29"/>
        <w:gridCol w:w="1347"/>
      </w:tblGrid>
      <w:tr w:rsidR="009F60CA" w:rsidRPr="009F60CA" w:rsidTr="009F60CA">
        <w:trPr>
          <w:trHeight w:val="513"/>
        </w:trPr>
        <w:tc>
          <w:tcPr>
            <w:tcW w:w="1521"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b/>
                <w:bCs/>
                <w:sz w:val="22"/>
                <w:szCs w:val="22"/>
              </w:rPr>
              <w:t xml:space="preserve">Programme </w:t>
            </w:r>
          </w:p>
        </w:tc>
        <w:tc>
          <w:tcPr>
            <w:tcW w:w="2551" w:type="dxa"/>
            <w:gridSpan w:val="2"/>
          </w:tcPr>
          <w:p w:rsidR="009F60CA" w:rsidRPr="009F60CA" w:rsidRDefault="009F60CA" w:rsidP="009F60CA">
            <w:pPr>
              <w:pStyle w:val="Default"/>
              <w:jc w:val="center"/>
              <w:rPr>
                <w:rFonts w:ascii="Times New Roman" w:hAnsi="Times New Roman" w:cs="Times New Roman"/>
                <w:sz w:val="22"/>
                <w:szCs w:val="22"/>
              </w:rPr>
            </w:pPr>
            <w:r w:rsidRPr="009F60CA">
              <w:rPr>
                <w:rFonts w:ascii="Times New Roman" w:hAnsi="Times New Roman" w:cs="Times New Roman"/>
                <w:b/>
                <w:bCs/>
                <w:sz w:val="22"/>
                <w:szCs w:val="22"/>
              </w:rPr>
              <w:t>Budget</w:t>
            </w:r>
          </w:p>
        </w:tc>
        <w:tc>
          <w:tcPr>
            <w:tcW w:w="1276"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b/>
                <w:bCs/>
                <w:sz w:val="22"/>
                <w:szCs w:val="22"/>
              </w:rPr>
              <w:t xml:space="preserve">Nominal Increase / Decrease in 2020/21 </w:t>
            </w:r>
          </w:p>
        </w:tc>
        <w:tc>
          <w:tcPr>
            <w:tcW w:w="1276" w:type="dxa"/>
            <w:gridSpan w:val="2"/>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b/>
                <w:bCs/>
                <w:sz w:val="22"/>
                <w:szCs w:val="22"/>
              </w:rPr>
              <w:t xml:space="preserve">Real Increase / Decrease in 2020/21 </w:t>
            </w:r>
          </w:p>
        </w:tc>
        <w:tc>
          <w:tcPr>
            <w:tcW w:w="1417"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b/>
                <w:bCs/>
                <w:sz w:val="22"/>
                <w:szCs w:val="22"/>
              </w:rPr>
              <w:t xml:space="preserve">Nominal Percent change in 2020/21 </w:t>
            </w:r>
          </w:p>
        </w:tc>
        <w:tc>
          <w:tcPr>
            <w:tcW w:w="1376" w:type="dxa"/>
            <w:gridSpan w:val="2"/>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b/>
                <w:bCs/>
                <w:sz w:val="22"/>
                <w:szCs w:val="22"/>
              </w:rPr>
              <w:t xml:space="preserve">Real Percent change in 2020/21 </w:t>
            </w:r>
          </w:p>
        </w:tc>
      </w:tr>
      <w:tr w:rsidR="009F60CA" w:rsidRPr="009F60CA" w:rsidTr="009F60CA">
        <w:trPr>
          <w:trHeight w:val="93"/>
        </w:trPr>
        <w:tc>
          <w:tcPr>
            <w:tcW w:w="1521"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b/>
                <w:bCs/>
                <w:sz w:val="22"/>
                <w:szCs w:val="22"/>
              </w:rPr>
              <w:t xml:space="preserve">R million </w:t>
            </w:r>
          </w:p>
        </w:tc>
        <w:tc>
          <w:tcPr>
            <w:tcW w:w="1276" w:type="dxa"/>
          </w:tcPr>
          <w:p w:rsidR="009F60CA" w:rsidRPr="009F60CA" w:rsidRDefault="009F60CA">
            <w:pPr>
              <w:pStyle w:val="Default"/>
              <w:rPr>
                <w:rFonts w:ascii="Times New Roman" w:hAnsi="Times New Roman" w:cs="Times New Roman"/>
                <w:sz w:val="22"/>
                <w:szCs w:val="22"/>
              </w:rPr>
            </w:pPr>
          </w:p>
        </w:tc>
        <w:tc>
          <w:tcPr>
            <w:tcW w:w="1275" w:type="dxa"/>
          </w:tcPr>
          <w:p w:rsidR="009F60CA" w:rsidRPr="009F60CA" w:rsidRDefault="009F60CA">
            <w:pPr>
              <w:pStyle w:val="Default"/>
              <w:rPr>
                <w:rFonts w:ascii="Times New Roman" w:hAnsi="Times New Roman" w:cs="Times New Roman"/>
                <w:sz w:val="22"/>
                <w:szCs w:val="22"/>
              </w:rPr>
            </w:pPr>
          </w:p>
        </w:tc>
        <w:tc>
          <w:tcPr>
            <w:tcW w:w="2552" w:type="dxa"/>
            <w:gridSpan w:val="3"/>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b/>
                <w:bCs/>
                <w:sz w:val="22"/>
                <w:szCs w:val="22"/>
              </w:rPr>
              <w:t xml:space="preserve">2019/20 </w:t>
            </w:r>
          </w:p>
        </w:tc>
        <w:tc>
          <w:tcPr>
            <w:tcW w:w="2793" w:type="dxa"/>
            <w:gridSpan w:val="3"/>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b/>
                <w:bCs/>
                <w:sz w:val="22"/>
                <w:szCs w:val="22"/>
              </w:rPr>
              <w:t xml:space="preserve">2020/21 </w:t>
            </w:r>
          </w:p>
        </w:tc>
      </w:tr>
      <w:tr w:rsidR="009F60CA" w:rsidRPr="009F60CA" w:rsidTr="009F60CA">
        <w:trPr>
          <w:trHeight w:val="93"/>
        </w:trPr>
        <w:tc>
          <w:tcPr>
            <w:tcW w:w="1521"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b/>
                <w:bCs/>
                <w:sz w:val="22"/>
                <w:szCs w:val="22"/>
              </w:rPr>
              <w:t xml:space="preserve">Legal Support and Administration </w:t>
            </w:r>
          </w:p>
        </w:tc>
        <w:tc>
          <w:tcPr>
            <w:tcW w:w="1276"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sz w:val="22"/>
                <w:szCs w:val="22"/>
              </w:rPr>
              <w:t xml:space="preserve">2.1 </w:t>
            </w:r>
          </w:p>
        </w:tc>
        <w:tc>
          <w:tcPr>
            <w:tcW w:w="1275"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sz w:val="22"/>
                <w:szCs w:val="22"/>
              </w:rPr>
              <w:t xml:space="preserve">2.5 </w:t>
            </w:r>
          </w:p>
        </w:tc>
        <w:tc>
          <w:tcPr>
            <w:tcW w:w="1308" w:type="dxa"/>
            <w:gridSpan w:val="2"/>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sz w:val="22"/>
                <w:szCs w:val="22"/>
              </w:rPr>
              <w:t xml:space="preserve">0.4 </w:t>
            </w:r>
          </w:p>
        </w:tc>
        <w:tc>
          <w:tcPr>
            <w:tcW w:w="1244"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sz w:val="22"/>
                <w:szCs w:val="22"/>
              </w:rPr>
              <w:t xml:space="preserve">0.3 </w:t>
            </w:r>
          </w:p>
        </w:tc>
        <w:tc>
          <w:tcPr>
            <w:tcW w:w="1446" w:type="dxa"/>
            <w:gridSpan w:val="2"/>
          </w:tcPr>
          <w:p w:rsidR="009F60CA" w:rsidRPr="009F60CA" w:rsidRDefault="009F60CA" w:rsidP="009F60CA">
            <w:pPr>
              <w:pStyle w:val="Default"/>
              <w:rPr>
                <w:rFonts w:ascii="Times New Roman" w:hAnsi="Times New Roman" w:cs="Times New Roman"/>
                <w:sz w:val="22"/>
                <w:szCs w:val="22"/>
              </w:rPr>
            </w:pPr>
            <w:r w:rsidRPr="009F60CA">
              <w:rPr>
                <w:rFonts w:ascii="Times New Roman" w:hAnsi="Times New Roman" w:cs="Times New Roman"/>
                <w:sz w:val="22"/>
                <w:szCs w:val="22"/>
              </w:rPr>
              <w:t>19.05</w:t>
            </w:r>
            <w:r>
              <w:rPr>
                <w:rFonts w:ascii="Times New Roman" w:hAnsi="Times New Roman" w:cs="Times New Roman"/>
                <w:sz w:val="22"/>
                <w:szCs w:val="22"/>
              </w:rPr>
              <w:t>%</w:t>
            </w:r>
            <w:r w:rsidRPr="009F60CA">
              <w:rPr>
                <w:rFonts w:ascii="Times New Roman" w:hAnsi="Times New Roman" w:cs="Times New Roman"/>
                <w:sz w:val="22"/>
                <w:szCs w:val="22"/>
              </w:rPr>
              <w:t xml:space="preserve"> </w:t>
            </w:r>
          </w:p>
        </w:tc>
        <w:tc>
          <w:tcPr>
            <w:tcW w:w="1347" w:type="dxa"/>
          </w:tcPr>
          <w:p w:rsidR="009F60CA" w:rsidRPr="009F60CA" w:rsidRDefault="009F60CA" w:rsidP="009F60CA">
            <w:pPr>
              <w:pStyle w:val="Default"/>
              <w:rPr>
                <w:rFonts w:ascii="Times New Roman" w:hAnsi="Times New Roman" w:cs="Times New Roman"/>
                <w:sz w:val="22"/>
                <w:szCs w:val="22"/>
              </w:rPr>
            </w:pPr>
            <w:r w:rsidRPr="009F60CA">
              <w:rPr>
                <w:rFonts w:ascii="Times New Roman" w:hAnsi="Times New Roman" w:cs="Times New Roman"/>
                <w:sz w:val="22"/>
                <w:szCs w:val="22"/>
              </w:rPr>
              <w:t>14.03</w:t>
            </w:r>
            <w:r>
              <w:rPr>
                <w:rFonts w:ascii="Times New Roman" w:hAnsi="Times New Roman" w:cs="Times New Roman"/>
                <w:sz w:val="22"/>
                <w:szCs w:val="22"/>
              </w:rPr>
              <w:t>%</w:t>
            </w:r>
            <w:r w:rsidRPr="009F60CA">
              <w:rPr>
                <w:rFonts w:ascii="Times New Roman" w:hAnsi="Times New Roman" w:cs="Times New Roman"/>
                <w:sz w:val="22"/>
                <w:szCs w:val="22"/>
              </w:rPr>
              <w:t xml:space="preserve"> </w:t>
            </w:r>
          </w:p>
        </w:tc>
      </w:tr>
      <w:tr w:rsidR="009F60CA" w:rsidRPr="009F60CA" w:rsidTr="009F60CA">
        <w:trPr>
          <w:trHeight w:val="93"/>
        </w:trPr>
        <w:tc>
          <w:tcPr>
            <w:tcW w:w="1521"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b/>
                <w:bCs/>
                <w:sz w:val="22"/>
                <w:szCs w:val="22"/>
              </w:rPr>
              <w:t xml:space="preserve">Litigation Advisory Services </w:t>
            </w:r>
          </w:p>
        </w:tc>
        <w:tc>
          <w:tcPr>
            <w:tcW w:w="1276"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sz w:val="22"/>
                <w:szCs w:val="22"/>
              </w:rPr>
              <w:t xml:space="preserve">1.6 </w:t>
            </w:r>
          </w:p>
        </w:tc>
        <w:tc>
          <w:tcPr>
            <w:tcW w:w="1275"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sz w:val="22"/>
                <w:szCs w:val="22"/>
              </w:rPr>
              <w:t xml:space="preserve">2.0 </w:t>
            </w:r>
          </w:p>
        </w:tc>
        <w:tc>
          <w:tcPr>
            <w:tcW w:w="1308" w:type="dxa"/>
            <w:gridSpan w:val="2"/>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sz w:val="22"/>
                <w:szCs w:val="22"/>
              </w:rPr>
              <w:t xml:space="preserve">0.4 </w:t>
            </w:r>
          </w:p>
        </w:tc>
        <w:tc>
          <w:tcPr>
            <w:tcW w:w="1244"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sz w:val="22"/>
                <w:szCs w:val="22"/>
              </w:rPr>
              <w:t xml:space="preserve">0.3 </w:t>
            </w:r>
          </w:p>
        </w:tc>
        <w:tc>
          <w:tcPr>
            <w:tcW w:w="1446" w:type="dxa"/>
            <w:gridSpan w:val="2"/>
          </w:tcPr>
          <w:p w:rsidR="009F60CA" w:rsidRPr="009F60CA" w:rsidRDefault="009F60CA" w:rsidP="009F60CA">
            <w:pPr>
              <w:pStyle w:val="Default"/>
              <w:rPr>
                <w:rFonts w:ascii="Times New Roman" w:hAnsi="Times New Roman" w:cs="Times New Roman"/>
                <w:sz w:val="22"/>
                <w:szCs w:val="22"/>
              </w:rPr>
            </w:pPr>
            <w:r w:rsidRPr="009F60CA">
              <w:rPr>
                <w:rFonts w:ascii="Times New Roman" w:hAnsi="Times New Roman" w:cs="Times New Roman"/>
                <w:sz w:val="22"/>
                <w:szCs w:val="22"/>
              </w:rPr>
              <w:t>25.00</w:t>
            </w:r>
            <w:r>
              <w:rPr>
                <w:rFonts w:ascii="Times New Roman" w:hAnsi="Times New Roman" w:cs="Times New Roman"/>
                <w:sz w:val="22"/>
                <w:szCs w:val="22"/>
              </w:rPr>
              <w:t xml:space="preserve"> %</w:t>
            </w:r>
            <w:r w:rsidRPr="009F60CA">
              <w:rPr>
                <w:rFonts w:ascii="Times New Roman" w:hAnsi="Times New Roman" w:cs="Times New Roman"/>
                <w:sz w:val="22"/>
                <w:szCs w:val="22"/>
              </w:rPr>
              <w:t xml:space="preserve"> </w:t>
            </w:r>
          </w:p>
        </w:tc>
        <w:tc>
          <w:tcPr>
            <w:tcW w:w="1347" w:type="dxa"/>
          </w:tcPr>
          <w:p w:rsidR="009F60CA" w:rsidRPr="009F60CA" w:rsidRDefault="009F60CA" w:rsidP="009F60CA">
            <w:pPr>
              <w:pStyle w:val="Default"/>
              <w:rPr>
                <w:rFonts w:ascii="Times New Roman" w:hAnsi="Times New Roman" w:cs="Times New Roman"/>
                <w:sz w:val="22"/>
                <w:szCs w:val="22"/>
              </w:rPr>
            </w:pPr>
            <w:r w:rsidRPr="009F60CA">
              <w:rPr>
                <w:rFonts w:ascii="Times New Roman" w:hAnsi="Times New Roman" w:cs="Times New Roman"/>
                <w:sz w:val="22"/>
                <w:szCs w:val="22"/>
              </w:rPr>
              <w:t>19.73</w:t>
            </w:r>
            <w:r>
              <w:rPr>
                <w:rFonts w:ascii="Times New Roman" w:hAnsi="Times New Roman" w:cs="Times New Roman"/>
                <w:sz w:val="22"/>
                <w:szCs w:val="22"/>
              </w:rPr>
              <w:t>%</w:t>
            </w:r>
            <w:r w:rsidRPr="009F60CA">
              <w:rPr>
                <w:rFonts w:ascii="Times New Roman" w:hAnsi="Times New Roman" w:cs="Times New Roman"/>
                <w:sz w:val="22"/>
                <w:szCs w:val="22"/>
              </w:rPr>
              <w:t xml:space="preserve"> </w:t>
            </w:r>
          </w:p>
        </w:tc>
      </w:tr>
      <w:tr w:rsidR="009F60CA" w:rsidRPr="009F60CA" w:rsidTr="009F60CA">
        <w:trPr>
          <w:trHeight w:val="93"/>
        </w:trPr>
        <w:tc>
          <w:tcPr>
            <w:tcW w:w="1521"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b/>
                <w:bCs/>
                <w:sz w:val="22"/>
                <w:szCs w:val="22"/>
              </w:rPr>
              <w:t xml:space="preserve">Investigation Advisory Services </w:t>
            </w:r>
          </w:p>
        </w:tc>
        <w:tc>
          <w:tcPr>
            <w:tcW w:w="1276"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sz w:val="22"/>
                <w:szCs w:val="22"/>
              </w:rPr>
              <w:t xml:space="preserve">2.1 </w:t>
            </w:r>
          </w:p>
        </w:tc>
        <w:tc>
          <w:tcPr>
            <w:tcW w:w="1275"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sz w:val="22"/>
                <w:szCs w:val="22"/>
              </w:rPr>
              <w:t xml:space="preserve">2.5 </w:t>
            </w:r>
          </w:p>
        </w:tc>
        <w:tc>
          <w:tcPr>
            <w:tcW w:w="1308" w:type="dxa"/>
            <w:gridSpan w:val="2"/>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sz w:val="22"/>
                <w:szCs w:val="22"/>
              </w:rPr>
              <w:t xml:space="preserve">0.4 </w:t>
            </w:r>
          </w:p>
        </w:tc>
        <w:tc>
          <w:tcPr>
            <w:tcW w:w="1244"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sz w:val="22"/>
                <w:szCs w:val="22"/>
              </w:rPr>
              <w:t xml:space="preserve">0.3 </w:t>
            </w:r>
          </w:p>
        </w:tc>
        <w:tc>
          <w:tcPr>
            <w:tcW w:w="1446" w:type="dxa"/>
            <w:gridSpan w:val="2"/>
          </w:tcPr>
          <w:p w:rsidR="009F60CA" w:rsidRPr="009F60CA" w:rsidRDefault="009F60CA" w:rsidP="009F60CA">
            <w:pPr>
              <w:pStyle w:val="Default"/>
              <w:rPr>
                <w:rFonts w:ascii="Times New Roman" w:hAnsi="Times New Roman" w:cs="Times New Roman"/>
                <w:sz w:val="22"/>
                <w:szCs w:val="22"/>
              </w:rPr>
            </w:pPr>
            <w:r w:rsidRPr="009F60CA">
              <w:rPr>
                <w:rFonts w:ascii="Times New Roman" w:hAnsi="Times New Roman" w:cs="Times New Roman"/>
                <w:sz w:val="22"/>
                <w:szCs w:val="22"/>
              </w:rPr>
              <w:t>19.05</w:t>
            </w:r>
            <w:r>
              <w:rPr>
                <w:rFonts w:ascii="Times New Roman" w:hAnsi="Times New Roman" w:cs="Times New Roman"/>
                <w:sz w:val="22"/>
                <w:szCs w:val="22"/>
              </w:rPr>
              <w:t>%</w:t>
            </w:r>
            <w:r w:rsidRPr="009F60CA">
              <w:rPr>
                <w:rFonts w:ascii="Times New Roman" w:hAnsi="Times New Roman" w:cs="Times New Roman"/>
                <w:sz w:val="22"/>
                <w:szCs w:val="22"/>
              </w:rPr>
              <w:t xml:space="preserve"> </w:t>
            </w:r>
          </w:p>
        </w:tc>
        <w:tc>
          <w:tcPr>
            <w:tcW w:w="1347" w:type="dxa"/>
          </w:tcPr>
          <w:p w:rsidR="009F60CA" w:rsidRPr="009F60CA" w:rsidRDefault="009F60CA" w:rsidP="009F60CA">
            <w:pPr>
              <w:pStyle w:val="Default"/>
              <w:rPr>
                <w:rFonts w:ascii="Times New Roman" w:hAnsi="Times New Roman" w:cs="Times New Roman"/>
                <w:sz w:val="22"/>
                <w:szCs w:val="22"/>
              </w:rPr>
            </w:pPr>
            <w:r w:rsidRPr="009F60CA">
              <w:rPr>
                <w:rFonts w:ascii="Times New Roman" w:hAnsi="Times New Roman" w:cs="Times New Roman"/>
                <w:sz w:val="22"/>
                <w:szCs w:val="22"/>
              </w:rPr>
              <w:t>14.03</w:t>
            </w:r>
            <w:r>
              <w:rPr>
                <w:rFonts w:ascii="Times New Roman" w:hAnsi="Times New Roman" w:cs="Times New Roman"/>
                <w:sz w:val="22"/>
                <w:szCs w:val="22"/>
              </w:rPr>
              <w:t>%</w:t>
            </w:r>
            <w:r w:rsidRPr="009F60CA">
              <w:rPr>
                <w:rFonts w:ascii="Times New Roman" w:hAnsi="Times New Roman" w:cs="Times New Roman"/>
                <w:sz w:val="22"/>
                <w:szCs w:val="22"/>
              </w:rPr>
              <w:t xml:space="preserve"> </w:t>
            </w:r>
          </w:p>
        </w:tc>
      </w:tr>
      <w:tr w:rsidR="009F60CA" w:rsidRPr="009F60CA" w:rsidTr="009F60CA">
        <w:trPr>
          <w:trHeight w:val="93"/>
        </w:trPr>
        <w:tc>
          <w:tcPr>
            <w:tcW w:w="1521"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b/>
                <w:bCs/>
                <w:sz w:val="22"/>
                <w:szCs w:val="22"/>
              </w:rPr>
              <w:t xml:space="preserve">TOTAL </w:t>
            </w:r>
          </w:p>
        </w:tc>
        <w:tc>
          <w:tcPr>
            <w:tcW w:w="1276"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sz w:val="22"/>
                <w:szCs w:val="22"/>
              </w:rPr>
              <w:t xml:space="preserve">5.8 </w:t>
            </w:r>
          </w:p>
        </w:tc>
        <w:tc>
          <w:tcPr>
            <w:tcW w:w="1275"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sz w:val="22"/>
                <w:szCs w:val="22"/>
              </w:rPr>
              <w:t xml:space="preserve">6.9 </w:t>
            </w:r>
          </w:p>
        </w:tc>
        <w:tc>
          <w:tcPr>
            <w:tcW w:w="1308" w:type="dxa"/>
            <w:gridSpan w:val="2"/>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sz w:val="22"/>
                <w:szCs w:val="22"/>
              </w:rPr>
              <w:t xml:space="preserve">1.1 </w:t>
            </w:r>
          </w:p>
        </w:tc>
        <w:tc>
          <w:tcPr>
            <w:tcW w:w="1244" w:type="dxa"/>
          </w:tcPr>
          <w:p w:rsidR="009F60CA" w:rsidRPr="009F60CA" w:rsidRDefault="009F60CA">
            <w:pPr>
              <w:pStyle w:val="Default"/>
              <w:rPr>
                <w:rFonts w:ascii="Times New Roman" w:hAnsi="Times New Roman" w:cs="Times New Roman"/>
                <w:sz w:val="22"/>
                <w:szCs w:val="22"/>
              </w:rPr>
            </w:pPr>
            <w:r w:rsidRPr="009F60CA">
              <w:rPr>
                <w:rFonts w:ascii="Times New Roman" w:hAnsi="Times New Roman" w:cs="Times New Roman"/>
                <w:sz w:val="22"/>
                <w:szCs w:val="22"/>
              </w:rPr>
              <w:t xml:space="preserve">0.8 </w:t>
            </w:r>
          </w:p>
        </w:tc>
        <w:tc>
          <w:tcPr>
            <w:tcW w:w="1446" w:type="dxa"/>
            <w:gridSpan w:val="2"/>
          </w:tcPr>
          <w:p w:rsidR="009F60CA" w:rsidRPr="009F60CA" w:rsidRDefault="009F60CA" w:rsidP="009F60CA">
            <w:pPr>
              <w:pStyle w:val="Default"/>
              <w:rPr>
                <w:rFonts w:ascii="Times New Roman" w:hAnsi="Times New Roman" w:cs="Times New Roman"/>
                <w:sz w:val="22"/>
                <w:szCs w:val="22"/>
              </w:rPr>
            </w:pPr>
            <w:r w:rsidRPr="009F60CA">
              <w:rPr>
                <w:rFonts w:ascii="Times New Roman" w:hAnsi="Times New Roman" w:cs="Times New Roman"/>
                <w:b/>
                <w:bCs/>
                <w:sz w:val="22"/>
                <w:szCs w:val="22"/>
              </w:rPr>
              <w:t xml:space="preserve">19.0 </w:t>
            </w:r>
            <w:r>
              <w:rPr>
                <w:rFonts w:ascii="Times New Roman" w:hAnsi="Times New Roman" w:cs="Times New Roman"/>
                <w:b/>
                <w:bCs/>
                <w:sz w:val="22"/>
                <w:szCs w:val="22"/>
              </w:rPr>
              <w:t>%</w:t>
            </w:r>
            <w:r w:rsidRPr="009F60CA">
              <w:rPr>
                <w:rFonts w:ascii="Times New Roman" w:hAnsi="Times New Roman" w:cs="Times New Roman"/>
                <w:b/>
                <w:bCs/>
                <w:sz w:val="22"/>
                <w:szCs w:val="22"/>
              </w:rPr>
              <w:t xml:space="preserve"> </w:t>
            </w:r>
          </w:p>
        </w:tc>
        <w:tc>
          <w:tcPr>
            <w:tcW w:w="1347" w:type="dxa"/>
          </w:tcPr>
          <w:p w:rsidR="009F60CA" w:rsidRPr="009F60CA" w:rsidRDefault="009F60CA" w:rsidP="009F60CA">
            <w:pPr>
              <w:pStyle w:val="Default"/>
              <w:rPr>
                <w:rFonts w:ascii="Times New Roman" w:hAnsi="Times New Roman" w:cs="Times New Roman"/>
                <w:sz w:val="22"/>
                <w:szCs w:val="22"/>
              </w:rPr>
            </w:pPr>
            <w:r w:rsidRPr="009F60CA">
              <w:rPr>
                <w:rFonts w:ascii="Times New Roman" w:hAnsi="Times New Roman" w:cs="Times New Roman"/>
                <w:b/>
                <w:bCs/>
                <w:sz w:val="22"/>
                <w:szCs w:val="22"/>
              </w:rPr>
              <w:t xml:space="preserve">13.95 </w:t>
            </w:r>
            <w:r>
              <w:rPr>
                <w:rFonts w:ascii="Times New Roman" w:hAnsi="Times New Roman" w:cs="Times New Roman"/>
                <w:b/>
                <w:bCs/>
                <w:sz w:val="22"/>
                <w:szCs w:val="22"/>
              </w:rPr>
              <w:t>%</w:t>
            </w:r>
            <w:r w:rsidRPr="009F60CA">
              <w:rPr>
                <w:rFonts w:ascii="Times New Roman" w:hAnsi="Times New Roman" w:cs="Times New Roman"/>
                <w:b/>
                <w:bCs/>
                <w:sz w:val="22"/>
                <w:szCs w:val="22"/>
              </w:rPr>
              <w:t xml:space="preserve"> </w:t>
            </w:r>
          </w:p>
        </w:tc>
      </w:tr>
    </w:tbl>
    <w:p w:rsidR="001C3901" w:rsidRDefault="009F60CA" w:rsidP="009F60CA">
      <w:pPr>
        <w:spacing w:after="0" w:line="276" w:lineRule="auto"/>
        <w:jc w:val="right"/>
        <w:rPr>
          <w:rFonts w:ascii="Times New Roman" w:eastAsia="Calibri" w:hAnsi="Times New Roman" w:cs="Times New Roman"/>
          <w:b/>
          <w:sz w:val="24"/>
          <w:szCs w:val="24"/>
          <w:lang w:eastAsia="en-ZA"/>
        </w:rPr>
      </w:pPr>
      <w:r>
        <w:rPr>
          <w:rFonts w:ascii="Times New Roman" w:eastAsia="Calibri" w:hAnsi="Times New Roman" w:cs="Times New Roman"/>
          <w:b/>
          <w:sz w:val="24"/>
          <w:szCs w:val="24"/>
          <w:lang w:eastAsia="en-ZA"/>
        </w:rPr>
        <w:t>Source: National Treasury (2020)</w:t>
      </w:r>
    </w:p>
    <w:p w:rsidR="001C3901" w:rsidRDefault="001C3901" w:rsidP="00EB6B72">
      <w:pPr>
        <w:spacing w:after="0" w:line="276" w:lineRule="auto"/>
        <w:jc w:val="both"/>
        <w:rPr>
          <w:rFonts w:ascii="Times New Roman" w:eastAsia="Calibri" w:hAnsi="Times New Roman" w:cs="Times New Roman"/>
          <w:b/>
          <w:sz w:val="24"/>
          <w:szCs w:val="24"/>
          <w:lang w:eastAsia="en-ZA"/>
        </w:rPr>
      </w:pPr>
    </w:p>
    <w:p w:rsidR="009F60CA" w:rsidRPr="009F60CA" w:rsidRDefault="009F60CA" w:rsidP="009F60CA">
      <w:pPr>
        <w:spacing w:line="276" w:lineRule="auto"/>
        <w:jc w:val="both"/>
        <w:rPr>
          <w:rFonts w:ascii="Times New Roman" w:eastAsia="Calibri" w:hAnsi="Times New Roman" w:cs="Times New Roman"/>
          <w:sz w:val="24"/>
          <w:szCs w:val="24"/>
        </w:rPr>
      </w:pPr>
      <w:r w:rsidRPr="009F60CA">
        <w:rPr>
          <w:rFonts w:ascii="Times New Roman" w:eastAsia="Calibri" w:hAnsi="Times New Roman" w:cs="Times New Roman"/>
          <w:sz w:val="24"/>
          <w:szCs w:val="24"/>
        </w:rPr>
        <w:lastRenderedPageBreak/>
        <w:t>The Litigation Advisory Services sub</w:t>
      </w:r>
      <w:r>
        <w:rPr>
          <w:rFonts w:ascii="Times New Roman" w:eastAsia="Calibri" w:hAnsi="Times New Roman" w:cs="Times New Roman"/>
          <w:sz w:val="24"/>
          <w:szCs w:val="24"/>
        </w:rPr>
        <w:t>-</w:t>
      </w:r>
      <w:r w:rsidRPr="009F60CA">
        <w:rPr>
          <w:rFonts w:ascii="Times New Roman" w:eastAsia="Calibri" w:hAnsi="Times New Roman" w:cs="Times New Roman"/>
          <w:sz w:val="24"/>
          <w:szCs w:val="24"/>
        </w:rPr>
        <w:t>programme received a budget allocation of R2 million in 2020/21, which is a nominal increase of 25.0%. Proportionally, the sub</w:t>
      </w:r>
      <w:r>
        <w:rPr>
          <w:rFonts w:ascii="Times New Roman" w:eastAsia="Calibri" w:hAnsi="Times New Roman" w:cs="Times New Roman"/>
          <w:sz w:val="24"/>
          <w:szCs w:val="24"/>
        </w:rPr>
        <w:t>-</w:t>
      </w:r>
      <w:r w:rsidRPr="009F60CA">
        <w:rPr>
          <w:rFonts w:ascii="Times New Roman" w:eastAsia="Calibri" w:hAnsi="Times New Roman" w:cs="Times New Roman"/>
          <w:sz w:val="24"/>
          <w:szCs w:val="24"/>
        </w:rPr>
        <w:t>programme received 28.99% of the total budget allocation of the Programme.</w:t>
      </w:r>
    </w:p>
    <w:p w:rsidR="00EB6B72" w:rsidRPr="00EB6B72" w:rsidRDefault="009F60CA" w:rsidP="009F60CA">
      <w:pPr>
        <w:spacing w:line="276" w:lineRule="auto"/>
        <w:jc w:val="both"/>
        <w:rPr>
          <w:rFonts w:ascii="Times New Roman" w:hAnsi="Times New Roman" w:cs="Times New Roman"/>
          <w:sz w:val="24"/>
          <w:szCs w:val="24"/>
        </w:rPr>
      </w:pPr>
      <w:r w:rsidRPr="009F60CA">
        <w:rPr>
          <w:rFonts w:ascii="Times New Roman" w:eastAsia="Calibri" w:hAnsi="Times New Roman" w:cs="Times New Roman"/>
          <w:sz w:val="24"/>
          <w:szCs w:val="24"/>
        </w:rPr>
        <w:t>The Investigation Advisory sub</w:t>
      </w:r>
      <w:r>
        <w:rPr>
          <w:rFonts w:ascii="Times New Roman" w:eastAsia="Calibri" w:hAnsi="Times New Roman" w:cs="Times New Roman"/>
          <w:sz w:val="24"/>
          <w:szCs w:val="24"/>
        </w:rPr>
        <w:t>-</w:t>
      </w:r>
      <w:r w:rsidRPr="009F60CA">
        <w:rPr>
          <w:rFonts w:ascii="Times New Roman" w:eastAsia="Calibri" w:hAnsi="Times New Roman" w:cs="Times New Roman"/>
          <w:sz w:val="24"/>
          <w:szCs w:val="24"/>
        </w:rPr>
        <w:t>programme received a budget allocation of R2.5 million in 2020/21, which is a nominal increase of 19.05%. Proportionally, the sub</w:t>
      </w:r>
      <w:r>
        <w:rPr>
          <w:rFonts w:ascii="Times New Roman" w:eastAsia="Calibri" w:hAnsi="Times New Roman" w:cs="Times New Roman"/>
          <w:sz w:val="24"/>
          <w:szCs w:val="24"/>
        </w:rPr>
        <w:t>-</w:t>
      </w:r>
      <w:r w:rsidRPr="009F60CA">
        <w:rPr>
          <w:rFonts w:ascii="Times New Roman" w:eastAsia="Calibri" w:hAnsi="Times New Roman" w:cs="Times New Roman"/>
          <w:sz w:val="24"/>
          <w:szCs w:val="24"/>
        </w:rPr>
        <w:t>programme received 36.23% of the total budget allocation of the Programme</w:t>
      </w:r>
      <w:r w:rsidRPr="009F60CA">
        <w:rPr>
          <w:rFonts w:ascii="Times New Roman" w:eastAsia="Calibri" w:hAnsi="Times New Roman" w:cs="Times New Roman"/>
          <w:b/>
          <w:sz w:val="24"/>
          <w:szCs w:val="24"/>
        </w:rPr>
        <w:t>.</w:t>
      </w:r>
    </w:p>
    <w:p w:rsidR="00EB6B72" w:rsidRPr="00EB6B72" w:rsidRDefault="00EB6B72" w:rsidP="00EB6B72">
      <w:pPr>
        <w:spacing w:line="276" w:lineRule="auto"/>
        <w:jc w:val="both"/>
        <w:rPr>
          <w:rFonts w:ascii="Times New Roman" w:hAnsi="Times New Roman" w:cs="Times New Roman"/>
          <w:sz w:val="24"/>
          <w:szCs w:val="24"/>
        </w:rPr>
      </w:pPr>
      <w:r w:rsidRPr="00EB6B72">
        <w:rPr>
          <w:rFonts w:ascii="Times New Roman" w:hAnsi="Times New Roman" w:cs="Times New Roman"/>
          <w:b/>
          <w:sz w:val="24"/>
          <w:szCs w:val="24"/>
        </w:rPr>
        <w:t>3.</w:t>
      </w:r>
      <w:r w:rsidR="00B110E4">
        <w:rPr>
          <w:rFonts w:ascii="Times New Roman" w:hAnsi="Times New Roman" w:cs="Times New Roman"/>
          <w:b/>
          <w:sz w:val="24"/>
          <w:szCs w:val="24"/>
        </w:rPr>
        <w:t>1.</w:t>
      </w:r>
      <w:r w:rsidRPr="00EB6B72">
        <w:rPr>
          <w:rFonts w:ascii="Times New Roman" w:hAnsi="Times New Roman" w:cs="Times New Roman"/>
          <w:b/>
          <w:sz w:val="24"/>
          <w:szCs w:val="24"/>
        </w:rPr>
        <w:t>4</w:t>
      </w:r>
      <w:r w:rsidRPr="00EB6B72">
        <w:rPr>
          <w:rFonts w:ascii="Times New Roman" w:hAnsi="Times New Roman" w:cs="Times New Roman"/>
          <w:b/>
          <w:sz w:val="24"/>
          <w:szCs w:val="24"/>
        </w:rPr>
        <w:tab/>
        <w:t>Programme 4: Compliance Monitoring and Stakeholder Management</w:t>
      </w:r>
      <w:r w:rsidRPr="00EB6B72">
        <w:rPr>
          <w:rFonts w:ascii="Times New Roman" w:hAnsi="Times New Roman" w:cs="Times New Roman"/>
          <w:sz w:val="24"/>
          <w:szCs w:val="24"/>
        </w:rPr>
        <w:t xml:space="preserve"> </w:t>
      </w:r>
    </w:p>
    <w:p w:rsidR="00EB6B72" w:rsidRPr="00EB6B72" w:rsidRDefault="00EB6B72" w:rsidP="00EB6B72">
      <w:pPr>
        <w:spacing w:line="276" w:lineRule="auto"/>
        <w:jc w:val="both"/>
        <w:rPr>
          <w:rFonts w:ascii="Times New Roman" w:hAnsi="Times New Roman" w:cs="Times New Roman"/>
          <w:sz w:val="24"/>
          <w:szCs w:val="24"/>
        </w:rPr>
      </w:pPr>
      <w:r w:rsidRPr="00EB6B72">
        <w:rPr>
          <w:rFonts w:ascii="Times New Roman" w:hAnsi="Times New Roman" w:cs="Times New Roman"/>
          <w:sz w:val="24"/>
          <w:szCs w:val="24"/>
        </w:rPr>
        <w:t xml:space="preserve">The purpose of the Compliance Monitoring and Stakeholder Management Programme is to safeguard the principles of cooperative governance and stakeholder relations. Monitor and evaluate the relevance and appropriateness of recommendations made to the South African Police Service and Municipal Police Services in terms of the Independent Police Investigative Directorate Act, 2011. The programme consists of the following two sub-programmes: </w:t>
      </w:r>
    </w:p>
    <w:p w:rsidR="009F60CA" w:rsidRPr="009F60CA" w:rsidRDefault="009F60CA" w:rsidP="009F60CA">
      <w:pPr>
        <w:autoSpaceDE w:val="0"/>
        <w:autoSpaceDN w:val="0"/>
        <w:adjustRightInd w:val="0"/>
        <w:spacing w:after="0" w:line="276" w:lineRule="auto"/>
        <w:jc w:val="both"/>
        <w:rPr>
          <w:rFonts w:ascii="Times New Roman" w:eastAsia="Calibri" w:hAnsi="Times New Roman" w:cs="Times New Roman"/>
          <w:sz w:val="24"/>
          <w:szCs w:val="24"/>
        </w:rPr>
      </w:pPr>
      <w:r w:rsidRPr="009F60CA">
        <w:rPr>
          <w:rFonts w:ascii="Times New Roman" w:eastAsia="Calibri" w:hAnsi="Times New Roman" w:cs="Times New Roman"/>
          <w:sz w:val="24"/>
          <w:szCs w:val="24"/>
        </w:rPr>
        <w:t>The Compliance Monitoring sub</w:t>
      </w:r>
      <w:r>
        <w:rPr>
          <w:rFonts w:ascii="Times New Roman" w:eastAsia="Calibri" w:hAnsi="Times New Roman" w:cs="Times New Roman"/>
          <w:sz w:val="24"/>
          <w:szCs w:val="24"/>
        </w:rPr>
        <w:t>-</w:t>
      </w:r>
      <w:r w:rsidRPr="009F60CA">
        <w:rPr>
          <w:rFonts w:ascii="Times New Roman" w:eastAsia="Calibri" w:hAnsi="Times New Roman" w:cs="Times New Roman"/>
          <w:sz w:val="24"/>
          <w:szCs w:val="24"/>
        </w:rPr>
        <w:t>programme received a budget allocation of R7.6 million in 2020/21, which is a nominal increase of 16.92%. Proportionally, the sub</w:t>
      </w:r>
      <w:r>
        <w:rPr>
          <w:rFonts w:ascii="Times New Roman" w:eastAsia="Calibri" w:hAnsi="Times New Roman" w:cs="Times New Roman"/>
          <w:sz w:val="24"/>
          <w:szCs w:val="24"/>
        </w:rPr>
        <w:t>-</w:t>
      </w:r>
      <w:r w:rsidRPr="009F60CA">
        <w:rPr>
          <w:rFonts w:ascii="Times New Roman" w:eastAsia="Calibri" w:hAnsi="Times New Roman" w:cs="Times New Roman"/>
          <w:sz w:val="24"/>
          <w:szCs w:val="24"/>
        </w:rPr>
        <w:t>programme received 59.84% of the total budget allocation of the Programme.</w:t>
      </w:r>
    </w:p>
    <w:p w:rsidR="009F60CA" w:rsidRDefault="009F60CA" w:rsidP="009F60CA">
      <w:pPr>
        <w:autoSpaceDE w:val="0"/>
        <w:autoSpaceDN w:val="0"/>
        <w:adjustRightInd w:val="0"/>
        <w:spacing w:after="0" w:line="276" w:lineRule="auto"/>
        <w:jc w:val="both"/>
        <w:rPr>
          <w:rFonts w:ascii="Times New Roman" w:eastAsia="Calibri" w:hAnsi="Times New Roman" w:cs="Times New Roman"/>
          <w:sz w:val="24"/>
          <w:szCs w:val="24"/>
        </w:rPr>
      </w:pPr>
      <w:r w:rsidRPr="009F60CA">
        <w:rPr>
          <w:rFonts w:ascii="Times New Roman" w:eastAsia="Calibri" w:hAnsi="Times New Roman" w:cs="Times New Roman"/>
          <w:sz w:val="24"/>
          <w:szCs w:val="24"/>
        </w:rPr>
        <w:t>The Stakeholder Management sub</w:t>
      </w:r>
      <w:r>
        <w:rPr>
          <w:rFonts w:ascii="Times New Roman" w:eastAsia="Calibri" w:hAnsi="Times New Roman" w:cs="Times New Roman"/>
          <w:sz w:val="24"/>
          <w:szCs w:val="24"/>
        </w:rPr>
        <w:t>-</w:t>
      </w:r>
      <w:r w:rsidRPr="009F60CA">
        <w:rPr>
          <w:rFonts w:ascii="Times New Roman" w:eastAsia="Calibri" w:hAnsi="Times New Roman" w:cs="Times New Roman"/>
          <w:sz w:val="24"/>
          <w:szCs w:val="24"/>
        </w:rPr>
        <w:t>programme received a budget allocation of R5.2 million in 2020/21, which did not change when compared to the previous financial year. As such, the sub</w:t>
      </w:r>
      <w:r>
        <w:rPr>
          <w:rFonts w:ascii="Times New Roman" w:eastAsia="Calibri" w:hAnsi="Times New Roman" w:cs="Times New Roman"/>
          <w:sz w:val="24"/>
          <w:szCs w:val="24"/>
        </w:rPr>
        <w:t>-</w:t>
      </w:r>
      <w:r w:rsidRPr="009F60CA">
        <w:rPr>
          <w:rFonts w:ascii="Times New Roman" w:eastAsia="Calibri" w:hAnsi="Times New Roman" w:cs="Times New Roman"/>
          <w:sz w:val="24"/>
          <w:szCs w:val="24"/>
        </w:rPr>
        <w:t>programme decreased in real terms by -4.2% (considering inflation). Proportionally, the sub</w:t>
      </w:r>
      <w:r>
        <w:rPr>
          <w:rFonts w:ascii="Times New Roman" w:eastAsia="Calibri" w:hAnsi="Times New Roman" w:cs="Times New Roman"/>
          <w:sz w:val="24"/>
          <w:szCs w:val="24"/>
        </w:rPr>
        <w:t>-</w:t>
      </w:r>
      <w:r w:rsidRPr="009F60CA">
        <w:rPr>
          <w:rFonts w:ascii="Times New Roman" w:eastAsia="Calibri" w:hAnsi="Times New Roman" w:cs="Times New Roman"/>
          <w:sz w:val="24"/>
          <w:szCs w:val="24"/>
        </w:rPr>
        <w:t>programme received 40.94% of the total allocation of the Programme.</w:t>
      </w:r>
    </w:p>
    <w:p w:rsidR="009F60CA" w:rsidRDefault="009F60CA" w:rsidP="00EB6B72">
      <w:pPr>
        <w:autoSpaceDE w:val="0"/>
        <w:autoSpaceDN w:val="0"/>
        <w:adjustRightInd w:val="0"/>
        <w:spacing w:after="0" w:line="276" w:lineRule="auto"/>
        <w:jc w:val="both"/>
        <w:rPr>
          <w:rFonts w:ascii="Times New Roman" w:eastAsia="Calibri" w:hAnsi="Times New Roman" w:cs="Times New Roman"/>
          <w:sz w:val="24"/>
          <w:szCs w:val="24"/>
        </w:rPr>
      </w:pPr>
    </w:p>
    <w:p w:rsidR="00EB6B72" w:rsidRDefault="0027450D" w:rsidP="00EB6B72">
      <w:pPr>
        <w:spacing w:after="0" w:line="276" w:lineRule="auto"/>
        <w:jc w:val="both"/>
        <w:rPr>
          <w:rFonts w:ascii="Times New Roman" w:eastAsia="Calibri" w:hAnsi="Times New Roman" w:cs="Times New Roman"/>
          <w:b/>
          <w:sz w:val="24"/>
          <w:szCs w:val="24"/>
        </w:rPr>
      </w:pPr>
      <w:r w:rsidRPr="0027450D">
        <w:rPr>
          <w:rFonts w:ascii="Times New Roman" w:eastAsia="Calibri" w:hAnsi="Times New Roman" w:cs="Times New Roman"/>
          <w:b/>
          <w:sz w:val="24"/>
          <w:szCs w:val="24"/>
        </w:rPr>
        <w:t>Table 5: Budget allocation per sub</w:t>
      </w:r>
      <w:r>
        <w:rPr>
          <w:rFonts w:ascii="Times New Roman" w:eastAsia="Calibri" w:hAnsi="Times New Roman" w:cs="Times New Roman"/>
          <w:b/>
          <w:sz w:val="24"/>
          <w:szCs w:val="24"/>
        </w:rPr>
        <w:t>-</w:t>
      </w:r>
      <w:r w:rsidRPr="0027450D">
        <w:rPr>
          <w:rFonts w:ascii="Times New Roman" w:eastAsia="Calibri" w:hAnsi="Times New Roman" w:cs="Times New Roman"/>
          <w:b/>
          <w:sz w:val="24"/>
          <w:szCs w:val="24"/>
        </w:rPr>
        <w:t>programme of the Compliance and Stakeholder Management Programme</w:t>
      </w:r>
    </w:p>
    <w:p w:rsidR="0027450D" w:rsidRDefault="0027450D" w:rsidP="00EB6B72">
      <w:pPr>
        <w:spacing w:after="0" w:line="276" w:lineRule="auto"/>
        <w:jc w:val="both"/>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134"/>
        <w:gridCol w:w="1134"/>
        <w:gridCol w:w="1351"/>
        <w:gridCol w:w="66"/>
        <w:gridCol w:w="1276"/>
        <w:gridCol w:w="1228"/>
        <w:gridCol w:w="48"/>
        <w:gridCol w:w="1237"/>
      </w:tblGrid>
      <w:tr w:rsidR="0027450D" w:rsidTr="0027450D">
        <w:trPr>
          <w:trHeight w:val="513"/>
        </w:trPr>
        <w:tc>
          <w:tcPr>
            <w:tcW w:w="1521" w:type="dxa"/>
          </w:tcPr>
          <w:p w:rsidR="0027450D" w:rsidRPr="0027450D" w:rsidRDefault="0027450D">
            <w:pPr>
              <w:pStyle w:val="Default"/>
              <w:rPr>
                <w:rFonts w:ascii="Times New Roman" w:hAnsi="Times New Roman" w:cs="Times New Roman"/>
                <w:sz w:val="22"/>
                <w:szCs w:val="22"/>
              </w:rPr>
            </w:pPr>
            <w:r w:rsidRPr="0027450D">
              <w:rPr>
                <w:rFonts w:ascii="Times New Roman" w:hAnsi="Times New Roman" w:cs="Times New Roman"/>
                <w:b/>
                <w:bCs/>
                <w:sz w:val="22"/>
                <w:szCs w:val="22"/>
              </w:rPr>
              <w:t xml:space="preserve">Programme </w:t>
            </w:r>
          </w:p>
        </w:tc>
        <w:tc>
          <w:tcPr>
            <w:tcW w:w="2268" w:type="dxa"/>
            <w:gridSpan w:val="2"/>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b/>
                <w:bCs/>
                <w:sz w:val="22"/>
                <w:szCs w:val="22"/>
              </w:rPr>
              <w:t>Budget</w:t>
            </w:r>
          </w:p>
        </w:tc>
        <w:tc>
          <w:tcPr>
            <w:tcW w:w="1417" w:type="dxa"/>
            <w:gridSpan w:val="2"/>
          </w:tcPr>
          <w:p w:rsidR="0027450D" w:rsidRPr="0027450D" w:rsidRDefault="0027450D">
            <w:pPr>
              <w:pStyle w:val="Default"/>
              <w:rPr>
                <w:rFonts w:ascii="Times New Roman" w:hAnsi="Times New Roman" w:cs="Times New Roman"/>
                <w:sz w:val="22"/>
                <w:szCs w:val="22"/>
              </w:rPr>
            </w:pPr>
            <w:r w:rsidRPr="0027450D">
              <w:rPr>
                <w:rFonts w:ascii="Times New Roman" w:hAnsi="Times New Roman" w:cs="Times New Roman"/>
                <w:b/>
                <w:bCs/>
                <w:sz w:val="22"/>
                <w:szCs w:val="22"/>
              </w:rPr>
              <w:t xml:space="preserve">Nominal Increase / Decrease in 2020/21 </w:t>
            </w:r>
          </w:p>
        </w:tc>
        <w:tc>
          <w:tcPr>
            <w:tcW w:w="1276" w:type="dxa"/>
          </w:tcPr>
          <w:p w:rsidR="0027450D" w:rsidRPr="0027450D" w:rsidRDefault="0027450D">
            <w:pPr>
              <w:pStyle w:val="Default"/>
              <w:rPr>
                <w:rFonts w:ascii="Times New Roman" w:hAnsi="Times New Roman" w:cs="Times New Roman"/>
                <w:sz w:val="22"/>
                <w:szCs w:val="22"/>
              </w:rPr>
            </w:pPr>
            <w:r w:rsidRPr="0027450D">
              <w:rPr>
                <w:rFonts w:ascii="Times New Roman" w:hAnsi="Times New Roman" w:cs="Times New Roman"/>
                <w:b/>
                <w:bCs/>
                <w:sz w:val="22"/>
                <w:szCs w:val="22"/>
              </w:rPr>
              <w:t xml:space="preserve">Real Increase / Decrease in 2020/21 </w:t>
            </w:r>
          </w:p>
        </w:tc>
        <w:tc>
          <w:tcPr>
            <w:tcW w:w="1276" w:type="dxa"/>
            <w:gridSpan w:val="2"/>
          </w:tcPr>
          <w:p w:rsidR="0027450D" w:rsidRPr="0027450D" w:rsidRDefault="0027450D">
            <w:pPr>
              <w:pStyle w:val="Default"/>
              <w:rPr>
                <w:rFonts w:ascii="Times New Roman" w:hAnsi="Times New Roman" w:cs="Times New Roman"/>
                <w:sz w:val="22"/>
                <w:szCs w:val="22"/>
              </w:rPr>
            </w:pPr>
            <w:r w:rsidRPr="0027450D">
              <w:rPr>
                <w:rFonts w:ascii="Times New Roman" w:hAnsi="Times New Roman" w:cs="Times New Roman"/>
                <w:b/>
                <w:bCs/>
                <w:sz w:val="22"/>
                <w:szCs w:val="22"/>
              </w:rPr>
              <w:t xml:space="preserve">Nominal Percent change in 2020/21 </w:t>
            </w:r>
          </w:p>
        </w:tc>
        <w:tc>
          <w:tcPr>
            <w:tcW w:w="1237" w:type="dxa"/>
          </w:tcPr>
          <w:p w:rsidR="0027450D" w:rsidRPr="0027450D" w:rsidRDefault="0027450D">
            <w:pPr>
              <w:pStyle w:val="Default"/>
              <w:rPr>
                <w:rFonts w:ascii="Times New Roman" w:hAnsi="Times New Roman" w:cs="Times New Roman"/>
                <w:sz w:val="22"/>
                <w:szCs w:val="22"/>
              </w:rPr>
            </w:pPr>
            <w:r w:rsidRPr="0027450D">
              <w:rPr>
                <w:rFonts w:ascii="Times New Roman" w:hAnsi="Times New Roman" w:cs="Times New Roman"/>
                <w:b/>
                <w:bCs/>
                <w:sz w:val="22"/>
                <w:szCs w:val="22"/>
              </w:rPr>
              <w:t xml:space="preserve">Real Percent change in 2020/21 </w:t>
            </w:r>
          </w:p>
        </w:tc>
      </w:tr>
      <w:tr w:rsidR="0027450D" w:rsidTr="0027450D">
        <w:trPr>
          <w:trHeight w:val="93"/>
        </w:trPr>
        <w:tc>
          <w:tcPr>
            <w:tcW w:w="1521" w:type="dxa"/>
          </w:tcPr>
          <w:p w:rsidR="0027450D" w:rsidRPr="0027450D" w:rsidRDefault="0027450D">
            <w:pPr>
              <w:pStyle w:val="Default"/>
              <w:rPr>
                <w:rFonts w:ascii="Times New Roman" w:hAnsi="Times New Roman" w:cs="Times New Roman"/>
                <w:sz w:val="22"/>
                <w:szCs w:val="22"/>
              </w:rPr>
            </w:pPr>
            <w:r w:rsidRPr="0027450D">
              <w:rPr>
                <w:rFonts w:ascii="Times New Roman" w:hAnsi="Times New Roman" w:cs="Times New Roman"/>
                <w:b/>
                <w:bCs/>
                <w:sz w:val="22"/>
                <w:szCs w:val="22"/>
              </w:rPr>
              <w:t xml:space="preserve">R million </w:t>
            </w:r>
          </w:p>
        </w:tc>
        <w:tc>
          <w:tcPr>
            <w:tcW w:w="1134" w:type="dxa"/>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b/>
                <w:bCs/>
                <w:sz w:val="22"/>
                <w:szCs w:val="22"/>
              </w:rPr>
              <w:t>2019/20</w:t>
            </w:r>
          </w:p>
        </w:tc>
        <w:tc>
          <w:tcPr>
            <w:tcW w:w="1134" w:type="dxa"/>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b/>
                <w:bCs/>
                <w:sz w:val="22"/>
                <w:szCs w:val="22"/>
              </w:rPr>
              <w:t>2020/21</w:t>
            </w:r>
          </w:p>
        </w:tc>
        <w:tc>
          <w:tcPr>
            <w:tcW w:w="2693" w:type="dxa"/>
            <w:gridSpan w:val="3"/>
          </w:tcPr>
          <w:p w:rsidR="0027450D" w:rsidRPr="0027450D" w:rsidRDefault="0027450D">
            <w:pPr>
              <w:pStyle w:val="Default"/>
              <w:rPr>
                <w:rFonts w:ascii="Times New Roman" w:hAnsi="Times New Roman" w:cs="Times New Roman"/>
                <w:sz w:val="22"/>
                <w:szCs w:val="22"/>
              </w:rPr>
            </w:pPr>
          </w:p>
        </w:tc>
        <w:tc>
          <w:tcPr>
            <w:tcW w:w="2513" w:type="dxa"/>
            <w:gridSpan w:val="3"/>
          </w:tcPr>
          <w:p w:rsidR="0027450D" w:rsidRPr="0027450D" w:rsidRDefault="0027450D">
            <w:pPr>
              <w:pStyle w:val="Default"/>
              <w:rPr>
                <w:rFonts w:ascii="Times New Roman" w:hAnsi="Times New Roman" w:cs="Times New Roman"/>
                <w:sz w:val="22"/>
                <w:szCs w:val="22"/>
              </w:rPr>
            </w:pPr>
          </w:p>
        </w:tc>
      </w:tr>
      <w:tr w:rsidR="0027450D" w:rsidTr="0027450D">
        <w:trPr>
          <w:trHeight w:val="93"/>
        </w:trPr>
        <w:tc>
          <w:tcPr>
            <w:tcW w:w="1521" w:type="dxa"/>
          </w:tcPr>
          <w:p w:rsidR="0027450D" w:rsidRPr="0027450D" w:rsidRDefault="0027450D">
            <w:pPr>
              <w:pStyle w:val="Default"/>
              <w:rPr>
                <w:rFonts w:ascii="Times New Roman" w:hAnsi="Times New Roman" w:cs="Times New Roman"/>
                <w:sz w:val="22"/>
                <w:szCs w:val="22"/>
              </w:rPr>
            </w:pPr>
            <w:r w:rsidRPr="0027450D">
              <w:rPr>
                <w:rFonts w:ascii="Times New Roman" w:hAnsi="Times New Roman" w:cs="Times New Roman"/>
                <w:b/>
                <w:bCs/>
                <w:sz w:val="22"/>
                <w:szCs w:val="22"/>
              </w:rPr>
              <w:t xml:space="preserve">Compliance Monitoring </w:t>
            </w:r>
          </w:p>
        </w:tc>
        <w:tc>
          <w:tcPr>
            <w:tcW w:w="1134" w:type="dxa"/>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sz w:val="22"/>
                <w:szCs w:val="22"/>
              </w:rPr>
              <w:t>6.5</w:t>
            </w:r>
          </w:p>
        </w:tc>
        <w:tc>
          <w:tcPr>
            <w:tcW w:w="1134" w:type="dxa"/>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sz w:val="22"/>
                <w:szCs w:val="22"/>
              </w:rPr>
              <w:t>7.6</w:t>
            </w:r>
          </w:p>
        </w:tc>
        <w:tc>
          <w:tcPr>
            <w:tcW w:w="1351" w:type="dxa"/>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sz w:val="22"/>
                <w:szCs w:val="22"/>
              </w:rPr>
              <w:t>1.1</w:t>
            </w:r>
          </w:p>
        </w:tc>
        <w:tc>
          <w:tcPr>
            <w:tcW w:w="1342" w:type="dxa"/>
            <w:gridSpan w:val="2"/>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sz w:val="22"/>
                <w:szCs w:val="22"/>
              </w:rPr>
              <w:t>0.8</w:t>
            </w:r>
          </w:p>
        </w:tc>
        <w:tc>
          <w:tcPr>
            <w:tcW w:w="1228" w:type="dxa"/>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sz w:val="22"/>
                <w:szCs w:val="22"/>
              </w:rPr>
              <w:t xml:space="preserve">16.92 </w:t>
            </w:r>
            <w:r>
              <w:rPr>
                <w:rFonts w:ascii="Times New Roman" w:hAnsi="Times New Roman" w:cs="Times New Roman"/>
                <w:sz w:val="22"/>
                <w:szCs w:val="22"/>
              </w:rPr>
              <w:t>%</w:t>
            </w:r>
          </w:p>
        </w:tc>
        <w:tc>
          <w:tcPr>
            <w:tcW w:w="1285" w:type="dxa"/>
            <w:gridSpan w:val="2"/>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sz w:val="22"/>
                <w:szCs w:val="22"/>
              </w:rPr>
              <w:t xml:space="preserve">12.00 </w:t>
            </w:r>
            <w:r>
              <w:rPr>
                <w:rFonts w:ascii="Times New Roman" w:hAnsi="Times New Roman" w:cs="Times New Roman"/>
                <w:sz w:val="22"/>
                <w:szCs w:val="22"/>
              </w:rPr>
              <w:t>%</w:t>
            </w:r>
          </w:p>
        </w:tc>
      </w:tr>
      <w:tr w:rsidR="0027450D" w:rsidTr="0027450D">
        <w:trPr>
          <w:trHeight w:val="93"/>
        </w:trPr>
        <w:tc>
          <w:tcPr>
            <w:tcW w:w="1521" w:type="dxa"/>
          </w:tcPr>
          <w:p w:rsidR="0027450D" w:rsidRPr="0027450D" w:rsidRDefault="0027450D">
            <w:pPr>
              <w:pStyle w:val="Default"/>
              <w:rPr>
                <w:rFonts w:ascii="Times New Roman" w:hAnsi="Times New Roman" w:cs="Times New Roman"/>
                <w:sz w:val="22"/>
                <w:szCs w:val="22"/>
              </w:rPr>
            </w:pPr>
            <w:r w:rsidRPr="0027450D">
              <w:rPr>
                <w:rFonts w:ascii="Times New Roman" w:hAnsi="Times New Roman" w:cs="Times New Roman"/>
                <w:b/>
                <w:bCs/>
                <w:sz w:val="22"/>
                <w:szCs w:val="22"/>
              </w:rPr>
              <w:t xml:space="preserve">Stakeholder Management </w:t>
            </w:r>
          </w:p>
        </w:tc>
        <w:tc>
          <w:tcPr>
            <w:tcW w:w="1134" w:type="dxa"/>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sz w:val="22"/>
                <w:szCs w:val="22"/>
              </w:rPr>
              <w:t>5.2</w:t>
            </w:r>
          </w:p>
        </w:tc>
        <w:tc>
          <w:tcPr>
            <w:tcW w:w="1134" w:type="dxa"/>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sz w:val="22"/>
                <w:szCs w:val="22"/>
              </w:rPr>
              <w:t>5.2</w:t>
            </w:r>
          </w:p>
        </w:tc>
        <w:tc>
          <w:tcPr>
            <w:tcW w:w="1351" w:type="dxa"/>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sz w:val="22"/>
                <w:szCs w:val="22"/>
              </w:rPr>
              <w:t>0.0</w:t>
            </w:r>
          </w:p>
        </w:tc>
        <w:tc>
          <w:tcPr>
            <w:tcW w:w="1342" w:type="dxa"/>
            <w:gridSpan w:val="2"/>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sz w:val="22"/>
                <w:szCs w:val="22"/>
              </w:rPr>
              <w:t>- 0.2</w:t>
            </w:r>
          </w:p>
        </w:tc>
        <w:tc>
          <w:tcPr>
            <w:tcW w:w="1228" w:type="dxa"/>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sz w:val="22"/>
                <w:szCs w:val="22"/>
              </w:rPr>
              <w:t xml:space="preserve">0.00 </w:t>
            </w:r>
            <w:r>
              <w:rPr>
                <w:rFonts w:ascii="Times New Roman" w:hAnsi="Times New Roman" w:cs="Times New Roman"/>
                <w:sz w:val="22"/>
                <w:szCs w:val="22"/>
              </w:rPr>
              <w:t>%</w:t>
            </w:r>
          </w:p>
        </w:tc>
        <w:tc>
          <w:tcPr>
            <w:tcW w:w="1285" w:type="dxa"/>
            <w:gridSpan w:val="2"/>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sz w:val="22"/>
                <w:szCs w:val="22"/>
              </w:rPr>
              <w:t xml:space="preserve">-4.21 </w:t>
            </w:r>
            <w:r>
              <w:rPr>
                <w:rFonts w:ascii="Times New Roman" w:hAnsi="Times New Roman" w:cs="Times New Roman"/>
                <w:sz w:val="22"/>
                <w:szCs w:val="22"/>
              </w:rPr>
              <w:t>%</w:t>
            </w:r>
          </w:p>
        </w:tc>
      </w:tr>
      <w:tr w:rsidR="0027450D" w:rsidTr="0027450D">
        <w:trPr>
          <w:trHeight w:val="93"/>
        </w:trPr>
        <w:tc>
          <w:tcPr>
            <w:tcW w:w="1521" w:type="dxa"/>
          </w:tcPr>
          <w:p w:rsidR="0027450D" w:rsidRPr="0027450D" w:rsidRDefault="0027450D">
            <w:pPr>
              <w:pStyle w:val="Default"/>
              <w:rPr>
                <w:rFonts w:ascii="Times New Roman" w:hAnsi="Times New Roman" w:cs="Times New Roman"/>
                <w:sz w:val="22"/>
                <w:szCs w:val="22"/>
              </w:rPr>
            </w:pPr>
            <w:r w:rsidRPr="0027450D">
              <w:rPr>
                <w:rFonts w:ascii="Times New Roman" w:hAnsi="Times New Roman" w:cs="Times New Roman"/>
                <w:b/>
                <w:bCs/>
                <w:sz w:val="22"/>
                <w:szCs w:val="22"/>
              </w:rPr>
              <w:t xml:space="preserve">TOTAL </w:t>
            </w:r>
          </w:p>
        </w:tc>
        <w:tc>
          <w:tcPr>
            <w:tcW w:w="1134" w:type="dxa"/>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sz w:val="22"/>
                <w:szCs w:val="22"/>
              </w:rPr>
              <w:t>11.8</w:t>
            </w:r>
          </w:p>
        </w:tc>
        <w:tc>
          <w:tcPr>
            <w:tcW w:w="1134" w:type="dxa"/>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sz w:val="22"/>
                <w:szCs w:val="22"/>
              </w:rPr>
              <w:t>12.7</w:t>
            </w:r>
          </w:p>
        </w:tc>
        <w:tc>
          <w:tcPr>
            <w:tcW w:w="1351" w:type="dxa"/>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sz w:val="22"/>
                <w:szCs w:val="22"/>
              </w:rPr>
              <w:t>0.9</w:t>
            </w:r>
          </w:p>
        </w:tc>
        <w:tc>
          <w:tcPr>
            <w:tcW w:w="1342" w:type="dxa"/>
            <w:gridSpan w:val="2"/>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sz w:val="22"/>
                <w:szCs w:val="22"/>
              </w:rPr>
              <w:t>0.4</w:t>
            </w:r>
          </w:p>
        </w:tc>
        <w:tc>
          <w:tcPr>
            <w:tcW w:w="1228" w:type="dxa"/>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b/>
                <w:bCs/>
                <w:sz w:val="22"/>
                <w:szCs w:val="22"/>
              </w:rPr>
              <w:t xml:space="preserve">7.6 </w:t>
            </w:r>
            <w:r>
              <w:rPr>
                <w:rFonts w:ascii="Times New Roman" w:hAnsi="Times New Roman" w:cs="Times New Roman"/>
                <w:b/>
                <w:bCs/>
                <w:sz w:val="22"/>
                <w:szCs w:val="22"/>
              </w:rPr>
              <w:t>%</w:t>
            </w:r>
          </w:p>
        </w:tc>
        <w:tc>
          <w:tcPr>
            <w:tcW w:w="1285" w:type="dxa"/>
            <w:gridSpan w:val="2"/>
          </w:tcPr>
          <w:p w:rsidR="0027450D" w:rsidRPr="0027450D" w:rsidRDefault="0027450D" w:rsidP="0027450D">
            <w:pPr>
              <w:pStyle w:val="Default"/>
              <w:jc w:val="center"/>
              <w:rPr>
                <w:rFonts w:ascii="Times New Roman" w:hAnsi="Times New Roman" w:cs="Times New Roman"/>
                <w:sz w:val="22"/>
                <w:szCs w:val="22"/>
              </w:rPr>
            </w:pPr>
            <w:r w:rsidRPr="0027450D">
              <w:rPr>
                <w:rFonts w:ascii="Times New Roman" w:hAnsi="Times New Roman" w:cs="Times New Roman"/>
                <w:b/>
                <w:bCs/>
                <w:sz w:val="22"/>
                <w:szCs w:val="22"/>
              </w:rPr>
              <w:t xml:space="preserve">3.09 </w:t>
            </w:r>
            <w:r>
              <w:rPr>
                <w:rFonts w:ascii="Times New Roman" w:hAnsi="Times New Roman" w:cs="Times New Roman"/>
                <w:b/>
                <w:bCs/>
                <w:sz w:val="22"/>
                <w:szCs w:val="22"/>
              </w:rPr>
              <w:t>%</w:t>
            </w:r>
          </w:p>
        </w:tc>
      </w:tr>
    </w:tbl>
    <w:p w:rsidR="0027450D" w:rsidRDefault="0027450D" w:rsidP="0027450D">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Source: National Treasury (2020)</w:t>
      </w:r>
    </w:p>
    <w:p w:rsidR="0027450D" w:rsidRDefault="0027450D" w:rsidP="00EB6B72">
      <w:pPr>
        <w:spacing w:after="0" w:line="276" w:lineRule="auto"/>
        <w:jc w:val="both"/>
        <w:rPr>
          <w:rFonts w:ascii="Times New Roman" w:eastAsia="Calibri" w:hAnsi="Times New Roman" w:cs="Times New Roman"/>
          <w:b/>
          <w:sz w:val="24"/>
          <w:szCs w:val="24"/>
        </w:rPr>
      </w:pPr>
    </w:p>
    <w:p w:rsidR="006F2E2F" w:rsidRPr="006F2E2F" w:rsidRDefault="006F2E2F" w:rsidP="006F2E2F">
      <w:pPr>
        <w:spacing w:after="0" w:line="276" w:lineRule="auto"/>
        <w:jc w:val="both"/>
        <w:rPr>
          <w:rFonts w:ascii="Times New Roman" w:eastAsia="Calibri" w:hAnsi="Times New Roman" w:cs="Times New Roman"/>
          <w:sz w:val="24"/>
          <w:szCs w:val="24"/>
        </w:rPr>
      </w:pPr>
      <w:r w:rsidRPr="006F2E2F">
        <w:rPr>
          <w:rFonts w:ascii="Times New Roman" w:eastAsia="Calibri" w:hAnsi="Times New Roman" w:cs="Times New Roman"/>
          <w:sz w:val="24"/>
          <w:szCs w:val="24"/>
        </w:rPr>
        <w:t>Along with the Civilian Secretariat for the Police Service (CSPS), the Directorate is the primary oversight body of the police service. It meets quarterly with the Civilian Secretariat for the Police Service to discuss collective measures that should be taken by both Departments to advance the professionalisation of the police service as envisaged in the NDP. The Directorate stated, “Over the medium term, the Directorate will work closely with the Civilian Secretariat for the Police Service to ensure that there is regular and stringent monitoring of the implementation of disciplinary recommendations made to the South African Police Service.”</w:t>
      </w:r>
    </w:p>
    <w:p w:rsidR="006F2E2F" w:rsidRDefault="006F2E2F" w:rsidP="006F2E2F">
      <w:pPr>
        <w:spacing w:after="0" w:line="276" w:lineRule="auto"/>
        <w:jc w:val="both"/>
        <w:rPr>
          <w:rFonts w:ascii="Times New Roman" w:eastAsia="Calibri" w:hAnsi="Times New Roman" w:cs="Times New Roman"/>
          <w:sz w:val="24"/>
          <w:szCs w:val="24"/>
        </w:rPr>
      </w:pPr>
    </w:p>
    <w:p w:rsidR="006F2E2F" w:rsidRPr="006F2E2F" w:rsidRDefault="006F2E2F" w:rsidP="006F2E2F">
      <w:pPr>
        <w:spacing w:after="0" w:line="276" w:lineRule="auto"/>
        <w:jc w:val="both"/>
        <w:rPr>
          <w:rFonts w:ascii="Times New Roman" w:eastAsia="Calibri" w:hAnsi="Times New Roman" w:cs="Times New Roman"/>
          <w:sz w:val="24"/>
          <w:szCs w:val="24"/>
        </w:rPr>
      </w:pPr>
      <w:r w:rsidRPr="006F2E2F">
        <w:rPr>
          <w:rFonts w:ascii="Times New Roman" w:eastAsia="Calibri" w:hAnsi="Times New Roman" w:cs="Times New Roman"/>
          <w:sz w:val="24"/>
          <w:szCs w:val="24"/>
        </w:rPr>
        <w:lastRenderedPageBreak/>
        <w:t>The Directorate further stated that monthly meetings would be held with the CSPS and the SAPS to review monthly statistics in relation to the implementation of disciplinary recommendations forwarded to the SAPS and cases referred to the National Prosecuting Authority for prosecution.</w:t>
      </w:r>
    </w:p>
    <w:p w:rsidR="006F2E2F" w:rsidRDefault="006F2E2F" w:rsidP="006F2E2F">
      <w:pPr>
        <w:spacing w:after="0" w:line="276" w:lineRule="auto"/>
        <w:jc w:val="both"/>
        <w:rPr>
          <w:rFonts w:ascii="Times New Roman" w:eastAsia="Calibri" w:hAnsi="Times New Roman" w:cs="Times New Roman"/>
          <w:sz w:val="24"/>
          <w:szCs w:val="24"/>
        </w:rPr>
      </w:pPr>
    </w:p>
    <w:p w:rsidR="0027450D" w:rsidRDefault="006F2E2F" w:rsidP="006F2E2F">
      <w:pPr>
        <w:spacing w:after="0" w:line="276" w:lineRule="auto"/>
        <w:jc w:val="both"/>
        <w:rPr>
          <w:rFonts w:ascii="Times New Roman" w:eastAsia="Calibri" w:hAnsi="Times New Roman" w:cs="Times New Roman"/>
          <w:sz w:val="24"/>
          <w:szCs w:val="24"/>
        </w:rPr>
      </w:pPr>
      <w:r w:rsidRPr="006F2E2F">
        <w:rPr>
          <w:rFonts w:ascii="Times New Roman" w:eastAsia="Calibri" w:hAnsi="Times New Roman" w:cs="Times New Roman"/>
          <w:sz w:val="24"/>
          <w:szCs w:val="24"/>
        </w:rPr>
        <w:t>In addition, awareness training sessions will be held with police officers in police stations to strengthen compliance with applicable legislation and regulations, and reduce the number of cases reported for deaths as a result of police action and/or while in police custody, rape by a police officer and/or while in police custody, and systemic corruption. Related activities are carried out in the Compliance</w:t>
      </w:r>
      <w:r>
        <w:rPr>
          <w:rFonts w:ascii="Times New Roman" w:eastAsia="Calibri" w:hAnsi="Times New Roman" w:cs="Times New Roman"/>
          <w:sz w:val="24"/>
          <w:szCs w:val="24"/>
        </w:rPr>
        <w:t xml:space="preserve"> </w:t>
      </w:r>
      <w:r w:rsidRPr="006F2E2F">
        <w:rPr>
          <w:rFonts w:ascii="Times New Roman" w:eastAsia="Calibri" w:hAnsi="Times New Roman" w:cs="Times New Roman"/>
          <w:sz w:val="24"/>
          <w:szCs w:val="24"/>
        </w:rPr>
        <w:t>Monitoring and Stakeholder Management programme, allocations to which amount to R40.8 million over the MTEF period.</w:t>
      </w:r>
    </w:p>
    <w:p w:rsidR="006F2E2F" w:rsidRDefault="006F2E2F" w:rsidP="006F2E2F">
      <w:pPr>
        <w:spacing w:after="0" w:line="276" w:lineRule="auto"/>
        <w:jc w:val="both"/>
        <w:rPr>
          <w:rFonts w:ascii="Times New Roman" w:eastAsia="Calibri" w:hAnsi="Times New Roman" w:cs="Times New Roman"/>
          <w:sz w:val="24"/>
          <w:szCs w:val="24"/>
        </w:rPr>
      </w:pPr>
    </w:p>
    <w:p w:rsidR="006F2E2F" w:rsidRDefault="00B110E4" w:rsidP="006F2E2F">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3.2</w:t>
      </w:r>
      <w:r>
        <w:rPr>
          <w:rFonts w:ascii="Times New Roman" w:eastAsia="Calibri" w:hAnsi="Times New Roman" w:cs="Times New Roman"/>
          <w:b/>
          <w:sz w:val="24"/>
          <w:szCs w:val="24"/>
        </w:rPr>
        <w:tab/>
      </w:r>
      <w:r w:rsidR="006F2E2F" w:rsidRPr="006F2E2F">
        <w:rPr>
          <w:rFonts w:ascii="Times New Roman" w:eastAsia="Calibri" w:hAnsi="Times New Roman" w:cs="Times New Roman"/>
          <w:b/>
          <w:sz w:val="24"/>
          <w:szCs w:val="24"/>
        </w:rPr>
        <w:t>PROGRAMME PERFORMANCE</w:t>
      </w:r>
    </w:p>
    <w:p w:rsidR="006F2E2F" w:rsidRPr="006F2E2F" w:rsidRDefault="006F2E2F" w:rsidP="006F2E2F">
      <w:pPr>
        <w:spacing w:after="0" w:line="276" w:lineRule="auto"/>
        <w:jc w:val="both"/>
        <w:rPr>
          <w:rFonts w:ascii="Times New Roman" w:eastAsia="Calibri" w:hAnsi="Times New Roman" w:cs="Times New Roman"/>
          <w:b/>
          <w:sz w:val="24"/>
          <w:szCs w:val="24"/>
        </w:rPr>
      </w:pPr>
    </w:p>
    <w:p w:rsidR="006F2E2F" w:rsidRPr="00B110E4" w:rsidRDefault="00B110E4" w:rsidP="006F2E2F">
      <w:pPr>
        <w:spacing w:after="0" w:line="276" w:lineRule="auto"/>
        <w:jc w:val="both"/>
        <w:rPr>
          <w:rFonts w:ascii="Times New Roman" w:eastAsia="Calibri" w:hAnsi="Times New Roman" w:cs="Times New Roman"/>
          <w:b/>
          <w:sz w:val="24"/>
          <w:szCs w:val="24"/>
        </w:rPr>
      </w:pPr>
      <w:r w:rsidRPr="00B110E4">
        <w:rPr>
          <w:rFonts w:ascii="Times New Roman" w:eastAsia="Calibri" w:hAnsi="Times New Roman" w:cs="Times New Roman"/>
          <w:b/>
          <w:sz w:val="24"/>
          <w:szCs w:val="24"/>
        </w:rPr>
        <w:t>3.2.1</w:t>
      </w:r>
      <w:r w:rsidRPr="00B110E4">
        <w:rPr>
          <w:rFonts w:ascii="Times New Roman" w:eastAsia="Calibri" w:hAnsi="Times New Roman" w:cs="Times New Roman"/>
          <w:b/>
          <w:sz w:val="24"/>
          <w:szCs w:val="24"/>
        </w:rPr>
        <w:tab/>
      </w:r>
      <w:r w:rsidR="006F2E2F" w:rsidRPr="00B110E4">
        <w:rPr>
          <w:rFonts w:ascii="Times New Roman" w:eastAsia="Calibri" w:hAnsi="Times New Roman" w:cs="Times New Roman"/>
          <w:b/>
          <w:sz w:val="24"/>
          <w:szCs w:val="24"/>
        </w:rPr>
        <w:t>Technical indicator descriptions</w:t>
      </w:r>
    </w:p>
    <w:p w:rsidR="006F2E2F" w:rsidRDefault="006F2E2F" w:rsidP="006F2E2F">
      <w:pPr>
        <w:spacing w:after="0" w:line="276" w:lineRule="auto"/>
        <w:jc w:val="both"/>
        <w:rPr>
          <w:rFonts w:ascii="Times New Roman" w:eastAsia="Calibri" w:hAnsi="Times New Roman" w:cs="Times New Roman"/>
          <w:sz w:val="24"/>
          <w:szCs w:val="24"/>
        </w:rPr>
      </w:pPr>
    </w:p>
    <w:p w:rsidR="006F2E2F" w:rsidRDefault="006F2E2F" w:rsidP="006F2E2F">
      <w:pPr>
        <w:spacing w:after="0" w:line="276" w:lineRule="auto"/>
        <w:jc w:val="both"/>
        <w:rPr>
          <w:rFonts w:ascii="Times New Roman" w:eastAsia="Calibri" w:hAnsi="Times New Roman" w:cs="Times New Roman"/>
          <w:sz w:val="24"/>
          <w:szCs w:val="24"/>
        </w:rPr>
      </w:pPr>
      <w:r w:rsidRPr="006F2E2F">
        <w:rPr>
          <w:rFonts w:ascii="Times New Roman" w:eastAsia="Calibri" w:hAnsi="Times New Roman" w:cs="Times New Roman"/>
          <w:sz w:val="24"/>
          <w:szCs w:val="24"/>
        </w:rPr>
        <w:t>The IPID relies solely on output performance indicators with the method of calculation as a simple count. The IPID also did not publish the technical indicator descriptions as part of its APP. The technical indicator description is one of the key requirements from the National Treasury, as provided for in the Framework for Strategic Planning and Annual Performance Plan. This limits full understanding of the performance indicator. All performance indicators must have Technical Indicator Descriptions, known as the TIDs.</w:t>
      </w:r>
    </w:p>
    <w:p w:rsidR="006F2E2F" w:rsidRPr="006F2E2F" w:rsidRDefault="006F2E2F" w:rsidP="006F2E2F">
      <w:pPr>
        <w:spacing w:after="0" w:line="276" w:lineRule="auto"/>
        <w:jc w:val="both"/>
        <w:rPr>
          <w:rFonts w:ascii="Times New Roman" w:eastAsia="Calibri" w:hAnsi="Times New Roman" w:cs="Times New Roman"/>
          <w:sz w:val="24"/>
          <w:szCs w:val="24"/>
        </w:rPr>
      </w:pPr>
    </w:p>
    <w:p w:rsidR="006F2E2F" w:rsidRPr="006F2E2F" w:rsidRDefault="006F2E2F" w:rsidP="006F2E2F">
      <w:pPr>
        <w:spacing w:after="0" w:line="276" w:lineRule="auto"/>
        <w:jc w:val="both"/>
        <w:rPr>
          <w:rFonts w:ascii="Times New Roman" w:eastAsia="Calibri" w:hAnsi="Times New Roman" w:cs="Times New Roman"/>
          <w:sz w:val="24"/>
          <w:szCs w:val="24"/>
        </w:rPr>
      </w:pPr>
      <w:r w:rsidRPr="006F2E2F">
        <w:rPr>
          <w:rFonts w:ascii="Times New Roman" w:eastAsia="Calibri" w:hAnsi="Times New Roman" w:cs="Times New Roman"/>
          <w:sz w:val="24"/>
          <w:szCs w:val="24"/>
        </w:rPr>
        <w:t>A Technical Indicator Descriptor seeks to achieve the following:</w:t>
      </w:r>
    </w:p>
    <w:p w:rsidR="006F2E2F" w:rsidRPr="006F2E2F" w:rsidRDefault="006F2E2F" w:rsidP="006F2E2F">
      <w:pPr>
        <w:pStyle w:val="ListParagraph"/>
        <w:numPr>
          <w:ilvl w:val="0"/>
          <w:numId w:val="14"/>
        </w:numPr>
        <w:spacing w:after="0" w:line="276" w:lineRule="auto"/>
        <w:jc w:val="both"/>
        <w:rPr>
          <w:rFonts w:ascii="Times New Roman" w:eastAsia="Calibri" w:hAnsi="Times New Roman" w:cs="Times New Roman"/>
          <w:sz w:val="24"/>
          <w:szCs w:val="24"/>
        </w:rPr>
      </w:pPr>
      <w:r w:rsidRPr="006F2E2F">
        <w:rPr>
          <w:rFonts w:ascii="Times New Roman" w:eastAsia="Calibri" w:hAnsi="Times New Roman" w:cs="Times New Roman"/>
          <w:sz w:val="24"/>
          <w:szCs w:val="24"/>
        </w:rPr>
        <w:t>Identify the title of the strategic outcome oriented goal, objective or programme performance indicator</w:t>
      </w:r>
    </w:p>
    <w:p w:rsidR="006F2E2F" w:rsidRPr="006F2E2F" w:rsidRDefault="006F2E2F" w:rsidP="006F2E2F">
      <w:pPr>
        <w:pStyle w:val="ListParagraph"/>
        <w:numPr>
          <w:ilvl w:val="0"/>
          <w:numId w:val="14"/>
        </w:numPr>
        <w:spacing w:after="0" w:line="276" w:lineRule="auto"/>
        <w:jc w:val="both"/>
        <w:rPr>
          <w:rFonts w:ascii="Times New Roman" w:eastAsia="Calibri" w:hAnsi="Times New Roman" w:cs="Times New Roman"/>
          <w:sz w:val="24"/>
          <w:szCs w:val="24"/>
        </w:rPr>
      </w:pPr>
      <w:r w:rsidRPr="006F2E2F">
        <w:rPr>
          <w:rFonts w:ascii="Times New Roman" w:eastAsia="Calibri" w:hAnsi="Times New Roman" w:cs="Times New Roman"/>
          <w:sz w:val="24"/>
          <w:szCs w:val="24"/>
        </w:rPr>
        <w:t>Provide a brief explanation of what the indicator is, with enough detail to give a general understanding of the indicator</w:t>
      </w:r>
    </w:p>
    <w:p w:rsidR="006F2E2F" w:rsidRPr="006F2E2F" w:rsidRDefault="006F2E2F" w:rsidP="006F2E2F">
      <w:pPr>
        <w:pStyle w:val="ListParagraph"/>
        <w:numPr>
          <w:ilvl w:val="0"/>
          <w:numId w:val="14"/>
        </w:numPr>
        <w:spacing w:after="0" w:line="276" w:lineRule="auto"/>
        <w:jc w:val="both"/>
        <w:rPr>
          <w:rFonts w:ascii="Times New Roman" w:eastAsia="Calibri" w:hAnsi="Times New Roman" w:cs="Times New Roman"/>
          <w:sz w:val="24"/>
          <w:szCs w:val="24"/>
        </w:rPr>
      </w:pPr>
      <w:r w:rsidRPr="006F2E2F">
        <w:rPr>
          <w:rFonts w:ascii="Times New Roman" w:eastAsia="Calibri" w:hAnsi="Times New Roman" w:cs="Times New Roman"/>
          <w:sz w:val="24"/>
          <w:szCs w:val="24"/>
        </w:rPr>
        <w:t>Explain what the indicator is intended to show and why it is important</w:t>
      </w:r>
    </w:p>
    <w:p w:rsidR="006F2E2F" w:rsidRPr="006F2E2F" w:rsidRDefault="006F2E2F" w:rsidP="006F2E2F">
      <w:pPr>
        <w:pStyle w:val="ListParagraph"/>
        <w:numPr>
          <w:ilvl w:val="0"/>
          <w:numId w:val="14"/>
        </w:numPr>
        <w:spacing w:after="0" w:line="276" w:lineRule="auto"/>
        <w:jc w:val="both"/>
        <w:rPr>
          <w:rFonts w:ascii="Times New Roman" w:eastAsia="Calibri" w:hAnsi="Times New Roman" w:cs="Times New Roman"/>
          <w:sz w:val="24"/>
          <w:szCs w:val="24"/>
        </w:rPr>
      </w:pPr>
      <w:r w:rsidRPr="006F2E2F">
        <w:rPr>
          <w:rFonts w:ascii="Times New Roman" w:eastAsia="Calibri" w:hAnsi="Times New Roman" w:cs="Times New Roman"/>
          <w:sz w:val="24"/>
          <w:szCs w:val="24"/>
        </w:rPr>
        <w:t>Describe where the information comes from and how it is collected</w:t>
      </w:r>
    </w:p>
    <w:p w:rsidR="006F2E2F" w:rsidRPr="006F2E2F" w:rsidRDefault="006F2E2F" w:rsidP="006F2E2F">
      <w:pPr>
        <w:pStyle w:val="ListParagraph"/>
        <w:numPr>
          <w:ilvl w:val="0"/>
          <w:numId w:val="14"/>
        </w:numPr>
        <w:spacing w:after="0" w:line="276" w:lineRule="auto"/>
        <w:jc w:val="both"/>
        <w:rPr>
          <w:rFonts w:ascii="Times New Roman" w:eastAsia="Calibri" w:hAnsi="Times New Roman" w:cs="Times New Roman"/>
          <w:sz w:val="24"/>
          <w:szCs w:val="24"/>
        </w:rPr>
      </w:pPr>
      <w:r w:rsidRPr="006F2E2F">
        <w:rPr>
          <w:rFonts w:ascii="Times New Roman" w:eastAsia="Calibri" w:hAnsi="Times New Roman" w:cs="Times New Roman"/>
          <w:sz w:val="24"/>
          <w:szCs w:val="24"/>
        </w:rPr>
        <w:t>Describe clearly and specifically how the indicator is calculated</w:t>
      </w:r>
    </w:p>
    <w:p w:rsidR="006F2E2F" w:rsidRPr="006F2E2F" w:rsidRDefault="006F2E2F" w:rsidP="006F2E2F">
      <w:pPr>
        <w:pStyle w:val="ListParagraph"/>
        <w:numPr>
          <w:ilvl w:val="0"/>
          <w:numId w:val="14"/>
        </w:numPr>
        <w:spacing w:after="0" w:line="276" w:lineRule="auto"/>
        <w:jc w:val="both"/>
        <w:rPr>
          <w:rFonts w:ascii="Times New Roman" w:eastAsia="Calibri" w:hAnsi="Times New Roman" w:cs="Times New Roman"/>
          <w:sz w:val="24"/>
          <w:szCs w:val="24"/>
        </w:rPr>
      </w:pPr>
      <w:r w:rsidRPr="006F2E2F">
        <w:rPr>
          <w:rFonts w:ascii="Times New Roman" w:eastAsia="Calibri" w:hAnsi="Times New Roman" w:cs="Times New Roman"/>
          <w:sz w:val="24"/>
          <w:szCs w:val="24"/>
        </w:rPr>
        <w:t>Identify any limitation with the indicator data, including factors that might be beyond the department’s control</w:t>
      </w:r>
    </w:p>
    <w:p w:rsidR="006F2E2F" w:rsidRPr="006F2E2F" w:rsidRDefault="006F2E2F" w:rsidP="006F2E2F">
      <w:pPr>
        <w:pStyle w:val="ListParagraph"/>
        <w:numPr>
          <w:ilvl w:val="0"/>
          <w:numId w:val="14"/>
        </w:numPr>
        <w:spacing w:after="0" w:line="276" w:lineRule="auto"/>
        <w:jc w:val="both"/>
        <w:rPr>
          <w:rFonts w:ascii="Times New Roman" w:eastAsia="Calibri" w:hAnsi="Times New Roman" w:cs="Times New Roman"/>
          <w:sz w:val="24"/>
          <w:szCs w:val="24"/>
        </w:rPr>
      </w:pPr>
      <w:r w:rsidRPr="006F2E2F">
        <w:rPr>
          <w:rFonts w:ascii="Times New Roman" w:eastAsia="Calibri" w:hAnsi="Times New Roman" w:cs="Times New Roman"/>
          <w:sz w:val="24"/>
          <w:szCs w:val="24"/>
        </w:rPr>
        <w:t>Identify whether the indicator is measuring inputs, activities, outputs, outcomes or impact, or some other dimension of performance such as efficiency, economy or equity</w:t>
      </w:r>
    </w:p>
    <w:p w:rsidR="006F2E2F" w:rsidRPr="006F2E2F" w:rsidRDefault="006F2E2F" w:rsidP="006F2E2F">
      <w:pPr>
        <w:pStyle w:val="ListParagraph"/>
        <w:numPr>
          <w:ilvl w:val="0"/>
          <w:numId w:val="14"/>
        </w:numPr>
        <w:spacing w:after="0" w:line="276" w:lineRule="auto"/>
        <w:jc w:val="both"/>
        <w:rPr>
          <w:rFonts w:ascii="Times New Roman" w:eastAsia="Calibri" w:hAnsi="Times New Roman" w:cs="Times New Roman"/>
          <w:sz w:val="24"/>
          <w:szCs w:val="24"/>
        </w:rPr>
      </w:pPr>
      <w:r w:rsidRPr="006F2E2F">
        <w:rPr>
          <w:rFonts w:ascii="Times New Roman" w:eastAsia="Calibri" w:hAnsi="Times New Roman" w:cs="Times New Roman"/>
          <w:sz w:val="24"/>
          <w:szCs w:val="24"/>
        </w:rPr>
        <w:t>Identify whether the reported performance is cumulative, or non-cumulative</w:t>
      </w:r>
    </w:p>
    <w:p w:rsidR="006F2E2F" w:rsidRPr="006F2E2F" w:rsidRDefault="006F2E2F" w:rsidP="006F2E2F">
      <w:pPr>
        <w:pStyle w:val="ListParagraph"/>
        <w:numPr>
          <w:ilvl w:val="0"/>
          <w:numId w:val="14"/>
        </w:numPr>
        <w:spacing w:after="0" w:line="276" w:lineRule="auto"/>
        <w:jc w:val="both"/>
        <w:rPr>
          <w:rFonts w:ascii="Times New Roman" w:eastAsia="Calibri" w:hAnsi="Times New Roman" w:cs="Times New Roman"/>
          <w:sz w:val="24"/>
          <w:szCs w:val="24"/>
        </w:rPr>
      </w:pPr>
      <w:r w:rsidRPr="006F2E2F">
        <w:rPr>
          <w:rFonts w:ascii="Times New Roman" w:eastAsia="Calibri" w:hAnsi="Times New Roman" w:cs="Times New Roman"/>
          <w:sz w:val="24"/>
          <w:szCs w:val="24"/>
        </w:rPr>
        <w:t>Identify if an indicator is reported quarterly, annually or at longer time intervals</w:t>
      </w:r>
    </w:p>
    <w:p w:rsidR="006F2E2F" w:rsidRPr="006F2E2F" w:rsidRDefault="006F2E2F" w:rsidP="006F2E2F">
      <w:pPr>
        <w:pStyle w:val="ListParagraph"/>
        <w:numPr>
          <w:ilvl w:val="0"/>
          <w:numId w:val="14"/>
        </w:numPr>
        <w:spacing w:after="0" w:line="276" w:lineRule="auto"/>
        <w:jc w:val="both"/>
        <w:rPr>
          <w:rFonts w:ascii="Times New Roman" w:eastAsia="Calibri" w:hAnsi="Times New Roman" w:cs="Times New Roman"/>
          <w:sz w:val="24"/>
          <w:szCs w:val="24"/>
        </w:rPr>
      </w:pPr>
      <w:r w:rsidRPr="006F2E2F">
        <w:rPr>
          <w:rFonts w:ascii="Times New Roman" w:eastAsia="Calibri" w:hAnsi="Times New Roman" w:cs="Times New Roman"/>
          <w:sz w:val="24"/>
          <w:szCs w:val="24"/>
        </w:rPr>
        <w:t>Identify whether the indicator is new, has significantly changed, or continues without change from the previous year</w:t>
      </w:r>
    </w:p>
    <w:p w:rsidR="006F2E2F" w:rsidRPr="006F2E2F" w:rsidRDefault="006F2E2F" w:rsidP="006F2E2F">
      <w:pPr>
        <w:pStyle w:val="ListParagraph"/>
        <w:numPr>
          <w:ilvl w:val="0"/>
          <w:numId w:val="14"/>
        </w:numPr>
        <w:spacing w:after="0" w:line="276" w:lineRule="auto"/>
        <w:jc w:val="both"/>
        <w:rPr>
          <w:rFonts w:ascii="Times New Roman" w:eastAsia="Calibri" w:hAnsi="Times New Roman" w:cs="Times New Roman"/>
          <w:sz w:val="24"/>
          <w:szCs w:val="24"/>
        </w:rPr>
      </w:pPr>
      <w:r w:rsidRPr="006F2E2F">
        <w:rPr>
          <w:rFonts w:ascii="Times New Roman" w:eastAsia="Calibri" w:hAnsi="Times New Roman" w:cs="Times New Roman"/>
          <w:sz w:val="24"/>
          <w:szCs w:val="24"/>
        </w:rPr>
        <w:t>Identify whether actual performance that is higher or lower than targeted performance is desirable</w:t>
      </w:r>
    </w:p>
    <w:p w:rsidR="006F2E2F" w:rsidRPr="006F2E2F" w:rsidRDefault="006F2E2F" w:rsidP="006F2E2F">
      <w:pPr>
        <w:pStyle w:val="ListParagraph"/>
        <w:numPr>
          <w:ilvl w:val="0"/>
          <w:numId w:val="14"/>
        </w:numPr>
        <w:spacing w:after="0" w:line="276" w:lineRule="auto"/>
        <w:jc w:val="both"/>
        <w:rPr>
          <w:rFonts w:ascii="Times New Roman" w:eastAsia="Calibri" w:hAnsi="Times New Roman" w:cs="Times New Roman"/>
          <w:sz w:val="24"/>
          <w:szCs w:val="24"/>
        </w:rPr>
      </w:pPr>
      <w:r w:rsidRPr="006F2E2F">
        <w:rPr>
          <w:rFonts w:ascii="Times New Roman" w:eastAsia="Calibri" w:hAnsi="Times New Roman" w:cs="Times New Roman"/>
          <w:sz w:val="24"/>
          <w:szCs w:val="24"/>
        </w:rPr>
        <w:t>Identify who is responsible for managing and reporting the indicator</w:t>
      </w:r>
    </w:p>
    <w:p w:rsidR="006F2E2F" w:rsidRDefault="006F2E2F" w:rsidP="006F2E2F">
      <w:pPr>
        <w:spacing w:after="0" w:line="276" w:lineRule="auto"/>
        <w:jc w:val="both"/>
        <w:rPr>
          <w:rFonts w:ascii="Times New Roman" w:eastAsia="Calibri" w:hAnsi="Times New Roman" w:cs="Times New Roman"/>
          <w:sz w:val="24"/>
          <w:szCs w:val="24"/>
        </w:rPr>
      </w:pPr>
    </w:p>
    <w:p w:rsidR="006F2E2F" w:rsidRDefault="006F2E2F" w:rsidP="006F2E2F">
      <w:pPr>
        <w:spacing w:after="0" w:line="276" w:lineRule="auto"/>
        <w:jc w:val="both"/>
        <w:rPr>
          <w:rFonts w:ascii="Times New Roman" w:eastAsia="Calibri" w:hAnsi="Times New Roman" w:cs="Times New Roman"/>
          <w:sz w:val="24"/>
          <w:szCs w:val="24"/>
        </w:rPr>
      </w:pPr>
      <w:r w:rsidRPr="006F2E2F">
        <w:rPr>
          <w:rFonts w:ascii="Times New Roman" w:eastAsia="Calibri" w:hAnsi="Times New Roman" w:cs="Times New Roman"/>
          <w:sz w:val="24"/>
          <w:szCs w:val="24"/>
        </w:rPr>
        <w:lastRenderedPageBreak/>
        <w:t>In addition to the information above, the purpose of these definitions is to assist the department in improving the reporting processes. It further ensures that the users of performance information identify with the terms and standards used thus eliminating misconceptions of the information reported. Furthermore, the TID forms the basis for audit of predetermined objectives. The TID document must be read together with the submitted Departmental Strategic Plan and the 2019/20 Annual Performance Plan.</w:t>
      </w:r>
    </w:p>
    <w:p w:rsidR="006F2E2F" w:rsidRDefault="006F2E2F" w:rsidP="006F2E2F">
      <w:pPr>
        <w:spacing w:after="0" w:line="276" w:lineRule="auto"/>
        <w:jc w:val="both"/>
        <w:rPr>
          <w:rFonts w:ascii="Times New Roman" w:eastAsia="Calibri" w:hAnsi="Times New Roman" w:cs="Times New Roman"/>
          <w:sz w:val="24"/>
          <w:szCs w:val="24"/>
        </w:rPr>
      </w:pPr>
    </w:p>
    <w:p w:rsidR="006F2E2F" w:rsidRPr="008D0420" w:rsidRDefault="00B110E4" w:rsidP="006F2E2F">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3.2.2</w:t>
      </w:r>
      <w:r>
        <w:rPr>
          <w:rFonts w:ascii="Times New Roman" w:eastAsia="Calibri" w:hAnsi="Times New Roman" w:cs="Times New Roman"/>
          <w:b/>
          <w:sz w:val="24"/>
          <w:szCs w:val="24"/>
        </w:rPr>
        <w:tab/>
      </w:r>
      <w:r w:rsidR="006F2E2F" w:rsidRPr="008D0420">
        <w:rPr>
          <w:rFonts w:ascii="Times New Roman" w:eastAsia="Calibri" w:hAnsi="Times New Roman" w:cs="Times New Roman"/>
          <w:b/>
          <w:sz w:val="24"/>
          <w:szCs w:val="24"/>
        </w:rPr>
        <w:t>Administration Programme</w:t>
      </w:r>
    </w:p>
    <w:p w:rsidR="006F2E2F" w:rsidRPr="006F2E2F" w:rsidRDefault="006F2E2F" w:rsidP="006F2E2F">
      <w:pPr>
        <w:pStyle w:val="Default"/>
        <w:rPr>
          <w:rFonts w:ascii="Times New Roman" w:hAnsi="Times New Roman" w:cs="Times New Roman"/>
          <w:sz w:val="22"/>
          <w:szCs w:val="22"/>
        </w:rPr>
      </w:pPr>
      <w:r w:rsidRPr="006F2E2F">
        <w:rPr>
          <w:rFonts w:ascii="Times New Roman" w:hAnsi="Times New Roman" w:cs="Times New Roman"/>
          <w:sz w:val="22"/>
          <w:szCs w:val="22"/>
        </w:rPr>
        <w:t xml:space="preserve">The table below provides a summary of the programme performance indicators and targets of the </w:t>
      </w:r>
      <w:r w:rsidRPr="006F2E2F">
        <w:rPr>
          <w:rFonts w:ascii="Times New Roman" w:hAnsi="Times New Roman" w:cs="Times New Roman"/>
          <w:i/>
          <w:iCs/>
          <w:sz w:val="22"/>
          <w:szCs w:val="22"/>
        </w:rPr>
        <w:t xml:space="preserve">Administration </w:t>
      </w:r>
      <w:r w:rsidRPr="006F2E2F">
        <w:rPr>
          <w:rFonts w:ascii="Times New Roman" w:hAnsi="Times New Roman" w:cs="Times New Roman"/>
          <w:sz w:val="22"/>
          <w:szCs w:val="22"/>
        </w:rPr>
        <w:t>Programme for the 20</w:t>
      </w:r>
      <w:r w:rsidR="008D0420">
        <w:rPr>
          <w:rFonts w:ascii="Times New Roman" w:hAnsi="Times New Roman" w:cs="Times New Roman"/>
          <w:sz w:val="22"/>
          <w:szCs w:val="22"/>
        </w:rPr>
        <w:t>20</w:t>
      </w:r>
      <w:r w:rsidRPr="006F2E2F">
        <w:rPr>
          <w:rFonts w:ascii="Times New Roman" w:hAnsi="Times New Roman" w:cs="Times New Roman"/>
          <w:sz w:val="22"/>
          <w:szCs w:val="22"/>
        </w:rPr>
        <w:t>/2</w:t>
      </w:r>
      <w:r w:rsidR="008D0420">
        <w:rPr>
          <w:rFonts w:ascii="Times New Roman" w:hAnsi="Times New Roman" w:cs="Times New Roman"/>
          <w:sz w:val="22"/>
          <w:szCs w:val="22"/>
        </w:rPr>
        <w:t>1</w:t>
      </w:r>
      <w:r w:rsidRPr="006F2E2F">
        <w:rPr>
          <w:rFonts w:ascii="Times New Roman" w:hAnsi="Times New Roman" w:cs="Times New Roman"/>
          <w:sz w:val="22"/>
          <w:szCs w:val="22"/>
        </w:rPr>
        <w:t xml:space="preserve"> financial year: </w:t>
      </w:r>
    </w:p>
    <w:p w:rsidR="006F2E2F" w:rsidRDefault="006F2E2F" w:rsidP="006F2E2F">
      <w:pPr>
        <w:pStyle w:val="Default"/>
        <w:rPr>
          <w:color w:val="auto"/>
        </w:rPr>
      </w:pP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675"/>
      </w:tblGrid>
      <w:tr w:rsidR="006F2E2F" w:rsidRPr="008D0420" w:rsidTr="008D0420">
        <w:trPr>
          <w:trHeight w:val="67"/>
          <w:jc w:val="center"/>
        </w:trPr>
        <w:tc>
          <w:tcPr>
            <w:tcW w:w="6799" w:type="dxa"/>
          </w:tcPr>
          <w:p w:rsidR="006F2E2F" w:rsidRPr="008D0420" w:rsidRDefault="008D0420" w:rsidP="008D0420">
            <w:pPr>
              <w:pStyle w:val="Default"/>
              <w:jc w:val="center"/>
              <w:rPr>
                <w:rFonts w:ascii="Times New Roman" w:hAnsi="Times New Roman" w:cs="Times New Roman"/>
                <w:b/>
                <w:sz w:val="22"/>
                <w:szCs w:val="22"/>
              </w:rPr>
            </w:pPr>
            <w:r w:rsidRPr="008D0420">
              <w:rPr>
                <w:rFonts w:ascii="Times New Roman" w:hAnsi="Times New Roman" w:cs="Times New Roman"/>
                <w:b/>
                <w:sz w:val="22"/>
                <w:szCs w:val="22"/>
              </w:rPr>
              <w:t>Performance Indicator</w:t>
            </w:r>
          </w:p>
        </w:tc>
        <w:tc>
          <w:tcPr>
            <w:tcW w:w="1675" w:type="dxa"/>
          </w:tcPr>
          <w:p w:rsidR="006F2E2F" w:rsidRPr="008D0420" w:rsidRDefault="006F2E2F">
            <w:pPr>
              <w:pStyle w:val="Default"/>
              <w:rPr>
                <w:rFonts w:ascii="Times New Roman" w:hAnsi="Times New Roman" w:cs="Times New Roman"/>
                <w:sz w:val="22"/>
                <w:szCs w:val="22"/>
              </w:rPr>
            </w:pPr>
            <w:r w:rsidRPr="008D0420">
              <w:rPr>
                <w:rFonts w:ascii="Times New Roman" w:hAnsi="Times New Roman" w:cs="Times New Roman"/>
                <w:b/>
                <w:bCs/>
                <w:sz w:val="22"/>
                <w:szCs w:val="22"/>
              </w:rPr>
              <w:t xml:space="preserve">Target </w:t>
            </w:r>
          </w:p>
        </w:tc>
      </w:tr>
      <w:tr w:rsidR="006F2E2F" w:rsidRPr="008D0420" w:rsidTr="008D0420">
        <w:trPr>
          <w:trHeight w:val="67"/>
          <w:jc w:val="center"/>
        </w:trPr>
        <w:tc>
          <w:tcPr>
            <w:tcW w:w="8474" w:type="dxa"/>
            <w:gridSpan w:val="2"/>
          </w:tcPr>
          <w:p w:rsidR="006F2E2F" w:rsidRPr="008D0420" w:rsidRDefault="006F2E2F">
            <w:pPr>
              <w:pStyle w:val="Default"/>
              <w:rPr>
                <w:rFonts w:ascii="Times New Roman" w:hAnsi="Times New Roman" w:cs="Times New Roman"/>
                <w:sz w:val="22"/>
                <w:szCs w:val="22"/>
              </w:rPr>
            </w:pPr>
          </w:p>
        </w:tc>
      </w:tr>
      <w:tr w:rsidR="006F2E2F" w:rsidRPr="008D0420" w:rsidTr="008D0420">
        <w:trPr>
          <w:trHeight w:val="67"/>
          <w:jc w:val="center"/>
        </w:trPr>
        <w:tc>
          <w:tcPr>
            <w:tcW w:w="6799" w:type="dxa"/>
          </w:tcPr>
          <w:p w:rsidR="006F2E2F" w:rsidRPr="008D0420" w:rsidRDefault="006F2E2F">
            <w:pPr>
              <w:pStyle w:val="Default"/>
              <w:rPr>
                <w:rFonts w:ascii="Times New Roman" w:hAnsi="Times New Roman" w:cs="Times New Roman"/>
                <w:color w:val="auto"/>
                <w:sz w:val="22"/>
                <w:szCs w:val="22"/>
              </w:rPr>
            </w:pPr>
          </w:p>
          <w:p w:rsidR="006F2E2F" w:rsidRPr="008D0420" w:rsidRDefault="006F2E2F">
            <w:pPr>
              <w:pStyle w:val="Default"/>
              <w:rPr>
                <w:rFonts w:ascii="Times New Roman" w:hAnsi="Times New Roman" w:cs="Times New Roman"/>
                <w:sz w:val="22"/>
                <w:szCs w:val="22"/>
              </w:rPr>
            </w:pPr>
            <w:r w:rsidRPr="008D0420">
              <w:rPr>
                <w:rFonts w:ascii="Times New Roman" w:hAnsi="Times New Roman" w:cs="Times New Roman"/>
                <w:sz w:val="22"/>
                <w:szCs w:val="22"/>
              </w:rPr>
              <w:t xml:space="preserve">1) Percentage vacancy rate per year </w:t>
            </w:r>
          </w:p>
          <w:p w:rsidR="006F2E2F" w:rsidRPr="008D0420" w:rsidRDefault="006F2E2F">
            <w:pPr>
              <w:pStyle w:val="Default"/>
              <w:rPr>
                <w:rFonts w:ascii="Times New Roman" w:hAnsi="Times New Roman" w:cs="Times New Roman"/>
                <w:sz w:val="22"/>
                <w:szCs w:val="22"/>
              </w:rPr>
            </w:pPr>
          </w:p>
        </w:tc>
        <w:tc>
          <w:tcPr>
            <w:tcW w:w="1675" w:type="dxa"/>
          </w:tcPr>
          <w:p w:rsidR="006F2E2F" w:rsidRPr="008D0420" w:rsidRDefault="006F2E2F" w:rsidP="008D0420">
            <w:pPr>
              <w:pStyle w:val="Default"/>
              <w:jc w:val="center"/>
              <w:rPr>
                <w:rFonts w:ascii="Times New Roman" w:hAnsi="Times New Roman" w:cs="Times New Roman"/>
                <w:sz w:val="22"/>
                <w:szCs w:val="22"/>
              </w:rPr>
            </w:pPr>
            <w:r w:rsidRPr="008D0420">
              <w:rPr>
                <w:rFonts w:ascii="Times New Roman" w:hAnsi="Times New Roman" w:cs="Times New Roman"/>
                <w:sz w:val="22"/>
                <w:szCs w:val="22"/>
              </w:rPr>
              <w:t>&lt;10%</w:t>
            </w:r>
          </w:p>
        </w:tc>
      </w:tr>
      <w:tr w:rsidR="006F2E2F" w:rsidRPr="008D0420" w:rsidTr="008D0420">
        <w:trPr>
          <w:trHeight w:val="67"/>
          <w:jc w:val="center"/>
        </w:trPr>
        <w:tc>
          <w:tcPr>
            <w:tcW w:w="6799" w:type="dxa"/>
          </w:tcPr>
          <w:p w:rsidR="006F2E2F" w:rsidRPr="008D0420" w:rsidRDefault="006F2E2F">
            <w:pPr>
              <w:pStyle w:val="Default"/>
              <w:rPr>
                <w:rFonts w:ascii="Times New Roman" w:hAnsi="Times New Roman" w:cs="Times New Roman"/>
                <w:color w:val="auto"/>
                <w:sz w:val="22"/>
                <w:szCs w:val="22"/>
              </w:rPr>
            </w:pPr>
          </w:p>
          <w:p w:rsidR="006F2E2F" w:rsidRPr="008D0420" w:rsidRDefault="006F2E2F">
            <w:pPr>
              <w:pStyle w:val="Default"/>
              <w:rPr>
                <w:rFonts w:ascii="Times New Roman" w:hAnsi="Times New Roman" w:cs="Times New Roman"/>
                <w:sz w:val="22"/>
                <w:szCs w:val="22"/>
              </w:rPr>
            </w:pPr>
            <w:r w:rsidRPr="008D0420">
              <w:rPr>
                <w:rFonts w:ascii="Times New Roman" w:hAnsi="Times New Roman" w:cs="Times New Roman"/>
                <w:sz w:val="22"/>
                <w:szCs w:val="22"/>
              </w:rPr>
              <w:t xml:space="preserve">2) Percentage implementation of Annual Internal Audit Plan </w:t>
            </w:r>
          </w:p>
          <w:p w:rsidR="006F2E2F" w:rsidRPr="008D0420" w:rsidRDefault="006F2E2F">
            <w:pPr>
              <w:pStyle w:val="Default"/>
              <w:rPr>
                <w:rFonts w:ascii="Times New Roman" w:hAnsi="Times New Roman" w:cs="Times New Roman"/>
                <w:sz w:val="22"/>
                <w:szCs w:val="22"/>
              </w:rPr>
            </w:pPr>
          </w:p>
        </w:tc>
        <w:tc>
          <w:tcPr>
            <w:tcW w:w="1675" w:type="dxa"/>
          </w:tcPr>
          <w:p w:rsidR="006F2E2F" w:rsidRPr="008D0420" w:rsidRDefault="006F2E2F" w:rsidP="008D0420">
            <w:pPr>
              <w:pStyle w:val="Default"/>
              <w:jc w:val="center"/>
              <w:rPr>
                <w:rFonts w:ascii="Times New Roman" w:hAnsi="Times New Roman" w:cs="Times New Roman"/>
                <w:sz w:val="22"/>
                <w:szCs w:val="22"/>
              </w:rPr>
            </w:pPr>
            <w:r w:rsidRPr="008D0420">
              <w:rPr>
                <w:rFonts w:ascii="Times New Roman" w:hAnsi="Times New Roman" w:cs="Times New Roman"/>
                <w:sz w:val="22"/>
                <w:szCs w:val="22"/>
              </w:rPr>
              <w:t>90%</w:t>
            </w:r>
          </w:p>
        </w:tc>
      </w:tr>
      <w:tr w:rsidR="006F2E2F" w:rsidRPr="008D0420" w:rsidTr="008D0420">
        <w:trPr>
          <w:trHeight w:val="67"/>
          <w:jc w:val="center"/>
        </w:trPr>
        <w:tc>
          <w:tcPr>
            <w:tcW w:w="6799" w:type="dxa"/>
          </w:tcPr>
          <w:p w:rsidR="006F2E2F" w:rsidRPr="008D0420" w:rsidRDefault="006F2E2F">
            <w:pPr>
              <w:pStyle w:val="Default"/>
              <w:rPr>
                <w:rFonts w:ascii="Times New Roman" w:hAnsi="Times New Roman" w:cs="Times New Roman"/>
                <w:color w:val="auto"/>
                <w:sz w:val="22"/>
                <w:szCs w:val="22"/>
              </w:rPr>
            </w:pPr>
          </w:p>
          <w:p w:rsidR="006F2E2F" w:rsidRPr="008D0420" w:rsidRDefault="006F2E2F">
            <w:pPr>
              <w:pStyle w:val="Default"/>
              <w:rPr>
                <w:rFonts w:ascii="Times New Roman" w:hAnsi="Times New Roman" w:cs="Times New Roman"/>
                <w:sz w:val="22"/>
                <w:szCs w:val="22"/>
              </w:rPr>
            </w:pPr>
            <w:r w:rsidRPr="008D0420">
              <w:rPr>
                <w:rFonts w:ascii="Times New Roman" w:hAnsi="Times New Roman" w:cs="Times New Roman"/>
                <w:sz w:val="22"/>
                <w:szCs w:val="22"/>
              </w:rPr>
              <w:t xml:space="preserve">3) Percentage implementation of risk mitigating strategies </w:t>
            </w:r>
          </w:p>
          <w:p w:rsidR="006F2E2F" w:rsidRPr="008D0420" w:rsidRDefault="006F2E2F">
            <w:pPr>
              <w:pStyle w:val="Default"/>
              <w:rPr>
                <w:rFonts w:ascii="Times New Roman" w:hAnsi="Times New Roman" w:cs="Times New Roman"/>
                <w:sz w:val="22"/>
                <w:szCs w:val="22"/>
              </w:rPr>
            </w:pPr>
          </w:p>
        </w:tc>
        <w:tc>
          <w:tcPr>
            <w:tcW w:w="1675" w:type="dxa"/>
          </w:tcPr>
          <w:p w:rsidR="006F2E2F" w:rsidRPr="008D0420" w:rsidRDefault="006F2E2F" w:rsidP="008D0420">
            <w:pPr>
              <w:pStyle w:val="Default"/>
              <w:jc w:val="center"/>
              <w:rPr>
                <w:rFonts w:ascii="Times New Roman" w:hAnsi="Times New Roman" w:cs="Times New Roman"/>
                <w:sz w:val="22"/>
                <w:szCs w:val="22"/>
              </w:rPr>
            </w:pPr>
            <w:r w:rsidRPr="008D0420">
              <w:rPr>
                <w:rFonts w:ascii="Times New Roman" w:hAnsi="Times New Roman" w:cs="Times New Roman"/>
                <w:sz w:val="22"/>
                <w:szCs w:val="22"/>
              </w:rPr>
              <w:t>60%</w:t>
            </w:r>
          </w:p>
        </w:tc>
      </w:tr>
      <w:tr w:rsidR="006F2E2F" w:rsidRPr="008D0420" w:rsidTr="008D0420">
        <w:trPr>
          <w:trHeight w:val="169"/>
          <w:jc w:val="center"/>
        </w:trPr>
        <w:tc>
          <w:tcPr>
            <w:tcW w:w="6799" w:type="dxa"/>
          </w:tcPr>
          <w:p w:rsidR="006F2E2F" w:rsidRPr="008D0420" w:rsidRDefault="006F2E2F">
            <w:pPr>
              <w:pStyle w:val="Default"/>
              <w:rPr>
                <w:rFonts w:ascii="Times New Roman" w:hAnsi="Times New Roman" w:cs="Times New Roman"/>
                <w:color w:val="auto"/>
                <w:sz w:val="22"/>
                <w:szCs w:val="22"/>
              </w:rPr>
            </w:pPr>
          </w:p>
          <w:p w:rsidR="006F2E2F" w:rsidRPr="008D0420" w:rsidRDefault="006F2E2F">
            <w:pPr>
              <w:pStyle w:val="Default"/>
              <w:rPr>
                <w:rFonts w:ascii="Times New Roman" w:hAnsi="Times New Roman" w:cs="Times New Roman"/>
                <w:sz w:val="22"/>
                <w:szCs w:val="22"/>
              </w:rPr>
            </w:pPr>
            <w:r w:rsidRPr="008D0420">
              <w:rPr>
                <w:rFonts w:ascii="Times New Roman" w:hAnsi="Times New Roman" w:cs="Times New Roman"/>
                <w:sz w:val="22"/>
                <w:szCs w:val="22"/>
              </w:rPr>
              <w:t xml:space="preserve">4) Percentage of compliance of SMS financial interests submitted through e-disclosures </w:t>
            </w:r>
            <w:r w:rsidRPr="008D0420">
              <w:rPr>
                <w:rFonts w:ascii="Times New Roman" w:hAnsi="Times New Roman" w:cs="Times New Roman"/>
                <w:b/>
                <w:bCs/>
                <w:i/>
                <w:iCs/>
                <w:sz w:val="22"/>
                <w:szCs w:val="22"/>
              </w:rPr>
              <w:t xml:space="preserve">(new) </w:t>
            </w:r>
          </w:p>
          <w:p w:rsidR="006F2E2F" w:rsidRPr="008D0420" w:rsidRDefault="006F2E2F">
            <w:pPr>
              <w:pStyle w:val="Default"/>
              <w:rPr>
                <w:rFonts w:ascii="Times New Roman" w:hAnsi="Times New Roman" w:cs="Times New Roman"/>
                <w:sz w:val="22"/>
                <w:szCs w:val="22"/>
              </w:rPr>
            </w:pPr>
          </w:p>
        </w:tc>
        <w:tc>
          <w:tcPr>
            <w:tcW w:w="1675" w:type="dxa"/>
          </w:tcPr>
          <w:p w:rsidR="006F2E2F" w:rsidRPr="008D0420" w:rsidRDefault="006F2E2F" w:rsidP="008D0420">
            <w:pPr>
              <w:pStyle w:val="Default"/>
              <w:jc w:val="center"/>
              <w:rPr>
                <w:rFonts w:ascii="Times New Roman" w:hAnsi="Times New Roman" w:cs="Times New Roman"/>
                <w:sz w:val="22"/>
                <w:szCs w:val="22"/>
              </w:rPr>
            </w:pPr>
            <w:r w:rsidRPr="008D0420">
              <w:rPr>
                <w:rFonts w:ascii="Times New Roman" w:hAnsi="Times New Roman" w:cs="Times New Roman"/>
                <w:sz w:val="22"/>
                <w:szCs w:val="22"/>
              </w:rPr>
              <w:t>100%</w:t>
            </w:r>
          </w:p>
        </w:tc>
      </w:tr>
      <w:tr w:rsidR="006F2E2F" w:rsidRPr="008D0420" w:rsidTr="008D0420">
        <w:trPr>
          <w:trHeight w:val="67"/>
          <w:jc w:val="center"/>
        </w:trPr>
        <w:tc>
          <w:tcPr>
            <w:tcW w:w="6799" w:type="dxa"/>
          </w:tcPr>
          <w:p w:rsidR="006F2E2F" w:rsidRPr="008D0420" w:rsidRDefault="006F2E2F">
            <w:pPr>
              <w:pStyle w:val="Default"/>
              <w:rPr>
                <w:rFonts w:ascii="Times New Roman" w:hAnsi="Times New Roman" w:cs="Times New Roman"/>
                <w:color w:val="auto"/>
                <w:sz w:val="22"/>
                <w:szCs w:val="22"/>
              </w:rPr>
            </w:pPr>
          </w:p>
          <w:p w:rsidR="006F2E2F" w:rsidRPr="008D0420" w:rsidRDefault="006F2E2F">
            <w:pPr>
              <w:pStyle w:val="Default"/>
              <w:rPr>
                <w:rFonts w:ascii="Times New Roman" w:hAnsi="Times New Roman" w:cs="Times New Roman"/>
                <w:sz w:val="22"/>
                <w:szCs w:val="22"/>
              </w:rPr>
            </w:pPr>
            <w:r w:rsidRPr="008D0420">
              <w:rPr>
                <w:rFonts w:ascii="Times New Roman" w:hAnsi="Times New Roman" w:cs="Times New Roman"/>
                <w:sz w:val="22"/>
                <w:szCs w:val="22"/>
              </w:rPr>
              <w:t xml:space="preserve">5) Percentage implementation of ICT Infrastructure Plan </w:t>
            </w:r>
          </w:p>
          <w:p w:rsidR="006F2E2F" w:rsidRPr="008D0420" w:rsidRDefault="006F2E2F">
            <w:pPr>
              <w:pStyle w:val="Default"/>
              <w:rPr>
                <w:rFonts w:ascii="Times New Roman" w:hAnsi="Times New Roman" w:cs="Times New Roman"/>
                <w:sz w:val="22"/>
                <w:szCs w:val="22"/>
              </w:rPr>
            </w:pPr>
          </w:p>
        </w:tc>
        <w:tc>
          <w:tcPr>
            <w:tcW w:w="1675" w:type="dxa"/>
          </w:tcPr>
          <w:p w:rsidR="006F2E2F" w:rsidRPr="008D0420" w:rsidRDefault="006F2E2F" w:rsidP="008D0420">
            <w:pPr>
              <w:pStyle w:val="Default"/>
              <w:jc w:val="center"/>
              <w:rPr>
                <w:rFonts w:ascii="Times New Roman" w:hAnsi="Times New Roman" w:cs="Times New Roman"/>
                <w:sz w:val="22"/>
                <w:szCs w:val="22"/>
              </w:rPr>
            </w:pPr>
            <w:r w:rsidRPr="008D0420">
              <w:rPr>
                <w:rFonts w:ascii="Times New Roman" w:hAnsi="Times New Roman" w:cs="Times New Roman"/>
                <w:sz w:val="22"/>
                <w:szCs w:val="22"/>
              </w:rPr>
              <w:t>90%</w:t>
            </w:r>
          </w:p>
        </w:tc>
      </w:tr>
    </w:tbl>
    <w:p w:rsidR="006F2E2F" w:rsidRPr="008D0420" w:rsidRDefault="008D0420" w:rsidP="006F2E2F">
      <w:pPr>
        <w:spacing w:after="0" w:line="276" w:lineRule="auto"/>
        <w:jc w:val="both"/>
        <w:rPr>
          <w:rFonts w:ascii="Times New Roman" w:eastAsia="Calibri" w:hAnsi="Times New Roman" w:cs="Times New Roman"/>
          <w:b/>
        </w:rPr>
      </w:pPr>
      <w:r>
        <w:rPr>
          <w:rFonts w:ascii="Times New Roman" w:eastAsia="Calibri" w:hAnsi="Times New Roman" w:cs="Times New Roman"/>
          <w:sz w:val="24"/>
          <w:szCs w:val="24"/>
        </w:rPr>
        <w:t xml:space="preserve">                                                                                                      </w:t>
      </w:r>
      <w:r w:rsidRPr="008D0420">
        <w:rPr>
          <w:rFonts w:ascii="Times New Roman" w:eastAsia="Calibri" w:hAnsi="Times New Roman" w:cs="Times New Roman"/>
          <w:b/>
        </w:rPr>
        <w:t>Source: IPID 2020/21 APP</w:t>
      </w:r>
    </w:p>
    <w:p w:rsidR="006F2E2F" w:rsidRDefault="006F2E2F" w:rsidP="00EB6B72">
      <w:pPr>
        <w:spacing w:line="276" w:lineRule="auto"/>
        <w:jc w:val="both"/>
        <w:rPr>
          <w:rFonts w:ascii="Times New Roman" w:hAnsi="Times New Roman" w:cs="Times New Roman"/>
          <w:b/>
          <w:sz w:val="24"/>
          <w:szCs w:val="24"/>
        </w:rPr>
      </w:pPr>
    </w:p>
    <w:p w:rsidR="008D0420" w:rsidRPr="008D0420" w:rsidRDefault="008D0420" w:rsidP="008D0420">
      <w:pPr>
        <w:spacing w:line="276" w:lineRule="auto"/>
        <w:jc w:val="both"/>
        <w:rPr>
          <w:rFonts w:ascii="Times New Roman" w:hAnsi="Times New Roman" w:cs="Times New Roman"/>
          <w:sz w:val="24"/>
          <w:szCs w:val="24"/>
        </w:rPr>
      </w:pPr>
      <w:r w:rsidRPr="008D0420">
        <w:rPr>
          <w:rFonts w:ascii="Times New Roman" w:hAnsi="Times New Roman" w:cs="Times New Roman"/>
          <w:sz w:val="24"/>
          <w:szCs w:val="24"/>
        </w:rPr>
        <w:t>Two performance indicators were removed in 2020/21 when compared to the previous year, including -</w:t>
      </w:r>
    </w:p>
    <w:p w:rsidR="008D0420" w:rsidRPr="008D0420" w:rsidRDefault="008D0420" w:rsidP="008D0420">
      <w:pPr>
        <w:pStyle w:val="ListParagraph"/>
        <w:numPr>
          <w:ilvl w:val="0"/>
          <w:numId w:val="15"/>
        </w:numPr>
        <w:spacing w:line="276" w:lineRule="auto"/>
        <w:jc w:val="both"/>
        <w:rPr>
          <w:rFonts w:ascii="Times New Roman" w:hAnsi="Times New Roman" w:cs="Times New Roman"/>
          <w:sz w:val="24"/>
          <w:szCs w:val="24"/>
        </w:rPr>
      </w:pPr>
      <w:r w:rsidRPr="008D0420">
        <w:rPr>
          <w:rFonts w:ascii="Times New Roman" w:hAnsi="Times New Roman" w:cs="Times New Roman"/>
          <w:sz w:val="24"/>
          <w:szCs w:val="24"/>
        </w:rPr>
        <w:t>To obtain positive audit outcome</w:t>
      </w:r>
    </w:p>
    <w:p w:rsidR="008D0420" w:rsidRPr="008D0420" w:rsidRDefault="008D0420" w:rsidP="008D0420">
      <w:pPr>
        <w:pStyle w:val="ListParagraph"/>
        <w:numPr>
          <w:ilvl w:val="0"/>
          <w:numId w:val="15"/>
        </w:numPr>
        <w:spacing w:line="276" w:lineRule="auto"/>
        <w:jc w:val="both"/>
        <w:rPr>
          <w:rFonts w:ascii="Times New Roman" w:hAnsi="Times New Roman" w:cs="Times New Roman"/>
          <w:sz w:val="24"/>
          <w:szCs w:val="24"/>
        </w:rPr>
      </w:pPr>
      <w:r w:rsidRPr="008D0420">
        <w:rPr>
          <w:rFonts w:ascii="Times New Roman" w:hAnsi="Times New Roman" w:cs="Times New Roman"/>
          <w:sz w:val="24"/>
          <w:szCs w:val="24"/>
        </w:rPr>
        <w:t>Seven strategic training areas undertaken as per IPIDs Training Plan</w:t>
      </w:r>
    </w:p>
    <w:p w:rsidR="006F2E2F" w:rsidRDefault="008D0420" w:rsidP="008D0420">
      <w:pPr>
        <w:spacing w:line="276" w:lineRule="auto"/>
        <w:jc w:val="both"/>
        <w:rPr>
          <w:rFonts w:ascii="Times New Roman" w:hAnsi="Times New Roman" w:cs="Times New Roman"/>
          <w:sz w:val="24"/>
          <w:szCs w:val="24"/>
        </w:rPr>
      </w:pPr>
      <w:r w:rsidRPr="008D0420">
        <w:rPr>
          <w:rFonts w:ascii="Times New Roman" w:hAnsi="Times New Roman" w:cs="Times New Roman"/>
          <w:sz w:val="24"/>
          <w:szCs w:val="24"/>
        </w:rPr>
        <w:t>A new performance indicator was added to measure compliance by members of the Senior Management Structure (SMS) on disclosure of financial interests.</w:t>
      </w:r>
    </w:p>
    <w:p w:rsidR="00C930A5" w:rsidRDefault="00C930A5" w:rsidP="008D0420">
      <w:pPr>
        <w:spacing w:line="276" w:lineRule="auto"/>
        <w:jc w:val="both"/>
        <w:rPr>
          <w:rFonts w:ascii="Times New Roman" w:hAnsi="Times New Roman" w:cs="Times New Roman"/>
          <w:b/>
          <w:sz w:val="24"/>
          <w:szCs w:val="24"/>
        </w:rPr>
      </w:pPr>
    </w:p>
    <w:p w:rsidR="008D0420" w:rsidRPr="008D0420" w:rsidRDefault="00B110E4" w:rsidP="008D0420">
      <w:pPr>
        <w:spacing w:line="276" w:lineRule="auto"/>
        <w:jc w:val="both"/>
        <w:rPr>
          <w:rFonts w:ascii="Times New Roman" w:hAnsi="Times New Roman" w:cs="Times New Roman"/>
          <w:b/>
          <w:sz w:val="24"/>
          <w:szCs w:val="24"/>
        </w:rPr>
      </w:pPr>
      <w:r>
        <w:rPr>
          <w:rFonts w:ascii="Times New Roman" w:hAnsi="Times New Roman" w:cs="Times New Roman"/>
          <w:b/>
          <w:sz w:val="24"/>
          <w:szCs w:val="24"/>
        </w:rPr>
        <w:t>3.2.3</w:t>
      </w:r>
      <w:r>
        <w:rPr>
          <w:rFonts w:ascii="Times New Roman" w:hAnsi="Times New Roman" w:cs="Times New Roman"/>
          <w:b/>
          <w:sz w:val="24"/>
          <w:szCs w:val="24"/>
        </w:rPr>
        <w:tab/>
      </w:r>
      <w:r w:rsidR="008D0420" w:rsidRPr="008D0420">
        <w:rPr>
          <w:rFonts w:ascii="Times New Roman" w:hAnsi="Times New Roman" w:cs="Times New Roman"/>
          <w:b/>
          <w:sz w:val="24"/>
          <w:szCs w:val="24"/>
        </w:rPr>
        <w:t>Investigation and Information Management Programme</w:t>
      </w:r>
    </w:p>
    <w:p w:rsidR="008D0420" w:rsidRPr="008D0420" w:rsidRDefault="008D0420" w:rsidP="008D0420">
      <w:pPr>
        <w:spacing w:line="276" w:lineRule="auto"/>
        <w:jc w:val="both"/>
        <w:rPr>
          <w:rFonts w:ascii="Times New Roman" w:hAnsi="Times New Roman" w:cs="Times New Roman"/>
          <w:sz w:val="24"/>
          <w:szCs w:val="24"/>
        </w:rPr>
      </w:pPr>
      <w:r w:rsidRPr="008D0420">
        <w:rPr>
          <w:rFonts w:ascii="Times New Roman" w:hAnsi="Times New Roman" w:cs="Times New Roman"/>
          <w:sz w:val="24"/>
          <w:szCs w:val="24"/>
        </w:rPr>
        <w:t xml:space="preserve">The purpose of the Investigation and Information Management Programme is to strengthen the Department’s oversight role over the police service by conducting investigations, in line with the powers granted by the Independent Police Investigative Directorate Act No. 1 of 2011. This includes making appropriate recommendations on investigations in the various investigation categories and submitting feedback to complainants. The Programme will also enhance </w:t>
      </w:r>
      <w:r w:rsidRPr="008D0420">
        <w:rPr>
          <w:rFonts w:ascii="Times New Roman" w:hAnsi="Times New Roman" w:cs="Times New Roman"/>
          <w:sz w:val="24"/>
          <w:szCs w:val="24"/>
        </w:rPr>
        <w:lastRenderedPageBreak/>
        <w:t>efficiency in case management and maintain relationships with other state security agencies, such as the SAPS, the National Prosecuting Authority (NPA), Civilian Secretariat for Police (CSP) and community stakeholders, through on-going national and provincial engagement forums. The core service delivery programme of a Department normally receives the largest portion of the Vote. As such, the Investigation and Information Management Programme received 64.9% of the total Department’s budget.</w:t>
      </w:r>
    </w:p>
    <w:p w:rsidR="008D0420" w:rsidRDefault="008D0420" w:rsidP="008D0420">
      <w:pPr>
        <w:spacing w:line="276" w:lineRule="auto"/>
        <w:jc w:val="both"/>
        <w:rPr>
          <w:rFonts w:ascii="Times New Roman" w:hAnsi="Times New Roman" w:cs="Times New Roman"/>
          <w:sz w:val="24"/>
          <w:szCs w:val="24"/>
        </w:rPr>
      </w:pPr>
      <w:r w:rsidRPr="008D0420">
        <w:rPr>
          <w:rFonts w:ascii="Times New Roman" w:hAnsi="Times New Roman" w:cs="Times New Roman"/>
          <w:sz w:val="24"/>
          <w:szCs w:val="24"/>
        </w:rPr>
        <w:t>The table below summarises the programme performance indicators and targets of the Investigation and Information Management Programme:</w:t>
      </w:r>
    </w:p>
    <w:p w:rsidR="008D0420" w:rsidRPr="008D0420" w:rsidRDefault="008D0420" w:rsidP="008D0420">
      <w:pPr>
        <w:pStyle w:val="Default"/>
        <w:rPr>
          <w:rFonts w:ascii="Times New Roman" w:hAnsi="Times New Roman" w:cs="Times New Roman"/>
          <w:b/>
          <w:color w:val="auto"/>
        </w:rPr>
      </w:pPr>
      <w:r w:rsidRPr="008D0420">
        <w:rPr>
          <w:rFonts w:ascii="Times New Roman" w:hAnsi="Times New Roman" w:cs="Times New Roman"/>
          <w:b/>
          <w:color w:val="auto"/>
        </w:rPr>
        <w:t>Table 3: Programme Performance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1984"/>
        <w:gridCol w:w="1895"/>
      </w:tblGrid>
      <w:tr w:rsidR="008D0420" w:rsidRPr="008D0420" w:rsidTr="00C930A5">
        <w:trPr>
          <w:trHeight w:val="165"/>
          <w:jc w:val="center"/>
        </w:trPr>
        <w:tc>
          <w:tcPr>
            <w:tcW w:w="4923" w:type="dxa"/>
          </w:tcPr>
          <w:p w:rsidR="008D0420" w:rsidRPr="008D0420" w:rsidRDefault="008D0420">
            <w:pPr>
              <w:pStyle w:val="Default"/>
              <w:rPr>
                <w:rFonts w:ascii="Times New Roman" w:hAnsi="Times New Roman" w:cs="Times New Roman"/>
                <w:sz w:val="22"/>
                <w:szCs w:val="22"/>
              </w:rPr>
            </w:pPr>
            <w:r w:rsidRPr="008D0420">
              <w:rPr>
                <w:rFonts w:ascii="Times New Roman" w:hAnsi="Times New Roman" w:cs="Times New Roman"/>
                <w:b/>
                <w:bCs/>
                <w:sz w:val="22"/>
                <w:szCs w:val="22"/>
              </w:rPr>
              <w:t xml:space="preserve">Performance indicators </w:t>
            </w:r>
          </w:p>
        </w:tc>
        <w:tc>
          <w:tcPr>
            <w:tcW w:w="3879" w:type="dxa"/>
            <w:gridSpan w:val="2"/>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b/>
                <w:bCs/>
                <w:sz w:val="22"/>
                <w:szCs w:val="22"/>
              </w:rPr>
              <w:t>Targets</w:t>
            </w:r>
          </w:p>
        </w:tc>
      </w:tr>
      <w:tr w:rsidR="008D0420" w:rsidRPr="008D0420" w:rsidTr="00C930A5">
        <w:trPr>
          <w:trHeight w:val="93"/>
          <w:jc w:val="center"/>
        </w:trPr>
        <w:tc>
          <w:tcPr>
            <w:tcW w:w="4923" w:type="dxa"/>
          </w:tcPr>
          <w:p w:rsidR="008D0420" w:rsidRPr="008D0420" w:rsidRDefault="008D0420">
            <w:pPr>
              <w:pStyle w:val="Default"/>
              <w:rPr>
                <w:rFonts w:ascii="Times New Roman" w:hAnsi="Times New Roman" w:cs="Times New Roman"/>
                <w:sz w:val="22"/>
                <w:szCs w:val="22"/>
              </w:rPr>
            </w:pPr>
          </w:p>
        </w:tc>
        <w:tc>
          <w:tcPr>
            <w:tcW w:w="1984" w:type="dxa"/>
          </w:tcPr>
          <w:p w:rsidR="008D0420" w:rsidRPr="008D0420" w:rsidRDefault="008D0420" w:rsidP="00C930A5">
            <w:pPr>
              <w:pStyle w:val="Default"/>
              <w:tabs>
                <w:tab w:val="left" w:pos="495"/>
                <w:tab w:val="center" w:pos="1831"/>
              </w:tabs>
              <w:rPr>
                <w:rFonts w:ascii="Times New Roman" w:hAnsi="Times New Roman" w:cs="Times New Roman"/>
                <w:sz w:val="22"/>
                <w:szCs w:val="22"/>
              </w:rPr>
            </w:pPr>
            <w:r>
              <w:rPr>
                <w:rFonts w:ascii="Times New Roman" w:hAnsi="Times New Roman" w:cs="Times New Roman"/>
                <w:b/>
                <w:bCs/>
                <w:sz w:val="22"/>
                <w:szCs w:val="22"/>
              </w:rPr>
              <w:tab/>
            </w:r>
            <w:r w:rsidR="00C930A5" w:rsidRPr="008D0420">
              <w:rPr>
                <w:rFonts w:ascii="Times New Roman" w:hAnsi="Times New Roman" w:cs="Times New Roman"/>
                <w:b/>
                <w:bCs/>
                <w:sz w:val="22"/>
                <w:szCs w:val="22"/>
              </w:rPr>
              <w:t>2019/20</w:t>
            </w:r>
            <w:r w:rsidR="00C930A5">
              <w:rPr>
                <w:rFonts w:ascii="Times New Roman" w:hAnsi="Times New Roman" w:cs="Times New Roman"/>
                <w:b/>
                <w:bCs/>
                <w:sz w:val="22"/>
                <w:szCs w:val="22"/>
              </w:rPr>
              <w:tab/>
            </w:r>
          </w:p>
        </w:tc>
        <w:tc>
          <w:tcPr>
            <w:tcW w:w="1895" w:type="dxa"/>
          </w:tcPr>
          <w:p w:rsidR="008D0420" w:rsidRPr="008D0420" w:rsidRDefault="00C930A5" w:rsidP="00C930A5">
            <w:pPr>
              <w:pStyle w:val="Default"/>
              <w:tabs>
                <w:tab w:val="center" w:pos="1831"/>
              </w:tabs>
              <w:jc w:val="center"/>
              <w:rPr>
                <w:rFonts w:ascii="Times New Roman" w:hAnsi="Times New Roman" w:cs="Times New Roman"/>
                <w:sz w:val="22"/>
                <w:szCs w:val="22"/>
              </w:rPr>
            </w:pPr>
            <w:r w:rsidRPr="008D0420">
              <w:rPr>
                <w:rFonts w:ascii="Times New Roman" w:hAnsi="Times New Roman" w:cs="Times New Roman"/>
                <w:b/>
                <w:bCs/>
                <w:sz w:val="22"/>
                <w:szCs w:val="22"/>
              </w:rPr>
              <w:t>2020/21</w:t>
            </w:r>
          </w:p>
        </w:tc>
      </w:tr>
      <w:tr w:rsidR="008D0420" w:rsidRPr="008D0420" w:rsidTr="00C930A5">
        <w:trPr>
          <w:trHeight w:val="233"/>
          <w:jc w:val="center"/>
        </w:trPr>
        <w:tc>
          <w:tcPr>
            <w:tcW w:w="4923" w:type="dxa"/>
          </w:tcPr>
          <w:p w:rsidR="008D0420" w:rsidRPr="008D0420" w:rsidRDefault="008D0420">
            <w:pPr>
              <w:pStyle w:val="Default"/>
              <w:rPr>
                <w:rFonts w:ascii="Times New Roman" w:hAnsi="Times New Roman" w:cs="Times New Roman"/>
                <w:color w:val="auto"/>
                <w:sz w:val="22"/>
                <w:szCs w:val="22"/>
              </w:rPr>
            </w:pPr>
          </w:p>
          <w:p w:rsidR="008D0420" w:rsidRPr="008D0420" w:rsidRDefault="008D0420">
            <w:pPr>
              <w:pStyle w:val="Default"/>
              <w:rPr>
                <w:rFonts w:ascii="Times New Roman" w:hAnsi="Times New Roman" w:cs="Times New Roman"/>
                <w:sz w:val="22"/>
                <w:szCs w:val="22"/>
              </w:rPr>
            </w:pPr>
            <w:r w:rsidRPr="008D0420">
              <w:rPr>
                <w:rFonts w:ascii="Times New Roman" w:hAnsi="Times New Roman" w:cs="Times New Roman"/>
                <w:sz w:val="22"/>
                <w:szCs w:val="22"/>
              </w:rPr>
              <w:t xml:space="preserve">1) Number of investigations of deaths in police custody that are decision ready </w:t>
            </w:r>
          </w:p>
          <w:p w:rsidR="008D0420" w:rsidRPr="008D0420" w:rsidRDefault="008D0420">
            <w:pPr>
              <w:pStyle w:val="Default"/>
              <w:rPr>
                <w:rFonts w:ascii="Times New Roman" w:hAnsi="Times New Roman" w:cs="Times New Roman"/>
                <w:sz w:val="22"/>
                <w:szCs w:val="22"/>
              </w:rPr>
            </w:pPr>
          </w:p>
        </w:tc>
        <w:tc>
          <w:tcPr>
            <w:tcW w:w="1984"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150</w:t>
            </w:r>
          </w:p>
        </w:tc>
        <w:tc>
          <w:tcPr>
            <w:tcW w:w="1895"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180</w:t>
            </w:r>
          </w:p>
        </w:tc>
      </w:tr>
      <w:tr w:rsidR="008D0420" w:rsidRPr="008D0420" w:rsidTr="00C930A5">
        <w:trPr>
          <w:trHeight w:val="232"/>
          <w:jc w:val="center"/>
        </w:trPr>
        <w:tc>
          <w:tcPr>
            <w:tcW w:w="4923" w:type="dxa"/>
          </w:tcPr>
          <w:p w:rsidR="008D0420" w:rsidRPr="008D0420" w:rsidRDefault="008D0420">
            <w:pPr>
              <w:pStyle w:val="Default"/>
              <w:rPr>
                <w:rFonts w:ascii="Times New Roman" w:hAnsi="Times New Roman" w:cs="Times New Roman"/>
                <w:color w:val="auto"/>
                <w:sz w:val="22"/>
                <w:szCs w:val="22"/>
              </w:rPr>
            </w:pPr>
          </w:p>
          <w:p w:rsidR="008D0420" w:rsidRPr="008D0420" w:rsidRDefault="008D0420">
            <w:pPr>
              <w:pStyle w:val="Default"/>
              <w:rPr>
                <w:rFonts w:ascii="Times New Roman" w:hAnsi="Times New Roman" w:cs="Times New Roman"/>
                <w:sz w:val="22"/>
                <w:szCs w:val="22"/>
              </w:rPr>
            </w:pPr>
            <w:r w:rsidRPr="008D0420">
              <w:rPr>
                <w:rFonts w:ascii="Times New Roman" w:hAnsi="Times New Roman" w:cs="Times New Roman"/>
                <w:sz w:val="22"/>
                <w:szCs w:val="22"/>
              </w:rPr>
              <w:t xml:space="preserve">2) Number of investigations of death as a result of police action that are decision ready </w:t>
            </w:r>
          </w:p>
          <w:p w:rsidR="008D0420" w:rsidRPr="008D0420" w:rsidRDefault="008D0420">
            <w:pPr>
              <w:pStyle w:val="Default"/>
              <w:rPr>
                <w:rFonts w:ascii="Times New Roman" w:hAnsi="Times New Roman" w:cs="Times New Roman"/>
                <w:sz w:val="22"/>
                <w:szCs w:val="22"/>
              </w:rPr>
            </w:pPr>
          </w:p>
        </w:tc>
        <w:tc>
          <w:tcPr>
            <w:tcW w:w="1984"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130</w:t>
            </w:r>
          </w:p>
        </w:tc>
        <w:tc>
          <w:tcPr>
            <w:tcW w:w="1895" w:type="dxa"/>
          </w:tcPr>
          <w:p w:rsidR="008D0420" w:rsidRPr="008D0420" w:rsidRDefault="00C930A5" w:rsidP="00C930A5">
            <w:pPr>
              <w:pStyle w:val="Default"/>
              <w:jc w:val="center"/>
              <w:rPr>
                <w:rFonts w:ascii="Times New Roman" w:hAnsi="Times New Roman" w:cs="Times New Roman"/>
                <w:sz w:val="22"/>
                <w:szCs w:val="22"/>
              </w:rPr>
            </w:pPr>
            <w:r>
              <w:rPr>
                <w:rFonts w:ascii="Times New Roman" w:hAnsi="Times New Roman" w:cs="Times New Roman"/>
                <w:sz w:val="22"/>
                <w:szCs w:val="22"/>
              </w:rPr>
              <w:t>280</w:t>
            </w:r>
          </w:p>
        </w:tc>
      </w:tr>
      <w:tr w:rsidR="008D0420" w:rsidRPr="008D0420" w:rsidTr="00C930A5">
        <w:trPr>
          <w:trHeight w:val="233"/>
          <w:jc w:val="center"/>
        </w:trPr>
        <w:tc>
          <w:tcPr>
            <w:tcW w:w="4923" w:type="dxa"/>
          </w:tcPr>
          <w:p w:rsidR="008D0420" w:rsidRPr="008D0420" w:rsidRDefault="008D0420">
            <w:pPr>
              <w:pStyle w:val="Default"/>
              <w:rPr>
                <w:rFonts w:ascii="Times New Roman" w:hAnsi="Times New Roman" w:cs="Times New Roman"/>
                <w:color w:val="auto"/>
                <w:sz w:val="22"/>
                <w:szCs w:val="22"/>
              </w:rPr>
            </w:pPr>
          </w:p>
          <w:p w:rsidR="008D0420" w:rsidRPr="008D0420" w:rsidRDefault="008D0420">
            <w:pPr>
              <w:pStyle w:val="Default"/>
              <w:rPr>
                <w:rFonts w:ascii="Times New Roman" w:hAnsi="Times New Roman" w:cs="Times New Roman"/>
                <w:sz w:val="22"/>
                <w:szCs w:val="22"/>
              </w:rPr>
            </w:pPr>
            <w:r w:rsidRPr="008D0420">
              <w:rPr>
                <w:rFonts w:ascii="Times New Roman" w:hAnsi="Times New Roman" w:cs="Times New Roman"/>
                <w:sz w:val="22"/>
                <w:szCs w:val="22"/>
              </w:rPr>
              <w:t xml:space="preserve">3) Number of cases for investigation of the discharge of an official firearm by a police officer that are decision ready </w:t>
            </w:r>
          </w:p>
          <w:p w:rsidR="008D0420" w:rsidRPr="008D0420" w:rsidRDefault="008D0420">
            <w:pPr>
              <w:pStyle w:val="Default"/>
              <w:rPr>
                <w:rFonts w:ascii="Times New Roman" w:hAnsi="Times New Roman" w:cs="Times New Roman"/>
                <w:sz w:val="22"/>
                <w:szCs w:val="22"/>
              </w:rPr>
            </w:pPr>
          </w:p>
        </w:tc>
        <w:tc>
          <w:tcPr>
            <w:tcW w:w="1984"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150</w:t>
            </w:r>
          </w:p>
        </w:tc>
        <w:tc>
          <w:tcPr>
            <w:tcW w:w="1895"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370</w:t>
            </w:r>
          </w:p>
        </w:tc>
      </w:tr>
      <w:tr w:rsidR="008D0420" w:rsidRPr="008D0420" w:rsidTr="00C930A5">
        <w:trPr>
          <w:trHeight w:val="232"/>
          <w:jc w:val="center"/>
        </w:trPr>
        <w:tc>
          <w:tcPr>
            <w:tcW w:w="4923" w:type="dxa"/>
          </w:tcPr>
          <w:p w:rsidR="008D0420" w:rsidRPr="008D0420" w:rsidRDefault="008D0420">
            <w:pPr>
              <w:pStyle w:val="Default"/>
              <w:rPr>
                <w:rFonts w:ascii="Times New Roman" w:hAnsi="Times New Roman" w:cs="Times New Roman"/>
                <w:color w:val="auto"/>
                <w:sz w:val="22"/>
                <w:szCs w:val="22"/>
              </w:rPr>
            </w:pPr>
          </w:p>
          <w:p w:rsidR="008D0420" w:rsidRPr="008D0420" w:rsidRDefault="008D0420">
            <w:pPr>
              <w:pStyle w:val="Default"/>
              <w:rPr>
                <w:rFonts w:ascii="Times New Roman" w:hAnsi="Times New Roman" w:cs="Times New Roman"/>
                <w:sz w:val="22"/>
                <w:szCs w:val="22"/>
              </w:rPr>
            </w:pPr>
            <w:r w:rsidRPr="008D0420">
              <w:rPr>
                <w:rFonts w:ascii="Times New Roman" w:hAnsi="Times New Roman" w:cs="Times New Roman"/>
                <w:sz w:val="22"/>
                <w:szCs w:val="22"/>
              </w:rPr>
              <w:t xml:space="preserve">4) Number of investigations of rape by a police officer that are decision ready </w:t>
            </w:r>
          </w:p>
          <w:p w:rsidR="008D0420" w:rsidRPr="008D0420" w:rsidRDefault="008D0420">
            <w:pPr>
              <w:pStyle w:val="Default"/>
              <w:rPr>
                <w:rFonts w:ascii="Times New Roman" w:hAnsi="Times New Roman" w:cs="Times New Roman"/>
                <w:sz w:val="22"/>
                <w:szCs w:val="22"/>
              </w:rPr>
            </w:pPr>
          </w:p>
        </w:tc>
        <w:tc>
          <w:tcPr>
            <w:tcW w:w="1984"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69</w:t>
            </w:r>
          </w:p>
        </w:tc>
        <w:tc>
          <w:tcPr>
            <w:tcW w:w="1895"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130</w:t>
            </w:r>
          </w:p>
        </w:tc>
      </w:tr>
      <w:tr w:rsidR="008D0420" w:rsidRPr="008D0420" w:rsidTr="00C930A5">
        <w:trPr>
          <w:trHeight w:val="233"/>
          <w:jc w:val="center"/>
        </w:trPr>
        <w:tc>
          <w:tcPr>
            <w:tcW w:w="4923" w:type="dxa"/>
          </w:tcPr>
          <w:p w:rsidR="008D0420" w:rsidRPr="008D0420" w:rsidRDefault="008D0420">
            <w:pPr>
              <w:pStyle w:val="Default"/>
              <w:rPr>
                <w:rFonts w:ascii="Times New Roman" w:hAnsi="Times New Roman" w:cs="Times New Roman"/>
                <w:color w:val="auto"/>
                <w:sz w:val="22"/>
                <w:szCs w:val="22"/>
              </w:rPr>
            </w:pPr>
          </w:p>
          <w:p w:rsidR="008D0420" w:rsidRPr="008D0420" w:rsidRDefault="008D0420">
            <w:pPr>
              <w:pStyle w:val="Default"/>
              <w:rPr>
                <w:rFonts w:ascii="Times New Roman" w:hAnsi="Times New Roman" w:cs="Times New Roman"/>
                <w:sz w:val="22"/>
                <w:szCs w:val="22"/>
              </w:rPr>
            </w:pPr>
            <w:r w:rsidRPr="008D0420">
              <w:rPr>
                <w:rFonts w:ascii="Times New Roman" w:hAnsi="Times New Roman" w:cs="Times New Roman"/>
                <w:sz w:val="22"/>
                <w:szCs w:val="22"/>
              </w:rPr>
              <w:t xml:space="preserve">5) Number of investigations of rape while in police custody that are decision ready </w:t>
            </w:r>
          </w:p>
          <w:p w:rsidR="008D0420" w:rsidRPr="008D0420" w:rsidRDefault="008D0420">
            <w:pPr>
              <w:pStyle w:val="Default"/>
              <w:rPr>
                <w:rFonts w:ascii="Times New Roman" w:hAnsi="Times New Roman" w:cs="Times New Roman"/>
                <w:sz w:val="22"/>
                <w:szCs w:val="22"/>
              </w:rPr>
            </w:pPr>
          </w:p>
        </w:tc>
        <w:tc>
          <w:tcPr>
            <w:tcW w:w="1984"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10</w:t>
            </w:r>
          </w:p>
        </w:tc>
        <w:tc>
          <w:tcPr>
            <w:tcW w:w="1895"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15</w:t>
            </w:r>
          </w:p>
        </w:tc>
      </w:tr>
      <w:tr w:rsidR="008D0420" w:rsidRPr="008D0420" w:rsidTr="00C930A5">
        <w:trPr>
          <w:trHeight w:val="98"/>
          <w:jc w:val="center"/>
        </w:trPr>
        <w:tc>
          <w:tcPr>
            <w:tcW w:w="4923" w:type="dxa"/>
          </w:tcPr>
          <w:p w:rsidR="008D0420" w:rsidRPr="008D0420" w:rsidRDefault="008D0420">
            <w:pPr>
              <w:pStyle w:val="Default"/>
              <w:rPr>
                <w:rFonts w:ascii="Times New Roman" w:hAnsi="Times New Roman" w:cs="Times New Roman"/>
                <w:color w:val="auto"/>
                <w:sz w:val="22"/>
                <w:szCs w:val="22"/>
              </w:rPr>
            </w:pPr>
          </w:p>
          <w:p w:rsidR="008D0420" w:rsidRPr="008D0420" w:rsidRDefault="008D0420">
            <w:pPr>
              <w:pStyle w:val="Default"/>
              <w:rPr>
                <w:rFonts w:ascii="Times New Roman" w:hAnsi="Times New Roman" w:cs="Times New Roman"/>
                <w:sz w:val="22"/>
                <w:szCs w:val="22"/>
              </w:rPr>
            </w:pPr>
            <w:r w:rsidRPr="008D0420">
              <w:rPr>
                <w:rFonts w:ascii="Times New Roman" w:hAnsi="Times New Roman" w:cs="Times New Roman"/>
                <w:sz w:val="22"/>
                <w:szCs w:val="22"/>
              </w:rPr>
              <w:t xml:space="preserve">6) Number of investigations of torture that are decision ready </w:t>
            </w:r>
          </w:p>
          <w:p w:rsidR="008D0420" w:rsidRPr="008D0420" w:rsidRDefault="008D0420">
            <w:pPr>
              <w:pStyle w:val="Default"/>
              <w:rPr>
                <w:rFonts w:ascii="Times New Roman" w:hAnsi="Times New Roman" w:cs="Times New Roman"/>
                <w:sz w:val="22"/>
                <w:szCs w:val="22"/>
              </w:rPr>
            </w:pPr>
          </w:p>
        </w:tc>
        <w:tc>
          <w:tcPr>
            <w:tcW w:w="1984"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45</w:t>
            </w:r>
          </w:p>
        </w:tc>
        <w:tc>
          <w:tcPr>
            <w:tcW w:w="1895"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80</w:t>
            </w:r>
          </w:p>
        </w:tc>
      </w:tr>
      <w:tr w:rsidR="008D0420" w:rsidRPr="008D0420" w:rsidTr="00C930A5">
        <w:trPr>
          <w:trHeight w:val="93"/>
          <w:jc w:val="center"/>
        </w:trPr>
        <w:tc>
          <w:tcPr>
            <w:tcW w:w="4923" w:type="dxa"/>
          </w:tcPr>
          <w:p w:rsidR="008D0420" w:rsidRPr="008D0420" w:rsidRDefault="008D0420">
            <w:pPr>
              <w:pStyle w:val="Default"/>
              <w:rPr>
                <w:rFonts w:ascii="Times New Roman" w:hAnsi="Times New Roman" w:cs="Times New Roman"/>
                <w:color w:val="auto"/>
                <w:sz w:val="22"/>
                <w:szCs w:val="22"/>
              </w:rPr>
            </w:pPr>
          </w:p>
          <w:p w:rsidR="008D0420" w:rsidRPr="008D0420" w:rsidRDefault="008D0420">
            <w:pPr>
              <w:pStyle w:val="Default"/>
              <w:rPr>
                <w:rFonts w:ascii="Times New Roman" w:hAnsi="Times New Roman" w:cs="Times New Roman"/>
                <w:sz w:val="22"/>
                <w:szCs w:val="22"/>
              </w:rPr>
            </w:pPr>
            <w:r w:rsidRPr="008D0420">
              <w:rPr>
                <w:rFonts w:ascii="Times New Roman" w:hAnsi="Times New Roman" w:cs="Times New Roman"/>
                <w:sz w:val="22"/>
                <w:szCs w:val="22"/>
              </w:rPr>
              <w:t xml:space="preserve">7) Number of investigations of assault that are decision ready </w:t>
            </w:r>
          </w:p>
          <w:p w:rsidR="008D0420" w:rsidRPr="008D0420" w:rsidRDefault="008D0420">
            <w:pPr>
              <w:pStyle w:val="Default"/>
              <w:rPr>
                <w:rFonts w:ascii="Times New Roman" w:hAnsi="Times New Roman" w:cs="Times New Roman"/>
                <w:sz w:val="22"/>
                <w:szCs w:val="22"/>
              </w:rPr>
            </w:pPr>
          </w:p>
        </w:tc>
        <w:tc>
          <w:tcPr>
            <w:tcW w:w="1984"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2 000</w:t>
            </w:r>
          </w:p>
        </w:tc>
        <w:tc>
          <w:tcPr>
            <w:tcW w:w="1895"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2 000</w:t>
            </w:r>
          </w:p>
        </w:tc>
      </w:tr>
      <w:tr w:rsidR="008D0420" w:rsidRPr="008D0420" w:rsidTr="00C930A5">
        <w:trPr>
          <w:trHeight w:val="98"/>
          <w:jc w:val="center"/>
        </w:trPr>
        <w:tc>
          <w:tcPr>
            <w:tcW w:w="4923" w:type="dxa"/>
          </w:tcPr>
          <w:p w:rsidR="008D0420" w:rsidRPr="008D0420" w:rsidRDefault="008D0420">
            <w:pPr>
              <w:pStyle w:val="Default"/>
              <w:rPr>
                <w:rFonts w:ascii="Times New Roman" w:hAnsi="Times New Roman" w:cs="Times New Roman"/>
                <w:color w:val="auto"/>
                <w:sz w:val="22"/>
                <w:szCs w:val="22"/>
              </w:rPr>
            </w:pPr>
          </w:p>
          <w:p w:rsidR="008D0420" w:rsidRPr="008D0420" w:rsidRDefault="008D0420">
            <w:pPr>
              <w:pStyle w:val="Default"/>
              <w:rPr>
                <w:rFonts w:ascii="Times New Roman" w:hAnsi="Times New Roman" w:cs="Times New Roman"/>
                <w:sz w:val="22"/>
                <w:szCs w:val="22"/>
              </w:rPr>
            </w:pPr>
            <w:r w:rsidRPr="008D0420">
              <w:rPr>
                <w:rFonts w:ascii="Times New Roman" w:hAnsi="Times New Roman" w:cs="Times New Roman"/>
                <w:sz w:val="22"/>
                <w:szCs w:val="22"/>
              </w:rPr>
              <w:t xml:space="preserve">8) Number of investigations of corruption that are decision ready </w:t>
            </w:r>
          </w:p>
          <w:p w:rsidR="008D0420" w:rsidRPr="008D0420" w:rsidRDefault="008D0420">
            <w:pPr>
              <w:pStyle w:val="Default"/>
              <w:rPr>
                <w:rFonts w:ascii="Times New Roman" w:hAnsi="Times New Roman" w:cs="Times New Roman"/>
                <w:sz w:val="22"/>
                <w:szCs w:val="22"/>
              </w:rPr>
            </w:pPr>
          </w:p>
        </w:tc>
        <w:tc>
          <w:tcPr>
            <w:tcW w:w="1984"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60</w:t>
            </w:r>
          </w:p>
        </w:tc>
        <w:tc>
          <w:tcPr>
            <w:tcW w:w="1895"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85</w:t>
            </w:r>
          </w:p>
        </w:tc>
      </w:tr>
      <w:tr w:rsidR="008D0420" w:rsidRPr="008D0420" w:rsidTr="00C930A5">
        <w:trPr>
          <w:trHeight w:val="374"/>
          <w:jc w:val="center"/>
        </w:trPr>
        <w:tc>
          <w:tcPr>
            <w:tcW w:w="4923" w:type="dxa"/>
          </w:tcPr>
          <w:p w:rsidR="008D0420" w:rsidRPr="008D0420" w:rsidRDefault="008D0420">
            <w:pPr>
              <w:pStyle w:val="Default"/>
              <w:rPr>
                <w:rFonts w:ascii="Times New Roman" w:hAnsi="Times New Roman" w:cs="Times New Roman"/>
                <w:color w:val="auto"/>
                <w:sz w:val="22"/>
                <w:szCs w:val="22"/>
              </w:rPr>
            </w:pPr>
          </w:p>
          <w:p w:rsidR="008D0420" w:rsidRPr="008D0420" w:rsidRDefault="008D0420">
            <w:pPr>
              <w:pStyle w:val="Default"/>
              <w:rPr>
                <w:rFonts w:ascii="Times New Roman" w:hAnsi="Times New Roman" w:cs="Times New Roman"/>
                <w:sz w:val="22"/>
                <w:szCs w:val="22"/>
              </w:rPr>
            </w:pPr>
            <w:r w:rsidRPr="008D0420">
              <w:rPr>
                <w:rFonts w:ascii="Times New Roman" w:hAnsi="Times New Roman" w:cs="Times New Roman"/>
                <w:sz w:val="22"/>
                <w:szCs w:val="22"/>
              </w:rPr>
              <w:t xml:space="preserve">9) Number of investigations of other criminal and misconduct matters referred to the directorate in terms of s28(1)(h) and s35(1)(c) of the IPID Act that are decision read </w:t>
            </w:r>
          </w:p>
          <w:p w:rsidR="008D0420" w:rsidRPr="008D0420" w:rsidRDefault="008D0420">
            <w:pPr>
              <w:pStyle w:val="Default"/>
              <w:rPr>
                <w:rFonts w:ascii="Times New Roman" w:hAnsi="Times New Roman" w:cs="Times New Roman"/>
                <w:sz w:val="22"/>
                <w:szCs w:val="22"/>
              </w:rPr>
            </w:pPr>
          </w:p>
        </w:tc>
        <w:tc>
          <w:tcPr>
            <w:tcW w:w="1984"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40</w:t>
            </w:r>
          </w:p>
        </w:tc>
        <w:tc>
          <w:tcPr>
            <w:tcW w:w="1895"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10</w:t>
            </w:r>
          </w:p>
        </w:tc>
      </w:tr>
      <w:tr w:rsidR="008D0420" w:rsidRPr="008D0420" w:rsidTr="00C930A5">
        <w:trPr>
          <w:trHeight w:val="233"/>
          <w:jc w:val="center"/>
        </w:trPr>
        <w:tc>
          <w:tcPr>
            <w:tcW w:w="4923" w:type="dxa"/>
          </w:tcPr>
          <w:p w:rsidR="008D0420" w:rsidRPr="008D0420" w:rsidRDefault="008D0420">
            <w:pPr>
              <w:pStyle w:val="Default"/>
              <w:rPr>
                <w:rFonts w:ascii="Times New Roman" w:hAnsi="Times New Roman" w:cs="Times New Roman"/>
                <w:color w:val="auto"/>
                <w:sz w:val="22"/>
                <w:szCs w:val="22"/>
              </w:rPr>
            </w:pPr>
          </w:p>
          <w:p w:rsidR="008D0420" w:rsidRPr="008D0420" w:rsidRDefault="008D0420">
            <w:pPr>
              <w:pStyle w:val="Default"/>
              <w:rPr>
                <w:rFonts w:ascii="Times New Roman" w:hAnsi="Times New Roman" w:cs="Times New Roman"/>
                <w:sz w:val="22"/>
                <w:szCs w:val="22"/>
              </w:rPr>
            </w:pPr>
            <w:r w:rsidRPr="008D0420">
              <w:rPr>
                <w:rFonts w:ascii="Times New Roman" w:hAnsi="Times New Roman" w:cs="Times New Roman"/>
                <w:sz w:val="22"/>
                <w:szCs w:val="22"/>
              </w:rPr>
              <w:lastRenderedPageBreak/>
              <w:t xml:space="preserve">10) Number of investigations of offences referred to in section 33 of the IPID Act that are decision ready </w:t>
            </w:r>
          </w:p>
          <w:p w:rsidR="008D0420" w:rsidRPr="008D0420" w:rsidRDefault="008D0420">
            <w:pPr>
              <w:pStyle w:val="Default"/>
              <w:rPr>
                <w:rFonts w:ascii="Times New Roman" w:hAnsi="Times New Roman" w:cs="Times New Roman"/>
                <w:sz w:val="22"/>
                <w:szCs w:val="22"/>
              </w:rPr>
            </w:pPr>
          </w:p>
        </w:tc>
        <w:tc>
          <w:tcPr>
            <w:tcW w:w="1984"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lastRenderedPageBreak/>
              <w:t>10</w:t>
            </w:r>
          </w:p>
        </w:tc>
        <w:tc>
          <w:tcPr>
            <w:tcW w:w="1895"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25</w:t>
            </w:r>
          </w:p>
        </w:tc>
      </w:tr>
      <w:tr w:rsidR="008D0420" w:rsidRPr="008D0420" w:rsidTr="00C930A5">
        <w:trPr>
          <w:trHeight w:val="233"/>
          <w:jc w:val="center"/>
        </w:trPr>
        <w:tc>
          <w:tcPr>
            <w:tcW w:w="4923" w:type="dxa"/>
          </w:tcPr>
          <w:p w:rsidR="008D0420" w:rsidRPr="008D0420" w:rsidRDefault="00C930A5">
            <w:pPr>
              <w:pStyle w:val="Default"/>
              <w:rPr>
                <w:rFonts w:ascii="Times New Roman" w:hAnsi="Times New Roman" w:cs="Times New Roman"/>
                <w:color w:val="auto"/>
                <w:sz w:val="22"/>
                <w:szCs w:val="22"/>
              </w:rPr>
            </w:pPr>
            <w:r w:rsidRPr="00C930A5">
              <w:rPr>
                <w:rFonts w:ascii="Times New Roman" w:hAnsi="Times New Roman" w:cs="Times New Roman"/>
                <w:color w:val="auto"/>
                <w:sz w:val="22"/>
                <w:szCs w:val="22"/>
              </w:rPr>
              <w:lastRenderedPageBreak/>
              <w:t>11) Number of approved systemic corruption cases that are decision ready</w:t>
            </w:r>
          </w:p>
          <w:p w:rsidR="008D0420" w:rsidRPr="008D0420" w:rsidRDefault="008D0420" w:rsidP="00C930A5">
            <w:pPr>
              <w:pStyle w:val="Default"/>
              <w:rPr>
                <w:rFonts w:ascii="Times New Roman" w:hAnsi="Times New Roman" w:cs="Times New Roman"/>
                <w:sz w:val="22"/>
                <w:szCs w:val="22"/>
              </w:rPr>
            </w:pPr>
          </w:p>
        </w:tc>
        <w:tc>
          <w:tcPr>
            <w:tcW w:w="1984"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3</w:t>
            </w:r>
          </w:p>
        </w:tc>
        <w:tc>
          <w:tcPr>
            <w:tcW w:w="1895" w:type="dxa"/>
          </w:tcPr>
          <w:p w:rsidR="008D0420" w:rsidRPr="008D0420" w:rsidRDefault="008D0420" w:rsidP="00C930A5">
            <w:pPr>
              <w:pStyle w:val="Default"/>
              <w:jc w:val="center"/>
              <w:rPr>
                <w:rFonts w:ascii="Times New Roman" w:hAnsi="Times New Roman" w:cs="Times New Roman"/>
                <w:sz w:val="22"/>
                <w:szCs w:val="22"/>
              </w:rPr>
            </w:pPr>
            <w:r w:rsidRPr="008D0420">
              <w:rPr>
                <w:rFonts w:ascii="Times New Roman" w:hAnsi="Times New Roman" w:cs="Times New Roman"/>
                <w:sz w:val="22"/>
                <w:szCs w:val="22"/>
              </w:rPr>
              <w:t>3</w:t>
            </w:r>
          </w:p>
        </w:tc>
      </w:tr>
      <w:tr w:rsidR="00C930A5" w:rsidTr="00C930A5">
        <w:trPr>
          <w:trHeight w:val="233"/>
          <w:jc w:val="center"/>
        </w:trPr>
        <w:tc>
          <w:tcPr>
            <w:tcW w:w="4923" w:type="dxa"/>
            <w:tcBorders>
              <w:top w:val="single" w:sz="4" w:space="0" w:color="auto"/>
              <w:left w:val="single" w:sz="4" w:space="0" w:color="auto"/>
              <w:bottom w:val="single" w:sz="4" w:space="0" w:color="auto"/>
              <w:right w:val="single" w:sz="4" w:space="0" w:color="auto"/>
            </w:tcBorders>
          </w:tcPr>
          <w:p w:rsidR="00C930A5" w:rsidRPr="00C930A5" w:rsidRDefault="00C930A5">
            <w:pPr>
              <w:pStyle w:val="Default"/>
              <w:rPr>
                <w:rFonts w:ascii="Times New Roman" w:hAnsi="Times New Roman" w:cs="Times New Roman"/>
                <w:color w:val="auto"/>
                <w:sz w:val="22"/>
                <w:szCs w:val="22"/>
              </w:rPr>
            </w:pPr>
          </w:p>
          <w:p w:rsidR="00C930A5" w:rsidRPr="00C930A5" w:rsidRDefault="00C930A5">
            <w:pPr>
              <w:pStyle w:val="Default"/>
              <w:rPr>
                <w:rFonts w:ascii="Times New Roman" w:hAnsi="Times New Roman" w:cs="Times New Roman"/>
                <w:color w:val="auto"/>
                <w:sz w:val="22"/>
                <w:szCs w:val="22"/>
              </w:rPr>
            </w:pPr>
            <w:r w:rsidRPr="00C930A5">
              <w:rPr>
                <w:rFonts w:ascii="Times New Roman" w:hAnsi="Times New Roman" w:cs="Times New Roman"/>
                <w:color w:val="auto"/>
                <w:sz w:val="22"/>
                <w:szCs w:val="22"/>
              </w:rPr>
              <w:t xml:space="preserve">12) Percentage of criminal recommendation reports referred to the NPA within 30 days of recommendation report being signed off </w:t>
            </w:r>
          </w:p>
          <w:p w:rsidR="00C930A5" w:rsidRPr="00C930A5" w:rsidRDefault="00C930A5">
            <w:pPr>
              <w:pStyle w:val="Default"/>
              <w:rPr>
                <w:rFonts w:ascii="Times New Roman" w:hAnsi="Times New Roman" w:cs="Times New Roman"/>
                <w:color w:val="auto"/>
                <w:sz w:val="22"/>
                <w:szCs w:val="22"/>
              </w:rPr>
            </w:pPr>
          </w:p>
        </w:tc>
        <w:tc>
          <w:tcPr>
            <w:tcW w:w="1984" w:type="dxa"/>
            <w:tcBorders>
              <w:top w:val="single" w:sz="4" w:space="0" w:color="auto"/>
              <w:left w:val="single" w:sz="4" w:space="0" w:color="auto"/>
              <w:bottom w:val="single" w:sz="4" w:space="0" w:color="auto"/>
              <w:right w:val="single" w:sz="4" w:space="0" w:color="auto"/>
            </w:tcBorders>
          </w:tcPr>
          <w:p w:rsidR="00C930A5" w:rsidRPr="00C930A5" w:rsidRDefault="00C930A5" w:rsidP="00C930A5">
            <w:pPr>
              <w:pStyle w:val="Default"/>
              <w:jc w:val="center"/>
              <w:rPr>
                <w:rFonts w:ascii="Times New Roman" w:hAnsi="Times New Roman" w:cs="Times New Roman"/>
                <w:sz w:val="22"/>
                <w:szCs w:val="22"/>
              </w:rPr>
            </w:pPr>
            <w:r w:rsidRPr="00C930A5">
              <w:rPr>
                <w:rFonts w:ascii="Times New Roman" w:hAnsi="Times New Roman" w:cs="Times New Roman"/>
                <w:sz w:val="22"/>
                <w:szCs w:val="22"/>
              </w:rPr>
              <w:t xml:space="preserve">90% </w:t>
            </w:r>
          </w:p>
        </w:tc>
        <w:tc>
          <w:tcPr>
            <w:tcW w:w="1895" w:type="dxa"/>
            <w:tcBorders>
              <w:top w:val="single" w:sz="4" w:space="0" w:color="auto"/>
              <w:left w:val="single" w:sz="4" w:space="0" w:color="auto"/>
              <w:bottom w:val="single" w:sz="4" w:space="0" w:color="auto"/>
              <w:right w:val="single" w:sz="4" w:space="0" w:color="auto"/>
            </w:tcBorders>
          </w:tcPr>
          <w:p w:rsidR="00C930A5" w:rsidRPr="00C930A5" w:rsidRDefault="00C930A5" w:rsidP="00C930A5">
            <w:pPr>
              <w:pStyle w:val="Default"/>
              <w:jc w:val="center"/>
              <w:rPr>
                <w:rFonts w:ascii="Times New Roman" w:hAnsi="Times New Roman" w:cs="Times New Roman"/>
                <w:sz w:val="22"/>
                <w:szCs w:val="22"/>
              </w:rPr>
            </w:pPr>
            <w:r w:rsidRPr="00C930A5">
              <w:rPr>
                <w:rFonts w:ascii="Times New Roman" w:hAnsi="Times New Roman" w:cs="Times New Roman"/>
                <w:sz w:val="22"/>
                <w:szCs w:val="22"/>
              </w:rPr>
              <w:t xml:space="preserve">90% </w:t>
            </w:r>
          </w:p>
        </w:tc>
      </w:tr>
      <w:tr w:rsidR="00C930A5" w:rsidTr="00C930A5">
        <w:trPr>
          <w:trHeight w:val="233"/>
          <w:jc w:val="center"/>
        </w:trPr>
        <w:tc>
          <w:tcPr>
            <w:tcW w:w="4923" w:type="dxa"/>
            <w:tcBorders>
              <w:top w:val="single" w:sz="4" w:space="0" w:color="auto"/>
              <w:left w:val="single" w:sz="4" w:space="0" w:color="auto"/>
              <w:bottom w:val="single" w:sz="4" w:space="0" w:color="auto"/>
              <w:right w:val="single" w:sz="4" w:space="0" w:color="auto"/>
            </w:tcBorders>
          </w:tcPr>
          <w:p w:rsidR="00C930A5" w:rsidRPr="00C930A5" w:rsidRDefault="00C930A5">
            <w:pPr>
              <w:pStyle w:val="Default"/>
              <w:rPr>
                <w:rFonts w:ascii="Times New Roman" w:hAnsi="Times New Roman" w:cs="Times New Roman"/>
                <w:color w:val="auto"/>
                <w:sz w:val="22"/>
                <w:szCs w:val="22"/>
              </w:rPr>
            </w:pPr>
          </w:p>
          <w:p w:rsidR="00C930A5" w:rsidRPr="00C930A5" w:rsidRDefault="00C930A5">
            <w:pPr>
              <w:pStyle w:val="Default"/>
              <w:rPr>
                <w:rFonts w:ascii="Times New Roman" w:hAnsi="Times New Roman" w:cs="Times New Roman"/>
                <w:color w:val="auto"/>
                <w:sz w:val="22"/>
                <w:szCs w:val="22"/>
              </w:rPr>
            </w:pPr>
            <w:r w:rsidRPr="00C930A5">
              <w:rPr>
                <w:rFonts w:ascii="Times New Roman" w:hAnsi="Times New Roman" w:cs="Times New Roman"/>
                <w:color w:val="auto"/>
                <w:sz w:val="22"/>
                <w:szCs w:val="22"/>
              </w:rPr>
              <w:t xml:space="preserve">13) Percentage of disciplinary recommendation reports referred to the SAPS or MPS within 30 days of recommendation report being signed </w:t>
            </w:r>
          </w:p>
          <w:p w:rsidR="00C930A5" w:rsidRPr="00C930A5" w:rsidRDefault="00C930A5">
            <w:pPr>
              <w:pStyle w:val="Default"/>
              <w:rPr>
                <w:rFonts w:ascii="Times New Roman" w:hAnsi="Times New Roman" w:cs="Times New Roman"/>
                <w:color w:val="auto"/>
                <w:sz w:val="22"/>
                <w:szCs w:val="22"/>
              </w:rPr>
            </w:pPr>
          </w:p>
        </w:tc>
        <w:tc>
          <w:tcPr>
            <w:tcW w:w="1984" w:type="dxa"/>
            <w:tcBorders>
              <w:top w:val="single" w:sz="4" w:space="0" w:color="auto"/>
              <w:left w:val="single" w:sz="4" w:space="0" w:color="auto"/>
              <w:bottom w:val="single" w:sz="4" w:space="0" w:color="auto"/>
              <w:right w:val="single" w:sz="4" w:space="0" w:color="auto"/>
            </w:tcBorders>
          </w:tcPr>
          <w:p w:rsidR="00C930A5" w:rsidRPr="00C930A5" w:rsidRDefault="00C930A5" w:rsidP="00C930A5">
            <w:pPr>
              <w:pStyle w:val="Default"/>
              <w:jc w:val="center"/>
              <w:rPr>
                <w:rFonts w:ascii="Times New Roman" w:hAnsi="Times New Roman" w:cs="Times New Roman"/>
                <w:sz w:val="22"/>
                <w:szCs w:val="22"/>
              </w:rPr>
            </w:pPr>
            <w:r w:rsidRPr="00C930A5">
              <w:rPr>
                <w:rFonts w:ascii="Times New Roman" w:hAnsi="Times New Roman" w:cs="Times New Roman"/>
                <w:sz w:val="22"/>
                <w:szCs w:val="22"/>
              </w:rPr>
              <w:t xml:space="preserve">90% </w:t>
            </w:r>
          </w:p>
        </w:tc>
        <w:tc>
          <w:tcPr>
            <w:tcW w:w="1895" w:type="dxa"/>
            <w:tcBorders>
              <w:top w:val="single" w:sz="4" w:space="0" w:color="auto"/>
              <w:left w:val="single" w:sz="4" w:space="0" w:color="auto"/>
              <w:bottom w:val="single" w:sz="4" w:space="0" w:color="auto"/>
              <w:right w:val="single" w:sz="4" w:space="0" w:color="auto"/>
            </w:tcBorders>
          </w:tcPr>
          <w:p w:rsidR="00C930A5" w:rsidRPr="00C930A5" w:rsidRDefault="00C930A5" w:rsidP="00C930A5">
            <w:pPr>
              <w:pStyle w:val="Default"/>
              <w:jc w:val="center"/>
              <w:rPr>
                <w:rFonts w:ascii="Times New Roman" w:hAnsi="Times New Roman" w:cs="Times New Roman"/>
                <w:sz w:val="22"/>
                <w:szCs w:val="22"/>
              </w:rPr>
            </w:pPr>
            <w:r w:rsidRPr="00C930A5">
              <w:rPr>
                <w:rFonts w:ascii="Times New Roman" w:hAnsi="Times New Roman" w:cs="Times New Roman"/>
                <w:sz w:val="22"/>
                <w:szCs w:val="22"/>
              </w:rPr>
              <w:t xml:space="preserve">90% </w:t>
            </w:r>
          </w:p>
        </w:tc>
      </w:tr>
    </w:tbl>
    <w:p w:rsidR="008D0420" w:rsidRDefault="00C930A5" w:rsidP="00C930A5">
      <w:pPr>
        <w:spacing w:line="276" w:lineRule="auto"/>
        <w:jc w:val="center"/>
        <w:rPr>
          <w:rFonts w:ascii="Times New Roman" w:hAnsi="Times New Roman" w:cs="Times New Roman"/>
        </w:rPr>
      </w:pPr>
      <w:r>
        <w:rPr>
          <w:rFonts w:ascii="Times New Roman" w:hAnsi="Times New Roman" w:cs="Times New Roman"/>
        </w:rPr>
        <w:t xml:space="preserve">                                                                                              </w:t>
      </w:r>
      <w:r w:rsidRPr="00C930A5">
        <w:rPr>
          <w:rFonts w:ascii="Times New Roman" w:hAnsi="Times New Roman" w:cs="Times New Roman"/>
        </w:rPr>
        <w:t>Source: IPID 2020/21 APP</w:t>
      </w:r>
    </w:p>
    <w:p w:rsidR="00C930A5" w:rsidRDefault="00C930A5" w:rsidP="00C930A5">
      <w:pPr>
        <w:spacing w:line="276" w:lineRule="auto"/>
        <w:jc w:val="center"/>
        <w:rPr>
          <w:rFonts w:ascii="Times New Roman" w:hAnsi="Times New Roman" w:cs="Times New Roman"/>
        </w:rPr>
      </w:pPr>
    </w:p>
    <w:p w:rsidR="00C930A5" w:rsidRPr="00C930A5" w:rsidRDefault="00C930A5" w:rsidP="00C930A5">
      <w:pPr>
        <w:spacing w:line="276" w:lineRule="auto"/>
        <w:rPr>
          <w:rFonts w:ascii="Times New Roman" w:hAnsi="Times New Roman" w:cs="Times New Roman"/>
        </w:rPr>
      </w:pPr>
      <w:r w:rsidRPr="00C930A5">
        <w:rPr>
          <w:rFonts w:ascii="Times New Roman" w:hAnsi="Times New Roman" w:cs="Times New Roman"/>
        </w:rPr>
        <w:t>The following performance indicators were removed in the 2020/21 APP -</w:t>
      </w:r>
    </w:p>
    <w:p w:rsidR="00C930A5" w:rsidRPr="00C930A5" w:rsidRDefault="00C930A5" w:rsidP="00C930A5">
      <w:pPr>
        <w:pStyle w:val="ListParagraph"/>
        <w:numPr>
          <w:ilvl w:val="0"/>
          <w:numId w:val="16"/>
        </w:numPr>
        <w:spacing w:line="276" w:lineRule="auto"/>
        <w:rPr>
          <w:rFonts w:ascii="Times New Roman" w:hAnsi="Times New Roman" w:cs="Times New Roman"/>
        </w:rPr>
      </w:pPr>
      <w:r w:rsidRPr="00C930A5">
        <w:rPr>
          <w:rFonts w:ascii="Times New Roman" w:hAnsi="Times New Roman" w:cs="Times New Roman"/>
        </w:rPr>
        <w:t>Number of investigators trained on specialised services (75)</w:t>
      </w:r>
    </w:p>
    <w:p w:rsidR="00C930A5" w:rsidRPr="00C930A5" w:rsidRDefault="00C930A5" w:rsidP="00C930A5">
      <w:pPr>
        <w:pStyle w:val="ListParagraph"/>
        <w:numPr>
          <w:ilvl w:val="0"/>
          <w:numId w:val="16"/>
        </w:numPr>
        <w:spacing w:line="276" w:lineRule="auto"/>
        <w:rPr>
          <w:rFonts w:ascii="Times New Roman" w:hAnsi="Times New Roman" w:cs="Times New Roman"/>
        </w:rPr>
      </w:pPr>
      <w:r w:rsidRPr="00C930A5">
        <w:rPr>
          <w:rFonts w:ascii="Times New Roman" w:hAnsi="Times New Roman" w:cs="Times New Roman"/>
        </w:rPr>
        <w:t>Percentage of decision ready cases completed from total cases received (45%)</w:t>
      </w:r>
    </w:p>
    <w:p w:rsidR="00C930A5" w:rsidRPr="00C930A5" w:rsidRDefault="00C930A5" w:rsidP="00C930A5">
      <w:pPr>
        <w:pStyle w:val="ListParagraph"/>
        <w:numPr>
          <w:ilvl w:val="0"/>
          <w:numId w:val="16"/>
        </w:numPr>
        <w:spacing w:line="276" w:lineRule="auto"/>
        <w:rPr>
          <w:rFonts w:ascii="Times New Roman" w:hAnsi="Times New Roman" w:cs="Times New Roman"/>
        </w:rPr>
      </w:pPr>
      <w:r w:rsidRPr="00C930A5">
        <w:rPr>
          <w:rFonts w:ascii="Times New Roman" w:hAnsi="Times New Roman" w:cs="Times New Roman"/>
        </w:rPr>
        <w:t>Percentage of cases registered and allocated within 72 hours of written notification (80%)</w:t>
      </w:r>
    </w:p>
    <w:p w:rsidR="00C930A5" w:rsidRPr="00C930A5" w:rsidRDefault="00C930A5" w:rsidP="00C930A5">
      <w:pPr>
        <w:pStyle w:val="ListParagraph"/>
        <w:numPr>
          <w:ilvl w:val="0"/>
          <w:numId w:val="16"/>
        </w:numPr>
        <w:spacing w:line="276" w:lineRule="auto"/>
        <w:rPr>
          <w:rFonts w:ascii="Times New Roman" w:hAnsi="Times New Roman" w:cs="Times New Roman"/>
        </w:rPr>
      </w:pPr>
      <w:r w:rsidRPr="00C930A5">
        <w:rPr>
          <w:rFonts w:ascii="Times New Roman" w:hAnsi="Times New Roman" w:cs="Times New Roman"/>
        </w:rPr>
        <w:t>Number of statistical reports on investigations generated (2)</w:t>
      </w:r>
    </w:p>
    <w:p w:rsidR="00C930A5" w:rsidRPr="00C930A5" w:rsidRDefault="00C930A5" w:rsidP="00C930A5">
      <w:pPr>
        <w:pStyle w:val="ListParagraph"/>
        <w:numPr>
          <w:ilvl w:val="0"/>
          <w:numId w:val="16"/>
        </w:numPr>
        <w:spacing w:line="276" w:lineRule="auto"/>
        <w:rPr>
          <w:rFonts w:ascii="Times New Roman" w:hAnsi="Times New Roman" w:cs="Times New Roman"/>
        </w:rPr>
      </w:pPr>
      <w:r w:rsidRPr="00C930A5">
        <w:rPr>
          <w:rFonts w:ascii="Times New Roman" w:hAnsi="Times New Roman" w:cs="Times New Roman"/>
        </w:rPr>
        <w:t>Number of backlog decision ready cases completed (excluding cases of systemic corruption) (1 490 cases).</w:t>
      </w:r>
    </w:p>
    <w:p w:rsidR="00C930A5" w:rsidRPr="00C930A5" w:rsidRDefault="00C930A5" w:rsidP="00C930A5">
      <w:pPr>
        <w:spacing w:line="276" w:lineRule="auto"/>
        <w:jc w:val="both"/>
        <w:rPr>
          <w:rFonts w:ascii="Times New Roman" w:hAnsi="Times New Roman" w:cs="Times New Roman"/>
        </w:rPr>
      </w:pPr>
      <w:r w:rsidRPr="00C930A5">
        <w:rPr>
          <w:rFonts w:ascii="Times New Roman" w:hAnsi="Times New Roman" w:cs="Times New Roman"/>
        </w:rPr>
        <w:t>The majority of targets were increased in 2020/21 when compared to the previous financial year.</w:t>
      </w:r>
    </w:p>
    <w:p w:rsidR="00C930A5" w:rsidRPr="00C930A5" w:rsidRDefault="00C930A5" w:rsidP="00C930A5">
      <w:pPr>
        <w:spacing w:line="276" w:lineRule="auto"/>
        <w:jc w:val="both"/>
        <w:rPr>
          <w:rFonts w:ascii="Times New Roman" w:hAnsi="Times New Roman" w:cs="Times New Roman"/>
        </w:rPr>
      </w:pPr>
      <w:r w:rsidRPr="00C930A5">
        <w:rPr>
          <w:rFonts w:ascii="Times New Roman" w:hAnsi="Times New Roman" w:cs="Times New Roman"/>
        </w:rPr>
        <w:t>The target for the number of investigations of other criminal and misconduct matters referred to the Directorate in terms of s28(1)(h) and s35(1)(c) of the IPID Act that are decision ready was reduced from 80 cases in 2018/19 to 40 cases in 2019/20. The target was further decreased to 10 cases in 2020/21.</w:t>
      </w:r>
    </w:p>
    <w:p w:rsidR="00C930A5" w:rsidRPr="00C930A5" w:rsidRDefault="00B110E4" w:rsidP="00C930A5">
      <w:pPr>
        <w:spacing w:line="276" w:lineRule="auto"/>
        <w:rPr>
          <w:rFonts w:ascii="Times New Roman" w:hAnsi="Times New Roman" w:cs="Times New Roman"/>
          <w:b/>
        </w:rPr>
      </w:pPr>
      <w:r>
        <w:rPr>
          <w:rFonts w:ascii="Times New Roman" w:hAnsi="Times New Roman" w:cs="Times New Roman"/>
          <w:b/>
        </w:rPr>
        <w:t>3.2</w:t>
      </w:r>
      <w:r w:rsidR="00C930A5" w:rsidRPr="00C930A5">
        <w:rPr>
          <w:rFonts w:ascii="Times New Roman" w:hAnsi="Times New Roman" w:cs="Times New Roman"/>
          <w:b/>
        </w:rPr>
        <w:t>.4. Legal and Investigation Advisory Services Programme</w:t>
      </w:r>
    </w:p>
    <w:p w:rsidR="00C930A5" w:rsidRPr="00C930A5" w:rsidRDefault="00C930A5" w:rsidP="00C930A5">
      <w:pPr>
        <w:spacing w:line="276" w:lineRule="auto"/>
        <w:rPr>
          <w:rFonts w:ascii="Times New Roman" w:hAnsi="Times New Roman" w:cs="Times New Roman"/>
        </w:rPr>
      </w:pPr>
      <w:r w:rsidRPr="00C930A5">
        <w:rPr>
          <w:rFonts w:ascii="Times New Roman" w:hAnsi="Times New Roman" w:cs="Times New Roman"/>
        </w:rPr>
        <w:t>The purpose of the Programme is to manage and facilitate the provision of investigation advisory services and to provide legal, civil and labour litigation services. The programme consists of the following three sub-programmes:</w:t>
      </w:r>
    </w:p>
    <w:p w:rsidR="00C930A5" w:rsidRPr="00C930A5" w:rsidRDefault="00C930A5" w:rsidP="00C930A5">
      <w:pPr>
        <w:pStyle w:val="ListParagraph"/>
        <w:numPr>
          <w:ilvl w:val="0"/>
          <w:numId w:val="17"/>
        </w:numPr>
        <w:spacing w:line="276" w:lineRule="auto"/>
        <w:rPr>
          <w:rFonts w:ascii="Times New Roman" w:hAnsi="Times New Roman" w:cs="Times New Roman"/>
        </w:rPr>
      </w:pPr>
      <w:r w:rsidRPr="00C930A5">
        <w:rPr>
          <w:rFonts w:ascii="Times New Roman" w:hAnsi="Times New Roman" w:cs="Times New Roman"/>
        </w:rPr>
        <w:t>Legal Support and Administration: The sub-programme manages the Directorate’s legal obligations by developing and maintaining systems, procedures and standards to assist, guide and direct legal support within the Directorate.</w:t>
      </w:r>
    </w:p>
    <w:p w:rsidR="00C930A5" w:rsidRPr="00C930A5" w:rsidRDefault="00C930A5" w:rsidP="00C930A5">
      <w:pPr>
        <w:pStyle w:val="ListParagraph"/>
        <w:numPr>
          <w:ilvl w:val="0"/>
          <w:numId w:val="17"/>
        </w:numPr>
        <w:spacing w:line="276" w:lineRule="auto"/>
        <w:rPr>
          <w:rFonts w:ascii="Times New Roman" w:hAnsi="Times New Roman" w:cs="Times New Roman"/>
        </w:rPr>
      </w:pPr>
      <w:r w:rsidRPr="00C930A5">
        <w:rPr>
          <w:rFonts w:ascii="Times New Roman" w:hAnsi="Times New Roman" w:cs="Times New Roman"/>
        </w:rPr>
        <w:t>Litigation Advisory Services: The sub-programme coordinates civil and labour litigation, and grants policing powers. Other key activities and outputs include finalising contracts and service level agreements.</w:t>
      </w:r>
    </w:p>
    <w:p w:rsidR="00C930A5" w:rsidRPr="00C930A5" w:rsidRDefault="00C930A5" w:rsidP="00C930A5">
      <w:pPr>
        <w:spacing w:line="276" w:lineRule="auto"/>
        <w:rPr>
          <w:rFonts w:ascii="Times New Roman" w:hAnsi="Times New Roman" w:cs="Times New Roman"/>
        </w:rPr>
      </w:pPr>
      <w:r w:rsidRPr="00C930A5">
        <w:rPr>
          <w:rFonts w:ascii="Times New Roman" w:hAnsi="Times New Roman" w:cs="Times New Roman"/>
        </w:rPr>
        <w:t>The table below summarises the programme performance indicators and targets of the Legal and Advisory Services Programme:</w:t>
      </w:r>
    </w:p>
    <w:p w:rsidR="00C930A5" w:rsidRPr="00C930A5" w:rsidRDefault="00C930A5" w:rsidP="00C930A5">
      <w:pPr>
        <w:spacing w:line="276" w:lineRule="auto"/>
        <w:rPr>
          <w:rFonts w:ascii="Times New Roman" w:hAnsi="Times New Roman" w:cs="Times New Roman"/>
          <w:b/>
        </w:rPr>
      </w:pPr>
      <w:r w:rsidRPr="00C930A5">
        <w:rPr>
          <w:rFonts w:ascii="Times New Roman" w:hAnsi="Times New Roman" w:cs="Times New Roman"/>
          <w:b/>
        </w:rPr>
        <w:t>Table 4: Programme Performance Indicators and Targets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9"/>
        <w:gridCol w:w="1803"/>
      </w:tblGrid>
      <w:tr w:rsidR="00C930A5" w:rsidRPr="00C930A5" w:rsidTr="00C930A5">
        <w:trPr>
          <w:trHeight w:val="93"/>
        </w:trPr>
        <w:tc>
          <w:tcPr>
            <w:tcW w:w="7049" w:type="dxa"/>
          </w:tcPr>
          <w:p w:rsidR="00C930A5" w:rsidRPr="00C930A5" w:rsidRDefault="00C930A5">
            <w:pPr>
              <w:pStyle w:val="Default"/>
              <w:rPr>
                <w:rFonts w:ascii="Times New Roman" w:hAnsi="Times New Roman" w:cs="Times New Roman"/>
                <w:sz w:val="22"/>
                <w:szCs w:val="22"/>
              </w:rPr>
            </w:pPr>
            <w:r w:rsidRPr="00C930A5">
              <w:rPr>
                <w:rFonts w:ascii="Times New Roman" w:hAnsi="Times New Roman" w:cs="Times New Roman"/>
                <w:b/>
                <w:bCs/>
                <w:sz w:val="22"/>
                <w:szCs w:val="22"/>
              </w:rPr>
              <w:lastRenderedPageBreak/>
              <w:t xml:space="preserve">Performance Indicator </w:t>
            </w:r>
          </w:p>
        </w:tc>
        <w:tc>
          <w:tcPr>
            <w:tcW w:w="1803" w:type="dxa"/>
          </w:tcPr>
          <w:p w:rsidR="00C930A5" w:rsidRPr="00C930A5" w:rsidRDefault="00C930A5">
            <w:pPr>
              <w:pStyle w:val="Default"/>
              <w:rPr>
                <w:rFonts w:ascii="Times New Roman" w:hAnsi="Times New Roman" w:cs="Times New Roman"/>
                <w:sz w:val="22"/>
                <w:szCs w:val="22"/>
              </w:rPr>
            </w:pPr>
            <w:r w:rsidRPr="00C930A5">
              <w:rPr>
                <w:rFonts w:ascii="Times New Roman" w:hAnsi="Times New Roman" w:cs="Times New Roman"/>
                <w:b/>
                <w:bCs/>
                <w:sz w:val="22"/>
                <w:szCs w:val="22"/>
              </w:rPr>
              <w:t xml:space="preserve">2020/21 Target </w:t>
            </w:r>
          </w:p>
        </w:tc>
      </w:tr>
      <w:tr w:rsidR="00C930A5" w:rsidRPr="00C930A5" w:rsidTr="00C930A5">
        <w:trPr>
          <w:trHeight w:val="233"/>
        </w:trPr>
        <w:tc>
          <w:tcPr>
            <w:tcW w:w="7049" w:type="dxa"/>
          </w:tcPr>
          <w:p w:rsidR="00C930A5" w:rsidRPr="00C930A5" w:rsidRDefault="00C930A5">
            <w:pPr>
              <w:pStyle w:val="Default"/>
              <w:rPr>
                <w:rFonts w:ascii="Times New Roman" w:hAnsi="Times New Roman" w:cs="Times New Roman"/>
                <w:color w:val="auto"/>
                <w:sz w:val="22"/>
                <w:szCs w:val="22"/>
              </w:rPr>
            </w:pPr>
          </w:p>
          <w:p w:rsidR="00C930A5" w:rsidRPr="00C930A5" w:rsidRDefault="00C930A5">
            <w:pPr>
              <w:pStyle w:val="Default"/>
              <w:rPr>
                <w:rFonts w:ascii="Times New Roman" w:hAnsi="Times New Roman" w:cs="Times New Roman"/>
                <w:sz w:val="22"/>
                <w:szCs w:val="22"/>
              </w:rPr>
            </w:pPr>
            <w:r w:rsidRPr="00C930A5">
              <w:rPr>
                <w:rFonts w:ascii="Times New Roman" w:hAnsi="Times New Roman" w:cs="Times New Roman"/>
                <w:sz w:val="22"/>
                <w:szCs w:val="22"/>
              </w:rPr>
              <w:t xml:space="preserve">1) Percentage of written legal advice provided to the Department within 30 working days of the request </w:t>
            </w:r>
          </w:p>
          <w:p w:rsidR="00C930A5" w:rsidRPr="00C930A5" w:rsidRDefault="00C930A5">
            <w:pPr>
              <w:pStyle w:val="Default"/>
              <w:rPr>
                <w:rFonts w:ascii="Times New Roman" w:hAnsi="Times New Roman" w:cs="Times New Roman"/>
                <w:sz w:val="22"/>
                <w:szCs w:val="22"/>
              </w:rPr>
            </w:pPr>
          </w:p>
        </w:tc>
        <w:tc>
          <w:tcPr>
            <w:tcW w:w="1803" w:type="dxa"/>
          </w:tcPr>
          <w:p w:rsidR="00C930A5" w:rsidRPr="00C930A5" w:rsidRDefault="00C930A5" w:rsidP="004B2F79">
            <w:pPr>
              <w:pStyle w:val="Default"/>
              <w:jc w:val="center"/>
              <w:rPr>
                <w:rFonts w:ascii="Times New Roman" w:hAnsi="Times New Roman" w:cs="Times New Roman"/>
                <w:sz w:val="22"/>
                <w:szCs w:val="22"/>
              </w:rPr>
            </w:pPr>
            <w:r w:rsidRPr="00C930A5">
              <w:rPr>
                <w:rFonts w:ascii="Times New Roman" w:hAnsi="Times New Roman" w:cs="Times New Roman"/>
                <w:sz w:val="22"/>
                <w:szCs w:val="22"/>
              </w:rPr>
              <w:t>70%</w:t>
            </w:r>
          </w:p>
        </w:tc>
      </w:tr>
      <w:tr w:rsidR="00C930A5" w:rsidRPr="00C930A5" w:rsidTr="00C930A5">
        <w:trPr>
          <w:trHeight w:val="233"/>
        </w:trPr>
        <w:tc>
          <w:tcPr>
            <w:tcW w:w="7049" w:type="dxa"/>
          </w:tcPr>
          <w:p w:rsidR="00C930A5" w:rsidRPr="00C930A5" w:rsidRDefault="00C930A5">
            <w:pPr>
              <w:pStyle w:val="Default"/>
              <w:rPr>
                <w:rFonts w:ascii="Times New Roman" w:hAnsi="Times New Roman" w:cs="Times New Roman"/>
                <w:color w:val="auto"/>
                <w:sz w:val="22"/>
                <w:szCs w:val="22"/>
              </w:rPr>
            </w:pPr>
          </w:p>
          <w:p w:rsidR="00C930A5" w:rsidRPr="00C930A5" w:rsidRDefault="00C930A5">
            <w:pPr>
              <w:pStyle w:val="Default"/>
              <w:rPr>
                <w:rFonts w:ascii="Times New Roman" w:hAnsi="Times New Roman" w:cs="Times New Roman"/>
                <w:sz w:val="22"/>
                <w:szCs w:val="22"/>
              </w:rPr>
            </w:pPr>
            <w:r w:rsidRPr="00C930A5">
              <w:rPr>
                <w:rFonts w:ascii="Times New Roman" w:hAnsi="Times New Roman" w:cs="Times New Roman"/>
                <w:sz w:val="22"/>
                <w:szCs w:val="22"/>
              </w:rPr>
              <w:t xml:space="preserve">2) Percentage of written legal advice provided to investigators within 2 working days of request </w:t>
            </w:r>
          </w:p>
          <w:p w:rsidR="00C930A5" w:rsidRPr="00C930A5" w:rsidRDefault="00C930A5">
            <w:pPr>
              <w:pStyle w:val="Default"/>
              <w:rPr>
                <w:rFonts w:ascii="Times New Roman" w:hAnsi="Times New Roman" w:cs="Times New Roman"/>
                <w:sz w:val="22"/>
                <w:szCs w:val="22"/>
              </w:rPr>
            </w:pPr>
          </w:p>
        </w:tc>
        <w:tc>
          <w:tcPr>
            <w:tcW w:w="1803" w:type="dxa"/>
          </w:tcPr>
          <w:p w:rsidR="00C930A5" w:rsidRPr="00C930A5" w:rsidRDefault="00C930A5" w:rsidP="004B2F79">
            <w:pPr>
              <w:pStyle w:val="Default"/>
              <w:jc w:val="center"/>
              <w:rPr>
                <w:rFonts w:ascii="Times New Roman" w:hAnsi="Times New Roman" w:cs="Times New Roman"/>
                <w:sz w:val="22"/>
                <w:szCs w:val="22"/>
              </w:rPr>
            </w:pPr>
            <w:r w:rsidRPr="00C930A5">
              <w:rPr>
                <w:rFonts w:ascii="Times New Roman" w:hAnsi="Times New Roman" w:cs="Times New Roman"/>
                <w:sz w:val="22"/>
                <w:szCs w:val="22"/>
              </w:rPr>
              <w:t>95%</w:t>
            </w:r>
          </w:p>
        </w:tc>
      </w:tr>
      <w:tr w:rsidR="00C930A5" w:rsidRPr="00C930A5" w:rsidTr="00C930A5">
        <w:trPr>
          <w:trHeight w:val="233"/>
        </w:trPr>
        <w:tc>
          <w:tcPr>
            <w:tcW w:w="7049" w:type="dxa"/>
          </w:tcPr>
          <w:p w:rsidR="00C930A5" w:rsidRPr="00C930A5" w:rsidRDefault="00C930A5">
            <w:pPr>
              <w:pStyle w:val="Default"/>
              <w:rPr>
                <w:rFonts w:ascii="Times New Roman" w:hAnsi="Times New Roman" w:cs="Times New Roman"/>
                <w:color w:val="auto"/>
                <w:sz w:val="22"/>
                <w:szCs w:val="22"/>
              </w:rPr>
            </w:pPr>
          </w:p>
          <w:p w:rsidR="00C930A5" w:rsidRPr="00C930A5" w:rsidRDefault="00C930A5">
            <w:pPr>
              <w:pStyle w:val="Default"/>
              <w:rPr>
                <w:rFonts w:ascii="Times New Roman" w:hAnsi="Times New Roman" w:cs="Times New Roman"/>
                <w:color w:val="auto"/>
                <w:sz w:val="22"/>
                <w:szCs w:val="22"/>
              </w:rPr>
            </w:pPr>
            <w:r w:rsidRPr="00C930A5">
              <w:rPr>
                <w:rFonts w:ascii="Times New Roman" w:hAnsi="Times New Roman" w:cs="Times New Roman"/>
                <w:color w:val="auto"/>
                <w:sz w:val="22"/>
                <w:szCs w:val="22"/>
              </w:rPr>
              <w:t xml:space="preserve">3) Percentage of contracts/service level agreements finalised within 30 working days of the request per year. </w:t>
            </w:r>
          </w:p>
          <w:p w:rsidR="00C930A5" w:rsidRPr="00C930A5" w:rsidRDefault="00C930A5">
            <w:pPr>
              <w:pStyle w:val="Default"/>
              <w:rPr>
                <w:rFonts w:ascii="Times New Roman" w:hAnsi="Times New Roman" w:cs="Times New Roman"/>
                <w:color w:val="auto"/>
                <w:sz w:val="22"/>
                <w:szCs w:val="22"/>
              </w:rPr>
            </w:pPr>
          </w:p>
        </w:tc>
        <w:tc>
          <w:tcPr>
            <w:tcW w:w="1803" w:type="dxa"/>
          </w:tcPr>
          <w:p w:rsidR="00C930A5" w:rsidRPr="00C930A5" w:rsidRDefault="00C930A5" w:rsidP="004B2F79">
            <w:pPr>
              <w:pStyle w:val="Default"/>
              <w:jc w:val="center"/>
              <w:rPr>
                <w:rFonts w:ascii="Times New Roman" w:hAnsi="Times New Roman" w:cs="Times New Roman"/>
                <w:sz w:val="22"/>
                <w:szCs w:val="22"/>
              </w:rPr>
            </w:pPr>
            <w:r w:rsidRPr="00C930A5">
              <w:rPr>
                <w:rFonts w:ascii="Times New Roman" w:hAnsi="Times New Roman" w:cs="Times New Roman"/>
                <w:sz w:val="22"/>
                <w:szCs w:val="22"/>
              </w:rPr>
              <w:t>90%</w:t>
            </w:r>
          </w:p>
        </w:tc>
      </w:tr>
      <w:tr w:rsidR="00C930A5" w:rsidRPr="00C930A5" w:rsidTr="00C930A5">
        <w:trPr>
          <w:trHeight w:val="233"/>
        </w:trPr>
        <w:tc>
          <w:tcPr>
            <w:tcW w:w="7049" w:type="dxa"/>
          </w:tcPr>
          <w:p w:rsidR="00C930A5" w:rsidRPr="00C930A5" w:rsidRDefault="00C930A5">
            <w:pPr>
              <w:pStyle w:val="Default"/>
              <w:rPr>
                <w:rFonts w:ascii="Times New Roman" w:hAnsi="Times New Roman" w:cs="Times New Roman"/>
                <w:color w:val="auto"/>
                <w:sz w:val="22"/>
                <w:szCs w:val="22"/>
              </w:rPr>
            </w:pPr>
          </w:p>
          <w:p w:rsidR="00C930A5" w:rsidRPr="00C930A5" w:rsidRDefault="00C930A5">
            <w:pPr>
              <w:pStyle w:val="Default"/>
              <w:rPr>
                <w:rFonts w:ascii="Times New Roman" w:hAnsi="Times New Roman" w:cs="Times New Roman"/>
                <w:color w:val="auto"/>
                <w:sz w:val="22"/>
                <w:szCs w:val="22"/>
              </w:rPr>
            </w:pPr>
            <w:r w:rsidRPr="00C930A5">
              <w:rPr>
                <w:rFonts w:ascii="Times New Roman" w:hAnsi="Times New Roman" w:cs="Times New Roman"/>
                <w:color w:val="auto"/>
                <w:sz w:val="22"/>
                <w:szCs w:val="22"/>
              </w:rPr>
              <w:t xml:space="preserve">4) Percentage of litigation matters referred with instructions to the State Attorney within 10 working days of receipt per year (New) </w:t>
            </w:r>
          </w:p>
          <w:p w:rsidR="00C930A5" w:rsidRPr="00C930A5" w:rsidRDefault="00C930A5">
            <w:pPr>
              <w:pStyle w:val="Default"/>
              <w:rPr>
                <w:rFonts w:ascii="Times New Roman" w:hAnsi="Times New Roman" w:cs="Times New Roman"/>
                <w:color w:val="auto"/>
                <w:sz w:val="22"/>
                <w:szCs w:val="22"/>
              </w:rPr>
            </w:pPr>
          </w:p>
        </w:tc>
        <w:tc>
          <w:tcPr>
            <w:tcW w:w="1803" w:type="dxa"/>
          </w:tcPr>
          <w:p w:rsidR="00C930A5" w:rsidRPr="00C930A5" w:rsidRDefault="00C930A5" w:rsidP="004B2F79">
            <w:pPr>
              <w:pStyle w:val="Default"/>
              <w:jc w:val="center"/>
              <w:rPr>
                <w:rFonts w:ascii="Times New Roman" w:hAnsi="Times New Roman" w:cs="Times New Roman"/>
                <w:sz w:val="22"/>
                <w:szCs w:val="22"/>
              </w:rPr>
            </w:pPr>
            <w:r w:rsidRPr="00C930A5">
              <w:rPr>
                <w:rFonts w:ascii="Times New Roman" w:hAnsi="Times New Roman" w:cs="Times New Roman"/>
                <w:sz w:val="22"/>
                <w:szCs w:val="22"/>
              </w:rPr>
              <w:t>100%</w:t>
            </w:r>
          </w:p>
        </w:tc>
      </w:tr>
    </w:tbl>
    <w:p w:rsidR="006F2E2F" w:rsidRPr="004B2F79" w:rsidRDefault="004B2F79" w:rsidP="00EB6B72">
      <w:pPr>
        <w:spacing w:line="276" w:lineRule="auto"/>
        <w:jc w:val="both"/>
        <w:rPr>
          <w:rFonts w:ascii="Times New Roman" w:hAnsi="Times New Roman" w:cs="Times New Roman"/>
          <w:b/>
        </w:rPr>
      </w:pPr>
      <w:r w:rsidRPr="004B2F79">
        <w:rPr>
          <w:rFonts w:ascii="Times New Roman" w:hAnsi="Times New Roman" w:cs="Times New Roman"/>
          <w:b/>
        </w:rPr>
        <w:t xml:space="preserve">                                                                                                 </w:t>
      </w:r>
      <w:r>
        <w:rPr>
          <w:rFonts w:ascii="Times New Roman" w:hAnsi="Times New Roman" w:cs="Times New Roman"/>
          <w:b/>
        </w:rPr>
        <w:t xml:space="preserve">              </w:t>
      </w:r>
      <w:r w:rsidRPr="004B2F79">
        <w:rPr>
          <w:rFonts w:ascii="Times New Roman" w:hAnsi="Times New Roman" w:cs="Times New Roman"/>
          <w:b/>
        </w:rPr>
        <w:t xml:space="preserve">  </w:t>
      </w:r>
      <w:r w:rsidR="00C930A5" w:rsidRPr="004B2F79">
        <w:rPr>
          <w:rFonts w:ascii="Times New Roman" w:hAnsi="Times New Roman" w:cs="Times New Roman"/>
          <w:b/>
        </w:rPr>
        <w:t>Source: IPID 2020/21 APP</w:t>
      </w:r>
    </w:p>
    <w:p w:rsidR="006F2E2F" w:rsidRDefault="006F2E2F" w:rsidP="00EB6B72">
      <w:pPr>
        <w:spacing w:line="276" w:lineRule="auto"/>
        <w:jc w:val="both"/>
        <w:rPr>
          <w:rFonts w:ascii="Times New Roman" w:hAnsi="Times New Roman" w:cs="Times New Roman"/>
          <w:b/>
          <w:sz w:val="24"/>
          <w:szCs w:val="24"/>
        </w:rPr>
      </w:pPr>
    </w:p>
    <w:p w:rsidR="004B2F79" w:rsidRPr="004B2F79" w:rsidRDefault="004B2F79" w:rsidP="004B2F79">
      <w:pPr>
        <w:spacing w:line="276" w:lineRule="auto"/>
        <w:jc w:val="both"/>
        <w:rPr>
          <w:rFonts w:ascii="Times New Roman" w:hAnsi="Times New Roman" w:cs="Times New Roman"/>
          <w:sz w:val="24"/>
          <w:szCs w:val="24"/>
        </w:rPr>
      </w:pPr>
      <w:r w:rsidRPr="004B2F79">
        <w:rPr>
          <w:rFonts w:ascii="Times New Roman" w:hAnsi="Times New Roman" w:cs="Times New Roman"/>
          <w:sz w:val="24"/>
          <w:szCs w:val="24"/>
        </w:rPr>
        <w:t>The following indicators were removed from the 2020/21 APP compared to the previous year -</w:t>
      </w:r>
    </w:p>
    <w:p w:rsidR="004B2F79" w:rsidRPr="004B2F79" w:rsidRDefault="004B2F79" w:rsidP="004B2F79">
      <w:pPr>
        <w:pStyle w:val="ListParagraph"/>
        <w:numPr>
          <w:ilvl w:val="0"/>
          <w:numId w:val="18"/>
        </w:numPr>
        <w:spacing w:line="276" w:lineRule="auto"/>
        <w:jc w:val="both"/>
        <w:rPr>
          <w:rFonts w:ascii="Times New Roman" w:hAnsi="Times New Roman" w:cs="Times New Roman"/>
          <w:sz w:val="24"/>
          <w:szCs w:val="24"/>
        </w:rPr>
      </w:pPr>
      <w:r w:rsidRPr="004B2F79">
        <w:rPr>
          <w:rFonts w:ascii="Times New Roman" w:hAnsi="Times New Roman" w:cs="Times New Roman"/>
          <w:sz w:val="24"/>
          <w:szCs w:val="24"/>
        </w:rPr>
        <w:t>Percentage of legal advice provided to the Department on litigation matters within 12 working days of receipt of the action or application (100%). This performance indicator was only introduced in 2019/20, thus removed the next year.</w:t>
      </w:r>
    </w:p>
    <w:p w:rsidR="004B2F79" w:rsidRPr="004B2F79" w:rsidRDefault="004B2F79" w:rsidP="004B2F79">
      <w:pPr>
        <w:pStyle w:val="ListParagraph"/>
        <w:numPr>
          <w:ilvl w:val="0"/>
          <w:numId w:val="18"/>
        </w:numPr>
        <w:spacing w:line="276" w:lineRule="auto"/>
        <w:jc w:val="both"/>
        <w:rPr>
          <w:rFonts w:ascii="Times New Roman" w:hAnsi="Times New Roman" w:cs="Times New Roman"/>
          <w:sz w:val="24"/>
          <w:szCs w:val="24"/>
        </w:rPr>
      </w:pPr>
      <w:r w:rsidRPr="004B2F79">
        <w:rPr>
          <w:rFonts w:ascii="Times New Roman" w:hAnsi="Times New Roman" w:cs="Times New Roman"/>
          <w:sz w:val="24"/>
          <w:szCs w:val="24"/>
        </w:rPr>
        <w:t>Percentage of PAIA requests finalised within 30 days (100%)</w:t>
      </w:r>
      <w:r>
        <w:rPr>
          <w:rFonts w:ascii="Times New Roman" w:hAnsi="Times New Roman" w:cs="Times New Roman"/>
          <w:sz w:val="24"/>
          <w:szCs w:val="24"/>
        </w:rPr>
        <w:t>.</w:t>
      </w:r>
    </w:p>
    <w:p w:rsidR="004B2F79" w:rsidRPr="004B2F79" w:rsidRDefault="004B2F79" w:rsidP="004B2F79">
      <w:pPr>
        <w:pStyle w:val="ListParagraph"/>
        <w:numPr>
          <w:ilvl w:val="0"/>
          <w:numId w:val="18"/>
        </w:numPr>
        <w:spacing w:line="276" w:lineRule="auto"/>
        <w:jc w:val="both"/>
        <w:rPr>
          <w:rFonts w:ascii="Times New Roman" w:hAnsi="Times New Roman" w:cs="Times New Roman"/>
          <w:sz w:val="24"/>
          <w:szCs w:val="24"/>
        </w:rPr>
      </w:pPr>
      <w:r w:rsidRPr="004B2F79">
        <w:rPr>
          <w:rFonts w:ascii="Times New Roman" w:hAnsi="Times New Roman" w:cs="Times New Roman"/>
          <w:sz w:val="24"/>
          <w:szCs w:val="24"/>
        </w:rPr>
        <w:t>Number of workshops conducted with investigators on practice notes produced per year (3). This indicator was introduced in 2019/20 and removed in 2020/21.</w:t>
      </w:r>
    </w:p>
    <w:p w:rsidR="004B2F79" w:rsidRPr="004B2F79" w:rsidRDefault="004B2F79" w:rsidP="004B2F79">
      <w:pPr>
        <w:pStyle w:val="ListParagraph"/>
        <w:numPr>
          <w:ilvl w:val="0"/>
          <w:numId w:val="18"/>
        </w:numPr>
        <w:spacing w:line="276" w:lineRule="auto"/>
        <w:jc w:val="both"/>
        <w:rPr>
          <w:rFonts w:ascii="Times New Roman" w:hAnsi="Times New Roman" w:cs="Times New Roman"/>
          <w:sz w:val="24"/>
          <w:szCs w:val="24"/>
        </w:rPr>
      </w:pPr>
      <w:r w:rsidRPr="004B2F79">
        <w:rPr>
          <w:rFonts w:ascii="Times New Roman" w:hAnsi="Times New Roman" w:cs="Times New Roman"/>
          <w:sz w:val="24"/>
          <w:szCs w:val="24"/>
        </w:rPr>
        <w:t>Percentage of written legal advice provided to investigators within 24 hours of request (90%)</w:t>
      </w:r>
      <w:r>
        <w:rPr>
          <w:rFonts w:ascii="Times New Roman" w:hAnsi="Times New Roman" w:cs="Times New Roman"/>
          <w:sz w:val="24"/>
          <w:szCs w:val="24"/>
        </w:rPr>
        <w:t>.</w:t>
      </w:r>
    </w:p>
    <w:p w:rsidR="004B2F79" w:rsidRDefault="004B2F79" w:rsidP="004B2F79">
      <w:pPr>
        <w:spacing w:line="276" w:lineRule="auto"/>
        <w:jc w:val="both"/>
        <w:rPr>
          <w:rFonts w:ascii="Times New Roman" w:hAnsi="Times New Roman" w:cs="Times New Roman"/>
          <w:b/>
          <w:sz w:val="24"/>
          <w:szCs w:val="24"/>
        </w:rPr>
      </w:pPr>
    </w:p>
    <w:p w:rsidR="004B2F79" w:rsidRPr="004B2F79" w:rsidRDefault="00B110E4" w:rsidP="004B2F79">
      <w:pPr>
        <w:spacing w:line="276" w:lineRule="auto"/>
        <w:jc w:val="both"/>
        <w:rPr>
          <w:rFonts w:ascii="Times New Roman" w:hAnsi="Times New Roman" w:cs="Times New Roman"/>
          <w:b/>
          <w:sz w:val="24"/>
          <w:szCs w:val="24"/>
        </w:rPr>
      </w:pPr>
      <w:r>
        <w:rPr>
          <w:rFonts w:ascii="Times New Roman" w:hAnsi="Times New Roman" w:cs="Times New Roman"/>
          <w:b/>
          <w:sz w:val="24"/>
          <w:szCs w:val="24"/>
        </w:rPr>
        <w:t>3.2.</w:t>
      </w:r>
      <w:r w:rsidR="004B2F79" w:rsidRPr="004B2F79">
        <w:rPr>
          <w:rFonts w:ascii="Times New Roman" w:hAnsi="Times New Roman" w:cs="Times New Roman"/>
          <w:b/>
          <w:sz w:val="24"/>
          <w:szCs w:val="24"/>
        </w:rPr>
        <w:t>5 Compliance Monitoring and Stakeholder Management Programme</w:t>
      </w:r>
    </w:p>
    <w:p w:rsidR="004B2F79" w:rsidRPr="004B2F79" w:rsidRDefault="004B2F79" w:rsidP="004B2F79">
      <w:pPr>
        <w:spacing w:line="276" w:lineRule="auto"/>
        <w:jc w:val="both"/>
        <w:rPr>
          <w:rFonts w:ascii="Times New Roman" w:hAnsi="Times New Roman" w:cs="Times New Roman"/>
          <w:sz w:val="24"/>
          <w:szCs w:val="24"/>
        </w:rPr>
      </w:pPr>
      <w:r w:rsidRPr="004B2F79">
        <w:rPr>
          <w:rFonts w:ascii="Times New Roman" w:hAnsi="Times New Roman" w:cs="Times New Roman"/>
          <w:sz w:val="24"/>
          <w:szCs w:val="24"/>
        </w:rPr>
        <w:t>The purpose of the Compliance Monitoring and Stakeholder Management Programme is to safeguard the principles of cooperative governance and stakeholder relations and to monitor and evaluate the relevance and appropriateness of recommendations made to the South African Police Service and Municipal Police Services in terms of the Independent Police Investigative Directorate Act, 2011. The programme consists of the following two sub-programmes:</w:t>
      </w:r>
    </w:p>
    <w:p w:rsidR="004B2F79" w:rsidRPr="004B2F79" w:rsidRDefault="004B2F79" w:rsidP="004B2F79">
      <w:pPr>
        <w:spacing w:line="276" w:lineRule="auto"/>
        <w:jc w:val="both"/>
        <w:rPr>
          <w:rFonts w:ascii="Times New Roman" w:hAnsi="Times New Roman" w:cs="Times New Roman"/>
          <w:sz w:val="24"/>
          <w:szCs w:val="24"/>
        </w:rPr>
      </w:pPr>
      <w:r w:rsidRPr="004B2F79">
        <w:rPr>
          <w:rFonts w:ascii="Times New Roman" w:hAnsi="Times New Roman" w:cs="Times New Roman"/>
          <w:sz w:val="24"/>
          <w:szCs w:val="24"/>
        </w:rPr>
        <w:t>Compliance Monitoring: The Sub-programme monitors and evaluates the quality of recommendations made and responses received from on such recommendations from the South African Police Service, Municipal Police Services and National Prosecuting Authority in compliance with the reporting obligations in terms of the IPID Act, 2011.</w:t>
      </w:r>
    </w:p>
    <w:p w:rsidR="004B2F79" w:rsidRPr="004B2F79" w:rsidRDefault="004B2F79" w:rsidP="004B2F79">
      <w:pPr>
        <w:spacing w:line="276" w:lineRule="auto"/>
        <w:jc w:val="both"/>
        <w:rPr>
          <w:rFonts w:ascii="Times New Roman" w:hAnsi="Times New Roman" w:cs="Times New Roman"/>
          <w:sz w:val="24"/>
          <w:szCs w:val="24"/>
        </w:rPr>
      </w:pPr>
      <w:r w:rsidRPr="004B2F79">
        <w:rPr>
          <w:rFonts w:ascii="Times New Roman" w:hAnsi="Times New Roman" w:cs="Times New Roman"/>
          <w:sz w:val="24"/>
          <w:szCs w:val="24"/>
        </w:rPr>
        <w:t xml:space="preserve">Stakeholder Management: The Sub-programme manages relations and liaises with the Directorate’s key stakeholders such as the South African Police Service, Municipal Police Services, Civilian Secretariat for Police, National Prosecuting Authority, the Special </w:t>
      </w:r>
      <w:r w:rsidRPr="004B2F79">
        <w:rPr>
          <w:rFonts w:ascii="Times New Roman" w:hAnsi="Times New Roman" w:cs="Times New Roman"/>
          <w:sz w:val="24"/>
          <w:szCs w:val="24"/>
        </w:rPr>
        <w:lastRenderedPageBreak/>
        <w:t>Investigating Unit, the Public Protector of South Africa, the State Security Agency and civil society organisations, in line with the requirements of the IPID Act.</w:t>
      </w:r>
    </w:p>
    <w:p w:rsidR="004B2F79" w:rsidRDefault="004B2F79" w:rsidP="004B2F79">
      <w:pPr>
        <w:spacing w:line="276" w:lineRule="auto"/>
        <w:jc w:val="both"/>
        <w:rPr>
          <w:rFonts w:ascii="Times New Roman" w:hAnsi="Times New Roman" w:cs="Times New Roman"/>
          <w:sz w:val="24"/>
          <w:szCs w:val="24"/>
        </w:rPr>
      </w:pPr>
      <w:r w:rsidRPr="004B2F79">
        <w:rPr>
          <w:rFonts w:ascii="Times New Roman" w:hAnsi="Times New Roman" w:cs="Times New Roman"/>
          <w:sz w:val="24"/>
          <w:szCs w:val="24"/>
        </w:rPr>
        <w:t>The table below summarises the programme performance indicators and targets of the Programme:</w:t>
      </w:r>
    </w:p>
    <w:p w:rsidR="004B2F79" w:rsidRDefault="004B2F79" w:rsidP="004B2F79">
      <w:pPr>
        <w:spacing w:line="276" w:lineRule="auto"/>
        <w:jc w:val="both"/>
        <w:rPr>
          <w:rFonts w:ascii="Times New Roman" w:hAnsi="Times New Roman" w:cs="Times New Roman"/>
          <w:sz w:val="24"/>
          <w:szCs w:val="24"/>
        </w:rPr>
      </w:pPr>
      <w:r w:rsidRPr="004B2F79">
        <w:rPr>
          <w:rFonts w:ascii="Times New Roman" w:hAnsi="Times New Roman" w:cs="Times New Roman"/>
          <w:b/>
          <w:bCs/>
        </w:rPr>
        <w:t>Table 5: Programme Performance Indicators and Targets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1"/>
        <w:gridCol w:w="1661"/>
      </w:tblGrid>
      <w:tr w:rsidR="004B2F79" w:rsidRPr="004B2F79" w:rsidTr="004B2F79">
        <w:trPr>
          <w:trHeight w:val="93"/>
        </w:trPr>
        <w:tc>
          <w:tcPr>
            <w:tcW w:w="7191" w:type="dxa"/>
          </w:tcPr>
          <w:p w:rsidR="004B2F79" w:rsidRPr="004B2F79" w:rsidRDefault="004B2F79">
            <w:pPr>
              <w:pStyle w:val="Default"/>
              <w:rPr>
                <w:rFonts w:ascii="Times New Roman" w:hAnsi="Times New Roman" w:cs="Times New Roman"/>
                <w:sz w:val="22"/>
                <w:szCs w:val="22"/>
              </w:rPr>
            </w:pPr>
            <w:r w:rsidRPr="004B2F79">
              <w:rPr>
                <w:rFonts w:ascii="Times New Roman" w:hAnsi="Times New Roman" w:cs="Times New Roman"/>
                <w:b/>
                <w:bCs/>
                <w:sz w:val="22"/>
                <w:szCs w:val="22"/>
              </w:rPr>
              <w:t xml:space="preserve">Performance Indicator </w:t>
            </w:r>
          </w:p>
        </w:tc>
        <w:tc>
          <w:tcPr>
            <w:tcW w:w="1661" w:type="dxa"/>
          </w:tcPr>
          <w:p w:rsidR="004B2F79" w:rsidRPr="004B2F79" w:rsidRDefault="004B2F79">
            <w:pPr>
              <w:pStyle w:val="Default"/>
              <w:rPr>
                <w:rFonts w:ascii="Times New Roman" w:hAnsi="Times New Roman" w:cs="Times New Roman"/>
                <w:sz w:val="22"/>
                <w:szCs w:val="22"/>
              </w:rPr>
            </w:pPr>
            <w:r w:rsidRPr="004B2F79">
              <w:rPr>
                <w:rFonts w:ascii="Times New Roman" w:hAnsi="Times New Roman" w:cs="Times New Roman"/>
                <w:b/>
                <w:bCs/>
                <w:sz w:val="22"/>
                <w:szCs w:val="22"/>
              </w:rPr>
              <w:t xml:space="preserve">2020/21 Target </w:t>
            </w:r>
          </w:p>
        </w:tc>
      </w:tr>
      <w:tr w:rsidR="004B2F79" w:rsidRPr="004B2F79" w:rsidTr="004B2F79">
        <w:trPr>
          <w:trHeight w:val="98"/>
        </w:trPr>
        <w:tc>
          <w:tcPr>
            <w:tcW w:w="7191" w:type="dxa"/>
          </w:tcPr>
          <w:p w:rsidR="004B2F79" w:rsidRPr="004B2F79" w:rsidRDefault="004B2F79">
            <w:pPr>
              <w:pStyle w:val="Default"/>
              <w:rPr>
                <w:rFonts w:ascii="Times New Roman" w:hAnsi="Times New Roman" w:cs="Times New Roman"/>
                <w:color w:val="auto"/>
                <w:sz w:val="22"/>
                <w:szCs w:val="22"/>
              </w:rPr>
            </w:pPr>
          </w:p>
          <w:p w:rsidR="004B2F79" w:rsidRPr="004B2F79" w:rsidRDefault="004B2F79">
            <w:pPr>
              <w:pStyle w:val="Default"/>
              <w:rPr>
                <w:rFonts w:ascii="Times New Roman" w:hAnsi="Times New Roman" w:cs="Times New Roman"/>
                <w:sz w:val="22"/>
                <w:szCs w:val="22"/>
              </w:rPr>
            </w:pPr>
            <w:r w:rsidRPr="004B2F79">
              <w:rPr>
                <w:rFonts w:ascii="Times New Roman" w:hAnsi="Times New Roman" w:cs="Times New Roman"/>
                <w:sz w:val="22"/>
                <w:szCs w:val="22"/>
              </w:rPr>
              <w:t xml:space="preserve">1) Number of community outreach events conducted per year </w:t>
            </w:r>
          </w:p>
          <w:p w:rsidR="004B2F79" w:rsidRPr="004B2F79" w:rsidRDefault="004B2F79">
            <w:pPr>
              <w:pStyle w:val="Default"/>
              <w:rPr>
                <w:rFonts w:ascii="Times New Roman" w:hAnsi="Times New Roman" w:cs="Times New Roman"/>
                <w:sz w:val="22"/>
                <w:szCs w:val="22"/>
              </w:rPr>
            </w:pPr>
          </w:p>
        </w:tc>
        <w:tc>
          <w:tcPr>
            <w:tcW w:w="1661" w:type="dxa"/>
          </w:tcPr>
          <w:p w:rsidR="004B2F79" w:rsidRPr="004B2F79" w:rsidRDefault="004B2F79" w:rsidP="004B2F79">
            <w:pPr>
              <w:pStyle w:val="Default"/>
              <w:jc w:val="center"/>
              <w:rPr>
                <w:rFonts w:ascii="Times New Roman" w:hAnsi="Times New Roman" w:cs="Times New Roman"/>
                <w:sz w:val="22"/>
                <w:szCs w:val="22"/>
              </w:rPr>
            </w:pPr>
            <w:r w:rsidRPr="004B2F79">
              <w:rPr>
                <w:rFonts w:ascii="Times New Roman" w:hAnsi="Times New Roman" w:cs="Times New Roman"/>
                <w:sz w:val="22"/>
                <w:szCs w:val="22"/>
              </w:rPr>
              <w:t>40</w:t>
            </w:r>
          </w:p>
        </w:tc>
      </w:tr>
      <w:tr w:rsidR="004B2F79" w:rsidRPr="004B2F79" w:rsidTr="004B2F79">
        <w:trPr>
          <w:trHeight w:val="93"/>
        </w:trPr>
        <w:tc>
          <w:tcPr>
            <w:tcW w:w="7191" w:type="dxa"/>
          </w:tcPr>
          <w:p w:rsidR="004B2F79" w:rsidRPr="004B2F79" w:rsidRDefault="004B2F79">
            <w:pPr>
              <w:pStyle w:val="Default"/>
              <w:rPr>
                <w:rFonts w:ascii="Times New Roman" w:hAnsi="Times New Roman" w:cs="Times New Roman"/>
                <w:color w:val="auto"/>
                <w:sz w:val="22"/>
                <w:szCs w:val="22"/>
              </w:rPr>
            </w:pPr>
          </w:p>
          <w:p w:rsidR="004B2F79" w:rsidRPr="004B2F79" w:rsidRDefault="004B2F79">
            <w:pPr>
              <w:pStyle w:val="Default"/>
              <w:rPr>
                <w:rFonts w:ascii="Times New Roman" w:hAnsi="Times New Roman" w:cs="Times New Roman"/>
                <w:sz w:val="22"/>
                <w:szCs w:val="22"/>
              </w:rPr>
            </w:pPr>
            <w:r w:rsidRPr="004B2F79">
              <w:rPr>
                <w:rFonts w:ascii="Times New Roman" w:hAnsi="Times New Roman" w:cs="Times New Roman"/>
                <w:sz w:val="22"/>
                <w:szCs w:val="22"/>
              </w:rPr>
              <w:t xml:space="preserve">2) Number of formal engagements held with key stakeholders </w:t>
            </w:r>
          </w:p>
          <w:p w:rsidR="004B2F79" w:rsidRPr="004B2F79" w:rsidRDefault="004B2F79">
            <w:pPr>
              <w:pStyle w:val="Default"/>
              <w:rPr>
                <w:rFonts w:ascii="Times New Roman" w:hAnsi="Times New Roman" w:cs="Times New Roman"/>
                <w:sz w:val="22"/>
                <w:szCs w:val="22"/>
              </w:rPr>
            </w:pPr>
          </w:p>
        </w:tc>
        <w:tc>
          <w:tcPr>
            <w:tcW w:w="1661" w:type="dxa"/>
          </w:tcPr>
          <w:p w:rsidR="004B2F79" w:rsidRPr="004B2F79" w:rsidRDefault="004B2F79" w:rsidP="004B2F79">
            <w:pPr>
              <w:pStyle w:val="Default"/>
              <w:jc w:val="center"/>
              <w:rPr>
                <w:rFonts w:ascii="Times New Roman" w:hAnsi="Times New Roman" w:cs="Times New Roman"/>
                <w:sz w:val="22"/>
                <w:szCs w:val="22"/>
              </w:rPr>
            </w:pPr>
            <w:r w:rsidRPr="004B2F79">
              <w:rPr>
                <w:rFonts w:ascii="Times New Roman" w:hAnsi="Times New Roman" w:cs="Times New Roman"/>
                <w:sz w:val="22"/>
                <w:szCs w:val="22"/>
              </w:rPr>
              <w:t>136</w:t>
            </w:r>
          </w:p>
        </w:tc>
      </w:tr>
      <w:tr w:rsidR="004B2F79" w:rsidRPr="004B2F79" w:rsidTr="004B2F79">
        <w:trPr>
          <w:trHeight w:val="93"/>
        </w:trPr>
        <w:tc>
          <w:tcPr>
            <w:tcW w:w="7191" w:type="dxa"/>
          </w:tcPr>
          <w:p w:rsidR="004B2F79" w:rsidRPr="004B2F79" w:rsidRDefault="004B2F79">
            <w:pPr>
              <w:pStyle w:val="Default"/>
              <w:rPr>
                <w:rFonts w:ascii="Times New Roman" w:hAnsi="Times New Roman" w:cs="Times New Roman"/>
                <w:color w:val="auto"/>
                <w:sz w:val="22"/>
                <w:szCs w:val="22"/>
              </w:rPr>
            </w:pPr>
          </w:p>
          <w:p w:rsidR="004B2F79" w:rsidRPr="004B2F79" w:rsidRDefault="004B2F79">
            <w:pPr>
              <w:pStyle w:val="Default"/>
              <w:rPr>
                <w:rFonts w:ascii="Times New Roman" w:hAnsi="Times New Roman" w:cs="Times New Roman"/>
                <w:sz w:val="22"/>
                <w:szCs w:val="22"/>
              </w:rPr>
            </w:pPr>
            <w:r w:rsidRPr="004B2F79">
              <w:rPr>
                <w:rFonts w:ascii="Times New Roman" w:hAnsi="Times New Roman" w:cs="Times New Roman"/>
                <w:sz w:val="22"/>
                <w:szCs w:val="22"/>
              </w:rPr>
              <w:t xml:space="preserve">3) Number of station lecture awareness trainings per year </w:t>
            </w:r>
            <w:r w:rsidRPr="004B2F79">
              <w:rPr>
                <w:rFonts w:ascii="Times New Roman" w:hAnsi="Times New Roman" w:cs="Times New Roman"/>
                <w:b/>
                <w:bCs/>
                <w:i/>
                <w:iCs/>
                <w:sz w:val="22"/>
                <w:szCs w:val="22"/>
              </w:rPr>
              <w:t xml:space="preserve">(New) </w:t>
            </w:r>
          </w:p>
          <w:p w:rsidR="004B2F79" w:rsidRPr="004B2F79" w:rsidRDefault="004B2F79">
            <w:pPr>
              <w:pStyle w:val="Default"/>
              <w:rPr>
                <w:rFonts w:ascii="Times New Roman" w:hAnsi="Times New Roman" w:cs="Times New Roman"/>
                <w:sz w:val="22"/>
                <w:szCs w:val="22"/>
              </w:rPr>
            </w:pPr>
          </w:p>
        </w:tc>
        <w:tc>
          <w:tcPr>
            <w:tcW w:w="1661" w:type="dxa"/>
          </w:tcPr>
          <w:p w:rsidR="004B2F79" w:rsidRPr="004B2F79" w:rsidRDefault="004B2F79" w:rsidP="004B2F79">
            <w:pPr>
              <w:pStyle w:val="Default"/>
              <w:jc w:val="center"/>
              <w:rPr>
                <w:rFonts w:ascii="Times New Roman" w:hAnsi="Times New Roman" w:cs="Times New Roman"/>
                <w:sz w:val="22"/>
                <w:szCs w:val="22"/>
              </w:rPr>
            </w:pPr>
            <w:r w:rsidRPr="004B2F79">
              <w:rPr>
                <w:rFonts w:ascii="Times New Roman" w:hAnsi="Times New Roman" w:cs="Times New Roman"/>
                <w:sz w:val="22"/>
                <w:szCs w:val="22"/>
              </w:rPr>
              <w:t>56</w:t>
            </w:r>
          </w:p>
        </w:tc>
      </w:tr>
      <w:tr w:rsidR="004B2F79" w:rsidRPr="004B2F79" w:rsidTr="004B2F79">
        <w:trPr>
          <w:trHeight w:val="232"/>
        </w:trPr>
        <w:tc>
          <w:tcPr>
            <w:tcW w:w="7191" w:type="dxa"/>
          </w:tcPr>
          <w:p w:rsidR="004B2F79" w:rsidRPr="004B2F79" w:rsidRDefault="004B2F79">
            <w:pPr>
              <w:pStyle w:val="Default"/>
              <w:rPr>
                <w:rFonts w:ascii="Times New Roman" w:hAnsi="Times New Roman" w:cs="Times New Roman"/>
                <w:color w:val="auto"/>
                <w:sz w:val="22"/>
                <w:szCs w:val="22"/>
              </w:rPr>
            </w:pPr>
          </w:p>
          <w:p w:rsidR="004B2F79" w:rsidRPr="004B2F79" w:rsidRDefault="004B2F79">
            <w:pPr>
              <w:pStyle w:val="Default"/>
              <w:rPr>
                <w:rFonts w:ascii="Times New Roman" w:hAnsi="Times New Roman" w:cs="Times New Roman"/>
                <w:sz w:val="22"/>
                <w:szCs w:val="22"/>
              </w:rPr>
            </w:pPr>
            <w:r w:rsidRPr="004B2F79">
              <w:rPr>
                <w:rFonts w:ascii="Times New Roman" w:hAnsi="Times New Roman" w:cs="Times New Roman"/>
                <w:sz w:val="22"/>
                <w:szCs w:val="22"/>
              </w:rPr>
              <w:t xml:space="preserve">4) Number of disciplinary recommendations referred to the SAPS and MPS that are analysed </w:t>
            </w:r>
          </w:p>
          <w:p w:rsidR="004B2F79" w:rsidRPr="004B2F79" w:rsidRDefault="004B2F79">
            <w:pPr>
              <w:pStyle w:val="Default"/>
              <w:rPr>
                <w:rFonts w:ascii="Times New Roman" w:hAnsi="Times New Roman" w:cs="Times New Roman"/>
                <w:sz w:val="22"/>
                <w:szCs w:val="22"/>
              </w:rPr>
            </w:pPr>
          </w:p>
        </w:tc>
        <w:tc>
          <w:tcPr>
            <w:tcW w:w="1661" w:type="dxa"/>
          </w:tcPr>
          <w:p w:rsidR="004B2F79" w:rsidRPr="004B2F79" w:rsidRDefault="004B2F79" w:rsidP="004B2F79">
            <w:pPr>
              <w:pStyle w:val="Default"/>
              <w:jc w:val="center"/>
              <w:rPr>
                <w:rFonts w:ascii="Times New Roman" w:hAnsi="Times New Roman" w:cs="Times New Roman"/>
                <w:sz w:val="22"/>
                <w:szCs w:val="22"/>
              </w:rPr>
            </w:pPr>
            <w:r w:rsidRPr="004B2F79">
              <w:rPr>
                <w:rFonts w:ascii="Times New Roman" w:hAnsi="Times New Roman" w:cs="Times New Roman"/>
                <w:sz w:val="22"/>
                <w:szCs w:val="22"/>
              </w:rPr>
              <w:t>1 100</w:t>
            </w:r>
          </w:p>
        </w:tc>
      </w:tr>
      <w:tr w:rsidR="004B2F79" w:rsidRPr="004B2F79" w:rsidTr="004B2F79">
        <w:trPr>
          <w:trHeight w:val="98"/>
        </w:trPr>
        <w:tc>
          <w:tcPr>
            <w:tcW w:w="7191" w:type="dxa"/>
          </w:tcPr>
          <w:p w:rsidR="004B2F79" w:rsidRPr="004B2F79" w:rsidRDefault="004B2F79">
            <w:pPr>
              <w:pStyle w:val="Default"/>
              <w:rPr>
                <w:rFonts w:ascii="Times New Roman" w:hAnsi="Times New Roman" w:cs="Times New Roman"/>
                <w:color w:val="auto"/>
                <w:sz w:val="22"/>
                <w:szCs w:val="22"/>
              </w:rPr>
            </w:pPr>
          </w:p>
          <w:p w:rsidR="004B2F79" w:rsidRPr="004B2F79" w:rsidRDefault="004B2F79">
            <w:pPr>
              <w:pStyle w:val="Default"/>
              <w:rPr>
                <w:rFonts w:ascii="Times New Roman" w:hAnsi="Times New Roman" w:cs="Times New Roman"/>
                <w:sz w:val="22"/>
                <w:szCs w:val="22"/>
              </w:rPr>
            </w:pPr>
            <w:r w:rsidRPr="004B2F79">
              <w:rPr>
                <w:rFonts w:ascii="Times New Roman" w:hAnsi="Times New Roman" w:cs="Times New Roman"/>
                <w:sz w:val="22"/>
                <w:szCs w:val="22"/>
              </w:rPr>
              <w:t xml:space="preserve">5) Number of criminal referrals forwarded to the NPA that are analysed </w:t>
            </w:r>
          </w:p>
          <w:p w:rsidR="004B2F79" w:rsidRPr="004B2F79" w:rsidRDefault="004B2F79">
            <w:pPr>
              <w:pStyle w:val="Default"/>
              <w:rPr>
                <w:rFonts w:ascii="Times New Roman" w:hAnsi="Times New Roman" w:cs="Times New Roman"/>
                <w:sz w:val="22"/>
                <w:szCs w:val="22"/>
              </w:rPr>
            </w:pPr>
          </w:p>
        </w:tc>
        <w:tc>
          <w:tcPr>
            <w:tcW w:w="1661" w:type="dxa"/>
          </w:tcPr>
          <w:p w:rsidR="004B2F79" w:rsidRPr="004B2F79" w:rsidRDefault="004B2F79" w:rsidP="004B2F79">
            <w:pPr>
              <w:pStyle w:val="Default"/>
              <w:jc w:val="center"/>
              <w:rPr>
                <w:rFonts w:ascii="Times New Roman" w:hAnsi="Times New Roman" w:cs="Times New Roman"/>
                <w:sz w:val="22"/>
                <w:szCs w:val="22"/>
              </w:rPr>
            </w:pPr>
            <w:r w:rsidRPr="004B2F79">
              <w:rPr>
                <w:rFonts w:ascii="Times New Roman" w:hAnsi="Times New Roman" w:cs="Times New Roman"/>
                <w:sz w:val="22"/>
                <w:szCs w:val="22"/>
              </w:rPr>
              <w:t>1 500</w:t>
            </w:r>
          </w:p>
        </w:tc>
      </w:tr>
      <w:tr w:rsidR="004B2F79" w:rsidRPr="004B2F79" w:rsidTr="004B2F79">
        <w:trPr>
          <w:trHeight w:val="98"/>
        </w:trPr>
        <w:tc>
          <w:tcPr>
            <w:tcW w:w="7191" w:type="dxa"/>
          </w:tcPr>
          <w:p w:rsidR="004B2F79" w:rsidRPr="004B2F79" w:rsidRDefault="004B2F79">
            <w:pPr>
              <w:pStyle w:val="Default"/>
              <w:rPr>
                <w:rFonts w:ascii="Times New Roman" w:hAnsi="Times New Roman" w:cs="Times New Roman"/>
                <w:color w:val="auto"/>
                <w:sz w:val="22"/>
                <w:szCs w:val="22"/>
              </w:rPr>
            </w:pPr>
          </w:p>
          <w:p w:rsidR="004B2F79" w:rsidRPr="004B2F79" w:rsidRDefault="004B2F79">
            <w:pPr>
              <w:pStyle w:val="Default"/>
              <w:rPr>
                <w:rFonts w:ascii="Times New Roman" w:hAnsi="Times New Roman" w:cs="Times New Roman"/>
                <w:color w:val="auto"/>
                <w:sz w:val="22"/>
                <w:szCs w:val="22"/>
              </w:rPr>
            </w:pPr>
            <w:r w:rsidRPr="004B2F79">
              <w:rPr>
                <w:rFonts w:ascii="Times New Roman" w:hAnsi="Times New Roman" w:cs="Times New Roman"/>
                <w:color w:val="auto"/>
                <w:sz w:val="22"/>
                <w:szCs w:val="22"/>
              </w:rPr>
              <w:t xml:space="preserve">6) Percentage of responses from SAPS and MPS that are analysed </w:t>
            </w:r>
          </w:p>
          <w:p w:rsidR="004B2F79" w:rsidRPr="004B2F79" w:rsidRDefault="004B2F79">
            <w:pPr>
              <w:pStyle w:val="Default"/>
              <w:rPr>
                <w:rFonts w:ascii="Times New Roman" w:hAnsi="Times New Roman" w:cs="Times New Roman"/>
                <w:color w:val="auto"/>
                <w:sz w:val="22"/>
                <w:szCs w:val="22"/>
              </w:rPr>
            </w:pPr>
          </w:p>
        </w:tc>
        <w:tc>
          <w:tcPr>
            <w:tcW w:w="1661" w:type="dxa"/>
          </w:tcPr>
          <w:p w:rsidR="004B2F79" w:rsidRPr="004B2F79" w:rsidRDefault="004B2F79" w:rsidP="004B2F79">
            <w:pPr>
              <w:pStyle w:val="Default"/>
              <w:jc w:val="center"/>
              <w:rPr>
                <w:rFonts w:ascii="Times New Roman" w:hAnsi="Times New Roman" w:cs="Times New Roman"/>
                <w:sz w:val="22"/>
                <w:szCs w:val="22"/>
              </w:rPr>
            </w:pPr>
            <w:r w:rsidRPr="004B2F79">
              <w:rPr>
                <w:rFonts w:ascii="Times New Roman" w:hAnsi="Times New Roman" w:cs="Times New Roman"/>
                <w:sz w:val="22"/>
                <w:szCs w:val="22"/>
              </w:rPr>
              <w:t>60%</w:t>
            </w:r>
          </w:p>
        </w:tc>
      </w:tr>
      <w:tr w:rsidR="004B2F79" w:rsidRPr="004B2F79" w:rsidTr="004B2F79">
        <w:trPr>
          <w:trHeight w:val="98"/>
        </w:trPr>
        <w:tc>
          <w:tcPr>
            <w:tcW w:w="7191" w:type="dxa"/>
          </w:tcPr>
          <w:p w:rsidR="004B2F79" w:rsidRPr="004B2F79" w:rsidRDefault="004B2F79">
            <w:pPr>
              <w:pStyle w:val="Default"/>
              <w:rPr>
                <w:rFonts w:ascii="Times New Roman" w:hAnsi="Times New Roman" w:cs="Times New Roman"/>
                <w:color w:val="auto"/>
                <w:sz w:val="22"/>
                <w:szCs w:val="22"/>
              </w:rPr>
            </w:pPr>
          </w:p>
          <w:p w:rsidR="004B2F79" w:rsidRPr="004B2F79" w:rsidRDefault="004B2F79">
            <w:pPr>
              <w:pStyle w:val="Default"/>
              <w:rPr>
                <w:rFonts w:ascii="Times New Roman" w:hAnsi="Times New Roman" w:cs="Times New Roman"/>
                <w:color w:val="auto"/>
                <w:sz w:val="22"/>
                <w:szCs w:val="22"/>
              </w:rPr>
            </w:pPr>
            <w:r w:rsidRPr="004B2F79">
              <w:rPr>
                <w:rFonts w:ascii="Times New Roman" w:hAnsi="Times New Roman" w:cs="Times New Roman"/>
                <w:color w:val="auto"/>
                <w:sz w:val="22"/>
                <w:szCs w:val="22"/>
              </w:rPr>
              <w:t xml:space="preserve">7) Percentage of responses from NPA that are analysed </w:t>
            </w:r>
          </w:p>
          <w:p w:rsidR="004B2F79" w:rsidRPr="004B2F79" w:rsidRDefault="004B2F79">
            <w:pPr>
              <w:pStyle w:val="Default"/>
              <w:rPr>
                <w:rFonts w:ascii="Times New Roman" w:hAnsi="Times New Roman" w:cs="Times New Roman"/>
                <w:color w:val="auto"/>
                <w:sz w:val="22"/>
                <w:szCs w:val="22"/>
              </w:rPr>
            </w:pPr>
          </w:p>
        </w:tc>
        <w:tc>
          <w:tcPr>
            <w:tcW w:w="1661" w:type="dxa"/>
          </w:tcPr>
          <w:p w:rsidR="004B2F79" w:rsidRPr="004B2F79" w:rsidRDefault="004B2F79" w:rsidP="004B2F79">
            <w:pPr>
              <w:pStyle w:val="Default"/>
              <w:jc w:val="center"/>
              <w:rPr>
                <w:rFonts w:ascii="Times New Roman" w:hAnsi="Times New Roman" w:cs="Times New Roman"/>
                <w:sz w:val="22"/>
                <w:szCs w:val="22"/>
              </w:rPr>
            </w:pPr>
            <w:r w:rsidRPr="004B2F79">
              <w:rPr>
                <w:rFonts w:ascii="Times New Roman" w:hAnsi="Times New Roman" w:cs="Times New Roman"/>
                <w:sz w:val="22"/>
                <w:szCs w:val="22"/>
              </w:rPr>
              <w:t>50%</w:t>
            </w:r>
          </w:p>
        </w:tc>
      </w:tr>
      <w:tr w:rsidR="004B2F79" w:rsidRPr="004B2F79" w:rsidTr="004B2F79">
        <w:trPr>
          <w:trHeight w:val="98"/>
        </w:trPr>
        <w:tc>
          <w:tcPr>
            <w:tcW w:w="7191" w:type="dxa"/>
          </w:tcPr>
          <w:p w:rsidR="004B2F79" w:rsidRPr="004B2F79" w:rsidRDefault="004B2F79">
            <w:pPr>
              <w:pStyle w:val="Default"/>
              <w:rPr>
                <w:rFonts w:ascii="Times New Roman" w:hAnsi="Times New Roman" w:cs="Times New Roman"/>
                <w:color w:val="auto"/>
                <w:sz w:val="22"/>
                <w:szCs w:val="22"/>
              </w:rPr>
            </w:pPr>
          </w:p>
          <w:p w:rsidR="004B2F79" w:rsidRPr="004B2F79" w:rsidRDefault="004B2F79">
            <w:pPr>
              <w:pStyle w:val="Default"/>
              <w:rPr>
                <w:rFonts w:ascii="Times New Roman" w:hAnsi="Times New Roman" w:cs="Times New Roman"/>
                <w:color w:val="auto"/>
                <w:sz w:val="22"/>
                <w:szCs w:val="22"/>
              </w:rPr>
            </w:pPr>
            <w:r w:rsidRPr="004B2F79">
              <w:rPr>
                <w:rFonts w:ascii="Times New Roman" w:hAnsi="Times New Roman" w:cs="Times New Roman"/>
                <w:color w:val="auto"/>
                <w:sz w:val="22"/>
                <w:szCs w:val="22"/>
              </w:rPr>
              <w:t xml:space="preserve">8) Number of case docket inspections conducted per year </w:t>
            </w:r>
          </w:p>
          <w:p w:rsidR="004B2F79" w:rsidRPr="004B2F79" w:rsidRDefault="004B2F79">
            <w:pPr>
              <w:pStyle w:val="Default"/>
              <w:rPr>
                <w:rFonts w:ascii="Times New Roman" w:hAnsi="Times New Roman" w:cs="Times New Roman"/>
                <w:color w:val="auto"/>
                <w:sz w:val="22"/>
                <w:szCs w:val="22"/>
              </w:rPr>
            </w:pPr>
          </w:p>
        </w:tc>
        <w:tc>
          <w:tcPr>
            <w:tcW w:w="1661" w:type="dxa"/>
          </w:tcPr>
          <w:p w:rsidR="004B2F79" w:rsidRPr="004B2F79" w:rsidRDefault="004B2F79" w:rsidP="004B2F79">
            <w:pPr>
              <w:pStyle w:val="Default"/>
              <w:jc w:val="center"/>
              <w:rPr>
                <w:rFonts w:ascii="Times New Roman" w:hAnsi="Times New Roman" w:cs="Times New Roman"/>
                <w:sz w:val="22"/>
                <w:szCs w:val="22"/>
              </w:rPr>
            </w:pPr>
            <w:r w:rsidRPr="004B2F79">
              <w:rPr>
                <w:rFonts w:ascii="Times New Roman" w:hAnsi="Times New Roman" w:cs="Times New Roman"/>
                <w:sz w:val="22"/>
                <w:szCs w:val="22"/>
              </w:rPr>
              <w:t>5</w:t>
            </w:r>
          </w:p>
        </w:tc>
      </w:tr>
    </w:tbl>
    <w:p w:rsidR="004B2F79" w:rsidRPr="004B2F79" w:rsidRDefault="004B2F79" w:rsidP="004B2F7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B2F79">
        <w:rPr>
          <w:rFonts w:ascii="Times New Roman" w:hAnsi="Times New Roman" w:cs="Times New Roman"/>
          <w:b/>
          <w:sz w:val="24"/>
          <w:szCs w:val="24"/>
        </w:rPr>
        <w:t>Source: IPID 2020/21 APP</w:t>
      </w:r>
    </w:p>
    <w:p w:rsidR="006F2E2F" w:rsidRDefault="006F2E2F" w:rsidP="00EB6B72">
      <w:pPr>
        <w:spacing w:line="276" w:lineRule="auto"/>
        <w:jc w:val="both"/>
        <w:rPr>
          <w:rFonts w:ascii="Times New Roman" w:hAnsi="Times New Roman" w:cs="Times New Roman"/>
          <w:b/>
          <w:sz w:val="24"/>
          <w:szCs w:val="24"/>
        </w:rPr>
      </w:pPr>
    </w:p>
    <w:p w:rsidR="00EB6B72" w:rsidRPr="00EB6B72" w:rsidRDefault="00EB6B72" w:rsidP="00EB6B72">
      <w:pPr>
        <w:spacing w:line="276" w:lineRule="auto"/>
        <w:jc w:val="both"/>
        <w:rPr>
          <w:rFonts w:ascii="Times New Roman" w:hAnsi="Times New Roman" w:cs="Times New Roman"/>
          <w:b/>
          <w:sz w:val="24"/>
          <w:szCs w:val="24"/>
        </w:rPr>
      </w:pPr>
      <w:r w:rsidRPr="00EB6B72">
        <w:rPr>
          <w:rFonts w:ascii="Times New Roman" w:hAnsi="Times New Roman" w:cs="Times New Roman"/>
          <w:b/>
          <w:sz w:val="24"/>
          <w:szCs w:val="24"/>
        </w:rPr>
        <w:t xml:space="preserve">4. </w:t>
      </w:r>
      <w:r w:rsidRPr="00EB6B72">
        <w:rPr>
          <w:rFonts w:ascii="Times New Roman" w:hAnsi="Times New Roman" w:cs="Times New Roman"/>
          <w:b/>
          <w:sz w:val="24"/>
          <w:szCs w:val="24"/>
        </w:rPr>
        <w:tab/>
        <w:t>Committee Observations</w:t>
      </w:r>
    </w:p>
    <w:p w:rsidR="00EB6B72" w:rsidRPr="00EB6B72" w:rsidRDefault="00EB6B72" w:rsidP="00EB6B72">
      <w:pPr>
        <w:spacing w:line="276" w:lineRule="auto"/>
        <w:jc w:val="both"/>
        <w:rPr>
          <w:rFonts w:ascii="Times New Roman" w:hAnsi="Times New Roman" w:cs="Times New Roman"/>
          <w:sz w:val="24"/>
          <w:szCs w:val="24"/>
        </w:rPr>
      </w:pPr>
      <w:r w:rsidRPr="00EB6B72">
        <w:rPr>
          <w:rFonts w:ascii="Times New Roman" w:hAnsi="Times New Roman" w:cs="Times New Roman"/>
          <w:sz w:val="24"/>
          <w:szCs w:val="24"/>
        </w:rPr>
        <w:t>The Committee made the follo</w:t>
      </w:r>
      <w:r w:rsidR="0042316F">
        <w:rPr>
          <w:rFonts w:ascii="Times New Roman" w:hAnsi="Times New Roman" w:cs="Times New Roman"/>
          <w:sz w:val="24"/>
          <w:szCs w:val="24"/>
        </w:rPr>
        <w:t>wing observations during the 2020</w:t>
      </w:r>
      <w:r w:rsidRPr="00EB6B72">
        <w:rPr>
          <w:rFonts w:ascii="Times New Roman" w:hAnsi="Times New Roman" w:cs="Times New Roman"/>
          <w:sz w:val="24"/>
          <w:szCs w:val="24"/>
        </w:rPr>
        <w:t>/2</w:t>
      </w:r>
      <w:r w:rsidR="0042316F">
        <w:rPr>
          <w:rFonts w:ascii="Times New Roman" w:hAnsi="Times New Roman" w:cs="Times New Roman"/>
          <w:sz w:val="24"/>
          <w:szCs w:val="24"/>
        </w:rPr>
        <w:t>1</w:t>
      </w:r>
      <w:r w:rsidRPr="00EB6B72">
        <w:rPr>
          <w:rFonts w:ascii="Times New Roman" w:hAnsi="Times New Roman" w:cs="Times New Roman"/>
          <w:sz w:val="24"/>
          <w:szCs w:val="24"/>
        </w:rPr>
        <w:t xml:space="preserve"> budget hearings:</w:t>
      </w:r>
    </w:p>
    <w:p w:rsidR="0042316F" w:rsidRDefault="00EB6B72" w:rsidP="00EB6B72">
      <w:pPr>
        <w:spacing w:line="276" w:lineRule="auto"/>
        <w:ind w:left="720" w:hanging="720"/>
        <w:jc w:val="both"/>
        <w:rPr>
          <w:rFonts w:ascii="Times New Roman" w:hAnsi="Times New Roman" w:cs="Times New Roman"/>
          <w:sz w:val="24"/>
          <w:szCs w:val="24"/>
        </w:rPr>
      </w:pPr>
      <w:r w:rsidRPr="00EB6B72">
        <w:rPr>
          <w:rFonts w:ascii="Times New Roman" w:hAnsi="Times New Roman" w:cs="Times New Roman"/>
          <w:sz w:val="24"/>
          <w:szCs w:val="24"/>
        </w:rPr>
        <w:t>4.1</w:t>
      </w:r>
      <w:r w:rsidRPr="00EB6B72">
        <w:rPr>
          <w:rFonts w:ascii="Times New Roman" w:hAnsi="Times New Roman" w:cs="Times New Roman"/>
          <w:sz w:val="24"/>
          <w:szCs w:val="24"/>
        </w:rPr>
        <w:tab/>
        <w:t>The Committee noted the</w:t>
      </w:r>
      <w:r w:rsidR="0042316F">
        <w:rPr>
          <w:rFonts w:ascii="Times New Roman" w:hAnsi="Times New Roman" w:cs="Times New Roman"/>
          <w:sz w:val="24"/>
          <w:szCs w:val="24"/>
        </w:rPr>
        <w:t xml:space="preserve">ir concern with the reduced IPID budget and it appeared that the core business of IPID Business which was Programme 2 has not been adjusted downwards with respect to its targets. </w:t>
      </w:r>
      <w:r w:rsidR="00A14F14">
        <w:rPr>
          <w:rFonts w:ascii="Times New Roman" w:hAnsi="Times New Roman" w:cs="Times New Roman"/>
          <w:sz w:val="24"/>
          <w:szCs w:val="24"/>
        </w:rPr>
        <w:t xml:space="preserve">The Committee wanted IPID to indicate what their optimal budget was for them to operate at full capacity. </w:t>
      </w:r>
    </w:p>
    <w:p w:rsidR="00EB6B72" w:rsidRDefault="00EB6B72" w:rsidP="00EB6B72">
      <w:pPr>
        <w:spacing w:line="276" w:lineRule="auto"/>
        <w:ind w:left="720" w:hanging="720"/>
        <w:jc w:val="both"/>
        <w:rPr>
          <w:rFonts w:ascii="Times New Roman" w:hAnsi="Times New Roman" w:cs="Times New Roman"/>
          <w:sz w:val="24"/>
          <w:szCs w:val="24"/>
        </w:rPr>
      </w:pPr>
      <w:r w:rsidRPr="00EB6B72">
        <w:rPr>
          <w:rFonts w:ascii="Times New Roman" w:hAnsi="Times New Roman" w:cs="Times New Roman"/>
          <w:sz w:val="24"/>
          <w:szCs w:val="24"/>
        </w:rPr>
        <w:t xml:space="preserve">4.2 </w:t>
      </w:r>
      <w:r w:rsidRPr="00EB6B72">
        <w:rPr>
          <w:rFonts w:ascii="Times New Roman" w:hAnsi="Times New Roman" w:cs="Times New Roman"/>
          <w:sz w:val="24"/>
          <w:szCs w:val="24"/>
        </w:rPr>
        <w:tab/>
        <w:t xml:space="preserve">The Committee </w:t>
      </w:r>
      <w:r w:rsidR="0042316F">
        <w:rPr>
          <w:rFonts w:ascii="Times New Roman" w:hAnsi="Times New Roman" w:cs="Times New Roman"/>
          <w:sz w:val="24"/>
          <w:szCs w:val="24"/>
        </w:rPr>
        <w:t xml:space="preserve">again questioned the funding challenge and budget for IPID as it </w:t>
      </w:r>
      <w:r w:rsidRPr="00EB6B72">
        <w:rPr>
          <w:rFonts w:ascii="Times New Roman" w:hAnsi="Times New Roman" w:cs="Times New Roman"/>
          <w:sz w:val="24"/>
          <w:szCs w:val="24"/>
        </w:rPr>
        <w:t>was</w:t>
      </w:r>
      <w:r w:rsidR="0042316F">
        <w:rPr>
          <w:rFonts w:ascii="Times New Roman" w:hAnsi="Times New Roman" w:cs="Times New Roman"/>
          <w:sz w:val="24"/>
          <w:szCs w:val="24"/>
        </w:rPr>
        <w:t xml:space="preserve"> clearly underfunded in the Compensation of Employees and operations</w:t>
      </w:r>
      <w:r w:rsidR="002C3750">
        <w:rPr>
          <w:rFonts w:ascii="Times New Roman" w:hAnsi="Times New Roman" w:cs="Times New Roman"/>
          <w:sz w:val="24"/>
          <w:szCs w:val="24"/>
        </w:rPr>
        <w:t xml:space="preserve"> and spent over R200 million</w:t>
      </w:r>
      <w:r w:rsidR="0042316F">
        <w:rPr>
          <w:rFonts w:ascii="Times New Roman" w:hAnsi="Times New Roman" w:cs="Times New Roman"/>
          <w:sz w:val="24"/>
          <w:szCs w:val="24"/>
        </w:rPr>
        <w:t xml:space="preserve">. The IPID only has R8.9 million for operations and this was of particular concern given that it wanted to re-open closed offices. </w:t>
      </w:r>
      <w:r w:rsidR="007C4DE5">
        <w:rPr>
          <w:rFonts w:ascii="Times New Roman" w:hAnsi="Times New Roman" w:cs="Times New Roman"/>
          <w:sz w:val="24"/>
          <w:szCs w:val="24"/>
        </w:rPr>
        <w:t>Members pointed out that if those offices were to re-open, they would be expected to be fully operational.</w:t>
      </w:r>
      <w:r w:rsidR="0042316F">
        <w:rPr>
          <w:rFonts w:ascii="Times New Roman" w:hAnsi="Times New Roman" w:cs="Times New Roman"/>
          <w:sz w:val="24"/>
          <w:szCs w:val="24"/>
        </w:rPr>
        <w:t xml:space="preserve">  </w:t>
      </w:r>
      <w:r w:rsidRPr="00EB6B72">
        <w:rPr>
          <w:rFonts w:ascii="Times New Roman" w:hAnsi="Times New Roman" w:cs="Times New Roman"/>
          <w:sz w:val="24"/>
          <w:szCs w:val="24"/>
        </w:rPr>
        <w:t xml:space="preserve"> </w:t>
      </w:r>
    </w:p>
    <w:p w:rsidR="0042316F" w:rsidRPr="0042316F" w:rsidRDefault="0042316F" w:rsidP="0042316F">
      <w:pPr>
        <w:spacing w:line="276" w:lineRule="auto"/>
        <w:ind w:left="720" w:hanging="720"/>
        <w:jc w:val="both"/>
        <w:rPr>
          <w:rFonts w:ascii="Times New Roman" w:hAnsi="Times New Roman" w:cs="Times New Roman"/>
          <w:sz w:val="24"/>
          <w:szCs w:val="24"/>
        </w:rPr>
      </w:pPr>
    </w:p>
    <w:p w:rsidR="00FD5E1D" w:rsidRDefault="00EB6B72" w:rsidP="00EB6B72">
      <w:pPr>
        <w:spacing w:line="276" w:lineRule="auto"/>
        <w:ind w:left="720" w:hanging="720"/>
        <w:jc w:val="both"/>
        <w:rPr>
          <w:rFonts w:ascii="Times New Roman" w:hAnsi="Times New Roman" w:cs="Times New Roman"/>
          <w:sz w:val="24"/>
          <w:szCs w:val="24"/>
        </w:rPr>
      </w:pPr>
      <w:r w:rsidRPr="00EB6B72">
        <w:rPr>
          <w:rFonts w:ascii="Times New Roman" w:hAnsi="Times New Roman" w:cs="Times New Roman"/>
          <w:sz w:val="24"/>
          <w:szCs w:val="24"/>
        </w:rPr>
        <w:t>4.3</w:t>
      </w:r>
      <w:r w:rsidRPr="00EB6B72">
        <w:rPr>
          <w:rFonts w:ascii="Times New Roman" w:hAnsi="Times New Roman" w:cs="Times New Roman"/>
          <w:sz w:val="24"/>
          <w:szCs w:val="24"/>
        </w:rPr>
        <w:tab/>
      </w:r>
      <w:r w:rsidR="00FD5E1D">
        <w:rPr>
          <w:rFonts w:ascii="Times New Roman" w:hAnsi="Times New Roman" w:cs="Times New Roman"/>
          <w:sz w:val="24"/>
          <w:szCs w:val="24"/>
        </w:rPr>
        <w:t>A</w:t>
      </w:r>
      <w:r w:rsidRPr="00EB6B72">
        <w:rPr>
          <w:rFonts w:ascii="Times New Roman" w:hAnsi="Times New Roman" w:cs="Times New Roman"/>
          <w:sz w:val="24"/>
          <w:szCs w:val="24"/>
        </w:rPr>
        <w:t xml:space="preserve"> </w:t>
      </w:r>
      <w:r w:rsidR="0012376D">
        <w:rPr>
          <w:rFonts w:ascii="Times New Roman" w:hAnsi="Times New Roman" w:cs="Times New Roman"/>
          <w:sz w:val="24"/>
          <w:szCs w:val="24"/>
        </w:rPr>
        <w:t xml:space="preserve">Member </w:t>
      </w:r>
      <w:r w:rsidR="00FD5E1D">
        <w:rPr>
          <w:rFonts w:ascii="Times New Roman" w:hAnsi="Times New Roman" w:cs="Times New Roman"/>
          <w:sz w:val="24"/>
          <w:szCs w:val="24"/>
        </w:rPr>
        <w:t>pointed out that the Free State budget allocation was decreasing every year and has decreased from 11.7% to just over 11% during the current budget year. There are clear indications that the number of complaints received in the Free state is the most in the country and the Member wanted to know how the IPID was going to manage the pr</w:t>
      </w:r>
      <w:r w:rsidR="00E87595">
        <w:rPr>
          <w:rFonts w:ascii="Times New Roman" w:hAnsi="Times New Roman" w:cs="Times New Roman"/>
          <w:sz w:val="24"/>
          <w:szCs w:val="24"/>
        </w:rPr>
        <w:t>oblem in</w:t>
      </w:r>
      <w:r w:rsidR="00FD5E1D">
        <w:rPr>
          <w:rFonts w:ascii="Times New Roman" w:hAnsi="Times New Roman" w:cs="Times New Roman"/>
          <w:sz w:val="24"/>
          <w:szCs w:val="24"/>
        </w:rPr>
        <w:t xml:space="preserve"> the province?</w:t>
      </w:r>
    </w:p>
    <w:p w:rsidR="00897621" w:rsidRDefault="00EB6B72" w:rsidP="00EB6B72">
      <w:pPr>
        <w:spacing w:line="276" w:lineRule="auto"/>
        <w:ind w:left="720" w:hanging="720"/>
        <w:jc w:val="both"/>
        <w:rPr>
          <w:rFonts w:ascii="Times New Roman" w:hAnsi="Times New Roman" w:cs="Times New Roman"/>
          <w:sz w:val="24"/>
          <w:szCs w:val="24"/>
        </w:rPr>
      </w:pPr>
      <w:r w:rsidRPr="00EB6B72">
        <w:rPr>
          <w:rFonts w:ascii="Times New Roman" w:hAnsi="Times New Roman" w:cs="Times New Roman"/>
          <w:sz w:val="24"/>
          <w:szCs w:val="24"/>
        </w:rPr>
        <w:t xml:space="preserve">4.4 </w:t>
      </w:r>
      <w:r w:rsidRPr="00EB6B72">
        <w:rPr>
          <w:rFonts w:ascii="Times New Roman" w:hAnsi="Times New Roman" w:cs="Times New Roman"/>
          <w:sz w:val="24"/>
          <w:szCs w:val="24"/>
        </w:rPr>
        <w:tab/>
        <w:t xml:space="preserve">The Committee enquired about the </w:t>
      </w:r>
      <w:r w:rsidR="00897621">
        <w:rPr>
          <w:rFonts w:ascii="Times New Roman" w:hAnsi="Times New Roman" w:cs="Times New Roman"/>
          <w:sz w:val="24"/>
          <w:szCs w:val="24"/>
        </w:rPr>
        <w:t xml:space="preserve">reasons for the increase in the number of complaints of assaults by police officers during the lockdown and wanted an explanation from the Department. </w:t>
      </w:r>
      <w:r w:rsidR="00E87595">
        <w:rPr>
          <w:rFonts w:ascii="Times New Roman" w:hAnsi="Times New Roman" w:cs="Times New Roman"/>
          <w:sz w:val="24"/>
          <w:szCs w:val="24"/>
        </w:rPr>
        <w:t>Members were worried that the case backlogs would increase as a result.</w:t>
      </w:r>
      <w:r w:rsidR="00897621">
        <w:rPr>
          <w:rFonts w:ascii="Times New Roman" w:hAnsi="Times New Roman" w:cs="Times New Roman"/>
          <w:sz w:val="24"/>
          <w:szCs w:val="24"/>
        </w:rPr>
        <w:t xml:space="preserve"> </w:t>
      </w:r>
    </w:p>
    <w:p w:rsidR="00897621" w:rsidRDefault="00EB6B72" w:rsidP="00EB6B72">
      <w:pPr>
        <w:spacing w:line="276" w:lineRule="auto"/>
        <w:ind w:left="720" w:hanging="720"/>
        <w:jc w:val="both"/>
        <w:rPr>
          <w:rFonts w:ascii="Times New Roman" w:hAnsi="Times New Roman" w:cs="Times New Roman"/>
          <w:sz w:val="24"/>
          <w:szCs w:val="24"/>
        </w:rPr>
      </w:pPr>
      <w:r w:rsidRPr="00EB6B72">
        <w:rPr>
          <w:rFonts w:ascii="Times New Roman" w:hAnsi="Times New Roman" w:cs="Times New Roman"/>
          <w:sz w:val="24"/>
          <w:szCs w:val="24"/>
        </w:rPr>
        <w:t>4.5</w:t>
      </w:r>
      <w:r w:rsidRPr="00EB6B72">
        <w:rPr>
          <w:rFonts w:ascii="Times New Roman" w:hAnsi="Times New Roman" w:cs="Times New Roman"/>
          <w:sz w:val="24"/>
          <w:szCs w:val="24"/>
        </w:rPr>
        <w:tab/>
        <w:t xml:space="preserve">The Committee </w:t>
      </w:r>
      <w:r w:rsidR="00897621">
        <w:rPr>
          <w:rFonts w:ascii="Times New Roman" w:hAnsi="Times New Roman" w:cs="Times New Roman"/>
          <w:sz w:val="24"/>
          <w:szCs w:val="24"/>
        </w:rPr>
        <w:t>asked the Department to outline the areas where they have capacity constraints as they only outlined the areas where they have achieved targets</w:t>
      </w:r>
    </w:p>
    <w:p w:rsidR="00854755" w:rsidRDefault="00E87595"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The Committee wanted to know about the numbers of the top management of the SAPS were the target of anti-corruption investigations and how many have been arrested, suspended, arrested and /or convicted. Where there were such cases, Members wanted to know if there were such cases, how long they were under investigation.</w:t>
      </w:r>
    </w:p>
    <w:p w:rsidR="00854755" w:rsidRDefault="00854755"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The Committee noted its displeasure with the fact that the IPID Executive Director has not been appointed and no nominee has been brought to the Committee for approval from the Minister. The Committee noted that the Executive Director had to be appointed at the end of February 2020. The Minister was in cont</w:t>
      </w:r>
      <w:r w:rsidR="00A14F14">
        <w:rPr>
          <w:rFonts w:ascii="Times New Roman" w:hAnsi="Times New Roman" w:cs="Times New Roman"/>
          <w:sz w:val="24"/>
          <w:szCs w:val="24"/>
        </w:rPr>
        <w:t>ravention</w:t>
      </w:r>
      <w:r>
        <w:rPr>
          <w:rFonts w:ascii="Times New Roman" w:hAnsi="Times New Roman" w:cs="Times New Roman"/>
          <w:sz w:val="24"/>
          <w:szCs w:val="24"/>
        </w:rPr>
        <w:t xml:space="preserve"> of the IPID Act by not bringing his nominee to Parliament for approval. This led to instability in the current leadership with acting appointments being made and the Committee wanted this changed as it did not inspire confidence and led to a loss of morale amongst the staff. The Members of the Committee was unanimous in its demand for the appointment of the Executive Director to be made within three months.</w:t>
      </w:r>
    </w:p>
    <w:p w:rsidR="00A14F14" w:rsidRDefault="00854755"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 xml:space="preserve">The Committee noted that the Department was under-performing as they </w:t>
      </w:r>
      <w:r w:rsidR="00A14F14">
        <w:rPr>
          <w:rFonts w:ascii="Times New Roman" w:hAnsi="Times New Roman" w:cs="Times New Roman"/>
          <w:sz w:val="24"/>
          <w:szCs w:val="24"/>
        </w:rPr>
        <w:t xml:space="preserve">have prematurely </w:t>
      </w:r>
      <w:r>
        <w:rPr>
          <w:rFonts w:ascii="Times New Roman" w:hAnsi="Times New Roman" w:cs="Times New Roman"/>
          <w:sz w:val="24"/>
          <w:szCs w:val="24"/>
        </w:rPr>
        <w:t>closed 2015 cases, referred 23 to the NPA without success and they looking for additional space.</w:t>
      </w:r>
    </w:p>
    <w:p w:rsidR="00A14F14" w:rsidRDefault="00A14F14"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Members questioned the matter of decision-ready cases and the fact that the APCOF had made some recommendations. The IPID was asked if they would cooperate with APCOF to rectify the APP targets. Members also wanted to know why they only had five case docket investigations.</w:t>
      </w:r>
    </w:p>
    <w:p w:rsidR="00A14F14" w:rsidRDefault="00A14F14"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4.10</w:t>
      </w:r>
      <w:r>
        <w:rPr>
          <w:rFonts w:ascii="Times New Roman" w:hAnsi="Times New Roman" w:cs="Times New Roman"/>
          <w:sz w:val="24"/>
          <w:szCs w:val="24"/>
        </w:rPr>
        <w:tab/>
        <w:t>The Committee was not satisfied with the IPID’s explanation of the distinction between COVID-19 cases and ordinary cases. The Committee asked what the criteria was for a case to be classified in the COVID-19 category.</w:t>
      </w:r>
    </w:p>
    <w:p w:rsidR="00A14F14" w:rsidRDefault="00A14F14"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4.11</w:t>
      </w:r>
      <w:r>
        <w:rPr>
          <w:rFonts w:ascii="Times New Roman" w:hAnsi="Times New Roman" w:cs="Times New Roman"/>
          <w:sz w:val="24"/>
          <w:szCs w:val="24"/>
        </w:rPr>
        <w:tab/>
        <w:t xml:space="preserve">The Department was asked to provide cases per province and what the case monitoring statistics were. </w:t>
      </w:r>
      <w:r w:rsidR="00854755">
        <w:rPr>
          <w:rFonts w:ascii="Times New Roman" w:hAnsi="Times New Roman" w:cs="Times New Roman"/>
          <w:sz w:val="24"/>
          <w:szCs w:val="24"/>
        </w:rPr>
        <w:tab/>
      </w:r>
    </w:p>
    <w:p w:rsidR="00E87595" w:rsidRDefault="00A14F14"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t xml:space="preserve">The Committee question the IPID if there was any interference in their investigations by the senior management of SAPS </w:t>
      </w:r>
      <w:r w:rsidR="00227075">
        <w:rPr>
          <w:rFonts w:ascii="Times New Roman" w:hAnsi="Times New Roman" w:cs="Times New Roman"/>
          <w:sz w:val="24"/>
          <w:szCs w:val="24"/>
        </w:rPr>
        <w:t xml:space="preserve">or political leaders. Members wanted to know what the root cause of the attitude of police officers was when they abused citizens. Members </w:t>
      </w:r>
      <w:r w:rsidR="00227075">
        <w:rPr>
          <w:rFonts w:ascii="Times New Roman" w:hAnsi="Times New Roman" w:cs="Times New Roman"/>
          <w:sz w:val="24"/>
          <w:szCs w:val="24"/>
        </w:rPr>
        <w:lastRenderedPageBreak/>
        <w:t xml:space="preserve">wanted to know if this attitude was as a result of the training the SAPS received. </w:t>
      </w:r>
      <w:r w:rsidR="003825C9">
        <w:rPr>
          <w:rFonts w:ascii="Times New Roman" w:hAnsi="Times New Roman" w:cs="Times New Roman"/>
          <w:sz w:val="24"/>
          <w:szCs w:val="24"/>
        </w:rPr>
        <w:t xml:space="preserve">Members noted that the role the Minister plays provide a particular culture to police officers.  </w:t>
      </w:r>
      <w:r w:rsidR="00854755">
        <w:rPr>
          <w:rFonts w:ascii="Times New Roman" w:hAnsi="Times New Roman" w:cs="Times New Roman"/>
          <w:sz w:val="24"/>
          <w:szCs w:val="24"/>
        </w:rPr>
        <w:t xml:space="preserve"> </w:t>
      </w:r>
      <w:r w:rsidR="00E87595">
        <w:rPr>
          <w:rFonts w:ascii="Times New Roman" w:hAnsi="Times New Roman" w:cs="Times New Roman"/>
          <w:sz w:val="24"/>
          <w:szCs w:val="24"/>
        </w:rPr>
        <w:t xml:space="preserve">  </w:t>
      </w:r>
    </w:p>
    <w:p w:rsidR="003825C9" w:rsidRDefault="00227075"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4.13</w:t>
      </w:r>
      <w:r>
        <w:rPr>
          <w:rFonts w:ascii="Times New Roman" w:hAnsi="Times New Roman" w:cs="Times New Roman"/>
          <w:sz w:val="24"/>
          <w:szCs w:val="24"/>
        </w:rPr>
        <w:tab/>
      </w:r>
      <w:r w:rsidR="003825C9">
        <w:rPr>
          <w:rFonts w:ascii="Times New Roman" w:hAnsi="Times New Roman" w:cs="Times New Roman"/>
          <w:sz w:val="24"/>
          <w:szCs w:val="24"/>
        </w:rPr>
        <w:t xml:space="preserve">The Committee was reminded that the Committee has powers and obligations with respect to the IPID Amendment Bill and the role of the Committee was to hold the Executive to account. Members asked that Committee enquire about the Amendment Bill and whether it has been signed by the President. There was a second judgement with respect to IPID in the form of the </w:t>
      </w:r>
      <w:proofErr w:type="spellStart"/>
      <w:r w:rsidR="003825C9">
        <w:rPr>
          <w:rFonts w:ascii="Times New Roman" w:hAnsi="Times New Roman" w:cs="Times New Roman"/>
          <w:sz w:val="24"/>
          <w:szCs w:val="24"/>
        </w:rPr>
        <w:t>Khosa</w:t>
      </w:r>
      <w:proofErr w:type="spellEnd"/>
      <w:r w:rsidR="003825C9">
        <w:rPr>
          <w:rFonts w:ascii="Times New Roman" w:hAnsi="Times New Roman" w:cs="Times New Roman"/>
          <w:sz w:val="24"/>
          <w:szCs w:val="24"/>
        </w:rPr>
        <w:t xml:space="preserve"> Judgement and it was time that the Committee look at a possible amendment. Members favoured the principle of independence for IPID as encapsulated in the McBride judgement.</w:t>
      </w:r>
    </w:p>
    <w:p w:rsidR="003825C9" w:rsidRDefault="003709D0"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4.14</w:t>
      </w:r>
      <w:r>
        <w:rPr>
          <w:rFonts w:ascii="Times New Roman" w:hAnsi="Times New Roman" w:cs="Times New Roman"/>
          <w:sz w:val="24"/>
          <w:szCs w:val="24"/>
        </w:rPr>
        <w:tab/>
        <w:t xml:space="preserve">The Committee had an extensive discussion on the implications of the </w:t>
      </w:r>
      <w:proofErr w:type="spellStart"/>
      <w:r>
        <w:rPr>
          <w:rFonts w:ascii="Times New Roman" w:hAnsi="Times New Roman" w:cs="Times New Roman"/>
          <w:sz w:val="24"/>
          <w:szCs w:val="24"/>
        </w:rPr>
        <w:t>Khosa</w:t>
      </w:r>
      <w:proofErr w:type="spellEnd"/>
      <w:r>
        <w:rPr>
          <w:rFonts w:ascii="Times New Roman" w:hAnsi="Times New Roman" w:cs="Times New Roman"/>
          <w:sz w:val="24"/>
          <w:szCs w:val="24"/>
        </w:rPr>
        <w:t xml:space="preserve"> Judgement with respect to the implications of the death of Mr Collins </w:t>
      </w:r>
      <w:proofErr w:type="spellStart"/>
      <w:r>
        <w:rPr>
          <w:rFonts w:ascii="Times New Roman" w:hAnsi="Times New Roman" w:cs="Times New Roman"/>
          <w:sz w:val="24"/>
          <w:szCs w:val="24"/>
        </w:rPr>
        <w:t>Khosa</w:t>
      </w:r>
      <w:proofErr w:type="spellEnd"/>
      <w:r>
        <w:rPr>
          <w:rFonts w:ascii="Times New Roman" w:hAnsi="Times New Roman" w:cs="Times New Roman"/>
          <w:sz w:val="24"/>
          <w:szCs w:val="24"/>
        </w:rPr>
        <w:t>. Members noted that it was an opportunity to uphold the independence of the IPID.</w:t>
      </w:r>
    </w:p>
    <w:p w:rsidR="003709D0" w:rsidRDefault="003709D0"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4.15</w:t>
      </w:r>
      <w:r>
        <w:rPr>
          <w:rFonts w:ascii="Times New Roman" w:hAnsi="Times New Roman" w:cs="Times New Roman"/>
          <w:sz w:val="24"/>
          <w:szCs w:val="24"/>
        </w:rPr>
        <w:tab/>
        <w:t xml:space="preserve">The Committee again questioned the Minister about a case of police brutality in the Stand where a woman was allegedly manhandled by the SAPS. It was pointed out that the </w:t>
      </w:r>
      <w:proofErr w:type="spellStart"/>
      <w:r>
        <w:rPr>
          <w:rFonts w:ascii="Times New Roman" w:hAnsi="Times New Roman" w:cs="Times New Roman"/>
          <w:sz w:val="24"/>
          <w:szCs w:val="24"/>
        </w:rPr>
        <w:t>Khosa</w:t>
      </w:r>
      <w:proofErr w:type="spellEnd"/>
      <w:r>
        <w:rPr>
          <w:rFonts w:ascii="Times New Roman" w:hAnsi="Times New Roman" w:cs="Times New Roman"/>
          <w:sz w:val="24"/>
          <w:szCs w:val="24"/>
        </w:rPr>
        <w:t xml:space="preserve"> judgement stated that the purpose of arrest should not be to punish, scare or harass the individual and the SAPS did that with the woman in Strand. Members also wanted to know how the Ministry and the department intended to implement the </w:t>
      </w:r>
      <w:proofErr w:type="spellStart"/>
      <w:r>
        <w:rPr>
          <w:rFonts w:ascii="Times New Roman" w:hAnsi="Times New Roman" w:cs="Times New Roman"/>
          <w:sz w:val="24"/>
          <w:szCs w:val="24"/>
        </w:rPr>
        <w:t>Khosa</w:t>
      </w:r>
      <w:proofErr w:type="spellEnd"/>
      <w:r>
        <w:rPr>
          <w:rFonts w:ascii="Times New Roman" w:hAnsi="Times New Roman" w:cs="Times New Roman"/>
          <w:sz w:val="24"/>
          <w:szCs w:val="24"/>
        </w:rPr>
        <w:t xml:space="preserve"> judgement.</w:t>
      </w:r>
    </w:p>
    <w:p w:rsidR="003709D0" w:rsidRDefault="003709D0"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4.16</w:t>
      </w:r>
      <w:r>
        <w:rPr>
          <w:rFonts w:ascii="Times New Roman" w:hAnsi="Times New Roman" w:cs="Times New Roman"/>
          <w:sz w:val="24"/>
          <w:szCs w:val="24"/>
        </w:rPr>
        <w:tab/>
        <w:t xml:space="preserve">The Committee was concerned that the SAPS members were not trained in conflict resolution and were not professional enough. They are not equipped to debrief people and the SAPS officers are not properly debriefed themselves. They cannot calm people they police, especially rape survivors and Gender Based Violence survivors. Women were not happy with the service they receive through toll-free numbers.  Police officers should be trained and they should </w:t>
      </w:r>
      <w:r w:rsidR="00B57C2E">
        <w:rPr>
          <w:rFonts w:ascii="Times New Roman" w:hAnsi="Times New Roman" w:cs="Times New Roman"/>
          <w:sz w:val="24"/>
          <w:szCs w:val="24"/>
        </w:rPr>
        <w:t>not be responding to provocation from the public and there should be measures in place to prevent police officers responding.</w:t>
      </w:r>
    </w:p>
    <w:p w:rsidR="00B57C2E" w:rsidRDefault="00B57C2E"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4.17</w:t>
      </w:r>
      <w:r>
        <w:rPr>
          <w:rFonts w:ascii="Times New Roman" w:hAnsi="Times New Roman" w:cs="Times New Roman"/>
          <w:sz w:val="24"/>
          <w:szCs w:val="24"/>
        </w:rPr>
        <w:tab/>
        <w:t xml:space="preserve">The Committee questioned the IPID about the reopening of the </w:t>
      </w:r>
      <w:proofErr w:type="spellStart"/>
      <w:r>
        <w:rPr>
          <w:rFonts w:ascii="Times New Roman" w:hAnsi="Times New Roman" w:cs="Times New Roman"/>
          <w:sz w:val="24"/>
          <w:szCs w:val="24"/>
        </w:rPr>
        <w:t>Miggels</w:t>
      </w:r>
      <w:proofErr w:type="spellEnd"/>
      <w:r>
        <w:rPr>
          <w:rFonts w:ascii="Times New Roman" w:hAnsi="Times New Roman" w:cs="Times New Roman"/>
          <w:sz w:val="24"/>
          <w:szCs w:val="24"/>
        </w:rPr>
        <w:t xml:space="preserve"> case where the police assaulted an individual who subsequently died of a heart attack. The IPID was asked to also look for the journalist that was chased by the police and subsequently fled to Lesotho.</w:t>
      </w:r>
    </w:p>
    <w:p w:rsidR="00B57C2E" w:rsidRDefault="00B57C2E"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4.19</w:t>
      </w:r>
      <w:r>
        <w:rPr>
          <w:rFonts w:ascii="Times New Roman" w:hAnsi="Times New Roman" w:cs="Times New Roman"/>
          <w:sz w:val="24"/>
          <w:szCs w:val="24"/>
        </w:rPr>
        <w:tab/>
        <w:t>Members raised their misgivings about people making complaints to political parties. These complaints should not go to political parties but to the IPID.</w:t>
      </w:r>
    </w:p>
    <w:p w:rsidR="00EB6B72" w:rsidRPr="00EB6B72" w:rsidRDefault="00EB6B72" w:rsidP="00897621">
      <w:pPr>
        <w:spacing w:line="276" w:lineRule="auto"/>
        <w:ind w:left="720" w:hanging="720"/>
        <w:jc w:val="both"/>
        <w:rPr>
          <w:rFonts w:ascii="Times New Roman" w:hAnsi="Times New Roman" w:cs="Times New Roman"/>
          <w:sz w:val="24"/>
          <w:szCs w:val="24"/>
        </w:rPr>
      </w:pPr>
      <w:r w:rsidRPr="00EB6B72">
        <w:rPr>
          <w:rFonts w:ascii="Times New Roman" w:hAnsi="Times New Roman" w:cs="Times New Roman"/>
          <w:sz w:val="24"/>
          <w:szCs w:val="24"/>
        </w:rPr>
        <w:tab/>
        <w:t xml:space="preserve"> </w:t>
      </w:r>
    </w:p>
    <w:p w:rsidR="00897621" w:rsidRPr="00402DD0" w:rsidRDefault="00A03D4D" w:rsidP="00897621">
      <w:pPr>
        <w:spacing w:line="276"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r>
      <w:r w:rsidR="00897621" w:rsidRPr="00402DD0">
        <w:rPr>
          <w:rFonts w:ascii="Times New Roman" w:hAnsi="Times New Roman" w:cs="Times New Roman"/>
          <w:b/>
          <w:sz w:val="24"/>
          <w:szCs w:val="24"/>
        </w:rPr>
        <w:t>IPID Responses</w:t>
      </w:r>
    </w:p>
    <w:p w:rsidR="00A62C50" w:rsidRDefault="00A62C50" w:rsidP="00A62C50">
      <w:pPr>
        <w:spacing w:line="276" w:lineRule="auto"/>
        <w:jc w:val="both"/>
        <w:rPr>
          <w:rFonts w:ascii="Times New Roman" w:hAnsi="Times New Roman" w:cs="Times New Roman"/>
          <w:sz w:val="24"/>
          <w:szCs w:val="24"/>
        </w:rPr>
      </w:pPr>
      <w:r w:rsidRPr="00A62C50">
        <w:rPr>
          <w:rFonts w:ascii="Times New Roman" w:hAnsi="Times New Roman" w:cs="Times New Roman"/>
          <w:sz w:val="24"/>
          <w:szCs w:val="24"/>
        </w:rPr>
        <w:t>I</w:t>
      </w:r>
      <w:r w:rsidR="00897621" w:rsidRPr="00A62C50">
        <w:rPr>
          <w:rFonts w:ascii="Times New Roman" w:hAnsi="Times New Roman" w:cs="Times New Roman"/>
          <w:sz w:val="24"/>
          <w:szCs w:val="24"/>
        </w:rPr>
        <w:t xml:space="preserve">n its response, the IPID stated that the targets for Programme 2 was reviewed after a </w:t>
      </w:r>
      <w:r w:rsidRPr="00A62C50">
        <w:rPr>
          <w:rFonts w:ascii="Times New Roman" w:hAnsi="Times New Roman" w:cs="Times New Roman"/>
          <w:sz w:val="24"/>
          <w:szCs w:val="24"/>
        </w:rPr>
        <w:t>Lekgothla and due to its previous performance, the Department had used historical data</w:t>
      </w:r>
      <w:r w:rsidR="002C3750">
        <w:rPr>
          <w:rFonts w:ascii="Times New Roman" w:hAnsi="Times New Roman" w:cs="Times New Roman"/>
          <w:sz w:val="24"/>
          <w:szCs w:val="24"/>
        </w:rPr>
        <w:t xml:space="preserve">. The performance targets, backlog cases and active cases in the new APP were merged. This resulted in the perceived increase in targets. </w:t>
      </w:r>
    </w:p>
    <w:p w:rsidR="002C3750" w:rsidRDefault="002C3750" w:rsidP="00A62C5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Department also indicated that the APP and the Strategic Plan was conceptualised in consultation with the Department of Performance Monitoring and Evaluation and the IPID was advised to report on the indicators in the Annual Operational Plan.  </w:t>
      </w:r>
    </w:p>
    <w:p w:rsidR="002C3750" w:rsidRDefault="00A62C50" w:rsidP="00A62C50">
      <w:pPr>
        <w:spacing w:line="276" w:lineRule="auto"/>
        <w:jc w:val="both"/>
        <w:rPr>
          <w:rFonts w:ascii="Times New Roman" w:hAnsi="Times New Roman" w:cs="Times New Roman"/>
          <w:sz w:val="24"/>
          <w:szCs w:val="24"/>
        </w:rPr>
      </w:pPr>
      <w:r w:rsidRPr="00A62C50">
        <w:rPr>
          <w:rFonts w:ascii="Times New Roman" w:hAnsi="Times New Roman" w:cs="Times New Roman"/>
          <w:sz w:val="24"/>
          <w:szCs w:val="24"/>
        </w:rPr>
        <w:t>The Department was considering how the satellite offices it wants to re-open, could save the Department money. In view of the great distances that the investigators had to travel to the areas where there were no offices, they incurred huge fuel bills. They would be saving on these costs to re-open the satellite offices and have access to the community.</w:t>
      </w:r>
      <w:r w:rsidR="002C3750">
        <w:rPr>
          <w:rFonts w:ascii="Times New Roman" w:hAnsi="Times New Roman" w:cs="Times New Roman"/>
          <w:sz w:val="24"/>
          <w:szCs w:val="24"/>
        </w:rPr>
        <w:t xml:space="preserve"> The Department would strive to re-prioritise and reduce expenditure on non-core items.</w:t>
      </w:r>
    </w:p>
    <w:p w:rsidR="002C3750" w:rsidRDefault="002C3750" w:rsidP="00A62C5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Department has used the following criteria to consider allocating resources to the provinces: size of the province; case intake numbers and the number of investigators. The Free State province was allocated more investigators </w:t>
      </w:r>
      <w:r w:rsidR="00C255F4">
        <w:rPr>
          <w:rFonts w:ascii="Times New Roman" w:hAnsi="Times New Roman" w:cs="Times New Roman"/>
          <w:sz w:val="24"/>
          <w:szCs w:val="24"/>
        </w:rPr>
        <w:t xml:space="preserve">during the COVID-19 lockdown. </w:t>
      </w:r>
      <w:r>
        <w:rPr>
          <w:rFonts w:ascii="Times New Roman" w:hAnsi="Times New Roman" w:cs="Times New Roman"/>
          <w:sz w:val="24"/>
          <w:szCs w:val="24"/>
        </w:rPr>
        <w:t xml:space="preserve">  </w:t>
      </w:r>
    </w:p>
    <w:p w:rsidR="00A62C50" w:rsidRDefault="002C3750" w:rsidP="00A62C5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Department has also aligned its budget and reprioritised high impact cases such as death, rape, Gender Based Violence and corruption. </w:t>
      </w:r>
    </w:p>
    <w:p w:rsidR="00A62C50" w:rsidRDefault="00A62C50" w:rsidP="00A62C50">
      <w:pPr>
        <w:spacing w:line="276" w:lineRule="auto"/>
        <w:jc w:val="both"/>
        <w:rPr>
          <w:rFonts w:ascii="Times New Roman" w:hAnsi="Times New Roman" w:cs="Times New Roman"/>
          <w:sz w:val="24"/>
          <w:szCs w:val="24"/>
        </w:rPr>
      </w:pPr>
      <w:r>
        <w:rPr>
          <w:rFonts w:ascii="Times New Roman" w:hAnsi="Times New Roman" w:cs="Times New Roman"/>
          <w:sz w:val="24"/>
          <w:szCs w:val="24"/>
        </w:rPr>
        <w:t>As far as relocation was concerned, the Department will move into its new offices procured by the Department of Public works at the end of July. The rental is currently less than what the Department is spending and this will translate into a saving.</w:t>
      </w:r>
    </w:p>
    <w:p w:rsidR="00C255F4" w:rsidRDefault="00A62C50" w:rsidP="00402DD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Department reported that the figures provided on the COVID-19 pandemic was as </w:t>
      </w:r>
      <w:r w:rsidR="00402DD0">
        <w:rPr>
          <w:rFonts w:ascii="Times New Roman" w:hAnsi="Times New Roman" w:cs="Times New Roman"/>
          <w:sz w:val="24"/>
          <w:szCs w:val="24"/>
        </w:rPr>
        <w:t xml:space="preserve">initially presented to the Committee in a presentation and was part of the 403 intake cases, of which 199 was COVID -19 related cases. On the revised presentation, the numbers had increased 828 intake cases, of which 376 were COVID-19 cases. The difference was when the police were conducting COVID -19 operations.  </w:t>
      </w:r>
    </w:p>
    <w:p w:rsidR="007E6670" w:rsidRDefault="00C255F4" w:rsidP="00402DD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IPID was experiencing difficulties in some investigations that were taking long due to the non-availability of post–mortem reports and unavailability of witnesses during the lockdown period. The Department indicated that it was committed to ensure that all cases are fully investigated and has established intervention teams to assist the provinces. The Department is also developing a database on a panel of experts to fast-track the finalisation of cases.  </w:t>
      </w:r>
    </w:p>
    <w:p w:rsidR="007E6670" w:rsidRPr="007E6670" w:rsidRDefault="005466DF" w:rsidP="007E667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acting Executive Director reported that as far </w:t>
      </w:r>
      <w:r w:rsidRPr="009A3D60">
        <w:rPr>
          <w:rFonts w:ascii="Times New Roman" w:hAnsi="Times New Roman" w:cs="Times New Roman"/>
          <w:sz w:val="24"/>
          <w:szCs w:val="24"/>
        </w:rPr>
        <w:t>a</w:t>
      </w:r>
      <w:r w:rsidR="00C558E9" w:rsidRPr="009A3D60">
        <w:rPr>
          <w:rFonts w:ascii="Times New Roman" w:hAnsi="Times New Roman" w:cs="Times New Roman"/>
          <w:sz w:val="24"/>
          <w:szCs w:val="24"/>
        </w:rPr>
        <w:t>s</w:t>
      </w:r>
      <w:r>
        <w:rPr>
          <w:rFonts w:ascii="Times New Roman" w:hAnsi="Times New Roman" w:cs="Times New Roman"/>
          <w:sz w:val="24"/>
          <w:szCs w:val="24"/>
        </w:rPr>
        <w:t xml:space="preserve"> quality a</w:t>
      </w:r>
      <w:r w:rsidR="007E6670" w:rsidRPr="007E6670">
        <w:rPr>
          <w:rFonts w:ascii="Times New Roman" w:hAnsi="Times New Roman" w:cs="Times New Roman"/>
          <w:sz w:val="24"/>
          <w:szCs w:val="24"/>
        </w:rPr>
        <w:t>ssurance on investigations</w:t>
      </w:r>
      <w:r>
        <w:rPr>
          <w:rFonts w:ascii="Times New Roman" w:hAnsi="Times New Roman" w:cs="Times New Roman"/>
          <w:sz w:val="24"/>
          <w:szCs w:val="24"/>
        </w:rPr>
        <w:t xml:space="preserve"> were concerned, </w:t>
      </w:r>
      <w:r w:rsidR="007E6670" w:rsidRPr="007E6670">
        <w:rPr>
          <w:rFonts w:ascii="Times New Roman" w:hAnsi="Times New Roman" w:cs="Times New Roman"/>
          <w:sz w:val="24"/>
          <w:szCs w:val="24"/>
        </w:rPr>
        <w:t xml:space="preserve">some cases </w:t>
      </w:r>
      <w:r>
        <w:rPr>
          <w:rFonts w:ascii="Times New Roman" w:hAnsi="Times New Roman" w:cs="Times New Roman"/>
          <w:sz w:val="24"/>
          <w:szCs w:val="24"/>
        </w:rPr>
        <w:t xml:space="preserve">were </w:t>
      </w:r>
      <w:r w:rsidR="007E6670" w:rsidRPr="007E6670">
        <w:rPr>
          <w:rFonts w:ascii="Times New Roman" w:hAnsi="Times New Roman" w:cs="Times New Roman"/>
          <w:sz w:val="24"/>
          <w:szCs w:val="24"/>
        </w:rPr>
        <w:t>closed prematurely</w:t>
      </w:r>
      <w:r>
        <w:rPr>
          <w:rFonts w:ascii="Times New Roman" w:hAnsi="Times New Roman" w:cs="Times New Roman"/>
          <w:sz w:val="24"/>
          <w:szCs w:val="24"/>
        </w:rPr>
        <w:t xml:space="preserve">. As a result, a directive </w:t>
      </w:r>
      <w:r w:rsidRPr="007E6670">
        <w:rPr>
          <w:rFonts w:ascii="Times New Roman" w:hAnsi="Times New Roman" w:cs="Times New Roman"/>
          <w:sz w:val="24"/>
          <w:szCs w:val="24"/>
        </w:rPr>
        <w:t>has</w:t>
      </w:r>
      <w:r>
        <w:rPr>
          <w:rFonts w:ascii="Times New Roman" w:hAnsi="Times New Roman" w:cs="Times New Roman"/>
          <w:sz w:val="24"/>
          <w:szCs w:val="24"/>
        </w:rPr>
        <w:t xml:space="preserve"> been issued </w:t>
      </w:r>
      <w:r w:rsidRPr="007E6670">
        <w:rPr>
          <w:rFonts w:ascii="Times New Roman" w:hAnsi="Times New Roman" w:cs="Times New Roman"/>
          <w:sz w:val="24"/>
          <w:szCs w:val="24"/>
        </w:rPr>
        <w:t>to</w:t>
      </w:r>
      <w:r w:rsidR="007E6670" w:rsidRPr="007E6670">
        <w:rPr>
          <w:rFonts w:ascii="Times New Roman" w:hAnsi="Times New Roman" w:cs="Times New Roman"/>
          <w:sz w:val="24"/>
          <w:szCs w:val="24"/>
        </w:rPr>
        <w:t xml:space="preserve"> all provincial heads</w:t>
      </w:r>
      <w:r>
        <w:rPr>
          <w:rFonts w:ascii="Times New Roman" w:hAnsi="Times New Roman" w:cs="Times New Roman"/>
          <w:sz w:val="24"/>
          <w:szCs w:val="24"/>
        </w:rPr>
        <w:t xml:space="preserve"> to carefully satisfy themselves that the work has been done, before such cases are closed. The IPID has also e</w:t>
      </w:r>
      <w:r w:rsidR="007E6670" w:rsidRPr="007E6670">
        <w:rPr>
          <w:rFonts w:ascii="Times New Roman" w:hAnsi="Times New Roman" w:cs="Times New Roman"/>
          <w:sz w:val="24"/>
          <w:szCs w:val="24"/>
        </w:rPr>
        <w:t xml:space="preserve">xtended the scope of the statistics confirmation task team, </w:t>
      </w:r>
      <w:r>
        <w:rPr>
          <w:rFonts w:ascii="Times New Roman" w:hAnsi="Times New Roman" w:cs="Times New Roman"/>
          <w:sz w:val="24"/>
          <w:szCs w:val="24"/>
        </w:rPr>
        <w:t xml:space="preserve">with respect to </w:t>
      </w:r>
      <w:r w:rsidR="007E6670" w:rsidRPr="007E6670">
        <w:rPr>
          <w:rFonts w:ascii="Times New Roman" w:hAnsi="Times New Roman" w:cs="Times New Roman"/>
          <w:sz w:val="24"/>
          <w:szCs w:val="24"/>
        </w:rPr>
        <w:t>quality assurance</w:t>
      </w:r>
      <w:r>
        <w:rPr>
          <w:rFonts w:ascii="Times New Roman" w:hAnsi="Times New Roman" w:cs="Times New Roman"/>
          <w:sz w:val="24"/>
          <w:szCs w:val="24"/>
        </w:rPr>
        <w:t xml:space="preserve"> and the </w:t>
      </w:r>
      <w:r w:rsidR="007E6670" w:rsidRPr="007E6670">
        <w:rPr>
          <w:rFonts w:ascii="Times New Roman" w:hAnsi="Times New Roman" w:cs="Times New Roman"/>
          <w:sz w:val="24"/>
          <w:szCs w:val="24"/>
        </w:rPr>
        <w:t>national committee will look into those cases</w:t>
      </w:r>
      <w:r>
        <w:rPr>
          <w:rFonts w:ascii="Times New Roman" w:hAnsi="Times New Roman" w:cs="Times New Roman"/>
          <w:sz w:val="24"/>
          <w:szCs w:val="24"/>
        </w:rPr>
        <w:t>. The IPID is focussing on high impact cases to deal with capacity challenges.</w:t>
      </w:r>
    </w:p>
    <w:p w:rsidR="007E6670" w:rsidRPr="007E6670" w:rsidRDefault="005466DF" w:rsidP="007E6670">
      <w:pPr>
        <w:spacing w:line="276" w:lineRule="auto"/>
        <w:jc w:val="both"/>
        <w:rPr>
          <w:rFonts w:ascii="Times New Roman" w:hAnsi="Times New Roman" w:cs="Times New Roman"/>
          <w:sz w:val="24"/>
          <w:szCs w:val="24"/>
        </w:rPr>
      </w:pPr>
      <w:r>
        <w:rPr>
          <w:rFonts w:ascii="Times New Roman" w:hAnsi="Times New Roman" w:cs="Times New Roman"/>
          <w:sz w:val="24"/>
          <w:szCs w:val="24"/>
        </w:rPr>
        <w:t>A new Communications</w:t>
      </w:r>
      <w:r w:rsidR="007E6670" w:rsidRPr="007E6670">
        <w:rPr>
          <w:rFonts w:ascii="Times New Roman" w:hAnsi="Times New Roman" w:cs="Times New Roman"/>
          <w:sz w:val="24"/>
          <w:szCs w:val="24"/>
        </w:rPr>
        <w:t xml:space="preserve"> </w:t>
      </w:r>
      <w:r>
        <w:rPr>
          <w:rFonts w:ascii="Times New Roman" w:hAnsi="Times New Roman" w:cs="Times New Roman"/>
          <w:sz w:val="24"/>
          <w:szCs w:val="24"/>
        </w:rPr>
        <w:t>Di</w:t>
      </w:r>
      <w:r w:rsidR="007E6670" w:rsidRPr="007E6670">
        <w:rPr>
          <w:rFonts w:ascii="Times New Roman" w:hAnsi="Times New Roman" w:cs="Times New Roman"/>
          <w:sz w:val="24"/>
          <w:szCs w:val="24"/>
        </w:rPr>
        <w:t xml:space="preserve">rector </w:t>
      </w:r>
      <w:r>
        <w:rPr>
          <w:rFonts w:ascii="Times New Roman" w:hAnsi="Times New Roman" w:cs="Times New Roman"/>
          <w:sz w:val="24"/>
          <w:szCs w:val="24"/>
        </w:rPr>
        <w:t>was appointed and will start on I June 2020 after the previous director resigned.</w:t>
      </w:r>
    </w:p>
    <w:p w:rsidR="007E6670" w:rsidRDefault="005466DF" w:rsidP="007E6670">
      <w:pPr>
        <w:spacing w:line="276" w:lineRule="auto"/>
        <w:jc w:val="both"/>
        <w:rPr>
          <w:rFonts w:ascii="Times New Roman" w:hAnsi="Times New Roman" w:cs="Times New Roman"/>
          <w:sz w:val="24"/>
          <w:szCs w:val="24"/>
        </w:rPr>
      </w:pPr>
      <w:r>
        <w:rPr>
          <w:rFonts w:ascii="Times New Roman" w:hAnsi="Times New Roman" w:cs="Times New Roman"/>
          <w:sz w:val="24"/>
          <w:szCs w:val="24"/>
        </w:rPr>
        <w:t>The acting ED responded that t</w:t>
      </w:r>
      <w:r w:rsidR="007E6670" w:rsidRPr="007E6670">
        <w:rPr>
          <w:rFonts w:ascii="Times New Roman" w:hAnsi="Times New Roman" w:cs="Times New Roman"/>
          <w:sz w:val="24"/>
          <w:szCs w:val="24"/>
        </w:rPr>
        <w:t xml:space="preserve">here </w:t>
      </w:r>
      <w:r>
        <w:rPr>
          <w:rFonts w:ascii="Times New Roman" w:hAnsi="Times New Roman" w:cs="Times New Roman"/>
          <w:sz w:val="24"/>
          <w:szCs w:val="24"/>
        </w:rPr>
        <w:t xml:space="preserve">was </w:t>
      </w:r>
      <w:r w:rsidR="007E6670" w:rsidRPr="007E6670">
        <w:rPr>
          <w:rFonts w:ascii="Times New Roman" w:hAnsi="Times New Roman" w:cs="Times New Roman"/>
          <w:sz w:val="24"/>
          <w:szCs w:val="24"/>
        </w:rPr>
        <w:t xml:space="preserve">no issue </w:t>
      </w:r>
      <w:r>
        <w:rPr>
          <w:rFonts w:ascii="Times New Roman" w:hAnsi="Times New Roman" w:cs="Times New Roman"/>
          <w:sz w:val="24"/>
          <w:szCs w:val="24"/>
        </w:rPr>
        <w:t>with the leadership s</w:t>
      </w:r>
      <w:r w:rsidR="007E6670" w:rsidRPr="007E6670">
        <w:rPr>
          <w:rFonts w:ascii="Times New Roman" w:hAnsi="Times New Roman" w:cs="Times New Roman"/>
          <w:sz w:val="24"/>
          <w:szCs w:val="24"/>
        </w:rPr>
        <w:t xml:space="preserve">tability, </w:t>
      </w:r>
      <w:r>
        <w:rPr>
          <w:rFonts w:ascii="Times New Roman" w:hAnsi="Times New Roman" w:cs="Times New Roman"/>
          <w:sz w:val="24"/>
          <w:szCs w:val="24"/>
        </w:rPr>
        <w:t xml:space="preserve">and as the IPID they required </w:t>
      </w:r>
      <w:r w:rsidR="007E6670" w:rsidRPr="007E6670">
        <w:rPr>
          <w:rFonts w:ascii="Times New Roman" w:hAnsi="Times New Roman" w:cs="Times New Roman"/>
          <w:sz w:val="24"/>
          <w:szCs w:val="24"/>
        </w:rPr>
        <w:t>535 p</w:t>
      </w:r>
      <w:r>
        <w:rPr>
          <w:rFonts w:ascii="Times New Roman" w:hAnsi="Times New Roman" w:cs="Times New Roman"/>
          <w:sz w:val="24"/>
          <w:szCs w:val="24"/>
        </w:rPr>
        <w:t xml:space="preserve">eople to operate optimally, but they only had </w:t>
      </w:r>
      <w:r w:rsidR="007E6670" w:rsidRPr="007E6670">
        <w:rPr>
          <w:rFonts w:ascii="Times New Roman" w:hAnsi="Times New Roman" w:cs="Times New Roman"/>
          <w:sz w:val="24"/>
          <w:szCs w:val="24"/>
        </w:rPr>
        <w:t>391 people</w:t>
      </w:r>
      <w:r>
        <w:rPr>
          <w:rFonts w:ascii="Times New Roman" w:hAnsi="Times New Roman" w:cs="Times New Roman"/>
          <w:sz w:val="24"/>
          <w:szCs w:val="24"/>
        </w:rPr>
        <w:t xml:space="preserve"> on their staff establishment.</w:t>
      </w:r>
    </w:p>
    <w:p w:rsidR="005466DF" w:rsidRDefault="005466DF" w:rsidP="007E667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IPID was working with the National Prosecutions Authority’s Investigative Directorate on corruption cases of senior police managers and they have scheduled a meeting in the following week, after which they will know what progress has been made with prosecutions.  </w:t>
      </w:r>
    </w:p>
    <w:p w:rsidR="007E6670" w:rsidRPr="007E6670" w:rsidRDefault="00C355E8" w:rsidP="007E6670">
      <w:pPr>
        <w:spacing w:line="276" w:lineRule="auto"/>
        <w:jc w:val="both"/>
        <w:rPr>
          <w:rFonts w:ascii="Times New Roman" w:hAnsi="Times New Roman" w:cs="Times New Roman"/>
          <w:sz w:val="24"/>
          <w:szCs w:val="24"/>
        </w:rPr>
      </w:pPr>
      <w:r>
        <w:rPr>
          <w:rFonts w:ascii="Times New Roman" w:hAnsi="Times New Roman" w:cs="Times New Roman"/>
          <w:sz w:val="24"/>
          <w:szCs w:val="24"/>
        </w:rPr>
        <w:t>There was a distinction of pre-COVID-19 cases and those encountered and reported during the lockdown. The cases that have occurred during the lockdown are lockdown cases. The c</w:t>
      </w:r>
      <w:r w:rsidR="005466DF">
        <w:rPr>
          <w:rFonts w:ascii="Times New Roman" w:hAnsi="Times New Roman" w:cs="Times New Roman"/>
          <w:sz w:val="24"/>
          <w:szCs w:val="24"/>
        </w:rPr>
        <w:t>ases</w:t>
      </w:r>
      <w:r>
        <w:rPr>
          <w:rFonts w:ascii="Times New Roman" w:hAnsi="Times New Roman" w:cs="Times New Roman"/>
          <w:sz w:val="24"/>
          <w:szCs w:val="24"/>
        </w:rPr>
        <w:t xml:space="preserve"> t</w:t>
      </w:r>
      <w:r w:rsidR="007E6670" w:rsidRPr="007E6670">
        <w:rPr>
          <w:rFonts w:ascii="Times New Roman" w:hAnsi="Times New Roman" w:cs="Times New Roman"/>
          <w:sz w:val="24"/>
          <w:szCs w:val="24"/>
        </w:rPr>
        <w:t>hat happened before lockdown, they are not lockdown cases.</w:t>
      </w:r>
      <w:r>
        <w:rPr>
          <w:rFonts w:ascii="Times New Roman" w:hAnsi="Times New Roman" w:cs="Times New Roman"/>
          <w:sz w:val="24"/>
          <w:szCs w:val="24"/>
        </w:rPr>
        <w:t xml:space="preserve"> Some are </w:t>
      </w:r>
      <w:r w:rsidR="007E6670" w:rsidRPr="007E6670">
        <w:rPr>
          <w:rFonts w:ascii="Times New Roman" w:hAnsi="Times New Roman" w:cs="Times New Roman"/>
          <w:sz w:val="24"/>
          <w:szCs w:val="24"/>
        </w:rPr>
        <w:t>domestic violence cases, not lockdown cases</w:t>
      </w:r>
      <w:r>
        <w:rPr>
          <w:rFonts w:ascii="Times New Roman" w:hAnsi="Times New Roman" w:cs="Times New Roman"/>
          <w:sz w:val="24"/>
          <w:szCs w:val="24"/>
        </w:rPr>
        <w:t>. There were l</w:t>
      </w:r>
      <w:r w:rsidR="007E6670" w:rsidRPr="007E6670">
        <w:rPr>
          <w:rFonts w:ascii="Times New Roman" w:hAnsi="Times New Roman" w:cs="Times New Roman"/>
          <w:sz w:val="24"/>
          <w:szCs w:val="24"/>
        </w:rPr>
        <w:t>imited cases</w:t>
      </w:r>
      <w:r>
        <w:rPr>
          <w:rFonts w:ascii="Times New Roman" w:hAnsi="Times New Roman" w:cs="Times New Roman"/>
          <w:sz w:val="24"/>
          <w:szCs w:val="24"/>
        </w:rPr>
        <w:t xml:space="preserve"> initially and it increased,</w:t>
      </w:r>
      <w:r w:rsidR="007E6670" w:rsidRPr="007E6670">
        <w:rPr>
          <w:rFonts w:ascii="Times New Roman" w:hAnsi="Times New Roman" w:cs="Times New Roman"/>
          <w:sz w:val="24"/>
          <w:szCs w:val="24"/>
        </w:rPr>
        <w:t xml:space="preserve"> and </w:t>
      </w:r>
      <w:r>
        <w:rPr>
          <w:rFonts w:ascii="Times New Roman" w:hAnsi="Times New Roman" w:cs="Times New Roman"/>
          <w:sz w:val="24"/>
          <w:szCs w:val="24"/>
        </w:rPr>
        <w:t xml:space="preserve">as a result, after working with a skeleton staff, the acting ED has requested that all </w:t>
      </w:r>
      <w:r w:rsidR="007E6670" w:rsidRPr="007E6670">
        <w:rPr>
          <w:rFonts w:ascii="Times New Roman" w:hAnsi="Times New Roman" w:cs="Times New Roman"/>
          <w:sz w:val="24"/>
          <w:szCs w:val="24"/>
        </w:rPr>
        <w:t>investigators be brought back in compliance with PPE’s</w:t>
      </w:r>
      <w:r>
        <w:rPr>
          <w:rFonts w:ascii="Times New Roman" w:hAnsi="Times New Roman" w:cs="Times New Roman"/>
          <w:sz w:val="24"/>
          <w:szCs w:val="24"/>
        </w:rPr>
        <w:t>. The</w:t>
      </w:r>
      <w:r w:rsidR="007E6670" w:rsidRPr="007E6670">
        <w:rPr>
          <w:rFonts w:ascii="Times New Roman" w:hAnsi="Times New Roman" w:cs="Times New Roman"/>
          <w:sz w:val="24"/>
          <w:szCs w:val="24"/>
        </w:rPr>
        <w:t>y are dealing with the cases</w:t>
      </w:r>
    </w:p>
    <w:p w:rsidR="00C355E8" w:rsidRDefault="007E6670" w:rsidP="007E6670">
      <w:pPr>
        <w:spacing w:line="276" w:lineRule="auto"/>
        <w:jc w:val="both"/>
        <w:rPr>
          <w:rFonts w:ascii="Times New Roman" w:hAnsi="Times New Roman" w:cs="Times New Roman"/>
          <w:sz w:val="24"/>
          <w:szCs w:val="24"/>
        </w:rPr>
      </w:pPr>
      <w:r w:rsidRPr="007E6670">
        <w:rPr>
          <w:rFonts w:ascii="Times New Roman" w:hAnsi="Times New Roman" w:cs="Times New Roman"/>
          <w:sz w:val="24"/>
          <w:szCs w:val="24"/>
        </w:rPr>
        <w:t xml:space="preserve">APCOF </w:t>
      </w:r>
      <w:r w:rsidR="00C355E8">
        <w:rPr>
          <w:rFonts w:ascii="Times New Roman" w:hAnsi="Times New Roman" w:cs="Times New Roman"/>
          <w:sz w:val="24"/>
          <w:szCs w:val="24"/>
        </w:rPr>
        <w:t>is one of IPID’s external stakeh</w:t>
      </w:r>
      <w:r w:rsidRPr="007E6670">
        <w:rPr>
          <w:rFonts w:ascii="Times New Roman" w:hAnsi="Times New Roman" w:cs="Times New Roman"/>
          <w:sz w:val="24"/>
          <w:szCs w:val="24"/>
        </w:rPr>
        <w:t xml:space="preserve">olders, </w:t>
      </w:r>
      <w:r w:rsidR="00C355E8">
        <w:rPr>
          <w:rFonts w:ascii="Times New Roman" w:hAnsi="Times New Roman" w:cs="Times New Roman"/>
          <w:sz w:val="24"/>
          <w:szCs w:val="24"/>
        </w:rPr>
        <w:t xml:space="preserve">and the IPID was </w:t>
      </w:r>
      <w:r w:rsidRPr="007E6670">
        <w:rPr>
          <w:rFonts w:ascii="Times New Roman" w:hAnsi="Times New Roman" w:cs="Times New Roman"/>
          <w:sz w:val="24"/>
          <w:szCs w:val="24"/>
        </w:rPr>
        <w:t xml:space="preserve">supposed to meet with them to discuss </w:t>
      </w:r>
      <w:r w:rsidR="00C355E8">
        <w:rPr>
          <w:rFonts w:ascii="Times New Roman" w:hAnsi="Times New Roman" w:cs="Times New Roman"/>
          <w:sz w:val="24"/>
          <w:szCs w:val="24"/>
        </w:rPr>
        <w:t>t</w:t>
      </w:r>
      <w:r w:rsidRPr="007E6670">
        <w:rPr>
          <w:rFonts w:ascii="Times New Roman" w:hAnsi="Times New Roman" w:cs="Times New Roman"/>
          <w:sz w:val="24"/>
          <w:szCs w:val="24"/>
        </w:rPr>
        <w:t>he APP and Strat</w:t>
      </w:r>
      <w:r w:rsidR="00C355E8">
        <w:rPr>
          <w:rFonts w:ascii="Times New Roman" w:hAnsi="Times New Roman" w:cs="Times New Roman"/>
          <w:sz w:val="24"/>
          <w:szCs w:val="24"/>
        </w:rPr>
        <w:t>egic P</w:t>
      </w:r>
      <w:r w:rsidRPr="007E6670">
        <w:rPr>
          <w:rFonts w:ascii="Times New Roman" w:hAnsi="Times New Roman" w:cs="Times New Roman"/>
          <w:sz w:val="24"/>
          <w:szCs w:val="24"/>
        </w:rPr>
        <w:t xml:space="preserve">lan, </w:t>
      </w:r>
      <w:r w:rsidR="00C355E8">
        <w:rPr>
          <w:rFonts w:ascii="Times New Roman" w:hAnsi="Times New Roman" w:cs="Times New Roman"/>
          <w:sz w:val="24"/>
          <w:szCs w:val="24"/>
        </w:rPr>
        <w:t xml:space="preserve">but the lockdown interfered. Another attempt is being made to meet with them. </w:t>
      </w:r>
    </w:p>
    <w:p w:rsidR="007E6670" w:rsidRDefault="00C355E8" w:rsidP="007E667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IPID, as a result of the </w:t>
      </w:r>
      <w:r w:rsidR="007E6670" w:rsidRPr="007E6670">
        <w:rPr>
          <w:rFonts w:ascii="Times New Roman" w:hAnsi="Times New Roman" w:cs="Times New Roman"/>
          <w:sz w:val="24"/>
          <w:szCs w:val="24"/>
        </w:rPr>
        <w:t xml:space="preserve">expansion strategy, </w:t>
      </w:r>
      <w:r>
        <w:rPr>
          <w:rFonts w:ascii="Times New Roman" w:hAnsi="Times New Roman" w:cs="Times New Roman"/>
          <w:sz w:val="24"/>
          <w:szCs w:val="24"/>
        </w:rPr>
        <w:t>require</w:t>
      </w:r>
      <w:r w:rsidR="00C558E9" w:rsidRPr="009A3D60">
        <w:rPr>
          <w:rFonts w:ascii="Times New Roman" w:hAnsi="Times New Roman" w:cs="Times New Roman"/>
          <w:sz w:val="24"/>
          <w:szCs w:val="24"/>
        </w:rPr>
        <w:t>d</w:t>
      </w:r>
      <w:r>
        <w:rPr>
          <w:rFonts w:ascii="Times New Roman" w:hAnsi="Times New Roman" w:cs="Times New Roman"/>
          <w:sz w:val="24"/>
          <w:szCs w:val="24"/>
        </w:rPr>
        <w:t xml:space="preserve"> R230 million to </w:t>
      </w:r>
      <w:r w:rsidR="007E6670" w:rsidRPr="007E6670">
        <w:rPr>
          <w:rFonts w:ascii="Times New Roman" w:hAnsi="Times New Roman" w:cs="Times New Roman"/>
          <w:sz w:val="24"/>
          <w:szCs w:val="24"/>
        </w:rPr>
        <w:t>increase the footprint of IPID</w:t>
      </w:r>
      <w:r>
        <w:rPr>
          <w:rFonts w:ascii="Times New Roman" w:hAnsi="Times New Roman" w:cs="Times New Roman"/>
          <w:sz w:val="24"/>
          <w:szCs w:val="24"/>
        </w:rPr>
        <w:t xml:space="preserve"> during the 2019/20 </w:t>
      </w:r>
      <w:r w:rsidR="007E6670" w:rsidRPr="007E6670">
        <w:rPr>
          <w:rFonts w:ascii="Times New Roman" w:hAnsi="Times New Roman" w:cs="Times New Roman"/>
          <w:sz w:val="24"/>
          <w:szCs w:val="24"/>
        </w:rPr>
        <w:t>financial year</w:t>
      </w:r>
      <w:r w:rsidR="00C558E9">
        <w:rPr>
          <w:rFonts w:ascii="Times New Roman" w:hAnsi="Times New Roman" w:cs="Times New Roman"/>
          <w:sz w:val="24"/>
          <w:szCs w:val="24"/>
        </w:rPr>
        <w:t xml:space="preserve"> </w:t>
      </w:r>
      <w:r w:rsidR="00C558E9" w:rsidRPr="009A3D60">
        <w:rPr>
          <w:rFonts w:ascii="Times New Roman" w:hAnsi="Times New Roman" w:cs="Times New Roman"/>
          <w:sz w:val="24"/>
          <w:szCs w:val="24"/>
        </w:rPr>
        <w:t>which was never allocated</w:t>
      </w:r>
      <w:r w:rsidR="00C558E9">
        <w:rPr>
          <w:rFonts w:ascii="Times New Roman" w:hAnsi="Times New Roman" w:cs="Times New Roman"/>
          <w:sz w:val="24"/>
          <w:szCs w:val="24"/>
        </w:rPr>
        <w:t>.</w:t>
      </w:r>
    </w:p>
    <w:p w:rsidR="007E6670" w:rsidRPr="007E6670" w:rsidRDefault="00C355E8" w:rsidP="007E667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IPID reported that they </w:t>
      </w:r>
      <w:r w:rsidRPr="00C355E8">
        <w:rPr>
          <w:rFonts w:ascii="Times New Roman" w:hAnsi="Times New Roman" w:cs="Times New Roman"/>
          <w:sz w:val="24"/>
          <w:szCs w:val="24"/>
        </w:rPr>
        <w:t>despatched a team of investigators to meet with the journalist</w:t>
      </w:r>
      <w:r>
        <w:rPr>
          <w:rFonts w:ascii="Times New Roman" w:hAnsi="Times New Roman" w:cs="Times New Roman"/>
          <w:sz w:val="24"/>
          <w:szCs w:val="24"/>
        </w:rPr>
        <w:t xml:space="preserve"> who alleged that the police abused him and chased him. When they wanted to meet with him, he indicated that he </w:t>
      </w:r>
      <w:r w:rsidR="00C558E9" w:rsidRPr="009A3D60">
        <w:rPr>
          <w:rFonts w:ascii="Times New Roman" w:hAnsi="Times New Roman" w:cs="Times New Roman"/>
          <w:sz w:val="24"/>
          <w:szCs w:val="24"/>
        </w:rPr>
        <w:t>w</w:t>
      </w:r>
      <w:r w:rsidRPr="009A3D60">
        <w:rPr>
          <w:rFonts w:ascii="Times New Roman" w:hAnsi="Times New Roman" w:cs="Times New Roman"/>
          <w:sz w:val="24"/>
          <w:szCs w:val="24"/>
        </w:rPr>
        <w:t>as</w:t>
      </w:r>
      <w:r>
        <w:rPr>
          <w:rFonts w:ascii="Times New Roman" w:hAnsi="Times New Roman" w:cs="Times New Roman"/>
          <w:sz w:val="24"/>
          <w:szCs w:val="24"/>
        </w:rPr>
        <w:t xml:space="preserve"> in a meeting. When they </w:t>
      </w:r>
      <w:r w:rsidRPr="00C355E8">
        <w:rPr>
          <w:rFonts w:ascii="Times New Roman" w:hAnsi="Times New Roman" w:cs="Times New Roman"/>
          <w:sz w:val="24"/>
          <w:szCs w:val="24"/>
        </w:rPr>
        <w:t>were supposed to meet the next day</w:t>
      </w:r>
      <w:r>
        <w:rPr>
          <w:rFonts w:ascii="Times New Roman" w:hAnsi="Times New Roman" w:cs="Times New Roman"/>
          <w:sz w:val="24"/>
          <w:szCs w:val="24"/>
        </w:rPr>
        <w:t xml:space="preserve">, he did not attend and they did not get hold of him. The IPID </w:t>
      </w:r>
      <w:r w:rsidR="007E6670" w:rsidRPr="007E6670">
        <w:rPr>
          <w:rFonts w:ascii="Times New Roman" w:hAnsi="Times New Roman" w:cs="Times New Roman"/>
          <w:sz w:val="24"/>
          <w:szCs w:val="24"/>
        </w:rPr>
        <w:t xml:space="preserve">released a statement that he should come forward, if he feels his life is in danger, </w:t>
      </w:r>
      <w:r>
        <w:rPr>
          <w:rFonts w:ascii="Times New Roman" w:hAnsi="Times New Roman" w:cs="Times New Roman"/>
          <w:sz w:val="24"/>
          <w:szCs w:val="24"/>
        </w:rPr>
        <w:t xml:space="preserve">but the subsequently discovered that he had fled </w:t>
      </w:r>
      <w:r w:rsidR="007E6670" w:rsidRPr="007E6670">
        <w:rPr>
          <w:rFonts w:ascii="Times New Roman" w:hAnsi="Times New Roman" w:cs="Times New Roman"/>
          <w:sz w:val="24"/>
          <w:szCs w:val="24"/>
        </w:rPr>
        <w:t>the country.</w:t>
      </w:r>
    </w:p>
    <w:p w:rsidR="007E6670" w:rsidRPr="007E6670" w:rsidRDefault="00A03D4D" w:rsidP="007E6670">
      <w:pPr>
        <w:spacing w:line="276" w:lineRule="auto"/>
        <w:jc w:val="both"/>
        <w:rPr>
          <w:rFonts w:ascii="Times New Roman" w:hAnsi="Times New Roman" w:cs="Times New Roman"/>
          <w:sz w:val="24"/>
          <w:szCs w:val="24"/>
        </w:rPr>
      </w:pPr>
      <w:r>
        <w:rPr>
          <w:rFonts w:ascii="Times New Roman" w:hAnsi="Times New Roman" w:cs="Times New Roman"/>
          <w:sz w:val="24"/>
          <w:szCs w:val="24"/>
        </w:rPr>
        <w:t>The IPID reported that as far as d</w:t>
      </w:r>
      <w:r w:rsidR="007E6670" w:rsidRPr="007E6670">
        <w:rPr>
          <w:rFonts w:ascii="Times New Roman" w:hAnsi="Times New Roman" w:cs="Times New Roman"/>
          <w:sz w:val="24"/>
          <w:szCs w:val="24"/>
        </w:rPr>
        <w:t>ecision</w:t>
      </w:r>
      <w:r>
        <w:rPr>
          <w:rFonts w:ascii="Times New Roman" w:hAnsi="Times New Roman" w:cs="Times New Roman"/>
          <w:sz w:val="24"/>
          <w:szCs w:val="24"/>
        </w:rPr>
        <w:t>-</w:t>
      </w:r>
      <w:r w:rsidR="007E6670" w:rsidRPr="007E6670">
        <w:rPr>
          <w:rFonts w:ascii="Times New Roman" w:hAnsi="Times New Roman" w:cs="Times New Roman"/>
          <w:sz w:val="24"/>
          <w:szCs w:val="24"/>
        </w:rPr>
        <w:t>ready cases vs the quality</w:t>
      </w:r>
      <w:r>
        <w:rPr>
          <w:rFonts w:ascii="Times New Roman" w:hAnsi="Times New Roman" w:cs="Times New Roman"/>
          <w:sz w:val="24"/>
          <w:szCs w:val="24"/>
        </w:rPr>
        <w:t xml:space="preserve"> of investigations </w:t>
      </w:r>
      <w:r w:rsidR="00C558E9">
        <w:rPr>
          <w:rFonts w:ascii="Times New Roman" w:hAnsi="Times New Roman" w:cs="Times New Roman"/>
          <w:sz w:val="24"/>
          <w:szCs w:val="24"/>
        </w:rPr>
        <w:t>was</w:t>
      </w:r>
      <w:r>
        <w:rPr>
          <w:rFonts w:ascii="Times New Roman" w:hAnsi="Times New Roman" w:cs="Times New Roman"/>
          <w:sz w:val="24"/>
          <w:szCs w:val="24"/>
        </w:rPr>
        <w:t xml:space="preserve"> concerned, they </w:t>
      </w:r>
      <w:r w:rsidR="007E6670" w:rsidRPr="007E6670">
        <w:rPr>
          <w:rFonts w:ascii="Times New Roman" w:hAnsi="Times New Roman" w:cs="Times New Roman"/>
          <w:sz w:val="24"/>
          <w:szCs w:val="24"/>
        </w:rPr>
        <w:t>have such dockets and it</w:t>
      </w:r>
      <w:r>
        <w:rPr>
          <w:rFonts w:ascii="Times New Roman" w:hAnsi="Times New Roman" w:cs="Times New Roman"/>
          <w:sz w:val="24"/>
          <w:szCs w:val="24"/>
        </w:rPr>
        <w:t xml:space="preserve"> is </w:t>
      </w:r>
      <w:r w:rsidR="007E6670" w:rsidRPr="007E6670">
        <w:rPr>
          <w:rFonts w:ascii="Times New Roman" w:hAnsi="Times New Roman" w:cs="Times New Roman"/>
          <w:sz w:val="24"/>
          <w:szCs w:val="24"/>
        </w:rPr>
        <w:t>with the courts</w:t>
      </w:r>
      <w:r>
        <w:rPr>
          <w:rFonts w:ascii="Times New Roman" w:hAnsi="Times New Roman" w:cs="Times New Roman"/>
          <w:sz w:val="24"/>
          <w:szCs w:val="24"/>
        </w:rPr>
        <w:t xml:space="preserve">. The IPID are awaiting </w:t>
      </w:r>
      <w:r w:rsidR="007E6670" w:rsidRPr="007E6670">
        <w:rPr>
          <w:rFonts w:ascii="Times New Roman" w:hAnsi="Times New Roman" w:cs="Times New Roman"/>
          <w:sz w:val="24"/>
          <w:szCs w:val="24"/>
        </w:rPr>
        <w:t>further instructions by the courts</w:t>
      </w:r>
      <w:r>
        <w:rPr>
          <w:rFonts w:ascii="Times New Roman" w:hAnsi="Times New Roman" w:cs="Times New Roman"/>
          <w:sz w:val="24"/>
          <w:szCs w:val="24"/>
        </w:rPr>
        <w:t>.</w:t>
      </w:r>
    </w:p>
    <w:p w:rsidR="007E6670" w:rsidRPr="007E6670" w:rsidRDefault="007E6670" w:rsidP="007E6670">
      <w:pPr>
        <w:spacing w:line="276" w:lineRule="auto"/>
        <w:jc w:val="both"/>
        <w:rPr>
          <w:rFonts w:ascii="Times New Roman" w:hAnsi="Times New Roman" w:cs="Times New Roman"/>
          <w:sz w:val="24"/>
          <w:szCs w:val="24"/>
        </w:rPr>
      </w:pPr>
      <w:r w:rsidRPr="007E6670">
        <w:rPr>
          <w:rFonts w:ascii="Times New Roman" w:hAnsi="Times New Roman" w:cs="Times New Roman"/>
          <w:sz w:val="24"/>
          <w:szCs w:val="24"/>
        </w:rPr>
        <w:t>The case</w:t>
      </w:r>
      <w:r w:rsidR="00EE79E1">
        <w:rPr>
          <w:rFonts w:ascii="Times New Roman" w:hAnsi="Times New Roman" w:cs="Times New Roman"/>
          <w:sz w:val="24"/>
          <w:szCs w:val="24"/>
        </w:rPr>
        <w:t>s</w:t>
      </w:r>
      <w:r w:rsidRPr="007E6670">
        <w:rPr>
          <w:rFonts w:ascii="Times New Roman" w:hAnsi="Times New Roman" w:cs="Times New Roman"/>
          <w:sz w:val="24"/>
          <w:szCs w:val="24"/>
        </w:rPr>
        <w:t xml:space="preserve"> </w:t>
      </w:r>
      <w:r w:rsidR="00EE79E1">
        <w:rPr>
          <w:rFonts w:ascii="Times New Roman" w:hAnsi="Times New Roman" w:cs="Times New Roman"/>
          <w:sz w:val="24"/>
          <w:szCs w:val="24"/>
        </w:rPr>
        <w:t>are</w:t>
      </w:r>
      <w:r w:rsidRPr="007E6670">
        <w:rPr>
          <w:rFonts w:ascii="Times New Roman" w:hAnsi="Times New Roman" w:cs="Times New Roman"/>
          <w:sz w:val="24"/>
          <w:szCs w:val="24"/>
        </w:rPr>
        <w:t xml:space="preserve"> thoroughly</w:t>
      </w:r>
      <w:r w:rsidR="00EE79E1">
        <w:rPr>
          <w:rFonts w:ascii="Times New Roman" w:hAnsi="Times New Roman" w:cs="Times New Roman"/>
          <w:sz w:val="24"/>
          <w:szCs w:val="24"/>
        </w:rPr>
        <w:t xml:space="preserve"> checked </w:t>
      </w:r>
      <w:r w:rsidRPr="007E6670">
        <w:rPr>
          <w:rFonts w:ascii="Times New Roman" w:hAnsi="Times New Roman" w:cs="Times New Roman"/>
          <w:sz w:val="24"/>
          <w:szCs w:val="24"/>
        </w:rPr>
        <w:t xml:space="preserve">by the management in the provinces </w:t>
      </w:r>
      <w:r w:rsidRPr="009A3D60">
        <w:rPr>
          <w:rFonts w:ascii="Times New Roman" w:hAnsi="Times New Roman" w:cs="Times New Roman"/>
          <w:sz w:val="24"/>
          <w:szCs w:val="24"/>
        </w:rPr>
        <w:t>before it</w:t>
      </w:r>
      <w:r w:rsidR="00C558E9" w:rsidRPr="009A3D60">
        <w:rPr>
          <w:rFonts w:ascii="Times New Roman" w:hAnsi="Times New Roman" w:cs="Times New Roman"/>
          <w:sz w:val="24"/>
          <w:szCs w:val="24"/>
        </w:rPr>
        <w:t xml:space="preserve"> is</w:t>
      </w:r>
      <w:r w:rsidRPr="007E6670">
        <w:rPr>
          <w:rFonts w:ascii="Times New Roman" w:hAnsi="Times New Roman" w:cs="Times New Roman"/>
          <w:sz w:val="24"/>
          <w:szCs w:val="24"/>
        </w:rPr>
        <w:t xml:space="preserve"> sent to court, there is a report compiled for the NPA and the other matters are referred to the SAPS </w:t>
      </w:r>
    </w:p>
    <w:p w:rsidR="007E6670" w:rsidRPr="007E6670" w:rsidRDefault="007E6670" w:rsidP="007E6670">
      <w:pPr>
        <w:spacing w:line="276" w:lineRule="auto"/>
        <w:jc w:val="both"/>
        <w:rPr>
          <w:rFonts w:ascii="Times New Roman" w:hAnsi="Times New Roman" w:cs="Times New Roman"/>
          <w:sz w:val="24"/>
          <w:szCs w:val="24"/>
        </w:rPr>
      </w:pPr>
      <w:r w:rsidRPr="007E6670">
        <w:rPr>
          <w:rFonts w:ascii="Times New Roman" w:hAnsi="Times New Roman" w:cs="Times New Roman"/>
          <w:sz w:val="24"/>
          <w:szCs w:val="24"/>
        </w:rPr>
        <w:t>Due to the magnitude of the cases, it is sometimes difficult for our members to respond to those instructions timeously due to the magnitude</w:t>
      </w:r>
    </w:p>
    <w:p w:rsidR="00B57C2E" w:rsidRDefault="00B57C2E" w:rsidP="007E6670">
      <w:pPr>
        <w:spacing w:line="276" w:lineRule="auto"/>
        <w:jc w:val="both"/>
        <w:rPr>
          <w:rFonts w:ascii="Times New Roman" w:hAnsi="Times New Roman" w:cs="Times New Roman"/>
          <w:sz w:val="24"/>
          <w:szCs w:val="24"/>
        </w:rPr>
      </w:pPr>
    </w:p>
    <w:p w:rsidR="00F55DC6" w:rsidRDefault="00A03D4D" w:rsidP="00F55DC6">
      <w:pPr>
        <w:spacing w:line="276"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4.3</w:t>
      </w:r>
      <w:r>
        <w:rPr>
          <w:rFonts w:ascii="Times New Roman" w:hAnsi="Times New Roman" w:cs="Times New Roman"/>
          <w:b/>
          <w:sz w:val="24"/>
          <w:szCs w:val="24"/>
        </w:rPr>
        <w:tab/>
      </w:r>
      <w:r w:rsidR="00B57C2E" w:rsidRPr="00F55DC6">
        <w:rPr>
          <w:rFonts w:ascii="Times New Roman" w:hAnsi="Times New Roman" w:cs="Times New Roman"/>
          <w:b/>
          <w:sz w:val="24"/>
          <w:szCs w:val="24"/>
        </w:rPr>
        <w:t>Deputy Minister’s response</w:t>
      </w:r>
    </w:p>
    <w:p w:rsidR="00F55DC6" w:rsidRDefault="00F55DC6" w:rsidP="00F55DC6">
      <w:pPr>
        <w:spacing w:line="276" w:lineRule="auto"/>
        <w:jc w:val="both"/>
        <w:rPr>
          <w:rFonts w:ascii="Times New Roman" w:hAnsi="Times New Roman" w:cs="Times New Roman"/>
          <w:sz w:val="24"/>
          <w:szCs w:val="24"/>
        </w:rPr>
      </w:pPr>
      <w:r w:rsidRPr="00F55DC6">
        <w:rPr>
          <w:rFonts w:ascii="Times New Roman" w:hAnsi="Times New Roman" w:cs="Times New Roman"/>
          <w:sz w:val="24"/>
          <w:szCs w:val="24"/>
        </w:rPr>
        <w:t xml:space="preserve">The Deputy Minister responded by indicating that he takes seriously the </w:t>
      </w:r>
      <w:r>
        <w:rPr>
          <w:rFonts w:ascii="Times New Roman" w:hAnsi="Times New Roman" w:cs="Times New Roman"/>
          <w:sz w:val="24"/>
          <w:szCs w:val="24"/>
        </w:rPr>
        <w:t>advice the Committee has given and that for IPID to be taken seriously, it has to do its work. It was a task that should be done together with the oversight of the Committee.</w:t>
      </w:r>
    </w:p>
    <w:p w:rsidR="00F55DC6" w:rsidRDefault="00F55DC6" w:rsidP="00F55DC6">
      <w:pPr>
        <w:spacing w:line="276" w:lineRule="auto"/>
        <w:jc w:val="both"/>
        <w:rPr>
          <w:rFonts w:ascii="Times New Roman" w:hAnsi="Times New Roman" w:cs="Times New Roman"/>
          <w:sz w:val="24"/>
          <w:szCs w:val="24"/>
        </w:rPr>
      </w:pPr>
      <w:r w:rsidRPr="00F55DC6">
        <w:rPr>
          <w:rFonts w:ascii="Times New Roman" w:hAnsi="Times New Roman" w:cs="Times New Roman"/>
          <w:sz w:val="24"/>
          <w:szCs w:val="24"/>
        </w:rPr>
        <w:t xml:space="preserve">The question raised by </w:t>
      </w:r>
      <w:r>
        <w:rPr>
          <w:rFonts w:ascii="Times New Roman" w:hAnsi="Times New Roman" w:cs="Times New Roman"/>
          <w:sz w:val="24"/>
          <w:szCs w:val="24"/>
        </w:rPr>
        <w:t xml:space="preserve">the Members show that the </w:t>
      </w:r>
      <w:r w:rsidRPr="00F55DC6">
        <w:rPr>
          <w:rFonts w:ascii="Times New Roman" w:hAnsi="Times New Roman" w:cs="Times New Roman"/>
          <w:sz w:val="24"/>
          <w:szCs w:val="24"/>
        </w:rPr>
        <w:t xml:space="preserve">Committee </w:t>
      </w:r>
      <w:r>
        <w:rPr>
          <w:rFonts w:ascii="Times New Roman" w:hAnsi="Times New Roman" w:cs="Times New Roman"/>
          <w:sz w:val="24"/>
          <w:szCs w:val="24"/>
        </w:rPr>
        <w:t xml:space="preserve">was being reasonable with the Ministry for a long time to bring finality to the matter of the appointment of the appointment of the Executive Director and the </w:t>
      </w:r>
      <w:r w:rsidRPr="00F55DC6">
        <w:rPr>
          <w:rFonts w:ascii="Times New Roman" w:hAnsi="Times New Roman" w:cs="Times New Roman"/>
          <w:sz w:val="24"/>
          <w:szCs w:val="24"/>
        </w:rPr>
        <w:t xml:space="preserve">sooner </w:t>
      </w:r>
      <w:r>
        <w:rPr>
          <w:rFonts w:ascii="Times New Roman" w:hAnsi="Times New Roman" w:cs="Times New Roman"/>
          <w:sz w:val="24"/>
          <w:szCs w:val="24"/>
        </w:rPr>
        <w:t xml:space="preserve">it is settled, </w:t>
      </w:r>
      <w:r w:rsidRPr="00F55DC6">
        <w:rPr>
          <w:rFonts w:ascii="Times New Roman" w:hAnsi="Times New Roman" w:cs="Times New Roman"/>
          <w:sz w:val="24"/>
          <w:szCs w:val="24"/>
        </w:rPr>
        <w:t>the better.</w:t>
      </w:r>
      <w:r w:rsidR="00B13BC0">
        <w:rPr>
          <w:rFonts w:ascii="Times New Roman" w:hAnsi="Times New Roman" w:cs="Times New Roman"/>
          <w:sz w:val="24"/>
          <w:szCs w:val="24"/>
        </w:rPr>
        <w:t xml:space="preserve"> The Deputy Minister reported that there are m</w:t>
      </w:r>
      <w:r w:rsidRPr="00F55DC6">
        <w:rPr>
          <w:rFonts w:ascii="Times New Roman" w:hAnsi="Times New Roman" w:cs="Times New Roman"/>
          <w:sz w:val="24"/>
          <w:szCs w:val="24"/>
        </w:rPr>
        <w:t xml:space="preserve">echanisms of how people </w:t>
      </w:r>
      <w:r w:rsidR="00B13BC0">
        <w:rPr>
          <w:rFonts w:ascii="Times New Roman" w:hAnsi="Times New Roman" w:cs="Times New Roman"/>
          <w:sz w:val="24"/>
          <w:szCs w:val="24"/>
        </w:rPr>
        <w:t xml:space="preserve">can </w:t>
      </w:r>
      <w:r w:rsidRPr="00F55DC6">
        <w:rPr>
          <w:rFonts w:ascii="Times New Roman" w:hAnsi="Times New Roman" w:cs="Times New Roman"/>
          <w:sz w:val="24"/>
          <w:szCs w:val="24"/>
        </w:rPr>
        <w:t>report their problems</w:t>
      </w:r>
      <w:r w:rsidR="00B13BC0">
        <w:rPr>
          <w:rFonts w:ascii="Times New Roman" w:hAnsi="Times New Roman" w:cs="Times New Roman"/>
          <w:sz w:val="24"/>
          <w:szCs w:val="24"/>
        </w:rPr>
        <w:t xml:space="preserve"> and that they should use the 0800 numbers, the toll-free numbers, life line numbers. If all of that fails, there is recourse to </w:t>
      </w:r>
      <w:r w:rsidR="00B13BC0">
        <w:rPr>
          <w:rFonts w:ascii="Times New Roman" w:hAnsi="Times New Roman" w:cs="Times New Roman"/>
          <w:sz w:val="24"/>
          <w:szCs w:val="24"/>
        </w:rPr>
        <w:lastRenderedPageBreak/>
        <w:t>the Commissioners and the Ministry. The SAPS is also trying to communicate with people and people should use their station commissioners and provincial commissioners to report.</w:t>
      </w:r>
    </w:p>
    <w:p w:rsidR="00F55DC6" w:rsidRDefault="00B13BC0" w:rsidP="00F55DC6">
      <w:pPr>
        <w:spacing w:line="276" w:lineRule="auto"/>
        <w:jc w:val="both"/>
        <w:rPr>
          <w:rFonts w:ascii="Times New Roman" w:hAnsi="Times New Roman" w:cs="Times New Roman"/>
          <w:sz w:val="24"/>
          <w:szCs w:val="24"/>
        </w:rPr>
      </w:pPr>
      <w:r>
        <w:rPr>
          <w:rFonts w:ascii="Times New Roman" w:hAnsi="Times New Roman" w:cs="Times New Roman"/>
          <w:sz w:val="24"/>
          <w:szCs w:val="24"/>
        </w:rPr>
        <w:t>The Deputy Minister reported that m</w:t>
      </w:r>
      <w:r w:rsidR="00F55DC6" w:rsidRPr="00F55DC6">
        <w:rPr>
          <w:rFonts w:ascii="Times New Roman" w:hAnsi="Times New Roman" w:cs="Times New Roman"/>
          <w:sz w:val="24"/>
          <w:szCs w:val="24"/>
        </w:rPr>
        <w:t xml:space="preserve">ost of the cases that IPID is involved with, </w:t>
      </w:r>
      <w:r>
        <w:rPr>
          <w:rFonts w:ascii="Times New Roman" w:hAnsi="Times New Roman" w:cs="Times New Roman"/>
          <w:sz w:val="24"/>
          <w:szCs w:val="24"/>
        </w:rPr>
        <w:t xml:space="preserve">because the public raised it and that is why </w:t>
      </w:r>
      <w:r w:rsidR="00F55DC6" w:rsidRPr="00F55DC6">
        <w:rPr>
          <w:rFonts w:ascii="Times New Roman" w:hAnsi="Times New Roman" w:cs="Times New Roman"/>
          <w:sz w:val="24"/>
          <w:szCs w:val="24"/>
        </w:rPr>
        <w:t xml:space="preserve">the </w:t>
      </w:r>
      <w:proofErr w:type="spellStart"/>
      <w:r w:rsidR="00F55DC6" w:rsidRPr="00F55DC6">
        <w:rPr>
          <w:rFonts w:ascii="Times New Roman" w:hAnsi="Times New Roman" w:cs="Times New Roman"/>
          <w:sz w:val="24"/>
          <w:szCs w:val="24"/>
        </w:rPr>
        <w:t>Khosa</w:t>
      </w:r>
      <w:proofErr w:type="spellEnd"/>
      <w:r w:rsidR="00F55DC6" w:rsidRPr="00F55DC6">
        <w:rPr>
          <w:rFonts w:ascii="Times New Roman" w:hAnsi="Times New Roman" w:cs="Times New Roman"/>
          <w:sz w:val="24"/>
          <w:szCs w:val="24"/>
        </w:rPr>
        <w:t xml:space="preserve"> case</w:t>
      </w:r>
      <w:r>
        <w:rPr>
          <w:rFonts w:ascii="Times New Roman" w:hAnsi="Times New Roman" w:cs="Times New Roman"/>
          <w:sz w:val="24"/>
          <w:szCs w:val="24"/>
        </w:rPr>
        <w:t xml:space="preserve"> was included. </w:t>
      </w:r>
    </w:p>
    <w:p w:rsidR="00F55DC6" w:rsidRPr="00F55DC6" w:rsidRDefault="00B13BC0" w:rsidP="00F55DC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He appealed to the Committee Members </w:t>
      </w:r>
      <w:r w:rsidR="00F55DC6" w:rsidRPr="00F55DC6">
        <w:rPr>
          <w:rFonts w:ascii="Times New Roman" w:hAnsi="Times New Roman" w:cs="Times New Roman"/>
          <w:sz w:val="24"/>
          <w:szCs w:val="24"/>
        </w:rPr>
        <w:t>who witnesses something, they should feel free to communicate with the Commissioner or the Minister, PC or station commissioner</w:t>
      </w:r>
      <w:r>
        <w:rPr>
          <w:rFonts w:ascii="Times New Roman" w:hAnsi="Times New Roman" w:cs="Times New Roman"/>
          <w:sz w:val="24"/>
          <w:szCs w:val="24"/>
        </w:rPr>
        <w:t xml:space="preserve">. The SAPS have also developed a </w:t>
      </w:r>
      <w:r w:rsidR="00F55DC6" w:rsidRPr="00F55DC6">
        <w:rPr>
          <w:rFonts w:ascii="Times New Roman" w:hAnsi="Times New Roman" w:cs="Times New Roman"/>
          <w:sz w:val="24"/>
          <w:szCs w:val="24"/>
        </w:rPr>
        <w:t>directory of contacts so that people can easily and without difficulty contact the right officials</w:t>
      </w:r>
      <w:r>
        <w:rPr>
          <w:rFonts w:ascii="Times New Roman" w:hAnsi="Times New Roman" w:cs="Times New Roman"/>
          <w:sz w:val="24"/>
          <w:szCs w:val="24"/>
        </w:rPr>
        <w:t xml:space="preserve">. </w:t>
      </w:r>
      <w:r w:rsidR="00F55DC6" w:rsidRPr="00F55DC6">
        <w:rPr>
          <w:rFonts w:ascii="Times New Roman" w:hAnsi="Times New Roman" w:cs="Times New Roman"/>
          <w:sz w:val="24"/>
          <w:szCs w:val="24"/>
        </w:rPr>
        <w:t xml:space="preserve">Any </w:t>
      </w:r>
      <w:r>
        <w:rPr>
          <w:rFonts w:ascii="Times New Roman" w:hAnsi="Times New Roman" w:cs="Times New Roman"/>
          <w:sz w:val="24"/>
          <w:szCs w:val="24"/>
        </w:rPr>
        <w:t xml:space="preserve">police officer </w:t>
      </w:r>
      <w:r w:rsidR="00F55DC6" w:rsidRPr="00F55DC6">
        <w:rPr>
          <w:rFonts w:ascii="Times New Roman" w:hAnsi="Times New Roman" w:cs="Times New Roman"/>
          <w:sz w:val="24"/>
          <w:szCs w:val="24"/>
        </w:rPr>
        <w:t>who does not comply with the spirit of the constitution, w</w:t>
      </w:r>
      <w:r>
        <w:rPr>
          <w:rFonts w:ascii="Times New Roman" w:hAnsi="Times New Roman" w:cs="Times New Roman"/>
          <w:sz w:val="24"/>
          <w:szCs w:val="24"/>
        </w:rPr>
        <w:t xml:space="preserve">ould </w:t>
      </w:r>
      <w:r w:rsidR="00F55DC6" w:rsidRPr="00F55DC6">
        <w:rPr>
          <w:rFonts w:ascii="Times New Roman" w:hAnsi="Times New Roman" w:cs="Times New Roman"/>
          <w:sz w:val="24"/>
          <w:szCs w:val="24"/>
        </w:rPr>
        <w:t>be dealt with seriously, include police officers who violate the rights of everyone.</w:t>
      </w:r>
    </w:p>
    <w:p w:rsidR="00F55DC6" w:rsidRPr="00F55DC6" w:rsidRDefault="00F55DC6" w:rsidP="00F55DC6">
      <w:pPr>
        <w:spacing w:line="276" w:lineRule="auto"/>
        <w:jc w:val="both"/>
        <w:rPr>
          <w:rFonts w:ascii="Times New Roman" w:hAnsi="Times New Roman" w:cs="Times New Roman"/>
          <w:sz w:val="24"/>
          <w:szCs w:val="24"/>
        </w:rPr>
      </w:pPr>
      <w:r w:rsidRPr="00F55DC6">
        <w:rPr>
          <w:rFonts w:ascii="Times New Roman" w:hAnsi="Times New Roman" w:cs="Times New Roman"/>
          <w:sz w:val="24"/>
          <w:szCs w:val="24"/>
        </w:rPr>
        <w:t xml:space="preserve">It has not been easy 25 years into democracy, </w:t>
      </w:r>
      <w:r w:rsidR="00B13BC0">
        <w:rPr>
          <w:rFonts w:ascii="Times New Roman" w:hAnsi="Times New Roman" w:cs="Times New Roman"/>
          <w:sz w:val="24"/>
          <w:szCs w:val="24"/>
        </w:rPr>
        <w:t xml:space="preserve">to accept </w:t>
      </w:r>
      <w:r w:rsidRPr="00F55DC6">
        <w:rPr>
          <w:rFonts w:ascii="Times New Roman" w:hAnsi="Times New Roman" w:cs="Times New Roman"/>
          <w:sz w:val="24"/>
          <w:szCs w:val="24"/>
        </w:rPr>
        <w:t>what the security forces have do</w:t>
      </w:r>
      <w:r w:rsidR="00B13BC0">
        <w:rPr>
          <w:rFonts w:ascii="Times New Roman" w:hAnsi="Times New Roman" w:cs="Times New Roman"/>
          <w:sz w:val="24"/>
          <w:szCs w:val="24"/>
        </w:rPr>
        <w:t>n</w:t>
      </w:r>
      <w:r w:rsidRPr="00F55DC6">
        <w:rPr>
          <w:rFonts w:ascii="Times New Roman" w:hAnsi="Times New Roman" w:cs="Times New Roman"/>
          <w:sz w:val="24"/>
          <w:szCs w:val="24"/>
        </w:rPr>
        <w:t xml:space="preserve">e, but </w:t>
      </w:r>
      <w:r w:rsidR="00B13BC0">
        <w:rPr>
          <w:rFonts w:ascii="Times New Roman" w:hAnsi="Times New Roman" w:cs="Times New Roman"/>
          <w:sz w:val="24"/>
          <w:szCs w:val="24"/>
        </w:rPr>
        <w:t xml:space="preserve">such incidents are still </w:t>
      </w:r>
      <w:r w:rsidRPr="00F55DC6">
        <w:rPr>
          <w:rFonts w:ascii="Times New Roman" w:hAnsi="Times New Roman" w:cs="Times New Roman"/>
          <w:sz w:val="24"/>
          <w:szCs w:val="24"/>
        </w:rPr>
        <w:t>encounter</w:t>
      </w:r>
      <w:r w:rsidR="00B13BC0">
        <w:rPr>
          <w:rFonts w:ascii="Times New Roman" w:hAnsi="Times New Roman" w:cs="Times New Roman"/>
          <w:sz w:val="24"/>
          <w:szCs w:val="24"/>
        </w:rPr>
        <w:t xml:space="preserve">ed, but the blame cannot be shifted. The </w:t>
      </w:r>
      <w:r w:rsidRPr="00F55DC6">
        <w:rPr>
          <w:rFonts w:ascii="Times New Roman" w:hAnsi="Times New Roman" w:cs="Times New Roman"/>
          <w:sz w:val="24"/>
          <w:szCs w:val="24"/>
        </w:rPr>
        <w:t>SAPS should become the pride of all South Africans</w:t>
      </w:r>
      <w:r w:rsidR="00B13BC0">
        <w:rPr>
          <w:rFonts w:ascii="Times New Roman" w:hAnsi="Times New Roman" w:cs="Times New Roman"/>
          <w:sz w:val="24"/>
          <w:szCs w:val="24"/>
        </w:rPr>
        <w:t xml:space="preserve">. </w:t>
      </w:r>
    </w:p>
    <w:p w:rsidR="00F55DC6" w:rsidRDefault="00B13BC0" w:rsidP="00F55DC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IPID </w:t>
      </w:r>
      <w:r w:rsidR="00F55DC6" w:rsidRPr="00F55DC6">
        <w:rPr>
          <w:rFonts w:ascii="Times New Roman" w:hAnsi="Times New Roman" w:cs="Times New Roman"/>
          <w:sz w:val="24"/>
          <w:szCs w:val="24"/>
        </w:rPr>
        <w:t xml:space="preserve">Amendment Bill </w:t>
      </w:r>
      <w:r w:rsidRPr="009A3D60">
        <w:rPr>
          <w:rFonts w:ascii="Times New Roman" w:hAnsi="Times New Roman" w:cs="Times New Roman"/>
          <w:sz w:val="24"/>
          <w:szCs w:val="24"/>
        </w:rPr>
        <w:t>w</w:t>
      </w:r>
      <w:r w:rsidR="00C869F9" w:rsidRPr="009A3D60">
        <w:rPr>
          <w:rFonts w:ascii="Times New Roman" w:hAnsi="Times New Roman" w:cs="Times New Roman"/>
          <w:sz w:val="24"/>
          <w:szCs w:val="24"/>
        </w:rPr>
        <w:t>ill</w:t>
      </w:r>
      <w:r>
        <w:rPr>
          <w:rFonts w:ascii="Times New Roman" w:hAnsi="Times New Roman" w:cs="Times New Roman"/>
          <w:sz w:val="24"/>
          <w:szCs w:val="24"/>
        </w:rPr>
        <w:t xml:space="preserve"> be </w:t>
      </w:r>
      <w:r w:rsidR="00F55DC6" w:rsidRPr="00F55DC6">
        <w:rPr>
          <w:rFonts w:ascii="Times New Roman" w:hAnsi="Times New Roman" w:cs="Times New Roman"/>
          <w:sz w:val="24"/>
          <w:szCs w:val="24"/>
        </w:rPr>
        <w:t>present</w:t>
      </w:r>
      <w:r>
        <w:rPr>
          <w:rFonts w:ascii="Times New Roman" w:hAnsi="Times New Roman" w:cs="Times New Roman"/>
          <w:sz w:val="24"/>
          <w:szCs w:val="24"/>
        </w:rPr>
        <w:t>ed</w:t>
      </w:r>
      <w:r w:rsidR="00F55DC6" w:rsidRPr="00F55DC6">
        <w:rPr>
          <w:rFonts w:ascii="Times New Roman" w:hAnsi="Times New Roman" w:cs="Times New Roman"/>
          <w:sz w:val="24"/>
          <w:szCs w:val="24"/>
        </w:rPr>
        <w:t xml:space="preserve"> </w:t>
      </w:r>
      <w:r w:rsidR="00C869F9">
        <w:rPr>
          <w:rFonts w:ascii="Times New Roman" w:hAnsi="Times New Roman" w:cs="Times New Roman"/>
          <w:sz w:val="24"/>
          <w:szCs w:val="24"/>
        </w:rPr>
        <w:t xml:space="preserve">to Parliament </w:t>
      </w:r>
      <w:r w:rsidR="00F55DC6" w:rsidRPr="00F55DC6">
        <w:rPr>
          <w:rFonts w:ascii="Times New Roman" w:hAnsi="Times New Roman" w:cs="Times New Roman"/>
          <w:sz w:val="24"/>
          <w:szCs w:val="24"/>
        </w:rPr>
        <w:t xml:space="preserve">in the first quarter </w:t>
      </w:r>
      <w:r>
        <w:rPr>
          <w:rFonts w:ascii="Times New Roman" w:hAnsi="Times New Roman" w:cs="Times New Roman"/>
          <w:sz w:val="24"/>
          <w:szCs w:val="24"/>
        </w:rPr>
        <w:t xml:space="preserve">of </w:t>
      </w:r>
      <w:r w:rsidR="00F55DC6" w:rsidRPr="00F55DC6">
        <w:rPr>
          <w:rFonts w:ascii="Times New Roman" w:hAnsi="Times New Roman" w:cs="Times New Roman"/>
          <w:sz w:val="24"/>
          <w:szCs w:val="24"/>
        </w:rPr>
        <w:t>2021</w:t>
      </w:r>
      <w:r>
        <w:rPr>
          <w:rFonts w:ascii="Times New Roman" w:hAnsi="Times New Roman" w:cs="Times New Roman"/>
          <w:sz w:val="24"/>
          <w:szCs w:val="24"/>
        </w:rPr>
        <w:t>. As far as the appointment of the IPID Executive Director was concerned, the Ministry have started a h</w:t>
      </w:r>
      <w:r w:rsidR="00F55DC6" w:rsidRPr="00F55DC6">
        <w:rPr>
          <w:rFonts w:ascii="Times New Roman" w:hAnsi="Times New Roman" w:cs="Times New Roman"/>
          <w:sz w:val="24"/>
          <w:szCs w:val="24"/>
        </w:rPr>
        <w:t>ead</w:t>
      </w:r>
      <w:r>
        <w:rPr>
          <w:rFonts w:ascii="Times New Roman" w:hAnsi="Times New Roman" w:cs="Times New Roman"/>
          <w:sz w:val="24"/>
          <w:szCs w:val="24"/>
        </w:rPr>
        <w:t>-</w:t>
      </w:r>
      <w:r w:rsidR="00F55DC6" w:rsidRPr="00F55DC6">
        <w:rPr>
          <w:rFonts w:ascii="Times New Roman" w:hAnsi="Times New Roman" w:cs="Times New Roman"/>
          <w:sz w:val="24"/>
          <w:szCs w:val="24"/>
        </w:rPr>
        <w:t xml:space="preserve"> hunting process, </w:t>
      </w:r>
      <w:r w:rsidRPr="009A3D60">
        <w:rPr>
          <w:rFonts w:ascii="Times New Roman" w:hAnsi="Times New Roman" w:cs="Times New Roman"/>
          <w:sz w:val="24"/>
          <w:szCs w:val="24"/>
        </w:rPr>
        <w:t xml:space="preserve">but </w:t>
      </w:r>
      <w:r w:rsidR="00C869F9" w:rsidRPr="009A3D60">
        <w:rPr>
          <w:rFonts w:ascii="Times New Roman" w:hAnsi="Times New Roman" w:cs="Times New Roman"/>
          <w:sz w:val="24"/>
          <w:szCs w:val="24"/>
        </w:rPr>
        <w:t>this is still subject to a recruitment process</w:t>
      </w:r>
      <w:r w:rsidR="00C869F9">
        <w:rPr>
          <w:rFonts w:ascii="Times New Roman" w:hAnsi="Times New Roman" w:cs="Times New Roman"/>
          <w:sz w:val="24"/>
          <w:szCs w:val="24"/>
        </w:rPr>
        <w:t xml:space="preserve">. </w:t>
      </w:r>
      <w:r w:rsidR="00D70882">
        <w:rPr>
          <w:rFonts w:ascii="Times New Roman" w:hAnsi="Times New Roman" w:cs="Times New Roman"/>
          <w:sz w:val="24"/>
          <w:szCs w:val="24"/>
        </w:rPr>
        <w:t xml:space="preserve">The </w:t>
      </w:r>
      <w:r w:rsidR="002477DD" w:rsidRPr="009A3D60">
        <w:rPr>
          <w:rFonts w:ascii="Times New Roman" w:hAnsi="Times New Roman" w:cs="Times New Roman"/>
          <w:sz w:val="24"/>
          <w:szCs w:val="24"/>
        </w:rPr>
        <w:t xml:space="preserve">head-hunting </w:t>
      </w:r>
      <w:r w:rsidR="00D70882" w:rsidRPr="009A3D60">
        <w:rPr>
          <w:rFonts w:ascii="Times New Roman" w:hAnsi="Times New Roman" w:cs="Times New Roman"/>
          <w:sz w:val="24"/>
          <w:szCs w:val="24"/>
        </w:rPr>
        <w:t xml:space="preserve">process was started </w:t>
      </w:r>
      <w:r w:rsidR="002477DD" w:rsidRPr="009A3D60">
        <w:rPr>
          <w:rFonts w:ascii="Times New Roman" w:hAnsi="Times New Roman" w:cs="Times New Roman"/>
          <w:sz w:val="24"/>
          <w:szCs w:val="24"/>
        </w:rPr>
        <w:t xml:space="preserve">but </w:t>
      </w:r>
      <w:r w:rsidR="00D70882" w:rsidRPr="009A3D60">
        <w:rPr>
          <w:rFonts w:ascii="Times New Roman" w:hAnsi="Times New Roman" w:cs="Times New Roman"/>
          <w:sz w:val="24"/>
          <w:szCs w:val="24"/>
        </w:rPr>
        <w:t xml:space="preserve">the </w:t>
      </w:r>
      <w:r w:rsidR="00F55DC6" w:rsidRPr="009A3D60">
        <w:rPr>
          <w:rFonts w:ascii="Times New Roman" w:hAnsi="Times New Roman" w:cs="Times New Roman"/>
          <w:sz w:val="24"/>
          <w:szCs w:val="24"/>
        </w:rPr>
        <w:t>COVID</w:t>
      </w:r>
      <w:r w:rsidR="00C869F9" w:rsidRPr="009A3D60">
        <w:rPr>
          <w:rFonts w:ascii="Times New Roman" w:hAnsi="Times New Roman" w:cs="Times New Roman"/>
          <w:sz w:val="24"/>
          <w:szCs w:val="24"/>
        </w:rPr>
        <w:t>-</w:t>
      </w:r>
      <w:r w:rsidR="00F55DC6" w:rsidRPr="009A3D60">
        <w:rPr>
          <w:rFonts w:ascii="Times New Roman" w:hAnsi="Times New Roman" w:cs="Times New Roman"/>
          <w:sz w:val="24"/>
          <w:szCs w:val="24"/>
        </w:rPr>
        <w:t xml:space="preserve">19 </w:t>
      </w:r>
      <w:r w:rsidR="00D70882" w:rsidRPr="009A3D60">
        <w:rPr>
          <w:rFonts w:ascii="Times New Roman" w:hAnsi="Times New Roman" w:cs="Times New Roman"/>
          <w:sz w:val="24"/>
          <w:szCs w:val="24"/>
        </w:rPr>
        <w:t xml:space="preserve">pandemic and lockdown </w:t>
      </w:r>
      <w:r w:rsidR="00C869F9" w:rsidRPr="009A3D60">
        <w:rPr>
          <w:rFonts w:ascii="Times New Roman" w:hAnsi="Times New Roman" w:cs="Times New Roman"/>
          <w:sz w:val="24"/>
          <w:szCs w:val="24"/>
        </w:rPr>
        <w:t xml:space="preserve">disrupted </w:t>
      </w:r>
      <w:r w:rsidR="00D70882" w:rsidRPr="009A3D60">
        <w:rPr>
          <w:rFonts w:ascii="Times New Roman" w:hAnsi="Times New Roman" w:cs="Times New Roman"/>
          <w:sz w:val="24"/>
          <w:szCs w:val="24"/>
        </w:rPr>
        <w:t>the process. The</w:t>
      </w:r>
      <w:r w:rsidR="00D70882">
        <w:rPr>
          <w:rFonts w:ascii="Times New Roman" w:hAnsi="Times New Roman" w:cs="Times New Roman"/>
          <w:sz w:val="24"/>
          <w:szCs w:val="24"/>
        </w:rPr>
        <w:t xml:space="preserve"> Ministry was confident that the issue w</w:t>
      </w:r>
      <w:r w:rsidR="00C869F9">
        <w:rPr>
          <w:rFonts w:ascii="Times New Roman" w:hAnsi="Times New Roman" w:cs="Times New Roman"/>
          <w:sz w:val="24"/>
          <w:szCs w:val="24"/>
        </w:rPr>
        <w:t xml:space="preserve">ould be resolved </w:t>
      </w:r>
      <w:r w:rsidR="00D70882">
        <w:rPr>
          <w:rFonts w:ascii="Times New Roman" w:hAnsi="Times New Roman" w:cs="Times New Roman"/>
          <w:sz w:val="24"/>
          <w:szCs w:val="24"/>
        </w:rPr>
        <w:t>and the public requires a vibrant and viable IPID which must be independent,</w:t>
      </w:r>
      <w:r w:rsidR="00F55DC6" w:rsidRPr="00F55DC6">
        <w:rPr>
          <w:rFonts w:ascii="Times New Roman" w:hAnsi="Times New Roman" w:cs="Times New Roman"/>
          <w:sz w:val="24"/>
          <w:szCs w:val="24"/>
        </w:rPr>
        <w:t xml:space="preserve"> robust and </w:t>
      </w:r>
      <w:r w:rsidR="00D70882">
        <w:rPr>
          <w:rFonts w:ascii="Times New Roman" w:hAnsi="Times New Roman" w:cs="Times New Roman"/>
          <w:sz w:val="24"/>
          <w:szCs w:val="24"/>
        </w:rPr>
        <w:t xml:space="preserve">able to </w:t>
      </w:r>
      <w:r w:rsidR="00F55DC6" w:rsidRPr="00F55DC6">
        <w:rPr>
          <w:rFonts w:ascii="Times New Roman" w:hAnsi="Times New Roman" w:cs="Times New Roman"/>
          <w:sz w:val="24"/>
          <w:szCs w:val="24"/>
        </w:rPr>
        <w:t>do its work</w:t>
      </w:r>
      <w:r w:rsidR="00D70882">
        <w:rPr>
          <w:rFonts w:ascii="Times New Roman" w:hAnsi="Times New Roman" w:cs="Times New Roman"/>
          <w:sz w:val="24"/>
          <w:szCs w:val="24"/>
        </w:rPr>
        <w:t>.</w:t>
      </w:r>
      <w:r w:rsidR="00F55DC6" w:rsidRPr="00F55DC6">
        <w:rPr>
          <w:rFonts w:ascii="Times New Roman" w:hAnsi="Times New Roman" w:cs="Times New Roman"/>
          <w:sz w:val="24"/>
          <w:szCs w:val="24"/>
        </w:rPr>
        <w:t xml:space="preserve"> </w:t>
      </w:r>
    </w:p>
    <w:p w:rsidR="00A03D4D" w:rsidRDefault="00A03D4D" w:rsidP="00F55DC6">
      <w:pPr>
        <w:spacing w:line="276" w:lineRule="auto"/>
        <w:jc w:val="both"/>
        <w:rPr>
          <w:rFonts w:ascii="Times New Roman" w:hAnsi="Times New Roman" w:cs="Times New Roman"/>
          <w:sz w:val="24"/>
          <w:szCs w:val="24"/>
        </w:rPr>
      </w:pPr>
    </w:p>
    <w:p w:rsidR="00D70882" w:rsidRPr="00D70882" w:rsidRDefault="00A03D4D" w:rsidP="00D70882">
      <w:pPr>
        <w:spacing w:line="276" w:lineRule="auto"/>
        <w:jc w:val="both"/>
        <w:rPr>
          <w:rFonts w:ascii="Times New Roman" w:hAnsi="Times New Roman" w:cs="Times New Roman"/>
          <w:b/>
          <w:sz w:val="24"/>
          <w:szCs w:val="24"/>
        </w:rPr>
      </w:pPr>
      <w:r>
        <w:rPr>
          <w:rFonts w:ascii="Times New Roman" w:hAnsi="Times New Roman" w:cs="Times New Roman"/>
          <w:b/>
          <w:sz w:val="24"/>
          <w:szCs w:val="24"/>
        </w:rPr>
        <w:t>4.3.1</w:t>
      </w:r>
      <w:r>
        <w:rPr>
          <w:rFonts w:ascii="Times New Roman" w:hAnsi="Times New Roman" w:cs="Times New Roman"/>
          <w:b/>
          <w:sz w:val="24"/>
          <w:szCs w:val="24"/>
        </w:rPr>
        <w:tab/>
      </w:r>
      <w:r w:rsidR="00D70882" w:rsidRPr="00D70882">
        <w:rPr>
          <w:rFonts w:ascii="Times New Roman" w:hAnsi="Times New Roman" w:cs="Times New Roman"/>
          <w:b/>
          <w:sz w:val="24"/>
          <w:szCs w:val="24"/>
        </w:rPr>
        <w:t>The KHOSA Judgement</w:t>
      </w:r>
    </w:p>
    <w:p w:rsidR="00D70882" w:rsidRDefault="00D70882" w:rsidP="00D70882">
      <w:pPr>
        <w:spacing w:line="276" w:lineRule="auto"/>
        <w:jc w:val="both"/>
        <w:rPr>
          <w:rFonts w:ascii="Times New Roman" w:hAnsi="Times New Roman" w:cs="Times New Roman"/>
          <w:sz w:val="24"/>
          <w:szCs w:val="24"/>
        </w:rPr>
      </w:pPr>
      <w:r>
        <w:rPr>
          <w:rFonts w:ascii="Times New Roman" w:hAnsi="Times New Roman" w:cs="Times New Roman"/>
          <w:sz w:val="24"/>
          <w:szCs w:val="24"/>
        </w:rPr>
        <w:t>The Deputy Minister indicated that the Ministry and SAPS was complying with the judgement, although they were taking certain sections on appeal. As far as he was concerned, the judgement was a restating of the law. This was w</w:t>
      </w:r>
      <w:r w:rsidRPr="00D70882">
        <w:rPr>
          <w:rFonts w:ascii="Times New Roman" w:hAnsi="Times New Roman" w:cs="Times New Roman"/>
          <w:sz w:val="24"/>
          <w:szCs w:val="24"/>
        </w:rPr>
        <w:t>hat was expected from the S</w:t>
      </w:r>
      <w:r>
        <w:rPr>
          <w:rFonts w:ascii="Times New Roman" w:hAnsi="Times New Roman" w:cs="Times New Roman"/>
          <w:sz w:val="24"/>
          <w:szCs w:val="24"/>
        </w:rPr>
        <w:t xml:space="preserve">outh </w:t>
      </w:r>
      <w:r w:rsidRPr="00D70882">
        <w:rPr>
          <w:rFonts w:ascii="Times New Roman" w:hAnsi="Times New Roman" w:cs="Times New Roman"/>
          <w:sz w:val="24"/>
          <w:szCs w:val="24"/>
        </w:rPr>
        <w:t>A</w:t>
      </w:r>
      <w:r>
        <w:rPr>
          <w:rFonts w:ascii="Times New Roman" w:hAnsi="Times New Roman" w:cs="Times New Roman"/>
          <w:sz w:val="24"/>
          <w:szCs w:val="24"/>
        </w:rPr>
        <w:t xml:space="preserve">frican </w:t>
      </w:r>
      <w:r w:rsidRPr="00D70882">
        <w:rPr>
          <w:rFonts w:ascii="Times New Roman" w:hAnsi="Times New Roman" w:cs="Times New Roman"/>
          <w:sz w:val="24"/>
          <w:szCs w:val="24"/>
        </w:rPr>
        <w:t>community</w:t>
      </w:r>
      <w:r>
        <w:rPr>
          <w:rFonts w:ascii="Times New Roman" w:hAnsi="Times New Roman" w:cs="Times New Roman"/>
          <w:sz w:val="24"/>
          <w:szCs w:val="24"/>
        </w:rPr>
        <w:t xml:space="preserve"> which was that citizens and </w:t>
      </w:r>
      <w:r w:rsidRPr="00D70882">
        <w:rPr>
          <w:rFonts w:ascii="Times New Roman" w:hAnsi="Times New Roman" w:cs="Times New Roman"/>
          <w:sz w:val="24"/>
          <w:szCs w:val="24"/>
        </w:rPr>
        <w:t xml:space="preserve">the security forces </w:t>
      </w:r>
      <w:r>
        <w:rPr>
          <w:rFonts w:ascii="Times New Roman" w:hAnsi="Times New Roman" w:cs="Times New Roman"/>
          <w:sz w:val="24"/>
          <w:szCs w:val="24"/>
        </w:rPr>
        <w:t xml:space="preserve">should </w:t>
      </w:r>
      <w:r w:rsidRPr="00D70882">
        <w:rPr>
          <w:rFonts w:ascii="Times New Roman" w:hAnsi="Times New Roman" w:cs="Times New Roman"/>
          <w:sz w:val="24"/>
          <w:szCs w:val="24"/>
        </w:rPr>
        <w:t>collaborate to implement</w:t>
      </w:r>
      <w:r>
        <w:rPr>
          <w:rFonts w:ascii="Times New Roman" w:hAnsi="Times New Roman" w:cs="Times New Roman"/>
          <w:sz w:val="24"/>
          <w:szCs w:val="24"/>
        </w:rPr>
        <w:t xml:space="preserve"> the findings.</w:t>
      </w:r>
    </w:p>
    <w:p w:rsidR="00D70882" w:rsidRDefault="00D70882" w:rsidP="00D7088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He pointed out that sections 3-6 provided for the security forces to do certain things and that the SAPS have complied with the judgement with respect to </w:t>
      </w:r>
      <w:r w:rsidRPr="00D70882">
        <w:rPr>
          <w:rFonts w:ascii="Times New Roman" w:hAnsi="Times New Roman" w:cs="Times New Roman"/>
          <w:sz w:val="24"/>
          <w:szCs w:val="24"/>
        </w:rPr>
        <w:t>the code of conduct</w:t>
      </w:r>
      <w:r>
        <w:rPr>
          <w:rFonts w:ascii="Times New Roman" w:hAnsi="Times New Roman" w:cs="Times New Roman"/>
          <w:sz w:val="24"/>
          <w:szCs w:val="24"/>
        </w:rPr>
        <w:t xml:space="preserve">, </w:t>
      </w:r>
      <w:r w:rsidRPr="00D70882">
        <w:rPr>
          <w:rFonts w:ascii="Times New Roman" w:hAnsi="Times New Roman" w:cs="Times New Roman"/>
          <w:sz w:val="24"/>
          <w:szCs w:val="24"/>
        </w:rPr>
        <w:t>the guidelines</w:t>
      </w:r>
      <w:r>
        <w:rPr>
          <w:rFonts w:ascii="Times New Roman" w:hAnsi="Times New Roman" w:cs="Times New Roman"/>
          <w:sz w:val="24"/>
          <w:szCs w:val="24"/>
        </w:rPr>
        <w:t xml:space="preserve"> on </w:t>
      </w:r>
      <w:r w:rsidRPr="00D70882">
        <w:rPr>
          <w:rFonts w:ascii="Times New Roman" w:hAnsi="Times New Roman" w:cs="Times New Roman"/>
          <w:sz w:val="24"/>
          <w:szCs w:val="24"/>
        </w:rPr>
        <w:t>use of force, restriction of movement and other activities</w:t>
      </w:r>
      <w:r>
        <w:rPr>
          <w:rFonts w:ascii="Times New Roman" w:hAnsi="Times New Roman" w:cs="Times New Roman"/>
          <w:sz w:val="24"/>
          <w:szCs w:val="24"/>
        </w:rPr>
        <w:t>. The M</w:t>
      </w:r>
      <w:r w:rsidRPr="00D70882">
        <w:rPr>
          <w:rFonts w:ascii="Times New Roman" w:hAnsi="Times New Roman" w:cs="Times New Roman"/>
          <w:sz w:val="24"/>
          <w:szCs w:val="24"/>
        </w:rPr>
        <w:t>inisters of Police and Defence must sign a</w:t>
      </w:r>
      <w:r>
        <w:rPr>
          <w:rFonts w:ascii="Times New Roman" w:hAnsi="Times New Roman" w:cs="Times New Roman"/>
          <w:sz w:val="24"/>
          <w:szCs w:val="24"/>
        </w:rPr>
        <w:t>n</w:t>
      </w:r>
      <w:r w:rsidRPr="00D70882">
        <w:rPr>
          <w:rFonts w:ascii="Times New Roman" w:hAnsi="Times New Roman" w:cs="Times New Roman"/>
          <w:sz w:val="24"/>
          <w:szCs w:val="24"/>
        </w:rPr>
        <w:t xml:space="preserve"> affidavit as to the sections to do with the code of conduct by the police and army, must </w:t>
      </w:r>
      <w:r>
        <w:rPr>
          <w:rFonts w:ascii="Times New Roman" w:hAnsi="Times New Roman" w:cs="Times New Roman"/>
          <w:sz w:val="24"/>
          <w:szCs w:val="24"/>
        </w:rPr>
        <w:t xml:space="preserve">be lodged by 12 </w:t>
      </w:r>
      <w:proofErr w:type="gramStart"/>
      <w:r>
        <w:rPr>
          <w:rFonts w:ascii="Times New Roman" w:hAnsi="Times New Roman" w:cs="Times New Roman"/>
          <w:sz w:val="24"/>
          <w:szCs w:val="24"/>
        </w:rPr>
        <w:t>midnight</w:t>
      </w:r>
      <w:proofErr w:type="gramEnd"/>
      <w:r>
        <w:rPr>
          <w:rFonts w:ascii="Times New Roman" w:hAnsi="Times New Roman" w:cs="Times New Roman"/>
          <w:sz w:val="24"/>
          <w:szCs w:val="24"/>
        </w:rPr>
        <w:t xml:space="preserve"> on 22 May 2020.</w:t>
      </w:r>
    </w:p>
    <w:p w:rsidR="00D70882" w:rsidRDefault="00D70882" w:rsidP="00D70882">
      <w:pPr>
        <w:spacing w:line="276" w:lineRule="auto"/>
        <w:jc w:val="both"/>
        <w:rPr>
          <w:rFonts w:ascii="Times New Roman" w:hAnsi="Times New Roman" w:cs="Times New Roman"/>
          <w:sz w:val="24"/>
          <w:szCs w:val="24"/>
        </w:rPr>
      </w:pPr>
      <w:r>
        <w:rPr>
          <w:rFonts w:ascii="Times New Roman" w:hAnsi="Times New Roman" w:cs="Times New Roman"/>
          <w:sz w:val="24"/>
          <w:szCs w:val="24"/>
        </w:rPr>
        <w:t>The j</w:t>
      </w:r>
      <w:r w:rsidRPr="00D70882">
        <w:rPr>
          <w:rFonts w:ascii="Times New Roman" w:hAnsi="Times New Roman" w:cs="Times New Roman"/>
          <w:sz w:val="24"/>
          <w:szCs w:val="24"/>
        </w:rPr>
        <w:t xml:space="preserve">oint affidavit </w:t>
      </w:r>
      <w:r>
        <w:rPr>
          <w:rFonts w:ascii="Times New Roman" w:hAnsi="Times New Roman" w:cs="Times New Roman"/>
          <w:sz w:val="24"/>
          <w:szCs w:val="24"/>
        </w:rPr>
        <w:t>was</w:t>
      </w:r>
      <w:r w:rsidRPr="00D70882">
        <w:rPr>
          <w:rFonts w:ascii="Times New Roman" w:hAnsi="Times New Roman" w:cs="Times New Roman"/>
          <w:sz w:val="24"/>
          <w:szCs w:val="24"/>
        </w:rPr>
        <w:t xml:space="preserve"> being signed, afterwards it will be published and sent to the court</w:t>
      </w:r>
      <w:r w:rsidR="007E6670">
        <w:rPr>
          <w:rFonts w:ascii="Times New Roman" w:hAnsi="Times New Roman" w:cs="Times New Roman"/>
          <w:sz w:val="24"/>
          <w:szCs w:val="24"/>
        </w:rPr>
        <w:t xml:space="preserve">. The SAPS </w:t>
      </w:r>
      <w:r w:rsidRPr="00D70882">
        <w:rPr>
          <w:rFonts w:ascii="Times New Roman" w:hAnsi="Times New Roman" w:cs="Times New Roman"/>
          <w:sz w:val="24"/>
          <w:szCs w:val="24"/>
        </w:rPr>
        <w:t>have outlined what the judgement said w</w:t>
      </w:r>
      <w:r w:rsidR="007E6670">
        <w:rPr>
          <w:rFonts w:ascii="Times New Roman" w:hAnsi="Times New Roman" w:cs="Times New Roman"/>
          <w:sz w:val="24"/>
          <w:szCs w:val="24"/>
        </w:rPr>
        <w:t xml:space="preserve">ith </w:t>
      </w:r>
      <w:r w:rsidRPr="00D70882">
        <w:rPr>
          <w:rFonts w:ascii="Times New Roman" w:hAnsi="Times New Roman" w:cs="Times New Roman"/>
          <w:sz w:val="24"/>
          <w:szCs w:val="24"/>
        </w:rPr>
        <w:t>r</w:t>
      </w:r>
      <w:r w:rsidR="007E6670">
        <w:rPr>
          <w:rFonts w:ascii="Times New Roman" w:hAnsi="Times New Roman" w:cs="Times New Roman"/>
          <w:sz w:val="24"/>
          <w:szCs w:val="24"/>
        </w:rPr>
        <w:t xml:space="preserve">egard </w:t>
      </w:r>
      <w:r w:rsidRPr="00D70882">
        <w:rPr>
          <w:rFonts w:ascii="Times New Roman" w:hAnsi="Times New Roman" w:cs="Times New Roman"/>
          <w:sz w:val="24"/>
          <w:szCs w:val="24"/>
        </w:rPr>
        <w:t xml:space="preserve">to </w:t>
      </w:r>
      <w:r w:rsidR="007E6670">
        <w:rPr>
          <w:rFonts w:ascii="Times New Roman" w:hAnsi="Times New Roman" w:cs="Times New Roman"/>
          <w:sz w:val="24"/>
          <w:szCs w:val="24"/>
        </w:rPr>
        <w:t xml:space="preserve">sections </w:t>
      </w:r>
      <w:r w:rsidRPr="00D70882">
        <w:rPr>
          <w:rFonts w:ascii="Times New Roman" w:hAnsi="Times New Roman" w:cs="Times New Roman"/>
          <w:sz w:val="24"/>
          <w:szCs w:val="24"/>
        </w:rPr>
        <w:t>3.1-3.5</w:t>
      </w:r>
      <w:r w:rsidR="007E6670">
        <w:rPr>
          <w:rFonts w:ascii="Times New Roman" w:hAnsi="Times New Roman" w:cs="Times New Roman"/>
          <w:sz w:val="24"/>
          <w:szCs w:val="24"/>
        </w:rPr>
        <w:t>. There has a</w:t>
      </w:r>
      <w:r w:rsidRPr="00D70882">
        <w:rPr>
          <w:rFonts w:ascii="Times New Roman" w:hAnsi="Times New Roman" w:cs="Times New Roman"/>
          <w:sz w:val="24"/>
          <w:szCs w:val="24"/>
        </w:rPr>
        <w:t xml:space="preserve">lready </w:t>
      </w:r>
      <w:r w:rsidR="007E6670">
        <w:rPr>
          <w:rFonts w:ascii="Times New Roman" w:hAnsi="Times New Roman" w:cs="Times New Roman"/>
          <w:sz w:val="24"/>
          <w:szCs w:val="24"/>
        </w:rPr>
        <w:t xml:space="preserve">been a </w:t>
      </w:r>
      <w:r w:rsidRPr="00D70882">
        <w:rPr>
          <w:rFonts w:ascii="Times New Roman" w:hAnsi="Times New Roman" w:cs="Times New Roman"/>
          <w:sz w:val="24"/>
          <w:szCs w:val="24"/>
        </w:rPr>
        <w:t xml:space="preserve">command </w:t>
      </w:r>
      <w:r w:rsidR="007E6670">
        <w:rPr>
          <w:rFonts w:ascii="Times New Roman" w:hAnsi="Times New Roman" w:cs="Times New Roman"/>
          <w:sz w:val="24"/>
          <w:szCs w:val="24"/>
        </w:rPr>
        <w:t xml:space="preserve">to police </w:t>
      </w:r>
      <w:r w:rsidRPr="00D70882">
        <w:rPr>
          <w:rFonts w:ascii="Times New Roman" w:hAnsi="Times New Roman" w:cs="Times New Roman"/>
          <w:sz w:val="24"/>
          <w:szCs w:val="24"/>
        </w:rPr>
        <w:t>members to comply with prohibition on torture</w:t>
      </w:r>
      <w:r w:rsidR="007E6670">
        <w:rPr>
          <w:rFonts w:ascii="Times New Roman" w:hAnsi="Times New Roman" w:cs="Times New Roman"/>
          <w:sz w:val="24"/>
          <w:szCs w:val="24"/>
        </w:rPr>
        <w:t xml:space="preserve"> and the </w:t>
      </w:r>
      <w:r w:rsidRPr="00D70882">
        <w:rPr>
          <w:rFonts w:ascii="Times New Roman" w:hAnsi="Times New Roman" w:cs="Times New Roman"/>
          <w:sz w:val="24"/>
          <w:szCs w:val="24"/>
        </w:rPr>
        <w:t>Na</w:t>
      </w:r>
      <w:r w:rsidR="007E6670">
        <w:rPr>
          <w:rFonts w:ascii="Times New Roman" w:hAnsi="Times New Roman" w:cs="Times New Roman"/>
          <w:sz w:val="24"/>
          <w:szCs w:val="24"/>
        </w:rPr>
        <w:t xml:space="preserve">tional Commissioner has </w:t>
      </w:r>
      <w:r w:rsidRPr="00D70882">
        <w:rPr>
          <w:rFonts w:ascii="Times New Roman" w:hAnsi="Times New Roman" w:cs="Times New Roman"/>
          <w:sz w:val="24"/>
          <w:szCs w:val="24"/>
        </w:rPr>
        <w:t>complied</w:t>
      </w:r>
      <w:r w:rsidR="007E6670">
        <w:rPr>
          <w:rFonts w:ascii="Times New Roman" w:hAnsi="Times New Roman" w:cs="Times New Roman"/>
          <w:sz w:val="24"/>
          <w:szCs w:val="24"/>
        </w:rPr>
        <w:t>.</w:t>
      </w:r>
    </w:p>
    <w:p w:rsidR="00F55DC6" w:rsidRDefault="007E6670" w:rsidP="00D70882">
      <w:pPr>
        <w:spacing w:line="276" w:lineRule="auto"/>
        <w:jc w:val="both"/>
        <w:rPr>
          <w:rFonts w:ascii="Times New Roman" w:hAnsi="Times New Roman" w:cs="Times New Roman"/>
          <w:sz w:val="24"/>
          <w:szCs w:val="24"/>
        </w:rPr>
      </w:pPr>
      <w:r>
        <w:rPr>
          <w:rFonts w:ascii="Times New Roman" w:hAnsi="Times New Roman" w:cs="Times New Roman"/>
          <w:sz w:val="24"/>
          <w:szCs w:val="24"/>
        </w:rPr>
        <w:t>The Minister is appealing section 6.1.2 of the judgement which states that t</w:t>
      </w:r>
      <w:r w:rsidR="00D70882" w:rsidRPr="00D70882">
        <w:rPr>
          <w:rFonts w:ascii="Times New Roman" w:hAnsi="Times New Roman" w:cs="Times New Roman"/>
          <w:sz w:val="24"/>
          <w:szCs w:val="24"/>
        </w:rPr>
        <w:t xml:space="preserve">he 1st and 4th respondent </w:t>
      </w:r>
      <w:r>
        <w:rPr>
          <w:rFonts w:ascii="Times New Roman" w:hAnsi="Times New Roman" w:cs="Times New Roman"/>
          <w:sz w:val="24"/>
          <w:szCs w:val="24"/>
        </w:rPr>
        <w:t xml:space="preserve">should </w:t>
      </w:r>
      <w:r w:rsidR="00D70882" w:rsidRPr="00D70882">
        <w:rPr>
          <w:rFonts w:ascii="Times New Roman" w:hAnsi="Times New Roman" w:cs="Times New Roman"/>
          <w:sz w:val="24"/>
          <w:szCs w:val="24"/>
        </w:rPr>
        <w:t>ensure investigations are completed and reported</w:t>
      </w:r>
      <w:r>
        <w:rPr>
          <w:rFonts w:ascii="Times New Roman" w:hAnsi="Times New Roman" w:cs="Times New Roman"/>
          <w:sz w:val="24"/>
          <w:szCs w:val="24"/>
        </w:rPr>
        <w:t xml:space="preserve">, including </w:t>
      </w:r>
      <w:r w:rsidR="00D70882" w:rsidRPr="00D70882">
        <w:rPr>
          <w:rFonts w:ascii="Times New Roman" w:hAnsi="Times New Roman" w:cs="Times New Roman"/>
          <w:sz w:val="24"/>
          <w:szCs w:val="24"/>
        </w:rPr>
        <w:t>the treatment of any person whose rights have be</w:t>
      </w:r>
      <w:r>
        <w:rPr>
          <w:rFonts w:ascii="Times New Roman" w:hAnsi="Times New Roman" w:cs="Times New Roman"/>
          <w:sz w:val="24"/>
          <w:szCs w:val="24"/>
        </w:rPr>
        <w:t>e</w:t>
      </w:r>
      <w:r w:rsidR="00D70882" w:rsidRPr="00D70882">
        <w:rPr>
          <w:rFonts w:ascii="Times New Roman" w:hAnsi="Times New Roman" w:cs="Times New Roman"/>
          <w:sz w:val="24"/>
          <w:szCs w:val="24"/>
        </w:rPr>
        <w:t>n infringed by the SAPS, SANDF and the Metro Police dep</w:t>
      </w:r>
      <w:r>
        <w:rPr>
          <w:rFonts w:ascii="Times New Roman" w:hAnsi="Times New Roman" w:cs="Times New Roman"/>
          <w:sz w:val="24"/>
          <w:szCs w:val="24"/>
        </w:rPr>
        <w:t>artment</w:t>
      </w:r>
      <w:r w:rsidR="00D70882" w:rsidRPr="00D70882">
        <w:rPr>
          <w:rFonts w:ascii="Times New Roman" w:hAnsi="Times New Roman" w:cs="Times New Roman"/>
          <w:sz w:val="24"/>
          <w:szCs w:val="24"/>
        </w:rPr>
        <w:t>.</w:t>
      </w:r>
      <w:r>
        <w:rPr>
          <w:rFonts w:ascii="Times New Roman" w:hAnsi="Times New Roman" w:cs="Times New Roman"/>
          <w:sz w:val="24"/>
          <w:szCs w:val="24"/>
        </w:rPr>
        <w:t xml:space="preserve"> </w:t>
      </w:r>
      <w:r w:rsidR="00D70882" w:rsidRPr="00D70882">
        <w:rPr>
          <w:rFonts w:ascii="Times New Roman" w:hAnsi="Times New Roman" w:cs="Times New Roman"/>
          <w:sz w:val="24"/>
          <w:szCs w:val="24"/>
        </w:rPr>
        <w:t xml:space="preserve">The judgement </w:t>
      </w:r>
      <w:r>
        <w:rPr>
          <w:rFonts w:ascii="Times New Roman" w:hAnsi="Times New Roman" w:cs="Times New Roman"/>
          <w:sz w:val="24"/>
          <w:szCs w:val="24"/>
        </w:rPr>
        <w:t>was</w:t>
      </w:r>
      <w:r w:rsidR="00D70882" w:rsidRPr="00D70882">
        <w:rPr>
          <w:rFonts w:ascii="Times New Roman" w:hAnsi="Times New Roman" w:cs="Times New Roman"/>
          <w:sz w:val="24"/>
          <w:szCs w:val="24"/>
        </w:rPr>
        <w:t xml:space="preserve"> restating the law</w:t>
      </w:r>
      <w:r>
        <w:rPr>
          <w:rFonts w:ascii="Times New Roman" w:hAnsi="Times New Roman" w:cs="Times New Roman"/>
          <w:sz w:val="24"/>
          <w:szCs w:val="24"/>
        </w:rPr>
        <w:t xml:space="preserve"> and there were police officers </w:t>
      </w:r>
      <w:r w:rsidR="00D70882" w:rsidRPr="00D70882">
        <w:rPr>
          <w:rFonts w:ascii="Times New Roman" w:hAnsi="Times New Roman" w:cs="Times New Roman"/>
          <w:sz w:val="24"/>
          <w:szCs w:val="24"/>
        </w:rPr>
        <w:t xml:space="preserve">who did not </w:t>
      </w:r>
      <w:r w:rsidR="00D70882" w:rsidRPr="00D70882">
        <w:rPr>
          <w:rFonts w:ascii="Times New Roman" w:hAnsi="Times New Roman" w:cs="Times New Roman"/>
          <w:sz w:val="24"/>
          <w:szCs w:val="24"/>
        </w:rPr>
        <w:lastRenderedPageBreak/>
        <w:t>conduct themselves in the way they should</w:t>
      </w:r>
      <w:r>
        <w:rPr>
          <w:rFonts w:ascii="Times New Roman" w:hAnsi="Times New Roman" w:cs="Times New Roman"/>
          <w:sz w:val="24"/>
          <w:szCs w:val="24"/>
        </w:rPr>
        <w:t xml:space="preserve">. The </w:t>
      </w:r>
      <w:r w:rsidR="00D70882" w:rsidRPr="00D70882">
        <w:rPr>
          <w:rFonts w:ascii="Times New Roman" w:hAnsi="Times New Roman" w:cs="Times New Roman"/>
          <w:sz w:val="24"/>
          <w:szCs w:val="24"/>
        </w:rPr>
        <w:t xml:space="preserve">court </w:t>
      </w:r>
      <w:r>
        <w:rPr>
          <w:rFonts w:ascii="Times New Roman" w:hAnsi="Times New Roman" w:cs="Times New Roman"/>
          <w:sz w:val="24"/>
          <w:szCs w:val="24"/>
        </w:rPr>
        <w:t>wa</w:t>
      </w:r>
      <w:r w:rsidR="00D70882" w:rsidRPr="00D70882">
        <w:rPr>
          <w:rFonts w:ascii="Times New Roman" w:hAnsi="Times New Roman" w:cs="Times New Roman"/>
          <w:sz w:val="24"/>
          <w:szCs w:val="24"/>
        </w:rPr>
        <w:t xml:space="preserve">s reminding </w:t>
      </w:r>
      <w:r>
        <w:rPr>
          <w:rFonts w:ascii="Times New Roman" w:hAnsi="Times New Roman" w:cs="Times New Roman"/>
          <w:sz w:val="24"/>
          <w:szCs w:val="24"/>
        </w:rPr>
        <w:t xml:space="preserve">the Ministry and the SAPS </w:t>
      </w:r>
      <w:r w:rsidR="00D70882" w:rsidRPr="00D70882">
        <w:rPr>
          <w:rFonts w:ascii="Times New Roman" w:hAnsi="Times New Roman" w:cs="Times New Roman"/>
          <w:sz w:val="24"/>
          <w:szCs w:val="24"/>
        </w:rPr>
        <w:t>to work with</w:t>
      </w:r>
      <w:r>
        <w:rPr>
          <w:rFonts w:ascii="Times New Roman" w:hAnsi="Times New Roman" w:cs="Times New Roman"/>
          <w:sz w:val="24"/>
          <w:szCs w:val="24"/>
        </w:rPr>
        <w:t>in</w:t>
      </w:r>
      <w:r w:rsidR="00D70882" w:rsidRPr="00D70882">
        <w:rPr>
          <w:rFonts w:ascii="Times New Roman" w:hAnsi="Times New Roman" w:cs="Times New Roman"/>
          <w:sz w:val="24"/>
          <w:szCs w:val="24"/>
        </w:rPr>
        <w:t xml:space="preserve"> the prescripts in line with the law</w:t>
      </w:r>
    </w:p>
    <w:p w:rsidR="00B57C2E" w:rsidRPr="00EB6B72" w:rsidRDefault="00B57C2E" w:rsidP="00EB6B72">
      <w:pPr>
        <w:spacing w:line="276" w:lineRule="auto"/>
        <w:ind w:left="720" w:hanging="720"/>
        <w:jc w:val="both"/>
        <w:rPr>
          <w:rFonts w:ascii="Times New Roman" w:hAnsi="Times New Roman" w:cs="Times New Roman"/>
          <w:sz w:val="24"/>
          <w:szCs w:val="24"/>
        </w:rPr>
      </w:pPr>
    </w:p>
    <w:p w:rsidR="00EB6B72" w:rsidRDefault="00EB6B72" w:rsidP="00EB6B72">
      <w:pPr>
        <w:spacing w:line="276" w:lineRule="auto"/>
        <w:jc w:val="both"/>
        <w:rPr>
          <w:rFonts w:ascii="Times New Roman" w:hAnsi="Times New Roman" w:cs="Times New Roman"/>
          <w:b/>
          <w:sz w:val="24"/>
          <w:szCs w:val="24"/>
        </w:rPr>
      </w:pPr>
      <w:r w:rsidRPr="00EB6B72">
        <w:rPr>
          <w:rFonts w:ascii="Times New Roman" w:hAnsi="Times New Roman" w:cs="Times New Roman"/>
          <w:b/>
          <w:sz w:val="24"/>
          <w:szCs w:val="24"/>
        </w:rPr>
        <w:t xml:space="preserve">5. </w:t>
      </w:r>
      <w:r w:rsidRPr="00EB6B72">
        <w:rPr>
          <w:rFonts w:ascii="Times New Roman" w:hAnsi="Times New Roman" w:cs="Times New Roman"/>
          <w:b/>
          <w:sz w:val="24"/>
          <w:szCs w:val="24"/>
        </w:rPr>
        <w:tab/>
        <w:t>Committee Recommendations</w:t>
      </w:r>
    </w:p>
    <w:p w:rsidR="00D6120C" w:rsidRDefault="00D6120C" w:rsidP="00EB6B72">
      <w:pPr>
        <w:spacing w:line="276" w:lineRule="auto"/>
        <w:jc w:val="both"/>
        <w:rPr>
          <w:rFonts w:ascii="Times New Roman" w:hAnsi="Times New Roman" w:cs="Times New Roman"/>
          <w:b/>
          <w:sz w:val="24"/>
          <w:szCs w:val="24"/>
        </w:rPr>
      </w:pPr>
      <w:r>
        <w:rPr>
          <w:rFonts w:ascii="Times New Roman" w:hAnsi="Times New Roman" w:cs="Times New Roman"/>
          <w:b/>
          <w:sz w:val="24"/>
          <w:szCs w:val="24"/>
        </w:rPr>
        <w:t>Additional Information</w:t>
      </w:r>
    </w:p>
    <w:p w:rsidR="00D6120C" w:rsidRPr="00D6120C" w:rsidRDefault="00D6120C" w:rsidP="00D6120C">
      <w:pPr>
        <w:pStyle w:val="ListParagraph"/>
        <w:numPr>
          <w:ilvl w:val="0"/>
          <w:numId w:val="28"/>
        </w:numPr>
        <w:spacing w:line="276" w:lineRule="auto"/>
        <w:jc w:val="both"/>
        <w:rPr>
          <w:rFonts w:ascii="Times New Roman" w:hAnsi="Times New Roman" w:cs="Times New Roman"/>
          <w:sz w:val="24"/>
          <w:szCs w:val="24"/>
        </w:rPr>
      </w:pPr>
      <w:r w:rsidRPr="00D6120C">
        <w:rPr>
          <w:rFonts w:ascii="Times New Roman" w:hAnsi="Times New Roman" w:cs="Times New Roman"/>
          <w:sz w:val="24"/>
          <w:szCs w:val="24"/>
        </w:rPr>
        <w:t>The IPID is to provide the Committee with a detailed list of all disciplinary case recommendations made to SAPS.</w:t>
      </w:r>
    </w:p>
    <w:p w:rsidR="00D6120C" w:rsidRPr="00D6120C" w:rsidRDefault="00D6120C" w:rsidP="00D6120C">
      <w:pPr>
        <w:pStyle w:val="ListParagraph"/>
        <w:numPr>
          <w:ilvl w:val="0"/>
          <w:numId w:val="28"/>
        </w:numPr>
        <w:spacing w:line="276" w:lineRule="auto"/>
        <w:jc w:val="both"/>
        <w:rPr>
          <w:rFonts w:ascii="Times New Roman" w:hAnsi="Times New Roman" w:cs="Times New Roman"/>
          <w:sz w:val="24"/>
          <w:szCs w:val="24"/>
        </w:rPr>
      </w:pPr>
      <w:r w:rsidRPr="00D6120C">
        <w:rPr>
          <w:rFonts w:ascii="Times New Roman" w:hAnsi="Times New Roman" w:cs="Times New Roman"/>
          <w:sz w:val="24"/>
          <w:szCs w:val="24"/>
        </w:rPr>
        <w:t xml:space="preserve">The IPID is to provide the Committee with the detailed classification of all the cases, and all police stations where such offences occurred. </w:t>
      </w:r>
    </w:p>
    <w:p w:rsidR="00D6120C" w:rsidRPr="00D6120C" w:rsidRDefault="00D6120C" w:rsidP="00D6120C">
      <w:pPr>
        <w:pStyle w:val="ListParagraph"/>
        <w:numPr>
          <w:ilvl w:val="0"/>
          <w:numId w:val="28"/>
        </w:numPr>
        <w:spacing w:line="276" w:lineRule="auto"/>
        <w:jc w:val="both"/>
        <w:rPr>
          <w:rFonts w:ascii="Times New Roman" w:hAnsi="Times New Roman" w:cs="Times New Roman"/>
          <w:sz w:val="24"/>
          <w:szCs w:val="24"/>
        </w:rPr>
      </w:pPr>
      <w:r w:rsidRPr="00D6120C">
        <w:rPr>
          <w:rFonts w:ascii="Times New Roman" w:hAnsi="Times New Roman" w:cs="Times New Roman"/>
          <w:sz w:val="24"/>
          <w:szCs w:val="24"/>
        </w:rPr>
        <w:t xml:space="preserve">The IPID must make available a list of all provincial statistics.     </w:t>
      </w:r>
    </w:p>
    <w:p w:rsidR="00EB6B72" w:rsidRPr="00EB6B72" w:rsidRDefault="00EB6B72" w:rsidP="00EB6B72">
      <w:pPr>
        <w:spacing w:line="276" w:lineRule="auto"/>
        <w:jc w:val="both"/>
        <w:rPr>
          <w:rFonts w:ascii="Times New Roman" w:hAnsi="Times New Roman" w:cs="Times New Roman"/>
          <w:b/>
          <w:sz w:val="24"/>
          <w:szCs w:val="24"/>
        </w:rPr>
      </w:pPr>
    </w:p>
    <w:p w:rsidR="00EB6B72" w:rsidRPr="00D6120C" w:rsidRDefault="00EB6B72" w:rsidP="00EB6B72">
      <w:pPr>
        <w:spacing w:line="276" w:lineRule="auto"/>
        <w:jc w:val="both"/>
        <w:rPr>
          <w:rFonts w:ascii="Times New Roman" w:hAnsi="Times New Roman" w:cs="Times New Roman"/>
          <w:b/>
          <w:sz w:val="24"/>
          <w:szCs w:val="24"/>
        </w:rPr>
      </w:pPr>
      <w:r w:rsidRPr="00D6120C">
        <w:rPr>
          <w:rFonts w:ascii="Times New Roman" w:hAnsi="Times New Roman" w:cs="Times New Roman"/>
          <w:b/>
          <w:sz w:val="24"/>
          <w:szCs w:val="24"/>
        </w:rPr>
        <w:t xml:space="preserve">The Committee made the following recommendations </w:t>
      </w:r>
    </w:p>
    <w:p w:rsidR="00A03D4D" w:rsidRDefault="00A03D4D"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Pr="00A03D4D">
        <w:rPr>
          <w:rFonts w:ascii="Times New Roman" w:hAnsi="Times New Roman" w:cs="Times New Roman"/>
          <w:sz w:val="24"/>
          <w:szCs w:val="24"/>
        </w:rPr>
        <w:t>The Committee notes that the Executive Authority is in</w:t>
      </w:r>
      <w:r>
        <w:rPr>
          <w:rFonts w:ascii="Times New Roman" w:hAnsi="Times New Roman" w:cs="Times New Roman"/>
          <w:sz w:val="24"/>
          <w:szCs w:val="24"/>
        </w:rPr>
        <w:t xml:space="preserve"> contravention of the IPID Act with the appointment of the IPID Executive Director and </w:t>
      </w:r>
      <w:r w:rsidR="00EB6B72" w:rsidRPr="00EB6B72">
        <w:rPr>
          <w:rFonts w:ascii="Times New Roman" w:hAnsi="Times New Roman" w:cs="Times New Roman"/>
          <w:sz w:val="24"/>
          <w:szCs w:val="24"/>
        </w:rPr>
        <w:t xml:space="preserve">recommends that the Minister of Police should fast track the process of </w:t>
      </w:r>
      <w:r w:rsidR="00D6120C">
        <w:rPr>
          <w:rFonts w:ascii="Times New Roman" w:hAnsi="Times New Roman" w:cs="Times New Roman"/>
          <w:sz w:val="24"/>
          <w:szCs w:val="24"/>
        </w:rPr>
        <w:t xml:space="preserve">nominating the </w:t>
      </w:r>
      <w:r w:rsidR="00EB6B72" w:rsidRPr="00EB6B72">
        <w:rPr>
          <w:rFonts w:ascii="Times New Roman" w:hAnsi="Times New Roman" w:cs="Times New Roman"/>
          <w:sz w:val="24"/>
          <w:szCs w:val="24"/>
        </w:rPr>
        <w:t>Executive Director</w:t>
      </w:r>
      <w:r w:rsidR="00D6120C">
        <w:rPr>
          <w:rFonts w:ascii="Times New Roman" w:hAnsi="Times New Roman" w:cs="Times New Roman"/>
          <w:sz w:val="24"/>
          <w:szCs w:val="24"/>
        </w:rPr>
        <w:t xml:space="preserve"> of IPID for Parliament’s approval within the next three months</w:t>
      </w:r>
      <w:r w:rsidR="00EB6B72" w:rsidRPr="009A3D60">
        <w:rPr>
          <w:rFonts w:ascii="Times New Roman" w:hAnsi="Times New Roman" w:cs="Times New Roman"/>
          <w:sz w:val="24"/>
          <w:szCs w:val="24"/>
        </w:rPr>
        <w:t>.</w:t>
      </w:r>
      <w:r w:rsidRPr="009A3D60">
        <w:rPr>
          <w:rFonts w:ascii="Times New Roman" w:hAnsi="Times New Roman" w:cs="Times New Roman"/>
          <w:sz w:val="24"/>
          <w:szCs w:val="24"/>
        </w:rPr>
        <w:t xml:space="preserve"> </w:t>
      </w:r>
      <w:r w:rsidR="00BB0241" w:rsidRPr="009A3D60">
        <w:rPr>
          <w:rFonts w:ascii="Times New Roman" w:hAnsi="Times New Roman" w:cs="Times New Roman"/>
          <w:sz w:val="24"/>
          <w:szCs w:val="24"/>
        </w:rPr>
        <w:t xml:space="preserve"> The </w:t>
      </w:r>
      <w:r w:rsidR="00C70649" w:rsidRPr="009A3D60">
        <w:rPr>
          <w:rFonts w:ascii="Times New Roman" w:hAnsi="Times New Roman" w:cs="Times New Roman"/>
          <w:sz w:val="24"/>
          <w:szCs w:val="24"/>
        </w:rPr>
        <w:t xml:space="preserve">Committee also recommended that the </w:t>
      </w:r>
      <w:r w:rsidR="00BB0241" w:rsidRPr="009A3D60">
        <w:rPr>
          <w:rFonts w:ascii="Times New Roman" w:hAnsi="Times New Roman" w:cs="Times New Roman"/>
          <w:sz w:val="24"/>
          <w:szCs w:val="24"/>
        </w:rPr>
        <w:t xml:space="preserve">acting IPID Executive Director should be </w:t>
      </w:r>
      <w:r w:rsidR="00C70649" w:rsidRPr="009A3D60">
        <w:rPr>
          <w:rFonts w:ascii="Times New Roman" w:hAnsi="Times New Roman" w:cs="Times New Roman"/>
          <w:sz w:val="24"/>
          <w:szCs w:val="24"/>
        </w:rPr>
        <w:t xml:space="preserve">not be </w:t>
      </w:r>
      <w:r w:rsidR="00BB0241" w:rsidRPr="009A3D60">
        <w:rPr>
          <w:rFonts w:ascii="Times New Roman" w:hAnsi="Times New Roman" w:cs="Times New Roman"/>
          <w:sz w:val="24"/>
          <w:szCs w:val="24"/>
        </w:rPr>
        <w:t xml:space="preserve">moved </w:t>
      </w:r>
      <w:r w:rsidR="00C70649" w:rsidRPr="009A3D60">
        <w:rPr>
          <w:rFonts w:ascii="Times New Roman" w:hAnsi="Times New Roman" w:cs="Times New Roman"/>
          <w:sz w:val="24"/>
          <w:szCs w:val="24"/>
        </w:rPr>
        <w:t xml:space="preserve">during the next three months </w:t>
      </w:r>
      <w:r w:rsidR="00BB0241" w:rsidRPr="009A3D60">
        <w:rPr>
          <w:rFonts w:ascii="Times New Roman" w:hAnsi="Times New Roman" w:cs="Times New Roman"/>
          <w:sz w:val="24"/>
          <w:szCs w:val="24"/>
        </w:rPr>
        <w:t>until such time th</w:t>
      </w:r>
      <w:r w:rsidR="00C70649" w:rsidRPr="009A3D60">
        <w:rPr>
          <w:rFonts w:ascii="Times New Roman" w:hAnsi="Times New Roman" w:cs="Times New Roman"/>
          <w:sz w:val="24"/>
          <w:szCs w:val="24"/>
        </w:rPr>
        <w:t>a</w:t>
      </w:r>
      <w:r w:rsidR="00BB0241" w:rsidRPr="009A3D60">
        <w:rPr>
          <w:rFonts w:ascii="Times New Roman" w:hAnsi="Times New Roman" w:cs="Times New Roman"/>
          <w:sz w:val="24"/>
          <w:szCs w:val="24"/>
        </w:rPr>
        <w:t>t</w:t>
      </w:r>
      <w:r w:rsidR="00C70649" w:rsidRPr="009A3D60">
        <w:rPr>
          <w:rFonts w:ascii="Times New Roman" w:hAnsi="Times New Roman" w:cs="Times New Roman"/>
          <w:sz w:val="24"/>
          <w:szCs w:val="24"/>
        </w:rPr>
        <w:t xml:space="preserve"> a</w:t>
      </w:r>
      <w:r w:rsidR="00BB0241" w:rsidRPr="009A3D60">
        <w:rPr>
          <w:rFonts w:ascii="Times New Roman" w:hAnsi="Times New Roman" w:cs="Times New Roman"/>
          <w:sz w:val="24"/>
          <w:szCs w:val="24"/>
        </w:rPr>
        <w:t xml:space="preserve"> new Executi</w:t>
      </w:r>
      <w:r w:rsidR="00C70649" w:rsidRPr="009A3D60">
        <w:rPr>
          <w:rFonts w:ascii="Times New Roman" w:hAnsi="Times New Roman" w:cs="Times New Roman"/>
          <w:sz w:val="24"/>
          <w:szCs w:val="24"/>
        </w:rPr>
        <w:t>v</w:t>
      </w:r>
      <w:r w:rsidR="00BB0241" w:rsidRPr="009A3D60">
        <w:rPr>
          <w:rFonts w:ascii="Times New Roman" w:hAnsi="Times New Roman" w:cs="Times New Roman"/>
          <w:sz w:val="24"/>
          <w:szCs w:val="24"/>
        </w:rPr>
        <w:t>e D</w:t>
      </w:r>
      <w:r w:rsidR="00C70649" w:rsidRPr="009A3D60">
        <w:rPr>
          <w:rFonts w:ascii="Times New Roman" w:hAnsi="Times New Roman" w:cs="Times New Roman"/>
          <w:sz w:val="24"/>
          <w:szCs w:val="24"/>
        </w:rPr>
        <w:t>i</w:t>
      </w:r>
      <w:r w:rsidR="00BB0241" w:rsidRPr="009A3D60">
        <w:rPr>
          <w:rFonts w:ascii="Times New Roman" w:hAnsi="Times New Roman" w:cs="Times New Roman"/>
          <w:sz w:val="24"/>
          <w:szCs w:val="24"/>
        </w:rPr>
        <w:t xml:space="preserve">rector </w:t>
      </w:r>
      <w:r w:rsidR="00C70649" w:rsidRPr="009A3D60">
        <w:rPr>
          <w:rFonts w:ascii="Times New Roman" w:hAnsi="Times New Roman" w:cs="Times New Roman"/>
          <w:sz w:val="24"/>
          <w:szCs w:val="24"/>
        </w:rPr>
        <w:t>has been</w:t>
      </w:r>
      <w:r w:rsidR="00BB0241" w:rsidRPr="009A3D60">
        <w:rPr>
          <w:rFonts w:ascii="Times New Roman" w:hAnsi="Times New Roman" w:cs="Times New Roman"/>
          <w:sz w:val="24"/>
          <w:szCs w:val="24"/>
        </w:rPr>
        <w:t xml:space="preserve"> appointed.</w:t>
      </w:r>
    </w:p>
    <w:p w:rsidR="00D6120C" w:rsidRDefault="00EB6B72" w:rsidP="00EB6B72">
      <w:pPr>
        <w:spacing w:line="276" w:lineRule="auto"/>
        <w:ind w:left="720" w:hanging="720"/>
        <w:jc w:val="both"/>
        <w:rPr>
          <w:rFonts w:ascii="Times New Roman" w:hAnsi="Times New Roman" w:cs="Times New Roman"/>
          <w:sz w:val="24"/>
          <w:szCs w:val="24"/>
        </w:rPr>
      </w:pPr>
      <w:r w:rsidRPr="00EB6B72">
        <w:rPr>
          <w:rFonts w:ascii="Times New Roman" w:hAnsi="Times New Roman" w:cs="Times New Roman"/>
          <w:sz w:val="24"/>
          <w:szCs w:val="24"/>
        </w:rPr>
        <w:t xml:space="preserve">5.2 </w:t>
      </w:r>
      <w:r w:rsidRPr="00EB6B72">
        <w:rPr>
          <w:rFonts w:ascii="Times New Roman" w:hAnsi="Times New Roman" w:cs="Times New Roman"/>
          <w:sz w:val="24"/>
          <w:szCs w:val="24"/>
        </w:rPr>
        <w:tab/>
        <w:t xml:space="preserve">The Committee recommends that the IPID </w:t>
      </w:r>
      <w:r w:rsidR="00D6120C">
        <w:rPr>
          <w:rFonts w:ascii="Times New Roman" w:hAnsi="Times New Roman" w:cs="Times New Roman"/>
          <w:sz w:val="24"/>
          <w:szCs w:val="24"/>
        </w:rPr>
        <w:t xml:space="preserve">work to rectify the decision–ready case APP targets with its stakeholders. </w:t>
      </w:r>
    </w:p>
    <w:p w:rsidR="00EB6B72" w:rsidRPr="00EB6B72" w:rsidRDefault="00EB6B72" w:rsidP="00EB6B72">
      <w:pPr>
        <w:spacing w:line="276" w:lineRule="auto"/>
        <w:ind w:left="720" w:hanging="720"/>
        <w:jc w:val="both"/>
        <w:rPr>
          <w:rFonts w:ascii="Times New Roman" w:hAnsi="Times New Roman" w:cs="Times New Roman"/>
          <w:sz w:val="24"/>
          <w:szCs w:val="24"/>
        </w:rPr>
      </w:pPr>
      <w:r w:rsidRPr="00EB6B72">
        <w:rPr>
          <w:rFonts w:ascii="Times New Roman" w:hAnsi="Times New Roman" w:cs="Times New Roman"/>
          <w:sz w:val="24"/>
          <w:szCs w:val="24"/>
        </w:rPr>
        <w:t>5.3</w:t>
      </w:r>
      <w:r w:rsidRPr="00EB6B72">
        <w:rPr>
          <w:rFonts w:ascii="Times New Roman" w:hAnsi="Times New Roman" w:cs="Times New Roman"/>
          <w:sz w:val="24"/>
          <w:szCs w:val="24"/>
        </w:rPr>
        <w:tab/>
        <w:t xml:space="preserve">The Committee recommends that the IPID management must </w:t>
      </w:r>
      <w:r w:rsidR="00D6120C">
        <w:rPr>
          <w:rFonts w:ascii="Times New Roman" w:hAnsi="Times New Roman" w:cs="Times New Roman"/>
          <w:sz w:val="24"/>
          <w:szCs w:val="24"/>
        </w:rPr>
        <w:t xml:space="preserve">review the basic training course of the SAPS to ensure that the members undergo conflict resolution, anger management and debriefing skills training. </w:t>
      </w:r>
    </w:p>
    <w:p w:rsidR="00EB6B72" w:rsidRDefault="00EB6B72" w:rsidP="00EB6B72">
      <w:pPr>
        <w:spacing w:line="276" w:lineRule="auto"/>
        <w:ind w:left="720" w:hanging="720"/>
        <w:jc w:val="both"/>
        <w:rPr>
          <w:rFonts w:ascii="Times New Roman" w:hAnsi="Times New Roman" w:cs="Times New Roman"/>
          <w:sz w:val="24"/>
          <w:szCs w:val="24"/>
        </w:rPr>
      </w:pPr>
      <w:r w:rsidRPr="00EB6B72">
        <w:rPr>
          <w:rFonts w:ascii="Times New Roman" w:hAnsi="Times New Roman" w:cs="Times New Roman"/>
          <w:sz w:val="24"/>
          <w:szCs w:val="24"/>
        </w:rPr>
        <w:t>5.4</w:t>
      </w:r>
      <w:r w:rsidRPr="00EB6B72">
        <w:rPr>
          <w:rFonts w:ascii="Times New Roman" w:hAnsi="Times New Roman" w:cs="Times New Roman"/>
          <w:sz w:val="24"/>
          <w:szCs w:val="24"/>
        </w:rPr>
        <w:tab/>
        <w:t xml:space="preserve">The Committee recommends that the IPID </w:t>
      </w:r>
      <w:r w:rsidR="008F60D8">
        <w:rPr>
          <w:rFonts w:ascii="Times New Roman" w:hAnsi="Times New Roman" w:cs="Times New Roman"/>
          <w:sz w:val="24"/>
          <w:szCs w:val="24"/>
        </w:rPr>
        <w:t xml:space="preserve">re-open the </w:t>
      </w:r>
      <w:proofErr w:type="spellStart"/>
      <w:r w:rsidR="008F60D8">
        <w:rPr>
          <w:rFonts w:ascii="Times New Roman" w:hAnsi="Times New Roman" w:cs="Times New Roman"/>
          <w:sz w:val="24"/>
          <w:szCs w:val="24"/>
        </w:rPr>
        <w:t>Miggels</w:t>
      </w:r>
      <w:proofErr w:type="spellEnd"/>
      <w:r w:rsidR="008F60D8">
        <w:rPr>
          <w:rFonts w:ascii="Times New Roman" w:hAnsi="Times New Roman" w:cs="Times New Roman"/>
          <w:sz w:val="24"/>
          <w:szCs w:val="24"/>
        </w:rPr>
        <w:t xml:space="preserve"> case and provide feedback to the family of the deceased.</w:t>
      </w:r>
    </w:p>
    <w:p w:rsidR="00EB6B72" w:rsidRPr="00EB6B72" w:rsidRDefault="00EB6B72" w:rsidP="00EB6B72">
      <w:pPr>
        <w:spacing w:line="276" w:lineRule="auto"/>
        <w:ind w:left="720" w:hanging="720"/>
        <w:jc w:val="both"/>
        <w:rPr>
          <w:rFonts w:ascii="Times New Roman" w:hAnsi="Times New Roman" w:cs="Times New Roman"/>
          <w:sz w:val="24"/>
          <w:szCs w:val="24"/>
        </w:rPr>
      </w:pPr>
      <w:r w:rsidRPr="00EB6B72">
        <w:rPr>
          <w:rFonts w:ascii="Times New Roman" w:hAnsi="Times New Roman" w:cs="Times New Roman"/>
          <w:sz w:val="24"/>
          <w:szCs w:val="24"/>
        </w:rPr>
        <w:t xml:space="preserve">5.5 </w:t>
      </w:r>
      <w:r w:rsidRPr="00EB6B72">
        <w:rPr>
          <w:rFonts w:ascii="Times New Roman" w:hAnsi="Times New Roman" w:cs="Times New Roman"/>
          <w:sz w:val="24"/>
          <w:szCs w:val="24"/>
        </w:rPr>
        <w:tab/>
        <w:t xml:space="preserve">The Committee recommends that the IPID should </w:t>
      </w:r>
      <w:r w:rsidR="008F60D8">
        <w:rPr>
          <w:rFonts w:ascii="Times New Roman" w:hAnsi="Times New Roman" w:cs="Times New Roman"/>
          <w:sz w:val="24"/>
          <w:szCs w:val="24"/>
        </w:rPr>
        <w:t xml:space="preserve">implement all the recommendations of the </w:t>
      </w:r>
      <w:proofErr w:type="spellStart"/>
      <w:r w:rsidR="008F60D8">
        <w:rPr>
          <w:rFonts w:ascii="Times New Roman" w:hAnsi="Times New Roman" w:cs="Times New Roman"/>
          <w:sz w:val="24"/>
          <w:szCs w:val="24"/>
        </w:rPr>
        <w:t>Khosa</w:t>
      </w:r>
      <w:proofErr w:type="spellEnd"/>
      <w:r w:rsidR="008F60D8">
        <w:rPr>
          <w:rFonts w:ascii="Times New Roman" w:hAnsi="Times New Roman" w:cs="Times New Roman"/>
          <w:sz w:val="24"/>
          <w:szCs w:val="24"/>
        </w:rPr>
        <w:t xml:space="preserve"> judgement and ensure that the SAPS co-operates with it to implement all the outstanding areas of the judgement.  </w:t>
      </w:r>
    </w:p>
    <w:p w:rsidR="00EB6B72" w:rsidRDefault="00EB6B72" w:rsidP="00EB6B72">
      <w:pPr>
        <w:spacing w:line="276" w:lineRule="auto"/>
        <w:ind w:left="720" w:hanging="720"/>
        <w:jc w:val="both"/>
        <w:rPr>
          <w:rFonts w:ascii="Times New Roman" w:hAnsi="Times New Roman" w:cs="Times New Roman"/>
          <w:sz w:val="24"/>
          <w:szCs w:val="24"/>
        </w:rPr>
      </w:pPr>
      <w:r w:rsidRPr="00EB6B72">
        <w:rPr>
          <w:rFonts w:ascii="Times New Roman" w:hAnsi="Times New Roman" w:cs="Times New Roman"/>
          <w:sz w:val="24"/>
          <w:szCs w:val="24"/>
        </w:rPr>
        <w:t>5.6</w:t>
      </w:r>
      <w:r w:rsidRPr="00EB6B72">
        <w:rPr>
          <w:rFonts w:ascii="Times New Roman" w:hAnsi="Times New Roman" w:cs="Times New Roman"/>
          <w:sz w:val="24"/>
          <w:szCs w:val="24"/>
        </w:rPr>
        <w:tab/>
        <w:t xml:space="preserve">The Committee </w:t>
      </w:r>
      <w:r w:rsidR="008F60D8">
        <w:rPr>
          <w:rFonts w:ascii="Times New Roman" w:hAnsi="Times New Roman" w:cs="Times New Roman"/>
          <w:sz w:val="24"/>
          <w:szCs w:val="24"/>
        </w:rPr>
        <w:t xml:space="preserve">recommends that the IPID reviews all its low APP targets. </w:t>
      </w:r>
      <w:r w:rsidRPr="00EB6B72">
        <w:rPr>
          <w:rFonts w:ascii="Times New Roman" w:hAnsi="Times New Roman" w:cs="Times New Roman"/>
          <w:sz w:val="24"/>
          <w:szCs w:val="24"/>
        </w:rPr>
        <w:t xml:space="preserve"> </w:t>
      </w:r>
    </w:p>
    <w:p w:rsidR="008F60D8" w:rsidRDefault="008F60D8"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 xml:space="preserve">The Committee recommends that the IPID provides a plan for the re-prioritisation of the budget to deal with areas where there are shortfalls and provide a report to Parliament.  </w:t>
      </w:r>
    </w:p>
    <w:p w:rsidR="008F60D8" w:rsidRDefault="008F60D8"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t>The Committee recommends that the IPID consider other government funding sources to recover the areas where funding shortfalls exist.</w:t>
      </w:r>
    </w:p>
    <w:p w:rsidR="008F60D8" w:rsidRDefault="008F60D8"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rPr>
        <w:tab/>
        <w:t>The Committee recommends that the IPID develop a plan to deal with its underperformance.</w:t>
      </w:r>
    </w:p>
    <w:p w:rsidR="008F60D8" w:rsidRDefault="008F60D8"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5.10</w:t>
      </w:r>
      <w:r>
        <w:rPr>
          <w:rFonts w:ascii="Times New Roman" w:hAnsi="Times New Roman" w:cs="Times New Roman"/>
          <w:sz w:val="24"/>
          <w:szCs w:val="24"/>
        </w:rPr>
        <w:tab/>
        <w:t xml:space="preserve">The Committee will monitor the IPID Amendment Bill and wait for the further IPID </w:t>
      </w:r>
      <w:r w:rsidR="00A03D4D">
        <w:rPr>
          <w:rFonts w:ascii="Times New Roman" w:hAnsi="Times New Roman" w:cs="Times New Roman"/>
          <w:sz w:val="24"/>
          <w:szCs w:val="24"/>
        </w:rPr>
        <w:t>amendments.</w:t>
      </w:r>
      <w:r>
        <w:rPr>
          <w:rFonts w:ascii="Times New Roman" w:hAnsi="Times New Roman" w:cs="Times New Roman"/>
          <w:sz w:val="24"/>
          <w:szCs w:val="24"/>
        </w:rPr>
        <w:t xml:space="preserve"> </w:t>
      </w:r>
    </w:p>
    <w:p w:rsidR="007B534B" w:rsidRPr="009A3D60" w:rsidRDefault="007B534B" w:rsidP="00EB6B72">
      <w:pPr>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5.11</w:t>
      </w:r>
      <w:r>
        <w:rPr>
          <w:rFonts w:ascii="Times New Roman" w:hAnsi="Times New Roman" w:cs="Times New Roman"/>
          <w:sz w:val="24"/>
          <w:szCs w:val="24"/>
        </w:rPr>
        <w:tab/>
      </w:r>
      <w:r w:rsidRPr="009A3D60">
        <w:rPr>
          <w:rFonts w:ascii="Times New Roman" w:hAnsi="Times New Roman" w:cs="Times New Roman"/>
          <w:sz w:val="24"/>
          <w:szCs w:val="24"/>
        </w:rPr>
        <w:t xml:space="preserve">The Committee recommends that all CIVID-19 related cases during the lockdown be forwarded to the IPID National Office for quality control before being closed or processed. </w:t>
      </w:r>
    </w:p>
    <w:p w:rsidR="007B534B" w:rsidRPr="00EB6B72" w:rsidRDefault="007B534B" w:rsidP="00EB6B72">
      <w:pPr>
        <w:spacing w:line="276" w:lineRule="auto"/>
        <w:ind w:left="720" w:hanging="720"/>
        <w:jc w:val="both"/>
        <w:rPr>
          <w:rFonts w:ascii="Times New Roman" w:hAnsi="Times New Roman" w:cs="Times New Roman"/>
          <w:sz w:val="24"/>
          <w:szCs w:val="24"/>
        </w:rPr>
      </w:pPr>
      <w:r w:rsidRPr="009A3D60">
        <w:rPr>
          <w:rFonts w:ascii="Times New Roman" w:hAnsi="Times New Roman" w:cs="Times New Roman"/>
          <w:sz w:val="24"/>
          <w:szCs w:val="24"/>
        </w:rPr>
        <w:t>5.12</w:t>
      </w:r>
      <w:r w:rsidRPr="009A3D60">
        <w:rPr>
          <w:rFonts w:ascii="Times New Roman" w:hAnsi="Times New Roman" w:cs="Times New Roman"/>
          <w:sz w:val="24"/>
          <w:szCs w:val="24"/>
        </w:rPr>
        <w:tab/>
        <w:t>The Committee recommends that all provincial reports of cases closed be made available to the Members.</w:t>
      </w:r>
    </w:p>
    <w:p w:rsidR="00EB6B72" w:rsidRPr="00EB6B72" w:rsidRDefault="00EB6B72" w:rsidP="00EB6B72">
      <w:pPr>
        <w:spacing w:line="276" w:lineRule="auto"/>
        <w:ind w:left="720" w:hanging="720"/>
        <w:jc w:val="both"/>
        <w:rPr>
          <w:rFonts w:ascii="Times New Roman" w:hAnsi="Times New Roman" w:cs="Times New Roman"/>
          <w:sz w:val="24"/>
          <w:szCs w:val="24"/>
        </w:rPr>
      </w:pPr>
    </w:p>
    <w:p w:rsidR="00EB6B72" w:rsidRPr="00EB6B72" w:rsidRDefault="00EB6B72" w:rsidP="00EB6B72">
      <w:pPr>
        <w:spacing w:line="276" w:lineRule="auto"/>
        <w:jc w:val="both"/>
        <w:rPr>
          <w:rFonts w:ascii="Times New Roman" w:hAnsi="Times New Roman" w:cs="Times New Roman"/>
          <w:b/>
          <w:sz w:val="24"/>
          <w:szCs w:val="24"/>
        </w:rPr>
      </w:pPr>
      <w:r w:rsidRPr="00EB6B72">
        <w:rPr>
          <w:rFonts w:ascii="Times New Roman" w:hAnsi="Times New Roman" w:cs="Times New Roman"/>
          <w:b/>
          <w:sz w:val="24"/>
          <w:szCs w:val="24"/>
        </w:rPr>
        <w:t xml:space="preserve">6. </w:t>
      </w:r>
      <w:r w:rsidRPr="00EB6B72">
        <w:rPr>
          <w:rFonts w:ascii="Times New Roman" w:hAnsi="Times New Roman" w:cs="Times New Roman"/>
          <w:b/>
          <w:sz w:val="24"/>
          <w:szCs w:val="24"/>
        </w:rPr>
        <w:tab/>
        <w:t>Conclusion</w:t>
      </w:r>
    </w:p>
    <w:p w:rsidR="00A03D4D" w:rsidRDefault="00EB6B72" w:rsidP="00EB6B72">
      <w:pPr>
        <w:spacing w:line="276" w:lineRule="auto"/>
        <w:jc w:val="both"/>
        <w:rPr>
          <w:rFonts w:ascii="Times New Roman" w:hAnsi="Times New Roman" w:cs="Times New Roman"/>
          <w:sz w:val="24"/>
          <w:szCs w:val="24"/>
        </w:rPr>
      </w:pPr>
      <w:r w:rsidRPr="00EB6B72">
        <w:rPr>
          <w:rFonts w:ascii="Times New Roman" w:hAnsi="Times New Roman" w:cs="Times New Roman"/>
          <w:sz w:val="24"/>
          <w:szCs w:val="24"/>
        </w:rPr>
        <w:t xml:space="preserve">In conclusion, the Committee noted </w:t>
      </w:r>
      <w:r w:rsidR="00A03D4D">
        <w:rPr>
          <w:rFonts w:ascii="Times New Roman" w:hAnsi="Times New Roman" w:cs="Times New Roman"/>
          <w:sz w:val="24"/>
          <w:szCs w:val="24"/>
        </w:rPr>
        <w:t xml:space="preserve">its serious concerns that the budget shortfall will have on the ability of the IPID to implement its mandate and effective oversight over the police. </w:t>
      </w:r>
      <w:r w:rsidRPr="00EB6B72">
        <w:rPr>
          <w:rFonts w:ascii="Times New Roman" w:hAnsi="Times New Roman" w:cs="Times New Roman"/>
          <w:sz w:val="24"/>
          <w:szCs w:val="24"/>
        </w:rPr>
        <w:t xml:space="preserve">The Committee </w:t>
      </w:r>
      <w:r w:rsidR="00A03D4D">
        <w:rPr>
          <w:rFonts w:ascii="Times New Roman" w:hAnsi="Times New Roman" w:cs="Times New Roman"/>
          <w:sz w:val="24"/>
          <w:szCs w:val="24"/>
        </w:rPr>
        <w:t>is also seriously concerned about the instability in the leadership of IPID by the fact that an Executive Director has not been appointed. The Committee wants the Executive Authority to move with speed to complete the process it has started to appoint the Executive Director.</w:t>
      </w:r>
    </w:p>
    <w:p w:rsidR="00EB6B72" w:rsidRPr="00EB6B72" w:rsidRDefault="00EB6B72" w:rsidP="00EB6B72">
      <w:pPr>
        <w:spacing w:line="276" w:lineRule="auto"/>
        <w:jc w:val="both"/>
        <w:rPr>
          <w:rFonts w:ascii="Times New Roman" w:hAnsi="Times New Roman" w:cs="Times New Roman"/>
          <w:sz w:val="24"/>
          <w:szCs w:val="24"/>
        </w:rPr>
      </w:pPr>
      <w:r w:rsidRPr="00EB6B72">
        <w:rPr>
          <w:rFonts w:ascii="Times New Roman" w:hAnsi="Times New Roman" w:cs="Times New Roman"/>
          <w:sz w:val="24"/>
          <w:szCs w:val="24"/>
        </w:rPr>
        <w:t xml:space="preserve">The Committee </w:t>
      </w:r>
      <w:r w:rsidR="00A03D4D">
        <w:rPr>
          <w:rFonts w:ascii="Times New Roman" w:hAnsi="Times New Roman" w:cs="Times New Roman"/>
          <w:sz w:val="24"/>
          <w:szCs w:val="24"/>
        </w:rPr>
        <w:t xml:space="preserve">notes that the public must have public trust in the police and the IPID should be effective to hold the police to account and for that to happen, the IPID </w:t>
      </w:r>
      <w:r w:rsidRPr="00EB6B72">
        <w:rPr>
          <w:rFonts w:ascii="Times New Roman" w:hAnsi="Times New Roman" w:cs="Times New Roman"/>
          <w:sz w:val="24"/>
          <w:szCs w:val="24"/>
        </w:rPr>
        <w:t xml:space="preserve">needs to work hard to improve their marketing strategy and to bring their services to areas that will be accessible to communities. The Portfolio Committee thanked the Department for their co-operation in the annual budget hearings.  </w:t>
      </w:r>
    </w:p>
    <w:p w:rsidR="00EB6B72" w:rsidRDefault="00EB6B72" w:rsidP="00EB6B72">
      <w:pPr>
        <w:jc w:val="both"/>
        <w:rPr>
          <w:rFonts w:ascii="Times New Roman" w:hAnsi="Times New Roman" w:cs="Times New Roman"/>
          <w:sz w:val="24"/>
          <w:szCs w:val="24"/>
        </w:rPr>
      </w:pPr>
      <w:r w:rsidRPr="00EB6B72">
        <w:rPr>
          <w:rFonts w:ascii="Times New Roman" w:hAnsi="Times New Roman" w:cs="Times New Roman"/>
          <w:sz w:val="24"/>
          <w:szCs w:val="24"/>
        </w:rPr>
        <w:t>The Portfolio Committee on Police supports the budget of the Independent Police Investigative Directorate (IPID) for 20</w:t>
      </w:r>
      <w:r w:rsidR="00A03D4D">
        <w:rPr>
          <w:rFonts w:ascii="Times New Roman" w:hAnsi="Times New Roman" w:cs="Times New Roman"/>
          <w:sz w:val="24"/>
          <w:szCs w:val="24"/>
        </w:rPr>
        <w:t>20</w:t>
      </w:r>
      <w:r w:rsidRPr="00EB6B72">
        <w:rPr>
          <w:rFonts w:ascii="Times New Roman" w:hAnsi="Times New Roman" w:cs="Times New Roman"/>
          <w:sz w:val="24"/>
          <w:szCs w:val="24"/>
        </w:rPr>
        <w:t>/2</w:t>
      </w:r>
      <w:r w:rsidR="00A03D4D">
        <w:rPr>
          <w:rFonts w:ascii="Times New Roman" w:hAnsi="Times New Roman" w:cs="Times New Roman"/>
          <w:sz w:val="24"/>
          <w:szCs w:val="24"/>
        </w:rPr>
        <w:t>1</w:t>
      </w:r>
      <w:r w:rsidRPr="00EB6B72">
        <w:rPr>
          <w:rFonts w:ascii="Times New Roman" w:hAnsi="Times New Roman" w:cs="Times New Roman"/>
          <w:sz w:val="24"/>
          <w:szCs w:val="24"/>
        </w:rPr>
        <w:t xml:space="preserve"> and recommends that the Budget Vote 2</w:t>
      </w:r>
      <w:r w:rsidR="00A03D4D">
        <w:rPr>
          <w:rFonts w:ascii="Times New Roman" w:hAnsi="Times New Roman" w:cs="Times New Roman"/>
          <w:sz w:val="24"/>
          <w:szCs w:val="24"/>
        </w:rPr>
        <w:t>4</w:t>
      </w:r>
      <w:r w:rsidRPr="00EB6B72">
        <w:rPr>
          <w:rFonts w:ascii="Times New Roman" w:hAnsi="Times New Roman" w:cs="Times New Roman"/>
          <w:sz w:val="24"/>
          <w:szCs w:val="24"/>
        </w:rPr>
        <w:t xml:space="preserve"> be adopted.</w:t>
      </w:r>
    </w:p>
    <w:p w:rsidR="009A3D60" w:rsidRPr="00EB6B72" w:rsidRDefault="009A3D60" w:rsidP="00EB6B72">
      <w:pPr>
        <w:jc w:val="both"/>
        <w:rPr>
          <w:rFonts w:ascii="Times New Roman" w:hAnsi="Times New Roman" w:cs="Times New Roman"/>
          <w:sz w:val="24"/>
          <w:szCs w:val="24"/>
        </w:rPr>
      </w:pPr>
      <w:r>
        <w:rPr>
          <w:rFonts w:ascii="Times New Roman" w:hAnsi="Times New Roman" w:cs="Times New Roman"/>
          <w:sz w:val="24"/>
          <w:szCs w:val="24"/>
        </w:rPr>
        <w:t xml:space="preserve">The Democratic Alliance and the Economic Freedom Fighters reserved its rights with respect to the adoption of the report. </w:t>
      </w:r>
    </w:p>
    <w:p w:rsidR="00A03D4D" w:rsidRDefault="00A03D4D" w:rsidP="00EB6B72">
      <w:pPr>
        <w:tabs>
          <w:tab w:val="left" w:pos="4056"/>
          <w:tab w:val="left" w:pos="6444"/>
        </w:tabs>
        <w:spacing w:line="276" w:lineRule="auto"/>
        <w:jc w:val="both"/>
        <w:rPr>
          <w:rFonts w:ascii="Times New Roman" w:hAnsi="Times New Roman" w:cs="Times New Roman"/>
          <w:b/>
          <w:sz w:val="24"/>
          <w:szCs w:val="24"/>
        </w:rPr>
      </w:pPr>
    </w:p>
    <w:p w:rsidR="00341FC9" w:rsidRDefault="00EB6B72" w:rsidP="00A03D4D">
      <w:pPr>
        <w:tabs>
          <w:tab w:val="left" w:pos="4056"/>
          <w:tab w:val="left" w:pos="6444"/>
        </w:tabs>
        <w:spacing w:line="276" w:lineRule="auto"/>
        <w:jc w:val="both"/>
      </w:pPr>
      <w:r w:rsidRPr="00EB6B72">
        <w:rPr>
          <w:rFonts w:ascii="Times New Roman" w:hAnsi="Times New Roman" w:cs="Times New Roman"/>
          <w:b/>
          <w:sz w:val="24"/>
          <w:szCs w:val="24"/>
        </w:rPr>
        <w:t>Report to be considered.</w:t>
      </w:r>
    </w:p>
    <w:sectPr w:rsidR="00341F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64B" w:rsidRDefault="006E264B">
      <w:pPr>
        <w:spacing w:after="0" w:line="240" w:lineRule="auto"/>
      </w:pPr>
      <w:r>
        <w:separator/>
      </w:r>
    </w:p>
  </w:endnote>
  <w:endnote w:type="continuationSeparator" w:id="0">
    <w:p w:rsidR="006E264B" w:rsidRDefault="006E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EF" w:rsidRDefault="001D6F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EF" w:rsidRDefault="001D6FEF">
    <w:pPr>
      <w:pStyle w:val="Footer"/>
      <w:jc w:val="center"/>
      <w:rPr>
        <w:caps/>
        <w:noProof/>
        <w:color w:val="5B9BD5" w:themeColor="accent1"/>
      </w:rPr>
    </w:pPr>
    <w:r w:rsidRPr="00F905A0">
      <w:rPr>
        <w:caps/>
      </w:rPr>
      <w:fldChar w:fldCharType="begin"/>
    </w:r>
    <w:r w:rsidRPr="00F905A0">
      <w:rPr>
        <w:caps/>
      </w:rPr>
      <w:instrText xml:space="preserve"> PAGE   \* MERGEFORMAT </w:instrText>
    </w:r>
    <w:r w:rsidRPr="00F905A0">
      <w:rPr>
        <w:caps/>
      </w:rPr>
      <w:fldChar w:fldCharType="separate"/>
    </w:r>
    <w:r w:rsidR="00F03893">
      <w:rPr>
        <w:caps/>
        <w:noProof/>
      </w:rPr>
      <w:t>1</w:t>
    </w:r>
    <w:r w:rsidRPr="00F905A0">
      <w:rPr>
        <w:caps/>
        <w:noProof/>
      </w:rPr>
      <w:fldChar w:fldCharType="end"/>
    </w:r>
  </w:p>
  <w:p w:rsidR="001D6FEF" w:rsidRDefault="001D6FE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EF" w:rsidRDefault="001D6F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64B" w:rsidRDefault="006E264B">
      <w:pPr>
        <w:spacing w:after="0" w:line="240" w:lineRule="auto"/>
      </w:pPr>
      <w:r>
        <w:separator/>
      </w:r>
    </w:p>
  </w:footnote>
  <w:footnote w:type="continuationSeparator" w:id="0">
    <w:p w:rsidR="006E264B" w:rsidRDefault="006E2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EF" w:rsidRDefault="001D6F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EF" w:rsidRDefault="001D6F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FEF" w:rsidRDefault="001D6F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10A"/>
    <w:multiLevelType w:val="hybridMultilevel"/>
    <w:tmpl w:val="2ABE3E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E71706"/>
    <w:multiLevelType w:val="multilevel"/>
    <w:tmpl w:val="109C9B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E5FDE"/>
    <w:multiLevelType w:val="hybridMultilevel"/>
    <w:tmpl w:val="DE1458A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80458F"/>
    <w:multiLevelType w:val="hybridMultilevel"/>
    <w:tmpl w:val="8D1E3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B7252B7"/>
    <w:multiLevelType w:val="hybridMultilevel"/>
    <w:tmpl w:val="FACC09D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DA5684"/>
    <w:multiLevelType w:val="hybridMultilevel"/>
    <w:tmpl w:val="C2248FB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1842209"/>
    <w:multiLevelType w:val="hybridMultilevel"/>
    <w:tmpl w:val="E892A8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AE44392"/>
    <w:multiLevelType w:val="hybridMultilevel"/>
    <w:tmpl w:val="CF7696F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D986BE5"/>
    <w:multiLevelType w:val="hybridMultilevel"/>
    <w:tmpl w:val="0A8C1A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E6D4F16"/>
    <w:multiLevelType w:val="hybridMultilevel"/>
    <w:tmpl w:val="98BE28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0A90AE4"/>
    <w:multiLevelType w:val="hybridMultilevel"/>
    <w:tmpl w:val="FD043C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DE3766D"/>
    <w:multiLevelType w:val="hybridMultilevel"/>
    <w:tmpl w:val="1EC028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F3D42A5"/>
    <w:multiLevelType w:val="hybridMultilevel"/>
    <w:tmpl w:val="C9FE9300"/>
    <w:lvl w:ilvl="0" w:tplc="7C542896">
      <w:numFmt w:val="bullet"/>
      <w:lvlText w:val="•"/>
      <w:lvlJc w:val="left"/>
      <w:pPr>
        <w:ind w:left="2700" w:hanging="72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01A59AF"/>
    <w:multiLevelType w:val="hybridMultilevel"/>
    <w:tmpl w:val="B7304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1DA1901"/>
    <w:multiLevelType w:val="hybridMultilevel"/>
    <w:tmpl w:val="CF1ABD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6A1541D"/>
    <w:multiLevelType w:val="hybridMultilevel"/>
    <w:tmpl w:val="3BF696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47E900C0"/>
    <w:multiLevelType w:val="hybridMultilevel"/>
    <w:tmpl w:val="BDC6F3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8F40689"/>
    <w:multiLevelType w:val="hybridMultilevel"/>
    <w:tmpl w:val="A7E81B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0146146"/>
    <w:multiLevelType w:val="hybridMultilevel"/>
    <w:tmpl w:val="F030F8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1E214B5"/>
    <w:multiLevelType w:val="hybridMultilevel"/>
    <w:tmpl w:val="4CB668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42145B9"/>
    <w:multiLevelType w:val="hybridMultilevel"/>
    <w:tmpl w:val="057A8B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43B3612"/>
    <w:multiLevelType w:val="hybridMultilevel"/>
    <w:tmpl w:val="1CB0D628"/>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FA21DDB"/>
    <w:multiLevelType w:val="hybridMultilevel"/>
    <w:tmpl w:val="0D468FD2"/>
    <w:lvl w:ilvl="0" w:tplc="7C542896">
      <w:numFmt w:val="bullet"/>
      <w:lvlText w:val="•"/>
      <w:lvlJc w:val="left"/>
      <w:pPr>
        <w:ind w:left="2700" w:hanging="72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97E55E2"/>
    <w:multiLevelType w:val="hybridMultilevel"/>
    <w:tmpl w:val="19AA110C"/>
    <w:lvl w:ilvl="0" w:tplc="7C542896">
      <w:numFmt w:val="bullet"/>
      <w:lvlText w:val="•"/>
      <w:lvlJc w:val="left"/>
      <w:pPr>
        <w:ind w:left="4680" w:hanging="720"/>
      </w:pPr>
      <w:rPr>
        <w:rFonts w:ascii="Times New Roman" w:eastAsiaTheme="minorHAnsi" w:hAnsi="Times New Roman" w:cs="Times New Roman" w:hint="default"/>
      </w:rPr>
    </w:lvl>
    <w:lvl w:ilvl="1" w:tplc="1C090003" w:tentative="1">
      <w:start w:val="1"/>
      <w:numFmt w:val="bullet"/>
      <w:lvlText w:val="o"/>
      <w:lvlJc w:val="left"/>
      <w:pPr>
        <w:ind w:left="3420" w:hanging="360"/>
      </w:pPr>
      <w:rPr>
        <w:rFonts w:ascii="Courier New" w:hAnsi="Courier New" w:cs="Courier New" w:hint="default"/>
      </w:rPr>
    </w:lvl>
    <w:lvl w:ilvl="2" w:tplc="1C090005">
      <w:start w:val="1"/>
      <w:numFmt w:val="bullet"/>
      <w:lvlText w:val=""/>
      <w:lvlJc w:val="left"/>
      <w:pPr>
        <w:ind w:left="4140" w:hanging="360"/>
      </w:pPr>
      <w:rPr>
        <w:rFonts w:ascii="Wingdings" w:hAnsi="Wingdings" w:hint="default"/>
      </w:rPr>
    </w:lvl>
    <w:lvl w:ilvl="3" w:tplc="1C090001" w:tentative="1">
      <w:start w:val="1"/>
      <w:numFmt w:val="bullet"/>
      <w:lvlText w:val=""/>
      <w:lvlJc w:val="left"/>
      <w:pPr>
        <w:ind w:left="4860" w:hanging="360"/>
      </w:pPr>
      <w:rPr>
        <w:rFonts w:ascii="Symbol" w:hAnsi="Symbol" w:hint="default"/>
      </w:rPr>
    </w:lvl>
    <w:lvl w:ilvl="4" w:tplc="1C090003" w:tentative="1">
      <w:start w:val="1"/>
      <w:numFmt w:val="bullet"/>
      <w:lvlText w:val="o"/>
      <w:lvlJc w:val="left"/>
      <w:pPr>
        <w:ind w:left="5580" w:hanging="360"/>
      </w:pPr>
      <w:rPr>
        <w:rFonts w:ascii="Courier New" w:hAnsi="Courier New" w:cs="Courier New" w:hint="default"/>
      </w:rPr>
    </w:lvl>
    <w:lvl w:ilvl="5" w:tplc="1C090005" w:tentative="1">
      <w:start w:val="1"/>
      <w:numFmt w:val="bullet"/>
      <w:lvlText w:val=""/>
      <w:lvlJc w:val="left"/>
      <w:pPr>
        <w:ind w:left="6300" w:hanging="360"/>
      </w:pPr>
      <w:rPr>
        <w:rFonts w:ascii="Wingdings" w:hAnsi="Wingdings" w:hint="default"/>
      </w:rPr>
    </w:lvl>
    <w:lvl w:ilvl="6" w:tplc="1C090001" w:tentative="1">
      <w:start w:val="1"/>
      <w:numFmt w:val="bullet"/>
      <w:lvlText w:val=""/>
      <w:lvlJc w:val="left"/>
      <w:pPr>
        <w:ind w:left="7020" w:hanging="360"/>
      </w:pPr>
      <w:rPr>
        <w:rFonts w:ascii="Symbol" w:hAnsi="Symbol" w:hint="default"/>
      </w:rPr>
    </w:lvl>
    <w:lvl w:ilvl="7" w:tplc="1C090003" w:tentative="1">
      <w:start w:val="1"/>
      <w:numFmt w:val="bullet"/>
      <w:lvlText w:val="o"/>
      <w:lvlJc w:val="left"/>
      <w:pPr>
        <w:ind w:left="7740" w:hanging="360"/>
      </w:pPr>
      <w:rPr>
        <w:rFonts w:ascii="Courier New" w:hAnsi="Courier New" w:cs="Courier New" w:hint="default"/>
      </w:rPr>
    </w:lvl>
    <w:lvl w:ilvl="8" w:tplc="1C090005" w:tentative="1">
      <w:start w:val="1"/>
      <w:numFmt w:val="bullet"/>
      <w:lvlText w:val=""/>
      <w:lvlJc w:val="left"/>
      <w:pPr>
        <w:ind w:left="8460" w:hanging="360"/>
      </w:pPr>
      <w:rPr>
        <w:rFonts w:ascii="Wingdings" w:hAnsi="Wingdings" w:hint="default"/>
      </w:rPr>
    </w:lvl>
  </w:abstractNum>
  <w:abstractNum w:abstractNumId="24" w15:restartNumberingAfterBreak="0">
    <w:nsid w:val="6D243CA1"/>
    <w:multiLevelType w:val="hybridMultilevel"/>
    <w:tmpl w:val="FACC09D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0356EFF"/>
    <w:multiLevelType w:val="hybridMultilevel"/>
    <w:tmpl w:val="FACC09D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2D63EF4"/>
    <w:multiLevelType w:val="hybridMultilevel"/>
    <w:tmpl w:val="941211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CE35F11"/>
    <w:multiLevelType w:val="hybridMultilevel"/>
    <w:tmpl w:val="ABEC1E2A"/>
    <w:lvl w:ilvl="0" w:tplc="1C090017">
      <w:start w:val="1"/>
      <w:numFmt w:val="lowerLetter"/>
      <w:lvlText w:val="%1)"/>
      <w:lvlJc w:val="left"/>
      <w:pPr>
        <w:ind w:left="720" w:hanging="360"/>
      </w:pPr>
    </w:lvl>
    <w:lvl w:ilvl="1" w:tplc="1C09000F">
      <w:start w:val="1"/>
      <w:numFmt w:val="decimal"/>
      <w:lvlText w:val="%2."/>
      <w:lvlJc w:val="left"/>
      <w:pPr>
        <w:ind w:left="1440" w:hanging="360"/>
      </w:pPr>
    </w:lvl>
    <w:lvl w:ilvl="2" w:tplc="7C542896">
      <w:numFmt w:val="bullet"/>
      <w:lvlText w:val="•"/>
      <w:lvlJc w:val="left"/>
      <w:pPr>
        <w:ind w:left="2700" w:hanging="720"/>
      </w:pPr>
      <w:rPr>
        <w:rFonts w:ascii="Times New Roman" w:eastAsiaTheme="minorHAnsi" w:hAnsi="Times New Roman" w:cs="Times New Roman"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6"/>
  </w:num>
  <w:num w:numId="3">
    <w:abstractNumId w:val="2"/>
  </w:num>
  <w:num w:numId="4">
    <w:abstractNumId w:val="9"/>
  </w:num>
  <w:num w:numId="5">
    <w:abstractNumId w:val="21"/>
  </w:num>
  <w:num w:numId="6">
    <w:abstractNumId w:val="25"/>
  </w:num>
  <w:num w:numId="7">
    <w:abstractNumId w:val="24"/>
  </w:num>
  <w:num w:numId="8">
    <w:abstractNumId w:val="4"/>
  </w:num>
  <w:num w:numId="9">
    <w:abstractNumId w:val="1"/>
  </w:num>
  <w:num w:numId="10">
    <w:abstractNumId w:val="19"/>
  </w:num>
  <w:num w:numId="11">
    <w:abstractNumId w:val="5"/>
  </w:num>
  <w:num w:numId="12">
    <w:abstractNumId w:val="7"/>
  </w:num>
  <w:num w:numId="13">
    <w:abstractNumId w:val="27"/>
  </w:num>
  <w:num w:numId="14">
    <w:abstractNumId w:val="14"/>
  </w:num>
  <w:num w:numId="15">
    <w:abstractNumId w:val="26"/>
  </w:num>
  <w:num w:numId="16">
    <w:abstractNumId w:val="10"/>
  </w:num>
  <w:num w:numId="17">
    <w:abstractNumId w:val="3"/>
  </w:num>
  <w:num w:numId="18">
    <w:abstractNumId w:val="8"/>
  </w:num>
  <w:num w:numId="19">
    <w:abstractNumId w:val="15"/>
  </w:num>
  <w:num w:numId="20">
    <w:abstractNumId w:val="17"/>
  </w:num>
  <w:num w:numId="21">
    <w:abstractNumId w:val="0"/>
  </w:num>
  <w:num w:numId="22">
    <w:abstractNumId w:val="23"/>
  </w:num>
  <w:num w:numId="23">
    <w:abstractNumId w:val="22"/>
  </w:num>
  <w:num w:numId="24">
    <w:abstractNumId w:val="12"/>
  </w:num>
  <w:num w:numId="25">
    <w:abstractNumId w:val="13"/>
  </w:num>
  <w:num w:numId="26">
    <w:abstractNumId w:val="11"/>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72"/>
    <w:rsid w:val="000E786F"/>
    <w:rsid w:val="0012376D"/>
    <w:rsid w:val="00155CEE"/>
    <w:rsid w:val="001C3901"/>
    <w:rsid w:val="001D6FEF"/>
    <w:rsid w:val="00227075"/>
    <w:rsid w:val="002477DD"/>
    <w:rsid w:val="00252C96"/>
    <w:rsid w:val="0027450D"/>
    <w:rsid w:val="002C3750"/>
    <w:rsid w:val="002E4BA9"/>
    <w:rsid w:val="002F7AD4"/>
    <w:rsid w:val="00341FC9"/>
    <w:rsid w:val="003709D0"/>
    <w:rsid w:val="003825C9"/>
    <w:rsid w:val="00402DD0"/>
    <w:rsid w:val="0042316F"/>
    <w:rsid w:val="00435BB0"/>
    <w:rsid w:val="004818B3"/>
    <w:rsid w:val="004B2F79"/>
    <w:rsid w:val="004F652D"/>
    <w:rsid w:val="005466DF"/>
    <w:rsid w:val="005D7DA1"/>
    <w:rsid w:val="00623BFB"/>
    <w:rsid w:val="006E264B"/>
    <w:rsid w:val="006F2E2F"/>
    <w:rsid w:val="00707B7A"/>
    <w:rsid w:val="00712CC2"/>
    <w:rsid w:val="0078391F"/>
    <w:rsid w:val="007B534B"/>
    <w:rsid w:val="007C4DE5"/>
    <w:rsid w:val="007E6670"/>
    <w:rsid w:val="00854755"/>
    <w:rsid w:val="0087648D"/>
    <w:rsid w:val="00897621"/>
    <w:rsid w:val="008D0420"/>
    <w:rsid w:val="008F60D8"/>
    <w:rsid w:val="009000B2"/>
    <w:rsid w:val="009715CD"/>
    <w:rsid w:val="009A3D60"/>
    <w:rsid w:val="009F60CA"/>
    <w:rsid w:val="00A03D4D"/>
    <w:rsid w:val="00A14F14"/>
    <w:rsid w:val="00A613C0"/>
    <w:rsid w:val="00A62C50"/>
    <w:rsid w:val="00A7455B"/>
    <w:rsid w:val="00A858BD"/>
    <w:rsid w:val="00AA6A10"/>
    <w:rsid w:val="00B110E4"/>
    <w:rsid w:val="00B13BC0"/>
    <w:rsid w:val="00B15543"/>
    <w:rsid w:val="00B57C2E"/>
    <w:rsid w:val="00B87B57"/>
    <w:rsid w:val="00BB0241"/>
    <w:rsid w:val="00C255F4"/>
    <w:rsid w:val="00C355E8"/>
    <w:rsid w:val="00C43A9E"/>
    <w:rsid w:val="00C558E9"/>
    <w:rsid w:val="00C579E0"/>
    <w:rsid w:val="00C70649"/>
    <w:rsid w:val="00C74418"/>
    <w:rsid w:val="00C869F9"/>
    <w:rsid w:val="00C930A5"/>
    <w:rsid w:val="00D2493A"/>
    <w:rsid w:val="00D6120C"/>
    <w:rsid w:val="00D70882"/>
    <w:rsid w:val="00DD46F5"/>
    <w:rsid w:val="00E041AF"/>
    <w:rsid w:val="00E47C56"/>
    <w:rsid w:val="00E87595"/>
    <w:rsid w:val="00EB6B72"/>
    <w:rsid w:val="00EE79E1"/>
    <w:rsid w:val="00F03893"/>
    <w:rsid w:val="00F55DC6"/>
    <w:rsid w:val="00FD5E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484B8"/>
  <w15:chartTrackingRefBased/>
  <w15:docId w15:val="{30A9616C-A851-446A-94F3-9706F72F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B72"/>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B6B72"/>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B6B72"/>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6B72"/>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B6B72"/>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6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B72"/>
  </w:style>
  <w:style w:type="paragraph" w:styleId="Footer">
    <w:name w:val="footer"/>
    <w:basedOn w:val="Normal"/>
    <w:link w:val="FooterChar"/>
    <w:uiPriority w:val="99"/>
    <w:unhideWhenUsed/>
    <w:rsid w:val="00EB6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B72"/>
  </w:style>
  <w:style w:type="paragraph" w:customStyle="1" w:styleId="Default">
    <w:name w:val="Default"/>
    <w:rsid w:val="009000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F2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4C0E2-E640-47F4-920C-FBFF3BCF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8332</Words>
  <Characters>47498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Kinnes</dc:creator>
  <cp:keywords/>
  <dc:description/>
  <cp:lastModifiedBy>Irvin Kinnes</cp:lastModifiedBy>
  <cp:revision>3</cp:revision>
  <dcterms:created xsi:type="dcterms:W3CDTF">2020-05-27T13:41:00Z</dcterms:created>
  <dcterms:modified xsi:type="dcterms:W3CDTF">2020-05-27T13:42:00Z</dcterms:modified>
</cp:coreProperties>
</file>