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3E" w:rsidRPr="00A273C6" w:rsidRDefault="00A273C6" w:rsidP="00BB566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73C6">
        <w:rPr>
          <w:rFonts w:ascii="Times New Roman" w:hAnsi="Times New Roman" w:cs="Times New Roman"/>
          <w:b/>
          <w:sz w:val="22"/>
          <w:szCs w:val="22"/>
        </w:rPr>
        <w:t>MULTI-PARTY WOMEN’S CAUCUS</w:t>
      </w:r>
    </w:p>
    <w:p w:rsidR="00A273C6" w:rsidRPr="00A273C6" w:rsidRDefault="00A273C6" w:rsidP="00BB566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73C6" w:rsidRPr="00A273C6" w:rsidRDefault="00BB5662" w:rsidP="00BB566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5662">
        <w:rPr>
          <w:rFonts w:ascii="Times New Roman" w:hAnsi="Times New Roman" w:cs="Times New Roman"/>
          <w:b/>
          <w:i/>
          <w:sz w:val="22"/>
          <w:szCs w:val="22"/>
          <w:u w:val="single"/>
        </w:rPr>
        <w:t>DRAFT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73C6" w:rsidRPr="00A273C6">
        <w:rPr>
          <w:rFonts w:ascii="Times New Roman" w:hAnsi="Times New Roman" w:cs="Times New Roman"/>
          <w:b/>
          <w:sz w:val="22"/>
          <w:szCs w:val="22"/>
        </w:rPr>
        <w:t>RECORD OF DECISIONS/OUTCOMES</w:t>
      </w:r>
    </w:p>
    <w:p w:rsidR="00A273C6" w:rsidRPr="00A273C6" w:rsidRDefault="00A273C6" w:rsidP="00BB566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92"/>
        <w:gridCol w:w="3402"/>
        <w:gridCol w:w="8363"/>
        <w:gridCol w:w="3119"/>
      </w:tblGrid>
      <w:tr w:rsidR="00A273C6" w:rsidRPr="00A273C6" w:rsidTr="00BB5662">
        <w:tc>
          <w:tcPr>
            <w:tcW w:w="392" w:type="dxa"/>
          </w:tcPr>
          <w:p w:rsidR="00A273C6" w:rsidRPr="00A273C6" w:rsidRDefault="00A273C6" w:rsidP="00BB566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73C6" w:rsidRPr="00A273C6" w:rsidRDefault="00A273C6" w:rsidP="00BB566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3C6" w:rsidRPr="00A273C6" w:rsidRDefault="00A273C6" w:rsidP="00BB566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73C6" w:rsidRPr="00A273C6" w:rsidRDefault="00A273C6" w:rsidP="002309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3C6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8363" w:type="dxa"/>
          </w:tcPr>
          <w:p w:rsidR="00A273C6" w:rsidRPr="002309F1" w:rsidRDefault="00A273C6" w:rsidP="002309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73C6" w:rsidRPr="002309F1" w:rsidRDefault="00A273C6" w:rsidP="002309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9F1">
              <w:rPr>
                <w:rFonts w:ascii="Times New Roman" w:hAnsi="Times New Roman" w:cs="Times New Roman"/>
                <w:b/>
                <w:sz w:val="22"/>
                <w:szCs w:val="22"/>
              </w:rPr>
              <w:t>DECISION</w:t>
            </w:r>
          </w:p>
        </w:tc>
        <w:tc>
          <w:tcPr>
            <w:tcW w:w="3119" w:type="dxa"/>
          </w:tcPr>
          <w:p w:rsidR="00A273C6" w:rsidRPr="00A273C6" w:rsidRDefault="00A273C6" w:rsidP="00BB566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73C6" w:rsidRPr="00A273C6" w:rsidRDefault="00A273C6" w:rsidP="002309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3C6">
              <w:rPr>
                <w:rFonts w:ascii="Times New Roman" w:hAnsi="Times New Roman" w:cs="Times New Roman"/>
                <w:b/>
                <w:sz w:val="22"/>
                <w:szCs w:val="22"/>
              </w:rPr>
              <w:t>STATUS</w:t>
            </w:r>
          </w:p>
        </w:tc>
      </w:tr>
      <w:tr w:rsidR="00A273C6" w:rsidTr="00BB5662">
        <w:tc>
          <w:tcPr>
            <w:tcW w:w="392" w:type="dxa"/>
          </w:tcPr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  <w:r w:rsidRPr="0062199A">
              <w:rPr>
                <w:rFonts w:ascii="Times New Roman" w:hAnsi="Times New Roman" w:cs="Times New Roman"/>
              </w:rPr>
              <w:t>1</w:t>
            </w:r>
          </w:p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73C6" w:rsidRPr="00EE1A51" w:rsidRDefault="00A273C6" w:rsidP="00BB566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73C6" w:rsidRPr="00EE1A51" w:rsidRDefault="00A273C6" w:rsidP="00BB566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A51">
              <w:rPr>
                <w:rFonts w:ascii="Times New Roman" w:hAnsi="Times New Roman" w:cs="Times New Roman"/>
                <w:sz w:val="22"/>
                <w:szCs w:val="22"/>
              </w:rPr>
              <w:t xml:space="preserve">Scheduling Steering Committee meetings </w:t>
            </w:r>
          </w:p>
        </w:tc>
        <w:tc>
          <w:tcPr>
            <w:tcW w:w="8363" w:type="dxa"/>
          </w:tcPr>
          <w:p w:rsidR="0062199A" w:rsidRPr="00747BFC" w:rsidRDefault="0062199A" w:rsidP="00BB56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7B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2874" w:rsidRPr="00747BFC">
              <w:rPr>
                <w:rFonts w:ascii="Times New Roman" w:hAnsi="Times New Roman" w:cs="Times New Roman"/>
                <w:sz w:val="22"/>
                <w:szCs w:val="22"/>
              </w:rPr>
              <w:t xml:space="preserve">Lunchtime meetings should be avoided.  </w:t>
            </w:r>
          </w:p>
          <w:p w:rsidR="0062199A" w:rsidRPr="00747BFC" w:rsidRDefault="0062199A" w:rsidP="00BB56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7B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2874" w:rsidRPr="00747BFC">
              <w:rPr>
                <w:rFonts w:ascii="Times New Roman" w:hAnsi="Times New Roman" w:cs="Times New Roman"/>
                <w:sz w:val="22"/>
                <w:szCs w:val="22"/>
              </w:rPr>
              <w:t xml:space="preserve">Meetings to be held in preparation of full MPWC meetings and as the need </w:t>
            </w:r>
            <w:r w:rsidRPr="00747BF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199A" w:rsidRPr="00747BFC" w:rsidRDefault="0062199A" w:rsidP="00BB5662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7BFC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proofErr w:type="gramStart"/>
            <w:r w:rsidR="00182874" w:rsidRPr="00747BFC">
              <w:rPr>
                <w:rFonts w:ascii="Times New Roman" w:hAnsi="Times New Roman" w:cs="Times New Roman"/>
                <w:sz w:val="22"/>
                <w:szCs w:val="22"/>
              </w:rPr>
              <w:t>arises</w:t>
            </w:r>
            <w:proofErr w:type="gramEnd"/>
            <w:r w:rsidR="00182874" w:rsidRPr="00747B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2874" w:rsidRPr="00747BFC" w:rsidRDefault="00182874" w:rsidP="00BB56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7BFC">
              <w:rPr>
                <w:rFonts w:ascii="Times New Roman" w:hAnsi="Times New Roman" w:cs="Times New Roman"/>
                <w:sz w:val="22"/>
                <w:szCs w:val="22"/>
              </w:rPr>
              <w:t xml:space="preserve">Meetings should preferably be held on Thursdays, before full MPWC meetings. </w:t>
            </w:r>
          </w:p>
        </w:tc>
        <w:tc>
          <w:tcPr>
            <w:tcW w:w="3119" w:type="dxa"/>
          </w:tcPr>
          <w:p w:rsidR="00A273C6" w:rsidRPr="00747BFC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62199A" w:rsidRPr="00747BFC" w:rsidRDefault="00BB5662" w:rsidP="00BB56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Ongoing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73C6" w:rsidTr="00BB5662">
        <w:tc>
          <w:tcPr>
            <w:tcW w:w="392" w:type="dxa"/>
          </w:tcPr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  <w:r w:rsidRPr="0062199A">
              <w:rPr>
                <w:rFonts w:ascii="Times New Roman" w:hAnsi="Times New Roman" w:cs="Times New Roman"/>
              </w:rPr>
              <w:t>2</w:t>
            </w:r>
          </w:p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73C6" w:rsidRPr="00EE1A51" w:rsidRDefault="00A273C6" w:rsidP="00BB566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73C6" w:rsidRPr="00EE1A51" w:rsidRDefault="00A273C6" w:rsidP="00BB566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A51">
              <w:rPr>
                <w:rFonts w:ascii="Times New Roman" w:hAnsi="Times New Roman" w:cs="Times New Roman"/>
                <w:sz w:val="22"/>
                <w:szCs w:val="22"/>
              </w:rPr>
              <w:t xml:space="preserve">Scheduling of Multi-Party Women’s Caucus meetings </w:t>
            </w:r>
          </w:p>
        </w:tc>
        <w:tc>
          <w:tcPr>
            <w:tcW w:w="8363" w:type="dxa"/>
          </w:tcPr>
          <w:p w:rsidR="0062199A" w:rsidRDefault="0062199A" w:rsidP="00BB566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7BFC" w:rsidRPr="00747BFC" w:rsidRDefault="00182874" w:rsidP="00BB56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7BFC">
              <w:rPr>
                <w:rFonts w:ascii="Times New Roman" w:hAnsi="Times New Roman" w:cs="Times New Roman"/>
                <w:sz w:val="22"/>
                <w:szCs w:val="22"/>
              </w:rPr>
              <w:t xml:space="preserve">MPWC should be more proactive in determining its own meeting dates. </w:t>
            </w:r>
          </w:p>
          <w:p w:rsidR="0062199A" w:rsidRPr="00747BFC" w:rsidRDefault="00182874" w:rsidP="00BB56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7BFC">
              <w:rPr>
                <w:rFonts w:ascii="Times New Roman" w:hAnsi="Times New Roman" w:cs="Times New Roman"/>
                <w:sz w:val="22"/>
                <w:szCs w:val="22"/>
              </w:rPr>
              <w:t xml:space="preserve">The chairperson should formally submit proposed dates to the National </w:t>
            </w:r>
          </w:p>
          <w:p w:rsidR="0062199A" w:rsidRDefault="00BB5662" w:rsidP="00BB566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62199A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182874" w:rsidRPr="00182874">
              <w:rPr>
                <w:rFonts w:ascii="Times New Roman" w:hAnsi="Times New Roman" w:cs="Times New Roman"/>
                <w:sz w:val="22"/>
                <w:szCs w:val="22"/>
              </w:rPr>
              <w:t xml:space="preserve">rogramming </w:t>
            </w:r>
            <w:r w:rsidR="0062199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182874" w:rsidRPr="00182874">
              <w:rPr>
                <w:rFonts w:ascii="Times New Roman" w:hAnsi="Times New Roman" w:cs="Times New Roman"/>
                <w:sz w:val="22"/>
                <w:szCs w:val="22"/>
              </w:rPr>
              <w:t>ommittee for inclusion in</w:t>
            </w:r>
            <w:r w:rsidR="0062199A">
              <w:rPr>
                <w:rFonts w:ascii="Times New Roman" w:hAnsi="Times New Roman" w:cs="Times New Roman"/>
                <w:sz w:val="22"/>
                <w:szCs w:val="22"/>
              </w:rPr>
              <w:t xml:space="preserve"> the parliamentary programme of   </w:t>
            </w:r>
          </w:p>
          <w:p w:rsidR="00182874" w:rsidRPr="0062199A" w:rsidRDefault="00BB5662" w:rsidP="00BB566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proofErr w:type="gramStart"/>
            <w:r w:rsidR="0062199A">
              <w:rPr>
                <w:rFonts w:ascii="Times New Roman" w:hAnsi="Times New Roman" w:cs="Times New Roman"/>
                <w:sz w:val="22"/>
                <w:szCs w:val="22"/>
              </w:rPr>
              <w:t>each</w:t>
            </w:r>
            <w:proofErr w:type="gramEnd"/>
            <w:r w:rsidR="006219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2874" w:rsidRPr="00182874">
              <w:rPr>
                <w:rFonts w:ascii="Times New Roman" w:hAnsi="Times New Roman" w:cs="Times New Roman"/>
                <w:sz w:val="22"/>
                <w:szCs w:val="22"/>
              </w:rPr>
              <w:t>term</w:t>
            </w:r>
            <w:r w:rsidR="006219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A273C6" w:rsidRPr="00747BFC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747BFC" w:rsidRP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  <w:r w:rsidRPr="00747BFC">
              <w:rPr>
                <w:rFonts w:ascii="Times New Roman" w:hAnsi="Times New Roman" w:cs="Times New Roman"/>
              </w:rPr>
              <w:t xml:space="preserve">Each term’s meeting dates are identified, and requested for inclusion in parliamentary programme. Written requests usually addressed to the Chief Whips </w:t>
            </w:r>
            <w:r>
              <w:rPr>
                <w:rFonts w:ascii="Times New Roman" w:hAnsi="Times New Roman" w:cs="Times New Roman"/>
              </w:rPr>
              <w:t xml:space="preserve">(of the Majority Party) in </w:t>
            </w:r>
            <w:r w:rsidRPr="00747BFC">
              <w:rPr>
                <w:rFonts w:ascii="Times New Roman" w:hAnsi="Times New Roman" w:cs="Times New Roman"/>
              </w:rPr>
              <w:t>both the NA and NCOP.</w:t>
            </w:r>
          </w:p>
        </w:tc>
      </w:tr>
      <w:tr w:rsidR="00A273C6" w:rsidTr="00BB5662">
        <w:tc>
          <w:tcPr>
            <w:tcW w:w="392" w:type="dxa"/>
          </w:tcPr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  <w:r w:rsidRPr="0062199A">
              <w:rPr>
                <w:rFonts w:ascii="Times New Roman" w:hAnsi="Times New Roman" w:cs="Times New Roman"/>
              </w:rPr>
              <w:t>3</w:t>
            </w:r>
          </w:p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73C6" w:rsidRPr="00EE1A51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EE1A51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  <w:r w:rsidRPr="00EE1A51">
              <w:rPr>
                <w:rFonts w:ascii="Times New Roman" w:hAnsi="Times New Roman" w:cs="Times New Roman"/>
              </w:rPr>
              <w:t xml:space="preserve">Attendance of meetings </w:t>
            </w:r>
          </w:p>
        </w:tc>
        <w:tc>
          <w:tcPr>
            <w:tcW w:w="8363" w:type="dxa"/>
          </w:tcPr>
          <w:p w:rsidR="00A273C6" w:rsidRDefault="00A273C6" w:rsidP="00BB56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82874" w:rsidRPr="0062199A" w:rsidRDefault="0062199A" w:rsidP="00BB566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 attendance of meeting should</w:t>
            </w:r>
            <w:r w:rsidR="00182874" w:rsidRPr="0062199A">
              <w:rPr>
                <w:rFonts w:ascii="Times New Roman" w:hAnsi="Times New Roman" w:cs="Times New Roman"/>
              </w:rPr>
              <w:t xml:space="preserve"> be brought to the attention of the Chief Whip and will be raised in the Chief Whips Forum. </w:t>
            </w:r>
          </w:p>
          <w:p w:rsidR="0062199A" w:rsidRPr="0062199A" w:rsidRDefault="0062199A" w:rsidP="00BB566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273C6" w:rsidRDefault="00A273C6" w:rsidP="00BB56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FC" w:rsidRP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  <w:r w:rsidRPr="00747BFC">
              <w:rPr>
                <w:rFonts w:ascii="Times New Roman" w:hAnsi="Times New Roman" w:cs="Times New Roman"/>
              </w:rPr>
              <w:t xml:space="preserve">Brought to the attention of the Chief Whip in meeting of 12 March 2020. </w:t>
            </w:r>
          </w:p>
        </w:tc>
      </w:tr>
      <w:tr w:rsidR="00A273C6" w:rsidTr="00BB5662">
        <w:tc>
          <w:tcPr>
            <w:tcW w:w="392" w:type="dxa"/>
          </w:tcPr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  <w:r w:rsidRPr="00621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A273C6" w:rsidRPr="00EE1A51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EE1A51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  <w:r w:rsidRPr="00EE1A51">
              <w:rPr>
                <w:rFonts w:ascii="Times New Roman" w:hAnsi="Times New Roman" w:cs="Times New Roman"/>
              </w:rPr>
              <w:t xml:space="preserve">Workshops </w:t>
            </w:r>
          </w:p>
        </w:tc>
        <w:tc>
          <w:tcPr>
            <w:tcW w:w="8363" w:type="dxa"/>
          </w:tcPr>
          <w:p w:rsidR="00182874" w:rsidRPr="006A4D54" w:rsidRDefault="00182874" w:rsidP="00BB566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99A" w:rsidRPr="0062199A" w:rsidRDefault="006A4D54" w:rsidP="00BB566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9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Strategic Planning Workshop</w:t>
            </w:r>
            <w:r w:rsidRPr="0062199A">
              <w:rPr>
                <w:rFonts w:ascii="Times New Roman" w:hAnsi="Times New Roman" w:cs="Times New Roman"/>
                <w:sz w:val="22"/>
                <w:szCs w:val="22"/>
              </w:rPr>
              <w:t xml:space="preserve"> to develop the committee’s strategic plan and </w:t>
            </w:r>
            <w:proofErr w:type="gramStart"/>
            <w:r w:rsidRPr="0062199A">
              <w:rPr>
                <w:rFonts w:ascii="Times New Roman" w:hAnsi="Times New Roman" w:cs="Times New Roman"/>
                <w:sz w:val="22"/>
                <w:szCs w:val="22"/>
              </w:rPr>
              <w:t xml:space="preserve">annual </w:t>
            </w:r>
            <w:r w:rsidR="0062199A" w:rsidRPr="006219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199A">
              <w:rPr>
                <w:rFonts w:ascii="Times New Roman" w:hAnsi="Times New Roman" w:cs="Times New Roman"/>
                <w:sz w:val="22"/>
                <w:szCs w:val="22"/>
              </w:rPr>
              <w:t>performance</w:t>
            </w:r>
            <w:proofErr w:type="gramEnd"/>
            <w:r w:rsidRPr="0062199A">
              <w:rPr>
                <w:rFonts w:ascii="Times New Roman" w:hAnsi="Times New Roman" w:cs="Times New Roman"/>
                <w:sz w:val="22"/>
                <w:szCs w:val="22"/>
              </w:rPr>
              <w:t xml:space="preserve"> plan, based on its adopted focus areas. </w:t>
            </w:r>
          </w:p>
          <w:p w:rsidR="0062199A" w:rsidRDefault="006A4D54" w:rsidP="00BB566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9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Gender-responsive budgeting and planning: </w:t>
            </w:r>
            <w:r w:rsidRPr="0062199A">
              <w:rPr>
                <w:rFonts w:ascii="Times New Roman" w:hAnsi="Times New Roman" w:cs="Times New Roman"/>
                <w:sz w:val="22"/>
                <w:szCs w:val="22"/>
              </w:rPr>
              <w:t xml:space="preserve">A comprehensive workshop geared towards understanding basic principles, challenges to institutionalisation, and the development of an oversight tool that would assist parliamentary committees in scrutinising departmental planning and spending from a gender perspective. Such a workshop should be collaborative as far as possible, involving relevant government </w:t>
            </w:r>
            <w:r w:rsidRPr="006219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departments and civil society.</w:t>
            </w:r>
          </w:p>
          <w:p w:rsidR="006A4D54" w:rsidRDefault="00DD67E4" w:rsidP="00BB566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9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International agreeme</w:t>
            </w:r>
            <w:r w:rsidR="006A4D54" w:rsidRPr="006219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nts and participation in international and regional bodies</w:t>
            </w:r>
            <w:r w:rsidR="006A4D54" w:rsidRPr="0062199A">
              <w:rPr>
                <w:rFonts w:ascii="Times New Roman" w:hAnsi="Times New Roman" w:cs="Times New Roman"/>
                <w:sz w:val="22"/>
                <w:szCs w:val="22"/>
              </w:rPr>
              <w:t xml:space="preserve">:  A workshop on the role and responsibilities of the MPWC in ensuring that country participation in international, regional and continental parliamentary </w:t>
            </w:r>
            <w:proofErr w:type="spellStart"/>
            <w:r w:rsidR="006A4D54" w:rsidRPr="0062199A">
              <w:rPr>
                <w:rFonts w:ascii="Times New Roman" w:hAnsi="Times New Roman" w:cs="Times New Roman"/>
                <w:sz w:val="22"/>
                <w:szCs w:val="22"/>
              </w:rPr>
              <w:t>fora</w:t>
            </w:r>
            <w:proofErr w:type="spellEnd"/>
            <w:r w:rsidR="006A4D54" w:rsidRPr="0062199A">
              <w:rPr>
                <w:rFonts w:ascii="Times New Roman" w:hAnsi="Times New Roman" w:cs="Times New Roman"/>
                <w:sz w:val="22"/>
                <w:szCs w:val="22"/>
              </w:rPr>
              <w:t xml:space="preserve"> should reflect the voice of the MPWC. The Parliamentary International Relations and Protocol Division should lead the workshop</w:t>
            </w:r>
            <w:r w:rsidR="006219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6D0F" w:rsidRPr="0062199A" w:rsidRDefault="00F36D0F" w:rsidP="00BB566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Gender-based</w:t>
            </w:r>
            <w:r w:rsidRPr="00F36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violence concepts and existing legislation.</w:t>
            </w:r>
            <w:bookmarkStart w:id="0" w:name="_GoBack"/>
            <w:bookmarkEnd w:id="0"/>
          </w:p>
          <w:p w:rsidR="00182874" w:rsidRDefault="00182874" w:rsidP="00BB56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  <w:r w:rsidRPr="00747BFC">
              <w:rPr>
                <w:rFonts w:ascii="Times New Roman" w:hAnsi="Times New Roman" w:cs="Times New Roman"/>
              </w:rPr>
              <w:t>Pending</w:t>
            </w:r>
          </w:p>
          <w:p w:rsid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meeting scheduled for 28 May, and workshop date to be identified. </w:t>
            </w:r>
          </w:p>
          <w:p w:rsid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Pending.</w:t>
            </w:r>
          </w:p>
          <w:p w:rsidR="00747BFC" w:rsidRP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C6" w:rsidTr="00BB5662">
        <w:tc>
          <w:tcPr>
            <w:tcW w:w="392" w:type="dxa"/>
          </w:tcPr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  <w:r w:rsidRPr="0062199A">
              <w:rPr>
                <w:rFonts w:ascii="Times New Roman" w:hAnsi="Times New Roman" w:cs="Times New Roman"/>
              </w:rPr>
              <w:t>5</w:t>
            </w:r>
          </w:p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73C6" w:rsidRPr="00EE1A51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EE1A51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  <w:r w:rsidRPr="00EE1A51">
              <w:rPr>
                <w:rFonts w:ascii="Times New Roman" w:hAnsi="Times New Roman" w:cs="Times New Roman"/>
              </w:rPr>
              <w:t>Local visits</w:t>
            </w:r>
          </w:p>
        </w:tc>
        <w:tc>
          <w:tcPr>
            <w:tcW w:w="8363" w:type="dxa"/>
          </w:tcPr>
          <w:p w:rsidR="00A273C6" w:rsidRDefault="00A273C6" w:rsidP="00BB56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D67E4" w:rsidRPr="0062199A" w:rsidRDefault="00DD67E4" w:rsidP="00BB56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2199A">
              <w:rPr>
                <w:rFonts w:ascii="Times New Roman" w:hAnsi="Times New Roman" w:cs="Times New Roman"/>
              </w:rPr>
              <w:t xml:space="preserve">Local visits should be prioritised and relevant to the committee’s focus areas.  </w:t>
            </w:r>
          </w:p>
          <w:p w:rsidR="0062199A" w:rsidRPr="0062199A" w:rsidRDefault="0062199A" w:rsidP="00BB566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  <w:r w:rsidRPr="00747BFC">
              <w:rPr>
                <w:rFonts w:ascii="Times New Roman" w:hAnsi="Times New Roman" w:cs="Times New Roman"/>
              </w:rPr>
              <w:t>Pending</w:t>
            </w:r>
          </w:p>
        </w:tc>
      </w:tr>
      <w:tr w:rsidR="00A273C6" w:rsidTr="00BB5662">
        <w:tc>
          <w:tcPr>
            <w:tcW w:w="392" w:type="dxa"/>
          </w:tcPr>
          <w:p w:rsidR="00A273C6" w:rsidRPr="0062199A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  <w:r w:rsidRPr="006219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A273C6" w:rsidRPr="00EE1A51" w:rsidRDefault="00A273C6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A273C6" w:rsidRPr="00EE1A51" w:rsidRDefault="00EE1A51" w:rsidP="00BB5662">
            <w:pPr>
              <w:jc w:val="both"/>
              <w:rPr>
                <w:rFonts w:ascii="Times New Roman" w:hAnsi="Times New Roman" w:cs="Times New Roman"/>
              </w:rPr>
            </w:pPr>
            <w:r w:rsidRPr="00EE1A51">
              <w:rPr>
                <w:rFonts w:ascii="Times New Roman" w:hAnsi="Times New Roman" w:cs="Times New Roman"/>
              </w:rPr>
              <w:t xml:space="preserve">Study Tours </w:t>
            </w:r>
          </w:p>
          <w:p w:rsidR="00EE1A51" w:rsidRPr="00EE1A51" w:rsidRDefault="00EE1A51" w:rsidP="00BB5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DD67E4" w:rsidRDefault="00DD67E4" w:rsidP="00BB56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D67E4" w:rsidRPr="0062199A" w:rsidRDefault="00DD67E4" w:rsidP="00BB566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99A">
              <w:rPr>
                <w:rFonts w:ascii="Times New Roman" w:hAnsi="Times New Roman" w:cs="Times New Roman"/>
                <w:sz w:val="22"/>
                <w:szCs w:val="22"/>
              </w:rPr>
              <w:t>A discussion paper on sector trends on the continent must be developed, and should include recommendations on focus areas and countries a del</w:t>
            </w:r>
            <w:r w:rsidR="00C86ABF" w:rsidRPr="0062199A">
              <w:rPr>
                <w:rFonts w:ascii="Times New Roman" w:hAnsi="Times New Roman" w:cs="Times New Roman"/>
                <w:sz w:val="22"/>
                <w:szCs w:val="22"/>
              </w:rPr>
              <w:t xml:space="preserve">egation of the MPWC could visit and benchmark against. </w:t>
            </w:r>
          </w:p>
          <w:p w:rsidR="0062199A" w:rsidRPr="0062199A" w:rsidRDefault="0062199A" w:rsidP="00BB5662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ABF" w:rsidRDefault="00C86ABF" w:rsidP="00BB56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A273C6" w:rsidRP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  <w:r w:rsidRPr="00747BFC">
              <w:rPr>
                <w:rFonts w:ascii="Times New Roman" w:hAnsi="Times New Roman" w:cs="Times New Roman"/>
              </w:rPr>
              <w:t>Pending</w:t>
            </w:r>
          </w:p>
        </w:tc>
      </w:tr>
      <w:tr w:rsidR="00EE1A51" w:rsidTr="00BB5662">
        <w:tc>
          <w:tcPr>
            <w:tcW w:w="392" w:type="dxa"/>
          </w:tcPr>
          <w:p w:rsidR="00EE1A51" w:rsidRPr="0062199A" w:rsidRDefault="00EE1A51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EE1A51" w:rsidRP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  <w:r w:rsidRPr="006219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EE1A51" w:rsidRDefault="00EE1A51" w:rsidP="00BB56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Gender-based Violence and </w:t>
            </w:r>
            <w:proofErr w:type="spellStart"/>
            <w:r w:rsidRPr="00C86ABF">
              <w:rPr>
                <w:rFonts w:ascii="Times New Roman" w:hAnsi="Times New Roman" w:cs="Times New Roman"/>
              </w:rPr>
              <w:t>Femicide</w:t>
            </w:r>
            <w:proofErr w:type="spellEnd"/>
          </w:p>
          <w:p w:rsid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EE1A51" w:rsidRDefault="00EE1A51" w:rsidP="00BB56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62199A" w:rsidRPr="0062199A" w:rsidRDefault="0062199A" w:rsidP="00BB566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2199A">
              <w:rPr>
                <w:rFonts w:ascii="Times New Roman" w:hAnsi="Times New Roman" w:cs="Times New Roman"/>
              </w:rPr>
              <w:t>The Interim Steering Committee should appear before the MPWC.</w:t>
            </w:r>
          </w:p>
          <w:p w:rsidR="0062199A" w:rsidRDefault="0062199A" w:rsidP="00BB566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2199A">
              <w:rPr>
                <w:rFonts w:ascii="Times New Roman" w:hAnsi="Times New Roman" w:cs="Times New Roman"/>
              </w:rPr>
              <w:t xml:space="preserve">National Strategic Plan on Gender-based Violence should be considered. </w:t>
            </w:r>
          </w:p>
          <w:p w:rsidR="0062199A" w:rsidRDefault="0062199A" w:rsidP="00BB566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2199A">
              <w:rPr>
                <w:rFonts w:ascii="Times New Roman" w:hAnsi="Times New Roman" w:cs="Times New Roman"/>
              </w:rPr>
              <w:t xml:space="preserve">MPWC should consider the establishment of a parliamentary committee dedicated to gender based violence and femicide. </w:t>
            </w:r>
          </w:p>
          <w:p w:rsidR="0062199A" w:rsidRPr="0062199A" w:rsidRDefault="0062199A" w:rsidP="00BB566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2199A">
              <w:rPr>
                <w:rFonts w:ascii="Times New Roman" w:hAnsi="Times New Roman" w:cs="Times New Roman"/>
              </w:rPr>
              <w:t>The MPWC should consider the NA resolution on the exploitation of women and young girls in cultural and religious settings.</w:t>
            </w:r>
          </w:p>
          <w:p w:rsid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62199A" w:rsidRPr="00C86ABF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EE1A51" w:rsidRPr="00747BFC" w:rsidRDefault="00747BFC" w:rsidP="00BB566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47BFC">
              <w:rPr>
                <w:rFonts w:ascii="Times New Roman" w:hAnsi="Times New Roman" w:cs="Times New Roman"/>
              </w:rPr>
              <w:t>The NSP has been submitted to the Committee, and the Department is available to brief the Committee.</w:t>
            </w:r>
          </w:p>
          <w:p w:rsidR="00747BFC" w:rsidRDefault="00747BFC" w:rsidP="00BB566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Previously postponed owing to parliamentary programme changes</w:t>
            </w:r>
          </w:p>
          <w:p w:rsid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747BFC" w:rsidRPr="00747BFC" w:rsidRDefault="00747BFC" w:rsidP="00BB566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Previously postponed owing to parliamentary programme changes. </w:t>
            </w:r>
          </w:p>
          <w:p w:rsid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747BFC" w:rsidRPr="00747BFC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6ABF" w:rsidTr="00BB5662">
        <w:tc>
          <w:tcPr>
            <w:tcW w:w="392" w:type="dxa"/>
          </w:tcPr>
          <w:p w:rsidR="00C86ABF" w:rsidRPr="0062199A" w:rsidRDefault="00C86ABF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C86ABF" w:rsidRP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  <w:r w:rsidRPr="0062199A">
              <w:rPr>
                <w:rFonts w:ascii="Times New Roman" w:hAnsi="Times New Roman" w:cs="Times New Roman"/>
              </w:rPr>
              <w:t>8</w:t>
            </w:r>
          </w:p>
          <w:p w:rsidR="00C86ABF" w:rsidRPr="0062199A" w:rsidRDefault="00C86ABF" w:rsidP="00BB5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6ABF" w:rsidRPr="00C86ABF" w:rsidRDefault="00C86ABF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62199A" w:rsidRPr="00EE1A51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  <w:r w:rsidRPr="00EE1A51">
              <w:rPr>
                <w:rFonts w:ascii="Times New Roman" w:hAnsi="Times New Roman" w:cs="Times New Roman"/>
              </w:rPr>
              <w:t>Women’s Parliament</w:t>
            </w:r>
            <w:r w:rsidR="00747BFC">
              <w:rPr>
                <w:rFonts w:ascii="Times New Roman" w:hAnsi="Times New Roman" w:cs="Times New Roman"/>
              </w:rPr>
              <w:t xml:space="preserve">ary </w:t>
            </w:r>
            <w:r>
              <w:rPr>
                <w:rFonts w:ascii="Times New Roman" w:hAnsi="Times New Roman" w:cs="Times New Roman"/>
              </w:rPr>
              <w:t xml:space="preserve">and the </w:t>
            </w:r>
          </w:p>
          <w:p w:rsidR="0062199A" w:rsidRPr="00EE1A51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Reviva</w:t>
            </w:r>
            <w:r w:rsidR="00747BFC">
              <w:rPr>
                <w:rFonts w:ascii="Times New Roman" w:hAnsi="Times New Roman" w:cs="Times New Roman"/>
              </w:rPr>
              <w:t>l of the National Gender Machine</w:t>
            </w:r>
            <w:r>
              <w:rPr>
                <w:rFonts w:ascii="Times New Roman" w:hAnsi="Times New Roman" w:cs="Times New Roman"/>
              </w:rPr>
              <w:t xml:space="preserve">ry </w:t>
            </w:r>
          </w:p>
          <w:p w:rsidR="00C86ABF" w:rsidRPr="00C86ABF" w:rsidRDefault="00C86ABF" w:rsidP="00BB5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86ABF" w:rsidRPr="00C86ABF" w:rsidRDefault="00C86ABF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The MPWC should be included in the planning and implementation of parliamentary gender-related activities and projects</w:t>
            </w:r>
            <w:r>
              <w:rPr>
                <w:rFonts w:ascii="Times New Roman" w:hAnsi="Times New Roman" w:cs="Times New Roman"/>
              </w:rPr>
              <w:t>.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To date, MPWC are merely invited to such events, rather than an active collaborator. </w:t>
            </w:r>
          </w:p>
          <w:p w:rsidR="0062199A" w:rsidRDefault="0062199A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C86ABF" w:rsidRPr="00C86ABF" w:rsidRDefault="00C86ABF" w:rsidP="00BB5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86ABF" w:rsidRDefault="00C86ABF" w:rsidP="00BB56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FC" w:rsidRPr="00BB5662" w:rsidRDefault="00BB5662" w:rsidP="00BB5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MPWC receives invitations to parliament- hosted events regularly. </w:t>
            </w:r>
          </w:p>
        </w:tc>
      </w:tr>
      <w:tr w:rsidR="00C86ABF" w:rsidTr="00BB5662">
        <w:tc>
          <w:tcPr>
            <w:tcW w:w="392" w:type="dxa"/>
          </w:tcPr>
          <w:p w:rsidR="00C86ABF" w:rsidRDefault="00C86ABF" w:rsidP="00BB56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86ABF" w:rsidRDefault="0062199A" w:rsidP="00BB56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</w:tcPr>
          <w:p w:rsidR="00C86ABF" w:rsidRDefault="00C86ABF" w:rsidP="00BB5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to female MPs</w:t>
            </w:r>
          </w:p>
          <w:p w:rsidR="00C86ABF" w:rsidRDefault="00C86ABF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C86ABF" w:rsidRPr="00C86ABF" w:rsidRDefault="00C86ABF" w:rsidP="00BB5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86ABF" w:rsidRDefault="00C86ABF" w:rsidP="00BB5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MPWC should consider, decide and lobby for improved support mechani</w:t>
            </w:r>
            <w:r w:rsidR="0062199A">
              <w:rPr>
                <w:rFonts w:ascii="Times New Roman" w:hAnsi="Times New Roman" w:cs="Times New Roman"/>
              </w:rPr>
              <w:t>sm mechanisms for female MPs.</w:t>
            </w:r>
          </w:p>
          <w:p w:rsidR="00F36D0F" w:rsidRDefault="00F36D0F" w:rsidP="00BB5662">
            <w:pPr>
              <w:jc w:val="both"/>
              <w:rPr>
                <w:rFonts w:ascii="Times New Roman" w:hAnsi="Times New Roman" w:cs="Times New Roman"/>
              </w:rPr>
            </w:pPr>
          </w:p>
          <w:p w:rsidR="00F36D0F" w:rsidRPr="00C86ABF" w:rsidRDefault="00F36D0F" w:rsidP="00BB5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Steering Committee should interact with Presiding Officers regarding amongst others, the establishment of a </w:t>
            </w:r>
            <w:proofErr w:type="spellStart"/>
            <w:r>
              <w:rPr>
                <w:rFonts w:ascii="Times New Roman" w:hAnsi="Times New Roman" w:cs="Times New Roman"/>
              </w:rPr>
              <w:t>daycare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centre. </w:t>
            </w:r>
          </w:p>
        </w:tc>
        <w:tc>
          <w:tcPr>
            <w:tcW w:w="3119" w:type="dxa"/>
          </w:tcPr>
          <w:p w:rsidR="00747BFC" w:rsidRPr="00BB5662" w:rsidRDefault="00747BFC" w:rsidP="00BB5662">
            <w:pPr>
              <w:jc w:val="both"/>
              <w:rPr>
                <w:rFonts w:ascii="Times New Roman" w:hAnsi="Times New Roman" w:cs="Times New Roman"/>
              </w:rPr>
            </w:pPr>
            <w:r w:rsidRPr="00BB5662">
              <w:rPr>
                <w:rFonts w:ascii="Times New Roman" w:hAnsi="Times New Roman" w:cs="Times New Roman"/>
              </w:rPr>
              <w:t xml:space="preserve">Previously postponed owing to parliamentary programme changes. </w:t>
            </w:r>
          </w:p>
          <w:p w:rsidR="00C86ABF" w:rsidRDefault="00C86ABF" w:rsidP="00BB56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273C6" w:rsidRDefault="00A273C6" w:rsidP="00BB5662">
      <w:pPr>
        <w:jc w:val="both"/>
        <w:rPr>
          <w:rFonts w:ascii="Times New Roman" w:hAnsi="Times New Roman" w:cs="Times New Roman"/>
          <w:b/>
        </w:rPr>
      </w:pPr>
    </w:p>
    <w:p w:rsidR="00A273C6" w:rsidRPr="00A273C6" w:rsidRDefault="00A273C6" w:rsidP="00BB5662">
      <w:pPr>
        <w:jc w:val="both"/>
        <w:rPr>
          <w:rFonts w:ascii="Times New Roman" w:hAnsi="Times New Roman" w:cs="Times New Roman"/>
          <w:b/>
        </w:rPr>
      </w:pPr>
    </w:p>
    <w:sectPr w:rsidR="00A273C6" w:rsidRPr="00A273C6" w:rsidSect="00A273C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1FA8"/>
    <w:multiLevelType w:val="hybridMultilevel"/>
    <w:tmpl w:val="8760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35A8"/>
    <w:multiLevelType w:val="hybridMultilevel"/>
    <w:tmpl w:val="A05EDA44"/>
    <w:lvl w:ilvl="0" w:tplc="C944E7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E0457"/>
    <w:multiLevelType w:val="hybridMultilevel"/>
    <w:tmpl w:val="8760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6E5E"/>
    <w:multiLevelType w:val="hybridMultilevel"/>
    <w:tmpl w:val="9BC6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6EDD"/>
    <w:multiLevelType w:val="hybridMultilevel"/>
    <w:tmpl w:val="AD88B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30E53"/>
    <w:multiLevelType w:val="hybridMultilevel"/>
    <w:tmpl w:val="440C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228A5"/>
    <w:multiLevelType w:val="hybridMultilevel"/>
    <w:tmpl w:val="842E6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0725E"/>
    <w:multiLevelType w:val="hybridMultilevel"/>
    <w:tmpl w:val="858020E2"/>
    <w:lvl w:ilvl="0" w:tplc="BD60AB34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0389D"/>
    <w:multiLevelType w:val="hybridMultilevel"/>
    <w:tmpl w:val="6D1A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B27C7"/>
    <w:multiLevelType w:val="hybridMultilevel"/>
    <w:tmpl w:val="5FBC2648"/>
    <w:lvl w:ilvl="0" w:tplc="0A40BBD8">
      <w:start w:val="1"/>
      <w:numFmt w:val="decimal"/>
      <w:lvlText w:val="%1."/>
      <w:lvlJc w:val="left"/>
      <w:pPr>
        <w:ind w:left="1163" w:hanging="88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85242"/>
    <w:multiLevelType w:val="hybridMultilevel"/>
    <w:tmpl w:val="2BA6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C6"/>
    <w:rsid w:val="00182874"/>
    <w:rsid w:val="002309F1"/>
    <w:rsid w:val="005E653E"/>
    <w:rsid w:val="0062199A"/>
    <w:rsid w:val="006A4D54"/>
    <w:rsid w:val="00747BFC"/>
    <w:rsid w:val="00A273C6"/>
    <w:rsid w:val="00BB5662"/>
    <w:rsid w:val="00C86ABF"/>
    <w:rsid w:val="00CD6586"/>
    <w:rsid w:val="00DD67E4"/>
    <w:rsid w:val="00EE1A51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3311</Characters>
  <Application>Microsoft Macintosh Word</Application>
  <DocSecurity>0</DocSecurity>
  <Lines>27</Lines>
  <Paragraphs>7</Paragraphs>
  <ScaleCrop>false</ScaleCrop>
  <Company>MANDY BALIE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Balie</dc:creator>
  <cp:keywords/>
  <dc:description/>
  <cp:lastModifiedBy>Mandy Balie</cp:lastModifiedBy>
  <cp:revision>2</cp:revision>
  <dcterms:created xsi:type="dcterms:W3CDTF">2020-05-22T08:11:00Z</dcterms:created>
  <dcterms:modified xsi:type="dcterms:W3CDTF">2020-05-22T08:11:00Z</dcterms:modified>
</cp:coreProperties>
</file>